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header2.xml" ContentType="application/vnd.openxmlformats-officedocument.wordprocessingml.header+xml"/>
  <Override PartName="/word/footer1.xml" ContentType="application/vnd.openxmlformats-officedocument.wordprocessingml.footer+xml"/>
  <Default Extension="png" ContentType="image/png"/>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line="29" w:lineRule="exact"/>
        <w:ind w:left="116"/>
        <w:rPr>
          <w:rFonts w:ascii="Times New Roman"/>
          <w:sz w:val="2"/>
        </w:rPr>
      </w:pPr>
      <w:r>
        <w:rPr>
          <w:rFonts w:ascii="Times New Roman"/>
          <w:position w:val="0"/>
          <w:sz w:val="2"/>
        </w:rPr>
        <w:pict>
          <v:group style="width:506.15pt;height:1.45pt;mso-position-horizontal-relative:char;mso-position-vertical-relative:line" coordorigin="0,0" coordsize="10123,29">
            <v:line style="position:absolute" from="15,15" to="10109,15" stroked="true" strokeweight="1.44pt" strokecolor="#000000">
              <v:stroke dashstyle="solid"/>
            </v:line>
          </v:group>
        </w:pict>
      </w:r>
      <w:r>
        <w:rPr>
          <w:rFonts w:ascii="Times New Roman"/>
          <w:position w:val="0"/>
          <w:sz w:val="2"/>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5"/>
        </w:rPr>
      </w:pPr>
    </w:p>
    <w:p>
      <w:pPr>
        <w:spacing w:before="100"/>
        <w:ind w:left="2073" w:right="1347" w:firstLine="0"/>
        <w:jc w:val="center"/>
        <w:rPr>
          <w:rFonts w:ascii="Georgia"/>
          <w:b/>
          <w:sz w:val="36"/>
        </w:rPr>
      </w:pPr>
      <w:r>
        <w:rPr>
          <w:rFonts w:ascii="Georgia"/>
          <w:b/>
          <w:sz w:val="36"/>
        </w:rPr>
        <w:t>KARACHI MOBILITY PROJECT</w:t>
      </w:r>
    </w:p>
    <w:p>
      <w:pPr>
        <w:pStyle w:val="Heading1"/>
        <w:spacing w:before="191"/>
        <w:ind w:left="2073" w:right="1342"/>
        <w:jc w:val="center"/>
        <w:rPr>
          <w:rFonts w:ascii="Georgia"/>
          <w:u w:val="none"/>
        </w:rPr>
      </w:pPr>
      <w:r>
        <w:rPr>
          <w:rFonts w:ascii="Georgia"/>
          <w:u w:val="none"/>
        </w:rPr>
        <w:t>YELLOW BRT CORRIDOR</w:t>
      </w:r>
    </w:p>
    <w:p>
      <w:pPr>
        <w:pStyle w:val="BodyText"/>
        <w:rPr>
          <w:rFonts w:ascii="Georgia"/>
          <w:b/>
          <w:sz w:val="32"/>
        </w:rPr>
      </w:pPr>
    </w:p>
    <w:p>
      <w:pPr>
        <w:pStyle w:val="BodyText"/>
        <w:rPr>
          <w:rFonts w:ascii="Georgia"/>
          <w:b/>
          <w:sz w:val="32"/>
        </w:rPr>
      </w:pPr>
    </w:p>
    <w:p>
      <w:pPr>
        <w:pStyle w:val="BodyText"/>
        <w:rPr>
          <w:rFonts w:ascii="Georgia"/>
          <w:b/>
          <w:sz w:val="36"/>
        </w:rPr>
      </w:pPr>
    </w:p>
    <w:p>
      <w:pPr>
        <w:spacing w:line="259" w:lineRule="auto" w:before="1"/>
        <w:ind w:left="2073" w:right="1365" w:firstLine="0"/>
        <w:jc w:val="center"/>
        <w:rPr>
          <w:rFonts w:ascii="Georgia"/>
          <w:b/>
          <w:sz w:val="36"/>
        </w:rPr>
      </w:pPr>
      <w:r>
        <w:rPr>
          <w:rFonts w:ascii="Georgia"/>
          <w:b/>
          <w:sz w:val="36"/>
        </w:rPr>
        <w:t>COMPENSATION AND LIVELIHOOD REHABILIATION PLAN</w:t>
      </w:r>
    </w:p>
    <w:p>
      <w:pPr>
        <w:pStyle w:val="BodyText"/>
        <w:rPr>
          <w:rFonts w:ascii="Georgia"/>
          <w:b/>
          <w:sz w:val="40"/>
        </w:rPr>
      </w:pPr>
    </w:p>
    <w:p>
      <w:pPr>
        <w:pStyle w:val="BodyText"/>
        <w:rPr>
          <w:rFonts w:ascii="Georgia"/>
          <w:b/>
          <w:sz w:val="40"/>
        </w:rPr>
      </w:pPr>
    </w:p>
    <w:p>
      <w:pPr>
        <w:pStyle w:val="BodyText"/>
        <w:rPr>
          <w:rFonts w:ascii="Georgia"/>
          <w:b/>
          <w:sz w:val="40"/>
        </w:rPr>
      </w:pPr>
    </w:p>
    <w:p>
      <w:pPr>
        <w:pStyle w:val="BodyText"/>
        <w:rPr>
          <w:rFonts w:ascii="Georgia"/>
          <w:b/>
          <w:sz w:val="40"/>
        </w:rPr>
      </w:pPr>
    </w:p>
    <w:p>
      <w:pPr>
        <w:pStyle w:val="BodyText"/>
        <w:rPr>
          <w:rFonts w:ascii="Georgia"/>
          <w:b/>
          <w:sz w:val="40"/>
        </w:rPr>
      </w:pPr>
    </w:p>
    <w:p>
      <w:pPr>
        <w:pStyle w:val="BodyText"/>
        <w:rPr>
          <w:rFonts w:ascii="Georgia"/>
          <w:b/>
          <w:sz w:val="40"/>
        </w:rPr>
      </w:pPr>
    </w:p>
    <w:p>
      <w:pPr>
        <w:pStyle w:val="BodyText"/>
        <w:spacing w:before="11"/>
        <w:rPr>
          <w:rFonts w:ascii="Georgia"/>
          <w:b/>
          <w:sz w:val="34"/>
        </w:rPr>
      </w:pPr>
    </w:p>
    <w:p>
      <w:pPr>
        <w:spacing w:before="0"/>
        <w:ind w:left="2073" w:right="1342" w:firstLine="0"/>
        <w:jc w:val="center"/>
        <w:rPr>
          <w:rFonts w:ascii="Georgia"/>
          <w:sz w:val="40"/>
        </w:rPr>
      </w:pPr>
      <w:r>
        <w:rPr>
          <w:rFonts w:ascii="Georgia"/>
          <w:sz w:val="40"/>
        </w:rPr>
        <w:t>Final Report</w:t>
      </w:r>
    </w:p>
    <w:p>
      <w:pPr>
        <w:pStyle w:val="Heading3"/>
        <w:spacing w:before="65"/>
        <w:ind w:left="2073" w:right="1345"/>
        <w:jc w:val="center"/>
        <w:rPr>
          <w:rFonts w:ascii="Georgia"/>
        </w:rPr>
      </w:pPr>
      <w:r>
        <w:rPr>
          <w:rFonts w:ascii="Georgia"/>
        </w:rPr>
        <w:t>May 09, 2019</w:t>
      </w: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spacing w:before="11"/>
        <w:rPr>
          <w:rFonts w:ascii="Georgia"/>
          <w:b/>
          <w:sz w:val="13"/>
        </w:rPr>
      </w:pPr>
      <w:r>
        <w:rPr/>
        <w:drawing>
          <wp:anchor distT="0" distB="0" distL="0" distR="0" allowOverlap="1" layoutInCell="1" locked="0" behindDoc="0" simplePos="0" relativeHeight="1048">
            <wp:simplePos x="0" y="0"/>
            <wp:positionH relativeFrom="page">
              <wp:posOffset>3128645</wp:posOffset>
            </wp:positionH>
            <wp:positionV relativeFrom="paragraph">
              <wp:posOffset>125683</wp:posOffset>
            </wp:positionV>
            <wp:extent cx="1470725" cy="610266"/>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1470725" cy="610266"/>
                    </a:xfrm>
                    <a:prstGeom prst="rect">
                      <a:avLst/>
                    </a:prstGeom>
                  </pic:spPr>
                </pic:pic>
              </a:graphicData>
            </a:graphic>
          </wp:anchor>
        </w:drawing>
      </w:r>
    </w:p>
    <w:p>
      <w:pPr>
        <w:spacing w:before="103"/>
        <w:ind w:left="2073" w:right="1261" w:firstLine="0"/>
        <w:jc w:val="center"/>
        <w:rPr>
          <w:rFonts w:ascii="Arial Black"/>
          <w:b/>
          <w:sz w:val="40"/>
        </w:rPr>
      </w:pPr>
      <w:r>
        <w:rPr>
          <w:rFonts w:ascii="Arial Black"/>
          <w:b/>
          <w:sz w:val="40"/>
        </w:rPr>
        <w:t>Sindh Mass Transit Authority</w:t>
      </w:r>
    </w:p>
    <w:p>
      <w:pPr>
        <w:spacing w:after="0"/>
        <w:jc w:val="center"/>
        <w:rPr>
          <w:rFonts w:ascii="Arial Black"/>
          <w:sz w:val="40"/>
        </w:rPr>
        <w:sectPr>
          <w:headerReference w:type="default" r:id="rId5"/>
          <w:type w:val="continuous"/>
          <w:pgSz w:w="11910" w:h="16840"/>
          <w:pgMar w:header="583" w:top="800" w:bottom="280" w:left="560" w:right="1000"/>
        </w:sectPr>
      </w:pPr>
    </w:p>
    <w:p>
      <w:pPr>
        <w:pStyle w:val="BodyText"/>
        <w:rPr>
          <w:rFonts w:ascii="Arial Black"/>
          <w:b/>
          <w:sz w:val="20"/>
        </w:rPr>
      </w:pPr>
    </w:p>
    <w:p>
      <w:pPr>
        <w:pStyle w:val="BodyText"/>
        <w:rPr>
          <w:rFonts w:ascii="Arial Black"/>
          <w:b/>
          <w:sz w:val="20"/>
        </w:rPr>
      </w:pPr>
    </w:p>
    <w:p>
      <w:pPr>
        <w:pStyle w:val="BodyText"/>
        <w:spacing w:before="13"/>
        <w:rPr>
          <w:rFonts w:ascii="Arial Black"/>
          <w:b/>
          <w:sz w:val="23"/>
        </w:rPr>
      </w:pPr>
    </w:p>
    <w:p>
      <w:pPr>
        <w:spacing w:before="93"/>
        <w:ind w:left="868" w:right="0" w:firstLine="0"/>
        <w:jc w:val="left"/>
        <w:rPr>
          <w:b/>
          <w:sz w:val="24"/>
        </w:rPr>
      </w:pPr>
      <w:r>
        <w:rPr>
          <w:b/>
          <w:sz w:val="24"/>
        </w:rPr>
        <w:t>TABLE OF CONTENTS</w:t>
      </w:r>
    </w:p>
    <w:p>
      <w:pPr>
        <w:spacing w:after="0"/>
        <w:jc w:val="left"/>
        <w:rPr>
          <w:sz w:val="24"/>
        </w:rPr>
        <w:sectPr>
          <w:headerReference w:type="default" r:id="rId7"/>
          <w:footerReference w:type="default" r:id="rId8"/>
          <w:pgSz w:w="11910" w:h="16840"/>
          <w:pgMar w:header="583" w:footer="575" w:top="840" w:bottom="1457" w:left="860" w:right="1280"/>
          <w:pgNumType w:start="2"/>
        </w:sectPr>
      </w:pPr>
    </w:p>
    <w:sdt>
      <w:sdtPr>
        <w:docPartObj>
          <w:docPartGallery w:val="Table of Contents"/>
          <w:docPartUnique/>
        </w:docPartObj>
      </w:sdtPr>
      <w:sdtEndPr/>
      <w:sdtContent>
        <w:p>
          <w:pPr>
            <w:pStyle w:val="TOC1"/>
            <w:tabs>
              <w:tab w:pos="9601" w:val="right" w:leader="dot"/>
            </w:tabs>
            <w:spacing w:before="359"/>
            <w:ind w:left="868" w:firstLine="0"/>
          </w:pPr>
          <w:hyperlink w:history="true" w:anchor="_bookmark0">
            <w:r>
              <w:rPr/>
              <w:t>EXECUTIVE</w:t>
            </w:r>
            <w:r>
              <w:rPr>
                <w:spacing w:val="-2"/>
              </w:rPr>
              <w:t> </w:t>
            </w:r>
            <w:r>
              <w:rPr/>
              <w:t>SUMMARY</w:t>
              <w:tab/>
              <w:t>6</w:t>
            </w:r>
          </w:hyperlink>
        </w:p>
        <w:p>
          <w:pPr>
            <w:pStyle w:val="TOC1"/>
            <w:numPr>
              <w:ilvl w:val="0"/>
              <w:numId w:val="1"/>
            </w:numPr>
            <w:tabs>
              <w:tab w:pos="1319" w:val="left" w:leader="none"/>
              <w:tab w:pos="1320" w:val="left" w:leader="none"/>
              <w:tab w:pos="9601" w:val="right" w:leader="dot"/>
            </w:tabs>
            <w:spacing w:line="240" w:lineRule="auto" w:before="118" w:after="0"/>
            <w:ind w:left="1319" w:right="0" w:hanging="451"/>
            <w:jc w:val="left"/>
          </w:pPr>
          <w:hyperlink w:history="true" w:anchor="_bookmark1">
            <w:r>
              <w:rPr/>
              <w:t>INTRODUCTION</w:t>
              <w:tab/>
              <w:t>11</w:t>
            </w:r>
          </w:hyperlink>
        </w:p>
        <w:p>
          <w:pPr>
            <w:pStyle w:val="TOC1"/>
            <w:numPr>
              <w:ilvl w:val="1"/>
              <w:numId w:val="1"/>
            </w:numPr>
            <w:tabs>
              <w:tab w:pos="1588" w:val="left" w:leader="none"/>
              <w:tab w:pos="1589" w:val="left" w:leader="none"/>
              <w:tab w:pos="9601" w:val="right" w:leader="dot"/>
            </w:tabs>
            <w:spacing w:line="240" w:lineRule="auto" w:before="121" w:after="0"/>
            <w:ind w:left="1588" w:right="0" w:hanging="720"/>
            <w:jc w:val="left"/>
          </w:pPr>
          <w:hyperlink w:history="true" w:anchor="_bookmark2">
            <w:r>
              <w:rPr/>
              <w:t>The Compensation and Livelihood Rehabilitations</w:t>
            </w:r>
            <w:r>
              <w:rPr>
                <w:spacing w:val="-9"/>
              </w:rPr>
              <w:t> </w:t>
            </w:r>
            <w:r>
              <w:rPr/>
              <w:t>Plan</w:t>
            </w:r>
            <w:r>
              <w:rPr>
                <w:spacing w:val="2"/>
              </w:rPr>
              <w:t> </w:t>
            </w:r>
            <w:r>
              <w:rPr/>
              <w:t>(C&amp;LRP)</w:t>
              <w:tab/>
              <w:t>11</w:t>
            </w:r>
          </w:hyperlink>
        </w:p>
        <w:p>
          <w:pPr>
            <w:pStyle w:val="TOC2"/>
            <w:numPr>
              <w:ilvl w:val="2"/>
              <w:numId w:val="1"/>
            </w:numPr>
            <w:tabs>
              <w:tab w:pos="2488" w:val="left" w:leader="none"/>
              <w:tab w:pos="2489" w:val="left" w:leader="none"/>
              <w:tab w:pos="9601" w:val="right" w:leader="dot"/>
            </w:tabs>
            <w:spacing w:line="240" w:lineRule="auto" w:before="59" w:after="0"/>
            <w:ind w:left="2488" w:right="0" w:hanging="900"/>
            <w:jc w:val="left"/>
          </w:pPr>
          <w:hyperlink w:history="true" w:anchor="_bookmark3">
            <w:r>
              <w:rPr/>
              <w:t>Purpose and Scope of</w:t>
            </w:r>
            <w:r>
              <w:rPr>
                <w:spacing w:val="-4"/>
              </w:rPr>
              <w:t> </w:t>
            </w:r>
            <w:r>
              <w:rPr/>
              <w:t>the</w:t>
            </w:r>
            <w:r>
              <w:rPr>
                <w:spacing w:val="-1"/>
              </w:rPr>
              <w:t> </w:t>
            </w:r>
            <w:r>
              <w:rPr/>
              <w:t>C&amp;LRP</w:t>
              <w:tab/>
              <w:t>11</w:t>
            </w:r>
          </w:hyperlink>
        </w:p>
        <w:p>
          <w:pPr>
            <w:pStyle w:val="TOC2"/>
            <w:numPr>
              <w:ilvl w:val="2"/>
              <w:numId w:val="1"/>
            </w:numPr>
            <w:tabs>
              <w:tab w:pos="2488" w:val="left" w:leader="none"/>
              <w:tab w:pos="2489" w:val="left" w:leader="none"/>
              <w:tab w:pos="9601" w:val="right" w:leader="dot"/>
            </w:tabs>
            <w:spacing w:line="240" w:lineRule="auto" w:before="61" w:after="0"/>
            <w:ind w:left="2488" w:right="0" w:hanging="900"/>
            <w:jc w:val="left"/>
          </w:pPr>
          <w:hyperlink w:history="true" w:anchor="_bookmark4">
            <w:r>
              <w:rPr/>
              <w:t>Project Policy</w:t>
            </w:r>
            <w:r>
              <w:rPr>
                <w:spacing w:val="-1"/>
              </w:rPr>
              <w:t> </w:t>
            </w:r>
            <w:r>
              <w:rPr/>
              <w:t>on</w:t>
            </w:r>
            <w:r>
              <w:rPr>
                <w:spacing w:val="-1"/>
              </w:rPr>
              <w:t> </w:t>
            </w:r>
            <w:r>
              <w:rPr/>
              <w:t>C&amp;LRP</w:t>
              <w:tab/>
              <w:t>11</w:t>
            </w:r>
          </w:hyperlink>
        </w:p>
        <w:p>
          <w:pPr>
            <w:pStyle w:val="TOC1"/>
            <w:numPr>
              <w:ilvl w:val="1"/>
              <w:numId w:val="1"/>
            </w:numPr>
            <w:tabs>
              <w:tab w:pos="1588" w:val="left" w:leader="none"/>
              <w:tab w:pos="1589" w:val="left" w:leader="none"/>
              <w:tab w:pos="9601" w:val="right" w:leader="dot"/>
            </w:tabs>
            <w:spacing w:line="240" w:lineRule="auto" w:before="58" w:after="0"/>
            <w:ind w:left="1588" w:right="0" w:hanging="720"/>
            <w:jc w:val="left"/>
          </w:pPr>
          <w:hyperlink w:history="true" w:anchor="_bookmark5">
            <w:r>
              <w:rPr/>
              <w:t>Measures to Minimize</w:t>
            </w:r>
            <w:r>
              <w:rPr>
                <w:spacing w:val="-1"/>
              </w:rPr>
              <w:t> </w:t>
            </w:r>
            <w:r>
              <w:rPr/>
              <w:t>Impact</w:t>
              <w:tab/>
              <w:t>12</w:t>
            </w:r>
          </w:hyperlink>
        </w:p>
        <w:p>
          <w:pPr>
            <w:pStyle w:val="TOC1"/>
            <w:numPr>
              <w:ilvl w:val="0"/>
              <w:numId w:val="1"/>
            </w:numPr>
            <w:tabs>
              <w:tab w:pos="1319" w:val="left" w:leader="none"/>
              <w:tab w:pos="1320" w:val="left" w:leader="none"/>
              <w:tab w:pos="9601" w:val="right" w:leader="dot"/>
            </w:tabs>
            <w:spacing w:line="240" w:lineRule="auto" w:before="118" w:after="0"/>
            <w:ind w:left="1319" w:right="0" w:hanging="451"/>
            <w:jc w:val="left"/>
          </w:pPr>
          <w:hyperlink w:history="true" w:anchor="_bookmark6">
            <w:r>
              <w:rPr/>
              <w:t>PROJECT</w:t>
            </w:r>
            <w:r>
              <w:rPr>
                <w:spacing w:val="-1"/>
              </w:rPr>
              <w:t> </w:t>
            </w:r>
            <w:r>
              <w:rPr/>
              <w:t>DESCRIPTION</w:t>
              <w:tab/>
              <w:t>13</w:t>
            </w:r>
          </w:hyperlink>
        </w:p>
        <w:p>
          <w:pPr>
            <w:pStyle w:val="TOC1"/>
            <w:numPr>
              <w:ilvl w:val="1"/>
              <w:numId w:val="1"/>
            </w:numPr>
            <w:tabs>
              <w:tab w:pos="1588" w:val="left" w:leader="none"/>
              <w:tab w:pos="1589" w:val="left" w:leader="none"/>
              <w:tab w:pos="9601" w:val="right" w:leader="dot"/>
            </w:tabs>
            <w:spacing w:line="240" w:lineRule="auto" w:before="121" w:after="0"/>
            <w:ind w:left="1588" w:right="0" w:hanging="720"/>
            <w:jc w:val="left"/>
          </w:pPr>
          <w:hyperlink w:history="true" w:anchor="_bookmark7">
            <w:r>
              <w:rPr/>
              <w:t>Introduction</w:t>
              <w:tab/>
              <w:t>13</w:t>
            </w:r>
          </w:hyperlink>
        </w:p>
        <w:p>
          <w:pPr>
            <w:pStyle w:val="TOC1"/>
            <w:numPr>
              <w:ilvl w:val="1"/>
              <w:numId w:val="1"/>
            </w:numPr>
            <w:tabs>
              <w:tab w:pos="1588" w:val="left" w:leader="none"/>
              <w:tab w:pos="1589" w:val="left" w:leader="none"/>
              <w:tab w:pos="9601" w:val="right" w:leader="dot"/>
            </w:tabs>
            <w:spacing w:line="240" w:lineRule="auto" w:before="59" w:after="0"/>
            <w:ind w:left="1588" w:right="0" w:hanging="720"/>
            <w:jc w:val="left"/>
          </w:pPr>
          <w:hyperlink w:history="true" w:anchor="_bookmark8">
            <w:r>
              <w:rPr/>
              <w:t>Project Development Objectives and Key</w:t>
            </w:r>
            <w:r>
              <w:rPr>
                <w:spacing w:val="-3"/>
              </w:rPr>
              <w:t> </w:t>
            </w:r>
            <w:r>
              <w:rPr/>
              <w:t>Results</w:t>
              <w:tab/>
              <w:t>13</w:t>
            </w:r>
          </w:hyperlink>
        </w:p>
        <w:p>
          <w:pPr>
            <w:pStyle w:val="TOC1"/>
            <w:numPr>
              <w:ilvl w:val="1"/>
              <w:numId w:val="1"/>
            </w:numPr>
            <w:tabs>
              <w:tab w:pos="1588" w:val="left" w:leader="none"/>
              <w:tab w:pos="1589" w:val="left" w:leader="none"/>
              <w:tab w:pos="9601" w:val="right" w:leader="dot"/>
            </w:tabs>
            <w:spacing w:line="240" w:lineRule="auto" w:before="62" w:after="0"/>
            <w:ind w:left="1588" w:right="0" w:hanging="720"/>
            <w:jc w:val="left"/>
          </w:pPr>
          <w:hyperlink w:history="true" w:anchor="_bookmark9">
            <w:r>
              <w:rPr/>
              <w:t>Sindh Mass</w:t>
            </w:r>
            <w:r>
              <w:rPr>
                <w:spacing w:val="-1"/>
              </w:rPr>
              <w:t> </w:t>
            </w:r>
            <w:r>
              <w:rPr/>
              <w:t>Transit</w:t>
            </w:r>
            <w:r>
              <w:rPr>
                <w:spacing w:val="-2"/>
              </w:rPr>
              <w:t> </w:t>
            </w:r>
            <w:r>
              <w:rPr/>
              <w:t>Authority</w:t>
              <w:tab/>
              <w:t>13</w:t>
            </w:r>
          </w:hyperlink>
        </w:p>
        <w:p>
          <w:pPr>
            <w:pStyle w:val="TOC1"/>
            <w:numPr>
              <w:ilvl w:val="1"/>
              <w:numId w:val="1"/>
            </w:numPr>
            <w:tabs>
              <w:tab w:pos="1588" w:val="left" w:leader="none"/>
              <w:tab w:pos="1589" w:val="left" w:leader="none"/>
              <w:tab w:pos="9601" w:val="right" w:leader="dot"/>
            </w:tabs>
            <w:spacing w:line="240" w:lineRule="auto" w:before="59" w:after="0"/>
            <w:ind w:left="1588" w:right="0" w:hanging="720"/>
            <w:jc w:val="left"/>
          </w:pPr>
          <w:hyperlink w:history="true" w:anchor="_bookmark10">
            <w:r>
              <w:rPr/>
              <w:t>Project</w:t>
            </w:r>
            <w:r>
              <w:rPr>
                <w:spacing w:val="1"/>
              </w:rPr>
              <w:t> </w:t>
            </w:r>
            <w:r>
              <w:rPr/>
              <w:t>Components</w:t>
              <w:tab/>
              <w:t>14</w:t>
            </w:r>
          </w:hyperlink>
        </w:p>
        <w:p>
          <w:pPr>
            <w:pStyle w:val="TOC2"/>
            <w:numPr>
              <w:ilvl w:val="2"/>
              <w:numId w:val="1"/>
            </w:numPr>
            <w:tabs>
              <w:tab w:pos="2488" w:val="left" w:leader="none"/>
              <w:tab w:pos="2489" w:val="left" w:leader="none"/>
              <w:tab w:pos="9601" w:val="right" w:leader="dot"/>
            </w:tabs>
            <w:spacing w:line="240" w:lineRule="auto" w:before="59" w:after="0"/>
            <w:ind w:left="2488" w:right="0" w:hanging="900"/>
            <w:jc w:val="left"/>
          </w:pPr>
          <w:hyperlink w:history="true" w:anchor="_bookmark11">
            <w:r>
              <w:rPr/>
              <w:t>Component 1: Urban Road Infrastructure along the</w:t>
            </w:r>
            <w:r>
              <w:rPr>
                <w:spacing w:val="-13"/>
              </w:rPr>
              <w:t> </w:t>
            </w:r>
            <w:r>
              <w:rPr/>
              <w:t>Yellow</w:t>
            </w:r>
            <w:r>
              <w:rPr>
                <w:spacing w:val="-4"/>
              </w:rPr>
              <w:t> </w:t>
            </w:r>
            <w:r>
              <w:rPr/>
              <w:t>Corridor</w:t>
              <w:tab/>
              <w:t>14</w:t>
            </w:r>
          </w:hyperlink>
        </w:p>
        <w:p>
          <w:pPr>
            <w:pStyle w:val="TOC2"/>
            <w:numPr>
              <w:ilvl w:val="2"/>
              <w:numId w:val="1"/>
            </w:numPr>
            <w:tabs>
              <w:tab w:pos="2488" w:val="left" w:leader="none"/>
              <w:tab w:pos="2489" w:val="left" w:leader="none"/>
              <w:tab w:pos="9601" w:val="right" w:leader="dot"/>
            </w:tabs>
            <w:spacing w:line="240" w:lineRule="auto" w:before="61" w:after="0"/>
            <w:ind w:left="2488" w:right="165" w:hanging="900"/>
            <w:jc w:val="left"/>
          </w:pPr>
          <w:hyperlink w:history="true" w:anchor="_bookmark12">
            <w:r>
              <w:rPr/>
              <w:t>Component 2: The Development and Operationalization of a BRT</w:t>
            </w:r>
          </w:hyperlink>
          <w:r>
            <w:rPr/>
            <w:t> </w:t>
          </w:r>
          <w:hyperlink w:history="true" w:anchor="_bookmark12">
            <w:r>
              <w:rPr/>
              <w:t>System along</w:t>
            </w:r>
            <w:r>
              <w:rPr>
                <w:spacing w:val="1"/>
              </w:rPr>
              <w:t> </w:t>
            </w:r>
            <w:r>
              <w:rPr/>
              <w:t>the</w:t>
            </w:r>
            <w:r>
              <w:rPr>
                <w:spacing w:val="-1"/>
              </w:rPr>
              <w:t> </w:t>
            </w:r>
            <w:r>
              <w:rPr/>
              <w:t>Yellow</w:t>
              <w:tab/>
              <w:t>14</w:t>
            </w:r>
          </w:hyperlink>
        </w:p>
        <w:p>
          <w:pPr>
            <w:pStyle w:val="TOC2"/>
            <w:numPr>
              <w:ilvl w:val="2"/>
              <w:numId w:val="1"/>
            </w:numPr>
            <w:tabs>
              <w:tab w:pos="2488" w:val="left" w:leader="none"/>
              <w:tab w:pos="2489" w:val="left" w:leader="none"/>
              <w:tab w:pos="9601" w:val="right" w:leader="dot"/>
            </w:tabs>
            <w:spacing w:line="240" w:lineRule="auto" w:before="61" w:after="0"/>
            <w:ind w:left="2488" w:right="0" w:hanging="900"/>
            <w:jc w:val="left"/>
          </w:pPr>
          <w:hyperlink w:history="true" w:anchor="_bookmark13">
            <w:r>
              <w:rPr/>
              <w:t>Component 3: Capacity Building and</w:t>
            </w:r>
            <w:r>
              <w:rPr>
                <w:spacing w:val="-8"/>
              </w:rPr>
              <w:t> </w:t>
            </w:r>
            <w:r>
              <w:rPr/>
              <w:t>Technical</w:t>
            </w:r>
            <w:r>
              <w:rPr>
                <w:spacing w:val="-2"/>
              </w:rPr>
              <w:t> </w:t>
            </w:r>
            <w:r>
              <w:rPr/>
              <w:t>Assistance</w:t>
              <w:tab/>
              <w:t>14</w:t>
            </w:r>
          </w:hyperlink>
        </w:p>
        <w:p>
          <w:pPr>
            <w:pStyle w:val="TOC1"/>
            <w:numPr>
              <w:ilvl w:val="1"/>
              <w:numId w:val="1"/>
            </w:numPr>
            <w:tabs>
              <w:tab w:pos="1588" w:val="left" w:leader="none"/>
              <w:tab w:pos="1589" w:val="left" w:leader="none"/>
              <w:tab w:pos="9601" w:val="right" w:leader="dot"/>
            </w:tabs>
            <w:spacing w:line="240" w:lineRule="auto" w:before="59" w:after="0"/>
            <w:ind w:left="1588" w:right="0" w:hanging="720"/>
            <w:jc w:val="left"/>
          </w:pPr>
          <w:hyperlink w:history="true" w:anchor="_bookmark14">
            <w:r>
              <w:rPr/>
              <w:t>Development of a</w:t>
            </w:r>
            <w:r>
              <w:rPr>
                <w:spacing w:val="3"/>
              </w:rPr>
              <w:t> </w:t>
            </w:r>
            <w:r>
              <w:rPr/>
              <w:t>BRT</w:t>
            </w:r>
            <w:r>
              <w:rPr>
                <w:spacing w:val="1"/>
              </w:rPr>
              <w:t> </w:t>
            </w:r>
            <w:r>
              <w:rPr/>
              <w:t>System</w:t>
              <w:tab/>
              <w:t>15</w:t>
            </w:r>
          </w:hyperlink>
        </w:p>
        <w:p>
          <w:pPr>
            <w:pStyle w:val="TOC2"/>
            <w:numPr>
              <w:ilvl w:val="2"/>
              <w:numId w:val="1"/>
            </w:numPr>
            <w:tabs>
              <w:tab w:pos="2488" w:val="left" w:leader="none"/>
              <w:tab w:pos="2489" w:val="left" w:leader="none"/>
              <w:tab w:pos="9601" w:val="right" w:leader="dot"/>
            </w:tabs>
            <w:spacing w:line="240" w:lineRule="auto" w:before="61" w:after="0"/>
            <w:ind w:left="2488" w:right="0" w:hanging="900"/>
            <w:jc w:val="left"/>
          </w:pPr>
          <w:hyperlink w:history="true" w:anchor="_bookmark15">
            <w:r>
              <w:rPr/>
              <w:t>Route</w:t>
            </w:r>
            <w:r>
              <w:rPr>
                <w:spacing w:val="-1"/>
              </w:rPr>
              <w:t> </w:t>
            </w:r>
            <w:r>
              <w:rPr/>
              <w:t>Alignment</w:t>
              <w:tab/>
              <w:t>15</w:t>
            </w:r>
          </w:hyperlink>
        </w:p>
        <w:p>
          <w:pPr>
            <w:pStyle w:val="TOC2"/>
            <w:numPr>
              <w:ilvl w:val="2"/>
              <w:numId w:val="1"/>
            </w:numPr>
            <w:tabs>
              <w:tab w:pos="2488" w:val="left" w:leader="none"/>
              <w:tab w:pos="2489" w:val="left" w:leader="none"/>
              <w:tab w:pos="9601" w:val="right" w:leader="dot"/>
            </w:tabs>
            <w:spacing w:line="240" w:lineRule="auto" w:before="58" w:after="0"/>
            <w:ind w:left="2488" w:right="0" w:hanging="900"/>
            <w:jc w:val="left"/>
          </w:pPr>
          <w:hyperlink w:history="true" w:anchor="_bookmark16">
            <w:r>
              <w:rPr/>
              <w:t>Corridor Description</w:t>
              <w:tab/>
              <w:t>15</w:t>
            </w:r>
          </w:hyperlink>
        </w:p>
        <w:p>
          <w:pPr>
            <w:pStyle w:val="TOC1"/>
            <w:numPr>
              <w:ilvl w:val="0"/>
              <w:numId w:val="1"/>
            </w:numPr>
            <w:tabs>
              <w:tab w:pos="1319" w:val="left" w:leader="none"/>
              <w:tab w:pos="1320" w:val="left" w:leader="none"/>
              <w:tab w:pos="9601" w:val="right" w:leader="dot"/>
            </w:tabs>
            <w:spacing w:line="240" w:lineRule="auto" w:before="118" w:after="0"/>
            <w:ind w:left="1319" w:right="0" w:hanging="451"/>
            <w:jc w:val="left"/>
          </w:pPr>
          <w:hyperlink w:history="true" w:anchor="_bookmark18">
            <w:r>
              <w:rPr/>
              <w:t>SCOPE OF LIVELIHOOD IMPACTS</w:t>
            </w:r>
            <w:r>
              <w:rPr>
                <w:spacing w:val="-3"/>
              </w:rPr>
              <w:t> </w:t>
            </w:r>
            <w:r>
              <w:rPr/>
              <w:t>ON</w:t>
            </w:r>
            <w:r>
              <w:rPr>
                <w:spacing w:val="-1"/>
              </w:rPr>
              <w:t> </w:t>
            </w:r>
            <w:r>
              <w:rPr/>
              <w:t>PAPs</w:t>
              <w:tab/>
              <w:t>17</w:t>
            </w:r>
          </w:hyperlink>
        </w:p>
        <w:p>
          <w:pPr>
            <w:pStyle w:val="TOC1"/>
            <w:numPr>
              <w:ilvl w:val="1"/>
              <w:numId w:val="1"/>
            </w:numPr>
            <w:tabs>
              <w:tab w:pos="1588" w:val="left" w:leader="none"/>
              <w:tab w:pos="1589" w:val="left" w:leader="none"/>
              <w:tab w:pos="9601" w:val="right" w:leader="dot"/>
            </w:tabs>
            <w:spacing w:line="240" w:lineRule="auto" w:before="121" w:after="0"/>
            <w:ind w:left="1588" w:right="0" w:hanging="720"/>
            <w:jc w:val="left"/>
          </w:pPr>
          <w:hyperlink w:history="true" w:anchor="_bookmark19">
            <w:r>
              <w:rPr/>
              <w:t>Potential Project</w:t>
            </w:r>
            <w:r>
              <w:rPr>
                <w:spacing w:val="-3"/>
              </w:rPr>
              <w:t> </w:t>
            </w:r>
            <w:r>
              <w:rPr/>
              <w:t>Social</w:t>
            </w:r>
            <w:r>
              <w:rPr>
                <w:spacing w:val="-2"/>
              </w:rPr>
              <w:t> </w:t>
            </w:r>
            <w:r>
              <w:rPr/>
              <w:t>Impacts</w:t>
              <w:tab/>
              <w:t>17</w:t>
            </w:r>
          </w:hyperlink>
        </w:p>
        <w:p>
          <w:pPr>
            <w:pStyle w:val="TOC2"/>
            <w:numPr>
              <w:ilvl w:val="2"/>
              <w:numId w:val="1"/>
            </w:numPr>
            <w:tabs>
              <w:tab w:pos="2488" w:val="left" w:leader="none"/>
              <w:tab w:pos="2489" w:val="left" w:leader="none"/>
              <w:tab w:pos="9601" w:val="right" w:leader="dot"/>
            </w:tabs>
            <w:spacing w:line="240" w:lineRule="auto" w:before="59" w:after="0"/>
            <w:ind w:left="2488" w:right="0" w:hanging="900"/>
            <w:jc w:val="left"/>
          </w:pPr>
          <w:hyperlink w:history="true" w:anchor="_bookmark21">
            <w:r>
              <w:rPr/>
              <w:t>Impact on</w:t>
            </w:r>
            <w:r>
              <w:rPr>
                <w:spacing w:val="-4"/>
              </w:rPr>
              <w:t> </w:t>
            </w:r>
            <w:r>
              <w:rPr/>
              <w:t>Informal</w:t>
            </w:r>
            <w:r>
              <w:rPr>
                <w:spacing w:val="-2"/>
              </w:rPr>
              <w:t> </w:t>
            </w:r>
            <w:r>
              <w:rPr/>
              <w:t>Vendors</w:t>
              <w:tab/>
              <w:t>17</w:t>
            </w:r>
          </w:hyperlink>
        </w:p>
        <w:p>
          <w:pPr>
            <w:pStyle w:val="TOC2"/>
            <w:numPr>
              <w:ilvl w:val="2"/>
              <w:numId w:val="1"/>
            </w:numPr>
            <w:tabs>
              <w:tab w:pos="2488" w:val="left" w:leader="none"/>
              <w:tab w:pos="2489" w:val="left" w:leader="none"/>
              <w:tab w:pos="9601" w:val="right" w:leader="dot"/>
            </w:tabs>
            <w:spacing w:line="240" w:lineRule="auto" w:before="61" w:after="0"/>
            <w:ind w:left="2488" w:right="0" w:hanging="900"/>
            <w:jc w:val="left"/>
          </w:pPr>
          <w:hyperlink w:history="true" w:anchor="_bookmark23">
            <w:r>
              <w:rPr/>
              <w:t>Vulnerable</w:t>
            </w:r>
            <w:r>
              <w:rPr>
                <w:spacing w:val="-1"/>
              </w:rPr>
              <w:t> </w:t>
            </w:r>
            <w:r>
              <w:rPr/>
              <w:t>PAPs</w:t>
              <w:tab/>
              <w:t>18</w:t>
            </w:r>
          </w:hyperlink>
        </w:p>
        <w:p>
          <w:pPr>
            <w:pStyle w:val="TOC1"/>
            <w:numPr>
              <w:ilvl w:val="1"/>
              <w:numId w:val="1"/>
            </w:numPr>
            <w:tabs>
              <w:tab w:pos="1588" w:val="left" w:leader="none"/>
              <w:tab w:pos="1589" w:val="left" w:leader="none"/>
              <w:tab w:pos="9601" w:val="right" w:leader="dot"/>
            </w:tabs>
            <w:spacing w:line="240" w:lineRule="auto" w:before="59" w:after="0"/>
            <w:ind w:left="1588" w:right="0" w:hanging="720"/>
            <w:jc w:val="left"/>
          </w:pPr>
          <w:hyperlink w:history="true" w:anchor="_bookmark25">
            <w:r>
              <w:rPr/>
              <w:t>Types of</w:t>
            </w:r>
            <w:r>
              <w:rPr>
                <w:spacing w:val="2"/>
              </w:rPr>
              <w:t> </w:t>
            </w:r>
            <w:r>
              <w:rPr/>
              <w:t>Businesses</w:t>
            </w:r>
            <w:r>
              <w:rPr>
                <w:spacing w:val="-3"/>
              </w:rPr>
              <w:t> </w:t>
            </w:r>
            <w:r>
              <w:rPr/>
              <w:t>Impacted</w:t>
              <w:tab/>
              <w:t>18</w:t>
            </w:r>
          </w:hyperlink>
        </w:p>
        <w:p>
          <w:pPr>
            <w:pStyle w:val="TOC2"/>
            <w:numPr>
              <w:ilvl w:val="2"/>
              <w:numId w:val="1"/>
            </w:numPr>
            <w:tabs>
              <w:tab w:pos="2488" w:val="left" w:leader="none"/>
              <w:tab w:pos="2489" w:val="left" w:leader="none"/>
              <w:tab w:pos="9601" w:val="right" w:leader="dot"/>
            </w:tabs>
            <w:spacing w:line="240" w:lineRule="auto" w:before="59" w:after="0"/>
            <w:ind w:left="2488" w:right="0" w:hanging="900"/>
            <w:jc w:val="left"/>
          </w:pPr>
          <w:hyperlink w:history="true" w:anchor="_bookmark28">
            <w:r>
              <w:rPr/>
              <w:t>Impacts on</w:t>
            </w:r>
            <w:r>
              <w:rPr>
                <w:spacing w:val="-3"/>
              </w:rPr>
              <w:t> </w:t>
            </w:r>
            <w:r>
              <w:rPr/>
              <w:t>Public Utilities</w:t>
              <w:tab/>
              <w:t>21</w:t>
            </w:r>
          </w:hyperlink>
        </w:p>
        <w:p>
          <w:pPr>
            <w:pStyle w:val="TOC2"/>
            <w:numPr>
              <w:ilvl w:val="2"/>
              <w:numId w:val="1"/>
            </w:numPr>
            <w:tabs>
              <w:tab w:pos="2488" w:val="left" w:leader="none"/>
              <w:tab w:pos="2489" w:val="left" w:leader="none"/>
              <w:tab w:pos="9601" w:val="right" w:leader="dot"/>
            </w:tabs>
            <w:spacing w:line="240" w:lineRule="auto" w:before="61" w:after="0"/>
            <w:ind w:left="2488" w:right="0" w:hanging="900"/>
            <w:jc w:val="left"/>
          </w:pPr>
          <w:hyperlink w:history="true" w:anchor="_bookmark29">
            <w:r>
              <w:rPr/>
              <w:t>Temporary Impacts on Access</w:t>
            </w:r>
            <w:r>
              <w:rPr>
                <w:spacing w:val="-5"/>
              </w:rPr>
              <w:t> </w:t>
            </w:r>
            <w:r>
              <w:rPr/>
              <w:t>and</w:t>
            </w:r>
            <w:r>
              <w:rPr>
                <w:spacing w:val="-3"/>
              </w:rPr>
              <w:t> </w:t>
            </w:r>
            <w:r>
              <w:rPr/>
              <w:t>Mobility</w:t>
              <w:tab/>
              <w:t>21</w:t>
            </w:r>
          </w:hyperlink>
        </w:p>
        <w:p>
          <w:pPr>
            <w:pStyle w:val="TOC2"/>
            <w:numPr>
              <w:ilvl w:val="2"/>
              <w:numId w:val="1"/>
            </w:numPr>
            <w:tabs>
              <w:tab w:pos="2488" w:val="left" w:leader="none"/>
              <w:tab w:pos="2489" w:val="left" w:leader="none"/>
              <w:tab w:pos="9601" w:val="right" w:leader="dot"/>
            </w:tabs>
            <w:spacing w:line="240" w:lineRule="auto" w:before="58" w:after="0"/>
            <w:ind w:left="2488" w:right="0" w:hanging="900"/>
            <w:jc w:val="left"/>
          </w:pPr>
          <w:hyperlink w:history="true" w:anchor="_bookmark30">
            <w:r>
              <w:rPr/>
              <w:t>Temporary use</w:t>
            </w:r>
            <w:r>
              <w:rPr>
                <w:spacing w:val="-3"/>
              </w:rPr>
              <w:t> </w:t>
            </w:r>
            <w:r>
              <w:rPr/>
              <w:t>of</w:t>
            </w:r>
            <w:r>
              <w:rPr>
                <w:spacing w:val="1"/>
              </w:rPr>
              <w:t> </w:t>
            </w:r>
            <w:r>
              <w:rPr/>
              <w:t>land</w:t>
              <w:tab/>
              <w:t>21</w:t>
            </w:r>
          </w:hyperlink>
        </w:p>
        <w:p>
          <w:pPr>
            <w:pStyle w:val="TOC1"/>
            <w:numPr>
              <w:ilvl w:val="0"/>
              <w:numId w:val="1"/>
            </w:numPr>
            <w:tabs>
              <w:tab w:pos="1319" w:val="left" w:leader="none"/>
              <w:tab w:pos="1320" w:val="left" w:leader="none"/>
              <w:tab w:pos="9601" w:val="right" w:leader="dot"/>
            </w:tabs>
            <w:spacing w:line="240" w:lineRule="auto" w:before="121" w:after="0"/>
            <w:ind w:left="1319" w:right="0" w:hanging="451"/>
            <w:jc w:val="left"/>
          </w:pPr>
          <w:hyperlink w:history="true" w:anchor="_bookmark31">
            <w:r>
              <w:rPr/>
              <w:t>SOCIO-ECONOMIC PROFILES</w:t>
            </w:r>
            <w:r>
              <w:rPr>
                <w:spacing w:val="-3"/>
              </w:rPr>
              <w:t> </w:t>
            </w:r>
            <w:r>
              <w:rPr/>
              <w:t>OF</w:t>
            </w:r>
            <w:r>
              <w:rPr>
                <w:spacing w:val="-3"/>
              </w:rPr>
              <w:t> </w:t>
            </w:r>
            <w:r>
              <w:rPr/>
              <w:t>PAPs</w:t>
              <w:tab/>
              <w:t>22</w:t>
            </w:r>
          </w:hyperlink>
        </w:p>
        <w:p>
          <w:pPr>
            <w:pStyle w:val="TOC1"/>
            <w:numPr>
              <w:ilvl w:val="1"/>
              <w:numId w:val="1"/>
            </w:numPr>
            <w:tabs>
              <w:tab w:pos="1588" w:val="left" w:leader="none"/>
              <w:tab w:pos="1589" w:val="left" w:leader="none"/>
              <w:tab w:pos="9601" w:val="right" w:leader="dot"/>
            </w:tabs>
            <w:spacing w:line="240" w:lineRule="auto" w:before="119" w:after="0"/>
            <w:ind w:left="1588" w:right="0" w:hanging="720"/>
            <w:jc w:val="left"/>
          </w:pPr>
          <w:hyperlink w:history="true" w:anchor="_bookmark32">
            <w:r>
              <w:rPr/>
              <w:t>Overview</w:t>
              <w:tab/>
              <w:t>22</w:t>
            </w:r>
          </w:hyperlink>
        </w:p>
        <w:p>
          <w:pPr>
            <w:pStyle w:val="TOC1"/>
            <w:numPr>
              <w:ilvl w:val="1"/>
              <w:numId w:val="1"/>
            </w:numPr>
            <w:tabs>
              <w:tab w:pos="1588" w:val="left" w:leader="none"/>
              <w:tab w:pos="1589" w:val="left" w:leader="none"/>
              <w:tab w:pos="9601" w:val="right" w:leader="dot"/>
            </w:tabs>
            <w:spacing w:line="240" w:lineRule="auto" w:before="59" w:after="0"/>
            <w:ind w:left="1588" w:right="0" w:hanging="720"/>
            <w:jc w:val="left"/>
          </w:pPr>
          <w:hyperlink w:history="true" w:anchor="_bookmark33">
            <w:r>
              <w:rPr/>
              <w:t>Demographic</w:t>
            </w:r>
            <w:r>
              <w:rPr>
                <w:spacing w:val="1"/>
              </w:rPr>
              <w:t> </w:t>
            </w:r>
            <w:r>
              <w:rPr/>
              <w:t>Characteristics</w:t>
              <w:tab/>
              <w:t>22</w:t>
            </w:r>
          </w:hyperlink>
        </w:p>
        <w:p>
          <w:pPr>
            <w:pStyle w:val="TOC2"/>
            <w:numPr>
              <w:ilvl w:val="2"/>
              <w:numId w:val="1"/>
            </w:numPr>
            <w:tabs>
              <w:tab w:pos="2488" w:val="left" w:leader="none"/>
              <w:tab w:pos="2489" w:val="left" w:leader="none"/>
              <w:tab w:pos="9601" w:val="right" w:leader="dot"/>
            </w:tabs>
            <w:spacing w:line="240" w:lineRule="auto" w:before="61" w:after="0"/>
            <w:ind w:left="2488" w:right="0" w:hanging="900"/>
            <w:jc w:val="left"/>
          </w:pPr>
          <w:hyperlink w:history="true" w:anchor="_bookmark35">
            <w:r>
              <w:rPr/>
              <w:t>Age</w:t>
            </w:r>
            <w:r>
              <w:rPr>
                <w:spacing w:val="-1"/>
              </w:rPr>
              <w:t> </w:t>
            </w:r>
            <w:r>
              <w:rPr/>
              <w:t>Structure</w:t>
              <w:tab/>
              <w:t>22</w:t>
            </w:r>
          </w:hyperlink>
        </w:p>
        <w:p>
          <w:pPr>
            <w:pStyle w:val="TOC2"/>
            <w:numPr>
              <w:ilvl w:val="2"/>
              <w:numId w:val="1"/>
            </w:numPr>
            <w:tabs>
              <w:tab w:pos="2488" w:val="left" w:leader="none"/>
              <w:tab w:pos="2489" w:val="left" w:leader="none"/>
              <w:tab w:pos="9601" w:val="right" w:leader="dot"/>
            </w:tabs>
            <w:spacing w:line="240" w:lineRule="auto" w:before="58" w:after="0"/>
            <w:ind w:left="2488" w:right="0" w:hanging="900"/>
            <w:jc w:val="left"/>
          </w:pPr>
          <w:hyperlink w:history="true" w:anchor="_bookmark37">
            <w:r>
              <w:rPr/>
              <w:t>Household</w:t>
            </w:r>
            <w:r>
              <w:rPr>
                <w:spacing w:val="-1"/>
              </w:rPr>
              <w:t> </w:t>
            </w:r>
            <w:r>
              <w:rPr/>
              <w:t>Size</w:t>
              <w:tab/>
              <w:t>23</w:t>
            </w:r>
          </w:hyperlink>
        </w:p>
        <w:p>
          <w:pPr>
            <w:pStyle w:val="TOC1"/>
            <w:numPr>
              <w:ilvl w:val="1"/>
              <w:numId w:val="1"/>
            </w:numPr>
            <w:tabs>
              <w:tab w:pos="1588" w:val="left" w:leader="none"/>
              <w:tab w:pos="1589" w:val="left" w:leader="none"/>
              <w:tab w:pos="9601" w:val="right" w:leader="dot"/>
            </w:tabs>
            <w:spacing w:line="240" w:lineRule="auto" w:before="61" w:after="0"/>
            <w:ind w:left="1588" w:right="0" w:hanging="720"/>
            <w:jc w:val="left"/>
          </w:pPr>
          <w:hyperlink w:history="true" w:anchor="_bookmark38">
            <w:r>
              <w:rPr/>
              <w:t>Religion</w:t>
            </w:r>
            <w:r>
              <w:rPr>
                <w:spacing w:val="-1"/>
              </w:rPr>
              <w:t> </w:t>
            </w:r>
            <w:r>
              <w:rPr/>
              <w:t>and</w:t>
            </w:r>
            <w:r>
              <w:rPr>
                <w:spacing w:val="-1"/>
              </w:rPr>
              <w:t> </w:t>
            </w:r>
            <w:r>
              <w:rPr/>
              <w:t>Ethnicity</w:t>
              <w:tab/>
              <w:t>23</w:t>
            </w:r>
          </w:hyperlink>
        </w:p>
        <w:p>
          <w:pPr>
            <w:pStyle w:val="TOC1"/>
            <w:numPr>
              <w:ilvl w:val="1"/>
              <w:numId w:val="1"/>
            </w:numPr>
            <w:tabs>
              <w:tab w:pos="1588" w:val="left" w:leader="none"/>
              <w:tab w:pos="1589" w:val="left" w:leader="none"/>
              <w:tab w:pos="9601" w:val="right" w:leader="dot"/>
            </w:tabs>
            <w:spacing w:line="240" w:lineRule="auto" w:before="59" w:after="0"/>
            <w:ind w:left="1588" w:right="0" w:hanging="720"/>
            <w:jc w:val="left"/>
          </w:pPr>
          <w:hyperlink w:history="true" w:anchor="_bookmark40">
            <w:r>
              <w:rPr/>
              <w:t>Marital Status</w:t>
              <w:tab/>
              <w:t>24</w:t>
            </w:r>
          </w:hyperlink>
        </w:p>
        <w:p>
          <w:pPr>
            <w:pStyle w:val="TOC1"/>
            <w:numPr>
              <w:ilvl w:val="1"/>
              <w:numId w:val="1"/>
            </w:numPr>
            <w:tabs>
              <w:tab w:pos="1588" w:val="left" w:leader="none"/>
              <w:tab w:pos="1589" w:val="left" w:leader="none"/>
              <w:tab w:pos="9601" w:val="right" w:leader="dot"/>
            </w:tabs>
            <w:spacing w:line="240" w:lineRule="auto" w:before="58" w:after="0"/>
            <w:ind w:left="1588" w:right="0" w:hanging="720"/>
            <w:jc w:val="left"/>
          </w:pPr>
          <w:hyperlink w:history="true" w:anchor="_bookmark41">
            <w:r>
              <w:rPr/>
              <w:t>Education</w:t>
              <w:tab/>
              <w:t>24</w:t>
            </w:r>
          </w:hyperlink>
        </w:p>
        <w:p>
          <w:pPr>
            <w:pStyle w:val="TOC1"/>
            <w:numPr>
              <w:ilvl w:val="1"/>
              <w:numId w:val="1"/>
            </w:numPr>
            <w:tabs>
              <w:tab w:pos="1588" w:val="left" w:leader="none"/>
              <w:tab w:pos="1589" w:val="left" w:leader="none"/>
              <w:tab w:pos="9601" w:val="right" w:leader="dot"/>
            </w:tabs>
            <w:spacing w:line="240" w:lineRule="auto" w:before="61" w:after="0"/>
            <w:ind w:left="1588" w:right="0" w:hanging="720"/>
            <w:jc w:val="left"/>
          </w:pPr>
          <w:hyperlink w:history="true" w:anchor="_bookmark43">
            <w:r>
              <w:rPr/>
              <w:t>Income</w:t>
              <w:tab/>
              <w:t>24</w:t>
            </w:r>
          </w:hyperlink>
        </w:p>
        <w:p>
          <w:pPr>
            <w:pStyle w:val="TOC1"/>
            <w:numPr>
              <w:ilvl w:val="0"/>
              <w:numId w:val="1"/>
            </w:numPr>
            <w:tabs>
              <w:tab w:pos="1319" w:val="left" w:leader="none"/>
              <w:tab w:pos="1320" w:val="left" w:leader="none"/>
              <w:tab w:pos="9601" w:val="right" w:leader="dot"/>
            </w:tabs>
            <w:spacing w:line="240" w:lineRule="auto" w:before="119" w:after="0"/>
            <w:ind w:left="1319" w:right="0" w:hanging="451"/>
            <w:jc w:val="left"/>
          </w:pPr>
          <w:hyperlink w:history="true" w:anchor="_bookmark45">
            <w:r>
              <w:rPr/>
              <w:t>LEGAL AND</w:t>
            </w:r>
            <w:r>
              <w:rPr>
                <w:spacing w:val="-1"/>
              </w:rPr>
              <w:t> </w:t>
            </w:r>
            <w:r>
              <w:rPr/>
              <w:t>POLICY</w:t>
            </w:r>
            <w:r>
              <w:rPr>
                <w:spacing w:val="-2"/>
              </w:rPr>
              <w:t> </w:t>
            </w:r>
            <w:r>
              <w:rPr/>
              <w:t>FRAMEWORK</w:t>
              <w:tab/>
              <w:t>26</w:t>
            </w:r>
          </w:hyperlink>
        </w:p>
        <w:p>
          <w:pPr>
            <w:pStyle w:val="TOC1"/>
            <w:numPr>
              <w:ilvl w:val="1"/>
              <w:numId w:val="1"/>
            </w:numPr>
            <w:tabs>
              <w:tab w:pos="1588" w:val="left" w:leader="none"/>
              <w:tab w:pos="1589" w:val="left" w:leader="none"/>
              <w:tab w:pos="9601" w:val="right" w:leader="dot"/>
            </w:tabs>
            <w:spacing w:line="240" w:lineRule="auto" w:before="121" w:after="0"/>
            <w:ind w:left="1588" w:right="0" w:hanging="720"/>
            <w:jc w:val="left"/>
          </w:pPr>
          <w:hyperlink w:history="true" w:anchor="_bookmark46">
            <w:r>
              <w:rPr/>
              <w:t>Legal and</w:t>
            </w:r>
            <w:r>
              <w:rPr>
                <w:spacing w:val="-4"/>
              </w:rPr>
              <w:t> </w:t>
            </w:r>
            <w:r>
              <w:rPr/>
              <w:t>Policy</w:t>
            </w:r>
            <w:r>
              <w:rPr>
                <w:spacing w:val="-3"/>
              </w:rPr>
              <w:t> </w:t>
            </w:r>
            <w:r>
              <w:rPr/>
              <w:t>Framework</w:t>
              <w:tab/>
              <w:t>26</w:t>
            </w:r>
          </w:hyperlink>
        </w:p>
        <w:p>
          <w:pPr>
            <w:pStyle w:val="TOC1"/>
            <w:numPr>
              <w:ilvl w:val="1"/>
              <w:numId w:val="1"/>
            </w:numPr>
            <w:tabs>
              <w:tab w:pos="1588" w:val="left" w:leader="none"/>
              <w:tab w:pos="1589" w:val="left" w:leader="none"/>
              <w:tab w:pos="9601" w:val="right" w:leader="dot"/>
            </w:tabs>
            <w:spacing w:line="240" w:lineRule="auto" w:before="58" w:after="0"/>
            <w:ind w:left="1588" w:right="0" w:hanging="720"/>
            <w:jc w:val="left"/>
          </w:pPr>
          <w:hyperlink w:history="true" w:anchor="_bookmark47">
            <w:r>
              <w:rPr/>
              <w:t>World Bank OP 4.12 and</w:t>
            </w:r>
            <w:r>
              <w:rPr>
                <w:spacing w:val="-7"/>
              </w:rPr>
              <w:t> </w:t>
            </w:r>
            <w:r>
              <w:rPr/>
              <w:t>Resettlement</w:t>
            </w:r>
            <w:r>
              <w:rPr>
                <w:spacing w:val="-2"/>
              </w:rPr>
              <w:t> </w:t>
            </w:r>
            <w:r>
              <w:rPr/>
              <w:t>Principles</w:t>
              <w:tab/>
              <w:t>26</w:t>
            </w:r>
          </w:hyperlink>
        </w:p>
        <w:p>
          <w:pPr>
            <w:pStyle w:val="TOC1"/>
            <w:numPr>
              <w:ilvl w:val="1"/>
              <w:numId w:val="1"/>
            </w:numPr>
            <w:tabs>
              <w:tab w:pos="1588" w:val="left" w:leader="none"/>
              <w:tab w:pos="1589" w:val="left" w:leader="none"/>
            </w:tabs>
            <w:spacing w:line="252" w:lineRule="exact" w:before="874" w:after="0"/>
            <w:ind w:left="1588" w:right="0" w:hanging="720"/>
            <w:jc w:val="left"/>
          </w:pPr>
          <w:hyperlink w:history="true" w:anchor="_bookmark48">
            <w:r>
              <w:rPr/>
              <w:t>Comparison of Pakistan’s LAA and </w:t>
            </w:r>
            <w:r>
              <w:rPr>
                <w:spacing w:val="3"/>
              </w:rPr>
              <w:t>WB </w:t>
            </w:r>
            <w:r>
              <w:rPr/>
              <w:t>OP 4.12 IR Safeguards Policy  </w:t>
            </w:r>
            <w:r>
              <w:rPr>
                <w:spacing w:val="51"/>
              </w:rPr>
              <w:t> </w:t>
            </w:r>
            <w:r>
              <w:rPr/>
              <w:t>Principles</w:t>
            </w:r>
          </w:hyperlink>
        </w:p>
        <w:p>
          <w:pPr>
            <w:pStyle w:val="TOC2"/>
            <w:spacing w:line="252" w:lineRule="exact" w:before="0"/>
            <w:ind w:left="1636" w:firstLine="0"/>
          </w:pPr>
          <w:hyperlink w:history="true" w:anchor="_bookmark48">
            <w:r>
              <w:rPr/>
              <w:t>...........................................................................................................................   27</w:t>
            </w:r>
          </w:hyperlink>
        </w:p>
        <w:p>
          <w:pPr>
            <w:pStyle w:val="TOC1"/>
            <w:numPr>
              <w:ilvl w:val="1"/>
              <w:numId w:val="1"/>
            </w:numPr>
            <w:tabs>
              <w:tab w:pos="1588" w:val="left" w:leader="none"/>
              <w:tab w:pos="1589" w:val="left" w:leader="none"/>
              <w:tab w:pos="9356" w:val="left" w:leader="dot"/>
            </w:tabs>
            <w:spacing w:line="240" w:lineRule="auto" w:before="61" w:after="0"/>
            <w:ind w:left="1588" w:right="0" w:hanging="720"/>
            <w:jc w:val="left"/>
          </w:pPr>
          <w:hyperlink w:history="true" w:anchor="_bookmark50">
            <w:r>
              <w:rPr/>
              <w:t>Gap</w:t>
            </w:r>
            <w:r>
              <w:rPr>
                <w:spacing w:val="-2"/>
              </w:rPr>
              <w:t> </w:t>
            </w:r>
            <w:r>
              <w:rPr/>
              <w:t>Bridging Measures</w:t>
              <w:tab/>
              <w:t>28</w:t>
            </w:r>
          </w:hyperlink>
        </w:p>
        <w:p>
          <w:pPr>
            <w:pStyle w:val="TOC2"/>
            <w:numPr>
              <w:ilvl w:val="2"/>
              <w:numId w:val="1"/>
            </w:numPr>
            <w:tabs>
              <w:tab w:pos="2488" w:val="left" w:leader="none"/>
              <w:tab w:pos="2489" w:val="left" w:leader="none"/>
              <w:tab w:pos="9356" w:val="left" w:leader="dot"/>
            </w:tabs>
            <w:spacing w:line="240" w:lineRule="auto" w:before="58" w:after="0"/>
            <w:ind w:left="1588" w:right="0" w:firstLine="0"/>
            <w:jc w:val="left"/>
          </w:pPr>
          <w:hyperlink w:history="true" w:anchor="_bookmark51">
            <w:r>
              <w:rPr/>
              <w:t>Livelihood and Rehabilitation Assistance Policy for</w:t>
            </w:r>
            <w:r>
              <w:rPr>
                <w:spacing w:val="-16"/>
              </w:rPr>
              <w:t> </w:t>
            </w:r>
            <w:r>
              <w:rPr/>
              <w:t>the</w:t>
            </w:r>
            <w:r>
              <w:rPr>
                <w:spacing w:val="-2"/>
              </w:rPr>
              <w:t> </w:t>
            </w:r>
            <w:r>
              <w:rPr/>
              <w:t>Project</w:t>
              <w:tab/>
              <w:t>29</w:t>
            </w:r>
          </w:hyperlink>
        </w:p>
        <w:p>
          <w:pPr>
            <w:pStyle w:val="TOC2"/>
            <w:numPr>
              <w:ilvl w:val="2"/>
              <w:numId w:val="1"/>
            </w:numPr>
            <w:tabs>
              <w:tab w:pos="2488" w:val="left" w:leader="none"/>
              <w:tab w:pos="2489" w:val="left" w:leader="none"/>
              <w:tab w:pos="9356" w:val="left" w:leader="dot"/>
            </w:tabs>
            <w:spacing w:line="295" w:lineRule="auto" w:before="61" w:after="0"/>
            <w:ind w:left="1588" w:right="165" w:firstLine="0"/>
            <w:jc w:val="left"/>
          </w:pPr>
          <w:hyperlink w:history="true" w:anchor="_bookmark52">
            <w:r>
              <w:rPr/>
              <w:t>Specific Provisions for disadvantaged or vulnerable individuals/groups</w:t>
            </w:r>
            <w:r>
              <w:rPr>
                <w:spacing w:val="-26"/>
              </w:rPr>
              <w:t> </w:t>
            </w:r>
            <w:r>
              <w:rPr/>
              <w:t>29</w:t>
            </w:r>
          </w:hyperlink>
          <w:r>
            <w:rPr/>
            <w:t> </w:t>
          </w:r>
          <w:hyperlink w:history="true" w:anchor="_bookmark53">
            <w:r>
              <w:rPr/>
              <w:t>5.4.3</w:t>
              <w:tab/>
              <w:t>Indigenous</w:t>
            </w:r>
            <w:r>
              <w:rPr>
                <w:spacing w:val="-3"/>
              </w:rPr>
              <w:t> </w:t>
            </w:r>
            <w:r>
              <w:rPr/>
              <w:t>People</w:t>
              <w:tab/>
              <w:t>30</w:t>
            </w:r>
          </w:hyperlink>
        </w:p>
        <w:p>
          <w:pPr>
            <w:pStyle w:val="TOC2"/>
            <w:tabs>
              <w:tab w:pos="2488" w:val="left" w:leader="none"/>
              <w:tab w:pos="9356" w:val="left" w:leader="dot"/>
            </w:tabs>
            <w:spacing w:before="2"/>
            <w:ind w:left="1588" w:firstLine="0"/>
          </w:pPr>
          <w:hyperlink w:history="true" w:anchor="_bookmark54">
            <w:r>
              <w:rPr/>
              <w:t>5.4.4</w:t>
              <w:tab/>
              <w:t>Change of Project Scope or identification of</w:t>
            </w:r>
            <w:r>
              <w:rPr>
                <w:spacing w:val="-14"/>
              </w:rPr>
              <w:t> </w:t>
            </w:r>
            <w:r>
              <w:rPr/>
              <w:t>Unanticipated</w:t>
            </w:r>
            <w:r>
              <w:rPr>
                <w:spacing w:val="-2"/>
              </w:rPr>
              <w:t> </w:t>
            </w:r>
            <w:r>
              <w:rPr/>
              <w:t>Impacts</w:t>
              <w:tab/>
              <w:t>30</w:t>
            </w:r>
          </w:hyperlink>
        </w:p>
        <w:p>
          <w:pPr>
            <w:pStyle w:val="TOC1"/>
            <w:numPr>
              <w:ilvl w:val="1"/>
              <w:numId w:val="1"/>
            </w:numPr>
            <w:tabs>
              <w:tab w:pos="1588" w:val="left" w:leader="none"/>
              <w:tab w:pos="1589" w:val="left" w:leader="none"/>
              <w:tab w:pos="9356" w:val="left" w:leader="dot"/>
            </w:tabs>
            <w:spacing w:line="240" w:lineRule="auto" w:before="60" w:after="0"/>
            <w:ind w:left="1588" w:right="0" w:hanging="720"/>
            <w:jc w:val="left"/>
          </w:pPr>
          <w:hyperlink w:history="true" w:anchor="_bookmark55">
            <w:r>
              <w:rPr/>
              <w:t>Compensation Eligibility</w:t>
            </w:r>
            <w:r>
              <w:rPr>
                <w:spacing w:val="-5"/>
              </w:rPr>
              <w:t> </w:t>
            </w:r>
            <w:r>
              <w:rPr/>
              <w:t>and</w:t>
            </w:r>
            <w:r>
              <w:rPr>
                <w:spacing w:val="-3"/>
              </w:rPr>
              <w:t> </w:t>
            </w:r>
            <w:r>
              <w:rPr/>
              <w:t>Entitlement</w:t>
              <w:tab/>
              <w:t>30</w:t>
            </w:r>
          </w:hyperlink>
        </w:p>
        <w:p>
          <w:pPr>
            <w:pStyle w:val="TOC2"/>
            <w:tabs>
              <w:tab w:pos="2488" w:val="left" w:leader="none"/>
              <w:tab w:pos="9356" w:val="left" w:leader="dot"/>
            </w:tabs>
            <w:spacing w:before="58"/>
            <w:ind w:left="1588" w:firstLine="0"/>
          </w:pPr>
          <w:hyperlink w:history="true" w:anchor="_bookmark56">
            <w:r>
              <w:rPr/>
              <w:t>5.5.2</w:t>
              <w:tab/>
              <w:t>Compensation</w:t>
            </w:r>
            <w:r>
              <w:rPr>
                <w:spacing w:val="-3"/>
              </w:rPr>
              <w:t> </w:t>
            </w:r>
            <w:r>
              <w:rPr/>
              <w:t>Entitlements</w:t>
              <w:tab/>
              <w:t>31</w:t>
            </w:r>
          </w:hyperlink>
        </w:p>
        <w:p>
          <w:pPr>
            <w:pStyle w:val="TOC1"/>
            <w:numPr>
              <w:ilvl w:val="1"/>
              <w:numId w:val="1"/>
            </w:numPr>
            <w:tabs>
              <w:tab w:pos="1588" w:val="left" w:leader="none"/>
              <w:tab w:pos="1589" w:val="left" w:leader="none"/>
              <w:tab w:pos="9356" w:val="left" w:leader="dot"/>
            </w:tabs>
            <w:spacing w:line="240" w:lineRule="auto" w:before="61" w:after="0"/>
            <w:ind w:left="1588" w:right="0" w:hanging="720"/>
            <w:jc w:val="left"/>
          </w:pPr>
          <w:hyperlink w:history="true" w:anchor="_bookmark57">
            <w:r>
              <w:rPr/>
              <w:t>Compensation-Unit Rates for Rehabilitation Assistance</w:t>
            </w:r>
            <w:r>
              <w:rPr>
                <w:spacing w:val="-14"/>
              </w:rPr>
              <w:t> </w:t>
            </w:r>
            <w:r>
              <w:rPr/>
              <w:t>and</w:t>
            </w:r>
            <w:r>
              <w:rPr>
                <w:spacing w:val="-5"/>
              </w:rPr>
              <w:t> </w:t>
            </w:r>
            <w:r>
              <w:rPr/>
              <w:t>Allowances</w:t>
              <w:tab/>
              <w:t>31</w:t>
            </w:r>
          </w:hyperlink>
        </w:p>
        <w:p>
          <w:pPr>
            <w:pStyle w:val="TOC1"/>
            <w:numPr>
              <w:ilvl w:val="1"/>
              <w:numId w:val="1"/>
            </w:numPr>
            <w:tabs>
              <w:tab w:pos="1588" w:val="left" w:leader="none"/>
              <w:tab w:pos="1589" w:val="left" w:leader="none"/>
              <w:tab w:pos="9356" w:val="left" w:leader="dot"/>
            </w:tabs>
            <w:spacing w:line="240" w:lineRule="auto" w:before="59" w:after="0"/>
            <w:ind w:left="1588" w:right="0" w:hanging="720"/>
            <w:jc w:val="left"/>
          </w:pPr>
          <w:hyperlink w:history="true" w:anchor="_bookmark59">
            <w:r>
              <w:rPr/>
              <w:t>Entitlements</w:t>
              <w:tab/>
              <w:t>31</w:t>
            </w:r>
          </w:hyperlink>
        </w:p>
        <w:p>
          <w:pPr>
            <w:pStyle w:val="TOC1"/>
            <w:numPr>
              <w:ilvl w:val="0"/>
              <w:numId w:val="1"/>
            </w:numPr>
            <w:tabs>
              <w:tab w:pos="1319" w:val="left" w:leader="none"/>
              <w:tab w:pos="1320" w:val="left" w:leader="none"/>
              <w:tab w:pos="9356" w:val="left" w:leader="dot"/>
            </w:tabs>
            <w:spacing w:line="240" w:lineRule="auto" w:before="119" w:after="0"/>
            <w:ind w:left="1319" w:right="0" w:hanging="451"/>
            <w:jc w:val="left"/>
          </w:pPr>
          <w:hyperlink w:history="true" w:anchor="_bookmark61">
            <w:r>
              <w:rPr/>
              <w:t>STAKEHOLDER CONSULTATION AND</w:t>
            </w:r>
            <w:r>
              <w:rPr>
                <w:spacing w:val="-14"/>
              </w:rPr>
              <w:t> </w:t>
            </w:r>
            <w:r>
              <w:rPr/>
              <w:t>INFORMATION</w:t>
            </w:r>
            <w:r>
              <w:rPr>
                <w:spacing w:val="-4"/>
              </w:rPr>
              <w:t> </w:t>
            </w:r>
            <w:r>
              <w:rPr/>
              <w:t>DISCLOSURE</w:t>
              <w:tab/>
              <w:t>33</w:t>
            </w:r>
          </w:hyperlink>
        </w:p>
        <w:p>
          <w:pPr>
            <w:pStyle w:val="TOC1"/>
            <w:numPr>
              <w:ilvl w:val="1"/>
              <w:numId w:val="1"/>
            </w:numPr>
            <w:tabs>
              <w:tab w:pos="1588" w:val="left" w:leader="none"/>
              <w:tab w:pos="1589" w:val="left" w:leader="none"/>
              <w:tab w:pos="9356" w:val="left" w:leader="dot"/>
            </w:tabs>
            <w:spacing w:line="240" w:lineRule="auto" w:before="122" w:after="0"/>
            <w:ind w:left="1588" w:right="0" w:hanging="720"/>
            <w:jc w:val="left"/>
          </w:pPr>
          <w:hyperlink w:history="true" w:anchor="_bookmark62">
            <w:r>
              <w:rPr/>
              <w:t>Introduction</w:t>
              <w:tab/>
              <w:t>33</w:t>
            </w:r>
          </w:hyperlink>
        </w:p>
        <w:p>
          <w:pPr>
            <w:pStyle w:val="TOC1"/>
            <w:numPr>
              <w:ilvl w:val="1"/>
              <w:numId w:val="1"/>
            </w:numPr>
            <w:tabs>
              <w:tab w:pos="1588" w:val="left" w:leader="none"/>
              <w:tab w:pos="1589" w:val="left" w:leader="none"/>
              <w:tab w:pos="9356" w:val="left" w:leader="dot"/>
            </w:tabs>
            <w:spacing w:line="240" w:lineRule="auto" w:before="59" w:after="0"/>
            <w:ind w:left="1588" w:right="0" w:hanging="720"/>
            <w:jc w:val="left"/>
          </w:pPr>
          <w:hyperlink w:history="true" w:anchor="_bookmark63">
            <w:r>
              <w:rPr/>
              <w:t>Stakeholder Identification</w:t>
            </w:r>
            <w:r>
              <w:rPr>
                <w:spacing w:val="-6"/>
              </w:rPr>
              <w:t> </w:t>
            </w:r>
            <w:r>
              <w:rPr/>
              <w:t>and</w:t>
            </w:r>
            <w:r>
              <w:rPr>
                <w:spacing w:val="-3"/>
              </w:rPr>
              <w:t> </w:t>
            </w:r>
            <w:r>
              <w:rPr/>
              <w:t>Analysis</w:t>
              <w:tab/>
              <w:t>33</w:t>
            </w:r>
          </w:hyperlink>
        </w:p>
        <w:p>
          <w:pPr>
            <w:pStyle w:val="TOC1"/>
            <w:numPr>
              <w:ilvl w:val="1"/>
              <w:numId w:val="1"/>
            </w:numPr>
            <w:tabs>
              <w:tab w:pos="1588" w:val="left" w:leader="none"/>
              <w:tab w:pos="1589" w:val="left" w:leader="none"/>
              <w:tab w:pos="9356" w:val="left" w:leader="dot"/>
            </w:tabs>
            <w:spacing w:line="240" w:lineRule="auto" w:before="61" w:after="0"/>
            <w:ind w:left="1588" w:right="0" w:hanging="720"/>
            <w:jc w:val="left"/>
          </w:pPr>
          <w:hyperlink w:history="true" w:anchor="_bookmark64">
            <w:r>
              <w:rPr/>
              <w:t>Summary of Consultation</w:t>
            </w:r>
            <w:r>
              <w:rPr>
                <w:spacing w:val="-5"/>
              </w:rPr>
              <w:t> </w:t>
            </w:r>
            <w:r>
              <w:rPr/>
              <w:t>with</w:t>
            </w:r>
            <w:r>
              <w:rPr>
                <w:spacing w:val="-3"/>
              </w:rPr>
              <w:t> </w:t>
            </w:r>
            <w:r>
              <w:rPr/>
              <w:t>PAPs</w:t>
              <w:tab/>
              <w:t>33</w:t>
            </w:r>
          </w:hyperlink>
        </w:p>
        <w:p>
          <w:pPr>
            <w:pStyle w:val="TOC1"/>
            <w:numPr>
              <w:ilvl w:val="1"/>
              <w:numId w:val="1"/>
            </w:numPr>
            <w:tabs>
              <w:tab w:pos="1588" w:val="left" w:leader="none"/>
              <w:tab w:pos="1589" w:val="left" w:leader="none"/>
              <w:tab w:pos="9356" w:val="left" w:leader="dot"/>
            </w:tabs>
            <w:spacing w:line="240" w:lineRule="auto" w:before="58" w:after="0"/>
            <w:ind w:left="1588" w:right="0" w:hanging="720"/>
            <w:jc w:val="left"/>
          </w:pPr>
          <w:hyperlink w:history="true" w:anchor="_bookmark65">
            <w:r>
              <w:rPr/>
              <w:t>Issues and</w:t>
            </w:r>
            <w:r>
              <w:rPr>
                <w:spacing w:val="-3"/>
              </w:rPr>
              <w:t> </w:t>
            </w:r>
            <w:r>
              <w:rPr/>
              <w:t>Concerns Expressed</w:t>
              <w:tab/>
              <w:t>33</w:t>
            </w:r>
          </w:hyperlink>
        </w:p>
        <w:p>
          <w:pPr>
            <w:pStyle w:val="TOC1"/>
            <w:numPr>
              <w:ilvl w:val="1"/>
              <w:numId w:val="1"/>
            </w:numPr>
            <w:tabs>
              <w:tab w:pos="1588" w:val="left" w:leader="none"/>
              <w:tab w:pos="1589" w:val="left" w:leader="none"/>
              <w:tab w:pos="9356" w:val="left" w:leader="dot"/>
            </w:tabs>
            <w:spacing w:line="240" w:lineRule="auto" w:before="60" w:after="0"/>
            <w:ind w:left="1588" w:right="0" w:hanging="720"/>
            <w:jc w:val="left"/>
          </w:pPr>
          <w:hyperlink w:history="true" w:anchor="_bookmark67">
            <w:r>
              <w:rPr/>
              <w:t>C&amp;LRP disclosure</w:t>
            </w:r>
            <w:r>
              <w:rPr>
                <w:spacing w:val="-2"/>
              </w:rPr>
              <w:t> </w:t>
            </w:r>
            <w:r>
              <w:rPr/>
              <w:t>and</w:t>
            </w:r>
            <w:r>
              <w:rPr>
                <w:spacing w:val="-1"/>
              </w:rPr>
              <w:t> </w:t>
            </w:r>
            <w:r>
              <w:rPr/>
              <w:t>dissemination</w:t>
              <w:tab/>
              <w:t>35</w:t>
            </w:r>
          </w:hyperlink>
        </w:p>
        <w:p>
          <w:pPr>
            <w:pStyle w:val="TOC1"/>
            <w:numPr>
              <w:ilvl w:val="1"/>
              <w:numId w:val="1"/>
            </w:numPr>
            <w:tabs>
              <w:tab w:pos="1588" w:val="left" w:leader="none"/>
              <w:tab w:pos="1589" w:val="left" w:leader="none"/>
              <w:tab w:pos="9356" w:val="left" w:leader="dot"/>
            </w:tabs>
            <w:spacing w:line="240" w:lineRule="auto" w:before="58" w:after="0"/>
            <w:ind w:left="1588" w:right="0" w:hanging="720"/>
            <w:jc w:val="left"/>
          </w:pPr>
          <w:hyperlink w:history="true" w:anchor="_bookmark68">
            <w:r>
              <w:rPr/>
              <w:t>Stakeholders Consultation during Project</w:t>
            </w:r>
            <w:r>
              <w:rPr>
                <w:spacing w:val="-9"/>
              </w:rPr>
              <w:t> </w:t>
            </w:r>
            <w:r>
              <w:rPr/>
              <w:t>Implementation</w:t>
            </w:r>
            <w:r>
              <w:rPr>
                <w:spacing w:val="-3"/>
              </w:rPr>
              <w:t> </w:t>
            </w:r>
            <w:r>
              <w:rPr/>
              <w:t>Phase</w:t>
              <w:tab/>
              <w:t>35</w:t>
            </w:r>
          </w:hyperlink>
        </w:p>
        <w:p>
          <w:pPr>
            <w:pStyle w:val="TOC1"/>
            <w:numPr>
              <w:ilvl w:val="0"/>
              <w:numId w:val="1"/>
            </w:numPr>
            <w:tabs>
              <w:tab w:pos="1319" w:val="left" w:leader="none"/>
              <w:tab w:pos="1320" w:val="left" w:leader="none"/>
              <w:tab w:pos="9356" w:val="left" w:leader="dot"/>
            </w:tabs>
            <w:spacing w:line="240" w:lineRule="auto" w:before="118" w:after="0"/>
            <w:ind w:left="1319" w:right="0" w:hanging="451"/>
            <w:jc w:val="left"/>
          </w:pPr>
          <w:hyperlink w:history="true" w:anchor="_bookmark69">
            <w:r>
              <w:rPr/>
              <w:t>INSTITUTIONAL</w:t>
            </w:r>
            <w:r>
              <w:rPr>
                <w:spacing w:val="-5"/>
              </w:rPr>
              <w:t> </w:t>
            </w:r>
            <w:r>
              <w:rPr/>
              <w:t>ARRANGMENTS</w:t>
              <w:tab/>
              <w:t>37</w:t>
            </w:r>
          </w:hyperlink>
        </w:p>
        <w:p>
          <w:pPr>
            <w:pStyle w:val="TOC1"/>
            <w:numPr>
              <w:ilvl w:val="1"/>
              <w:numId w:val="1"/>
            </w:numPr>
            <w:tabs>
              <w:tab w:pos="1588" w:val="left" w:leader="none"/>
              <w:tab w:pos="1589" w:val="left" w:leader="none"/>
              <w:tab w:pos="9356" w:val="left" w:leader="dot"/>
            </w:tabs>
            <w:spacing w:line="240" w:lineRule="auto" w:before="120" w:after="0"/>
            <w:ind w:left="1588" w:right="0" w:hanging="720"/>
            <w:jc w:val="left"/>
          </w:pPr>
          <w:hyperlink w:history="true" w:anchor="_bookmark70">
            <w:r>
              <w:rPr/>
              <w:t>Overview</w:t>
              <w:tab/>
              <w:t>37</w:t>
            </w:r>
          </w:hyperlink>
        </w:p>
        <w:p>
          <w:pPr>
            <w:pStyle w:val="TOC1"/>
            <w:numPr>
              <w:ilvl w:val="1"/>
              <w:numId w:val="1"/>
            </w:numPr>
            <w:tabs>
              <w:tab w:pos="1588" w:val="left" w:leader="none"/>
              <w:tab w:pos="1589" w:val="left" w:leader="none"/>
              <w:tab w:pos="9356" w:val="left" w:leader="dot"/>
            </w:tabs>
            <w:spacing w:line="240" w:lineRule="auto" w:before="58" w:after="0"/>
            <w:ind w:left="1588" w:right="0" w:hanging="720"/>
            <w:jc w:val="left"/>
          </w:pPr>
          <w:hyperlink w:history="true" w:anchor="_bookmark71">
            <w:r>
              <w:rPr/>
              <w:t>Institutional Roles</w:t>
            </w:r>
            <w:r>
              <w:rPr>
                <w:spacing w:val="-6"/>
              </w:rPr>
              <w:t> </w:t>
            </w:r>
            <w:r>
              <w:rPr/>
              <w:t>and</w:t>
            </w:r>
            <w:r>
              <w:rPr>
                <w:spacing w:val="-5"/>
              </w:rPr>
              <w:t> </w:t>
            </w:r>
            <w:r>
              <w:rPr/>
              <w:t>Responsibilities</w:t>
              <w:tab/>
              <w:t>37</w:t>
            </w:r>
          </w:hyperlink>
        </w:p>
        <w:p>
          <w:pPr>
            <w:pStyle w:val="TOC2"/>
            <w:numPr>
              <w:ilvl w:val="2"/>
              <w:numId w:val="1"/>
            </w:numPr>
            <w:tabs>
              <w:tab w:pos="2488" w:val="left" w:leader="none"/>
              <w:tab w:pos="2489" w:val="left" w:leader="none"/>
              <w:tab w:pos="9356" w:val="left" w:leader="dot"/>
            </w:tabs>
            <w:spacing w:line="240" w:lineRule="auto" w:before="61" w:after="0"/>
            <w:ind w:left="2488" w:right="0" w:hanging="900"/>
            <w:jc w:val="left"/>
          </w:pPr>
          <w:hyperlink w:history="true" w:anchor="_bookmark72">
            <w:r>
              <w:rPr/>
              <w:t>SMTA</w:t>
              <w:tab/>
              <w:t>37</w:t>
            </w:r>
          </w:hyperlink>
        </w:p>
        <w:p>
          <w:pPr>
            <w:pStyle w:val="TOC2"/>
            <w:numPr>
              <w:ilvl w:val="2"/>
              <w:numId w:val="1"/>
            </w:numPr>
            <w:tabs>
              <w:tab w:pos="2488" w:val="left" w:leader="none"/>
              <w:tab w:pos="2489" w:val="left" w:leader="none"/>
              <w:tab w:pos="9356" w:val="left" w:leader="dot"/>
            </w:tabs>
            <w:spacing w:line="240" w:lineRule="auto" w:before="59" w:after="0"/>
            <w:ind w:left="2488" w:right="0" w:hanging="900"/>
            <w:jc w:val="left"/>
          </w:pPr>
          <w:hyperlink w:history="true" w:anchor="_bookmark73">
            <w:r>
              <w:rPr/>
              <w:t>Roles of</w:t>
            </w:r>
            <w:r>
              <w:rPr>
                <w:spacing w:val="-2"/>
              </w:rPr>
              <w:t> </w:t>
            </w:r>
            <w:r>
              <w:rPr/>
              <w:t>the</w:t>
            </w:r>
            <w:r>
              <w:rPr>
                <w:spacing w:val="-2"/>
              </w:rPr>
              <w:t> </w:t>
            </w:r>
            <w:r>
              <w:rPr/>
              <w:t>Contractor</w:t>
              <w:tab/>
              <w:t>38</w:t>
            </w:r>
          </w:hyperlink>
        </w:p>
        <w:p>
          <w:pPr>
            <w:pStyle w:val="TOC2"/>
            <w:numPr>
              <w:ilvl w:val="2"/>
              <w:numId w:val="1"/>
            </w:numPr>
            <w:tabs>
              <w:tab w:pos="2488" w:val="left" w:leader="none"/>
              <w:tab w:pos="2489" w:val="left" w:leader="none"/>
              <w:tab w:pos="9356" w:val="left" w:leader="dot"/>
            </w:tabs>
            <w:spacing w:line="240" w:lineRule="auto" w:before="59" w:after="0"/>
            <w:ind w:left="2488" w:right="0" w:hanging="900"/>
            <w:jc w:val="left"/>
          </w:pPr>
          <w:hyperlink w:history="true" w:anchor="_bookmark74">
            <w:r>
              <w:rPr/>
              <w:t>Independent Monitoring</w:t>
            </w:r>
            <w:r>
              <w:rPr>
                <w:spacing w:val="-4"/>
              </w:rPr>
              <w:t> </w:t>
            </w:r>
            <w:r>
              <w:rPr/>
              <w:t>Agency</w:t>
            </w:r>
            <w:r>
              <w:rPr>
                <w:spacing w:val="-4"/>
              </w:rPr>
              <w:t> </w:t>
            </w:r>
            <w:r>
              <w:rPr/>
              <w:t>(IMA)</w:t>
              <w:tab/>
              <w:t>38</w:t>
            </w:r>
          </w:hyperlink>
        </w:p>
        <w:p>
          <w:pPr>
            <w:pStyle w:val="TOC1"/>
            <w:numPr>
              <w:ilvl w:val="0"/>
              <w:numId w:val="1"/>
            </w:numPr>
            <w:tabs>
              <w:tab w:pos="1319" w:val="left" w:leader="none"/>
              <w:tab w:pos="1320" w:val="left" w:leader="none"/>
              <w:tab w:pos="9356" w:val="left" w:leader="dot"/>
            </w:tabs>
            <w:spacing w:line="240" w:lineRule="auto" w:before="121" w:after="0"/>
            <w:ind w:left="1319" w:right="0" w:hanging="451"/>
            <w:jc w:val="left"/>
          </w:pPr>
          <w:hyperlink w:history="true" w:anchor="_bookmark75">
            <w:r>
              <w:rPr/>
              <w:t>GRIEVANCE REDRESS</w:t>
            </w:r>
            <w:r>
              <w:rPr>
                <w:spacing w:val="-5"/>
              </w:rPr>
              <w:t> </w:t>
            </w:r>
            <w:r>
              <w:rPr/>
              <w:t>MECHANISM</w:t>
            </w:r>
            <w:r>
              <w:rPr>
                <w:spacing w:val="-7"/>
              </w:rPr>
              <w:t> </w:t>
            </w:r>
            <w:r>
              <w:rPr/>
              <w:t>(GRM)</w:t>
              <w:tab/>
              <w:t>39</w:t>
            </w:r>
          </w:hyperlink>
        </w:p>
        <w:p>
          <w:pPr>
            <w:pStyle w:val="TOC1"/>
            <w:numPr>
              <w:ilvl w:val="1"/>
              <w:numId w:val="1"/>
            </w:numPr>
            <w:tabs>
              <w:tab w:pos="1588" w:val="left" w:leader="none"/>
              <w:tab w:pos="1589" w:val="left" w:leader="none"/>
              <w:tab w:pos="9356" w:val="left" w:leader="dot"/>
            </w:tabs>
            <w:spacing w:line="240" w:lineRule="auto" w:before="119" w:after="0"/>
            <w:ind w:left="1588" w:right="0" w:hanging="720"/>
            <w:jc w:val="left"/>
          </w:pPr>
          <w:hyperlink w:history="true" w:anchor="_bookmark76">
            <w:r>
              <w:rPr/>
              <w:t>Overview</w:t>
              <w:tab/>
              <w:t>39</w:t>
            </w:r>
          </w:hyperlink>
        </w:p>
        <w:p>
          <w:pPr>
            <w:pStyle w:val="TOC1"/>
            <w:numPr>
              <w:ilvl w:val="1"/>
              <w:numId w:val="1"/>
            </w:numPr>
            <w:tabs>
              <w:tab w:pos="1588" w:val="left" w:leader="none"/>
              <w:tab w:pos="1589" w:val="left" w:leader="none"/>
              <w:tab w:pos="9356" w:val="left" w:leader="dot"/>
            </w:tabs>
            <w:spacing w:line="240" w:lineRule="auto" w:before="61" w:after="0"/>
            <w:ind w:left="1588" w:right="0" w:hanging="720"/>
            <w:jc w:val="left"/>
          </w:pPr>
          <w:hyperlink w:history="true" w:anchor="_bookmark77">
            <w:r>
              <w:rPr/>
              <w:t>Grievance</w:t>
            </w:r>
            <w:r>
              <w:rPr>
                <w:spacing w:val="-1"/>
              </w:rPr>
              <w:t> </w:t>
            </w:r>
            <w:r>
              <w:rPr/>
              <w:t>Redress</w:t>
            </w:r>
            <w:r>
              <w:rPr>
                <w:spacing w:val="-3"/>
              </w:rPr>
              <w:t> </w:t>
            </w:r>
            <w:r>
              <w:rPr/>
              <w:t>Committee</w:t>
              <w:tab/>
              <w:t>39</w:t>
            </w:r>
          </w:hyperlink>
        </w:p>
        <w:p>
          <w:pPr>
            <w:pStyle w:val="TOC1"/>
            <w:numPr>
              <w:ilvl w:val="0"/>
              <w:numId w:val="1"/>
            </w:numPr>
            <w:tabs>
              <w:tab w:pos="1319" w:val="left" w:leader="none"/>
              <w:tab w:pos="1320" w:val="left" w:leader="none"/>
              <w:tab w:pos="9356" w:val="left" w:leader="dot"/>
            </w:tabs>
            <w:spacing w:line="240" w:lineRule="auto" w:before="118" w:after="0"/>
            <w:ind w:left="1319" w:right="0" w:hanging="451"/>
            <w:jc w:val="left"/>
          </w:pPr>
          <w:hyperlink w:history="true" w:anchor="_bookmark79">
            <w:r>
              <w:rPr/>
              <w:t>COMPENSATION AND</w:t>
            </w:r>
            <w:r>
              <w:rPr>
                <w:spacing w:val="-6"/>
              </w:rPr>
              <w:t> </w:t>
            </w:r>
            <w:r>
              <w:rPr/>
              <w:t>LIVELIHOOD</w:t>
            </w:r>
            <w:r>
              <w:rPr>
                <w:spacing w:val="-2"/>
              </w:rPr>
              <w:t> </w:t>
            </w:r>
            <w:r>
              <w:rPr/>
              <w:t>RESTORATION</w:t>
              <w:tab/>
              <w:t>41</w:t>
            </w:r>
          </w:hyperlink>
        </w:p>
        <w:p>
          <w:pPr>
            <w:pStyle w:val="TOC1"/>
            <w:numPr>
              <w:ilvl w:val="1"/>
              <w:numId w:val="1"/>
            </w:numPr>
            <w:tabs>
              <w:tab w:pos="1588" w:val="left" w:leader="none"/>
              <w:tab w:pos="1589" w:val="left" w:leader="none"/>
              <w:tab w:pos="9356" w:val="left" w:leader="dot"/>
            </w:tabs>
            <w:spacing w:line="240" w:lineRule="auto" w:before="118" w:after="0"/>
            <w:ind w:left="1588" w:right="0" w:hanging="720"/>
            <w:jc w:val="left"/>
          </w:pPr>
          <w:hyperlink w:history="true" w:anchor="_bookmark80">
            <w:r>
              <w:rPr/>
              <w:t>Income</w:t>
            </w:r>
            <w:r>
              <w:rPr>
                <w:spacing w:val="-3"/>
              </w:rPr>
              <w:t> </w:t>
            </w:r>
            <w:r>
              <w:rPr/>
              <w:t>Restoration</w:t>
              <w:tab/>
              <w:t>41</w:t>
            </w:r>
          </w:hyperlink>
        </w:p>
        <w:p>
          <w:pPr>
            <w:pStyle w:val="TOC1"/>
            <w:numPr>
              <w:ilvl w:val="1"/>
              <w:numId w:val="1"/>
            </w:numPr>
            <w:tabs>
              <w:tab w:pos="1588" w:val="left" w:leader="none"/>
              <w:tab w:pos="1589" w:val="left" w:leader="none"/>
              <w:tab w:pos="9356" w:val="left" w:leader="dot"/>
            </w:tabs>
            <w:spacing w:line="240" w:lineRule="auto" w:before="61" w:after="0"/>
            <w:ind w:left="1588" w:right="0" w:hanging="720"/>
            <w:jc w:val="left"/>
          </w:pPr>
          <w:hyperlink w:history="true" w:anchor="_bookmark81">
            <w:r>
              <w:rPr/>
              <w:t>Income</w:t>
            </w:r>
            <w:r>
              <w:rPr>
                <w:spacing w:val="-2"/>
              </w:rPr>
              <w:t> </w:t>
            </w:r>
            <w:r>
              <w:rPr/>
              <w:t>Restoration</w:t>
            </w:r>
            <w:r>
              <w:rPr>
                <w:spacing w:val="-2"/>
              </w:rPr>
              <w:t> </w:t>
            </w:r>
            <w:r>
              <w:rPr/>
              <w:t>Measures</w:t>
              <w:tab/>
              <w:t>41</w:t>
            </w:r>
          </w:hyperlink>
        </w:p>
        <w:p>
          <w:pPr>
            <w:pStyle w:val="TOC2"/>
            <w:numPr>
              <w:ilvl w:val="2"/>
              <w:numId w:val="1"/>
            </w:numPr>
            <w:tabs>
              <w:tab w:pos="2488" w:val="left" w:leader="none"/>
              <w:tab w:pos="2489" w:val="left" w:leader="none"/>
              <w:tab w:pos="9356" w:val="left" w:leader="dot"/>
            </w:tabs>
            <w:spacing w:line="240" w:lineRule="auto" w:before="59" w:after="0"/>
            <w:ind w:left="2488" w:right="0" w:hanging="900"/>
            <w:jc w:val="left"/>
          </w:pPr>
          <w:hyperlink w:history="true" w:anchor="_bookmark82">
            <w:r>
              <w:rPr/>
              <w:t>Uninterrupted access to resources and means</w:t>
            </w:r>
            <w:r>
              <w:rPr>
                <w:spacing w:val="-16"/>
              </w:rPr>
              <w:t> </w:t>
            </w:r>
            <w:r>
              <w:rPr/>
              <w:t>of</w:t>
            </w:r>
            <w:r>
              <w:rPr>
                <w:spacing w:val="-2"/>
              </w:rPr>
              <w:t> </w:t>
            </w:r>
            <w:r>
              <w:rPr/>
              <w:t>livelihood</w:t>
              <w:tab/>
              <w:t>41</w:t>
            </w:r>
          </w:hyperlink>
        </w:p>
        <w:p>
          <w:pPr>
            <w:pStyle w:val="TOC2"/>
            <w:numPr>
              <w:ilvl w:val="2"/>
              <w:numId w:val="1"/>
            </w:numPr>
            <w:tabs>
              <w:tab w:pos="2488" w:val="left" w:leader="none"/>
              <w:tab w:pos="2489" w:val="left" w:leader="none"/>
              <w:tab w:pos="9356" w:val="left" w:leader="dot"/>
            </w:tabs>
            <w:spacing w:line="240" w:lineRule="auto" w:before="61" w:after="0"/>
            <w:ind w:left="2488" w:right="0" w:hanging="900"/>
            <w:jc w:val="left"/>
          </w:pPr>
          <w:hyperlink w:history="true" w:anchor="_bookmark83">
            <w:r>
              <w:rPr/>
              <w:t>Business Loss</w:t>
              <w:tab/>
              <w:t>41</w:t>
            </w:r>
          </w:hyperlink>
        </w:p>
        <w:p>
          <w:pPr>
            <w:pStyle w:val="TOC2"/>
            <w:numPr>
              <w:ilvl w:val="2"/>
              <w:numId w:val="1"/>
            </w:numPr>
            <w:tabs>
              <w:tab w:pos="2488" w:val="left" w:leader="none"/>
              <w:tab w:pos="2489" w:val="left" w:leader="none"/>
              <w:tab w:pos="9356" w:val="left" w:leader="dot"/>
            </w:tabs>
            <w:spacing w:line="240" w:lineRule="auto" w:before="58" w:after="0"/>
            <w:ind w:left="2488" w:right="0" w:hanging="900"/>
            <w:jc w:val="left"/>
          </w:pPr>
          <w:hyperlink w:history="true" w:anchor="_bookmark84">
            <w:r>
              <w:rPr/>
              <w:t>Employment</w:t>
            </w:r>
            <w:r>
              <w:rPr>
                <w:spacing w:val="1"/>
              </w:rPr>
              <w:t> </w:t>
            </w:r>
            <w:r>
              <w:rPr/>
              <w:t>Loss</w:t>
              <w:tab/>
              <w:t>41</w:t>
            </w:r>
          </w:hyperlink>
        </w:p>
        <w:p>
          <w:pPr>
            <w:pStyle w:val="TOC2"/>
            <w:numPr>
              <w:ilvl w:val="2"/>
              <w:numId w:val="1"/>
            </w:numPr>
            <w:tabs>
              <w:tab w:pos="2488" w:val="left" w:leader="none"/>
              <w:tab w:pos="2489" w:val="left" w:leader="none"/>
              <w:tab w:pos="9356" w:val="left" w:leader="dot"/>
            </w:tabs>
            <w:spacing w:line="240" w:lineRule="auto" w:before="58" w:after="0"/>
            <w:ind w:left="2488" w:right="0" w:hanging="900"/>
            <w:jc w:val="left"/>
          </w:pPr>
          <w:hyperlink w:history="true" w:anchor="_bookmark85">
            <w:r>
              <w:rPr/>
              <w:t>Special Provisions for</w:t>
            </w:r>
            <w:r>
              <w:rPr>
                <w:spacing w:val="-6"/>
              </w:rPr>
              <w:t> </w:t>
            </w:r>
            <w:r>
              <w:rPr/>
              <w:t>Vulnerable</w:t>
            </w:r>
            <w:r>
              <w:rPr>
                <w:spacing w:val="-3"/>
              </w:rPr>
              <w:t> </w:t>
            </w:r>
            <w:r>
              <w:rPr/>
              <w:t>PAPs</w:t>
              <w:tab/>
              <w:t>41</w:t>
            </w:r>
          </w:hyperlink>
        </w:p>
        <w:p>
          <w:pPr>
            <w:pStyle w:val="TOC2"/>
            <w:numPr>
              <w:ilvl w:val="2"/>
              <w:numId w:val="1"/>
            </w:numPr>
            <w:tabs>
              <w:tab w:pos="2488" w:val="left" w:leader="none"/>
              <w:tab w:pos="2489" w:val="left" w:leader="none"/>
              <w:tab w:pos="9356" w:val="left" w:leader="dot"/>
            </w:tabs>
            <w:spacing w:line="240" w:lineRule="auto" w:before="61" w:after="0"/>
            <w:ind w:left="2488" w:right="0" w:hanging="900"/>
            <w:jc w:val="left"/>
          </w:pPr>
          <w:hyperlink w:history="true" w:anchor="_bookmark86">
            <w:r>
              <w:rPr/>
              <w:t>Public Services</w:t>
            </w:r>
            <w:r>
              <w:rPr>
                <w:spacing w:val="-3"/>
              </w:rPr>
              <w:t> </w:t>
            </w:r>
            <w:r>
              <w:rPr/>
              <w:t>and</w:t>
            </w:r>
            <w:r>
              <w:rPr>
                <w:spacing w:val="-2"/>
              </w:rPr>
              <w:t> </w:t>
            </w:r>
            <w:r>
              <w:rPr/>
              <w:t>Facilities</w:t>
              <w:tab/>
              <w:t>42</w:t>
            </w:r>
          </w:hyperlink>
        </w:p>
        <w:p>
          <w:pPr>
            <w:pStyle w:val="TOC1"/>
            <w:numPr>
              <w:ilvl w:val="1"/>
              <w:numId w:val="1"/>
            </w:numPr>
            <w:tabs>
              <w:tab w:pos="1588" w:val="left" w:leader="none"/>
              <w:tab w:pos="1589" w:val="left" w:leader="none"/>
              <w:tab w:pos="9356" w:val="left" w:leader="dot"/>
            </w:tabs>
            <w:spacing w:line="240" w:lineRule="auto" w:before="58" w:after="0"/>
            <w:ind w:left="1588" w:right="0" w:hanging="720"/>
            <w:jc w:val="left"/>
          </w:pPr>
          <w:hyperlink w:history="true" w:anchor="_bookmark87">
            <w:r>
              <w:rPr/>
              <w:t>Livelihood Restoration and</w:t>
            </w:r>
            <w:r>
              <w:rPr>
                <w:spacing w:val="-7"/>
              </w:rPr>
              <w:t> </w:t>
            </w:r>
            <w:r>
              <w:rPr/>
              <w:t>Enhancement</w:t>
            </w:r>
            <w:r>
              <w:rPr>
                <w:spacing w:val="-1"/>
              </w:rPr>
              <w:t> </w:t>
            </w:r>
            <w:r>
              <w:rPr/>
              <w:t>Programs</w:t>
              <w:tab/>
              <w:t>42</w:t>
            </w:r>
          </w:hyperlink>
        </w:p>
        <w:p>
          <w:pPr>
            <w:pStyle w:val="TOC2"/>
            <w:numPr>
              <w:ilvl w:val="2"/>
              <w:numId w:val="1"/>
            </w:numPr>
            <w:tabs>
              <w:tab w:pos="2488" w:val="left" w:leader="none"/>
              <w:tab w:pos="2489" w:val="left" w:leader="none"/>
              <w:tab w:pos="9356" w:val="left" w:leader="dot"/>
            </w:tabs>
            <w:spacing w:line="240" w:lineRule="auto" w:before="61" w:after="0"/>
            <w:ind w:left="2488" w:right="0" w:hanging="900"/>
            <w:jc w:val="left"/>
          </w:pPr>
          <w:hyperlink w:history="true" w:anchor="_bookmark88">
            <w:r>
              <w:rPr/>
              <w:t>Financial Management</w:t>
            </w:r>
            <w:r>
              <w:rPr>
                <w:spacing w:val="-4"/>
              </w:rPr>
              <w:t> </w:t>
            </w:r>
            <w:r>
              <w:rPr/>
              <w:t>Training</w:t>
            </w:r>
            <w:r>
              <w:rPr>
                <w:spacing w:val="-1"/>
              </w:rPr>
              <w:t> </w:t>
            </w:r>
            <w:r>
              <w:rPr/>
              <w:t>Program</w:t>
              <w:tab/>
              <w:t>42</w:t>
            </w:r>
          </w:hyperlink>
        </w:p>
        <w:p>
          <w:pPr>
            <w:pStyle w:val="TOC2"/>
            <w:numPr>
              <w:ilvl w:val="2"/>
              <w:numId w:val="1"/>
            </w:numPr>
            <w:tabs>
              <w:tab w:pos="2488" w:val="left" w:leader="none"/>
              <w:tab w:pos="2489" w:val="left" w:leader="none"/>
              <w:tab w:pos="9356" w:val="left" w:leader="dot"/>
            </w:tabs>
            <w:spacing w:line="240" w:lineRule="auto" w:before="59" w:after="0"/>
            <w:ind w:left="2488" w:right="0" w:hanging="900"/>
            <w:jc w:val="left"/>
          </w:pPr>
          <w:hyperlink w:history="true" w:anchor="_bookmark89">
            <w:r>
              <w:rPr/>
              <w:t>Livelihood</w:t>
            </w:r>
            <w:r>
              <w:rPr>
                <w:spacing w:val="-2"/>
              </w:rPr>
              <w:t> </w:t>
            </w:r>
            <w:r>
              <w:rPr/>
              <w:t>Improvement</w:t>
            </w:r>
            <w:r>
              <w:rPr>
                <w:spacing w:val="-3"/>
              </w:rPr>
              <w:t> </w:t>
            </w:r>
            <w:r>
              <w:rPr/>
              <w:t>Program</w:t>
              <w:tab/>
              <w:t>42</w:t>
            </w:r>
          </w:hyperlink>
        </w:p>
        <w:p>
          <w:pPr>
            <w:pStyle w:val="TOC1"/>
            <w:numPr>
              <w:ilvl w:val="0"/>
              <w:numId w:val="1"/>
            </w:numPr>
            <w:tabs>
              <w:tab w:pos="1319" w:val="left" w:leader="none"/>
              <w:tab w:pos="1320" w:val="left" w:leader="none"/>
              <w:tab w:pos="9356" w:val="left" w:leader="dot"/>
            </w:tabs>
            <w:spacing w:line="240" w:lineRule="auto" w:before="119" w:after="0"/>
            <w:ind w:left="1319" w:right="0" w:hanging="451"/>
            <w:jc w:val="left"/>
          </w:pPr>
          <w:hyperlink w:history="true" w:anchor="_bookmark90">
            <w:r>
              <w:rPr/>
              <w:t>FINANCING, BUDGET</w:t>
            </w:r>
            <w:r>
              <w:rPr>
                <w:spacing w:val="-7"/>
              </w:rPr>
              <w:t> </w:t>
            </w:r>
            <w:r>
              <w:rPr/>
              <w:t>AND</w:t>
            </w:r>
            <w:r>
              <w:rPr>
                <w:spacing w:val="-3"/>
              </w:rPr>
              <w:t> </w:t>
            </w:r>
            <w:r>
              <w:rPr/>
              <w:t>IMPLEMENTATION</w:t>
              <w:tab/>
              <w:t>43</w:t>
            </w:r>
          </w:hyperlink>
        </w:p>
        <w:p>
          <w:pPr>
            <w:pStyle w:val="TOC1"/>
            <w:numPr>
              <w:ilvl w:val="1"/>
              <w:numId w:val="1"/>
            </w:numPr>
            <w:tabs>
              <w:tab w:pos="1588" w:val="left" w:leader="none"/>
              <w:tab w:pos="1589" w:val="left" w:leader="none"/>
              <w:tab w:pos="9356" w:val="left" w:leader="dot"/>
            </w:tabs>
            <w:spacing w:line="240" w:lineRule="auto" w:before="121" w:after="0"/>
            <w:ind w:left="1588" w:right="0" w:hanging="720"/>
            <w:jc w:val="left"/>
          </w:pPr>
          <w:hyperlink w:history="true" w:anchor="_bookmark91">
            <w:r>
              <w:rPr/>
              <w:t>C&amp;LRP Cost estimation</w:t>
            </w:r>
            <w:r>
              <w:rPr>
                <w:spacing w:val="-8"/>
              </w:rPr>
              <w:t> </w:t>
            </w:r>
            <w:r>
              <w:rPr/>
              <w:t>and</w:t>
            </w:r>
            <w:r>
              <w:rPr>
                <w:spacing w:val="-2"/>
              </w:rPr>
              <w:t> </w:t>
            </w:r>
            <w:r>
              <w:rPr/>
              <w:t>Budgeting</w:t>
              <w:tab/>
              <w:t>43</w:t>
            </w:r>
          </w:hyperlink>
        </w:p>
        <w:p>
          <w:pPr>
            <w:pStyle w:val="TOC1"/>
            <w:numPr>
              <w:ilvl w:val="1"/>
              <w:numId w:val="1"/>
            </w:numPr>
            <w:tabs>
              <w:tab w:pos="1588" w:val="left" w:leader="none"/>
              <w:tab w:pos="1589" w:val="left" w:leader="none"/>
              <w:tab w:pos="9356" w:val="left" w:leader="dot"/>
            </w:tabs>
            <w:spacing w:line="240" w:lineRule="auto" w:before="58" w:after="0"/>
            <w:ind w:left="1588" w:right="0" w:hanging="720"/>
            <w:jc w:val="left"/>
          </w:pPr>
          <w:hyperlink w:history="true" w:anchor="_bookmark95">
            <w:r>
              <w:rPr/>
              <w:t>Compensation</w:t>
            </w:r>
            <w:r>
              <w:rPr>
                <w:spacing w:val="-3"/>
              </w:rPr>
              <w:t> </w:t>
            </w:r>
            <w:r>
              <w:rPr/>
              <w:t>Disbursement</w:t>
              <w:tab/>
              <w:t>44</w:t>
            </w:r>
          </w:hyperlink>
        </w:p>
        <w:p>
          <w:pPr>
            <w:pStyle w:val="TOC1"/>
            <w:numPr>
              <w:ilvl w:val="1"/>
              <w:numId w:val="1"/>
            </w:numPr>
            <w:tabs>
              <w:tab w:pos="1588" w:val="left" w:leader="none"/>
              <w:tab w:pos="1589" w:val="left" w:leader="none"/>
              <w:tab w:pos="9356" w:val="left" w:leader="dot"/>
            </w:tabs>
            <w:spacing w:line="240" w:lineRule="auto" w:before="61" w:after="0"/>
            <w:ind w:left="1588" w:right="0" w:hanging="720"/>
            <w:jc w:val="left"/>
          </w:pPr>
          <w:hyperlink w:history="true" w:anchor="_bookmark96">
            <w:r>
              <w:rPr/>
              <w:t>C&amp;LRP Implementation Schedule and Commencement</w:t>
            </w:r>
            <w:r>
              <w:rPr>
                <w:spacing w:val="-6"/>
              </w:rPr>
              <w:t> </w:t>
            </w:r>
            <w:r>
              <w:rPr/>
              <w:t>of</w:t>
            </w:r>
            <w:r>
              <w:rPr>
                <w:spacing w:val="-4"/>
              </w:rPr>
              <w:t> </w:t>
            </w:r>
            <w:r>
              <w:rPr/>
              <w:t>Works</w:t>
              <w:tab/>
              <w:t>45</w:t>
            </w:r>
          </w:hyperlink>
        </w:p>
        <w:p>
          <w:pPr>
            <w:pStyle w:val="TOC1"/>
            <w:numPr>
              <w:ilvl w:val="0"/>
              <w:numId w:val="1"/>
            </w:numPr>
            <w:tabs>
              <w:tab w:pos="1319" w:val="left" w:leader="none"/>
              <w:tab w:pos="1320" w:val="left" w:leader="none"/>
              <w:tab w:pos="9601" w:val="right" w:leader="dot"/>
            </w:tabs>
            <w:spacing w:line="240" w:lineRule="auto" w:before="874" w:after="0"/>
            <w:ind w:left="1319" w:right="0" w:hanging="451"/>
            <w:jc w:val="left"/>
          </w:pPr>
          <w:hyperlink w:history="true" w:anchor="_bookmark97">
            <w:r>
              <w:rPr/>
              <w:t>MONITORING, EVALUATION</w:t>
            </w:r>
            <w:r>
              <w:rPr>
                <w:spacing w:val="-2"/>
              </w:rPr>
              <w:t> </w:t>
            </w:r>
            <w:r>
              <w:rPr/>
              <w:t>AND</w:t>
            </w:r>
            <w:r>
              <w:rPr>
                <w:spacing w:val="-1"/>
              </w:rPr>
              <w:t> </w:t>
            </w:r>
            <w:r>
              <w:rPr/>
              <w:t>REPORTING</w:t>
              <w:tab/>
              <w:t>46</w:t>
            </w:r>
          </w:hyperlink>
        </w:p>
        <w:p>
          <w:pPr>
            <w:pStyle w:val="TOC1"/>
            <w:numPr>
              <w:ilvl w:val="1"/>
              <w:numId w:val="1"/>
            </w:numPr>
            <w:tabs>
              <w:tab w:pos="1588" w:val="left" w:leader="none"/>
              <w:tab w:pos="1589" w:val="left" w:leader="none"/>
              <w:tab w:pos="9601" w:val="right" w:leader="dot"/>
            </w:tabs>
            <w:spacing w:line="240" w:lineRule="auto" w:before="119" w:after="0"/>
            <w:ind w:left="1588" w:right="0" w:hanging="720"/>
            <w:jc w:val="left"/>
          </w:pPr>
          <w:hyperlink w:history="true" w:anchor="_bookmark98">
            <w:r>
              <w:rPr/>
              <w:t>Overview</w:t>
              <w:tab/>
              <w:t>46</w:t>
            </w:r>
          </w:hyperlink>
        </w:p>
        <w:p>
          <w:pPr>
            <w:pStyle w:val="TOC1"/>
            <w:numPr>
              <w:ilvl w:val="1"/>
              <w:numId w:val="1"/>
            </w:numPr>
            <w:tabs>
              <w:tab w:pos="1588" w:val="left" w:leader="none"/>
              <w:tab w:pos="1589" w:val="left" w:leader="none"/>
              <w:tab w:pos="9601" w:val="right" w:leader="dot"/>
            </w:tabs>
            <w:spacing w:line="240" w:lineRule="auto" w:before="61" w:after="0"/>
            <w:ind w:left="1588" w:right="0" w:hanging="720"/>
            <w:jc w:val="left"/>
          </w:pPr>
          <w:hyperlink w:history="true" w:anchor="_bookmark99">
            <w:r>
              <w:rPr/>
              <w:t>Internal</w:t>
            </w:r>
            <w:r>
              <w:rPr>
                <w:spacing w:val="-1"/>
              </w:rPr>
              <w:t> </w:t>
            </w:r>
            <w:r>
              <w:rPr/>
              <w:t>Monitoring</w:t>
              <w:tab/>
              <w:t>46</w:t>
            </w:r>
          </w:hyperlink>
        </w:p>
        <w:p>
          <w:pPr>
            <w:pStyle w:val="TOC1"/>
            <w:numPr>
              <w:ilvl w:val="1"/>
              <w:numId w:val="1"/>
            </w:numPr>
            <w:tabs>
              <w:tab w:pos="1588" w:val="left" w:leader="none"/>
              <w:tab w:pos="1589" w:val="left" w:leader="none"/>
              <w:tab w:pos="9601" w:val="right" w:leader="dot"/>
            </w:tabs>
            <w:spacing w:line="240" w:lineRule="auto" w:before="58" w:after="0"/>
            <w:ind w:left="1588" w:right="0" w:hanging="720"/>
            <w:jc w:val="left"/>
          </w:pPr>
          <w:hyperlink w:history="true" w:anchor="_bookmark100">
            <w:r>
              <w:rPr/>
              <w:t>External</w:t>
            </w:r>
            <w:r>
              <w:rPr>
                <w:spacing w:val="-2"/>
              </w:rPr>
              <w:t> </w:t>
            </w:r>
            <w:r>
              <w:rPr/>
              <w:t>Monitoring</w:t>
              <w:tab/>
              <w:t>47</w:t>
            </w:r>
          </w:hyperlink>
        </w:p>
        <w:p>
          <w:pPr>
            <w:pStyle w:val="TOC1"/>
            <w:numPr>
              <w:ilvl w:val="1"/>
              <w:numId w:val="1"/>
            </w:numPr>
            <w:tabs>
              <w:tab w:pos="1588" w:val="left" w:leader="none"/>
              <w:tab w:pos="1589" w:val="left" w:leader="none"/>
              <w:tab w:pos="9601" w:val="right" w:leader="dot"/>
            </w:tabs>
            <w:spacing w:line="240" w:lineRule="auto" w:before="61" w:after="0"/>
            <w:ind w:left="1588" w:right="0" w:hanging="720"/>
            <w:jc w:val="left"/>
          </w:pPr>
          <w:hyperlink w:history="true" w:anchor="_bookmark101">
            <w:r>
              <w:rPr/>
              <w:t>Reporting Requirements and Disclosure of</w:t>
            </w:r>
            <w:r>
              <w:rPr>
                <w:spacing w:val="-3"/>
              </w:rPr>
              <w:t> </w:t>
            </w:r>
            <w:r>
              <w:rPr/>
              <w:t>Monitoring</w:t>
            </w:r>
            <w:r>
              <w:rPr>
                <w:spacing w:val="-1"/>
              </w:rPr>
              <w:t> </w:t>
            </w:r>
            <w:r>
              <w:rPr/>
              <w:t>Reports</w:t>
              <w:tab/>
              <w:t>48</w:t>
            </w:r>
          </w:hyperlink>
        </w:p>
        <w:p>
          <w:pPr>
            <w:pStyle w:val="TOC1"/>
            <w:numPr>
              <w:ilvl w:val="1"/>
              <w:numId w:val="1"/>
            </w:numPr>
            <w:tabs>
              <w:tab w:pos="1588" w:val="left" w:leader="none"/>
              <w:tab w:pos="1589" w:val="left" w:leader="none"/>
              <w:tab w:pos="9601" w:val="right" w:leader="dot"/>
            </w:tabs>
            <w:spacing w:line="240" w:lineRule="auto" w:before="59" w:after="0"/>
            <w:ind w:left="1588" w:right="0" w:hanging="720"/>
            <w:jc w:val="left"/>
          </w:pPr>
          <w:hyperlink w:history="true" w:anchor="_bookmark102">
            <w:r>
              <w:rPr/>
              <w:t>Detailed</w:t>
            </w:r>
            <w:r>
              <w:rPr>
                <w:spacing w:val="-1"/>
              </w:rPr>
              <w:t> </w:t>
            </w:r>
            <w:r>
              <w:rPr/>
              <w:t>M&amp;E</w:t>
            </w:r>
            <w:r>
              <w:rPr>
                <w:spacing w:val="-1"/>
              </w:rPr>
              <w:t> </w:t>
            </w:r>
            <w:r>
              <w:rPr/>
              <w:t>Plan</w:t>
              <w:tab/>
              <w:t>48</w:t>
            </w:r>
          </w:hyperlink>
        </w:p>
        <w:p>
          <w:pPr>
            <w:pStyle w:val="TOC1"/>
            <w:numPr>
              <w:ilvl w:val="0"/>
              <w:numId w:val="1"/>
            </w:numPr>
            <w:tabs>
              <w:tab w:pos="1319" w:val="left" w:leader="none"/>
              <w:tab w:pos="1320" w:val="left" w:leader="none"/>
              <w:tab w:pos="9601" w:val="right" w:leader="dot"/>
            </w:tabs>
            <w:spacing w:line="240" w:lineRule="auto" w:before="119" w:after="0"/>
            <w:ind w:left="1319" w:right="0" w:hanging="451"/>
            <w:jc w:val="left"/>
          </w:pPr>
          <w:hyperlink w:history="true" w:anchor="_bookmark103">
            <w:r>
              <w:rPr/>
              <w:t>BIBLIOGRAPHY</w:t>
              <w:tab/>
              <w:t>49</w:t>
            </w:r>
          </w:hyperlink>
        </w:p>
        <w:p>
          <w:pPr>
            <w:pStyle w:val="TOC1"/>
            <w:tabs>
              <w:tab w:pos="9601" w:val="right" w:leader="dot"/>
            </w:tabs>
            <w:ind w:left="868" w:firstLine="0"/>
          </w:pPr>
          <w:hyperlink w:history="true" w:anchor="_bookmark104">
            <w:r>
              <w:rPr/>
              <w:t>Annex-I: SIA- Census Survey of the Project</w:t>
            </w:r>
            <w:r>
              <w:rPr>
                <w:spacing w:val="-2"/>
              </w:rPr>
              <w:t> </w:t>
            </w:r>
            <w:r>
              <w:rPr/>
              <w:t>Impacted</w:t>
            </w:r>
            <w:r>
              <w:rPr>
                <w:spacing w:val="-1"/>
              </w:rPr>
              <w:t> </w:t>
            </w:r>
            <w:r>
              <w:rPr/>
              <w:t>Persons</w:t>
              <w:tab/>
              <w:t>51</w:t>
            </w:r>
          </w:hyperlink>
        </w:p>
        <w:p>
          <w:pPr>
            <w:pStyle w:val="TOC1"/>
            <w:tabs>
              <w:tab w:pos="9601" w:val="right" w:leader="dot"/>
            </w:tabs>
            <w:spacing w:before="118"/>
            <w:ind w:left="868" w:firstLine="0"/>
          </w:pPr>
          <w:hyperlink w:history="true" w:anchor="_bookmark105">
            <w:r>
              <w:rPr/>
              <w:t>Annex-II: List of PAPs with Detail of Affected</w:t>
            </w:r>
            <w:r>
              <w:rPr>
                <w:spacing w:val="-1"/>
              </w:rPr>
              <w:t> </w:t>
            </w:r>
            <w:r>
              <w:rPr/>
              <w:t>Business</w:t>
              <w:tab/>
              <w:t>53</w:t>
            </w:r>
          </w:hyperlink>
        </w:p>
        <w:p>
          <w:pPr>
            <w:pStyle w:val="TOC1"/>
            <w:tabs>
              <w:tab w:pos="9601" w:val="right" w:leader="dot"/>
            </w:tabs>
            <w:ind w:left="868" w:firstLine="0"/>
          </w:pPr>
          <w:hyperlink w:history="true" w:anchor="_bookmark106">
            <w:r>
              <w:rPr/>
              <w:t>Annex-III: Focus Group Discussions with</w:t>
            </w:r>
            <w:r>
              <w:rPr>
                <w:spacing w:val="-5"/>
              </w:rPr>
              <w:t> </w:t>
            </w:r>
            <w:r>
              <w:rPr/>
              <w:t>Communities</w:t>
            </w:r>
            <w:r>
              <w:rPr>
                <w:spacing w:val="-1"/>
              </w:rPr>
              <w:t> </w:t>
            </w:r>
            <w:r>
              <w:rPr/>
              <w:t>(Men)</w:t>
              <w:tab/>
              <w:t>60</w:t>
            </w:r>
          </w:hyperlink>
        </w:p>
        <w:p>
          <w:pPr>
            <w:pStyle w:val="TOC1"/>
            <w:tabs>
              <w:tab w:pos="9601" w:val="right" w:leader="dot"/>
            </w:tabs>
            <w:spacing w:before="119"/>
            <w:ind w:left="868" w:firstLine="0"/>
          </w:pPr>
          <w:hyperlink w:history="true" w:anchor="_bookmark107">
            <w:r>
              <w:rPr/>
              <w:t>Annex-IV: Focus Group Discussions with</w:t>
            </w:r>
            <w:r>
              <w:rPr>
                <w:spacing w:val="-7"/>
              </w:rPr>
              <w:t> </w:t>
            </w:r>
            <w:r>
              <w:rPr/>
              <w:t>Communities</w:t>
            </w:r>
            <w:r>
              <w:rPr>
                <w:spacing w:val="-1"/>
              </w:rPr>
              <w:t> </w:t>
            </w:r>
            <w:r>
              <w:rPr/>
              <w:t>(Women)</w:t>
              <w:tab/>
              <w:t>66</w:t>
            </w:r>
          </w:hyperlink>
        </w:p>
        <w:p>
          <w:pPr>
            <w:pStyle w:val="TOC1"/>
            <w:tabs>
              <w:tab w:pos="9601" w:val="right" w:leader="dot"/>
            </w:tabs>
            <w:spacing w:before="119"/>
            <w:ind w:left="868" w:firstLine="0"/>
          </w:pPr>
          <w:hyperlink w:history="true" w:anchor="_bookmark108">
            <w:r>
              <w:rPr/>
              <w:t>Annex-V: Focus Group Discussions</w:t>
            </w:r>
            <w:r>
              <w:rPr>
                <w:spacing w:val="-2"/>
              </w:rPr>
              <w:t> </w:t>
            </w:r>
            <w:r>
              <w:rPr/>
              <w:t>with</w:t>
            </w:r>
            <w:r>
              <w:rPr>
                <w:spacing w:val="-1"/>
              </w:rPr>
              <w:t> </w:t>
            </w:r>
            <w:r>
              <w:rPr/>
              <w:t>Institutions</w:t>
              <w:tab/>
              <w:t>68</w:t>
            </w:r>
          </w:hyperlink>
        </w:p>
        <w:p>
          <w:pPr>
            <w:pStyle w:val="TOC1"/>
            <w:tabs>
              <w:tab w:pos="9601" w:val="right" w:leader="dot"/>
            </w:tabs>
            <w:ind w:left="868" w:firstLine="0"/>
          </w:pPr>
          <w:hyperlink w:history="true" w:anchor="_bookmark109">
            <w:r>
              <w:rPr/>
              <w:t>Annex-VI: TORs for Social</w:t>
            </w:r>
            <w:r>
              <w:rPr>
                <w:spacing w:val="-6"/>
              </w:rPr>
              <w:t> </w:t>
            </w:r>
            <w:r>
              <w:rPr/>
              <w:t>Development</w:t>
            </w:r>
            <w:r>
              <w:rPr>
                <w:spacing w:val="1"/>
              </w:rPr>
              <w:t> </w:t>
            </w:r>
            <w:r>
              <w:rPr/>
              <w:t>Specialist</w:t>
              <w:tab/>
              <w:t>71</w:t>
            </w:r>
          </w:hyperlink>
        </w:p>
        <w:p>
          <w:pPr>
            <w:pStyle w:val="TOC1"/>
            <w:tabs>
              <w:tab w:pos="9601" w:val="right" w:leader="dot"/>
            </w:tabs>
            <w:spacing w:before="119"/>
            <w:ind w:left="868" w:firstLine="0"/>
          </w:pPr>
          <w:hyperlink w:history="true" w:anchor="_bookmark110">
            <w:r>
              <w:rPr/>
              <w:t>Annex-VII: ToRs for Gender</w:t>
            </w:r>
            <w:r>
              <w:rPr>
                <w:spacing w:val="-6"/>
              </w:rPr>
              <w:t> </w:t>
            </w:r>
            <w:r>
              <w:rPr/>
              <w:t>Specialist,</w:t>
            </w:r>
            <w:r>
              <w:rPr>
                <w:spacing w:val="-2"/>
              </w:rPr>
              <w:t> </w:t>
            </w:r>
            <w:r>
              <w:rPr/>
              <w:t>SMTA</w:t>
              <w:tab/>
              <w:t>74</w:t>
            </w:r>
          </w:hyperlink>
        </w:p>
        <w:p>
          <w:pPr>
            <w:pStyle w:val="TOC1"/>
            <w:tabs>
              <w:tab w:pos="9601" w:val="right" w:leader="dot"/>
            </w:tabs>
            <w:ind w:left="868" w:firstLine="0"/>
          </w:pPr>
          <w:hyperlink w:history="true" w:anchor="_bookmark111">
            <w:r>
              <w:rPr/>
              <w:t>Annex-VIII: Compensation for Affected</w:t>
            </w:r>
            <w:r>
              <w:rPr>
                <w:spacing w:val="-1"/>
              </w:rPr>
              <w:t> </w:t>
            </w:r>
            <w:r>
              <w:rPr/>
              <w:t>Business</w:t>
              <w:tab/>
              <w:t>77</w:t>
            </w:r>
          </w:hyperlink>
        </w:p>
        <w:p>
          <w:pPr>
            <w:pStyle w:val="TOC1"/>
            <w:tabs>
              <w:tab w:pos="9601" w:val="right" w:leader="dot"/>
            </w:tabs>
            <w:spacing w:before="118"/>
            <w:ind w:left="868" w:firstLine="0"/>
          </w:pPr>
          <w:hyperlink w:history="true" w:anchor="_bookmark112">
            <w:r>
              <w:rPr/>
              <w:t>Annex-IX: Compensation for</w:t>
            </w:r>
            <w:r>
              <w:rPr>
                <w:spacing w:val="-5"/>
              </w:rPr>
              <w:t> </w:t>
            </w:r>
            <w:r>
              <w:rPr/>
              <w:t>Vulnerable</w:t>
            </w:r>
            <w:r>
              <w:rPr>
                <w:spacing w:val="-1"/>
              </w:rPr>
              <w:t> </w:t>
            </w:r>
            <w:r>
              <w:rPr/>
              <w:t>PAPs</w:t>
              <w:tab/>
              <w:t>81</w:t>
            </w:r>
          </w:hyperlink>
        </w:p>
        <w:p>
          <w:pPr>
            <w:pStyle w:val="TOC1"/>
            <w:tabs>
              <w:tab w:pos="9601" w:val="right" w:leader="dot"/>
            </w:tabs>
            <w:spacing w:before="120"/>
            <w:ind w:left="868" w:firstLine="0"/>
          </w:pPr>
          <w:hyperlink w:history="true" w:anchor="_bookmark113">
            <w:r>
              <w:rPr/>
              <w:t>Annex-X: Compensation for</w:t>
            </w:r>
            <w:r>
              <w:rPr>
                <w:spacing w:val="-2"/>
              </w:rPr>
              <w:t> </w:t>
            </w:r>
            <w:r>
              <w:rPr/>
              <w:t>Employment</w:t>
            </w:r>
            <w:r>
              <w:rPr>
                <w:spacing w:val="-2"/>
              </w:rPr>
              <w:t> </w:t>
            </w:r>
            <w:r>
              <w:rPr/>
              <w:t>Loss</w:t>
              <w:tab/>
              <w:t>82</w:t>
            </w:r>
          </w:hyperlink>
        </w:p>
      </w:sdtContent>
    </w:sdt>
    <w:p>
      <w:pPr>
        <w:spacing w:after="0"/>
        <w:sectPr>
          <w:type w:val="continuous"/>
          <w:pgSz w:w="11910" w:h="16840"/>
          <w:pgMar w:top="860" w:bottom="1457" w:left="860" w:right="1280"/>
        </w:sectPr>
      </w:pPr>
    </w:p>
    <w:p>
      <w:pPr>
        <w:pStyle w:val="BodyText"/>
        <w:rPr>
          <w:sz w:val="24"/>
        </w:rPr>
      </w:pPr>
    </w:p>
    <w:p>
      <w:pPr>
        <w:pStyle w:val="BodyText"/>
        <w:spacing w:before="4"/>
        <w:rPr>
          <w:sz w:val="32"/>
        </w:rPr>
      </w:pPr>
    </w:p>
    <w:p>
      <w:pPr>
        <w:pStyle w:val="Heading3"/>
        <w:spacing w:before="1"/>
        <w:ind w:left="868"/>
        <w:jc w:val="left"/>
      </w:pPr>
      <w:r>
        <w:rPr/>
        <w:t>List of Tables</w:t>
      </w:r>
    </w:p>
    <w:p>
      <w:pPr>
        <w:pStyle w:val="BodyText"/>
        <w:tabs>
          <w:tab w:pos="9356" w:val="left" w:leader="dot"/>
        </w:tabs>
        <w:spacing w:before="121"/>
        <w:ind w:left="868"/>
      </w:pPr>
      <w:hyperlink w:history="true" w:anchor="_bookmark20">
        <w:r>
          <w:rPr/>
          <w:t>Table 1: Impact on</w:t>
        </w:r>
        <w:r>
          <w:rPr>
            <w:spacing w:val="-6"/>
          </w:rPr>
          <w:t> </w:t>
        </w:r>
        <w:r>
          <w:rPr/>
          <w:t>land</w:t>
        </w:r>
        <w:r>
          <w:rPr>
            <w:spacing w:val="-3"/>
          </w:rPr>
          <w:t> </w:t>
        </w:r>
        <w:r>
          <w:rPr/>
          <w:t>Use</w:t>
          <w:tab/>
          <w:t>17</w:t>
        </w:r>
      </w:hyperlink>
    </w:p>
    <w:p>
      <w:pPr>
        <w:pStyle w:val="BodyText"/>
        <w:tabs>
          <w:tab w:pos="9356" w:val="left" w:leader="dot"/>
        </w:tabs>
        <w:spacing w:before="37"/>
        <w:ind w:left="868"/>
      </w:pPr>
      <w:hyperlink w:history="true" w:anchor="_bookmark22">
        <w:r>
          <w:rPr/>
          <w:t>Table 2: Affected Business and Number</w:t>
        </w:r>
        <w:r>
          <w:rPr>
            <w:spacing w:val="-9"/>
          </w:rPr>
          <w:t> </w:t>
        </w:r>
        <w:r>
          <w:rPr/>
          <w:t>of PAPs</w:t>
          <w:tab/>
          <w:t>17</w:t>
        </w:r>
      </w:hyperlink>
    </w:p>
    <w:p>
      <w:pPr>
        <w:pStyle w:val="BodyText"/>
        <w:tabs>
          <w:tab w:pos="9601" w:val="right" w:leader="dot"/>
        </w:tabs>
        <w:spacing w:before="37"/>
        <w:ind w:left="868"/>
      </w:pPr>
      <w:hyperlink w:history="true" w:anchor="_bookmark24">
        <w:r>
          <w:rPr/>
          <w:t>Table 3:</w:t>
        </w:r>
        <w:r>
          <w:rPr>
            <w:spacing w:val="1"/>
          </w:rPr>
          <w:t> </w:t>
        </w:r>
        <w:r>
          <w:rPr/>
          <w:t>Vulnerable</w:t>
        </w:r>
        <w:r>
          <w:rPr>
            <w:spacing w:val="-3"/>
          </w:rPr>
          <w:t> </w:t>
        </w:r>
        <w:r>
          <w:rPr/>
          <w:t>PAPs</w:t>
          <w:tab/>
          <w:t>18</w:t>
        </w:r>
      </w:hyperlink>
    </w:p>
    <w:p>
      <w:pPr>
        <w:pStyle w:val="BodyText"/>
        <w:tabs>
          <w:tab w:pos="9601" w:val="right" w:leader="dot"/>
        </w:tabs>
        <w:spacing w:before="37"/>
        <w:ind w:left="868"/>
      </w:pPr>
      <w:hyperlink w:history="true" w:anchor="_bookmark49">
        <w:r>
          <w:rPr/>
          <w:t>Table 4: Measures to Address LAA 1894 &amp; OP 4.12 Gaps Relevant to</w:t>
        </w:r>
        <w:r>
          <w:rPr>
            <w:spacing w:val="-15"/>
          </w:rPr>
          <w:t> </w:t>
        </w:r>
        <w:r>
          <w:rPr/>
          <w:t>the</w:t>
        </w:r>
        <w:r>
          <w:rPr>
            <w:spacing w:val="-6"/>
          </w:rPr>
          <w:t> </w:t>
        </w:r>
        <w:r>
          <w:rPr/>
          <w:t>Project</w:t>
          <w:tab/>
          <w:t>28</w:t>
        </w:r>
      </w:hyperlink>
    </w:p>
    <w:p>
      <w:pPr>
        <w:pStyle w:val="BodyText"/>
        <w:tabs>
          <w:tab w:pos="9601" w:val="right" w:leader="dot"/>
        </w:tabs>
        <w:spacing w:before="37"/>
        <w:ind w:left="868"/>
      </w:pPr>
      <w:hyperlink w:history="true" w:anchor="_bookmark58">
        <w:r>
          <w:rPr/>
          <w:t>Table 5: Unit Rates of Loss of Business</w:t>
        </w:r>
        <w:r>
          <w:rPr>
            <w:spacing w:val="2"/>
          </w:rPr>
          <w:t> </w:t>
        </w:r>
        <w:r>
          <w:rPr/>
          <w:t>and</w:t>
        </w:r>
        <w:r>
          <w:rPr>
            <w:spacing w:val="-1"/>
          </w:rPr>
          <w:t> </w:t>
        </w:r>
        <w:r>
          <w:rPr/>
          <w:t>Allowance</w:t>
          <w:tab/>
          <w:t>31</w:t>
        </w:r>
      </w:hyperlink>
    </w:p>
    <w:p>
      <w:pPr>
        <w:pStyle w:val="BodyText"/>
        <w:tabs>
          <w:tab w:pos="9601" w:val="right" w:leader="dot"/>
        </w:tabs>
        <w:spacing w:before="39"/>
        <w:ind w:left="868"/>
      </w:pPr>
      <w:hyperlink w:history="true" w:anchor="_bookmark60">
        <w:r>
          <w:rPr/>
          <w:t>Table 6:</w:t>
        </w:r>
        <w:r>
          <w:rPr>
            <w:spacing w:val="1"/>
          </w:rPr>
          <w:t> </w:t>
        </w:r>
        <w:r>
          <w:rPr/>
          <w:t>Entitlement</w:t>
        </w:r>
        <w:r>
          <w:rPr>
            <w:spacing w:val="1"/>
          </w:rPr>
          <w:t> </w:t>
        </w:r>
        <w:r>
          <w:rPr/>
          <w:t>Matrix</w:t>
          <w:tab/>
          <w:t>32</w:t>
        </w:r>
      </w:hyperlink>
    </w:p>
    <w:p>
      <w:pPr>
        <w:pStyle w:val="BodyText"/>
        <w:tabs>
          <w:tab w:pos="9601" w:val="right" w:leader="dot"/>
        </w:tabs>
        <w:spacing w:before="36"/>
        <w:ind w:left="868"/>
      </w:pPr>
      <w:hyperlink w:history="true" w:anchor="_bookmark92">
        <w:r>
          <w:rPr/>
          <w:t>Table 7: Compensation for Loss</w:t>
        </w:r>
        <w:r>
          <w:rPr>
            <w:spacing w:val="-5"/>
          </w:rPr>
          <w:t> </w:t>
        </w:r>
        <w:r>
          <w:rPr/>
          <w:t>of</w:t>
        </w:r>
        <w:r>
          <w:rPr>
            <w:spacing w:val="1"/>
          </w:rPr>
          <w:t> </w:t>
        </w:r>
        <w:r>
          <w:rPr/>
          <w:t>Business</w:t>
          <w:tab/>
          <w:t>43</w:t>
        </w:r>
      </w:hyperlink>
    </w:p>
    <w:p>
      <w:pPr>
        <w:pStyle w:val="BodyText"/>
        <w:tabs>
          <w:tab w:pos="9601" w:val="right" w:leader="dot"/>
        </w:tabs>
        <w:spacing w:before="36"/>
        <w:ind w:left="868"/>
      </w:pPr>
      <w:hyperlink w:history="true" w:anchor="_bookmark93">
        <w:r>
          <w:rPr/>
          <w:t>Table 8: Compensation for</w:t>
        </w:r>
        <w:r>
          <w:rPr>
            <w:spacing w:val="-3"/>
          </w:rPr>
          <w:t> </w:t>
        </w:r>
        <w:r>
          <w:rPr/>
          <w:t>Vulnerable</w:t>
        </w:r>
        <w:r>
          <w:rPr>
            <w:spacing w:val="-1"/>
          </w:rPr>
          <w:t> </w:t>
        </w:r>
        <w:r>
          <w:rPr/>
          <w:t>PAPs</w:t>
          <w:tab/>
          <w:t>43</w:t>
        </w:r>
      </w:hyperlink>
    </w:p>
    <w:p>
      <w:pPr>
        <w:pStyle w:val="BodyText"/>
        <w:tabs>
          <w:tab w:pos="9601" w:val="right" w:leader="dot"/>
        </w:tabs>
        <w:spacing w:before="36"/>
        <w:ind w:left="868"/>
      </w:pPr>
      <w:hyperlink w:history="true" w:anchor="_bookmark94">
        <w:r>
          <w:rPr/>
          <w:t>Table 9: Proposed Indicative</w:t>
        </w:r>
        <w:r>
          <w:rPr>
            <w:spacing w:val="-2"/>
          </w:rPr>
          <w:t> </w:t>
        </w:r>
        <w:r>
          <w:rPr/>
          <w:t>Resettlement</w:t>
        </w:r>
        <w:r>
          <w:rPr>
            <w:spacing w:val="1"/>
          </w:rPr>
          <w:t> </w:t>
        </w:r>
        <w:r>
          <w:rPr/>
          <w:t>Budget</w:t>
          <w:tab/>
          <w:t>44</w:t>
        </w:r>
      </w:hyperlink>
    </w:p>
    <w:p>
      <w:pPr>
        <w:pStyle w:val="BodyText"/>
        <w:rPr>
          <w:sz w:val="24"/>
        </w:rPr>
      </w:pPr>
    </w:p>
    <w:p>
      <w:pPr>
        <w:pStyle w:val="BodyText"/>
        <w:spacing w:before="5"/>
        <w:rPr>
          <w:sz w:val="25"/>
        </w:rPr>
      </w:pPr>
    </w:p>
    <w:p>
      <w:pPr>
        <w:pStyle w:val="Heading3"/>
        <w:spacing w:before="1"/>
        <w:ind w:left="868"/>
        <w:jc w:val="left"/>
      </w:pPr>
      <w:r>
        <w:rPr/>
        <w:t>List of Figures</w:t>
      </w:r>
    </w:p>
    <w:p>
      <w:pPr>
        <w:pStyle w:val="BodyText"/>
        <w:tabs>
          <w:tab w:pos="9356" w:val="left" w:leader="dot"/>
        </w:tabs>
        <w:spacing w:before="119"/>
        <w:ind w:left="868"/>
      </w:pPr>
      <w:hyperlink w:history="true" w:anchor="_bookmark17">
        <w:r>
          <w:rPr/>
          <w:t>Figure 1: Karachi Yellow BRT</w:t>
        </w:r>
        <w:r>
          <w:rPr>
            <w:spacing w:val="-11"/>
          </w:rPr>
          <w:t> </w:t>
        </w:r>
        <w:r>
          <w:rPr/>
          <w:t>Corridor</w:t>
        </w:r>
        <w:r>
          <w:rPr>
            <w:spacing w:val="-3"/>
          </w:rPr>
          <w:t> </w:t>
        </w:r>
        <w:r>
          <w:rPr/>
          <w:t>Alignment</w:t>
          <w:tab/>
          <w:t>16</w:t>
        </w:r>
      </w:hyperlink>
    </w:p>
    <w:p>
      <w:pPr>
        <w:pStyle w:val="BodyText"/>
        <w:tabs>
          <w:tab w:pos="9356" w:val="left" w:leader="dot"/>
        </w:tabs>
        <w:spacing w:before="37"/>
        <w:ind w:left="868"/>
      </w:pPr>
      <w:hyperlink w:history="true" w:anchor="_bookmark26">
        <w:r>
          <w:rPr/>
          <w:t>Figure 2: Types</w:t>
        </w:r>
        <w:r>
          <w:rPr>
            <w:spacing w:val="-6"/>
          </w:rPr>
          <w:t> </w:t>
        </w:r>
        <w:r>
          <w:rPr/>
          <w:t>of</w:t>
        </w:r>
        <w:r>
          <w:rPr>
            <w:spacing w:val="1"/>
          </w:rPr>
          <w:t> </w:t>
        </w:r>
        <w:r>
          <w:rPr/>
          <w:t>Business</w:t>
          <w:tab/>
          <w:t>19</w:t>
        </w:r>
      </w:hyperlink>
    </w:p>
    <w:p>
      <w:pPr>
        <w:pStyle w:val="BodyText"/>
        <w:tabs>
          <w:tab w:pos="9601" w:val="right" w:leader="dot"/>
        </w:tabs>
        <w:spacing w:before="40"/>
        <w:ind w:left="868"/>
      </w:pPr>
      <w:hyperlink w:history="true" w:anchor="_bookmark27">
        <w:r>
          <w:rPr/>
          <w:t>Figure 3: Visual Snapshots of</w:t>
        </w:r>
        <w:r>
          <w:rPr>
            <w:spacing w:val="-1"/>
          </w:rPr>
          <w:t> </w:t>
        </w:r>
        <w:r>
          <w:rPr/>
          <w:t>Social</w:t>
        </w:r>
        <w:r>
          <w:rPr>
            <w:spacing w:val="-4"/>
          </w:rPr>
          <w:t> </w:t>
        </w:r>
        <w:r>
          <w:rPr/>
          <w:t>Impacts</w:t>
          <w:tab/>
          <w:t>19</w:t>
        </w:r>
      </w:hyperlink>
    </w:p>
    <w:p>
      <w:pPr>
        <w:pStyle w:val="BodyText"/>
        <w:tabs>
          <w:tab w:pos="9601" w:val="right" w:leader="dot"/>
        </w:tabs>
        <w:spacing w:before="37"/>
        <w:ind w:left="868"/>
      </w:pPr>
      <w:hyperlink w:history="true" w:anchor="_bookmark34">
        <w:r>
          <w:rPr/>
          <w:t>Figure 4:</w:t>
        </w:r>
        <w:r>
          <w:rPr>
            <w:spacing w:val="-4"/>
          </w:rPr>
          <w:t> </w:t>
        </w:r>
        <w:r>
          <w:rPr/>
          <w:t>Male/Female</w:t>
        </w:r>
        <w:r>
          <w:rPr>
            <w:spacing w:val="-1"/>
          </w:rPr>
          <w:t> </w:t>
        </w:r>
        <w:r>
          <w:rPr/>
          <w:t>Composition</w:t>
          <w:tab/>
          <w:t>22</w:t>
        </w:r>
      </w:hyperlink>
    </w:p>
    <w:p>
      <w:pPr>
        <w:pStyle w:val="BodyText"/>
        <w:tabs>
          <w:tab w:pos="9601" w:val="right" w:leader="dot"/>
        </w:tabs>
        <w:spacing w:before="37"/>
        <w:ind w:left="868"/>
      </w:pPr>
      <w:hyperlink w:history="true" w:anchor="_bookmark36">
        <w:r>
          <w:rPr/>
          <w:t>Figure 5:</w:t>
        </w:r>
        <w:r>
          <w:rPr>
            <w:spacing w:val="-4"/>
          </w:rPr>
          <w:t> </w:t>
        </w:r>
        <w:r>
          <w:rPr/>
          <w:t>Age</w:t>
        </w:r>
        <w:r>
          <w:rPr>
            <w:spacing w:val="-1"/>
          </w:rPr>
          <w:t> </w:t>
        </w:r>
        <w:r>
          <w:rPr/>
          <w:t>Structure</w:t>
          <w:tab/>
          <w:t>23</w:t>
        </w:r>
      </w:hyperlink>
    </w:p>
    <w:p>
      <w:pPr>
        <w:pStyle w:val="BodyText"/>
        <w:tabs>
          <w:tab w:pos="9601" w:val="right" w:leader="dot"/>
        </w:tabs>
        <w:spacing w:before="37"/>
        <w:ind w:left="868"/>
      </w:pPr>
      <w:hyperlink w:history="true" w:anchor="_bookmark39">
        <w:r>
          <w:rPr/>
          <w:t>Figure 6: Religion</w:t>
        </w:r>
        <w:r>
          <w:rPr>
            <w:spacing w:val="-4"/>
          </w:rPr>
          <w:t> </w:t>
        </w:r>
        <w:r>
          <w:rPr/>
          <w:t>and</w:t>
        </w:r>
        <w:r>
          <w:rPr>
            <w:spacing w:val="-3"/>
          </w:rPr>
          <w:t> </w:t>
        </w:r>
        <w:r>
          <w:rPr/>
          <w:t>Ethnicity</w:t>
          <w:tab/>
          <w:t>23</w:t>
        </w:r>
      </w:hyperlink>
    </w:p>
    <w:p>
      <w:pPr>
        <w:pStyle w:val="BodyText"/>
        <w:tabs>
          <w:tab w:pos="9601" w:val="right" w:leader="dot"/>
        </w:tabs>
        <w:spacing w:before="37"/>
        <w:ind w:left="868"/>
      </w:pPr>
      <w:hyperlink w:history="true" w:anchor="_bookmark42">
        <w:r>
          <w:rPr/>
          <w:t>Figure 7:</w:t>
        </w:r>
        <w:r>
          <w:rPr>
            <w:spacing w:val="-3"/>
          </w:rPr>
          <w:t> </w:t>
        </w:r>
        <w:r>
          <w:rPr/>
          <w:t>Education</w:t>
        </w:r>
        <w:r>
          <w:rPr>
            <w:spacing w:val="-2"/>
          </w:rPr>
          <w:t> </w:t>
        </w:r>
        <w:r>
          <w:rPr/>
          <w:t>Level</w:t>
          <w:tab/>
          <w:t>24</w:t>
        </w:r>
      </w:hyperlink>
    </w:p>
    <w:p>
      <w:pPr>
        <w:pStyle w:val="BodyText"/>
        <w:tabs>
          <w:tab w:pos="9601" w:val="right" w:leader="dot"/>
        </w:tabs>
        <w:spacing w:before="39"/>
        <w:ind w:left="868"/>
      </w:pPr>
      <w:hyperlink w:history="true" w:anchor="_bookmark44">
        <w:r>
          <w:rPr/>
          <w:t>Figure 8: Monthly</w:t>
        </w:r>
        <w:r>
          <w:rPr>
            <w:spacing w:val="-6"/>
          </w:rPr>
          <w:t> </w:t>
        </w:r>
        <w:r>
          <w:rPr/>
          <w:t>Income</w:t>
        </w:r>
        <w:r>
          <w:rPr>
            <w:spacing w:val="-1"/>
          </w:rPr>
          <w:t> </w:t>
        </w:r>
        <w:r>
          <w:rPr/>
          <w:t>Level</w:t>
          <w:tab/>
          <w:t>25</w:t>
        </w:r>
      </w:hyperlink>
    </w:p>
    <w:p>
      <w:pPr>
        <w:pStyle w:val="BodyText"/>
        <w:tabs>
          <w:tab w:pos="9601" w:val="right" w:leader="dot"/>
        </w:tabs>
        <w:spacing w:before="36"/>
        <w:ind w:left="868"/>
      </w:pPr>
      <w:hyperlink w:history="true" w:anchor="_bookmark66">
        <w:r>
          <w:rPr/>
          <w:t>Figure 9: Photographs</w:t>
        </w:r>
        <w:r>
          <w:rPr>
            <w:spacing w:val="-4"/>
          </w:rPr>
          <w:t> </w:t>
        </w:r>
        <w:r>
          <w:rPr/>
          <w:t>of</w:t>
        </w:r>
        <w:r>
          <w:rPr>
            <w:spacing w:val="-2"/>
          </w:rPr>
          <w:t> </w:t>
        </w:r>
        <w:r>
          <w:rPr/>
          <w:t>Consultation</w:t>
          <w:tab/>
          <w:t>34</w:t>
        </w:r>
      </w:hyperlink>
    </w:p>
    <w:p>
      <w:pPr>
        <w:pStyle w:val="BodyText"/>
        <w:tabs>
          <w:tab w:pos="9601" w:val="right" w:leader="dot"/>
        </w:tabs>
        <w:spacing w:before="36"/>
        <w:ind w:left="868"/>
      </w:pPr>
      <w:hyperlink w:history="true" w:anchor="_bookmark78">
        <w:r>
          <w:rPr/>
          <w:t>Figure 10: The Process of</w:t>
        </w:r>
        <w:r>
          <w:rPr>
            <w:spacing w:val="-8"/>
          </w:rPr>
          <w:t> </w:t>
        </w:r>
        <w:r>
          <w:rPr/>
          <w:t>Grievance</w:t>
        </w:r>
        <w:r>
          <w:rPr>
            <w:spacing w:val="-1"/>
          </w:rPr>
          <w:t> </w:t>
        </w:r>
        <w:r>
          <w:rPr/>
          <w:t>Redress</w:t>
          <w:tab/>
          <w:t>40</w:t>
        </w:r>
      </w:hyperlink>
    </w:p>
    <w:p>
      <w:pPr>
        <w:spacing w:after="0"/>
        <w:sectPr>
          <w:type w:val="continuous"/>
          <w:pgSz w:w="11910" w:h="16840"/>
          <w:pgMar w:top="840" w:bottom="760" w:left="860" w:right="1280"/>
        </w:sectPr>
      </w:pPr>
    </w:p>
    <w:p>
      <w:pPr>
        <w:pStyle w:val="BodyText"/>
        <w:rPr>
          <w:sz w:val="24"/>
        </w:rPr>
      </w:pPr>
    </w:p>
    <w:p>
      <w:pPr>
        <w:pStyle w:val="BodyText"/>
        <w:rPr>
          <w:sz w:val="24"/>
        </w:rPr>
      </w:pPr>
    </w:p>
    <w:p>
      <w:pPr>
        <w:pStyle w:val="BodyText"/>
        <w:rPr>
          <w:sz w:val="28"/>
        </w:rPr>
      </w:pPr>
    </w:p>
    <w:p>
      <w:pPr>
        <w:pStyle w:val="Heading3"/>
        <w:ind w:left="868"/>
        <w:jc w:val="left"/>
      </w:pPr>
      <w:r>
        <w:rPr/>
        <w:t>ABBREVIATIONS &amp; ACRONYMS</w:t>
      </w:r>
    </w:p>
    <w:p>
      <w:pPr>
        <w:pStyle w:val="BodyText"/>
        <w:tabs>
          <w:tab w:pos="2846" w:val="left" w:leader="none"/>
        </w:tabs>
        <w:spacing w:before="157"/>
        <w:ind w:left="868"/>
      </w:pPr>
      <w:r>
        <w:rPr/>
        <w:t>C&amp;LRP</w:t>
        <w:tab/>
        <w:t>Resettlement Policy</w:t>
      </w:r>
      <w:r>
        <w:rPr>
          <w:spacing w:val="-10"/>
        </w:rPr>
        <w:t> </w:t>
      </w:r>
      <w:r>
        <w:rPr/>
        <w:t>Framework</w:t>
      </w:r>
    </w:p>
    <w:p>
      <w:pPr>
        <w:pStyle w:val="BodyText"/>
        <w:tabs>
          <w:tab w:pos="2846" w:val="left" w:leader="none"/>
        </w:tabs>
        <w:spacing w:before="37"/>
        <w:ind w:left="868"/>
      </w:pPr>
      <w:r>
        <w:rPr/>
        <w:t>COI</w:t>
        <w:tab/>
        <w:t>Corridor of</w:t>
      </w:r>
      <w:r>
        <w:rPr>
          <w:spacing w:val="-5"/>
        </w:rPr>
        <w:t> </w:t>
      </w:r>
      <w:r>
        <w:rPr/>
        <w:t>Impact</w:t>
      </w:r>
    </w:p>
    <w:p>
      <w:pPr>
        <w:pStyle w:val="BodyText"/>
        <w:tabs>
          <w:tab w:pos="2846" w:val="left" w:leader="none"/>
        </w:tabs>
        <w:spacing w:before="39"/>
        <w:ind w:left="868"/>
      </w:pPr>
      <w:r>
        <w:rPr/>
        <w:t>DO(R)</w:t>
        <w:tab/>
        <w:t>District Officer</w:t>
      </w:r>
      <w:r>
        <w:rPr>
          <w:spacing w:val="-14"/>
        </w:rPr>
        <w:t> </w:t>
      </w:r>
      <w:r>
        <w:rPr/>
        <w:t>(Revenue)</w:t>
      </w:r>
    </w:p>
    <w:p>
      <w:pPr>
        <w:pStyle w:val="BodyText"/>
        <w:tabs>
          <w:tab w:pos="2846" w:val="left" w:leader="none"/>
        </w:tabs>
        <w:spacing w:before="36"/>
        <w:ind w:left="868"/>
      </w:pPr>
      <w:r>
        <w:rPr/>
        <w:t>EPA</w:t>
        <w:tab/>
        <w:t>Environmental Protection</w:t>
      </w:r>
      <w:r>
        <w:rPr>
          <w:spacing w:val="-10"/>
        </w:rPr>
        <w:t> </w:t>
      </w:r>
      <w:r>
        <w:rPr/>
        <w:t>Agency</w:t>
      </w:r>
    </w:p>
    <w:p>
      <w:pPr>
        <w:pStyle w:val="BodyText"/>
        <w:tabs>
          <w:tab w:pos="2846" w:val="left" w:leader="none"/>
        </w:tabs>
        <w:spacing w:before="36"/>
        <w:ind w:left="868"/>
      </w:pPr>
      <w:r>
        <w:rPr/>
        <w:t>FGD</w:t>
        <w:tab/>
        <w:t>Focus Group</w:t>
      </w:r>
      <w:r>
        <w:rPr>
          <w:spacing w:val="-4"/>
        </w:rPr>
        <w:t> </w:t>
      </w:r>
      <w:r>
        <w:rPr/>
        <w:t>Discussion</w:t>
      </w:r>
    </w:p>
    <w:p>
      <w:pPr>
        <w:pStyle w:val="BodyText"/>
        <w:tabs>
          <w:tab w:pos="2846" w:val="left" w:leader="none"/>
        </w:tabs>
        <w:spacing w:before="36"/>
        <w:ind w:left="868"/>
      </w:pPr>
      <w:r>
        <w:rPr/>
        <w:t>GDP</w:t>
        <w:tab/>
        <w:t>Gross Domestic</w:t>
      </w:r>
      <w:r>
        <w:rPr>
          <w:spacing w:val="-8"/>
        </w:rPr>
        <w:t> </w:t>
      </w:r>
      <w:r>
        <w:rPr/>
        <w:t>Product</w:t>
      </w:r>
    </w:p>
    <w:p>
      <w:pPr>
        <w:pStyle w:val="BodyText"/>
        <w:tabs>
          <w:tab w:pos="2846" w:val="left" w:leader="none"/>
        </w:tabs>
        <w:spacing w:before="39"/>
        <w:ind w:left="868"/>
      </w:pPr>
      <w:r>
        <w:rPr/>
        <w:t>GOP</w:t>
        <w:tab/>
        <w:t>Government of</w:t>
      </w:r>
      <w:r>
        <w:rPr>
          <w:spacing w:val="-5"/>
        </w:rPr>
        <w:t> </w:t>
      </w:r>
      <w:r>
        <w:rPr/>
        <w:t>Pakistan</w:t>
      </w:r>
    </w:p>
    <w:p>
      <w:pPr>
        <w:pStyle w:val="BodyText"/>
        <w:tabs>
          <w:tab w:pos="2846" w:val="left" w:leader="none"/>
        </w:tabs>
        <w:spacing w:before="37"/>
        <w:ind w:left="868"/>
      </w:pPr>
      <w:r>
        <w:rPr/>
        <w:t>GoS</w:t>
        <w:tab/>
        <w:t>Government of</w:t>
      </w:r>
      <w:r>
        <w:rPr>
          <w:spacing w:val="-4"/>
        </w:rPr>
        <w:t> </w:t>
      </w:r>
      <w:r>
        <w:rPr/>
        <w:t>Sindh</w:t>
      </w:r>
    </w:p>
    <w:p>
      <w:pPr>
        <w:pStyle w:val="BodyText"/>
        <w:tabs>
          <w:tab w:pos="2846" w:val="left" w:leader="none"/>
        </w:tabs>
        <w:spacing w:before="37"/>
        <w:ind w:left="868"/>
      </w:pPr>
      <w:r>
        <w:rPr/>
        <w:t>GPI</w:t>
        <w:tab/>
        <w:t>Gender Parity</w:t>
      </w:r>
      <w:r>
        <w:rPr>
          <w:spacing w:val="-4"/>
        </w:rPr>
        <w:t> </w:t>
      </w:r>
      <w:r>
        <w:rPr/>
        <w:t>Index</w:t>
      </w:r>
    </w:p>
    <w:p>
      <w:pPr>
        <w:pStyle w:val="BodyText"/>
        <w:tabs>
          <w:tab w:pos="2846" w:val="left" w:leader="none"/>
        </w:tabs>
        <w:spacing w:before="37"/>
        <w:ind w:left="868"/>
      </w:pPr>
      <w:r>
        <w:rPr/>
        <w:t>GRC</w:t>
        <w:tab/>
        <w:t>Grievance Redress</w:t>
      </w:r>
      <w:r>
        <w:rPr>
          <w:spacing w:val="-5"/>
        </w:rPr>
        <w:t> </w:t>
      </w:r>
      <w:r>
        <w:rPr/>
        <w:t>Committee</w:t>
      </w:r>
    </w:p>
    <w:p>
      <w:pPr>
        <w:pStyle w:val="BodyText"/>
        <w:tabs>
          <w:tab w:pos="2846" w:val="left" w:leader="none"/>
        </w:tabs>
        <w:spacing w:before="37"/>
        <w:ind w:left="868"/>
      </w:pPr>
      <w:r>
        <w:rPr/>
        <w:t>GRM</w:t>
        <w:tab/>
        <w:t>Grievance Redress</w:t>
      </w:r>
      <w:r>
        <w:rPr>
          <w:spacing w:val="-7"/>
        </w:rPr>
        <w:t> </w:t>
      </w:r>
      <w:r>
        <w:rPr/>
        <w:t>Mechanism</w:t>
      </w:r>
    </w:p>
    <w:p>
      <w:pPr>
        <w:pStyle w:val="BodyText"/>
        <w:tabs>
          <w:tab w:pos="2846" w:val="left" w:leader="none"/>
        </w:tabs>
        <w:spacing w:before="40"/>
        <w:ind w:left="868"/>
      </w:pPr>
      <w:r>
        <w:rPr/>
        <w:t>HH</w:t>
        <w:tab/>
        <w:t>Household</w:t>
      </w:r>
    </w:p>
    <w:p>
      <w:pPr>
        <w:pStyle w:val="BodyText"/>
        <w:tabs>
          <w:tab w:pos="2846" w:val="left" w:leader="none"/>
        </w:tabs>
        <w:spacing w:before="37"/>
        <w:ind w:left="868"/>
      </w:pPr>
      <w:r>
        <w:rPr/>
        <w:t>IMA</w:t>
        <w:tab/>
        <w:t>Independent Monitoring</w:t>
      </w:r>
      <w:r>
        <w:rPr>
          <w:spacing w:val="-4"/>
        </w:rPr>
        <w:t> </w:t>
      </w:r>
      <w:r>
        <w:rPr/>
        <w:t>Agency</w:t>
      </w:r>
    </w:p>
    <w:p>
      <w:pPr>
        <w:pStyle w:val="BodyText"/>
        <w:tabs>
          <w:tab w:pos="2846" w:val="left" w:leader="none"/>
        </w:tabs>
        <w:spacing w:before="37"/>
        <w:ind w:left="868"/>
      </w:pPr>
      <w:r>
        <w:rPr/>
        <w:t>IP</w:t>
        <w:tab/>
        <w:t>Indigenous</w:t>
      </w:r>
      <w:r>
        <w:rPr>
          <w:spacing w:val="-4"/>
        </w:rPr>
        <w:t> </w:t>
      </w:r>
      <w:r>
        <w:rPr/>
        <w:t>people</w:t>
      </w:r>
    </w:p>
    <w:p>
      <w:pPr>
        <w:pStyle w:val="BodyText"/>
        <w:tabs>
          <w:tab w:pos="2846" w:val="left" w:leader="none"/>
        </w:tabs>
        <w:spacing w:before="37"/>
        <w:ind w:left="868"/>
      </w:pPr>
      <w:r>
        <w:rPr/>
        <w:t>Km2</w:t>
        <w:tab/>
        <w:t>Square</w:t>
      </w:r>
      <w:r>
        <w:rPr>
          <w:spacing w:val="-5"/>
        </w:rPr>
        <w:t> </w:t>
      </w:r>
      <w:r>
        <w:rPr/>
        <w:t>Kilometre</w:t>
      </w:r>
    </w:p>
    <w:p>
      <w:pPr>
        <w:pStyle w:val="BodyText"/>
        <w:tabs>
          <w:tab w:pos="2846" w:val="left" w:leader="none"/>
        </w:tabs>
        <w:spacing w:before="39"/>
        <w:ind w:left="868"/>
      </w:pPr>
      <w:r>
        <w:rPr/>
        <w:t>KSDP</w:t>
        <w:tab/>
        <w:t>Karachi Strategic Development</w:t>
      </w:r>
      <w:r>
        <w:rPr>
          <w:spacing w:val="-10"/>
        </w:rPr>
        <w:t> </w:t>
      </w:r>
      <w:r>
        <w:rPr/>
        <w:t>Plan</w:t>
      </w:r>
    </w:p>
    <w:p>
      <w:pPr>
        <w:pStyle w:val="BodyText"/>
        <w:tabs>
          <w:tab w:pos="2846" w:val="left" w:leader="none"/>
        </w:tabs>
        <w:spacing w:before="36"/>
        <w:ind w:left="868"/>
      </w:pPr>
      <w:r>
        <w:rPr/>
        <w:t>LAA</w:t>
        <w:tab/>
        <w:t>Land Acquisition Act</w:t>
      </w:r>
      <w:r>
        <w:rPr>
          <w:spacing w:val="-8"/>
        </w:rPr>
        <w:t> </w:t>
      </w:r>
      <w:r>
        <w:rPr/>
        <w:t>1894</w:t>
      </w:r>
    </w:p>
    <w:p>
      <w:pPr>
        <w:pStyle w:val="BodyText"/>
        <w:tabs>
          <w:tab w:pos="2846" w:val="left" w:leader="none"/>
        </w:tabs>
        <w:spacing w:before="36"/>
        <w:ind w:left="868"/>
      </w:pPr>
      <w:r>
        <w:rPr/>
        <w:t>LAR</w:t>
        <w:tab/>
        <w:t>Land Acquisition and</w:t>
      </w:r>
      <w:r>
        <w:rPr>
          <w:spacing w:val="-10"/>
        </w:rPr>
        <w:t> </w:t>
      </w:r>
      <w:r>
        <w:rPr/>
        <w:t>Resettlement</w:t>
      </w:r>
    </w:p>
    <w:p>
      <w:pPr>
        <w:pStyle w:val="BodyText"/>
        <w:tabs>
          <w:tab w:pos="2846" w:val="left" w:leader="none"/>
        </w:tabs>
        <w:spacing w:before="36"/>
        <w:ind w:left="868"/>
      </w:pPr>
      <w:r>
        <w:rPr/>
        <w:t>LGD</w:t>
        <w:tab/>
        <w:t>Local Government</w:t>
      </w:r>
      <w:r>
        <w:rPr>
          <w:spacing w:val="-6"/>
        </w:rPr>
        <w:t> </w:t>
      </w:r>
      <w:r>
        <w:rPr/>
        <w:t>Department</w:t>
      </w:r>
    </w:p>
    <w:p>
      <w:pPr>
        <w:pStyle w:val="BodyText"/>
        <w:tabs>
          <w:tab w:pos="2846" w:val="left" w:leader="none"/>
        </w:tabs>
        <w:spacing w:before="36"/>
        <w:ind w:left="868"/>
      </w:pPr>
      <w:r>
        <w:rPr/>
        <w:t>M&amp;E</w:t>
        <w:tab/>
        <w:t>Monitoring and</w:t>
      </w:r>
      <w:r>
        <w:rPr>
          <w:spacing w:val="-6"/>
        </w:rPr>
        <w:t> </w:t>
      </w:r>
      <w:r>
        <w:rPr/>
        <w:t>evaluation</w:t>
      </w:r>
    </w:p>
    <w:p>
      <w:pPr>
        <w:pStyle w:val="BodyText"/>
        <w:tabs>
          <w:tab w:pos="2846" w:val="left" w:leader="none"/>
        </w:tabs>
        <w:spacing w:before="39"/>
        <w:ind w:left="868"/>
      </w:pPr>
      <w:r>
        <w:rPr/>
        <w:t>NGO</w:t>
        <w:tab/>
        <w:t>Non-Governmental</w:t>
      </w:r>
      <w:r>
        <w:rPr>
          <w:spacing w:val="-13"/>
        </w:rPr>
        <w:t> </w:t>
      </w:r>
      <w:r>
        <w:rPr/>
        <w:t>Organization</w:t>
      </w:r>
    </w:p>
    <w:p>
      <w:pPr>
        <w:pStyle w:val="BodyText"/>
        <w:tabs>
          <w:tab w:pos="2846" w:val="left" w:leader="none"/>
        </w:tabs>
        <w:spacing w:before="37"/>
        <w:ind w:left="868"/>
      </w:pPr>
      <w:r>
        <w:rPr/>
        <w:t>OP</w:t>
        <w:tab/>
        <w:t>Operational</w:t>
      </w:r>
      <w:r>
        <w:rPr>
          <w:spacing w:val="-7"/>
        </w:rPr>
        <w:t> </w:t>
      </w:r>
      <w:r>
        <w:rPr/>
        <w:t>Policy</w:t>
      </w:r>
    </w:p>
    <w:p>
      <w:pPr>
        <w:pStyle w:val="BodyText"/>
        <w:tabs>
          <w:tab w:pos="2846" w:val="left" w:leader="none"/>
        </w:tabs>
        <w:spacing w:before="37"/>
        <w:ind w:left="868"/>
      </w:pPr>
      <w:r>
        <w:rPr/>
        <w:t>P&amp;DD</w:t>
        <w:tab/>
        <w:t>Planning &amp; Development</w:t>
      </w:r>
      <w:r>
        <w:rPr>
          <w:spacing w:val="-10"/>
        </w:rPr>
        <w:t> </w:t>
      </w:r>
      <w:r>
        <w:rPr/>
        <w:t>Department</w:t>
      </w:r>
    </w:p>
    <w:p>
      <w:pPr>
        <w:pStyle w:val="BodyText"/>
        <w:tabs>
          <w:tab w:pos="2846" w:val="left" w:leader="none"/>
        </w:tabs>
        <w:spacing w:before="37"/>
        <w:ind w:left="868"/>
      </w:pPr>
      <w:r>
        <w:rPr/>
        <w:t>PAHs</w:t>
        <w:tab/>
        <w:t>Project Affected</w:t>
      </w:r>
      <w:r>
        <w:rPr>
          <w:spacing w:val="-9"/>
        </w:rPr>
        <w:t> </w:t>
      </w:r>
      <w:r>
        <w:rPr/>
        <w:t>Households</w:t>
      </w:r>
    </w:p>
    <w:p>
      <w:pPr>
        <w:pStyle w:val="BodyText"/>
        <w:tabs>
          <w:tab w:pos="2846" w:val="left" w:leader="none"/>
        </w:tabs>
        <w:spacing w:line="278" w:lineRule="auto" w:before="37"/>
        <w:ind w:left="868" w:right="2760"/>
      </w:pPr>
      <w:r>
        <w:rPr/>
        <w:t>Pak-EPA</w:t>
        <w:tab/>
        <w:t>Pakistan Environmental</w:t>
      </w:r>
      <w:r>
        <w:rPr>
          <w:spacing w:val="-9"/>
        </w:rPr>
        <w:t> </w:t>
      </w:r>
      <w:r>
        <w:rPr/>
        <w:t>Protection</w:t>
      </w:r>
      <w:r>
        <w:rPr>
          <w:spacing w:val="-3"/>
        </w:rPr>
        <w:t> </w:t>
      </w:r>
      <w:r>
        <w:rPr/>
        <w:t>Agency</w:t>
      </w:r>
      <w:r>
        <w:rPr>
          <w:w w:val="100"/>
        </w:rPr>
        <w:t> </w:t>
      </w:r>
      <w:r>
        <w:rPr/>
        <w:t>PAP</w:t>
        <w:tab/>
        <w:t>Project Affected</w:t>
      </w:r>
      <w:r>
        <w:rPr>
          <w:spacing w:val="-5"/>
        </w:rPr>
        <w:t> </w:t>
      </w:r>
      <w:r>
        <w:rPr/>
        <w:t>People</w:t>
      </w:r>
    </w:p>
    <w:p>
      <w:pPr>
        <w:pStyle w:val="BodyText"/>
        <w:tabs>
          <w:tab w:pos="2846" w:val="left" w:leader="none"/>
        </w:tabs>
        <w:spacing w:line="251" w:lineRule="exact"/>
        <w:ind w:left="868"/>
      </w:pPr>
      <w:r>
        <w:rPr/>
        <w:t>PBS</w:t>
        <w:tab/>
        <w:t>Pakistan Bureau of</w:t>
      </w:r>
      <w:r>
        <w:rPr>
          <w:spacing w:val="-7"/>
        </w:rPr>
        <w:t> </w:t>
      </w:r>
      <w:r>
        <w:rPr/>
        <w:t>Statistics</w:t>
      </w:r>
    </w:p>
    <w:p>
      <w:pPr>
        <w:pStyle w:val="BodyText"/>
        <w:tabs>
          <w:tab w:pos="2846" w:val="left" w:leader="none"/>
        </w:tabs>
        <w:spacing w:before="38"/>
        <w:ind w:left="868"/>
      </w:pPr>
      <w:r>
        <w:rPr/>
        <w:t>PCRs</w:t>
        <w:tab/>
        <w:t>Physical Cultural</w:t>
      </w:r>
      <w:r>
        <w:rPr>
          <w:spacing w:val="-5"/>
        </w:rPr>
        <w:t> </w:t>
      </w:r>
      <w:r>
        <w:rPr/>
        <w:t>Resources</w:t>
      </w:r>
    </w:p>
    <w:p>
      <w:pPr>
        <w:pStyle w:val="BodyText"/>
        <w:tabs>
          <w:tab w:pos="2846" w:val="left" w:leader="none"/>
        </w:tabs>
        <w:spacing w:before="37"/>
        <w:ind w:left="868"/>
      </w:pPr>
      <w:r>
        <w:rPr/>
        <w:t>PD</w:t>
        <w:tab/>
        <w:t>Project</w:t>
      </w:r>
      <w:r>
        <w:rPr>
          <w:spacing w:val="-4"/>
        </w:rPr>
        <w:t> </w:t>
      </w:r>
      <w:r>
        <w:rPr/>
        <w:t>Director</w:t>
      </w:r>
    </w:p>
    <w:p>
      <w:pPr>
        <w:pStyle w:val="BodyText"/>
        <w:tabs>
          <w:tab w:pos="2846" w:val="left" w:leader="none"/>
        </w:tabs>
        <w:spacing w:before="39"/>
        <w:ind w:left="868"/>
      </w:pPr>
      <w:r>
        <w:rPr/>
        <w:t>PDOs</w:t>
        <w:tab/>
        <w:t>Project Development</w:t>
      </w:r>
      <w:r>
        <w:rPr>
          <w:spacing w:val="-9"/>
        </w:rPr>
        <w:t> </w:t>
      </w:r>
      <w:r>
        <w:rPr/>
        <w:t>Objectives</w:t>
      </w:r>
    </w:p>
    <w:p>
      <w:pPr>
        <w:pStyle w:val="BodyText"/>
        <w:tabs>
          <w:tab w:pos="2846" w:val="left" w:leader="none"/>
        </w:tabs>
        <w:spacing w:before="37"/>
        <w:ind w:left="868"/>
      </w:pPr>
      <w:r>
        <w:rPr>
          <w:spacing w:val="-2"/>
        </w:rPr>
        <w:t>ROW</w:t>
        <w:tab/>
      </w:r>
      <w:r>
        <w:rPr/>
        <w:t>Right-of-Way</w:t>
      </w:r>
    </w:p>
    <w:p>
      <w:pPr>
        <w:pStyle w:val="BodyText"/>
        <w:tabs>
          <w:tab w:pos="2846" w:val="left" w:leader="none"/>
        </w:tabs>
        <w:spacing w:before="37"/>
        <w:ind w:left="868"/>
      </w:pPr>
      <w:r>
        <w:rPr/>
        <w:t>SA</w:t>
        <w:tab/>
        <w:t>Social</w:t>
      </w:r>
      <w:r>
        <w:rPr>
          <w:spacing w:val="-2"/>
        </w:rPr>
        <w:t> </w:t>
      </w:r>
      <w:r>
        <w:rPr/>
        <w:t>Assessment</w:t>
      </w:r>
    </w:p>
    <w:p>
      <w:pPr>
        <w:pStyle w:val="BodyText"/>
        <w:tabs>
          <w:tab w:pos="2846" w:val="left" w:leader="none"/>
        </w:tabs>
        <w:spacing w:before="37"/>
        <w:ind w:left="868"/>
      </w:pPr>
      <w:r>
        <w:rPr/>
        <w:t>SEPA</w:t>
        <w:tab/>
        <w:t>Sindh Environmental Protection</w:t>
      </w:r>
      <w:r>
        <w:rPr>
          <w:spacing w:val="-9"/>
        </w:rPr>
        <w:t> </w:t>
      </w:r>
      <w:r>
        <w:rPr/>
        <w:t>Agency</w:t>
      </w:r>
    </w:p>
    <w:p>
      <w:pPr>
        <w:pStyle w:val="BodyText"/>
        <w:tabs>
          <w:tab w:pos="2846" w:val="left" w:leader="none"/>
        </w:tabs>
        <w:spacing w:before="37"/>
        <w:ind w:left="868"/>
      </w:pPr>
      <w:r>
        <w:rPr/>
        <w:t>SMP</w:t>
        <w:tab/>
        <w:t>Social Management</w:t>
      </w:r>
      <w:r>
        <w:rPr>
          <w:spacing w:val="-1"/>
        </w:rPr>
        <w:t> </w:t>
      </w:r>
      <w:r>
        <w:rPr/>
        <w:t>Plan</w:t>
      </w:r>
    </w:p>
    <w:p>
      <w:pPr>
        <w:pStyle w:val="BodyText"/>
        <w:tabs>
          <w:tab w:pos="2846" w:val="left" w:leader="none"/>
        </w:tabs>
        <w:spacing w:before="39"/>
        <w:ind w:left="868"/>
      </w:pPr>
      <w:r>
        <w:rPr/>
        <w:t>SMTA</w:t>
        <w:tab/>
        <w:t>Sindh Mass Transit</w:t>
      </w:r>
      <w:r>
        <w:rPr>
          <w:spacing w:val="-5"/>
        </w:rPr>
        <w:t> </w:t>
      </w:r>
      <w:r>
        <w:rPr/>
        <w:t>Authority</w:t>
      </w:r>
    </w:p>
    <w:p>
      <w:pPr>
        <w:pStyle w:val="BodyText"/>
        <w:tabs>
          <w:tab w:pos="2846" w:val="left" w:leader="none"/>
        </w:tabs>
        <w:spacing w:before="37"/>
        <w:ind w:left="868"/>
      </w:pPr>
      <w:r>
        <w:rPr/>
        <w:t>STC</w:t>
        <w:tab/>
        <w:t>Short Term</w:t>
      </w:r>
      <w:r>
        <w:rPr>
          <w:spacing w:val="-8"/>
        </w:rPr>
        <w:t> </w:t>
      </w:r>
      <w:r>
        <w:rPr/>
        <w:t>Consultant</w:t>
      </w:r>
    </w:p>
    <w:p>
      <w:pPr>
        <w:pStyle w:val="BodyText"/>
        <w:tabs>
          <w:tab w:pos="2846" w:val="left" w:leader="none"/>
        </w:tabs>
        <w:spacing w:before="37"/>
        <w:ind w:left="868"/>
      </w:pPr>
      <w:r>
        <w:rPr/>
        <w:t>TA</w:t>
        <w:tab/>
        <w:t>Technical</w:t>
      </w:r>
      <w:r>
        <w:rPr>
          <w:spacing w:val="-3"/>
        </w:rPr>
        <w:t> </w:t>
      </w:r>
      <w:r>
        <w:rPr/>
        <w:t>Assistance</w:t>
      </w:r>
    </w:p>
    <w:p>
      <w:pPr>
        <w:pStyle w:val="BodyText"/>
        <w:tabs>
          <w:tab w:pos="2846" w:val="left" w:leader="none"/>
        </w:tabs>
        <w:spacing w:before="37"/>
        <w:ind w:left="868"/>
      </w:pPr>
      <w:r>
        <w:rPr/>
        <w:t>TORs</w:t>
        <w:tab/>
        <w:t>Terms of</w:t>
      </w:r>
      <w:r>
        <w:rPr>
          <w:spacing w:val="-4"/>
        </w:rPr>
        <w:t> </w:t>
      </w:r>
      <w:r>
        <w:rPr/>
        <w:t>References</w:t>
      </w:r>
    </w:p>
    <w:p>
      <w:pPr>
        <w:pStyle w:val="BodyText"/>
        <w:tabs>
          <w:tab w:pos="2846" w:val="left" w:leader="none"/>
        </w:tabs>
        <w:spacing w:before="39"/>
        <w:ind w:left="868"/>
      </w:pPr>
      <w:r>
        <w:rPr>
          <w:spacing w:val="2"/>
        </w:rPr>
        <w:t>WB</w:t>
        <w:tab/>
      </w:r>
      <w:r>
        <w:rPr/>
        <w:t>World</w:t>
      </w:r>
      <w:r>
        <w:rPr>
          <w:spacing w:val="-4"/>
        </w:rPr>
        <w:t> </w:t>
      </w:r>
      <w:r>
        <w:rPr/>
        <w:t>Bank</w:t>
      </w:r>
    </w:p>
    <w:p>
      <w:pPr>
        <w:spacing w:after="0"/>
        <w:sectPr>
          <w:pgSz w:w="11910" w:h="16840"/>
          <w:pgMar w:header="583" w:footer="575" w:top="840" w:bottom="760" w:left="860" w:right="1280"/>
        </w:sectPr>
      </w:pPr>
    </w:p>
    <w:p>
      <w:pPr>
        <w:pStyle w:val="BodyText"/>
        <w:rPr>
          <w:sz w:val="20"/>
        </w:rPr>
      </w:pPr>
    </w:p>
    <w:p>
      <w:pPr>
        <w:pStyle w:val="BodyText"/>
        <w:rPr>
          <w:sz w:val="20"/>
        </w:rPr>
      </w:pPr>
    </w:p>
    <w:p>
      <w:pPr>
        <w:pStyle w:val="BodyText"/>
        <w:rPr>
          <w:sz w:val="28"/>
        </w:rPr>
      </w:pPr>
    </w:p>
    <w:p>
      <w:pPr>
        <w:pStyle w:val="Heading2"/>
        <w:spacing w:before="92"/>
        <w:ind w:left="868" w:firstLine="0"/>
      </w:pPr>
      <w:bookmarkStart w:name="_bookmark0" w:id="1"/>
      <w:bookmarkEnd w:id="1"/>
      <w:r>
        <w:rPr>
          <w:b w:val="0"/>
        </w:rPr>
      </w:r>
      <w:r>
        <w:rPr/>
        <w:t>EXECUTIVE SUMMARY</w:t>
      </w:r>
    </w:p>
    <w:p>
      <w:pPr>
        <w:pStyle w:val="BodyText"/>
        <w:spacing w:before="2"/>
        <w:rPr>
          <w:b/>
          <w:sz w:val="31"/>
        </w:rPr>
      </w:pPr>
    </w:p>
    <w:p>
      <w:pPr>
        <w:pStyle w:val="Heading3"/>
        <w:ind w:left="868"/>
      </w:pPr>
      <w:r>
        <w:rPr/>
        <w:t>Introduction</w:t>
      </w:r>
    </w:p>
    <w:p>
      <w:pPr>
        <w:pStyle w:val="BodyText"/>
        <w:spacing w:line="276" w:lineRule="auto" w:before="157"/>
        <w:ind w:left="868" w:right="153"/>
        <w:jc w:val="both"/>
      </w:pPr>
      <w:r>
        <w:rPr/>
        <w:t>The development of Compensation and Livelihood Rehabilitation Plan (C&amp;LRP) is a requirement</w:t>
      </w:r>
      <w:r>
        <w:rPr>
          <w:spacing w:val="-6"/>
        </w:rPr>
        <w:t> </w:t>
      </w:r>
      <w:r>
        <w:rPr/>
        <w:t>for</w:t>
      </w:r>
      <w:r>
        <w:rPr>
          <w:spacing w:val="-6"/>
        </w:rPr>
        <w:t> </w:t>
      </w:r>
      <w:r>
        <w:rPr/>
        <w:t>the</w:t>
      </w:r>
      <w:r>
        <w:rPr>
          <w:spacing w:val="-7"/>
        </w:rPr>
        <w:t> </w:t>
      </w:r>
      <w:r>
        <w:rPr/>
        <w:t>Project</w:t>
      </w:r>
      <w:r>
        <w:rPr>
          <w:spacing w:val="-6"/>
        </w:rPr>
        <w:t> </w:t>
      </w:r>
      <w:r>
        <w:rPr/>
        <w:t>that</w:t>
      </w:r>
      <w:r>
        <w:rPr>
          <w:spacing w:val="-6"/>
        </w:rPr>
        <w:t> </w:t>
      </w:r>
      <w:r>
        <w:rPr/>
        <w:t>entails</w:t>
      </w:r>
      <w:r>
        <w:rPr>
          <w:spacing w:val="-5"/>
        </w:rPr>
        <w:t> </w:t>
      </w:r>
      <w:r>
        <w:rPr/>
        <w:t>issues</w:t>
      </w:r>
      <w:r>
        <w:rPr>
          <w:spacing w:val="-6"/>
        </w:rPr>
        <w:t> </w:t>
      </w:r>
      <w:r>
        <w:rPr/>
        <w:t>of</w:t>
      </w:r>
      <w:r>
        <w:rPr>
          <w:spacing w:val="-4"/>
        </w:rPr>
        <w:t> </w:t>
      </w:r>
      <w:r>
        <w:rPr/>
        <w:t>compensation,</w:t>
      </w:r>
      <w:r>
        <w:rPr>
          <w:spacing w:val="-4"/>
        </w:rPr>
        <w:t> </w:t>
      </w:r>
      <w:r>
        <w:rPr/>
        <w:t>impact</w:t>
      </w:r>
      <w:r>
        <w:rPr>
          <w:spacing w:val="-6"/>
        </w:rPr>
        <w:t> </w:t>
      </w:r>
      <w:r>
        <w:rPr/>
        <w:t>on</w:t>
      </w:r>
      <w:r>
        <w:rPr>
          <w:spacing w:val="-5"/>
        </w:rPr>
        <w:t> </w:t>
      </w:r>
      <w:r>
        <w:rPr/>
        <w:t>livelihood</w:t>
      </w:r>
      <w:r>
        <w:rPr>
          <w:spacing w:val="-5"/>
        </w:rPr>
        <w:t> </w:t>
      </w:r>
      <w:r>
        <w:rPr/>
        <w:t>under the World Bank Safeguard Policy on Involuntary Resettlement (OP 4.12). The purpose </w:t>
      </w:r>
      <w:r>
        <w:rPr>
          <w:spacing w:val="-3"/>
        </w:rPr>
        <w:t>of </w:t>
      </w:r>
      <w:r>
        <w:rPr/>
        <w:t>developing a C&amp; LRP at this stage of the Project cycle is to outline the framework for mitigating</w:t>
      </w:r>
      <w:r>
        <w:rPr>
          <w:spacing w:val="-3"/>
        </w:rPr>
        <w:t> </w:t>
      </w:r>
      <w:r>
        <w:rPr/>
        <w:t>and</w:t>
      </w:r>
      <w:r>
        <w:rPr>
          <w:spacing w:val="-6"/>
        </w:rPr>
        <w:t> </w:t>
      </w:r>
      <w:r>
        <w:rPr/>
        <w:t>restoring</w:t>
      </w:r>
      <w:r>
        <w:rPr>
          <w:spacing w:val="-5"/>
        </w:rPr>
        <w:t> </w:t>
      </w:r>
      <w:r>
        <w:rPr/>
        <w:t>the</w:t>
      </w:r>
      <w:r>
        <w:rPr>
          <w:spacing w:val="-5"/>
        </w:rPr>
        <w:t> </w:t>
      </w:r>
      <w:r>
        <w:rPr/>
        <w:t>project’s</w:t>
      </w:r>
      <w:r>
        <w:rPr>
          <w:spacing w:val="-7"/>
        </w:rPr>
        <w:t> </w:t>
      </w:r>
      <w:r>
        <w:rPr/>
        <w:t>impacts</w:t>
      </w:r>
      <w:r>
        <w:rPr>
          <w:spacing w:val="-7"/>
        </w:rPr>
        <w:t> </w:t>
      </w:r>
      <w:r>
        <w:rPr/>
        <w:t>on</w:t>
      </w:r>
      <w:r>
        <w:rPr>
          <w:spacing w:val="-8"/>
        </w:rPr>
        <w:t> </w:t>
      </w:r>
      <w:r>
        <w:rPr/>
        <w:t>the</w:t>
      </w:r>
      <w:r>
        <w:rPr>
          <w:spacing w:val="-5"/>
        </w:rPr>
        <w:t> </w:t>
      </w:r>
      <w:r>
        <w:rPr/>
        <w:t>livelihoods</w:t>
      </w:r>
      <w:r>
        <w:rPr>
          <w:spacing w:val="-5"/>
        </w:rPr>
        <w:t> </w:t>
      </w:r>
      <w:r>
        <w:rPr/>
        <w:t>of</w:t>
      </w:r>
      <w:r>
        <w:rPr>
          <w:spacing w:val="-1"/>
        </w:rPr>
        <w:t> </w:t>
      </w:r>
      <w:r>
        <w:rPr/>
        <w:t>project-affected</w:t>
      </w:r>
      <w:r>
        <w:rPr>
          <w:spacing w:val="-5"/>
        </w:rPr>
        <w:t> </w:t>
      </w:r>
      <w:r>
        <w:rPr/>
        <w:t>peoples (PAPs) as early as possible in project</w:t>
      </w:r>
      <w:r>
        <w:rPr>
          <w:spacing w:val="-9"/>
        </w:rPr>
        <w:t> </w:t>
      </w:r>
      <w:r>
        <w:rPr/>
        <w:t>development.</w:t>
      </w:r>
    </w:p>
    <w:p>
      <w:pPr>
        <w:pStyle w:val="BodyText"/>
        <w:spacing w:line="276" w:lineRule="auto" w:before="123"/>
        <w:ind w:left="868" w:right="153"/>
        <w:jc w:val="both"/>
      </w:pPr>
      <w:r>
        <w:rPr/>
        <w:t>This C&amp;LRP prepared by the Sindh Mass Transit Authority (SMTA) with the help of consultant, fulfils OP.12 requirements pertaining to the compensation and rehabilitation policy, principles, objectives and implementation procedures and complies with pertinent National</w:t>
      </w:r>
      <w:r>
        <w:rPr>
          <w:spacing w:val="-6"/>
        </w:rPr>
        <w:t> </w:t>
      </w:r>
      <w:r>
        <w:rPr/>
        <w:t>and</w:t>
      </w:r>
      <w:r>
        <w:rPr>
          <w:spacing w:val="-5"/>
        </w:rPr>
        <w:t> </w:t>
      </w:r>
      <w:r>
        <w:rPr/>
        <w:t>Provincial</w:t>
      </w:r>
      <w:r>
        <w:rPr>
          <w:spacing w:val="-4"/>
        </w:rPr>
        <w:t> </w:t>
      </w:r>
      <w:r>
        <w:rPr/>
        <w:t>laws</w:t>
      </w:r>
      <w:r>
        <w:rPr>
          <w:spacing w:val="-5"/>
        </w:rPr>
        <w:t> </w:t>
      </w:r>
      <w:r>
        <w:rPr/>
        <w:t>and</w:t>
      </w:r>
      <w:r>
        <w:rPr>
          <w:spacing w:val="-5"/>
        </w:rPr>
        <w:t> </w:t>
      </w:r>
      <w:r>
        <w:rPr/>
        <w:t>rules,</w:t>
      </w:r>
      <w:r>
        <w:rPr>
          <w:spacing w:val="-4"/>
        </w:rPr>
        <w:t> </w:t>
      </w:r>
      <w:r>
        <w:rPr/>
        <w:t>regulations</w:t>
      </w:r>
      <w:r>
        <w:rPr>
          <w:spacing w:val="-5"/>
        </w:rPr>
        <w:t> </w:t>
      </w:r>
      <w:r>
        <w:rPr/>
        <w:t>and</w:t>
      </w:r>
      <w:r>
        <w:rPr>
          <w:spacing w:val="-5"/>
        </w:rPr>
        <w:t> </w:t>
      </w:r>
      <w:r>
        <w:rPr/>
        <w:t>guidelines</w:t>
      </w:r>
      <w:r>
        <w:rPr>
          <w:spacing w:val="-7"/>
        </w:rPr>
        <w:t> </w:t>
      </w:r>
      <w:r>
        <w:rPr/>
        <w:t>for</w:t>
      </w:r>
      <w:r>
        <w:rPr>
          <w:spacing w:val="-4"/>
        </w:rPr>
        <w:t> </w:t>
      </w:r>
      <w:r>
        <w:rPr/>
        <w:t>providing</w:t>
      </w:r>
      <w:r>
        <w:rPr>
          <w:spacing w:val="-3"/>
        </w:rPr>
        <w:t> </w:t>
      </w:r>
      <w:r>
        <w:rPr/>
        <w:t>livelihoods and</w:t>
      </w:r>
      <w:r>
        <w:rPr>
          <w:spacing w:val="-11"/>
        </w:rPr>
        <w:t> </w:t>
      </w:r>
      <w:r>
        <w:rPr/>
        <w:t>rehabilitation</w:t>
      </w:r>
      <w:r>
        <w:rPr>
          <w:spacing w:val="-11"/>
        </w:rPr>
        <w:t> </w:t>
      </w:r>
      <w:r>
        <w:rPr/>
        <w:t>assistance</w:t>
      </w:r>
      <w:r>
        <w:rPr>
          <w:spacing w:val="-10"/>
        </w:rPr>
        <w:t> </w:t>
      </w:r>
      <w:r>
        <w:rPr/>
        <w:t>to</w:t>
      </w:r>
      <w:r>
        <w:rPr>
          <w:spacing w:val="-14"/>
        </w:rPr>
        <w:t> </w:t>
      </w:r>
      <w:r>
        <w:rPr/>
        <w:t>the</w:t>
      </w:r>
      <w:r>
        <w:rPr>
          <w:spacing w:val="-14"/>
        </w:rPr>
        <w:t> </w:t>
      </w:r>
      <w:r>
        <w:rPr/>
        <w:t>PAPs.</w:t>
      </w:r>
      <w:r>
        <w:rPr>
          <w:spacing w:val="-14"/>
        </w:rPr>
        <w:t> </w:t>
      </w:r>
      <w:r>
        <w:rPr/>
        <w:t>The</w:t>
      </w:r>
      <w:r>
        <w:rPr>
          <w:spacing w:val="-11"/>
        </w:rPr>
        <w:t> </w:t>
      </w:r>
      <w:r>
        <w:rPr/>
        <w:t>SMTA</w:t>
      </w:r>
      <w:r>
        <w:rPr>
          <w:spacing w:val="-11"/>
        </w:rPr>
        <w:t> </w:t>
      </w:r>
      <w:r>
        <w:rPr/>
        <w:t>will</w:t>
      </w:r>
      <w:r>
        <w:rPr>
          <w:spacing w:val="-12"/>
        </w:rPr>
        <w:t> </w:t>
      </w:r>
      <w:r>
        <w:rPr/>
        <w:t>implement</w:t>
      </w:r>
      <w:r>
        <w:rPr>
          <w:spacing w:val="-13"/>
        </w:rPr>
        <w:t> </w:t>
      </w:r>
      <w:r>
        <w:rPr/>
        <w:t>this</w:t>
      </w:r>
      <w:r>
        <w:rPr>
          <w:spacing w:val="-10"/>
        </w:rPr>
        <w:t> </w:t>
      </w:r>
      <w:r>
        <w:rPr/>
        <w:t>C&amp;LRP</w:t>
      </w:r>
      <w:r>
        <w:rPr>
          <w:spacing w:val="-12"/>
        </w:rPr>
        <w:t> </w:t>
      </w:r>
      <w:r>
        <w:rPr/>
        <w:t>before</w:t>
      </w:r>
      <w:r>
        <w:rPr>
          <w:spacing w:val="-13"/>
        </w:rPr>
        <w:t> </w:t>
      </w:r>
      <w:r>
        <w:rPr/>
        <w:t>the Project</w:t>
      </w:r>
      <w:r>
        <w:rPr>
          <w:spacing w:val="-6"/>
        </w:rPr>
        <w:t> </w:t>
      </w:r>
      <w:r>
        <w:rPr/>
        <w:t>commencement.</w:t>
      </w:r>
    </w:p>
    <w:p>
      <w:pPr>
        <w:pStyle w:val="Heading3"/>
        <w:spacing w:before="120"/>
        <w:ind w:left="868"/>
      </w:pPr>
      <w:r>
        <w:rPr/>
        <w:t>Methodology for the Social Assessment</w:t>
      </w:r>
    </w:p>
    <w:p>
      <w:pPr>
        <w:pStyle w:val="BodyText"/>
        <w:spacing w:line="276" w:lineRule="auto" w:before="157"/>
        <w:ind w:left="868" w:right="151"/>
        <w:jc w:val="both"/>
      </w:pPr>
      <w:r>
        <w:rPr/>
        <w:t>Social</w:t>
      </w:r>
      <w:r>
        <w:rPr>
          <w:spacing w:val="-15"/>
        </w:rPr>
        <w:t> </w:t>
      </w:r>
      <w:r>
        <w:rPr/>
        <w:t>impact</w:t>
      </w:r>
      <w:r>
        <w:rPr>
          <w:spacing w:val="-15"/>
        </w:rPr>
        <w:t> </w:t>
      </w:r>
      <w:r>
        <w:rPr/>
        <w:t>assessment</w:t>
      </w:r>
      <w:r>
        <w:rPr>
          <w:spacing w:val="-13"/>
        </w:rPr>
        <w:t> </w:t>
      </w:r>
      <w:r>
        <w:rPr/>
        <w:t>was</w:t>
      </w:r>
      <w:r>
        <w:rPr>
          <w:spacing w:val="-13"/>
        </w:rPr>
        <w:t> </w:t>
      </w:r>
      <w:r>
        <w:rPr/>
        <w:t>conducted</w:t>
      </w:r>
      <w:r>
        <w:rPr>
          <w:spacing w:val="-16"/>
        </w:rPr>
        <w:t> </w:t>
      </w:r>
      <w:r>
        <w:rPr/>
        <w:t>based</w:t>
      </w:r>
      <w:r>
        <w:rPr>
          <w:spacing w:val="-19"/>
        </w:rPr>
        <w:t> </w:t>
      </w:r>
      <w:r>
        <w:rPr/>
        <w:t>on</w:t>
      </w:r>
      <w:r>
        <w:rPr>
          <w:spacing w:val="-14"/>
        </w:rPr>
        <w:t> </w:t>
      </w:r>
      <w:r>
        <w:rPr/>
        <w:t>the</w:t>
      </w:r>
      <w:r>
        <w:rPr>
          <w:spacing w:val="-16"/>
        </w:rPr>
        <w:t> </w:t>
      </w:r>
      <w:r>
        <w:rPr/>
        <w:t>latest</w:t>
      </w:r>
      <w:r>
        <w:rPr>
          <w:spacing w:val="-15"/>
        </w:rPr>
        <w:t> </w:t>
      </w:r>
      <w:r>
        <w:rPr/>
        <w:t>available</w:t>
      </w:r>
      <w:r>
        <w:rPr>
          <w:spacing w:val="-13"/>
        </w:rPr>
        <w:t> </w:t>
      </w:r>
      <w:r>
        <w:rPr/>
        <w:t>preliminary</w:t>
      </w:r>
      <w:r>
        <w:rPr>
          <w:spacing w:val="-16"/>
        </w:rPr>
        <w:t> </w:t>
      </w:r>
      <w:r>
        <w:rPr/>
        <w:t>designs using a mix of qualitative and quantitative tools to determine the likely impacts within the project corridor. The social assessment process comprised of discussions and consultations with WB, SMTA, communities, transport service users and institutional stakeholders. The assessment tools used for data collection and impact assessment included FGDs, intercept survey for transport services users; socio-economic and census survey; documents review; preparation of data collection instruments; social scan, field observations; data analysis and</w:t>
      </w:r>
      <w:r>
        <w:rPr>
          <w:spacing w:val="-9"/>
        </w:rPr>
        <w:t> </w:t>
      </w:r>
      <w:r>
        <w:rPr/>
        <w:t>reporting.</w:t>
      </w:r>
    </w:p>
    <w:p>
      <w:pPr>
        <w:pStyle w:val="Heading3"/>
        <w:spacing w:before="121"/>
        <w:ind w:left="868"/>
      </w:pPr>
      <w:r>
        <w:rPr/>
        <w:t>Project Description</w:t>
      </w:r>
    </w:p>
    <w:p>
      <w:pPr>
        <w:pStyle w:val="BodyText"/>
        <w:spacing w:line="276" w:lineRule="auto" w:before="157"/>
        <w:ind w:left="868" w:right="152"/>
        <w:jc w:val="both"/>
      </w:pPr>
      <w:r>
        <w:rPr/>
        <w:t>The proposed Project will follow the Integrated Corridor Management Approach that is served with safe, reliable, efficient and accessible sustainable transport services. The set of investment includes three components: (i) Urban Corridor Road Infrastructure (ii) Development of  a  BRT  System  (iii)  Capacity  Building  and  Technical  Assistance.  The</w:t>
      </w:r>
      <w:r>
        <w:rPr>
          <w:spacing w:val="-15"/>
        </w:rPr>
        <w:t> </w:t>
      </w:r>
      <w:r>
        <w:rPr/>
        <w:t>proposed</w:t>
      </w:r>
      <w:r>
        <w:rPr>
          <w:spacing w:val="-15"/>
        </w:rPr>
        <w:t> </w:t>
      </w:r>
      <w:r>
        <w:rPr/>
        <w:t>Yellow</w:t>
      </w:r>
      <w:r>
        <w:rPr>
          <w:spacing w:val="-16"/>
        </w:rPr>
        <w:t> </w:t>
      </w:r>
      <w:r>
        <w:rPr/>
        <w:t>BRT</w:t>
      </w:r>
      <w:r>
        <w:rPr>
          <w:spacing w:val="-13"/>
        </w:rPr>
        <w:t> </w:t>
      </w:r>
      <w:r>
        <w:rPr/>
        <w:t>corridor</w:t>
      </w:r>
      <w:r>
        <w:rPr>
          <w:spacing w:val="-14"/>
        </w:rPr>
        <w:t> </w:t>
      </w:r>
      <w:r>
        <w:rPr/>
        <w:t>will</w:t>
      </w:r>
      <w:r>
        <w:rPr>
          <w:spacing w:val="-13"/>
        </w:rPr>
        <w:t> </w:t>
      </w:r>
      <w:r>
        <w:rPr/>
        <w:t>be</w:t>
      </w:r>
      <w:r>
        <w:rPr>
          <w:spacing w:val="-13"/>
        </w:rPr>
        <w:t> </w:t>
      </w:r>
      <w:r>
        <w:rPr/>
        <w:t>constructed</w:t>
      </w:r>
      <w:r>
        <w:rPr>
          <w:spacing w:val="-13"/>
        </w:rPr>
        <w:t> </w:t>
      </w:r>
      <w:r>
        <w:rPr/>
        <w:t>at-grade</w:t>
      </w:r>
      <w:r>
        <w:rPr>
          <w:spacing w:val="-15"/>
        </w:rPr>
        <w:t> </w:t>
      </w:r>
      <w:r>
        <w:rPr/>
        <w:t>is</w:t>
      </w:r>
      <w:r>
        <w:rPr>
          <w:spacing w:val="-12"/>
        </w:rPr>
        <w:t> </w:t>
      </w:r>
      <w:r>
        <w:rPr/>
        <w:t>one</w:t>
      </w:r>
      <w:r>
        <w:rPr>
          <w:spacing w:val="-15"/>
        </w:rPr>
        <w:t> </w:t>
      </w:r>
      <w:r>
        <w:rPr/>
        <w:t>in</w:t>
      </w:r>
      <w:r>
        <w:rPr>
          <w:spacing w:val="-12"/>
        </w:rPr>
        <w:t> </w:t>
      </w:r>
      <w:r>
        <w:rPr/>
        <w:t>a</w:t>
      </w:r>
      <w:r>
        <w:rPr>
          <w:spacing w:val="-18"/>
        </w:rPr>
        <w:t> </w:t>
      </w:r>
      <w:r>
        <w:rPr/>
        <w:t>series</w:t>
      </w:r>
      <w:r>
        <w:rPr>
          <w:spacing w:val="-12"/>
        </w:rPr>
        <w:t> </w:t>
      </w:r>
      <w:r>
        <w:rPr/>
        <w:t>of</w:t>
      </w:r>
      <w:r>
        <w:rPr>
          <w:spacing w:val="-11"/>
        </w:rPr>
        <w:t> </w:t>
      </w:r>
      <w:r>
        <w:rPr/>
        <w:t>planned BRT lines in Karachi and is approximately 21 km from the Dawood Chowrangi to the Business</w:t>
      </w:r>
      <w:r>
        <w:rPr>
          <w:spacing w:val="-9"/>
        </w:rPr>
        <w:t> </w:t>
      </w:r>
      <w:r>
        <w:rPr/>
        <w:t>Centre</w:t>
      </w:r>
      <w:r>
        <w:rPr>
          <w:spacing w:val="-12"/>
        </w:rPr>
        <w:t> </w:t>
      </w:r>
      <w:r>
        <w:rPr/>
        <w:t>of</w:t>
      </w:r>
      <w:r>
        <w:rPr>
          <w:spacing w:val="-9"/>
        </w:rPr>
        <w:t> </w:t>
      </w:r>
      <w:r>
        <w:rPr/>
        <w:t>Karachi.</w:t>
      </w:r>
      <w:r>
        <w:rPr>
          <w:spacing w:val="-11"/>
        </w:rPr>
        <w:t> </w:t>
      </w:r>
      <w:r>
        <w:rPr/>
        <w:t>The</w:t>
      </w:r>
      <w:r>
        <w:rPr>
          <w:spacing w:val="-12"/>
        </w:rPr>
        <w:t> </w:t>
      </w:r>
      <w:r>
        <w:rPr/>
        <w:t>Yellow</w:t>
      </w:r>
      <w:r>
        <w:rPr>
          <w:spacing w:val="-13"/>
        </w:rPr>
        <w:t> </w:t>
      </w:r>
      <w:r>
        <w:rPr/>
        <w:t>BRT</w:t>
      </w:r>
      <w:r>
        <w:rPr>
          <w:spacing w:val="-10"/>
        </w:rPr>
        <w:t> </w:t>
      </w:r>
      <w:r>
        <w:rPr/>
        <w:t>corridor</w:t>
      </w:r>
      <w:r>
        <w:rPr>
          <w:spacing w:val="-11"/>
        </w:rPr>
        <w:t> </w:t>
      </w:r>
      <w:r>
        <w:rPr/>
        <w:t>includes</w:t>
      </w:r>
      <w:r>
        <w:rPr>
          <w:spacing w:val="-10"/>
        </w:rPr>
        <w:t> </w:t>
      </w:r>
      <w:r>
        <w:rPr/>
        <w:t>dedicated</w:t>
      </w:r>
      <w:r>
        <w:rPr>
          <w:spacing w:val="-12"/>
        </w:rPr>
        <w:t> </w:t>
      </w:r>
      <w:r>
        <w:rPr/>
        <w:t>bus</w:t>
      </w:r>
      <w:r>
        <w:rPr>
          <w:spacing w:val="-10"/>
        </w:rPr>
        <w:t> </w:t>
      </w:r>
      <w:r>
        <w:rPr/>
        <w:t>lanes</w:t>
      </w:r>
      <w:r>
        <w:rPr>
          <w:spacing w:val="-12"/>
        </w:rPr>
        <w:t> </w:t>
      </w:r>
      <w:r>
        <w:rPr/>
        <w:t>located in</w:t>
      </w:r>
      <w:r>
        <w:rPr>
          <w:spacing w:val="-16"/>
        </w:rPr>
        <w:t> </w:t>
      </w:r>
      <w:r>
        <w:rPr/>
        <w:t>the</w:t>
      </w:r>
      <w:r>
        <w:rPr>
          <w:spacing w:val="-19"/>
        </w:rPr>
        <w:t> </w:t>
      </w:r>
      <w:r>
        <w:rPr/>
        <w:t>middle</w:t>
      </w:r>
      <w:r>
        <w:rPr>
          <w:spacing w:val="-16"/>
        </w:rPr>
        <w:t> </w:t>
      </w:r>
      <w:r>
        <w:rPr/>
        <w:t>of</w:t>
      </w:r>
      <w:r>
        <w:rPr>
          <w:spacing w:val="-15"/>
        </w:rPr>
        <w:t> </w:t>
      </w:r>
      <w:r>
        <w:rPr/>
        <w:t>the</w:t>
      </w:r>
      <w:r>
        <w:rPr>
          <w:spacing w:val="-16"/>
        </w:rPr>
        <w:t> </w:t>
      </w:r>
      <w:r>
        <w:rPr/>
        <w:t>carriageway,</w:t>
      </w:r>
      <w:r>
        <w:rPr>
          <w:spacing w:val="-15"/>
        </w:rPr>
        <w:t> </w:t>
      </w:r>
      <w:r>
        <w:rPr/>
        <w:t>on</w:t>
      </w:r>
      <w:r>
        <w:rPr>
          <w:spacing w:val="-16"/>
        </w:rPr>
        <w:t> </w:t>
      </w:r>
      <w:r>
        <w:rPr/>
        <w:t>either</w:t>
      </w:r>
      <w:r>
        <w:rPr>
          <w:spacing w:val="-15"/>
        </w:rPr>
        <w:t> </w:t>
      </w:r>
      <w:r>
        <w:rPr/>
        <w:t>side</w:t>
      </w:r>
      <w:r>
        <w:rPr>
          <w:spacing w:val="-16"/>
        </w:rPr>
        <w:t> </w:t>
      </w:r>
      <w:r>
        <w:rPr/>
        <w:t>of</w:t>
      </w:r>
      <w:r>
        <w:rPr>
          <w:spacing w:val="-17"/>
        </w:rPr>
        <w:t> </w:t>
      </w:r>
      <w:r>
        <w:rPr/>
        <w:t>the</w:t>
      </w:r>
      <w:r>
        <w:rPr>
          <w:spacing w:val="-16"/>
        </w:rPr>
        <w:t> </w:t>
      </w:r>
      <w:r>
        <w:rPr/>
        <w:t>median,</w:t>
      </w:r>
      <w:r>
        <w:rPr>
          <w:spacing w:val="-17"/>
        </w:rPr>
        <w:t> </w:t>
      </w:r>
      <w:r>
        <w:rPr/>
        <w:t>28</w:t>
      </w:r>
      <w:r>
        <w:rPr>
          <w:spacing w:val="-16"/>
        </w:rPr>
        <w:t> </w:t>
      </w:r>
      <w:r>
        <w:rPr/>
        <w:t>stations,</w:t>
      </w:r>
      <w:r>
        <w:rPr>
          <w:spacing w:val="-15"/>
        </w:rPr>
        <w:t> </w:t>
      </w:r>
      <w:r>
        <w:rPr>
          <w:spacing w:val="-2"/>
        </w:rPr>
        <w:t>two</w:t>
      </w:r>
      <w:r>
        <w:rPr>
          <w:spacing w:val="-16"/>
        </w:rPr>
        <w:t> </w:t>
      </w:r>
      <w:r>
        <w:rPr/>
        <w:t>bus</w:t>
      </w:r>
      <w:r>
        <w:rPr>
          <w:spacing w:val="-16"/>
        </w:rPr>
        <w:t> </w:t>
      </w:r>
      <w:r>
        <w:rPr/>
        <w:t>terminals and one km of new bridge and associated facilities. The Project will be executed by the Sindh Mass Transit</w:t>
      </w:r>
      <w:r>
        <w:rPr>
          <w:spacing w:val="-7"/>
        </w:rPr>
        <w:t> </w:t>
      </w:r>
      <w:r>
        <w:rPr/>
        <w:t>Authority.</w:t>
      </w:r>
    </w:p>
    <w:p>
      <w:pPr>
        <w:pStyle w:val="Heading3"/>
        <w:spacing w:before="120"/>
        <w:ind w:left="868"/>
      </w:pPr>
      <w:r>
        <w:rPr/>
        <w:t>Scope of Livelihood Impacts on PAPs</w:t>
      </w:r>
    </w:p>
    <w:p>
      <w:pPr>
        <w:pStyle w:val="BodyText"/>
        <w:spacing w:line="276" w:lineRule="auto" w:before="156"/>
        <w:ind w:left="868" w:right="152"/>
        <w:jc w:val="both"/>
      </w:pPr>
      <w:r>
        <w:rPr/>
        <w:t>The BRT system will be developed within the existing ROW and will not involve any land acquisition. Unlike the above positive impacts and benefits of the Project, the proposed investments on BRT infrastructure development can also result in adverse social impacts.</w:t>
      </w:r>
    </w:p>
    <w:p>
      <w:pPr>
        <w:pStyle w:val="BodyText"/>
        <w:spacing w:line="276" w:lineRule="auto" w:before="120"/>
        <w:ind w:left="868" w:right="152"/>
        <w:jc w:val="both"/>
      </w:pPr>
      <w:r>
        <w:rPr/>
        <w:t>The project will impact </w:t>
      </w:r>
      <w:r>
        <w:rPr>
          <w:u w:val="single"/>
        </w:rPr>
        <w:t>120 PAPs </w:t>
      </w:r>
      <w:r>
        <w:rPr/>
        <w:t>including informal vendors, skilled labours and plant nurseries</w:t>
      </w:r>
      <w:r>
        <w:rPr>
          <w:spacing w:val="-13"/>
        </w:rPr>
        <w:t> </w:t>
      </w:r>
      <w:r>
        <w:rPr/>
        <w:t>owners</w:t>
      </w:r>
      <w:r>
        <w:rPr>
          <w:spacing w:val="-11"/>
        </w:rPr>
        <w:t> </w:t>
      </w:r>
      <w:r>
        <w:rPr/>
        <w:t>and</w:t>
      </w:r>
      <w:r>
        <w:rPr>
          <w:spacing w:val="-14"/>
        </w:rPr>
        <w:t> </w:t>
      </w:r>
      <w:r>
        <w:rPr/>
        <w:t>employees.</w:t>
      </w:r>
      <w:r>
        <w:rPr>
          <w:spacing w:val="-10"/>
        </w:rPr>
        <w:t> </w:t>
      </w:r>
      <w:r>
        <w:rPr/>
        <w:t>The</w:t>
      </w:r>
      <w:r>
        <w:rPr>
          <w:spacing w:val="-14"/>
        </w:rPr>
        <w:t> </w:t>
      </w:r>
      <w:r>
        <w:rPr/>
        <w:t>affected</w:t>
      </w:r>
      <w:r>
        <w:rPr>
          <w:spacing w:val="-14"/>
        </w:rPr>
        <w:t> </w:t>
      </w:r>
      <w:r>
        <w:rPr/>
        <w:t>vendors</w:t>
      </w:r>
      <w:r>
        <w:rPr>
          <w:spacing w:val="-13"/>
        </w:rPr>
        <w:t> </w:t>
      </w:r>
      <w:r>
        <w:rPr/>
        <w:t>run</w:t>
      </w:r>
      <w:r>
        <w:rPr>
          <w:spacing w:val="-14"/>
        </w:rPr>
        <w:t> </w:t>
      </w:r>
      <w:r>
        <w:rPr/>
        <w:t>their</w:t>
      </w:r>
      <w:r>
        <w:rPr>
          <w:spacing w:val="-10"/>
        </w:rPr>
        <w:t> </w:t>
      </w:r>
      <w:r>
        <w:rPr/>
        <w:t>businesses</w:t>
      </w:r>
      <w:r>
        <w:rPr>
          <w:spacing w:val="-11"/>
        </w:rPr>
        <w:t> </w:t>
      </w:r>
      <w:r>
        <w:rPr/>
        <w:t>on</w:t>
      </w:r>
      <w:r>
        <w:rPr>
          <w:spacing w:val="-14"/>
        </w:rPr>
        <w:t> </w:t>
      </w:r>
      <w:r>
        <w:rPr/>
        <w:t>public</w:t>
      </w:r>
      <w:r>
        <w:rPr>
          <w:spacing w:val="-11"/>
        </w:rPr>
        <w:t> </w:t>
      </w:r>
      <w:r>
        <w:rPr/>
        <w:t>land (ROW) without any legal permission or license. The survey identified 19 vulnerable households includes three disabled and 16 are below poverty</w:t>
      </w:r>
      <w:r>
        <w:rPr>
          <w:spacing w:val="-21"/>
        </w:rPr>
        <w:t> </w:t>
      </w:r>
      <w:r>
        <w:rPr/>
        <w:t>line.</w:t>
      </w:r>
    </w:p>
    <w:p>
      <w:pPr>
        <w:spacing w:after="0" w:line="276" w:lineRule="auto"/>
        <w:jc w:val="both"/>
        <w:sectPr>
          <w:pgSz w:w="11910" w:h="16840"/>
          <w:pgMar w:header="583" w:footer="575" w:top="840" w:bottom="760" w:left="860" w:right="1280"/>
        </w:sectPr>
      </w:pPr>
    </w:p>
    <w:p>
      <w:pPr>
        <w:pStyle w:val="BodyText"/>
        <w:rPr>
          <w:sz w:val="20"/>
        </w:rPr>
      </w:pPr>
    </w:p>
    <w:p>
      <w:pPr>
        <w:pStyle w:val="BodyText"/>
        <w:rPr>
          <w:sz w:val="20"/>
        </w:rPr>
      </w:pPr>
    </w:p>
    <w:p>
      <w:pPr>
        <w:pStyle w:val="BodyText"/>
        <w:spacing w:before="10"/>
        <w:rPr>
          <w:sz w:val="27"/>
        </w:rPr>
      </w:pPr>
    </w:p>
    <w:p>
      <w:pPr>
        <w:pStyle w:val="BodyText"/>
        <w:spacing w:line="276" w:lineRule="auto" w:before="93"/>
        <w:ind w:left="868" w:right="155"/>
        <w:jc w:val="both"/>
      </w:pPr>
      <w:r>
        <w:rPr/>
        <w:t>The project will also impact on a number of public utilities. These include water supplies, drainage system, telecommunication infrastructure, gas and electricity supply poles and temporary</w:t>
      </w:r>
      <w:r>
        <w:rPr>
          <w:spacing w:val="-15"/>
        </w:rPr>
        <w:t> </w:t>
      </w:r>
      <w:r>
        <w:rPr/>
        <w:t>use</w:t>
      </w:r>
      <w:r>
        <w:rPr>
          <w:spacing w:val="-14"/>
        </w:rPr>
        <w:t> </w:t>
      </w:r>
      <w:r>
        <w:rPr/>
        <w:t>of</w:t>
      </w:r>
      <w:r>
        <w:rPr>
          <w:spacing w:val="-12"/>
        </w:rPr>
        <w:t> </w:t>
      </w:r>
      <w:r>
        <w:rPr/>
        <w:t>land</w:t>
      </w:r>
      <w:r>
        <w:rPr>
          <w:spacing w:val="-13"/>
        </w:rPr>
        <w:t> </w:t>
      </w:r>
      <w:r>
        <w:rPr/>
        <w:t>and</w:t>
      </w:r>
      <w:r>
        <w:rPr>
          <w:spacing w:val="-13"/>
        </w:rPr>
        <w:t> </w:t>
      </w:r>
      <w:r>
        <w:rPr/>
        <w:t>existing</w:t>
      </w:r>
      <w:r>
        <w:rPr>
          <w:spacing w:val="-12"/>
        </w:rPr>
        <w:t> </w:t>
      </w:r>
      <w:r>
        <w:rPr/>
        <w:t>transport</w:t>
      </w:r>
      <w:r>
        <w:rPr>
          <w:spacing w:val="-12"/>
        </w:rPr>
        <w:t> </w:t>
      </w:r>
      <w:r>
        <w:rPr/>
        <w:t>operators.</w:t>
      </w:r>
      <w:r>
        <w:rPr>
          <w:spacing w:val="-15"/>
        </w:rPr>
        <w:t> </w:t>
      </w:r>
      <w:r>
        <w:rPr/>
        <w:t>To</w:t>
      </w:r>
      <w:r>
        <w:rPr>
          <w:spacing w:val="-16"/>
        </w:rPr>
        <w:t> </w:t>
      </w:r>
      <w:r>
        <w:rPr/>
        <w:t>minimize</w:t>
      </w:r>
      <w:r>
        <w:rPr>
          <w:spacing w:val="-13"/>
        </w:rPr>
        <w:t> </w:t>
      </w:r>
      <w:r>
        <w:rPr/>
        <w:t>and</w:t>
      </w:r>
      <w:r>
        <w:rPr>
          <w:spacing w:val="-13"/>
        </w:rPr>
        <w:t> </w:t>
      </w:r>
      <w:r>
        <w:rPr/>
        <w:t>compensate</w:t>
      </w:r>
      <w:r>
        <w:rPr>
          <w:spacing w:val="-16"/>
        </w:rPr>
        <w:t> </w:t>
      </w:r>
      <w:r>
        <w:rPr/>
        <w:t>these impacts, mitigation measures were</w:t>
      </w:r>
      <w:r>
        <w:rPr>
          <w:spacing w:val="-11"/>
        </w:rPr>
        <w:t> </w:t>
      </w:r>
      <w:r>
        <w:rPr/>
        <w:t>proposed.</w:t>
      </w:r>
    </w:p>
    <w:p>
      <w:pPr>
        <w:pStyle w:val="Heading3"/>
        <w:spacing w:before="120"/>
        <w:ind w:left="868"/>
      </w:pPr>
      <w:r>
        <w:rPr/>
        <w:t>Socio-economic Profile of PAPs</w:t>
      </w:r>
    </w:p>
    <w:p>
      <w:pPr>
        <w:pStyle w:val="BodyText"/>
        <w:spacing w:line="276" w:lineRule="auto" w:before="157"/>
        <w:ind w:left="868" w:right="151"/>
        <w:jc w:val="both"/>
      </w:pPr>
      <w:r>
        <w:rPr/>
        <w:t>There is a total of 120 PAPs (all males) including vendors, plant nursery owners and their employees who will be impacted during the construction of the BRT corridor. According to the census data, total population of these 120 PAPs is 518 members with an average household size is 6.3. Of these 55% are male and 45% are female. Majority of PAPs are young. Female are majority in the lowest age cohort more males in the middle one. Vast majority</w:t>
      </w:r>
      <w:r>
        <w:rPr>
          <w:spacing w:val="-12"/>
        </w:rPr>
        <w:t> </w:t>
      </w:r>
      <w:r>
        <w:rPr/>
        <w:t>is</w:t>
      </w:r>
      <w:r>
        <w:rPr>
          <w:spacing w:val="-9"/>
        </w:rPr>
        <w:t> </w:t>
      </w:r>
      <w:r>
        <w:rPr/>
        <w:t>Muslim,</w:t>
      </w:r>
      <w:r>
        <w:rPr>
          <w:spacing w:val="-9"/>
        </w:rPr>
        <w:t> </w:t>
      </w:r>
      <w:r>
        <w:rPr/>
        <w:t>however,</w:t>
      </w:r>
      <w:r>
        <w:rPr>
          <w:spacing w:val="-8"/>
        </w:rPr>
        <w:t> </w:t>
      </w:r>
      <w:r>
        <w:rPr/>
        <w:t>a</w:t>
      </w:r>
      <w:r>
        <w:rPr>
          <w:spacing w:val="-12"/>
        </w:rPr>
        <w:t> </w:t>
      </w:r>
      <w:r>
        <w:rPr/>
        <w:t>moderate</w:t>
      </w:r>
      <w:r>
        <w:rPr>
          <w:spacing w:val="-12"/>
        </w:rPr>
        <w:t> </w:t>
      </w:r>
      <w:r>
        <w:rPr/>
        <w:t>number</w:t>
      </w:r>
      <w:r>
        <w:rPr>
          <w:spacing w:val="-11"/>
        </w:rPr>
        <w:t> </w:t>
      </w:r>
      <w:r>
        <w:rPr/>
        <w:t>belong</w:t>
      </w:r>
      <w:r>
        <w:rPr>
          <w:spacing w:val="-10"/>
        </w:rPr>
        <w:t> </w:t>
      </w:r>
      <w:r>
        <w:rPr/>
        <w:t>to</w:t>
      </w:r>
      <w:r>
        <w:rPr>
          <w:spacing w:val="-10"/>
        </w:rPr>
        <w:t> </w:t>
      </w:r>
      <w:r>
        <w:rPr/>
        <w:t>Hindu</w:t>
      </w:r>
      <w:r>
        <w:rPr>
          <w:spacing w:val="-10"/>
        </w:rPr>
        <w:t> </w:t>
      </w:r>
      <w:r>
        <w:rPr/>
        <w:t>Community.</w:t>
      </w:r>
      <w:r>
        <w:rPr>
          <w:spacing w:val="-9"/>
        </w:rPr>
        <w:t> </w:t>
      </w:r>
      <w:r>
        <w:rPr/>
        <w:t>A</w:t>
      </w:r>
      <w:r>
        <w:rPr>
          <w:spacing w:val="-10"/>
        </w:rPr>
        <w:t> </w:t>
      </w:r>
      <w:r>
        <w:rPr/>
        <w:t>significant majority are married and half of them are literate. Almost 16 PAPs are earning less than officially announced</w:t>
      </w:r>
      <w:r>
        <w:rPr>
          <w:spacing w:val="-8"/>
        </w:rPr>
        <w:t> </w:t>
      </w:r>
      <w:r>
        <w:rPr/>
        <w:t>wages.</w:t>
      </w:r>
    </w:p>
    <w:p>
      <w:pPr>
        <w:pStyle w:val="Heading3"/>
        <w:spacing w:before="120"/>
        <w:ind w:left="868"/>
      </w:pPr>
      <w:r>
        <w:rPr/>
        <w:t>General Policy, Legal and Administrative Framework</w:t>
      </w:r>
    </w:p>
    <w:p>
      <w:pPr>
        <w:pStyle w:val="BodyText"/>
        <w:spacing w:line="276" w:lineRule="auto" w:before="157"/>
        <w:ind w:left="868" w:right="152"/>
        <w:jc w:val="both"/>
      </w:pPr>
      <w:r>
        <w:rPr/>
        <w:t>The review of the existing legislations, policies and institutions involved was conducted to identify requirements as well as gaps and conflicts of the relevant national and provincial, legal and institutional arrangements that would hinder or guide the development of the project in line with the international laws applicable to Yellow BRT Corridor Project. Pakistan</w:t>
      </w:r>
      <w:r>
        <w:rPr>
          <w:spacing w:val="-11"/>
        </w:rPr>
        <w:t> </w:t>
      </w:r>
      <w:r>
        <w:rPr/>
        <w:t>being</w:t>
      </w:r>
      <w:r>
        <w:rPr>
          <w:spacing w:val="-7"/>
        </w:rPr>
        <w:t> </w:t>
      </w:r>
      <w:r>
        <w:rPr/>
        <w:t>a</w:t>
      </w:r>
      <w:r>
        <w:rPr>
          <w:spacing w:val="-11"/>
        </w:rPr>
        <w:t> </w:t>
      </w:r>
      <w:r>
        <w:rPr/>
        <w:t>signatory</w:t>
      </w:r>
      <w:r>
        <w:rPr>
          <w:spacing w:val="-11"/>
        </w:rPr>
        <w:t> </w:t>
      </w:r>
      <w:r>
        <w:rPr/>
        <w:t>to</w:t>
      </w:r>
      <w:r>
        <w:rPr>
          <w:spacing w:val="-9"/>
        </w:rPr>
        <w:t> </w:t>
      </w:r>
      <w:r>
        <w:rPr/>
        <w:t>various</w:t>
      </w:r>
      <w:r>
        <w:rPr>
          <w:spacing w:val="-9"/>
        </w:rPr>
        <w:t> </w:t>
      </w:r>
      <w:r>
        <w:rPr/>
        <w:t>international</w:t>
      </w:r>
      <w:r>
        <w:rPr>
          <w:spacing w:val="-10"/>
        </w:rPr>
        <w:t> </w:t>
      </w:r>
      <w:r>
        <w:rPr/>
        <w:t>conventions</w:t>
      </w:r>
      <w:r>
        <w:rPr>
          <w:spacing w:val="-8"/>
        </w:rPr>
        <w:t> </w:t>
      </w:r>
      <w:r>
        <w:rPr/>
        <w:t>and</w:t>
      </w:r>
      <w:r>
        <w:rPr>
          <w:spacing w:val="-9"/>
        </w:rPr>
        <w:t> </w:t>
      </w:r>
      <w:r>
        <w:rPr/>
        <w:t>laws,</w:t>
      </w:r>
      <w:r>
        <w:rPr>
          <w:spacing w:val="-8"/>
        </w:rPr>
        <w:t> </w:t>
      </w:r>
      <w:r>
        <w:rPr/>
        <w:t>it’s</w:t>
      </w:r>
      <w:r>
        <w:rPr>
          <w:spacing w:val="-8"/>
        </w:rPr>
        <w:t> </w:t>
      </w:r>
      <w:r>
        <w:rPr/>
        <w:t>important</w:t>
      </w:r>
      <w:r>
        <w:rPr>
          <w:spacing w:val="-10"/>
        </w:rPr>
        <w:t> </w:t>
      </w:r>
      <w:r>
        <w:rPr/>
        <w:t>that national projects are in line with these laws and the relevant international</w:t>
      </w:r>
      <w:r>
        <w:rPr>
          <w:spacing w:val="-27"/>
        </w:rPr>
        <w:t> </w:t>
      </w:r>
      <w:r>
        <w:rPr/>
        <w:t>conventions.</w:t>
      </w:r>
    </w:p>
    <w:p>
      <w:pPr>
        <w:pStyle w:val="BodyText"/>
        <w:spacing w:line="276" w:lineRule="auto" w:before="120"/>
        <w:ind w:left="868" w:right="153"/>
        <w:jc w:val="both"/>
      </w:pPr>
      <w:r>
        <w:rPr/>
        <w:t>The Constitution includes provisions to protect the rights of individuals to private property, equal</w:t>
      </w:r>
      <w:r>
        <w:rPr>
          <w:spacing w:val="-12"/>
        </w:rPr>
        <w:t> </w:t>
      </w:r>
      <w:r>
        <w:rPr/>
        <w:t>treatment</w:t>
      </w:r>
      <w:r>
        <w:rPr>
          <w:spacing w:val="-12"/>
        </w:rPr>
        <w:t> </w:t>
      </w:r>
      <w:r>
        <w:rPr/>
        <w:t>to</w:t>
      </w:r>
      <w:r>
        <w:rPr>
          <w:spacing w:val="-11"/>
        </w:rPr>
        <w:t> </w:t>
      </w:r>
      <w:r>
        <w:rPr/>
        <w:t>all</w:t>
      </w:r>
      <w:r>
        <w:rPr>
          <w:spacing w:val="-10"/>
        </w:rPr>
        <w:t> </w:t>
      </w:r>
      <w:r>
        <w:rPr/>
        <w:t>citizens/</w:t>
      </w:r>
      <w:r>
        <w:rPr>
          <w:spacing w:val="-9"/>
        </w:rPr>
        <w:t> </w:t>
      </w:r>
      <w:r>
        <w:rPr/>
        <w:t>persons,</w:t>
      </w:r>
      <w:r>
        <w:rPr>
          <w:spacing w:val="-10"/>
        </w:rPr>
        <w:t> </w:t>
      </w:r>
      <w:r>
        <w:rPr/>
        <w:t>without</w:t>
      </w:r>
      <w:r>
        <w:rPr>
          <w:spacing w:val="-9"/>
        </w:rPr>
        <w:t> </w:t>
      </w:r>
      <w:r>
        <w:rPr/>
        <w:t>any</w:t>
      </w:r>
      <w:r>
        <w:rPr>
          <w:spacing w:val="-11"/>
        </w:rPr>
        <w:t> </w:t>
      </w:r>
      <w:r>
        <w:rPr/>
        <w:t>distinction</w:t>
      </w:r>
      <w:r>
        <w:rPr>
          <w:spacing w:val="-9"/>
        </w:rPr>
        <w:t> </w:t>
      </w:r>
      <w:r>
        <w:rPr/>
        <w:t>including</w:t>
      </w:r>
      <w:r>
        <w:rPr>
          <w:spacing w:val="-9"/>
        </w:rPr>
        <w:t> </w:t>
      </w:r>
      <w:r>
        <w:rPr/>
        <w:t>on</w:t>
      </w:r>
      <w:r>
        <w:rPr>
          <w:spacing w:val="-9"/>
        </w:rPr>
        <w:t> </w:t>
      </w:r>
      <w:r>
        <w:rPr/>
        <w:t>the</w:t>
      </w:r>
      <w:r>
        <w:rPr>
          <w:spacing w:val="-11"/>
        </w:rPr>
        <w:t> </w:t>
      </w:r>
      <w:r>
        <w:rPr/>
        <w:t>basis</w:t>
      </w:r>
      <w:r>
        <w:rPr>
          <w:spacing w:val="-9"/>
        </w:rPr>
        <w:t> </w:t>
      </w:r>
      <w:r>
        <w:rPr/>
        <w:t>of</w:t>
      </w:r>
      <w:r>
        <w:rPr>
          <w:spacing w:val="-10"/>
        </w:rPr>
        <w:t> </w:t>
      </w:r>
      <w:r>
        <w:rPr/>
        <w:t>sex a</w:t>
      </w:r>
      <w:r>
        <w:rPr>
          <w:spacing w:val="-7"/>
        </w:rPr>
        <w:t> </w:t>
      </w:r>
      <w:r>
        <w:rPr/>
        <w:t>range</w:t>
      </w:r>
      <w:r>
        <w:rPr>
          <w:spacing w:val="-7"/>
        </w:rPr>
        <w:t> </w:t>
      </w:r>
      <w:r>
        <w:rPr/>
        <w:t>of</w:t>
      </w:r>
      <w:r>
        <w:rPr>
          <w:spacing w:val="-6"/>
        </w:rPr>
        <w:t> </w:t>
      </w:r>
      <w:r>
        <w:rPr/>
        <w:t>provisions</w:t>
      </w:r>
      <w:r>
        <w:rPr>
          <w:spacing w:val="-7"/>
        </w:rPr>
        <w:t> </w:t>
      </w:r>
      <w:r>
        <w:rPr/>
        <w:t>with</w:t>
      </w:r>
      <w:r>
        <w:rPr>
          <w:spacing w:val="-7"/>
        </w:rPr>
        <w:t> </w:t>
      </w:r>
      <w:r>
        <w:rPr/>
        <w:t>regards</w:t>
      </w:r>
      <w:r>
        <w:rPr>
          <w:spacing w:val="-9"/>
        </w:rPr>
        <w:t> </w:t>
      </w:r>
      <w:r>
        <w:rPr/>
        <w:t>to</w:t>
      </w:r>
      <w:r>
        <w:rPr>
          <w:spacing w:val="-7"/>
        </w:rPr>
        <w:t> </w:t>
      </w:r>
      <w:r>
        <w:rPr/>
        <w:t>labour</w:t>
      </w:r>
      <w:r>
        <w:rPr>
          <w:spacing w:val="-9"/>
        </w:rPr>
        <w:t> </w:t>
      </w:r>
      <w:r>
        <w:rPr/>
        <w:t>rights.</w:t>
      </w:r>
      <w:r>
        <w:rPr>
          <w:spacing w:val="-9"/>
        </w:rPr>
        <w:t> </w:t>
      </w:r>
      <w:r>
        <w:rPr/>
        <w:t>The</w:t>
      </w:r>
      <w:r>
        <w:rPr>
          <w:spacing w:val="-8"/>
        </w:rPr>
        <w:t> </w:t>
      </w:r>
      <w:r>
        <w:rPr/>
        <w:t>national</w:t>
      </w:r>
      <w:r>
        <w:rPr>
          <w:spacing w:val="-8"/>
        </w:rPr>
        <w:t> </w:t>
      </w:r>
      <w:r>
        <w:rPr/>
        <w:t>and</w:t>
      </w:r>
      <w:r>
        <w:rPr>
          <w:spacing w:val="-4"/>
        </w:rPr>
        <w:t> </w:t>
      </w:r>
      <w:r>
        <w:rPr/>
        <w:t>provincial</w:t>
      </w:r>
      <w:r>
        <w:rPr>
          <w:spacing w:val="-8"/>
        </w:rPr>
        <w:t> </w:t>
      </w:r>
      <w:r>
        <w:rPr/>
        <w:t>laws</w:t>
      </w:r>
      <w:r>
        <w:rPr>
          <w:spacing w:val="-7"/>
        </w:rPr>
        <w:t> </w:t>
      </w:r>
      <w:r>
        <w:rPr/>
        <w:t>protect peoples and environment through a number of legislations including land acquisition through fair and adequate compensation for public interest projects, gender development and labour related issues and protection of cultural resources. A host of institutions are created at federal, provincial and local government levels for infrastructure development and public and provision of social</w:t>
      </w:r>
      <w:r>
        <w:rPr>
          <w:spacing w:val="-12"/>
        </w:rPr>
        <w:t> </w:t>
      </w:r>
      <w:r>
        <w:rPr/>
        <w:t>services.</w:t>
      </w:r>
    </w:p>
    <w:p>
      <w:pPr>
        <w:pStyle w:val="BodyText"/>
        <w:spacing w:line="276" w:lineRule="auto" w:before="120"/>
        <w:ind w:left="868" w:right="154"/>
        <w:jc w:val="both"/>
      </w:pPr>
      <w:r>
        <w:rPr/>
        <w:t>The</w:t>
      </w:r>
      <w:r>
        <w:rPr>
          <w:spacing w:val="-10"/>
        </w:rPr>
        <w:t> </w:t>
      </w:r>
      <w:r>
        <w:rPr>
          <w:u w:val="single"/>
        </w:rPr>
        <w:t>World</w:t>
      </w:r>
      <w:r>
        <w:rPr>
          <w:spacing w:val="-3"/>
          <w:u w:val="single"/>
        </w:rPr>
        <w:t> </w:t>
      </w:r>
      <w:r>
        <w:rPr>
          <w:u w:val="single"/>
        </w:rPr>
        <w:t>Bank’s</w:t>
      </w:r>
      <w:r>
        <w:rPr>
          <w:spacing w:val="-5"/>
          <w:u w:val="single"/>
        </w:rPr>
        <w:t> </w:t>
      </w:r>
      <w:r>
        <w:rPr>
          <w:u w:val="single"/>
        </w:rPr>
        <w:t>Operational</w:t>
      </w:r>
      <w:r>
        <w:rPr>
          <w:spacing w:val="-4"/>
          <w:u w:val="single"/>
        </w:rPr>
        <w:t> </w:t>
      </w:r>
      <w:r>
        <w:rPr>
          <w:u w:val="single"/>
        </w:rPr>
        <w:t>Policies</w:t>
      </w:r>
      <w:r>
        <w:rPr>
          <w:spacing w:val="-1"/>
          <w:u w:val="single"/>
        </w:rPr>
        <w:t> </w:t>
      </w:r>
      <w:r>
        <w:rPr/>
        <w:t>address</w:t>
      </w:r>
      <w:r>
        <w:rPr>
          <w:spacing w:val="-2"/>
        </w:rPr>
        <w:t> </w:t>
      </w:r>
      <w:r>
        <w:rPr/>
        <w:t>the</w:t>
      </w:r>
      <w:r>
        <w:rPr>
          <w:spacing w:val="-3"/>
        </w:rPr>
        <w:t> </w:t>
      </w:r>
      <w:r>
        <w:rPr/>
        <w:t>social</w:t>
      </w:r>
      <w:r>
        <w:rPr>
          <w:spacing w:val="-4"/>
        </w:rPr>
        <w:t> </w:t>
      </w:r>
      <w:r>
        <w:rPr/>
        <w:t>risks</w:t>
      </w:r>
      <w:r>
        <w:rPr>
          <w:spacing w:val="-3"/>
        </w:rPr>
        <w:t> </w:t>
      </w:r>
      <w:r>
        <w:rPr/>
        <w:t>and</w:t>
      </w:r>
      <w:r>
        <w:rPr>
          <w:spacing w:val="-5"/>
        </w:rPr>
        <w:t> </w:t>
      </w:r>
      <w:r>
        <w:rPr/>
        <w:t>harms</w:t>
      </w:r>
      <w:r>
        <w:rPr>
          <w:spacing w:val="-5"/>
        </w:rPr>
        <w:t> </w:t>
      </w:r>
      <w:r>
        <w:rPr/>
        <w:t>that</w:t>
      </w:r>
      <w:r>
        <w:rPr>
          <w:spacing w:val="-4"/>
        </w:rPr>
        <w:t> </w:t>
      </w:r>
      <w:r>
        <w:rPr/>
        <w:t>may</w:t>
      </w:r>
      <w:r>
        <w:rPr>
          <w:spacing w:val="-5"/>
        </w:rPr>
        <w:t> </w:t>
      </w:r>
      <w:r>
        <w:rPr/>
        <w:t>derive from </w:t>
      </w:r>
      <w:r>
        <w:rPr>
          <w:spacing w:val="3"/>
        </w:rPr>
        <w:t>WB </w:t>
      </w:r>
      <w:r>
        <w:rPr/>
        <w:t>financed projects in order to avoid actions with undesirable effects. The IA will comply with OP 4.12 where involuntary resettlement, impacts on livelihoods and assets, acquisition of land or restrictions to natural resources may take place as a result of the Project.</w:t>
      </w:r>
    </w:p>
    <w:p>
      <w:pPr>
        <w:pStyle w:val="BodyText"/>
        <w:spacing w:line="276" w:lineRule="auto" w:before="120"/>
        <w:ind w:left="868" w:right="152"/>
        <w:jc w:val="both"/>
      </w:pPr>
      <w:r>
        <w:rPr/>
        <w:t>The</w:t>
      </w:r>
      <w:r>
        <w:rPr>
          <w:spacing w:val="-13"/>
        </w:rPr>
        <w:t> </w:t>
      </w:r>
      <w:r>
        <w:rPr/>
        <w:t>eligibility</w:t>
      </w:r>
      <w:r>
        <w:rPr>
          <w:spacing w:val="-15"/>
        </w:rPr>
        <w:t> </w:t>
      </w:r>
      <w:r>
        <w:rPr/>
        <w:t>for</w:t>
      </w:r>
      <w:r>
        <w:rPr>
          <w:spacing w:val="-14"/>
        </w:rPr>
        <w:t> </w:t>
      </w:r>
      <w:r>
        <w:rPr/>
        <w:t>compensation</w:t>
      </w:r>
      <w:r>
        <w:rPr>
          <w:spacing w:val="-12"/>
        </w:rPr>
        <w:t> </w:t>
      </w:r>
      <w:r>
        <w:rPr/>
        <w:t>was</w:t>
      </w:r>
      <w:r>
        <w:rPr>
          <w:spacing w:val="-13"/>
        </w:rPr>
        <w:t> </w:t>
      </w:r>
      <w:r>
        <w:rPr>
          <w:u w:val="single"/>
        </w:rPr>
        <w:t>22</w:t>
      </w:r>
      <w:r>
        <w:rPr>
          <w:spacing w:val="-13"/>
          <w:u w:val="single"/>
        </w:rPr>
        <w:t> </w:t>
      </w:r>
      <w:r>
        <w:rPr>
          <w:u w:val="single"/>
        </w:rPr>
        <w:t>February</w:t>
      </w:r>
      <w:r>
        <w:rPr>
          <w:spacing w:val="-14"/>
          <w:u w:val="single"/>
        </w:rPr>
        <w:t> </w:t>
      </w:r>
      <w:r>
        <w:rPr>
          <w:u w:val="single"/>
        </w:rPr>
        <w:t>2019</w:t>
      </w:r>
      <w:r>
        <w:rPr>
          <w:spacing w:val="-12"/>
          <w:u w:val="single"/>
        </w:rPr>
        <w:t> </w:t>
      </w:r>
      <w:r>
        <w:rPr/>
        <w:t>defined</w:t>
      </w:r>
      <w:r>
        <w:rPr>
          <w:spacing w:val="-12"/>
        </w:rPr>
        <w:t> </w:t>
      </w:r>
      <w:r>
        <w:rPr/>
        <w:t>as</w:t>
      </w:r>
      <w:r>
        <w:rPr>
          <w:spacing w:val="-15"/>
        </w:rPr>
        <w:t> </w:t>
      </w:r>
      <w:r>
        <w:rPr/>
        <w:t>the</w:t>
      </w:r>
      <w:r>
        <w:rPr>
          <w:spacing w:val="-15"/>
        </w:rPr>
        <w:t> </w:t>
      </w:r>
      <w:r>
        <w:rPr/>
        <w:t>cut-off</w:t>
      </w:r>
      <w:r>
        <w:rPr>
          <w:spacing w:val="-14"/>
        </w:rPr>
        <w:t> </w:t>
      </w:r>
      <w:r>
        <w:rPr/>
        <w:t>date.</w:t>
      </w:r>
      <w:r>
        <w:rPr>
          <w:spacing w:val="-16"/>
        </w:rPr>
        <w:t> </w:t>
      </w:r>
      <w:r>
        <w:rPr/>
        <w:t>This</w:t>
      </w:r>
      <w:r>
        <w:rPr>
          <w:spacing w:val="-12"/>
        </w:rPr>
        <w:t> </w:t>
      </w:r>
      <w:r>
        <w:rPr/>
        <w:t>date was</w:t>
      </w:r>
      <w:r>
        <w:rPr>
          <w:spacing w:val="-11"/>
        </w:rPr>
        <w:t> </w:t>
      </w:r>
      <w:r>
        <w:rPr/>
        <w:t>when</w:t>
      </w:r>
      <w:r>
        <w:rPr>
          <w:spacing w:val="-11"/>
        </w:rPr>
        <w:t> </w:t>
      </w:r>
      <w:r>
        <w:rPr/>
        <w:t>the</w:t>
      </w:r>
      <w:r>
        <w:rPr>
          <w:spacing w:val="-14"/>
        </w:rPr>
        <w:t> </w:t>
      </w:r>
      <w:r>
        <w:rPr/>
        <w:t>census</w:t>
      </w:r>
      <w:r>
        <w:rPr>
          <w:spacing w:val="-14"/>
        </w:rPr>
        <w:t> </w:t>
      </w:r>
      <w:r>
        <w:rPr/>
        <w:t>of</w:t>
      </w:r>
      <w:r>
        <w:rPr>
          <w:spacing w:val="-12"/>
        </w:rPr>
        <w:t> </w:t>
      </w:r>
      <w:r>
        <w:rPr/>
        <w:t>affected</w:t>
      </w:r>
      <w:r>
        <w:rPr>
          <w:spacing w:val="-14"/>
        </w:rPr>
        <w:t> </w:t>
      </w:r>
      <w:r>
        <w:rPr/>
        <w:t>people</w:t>
      </w:r>
      <w:r>
        <w:rPr>
          <w:spacing w:val="-14"/>
        </w:rPr>
        <w:t> </w:t>
      </w:r>
      <w:r>
        <w:rPr/>
        <w:t>living</w:t>
      </w:r>
      <w:r>
        <w:rPr>
          <w:spacing w:val="-9"/>
        </w:rPr>
        <w:t> </w:t>
      </w:r>
      <w:r>
        <w:rPr/>
        <w:t>in</w:t>
      </w:r>
      <w:r>
        <w:rPr>
          <w:spacing w:val="-13"/>
        </w:rPr>
        <w:t> </w:t>
      </w:r>
      <w:r>
        <w:rPr/>
        <w:t>the</w:t>
      </w:r>
      <w:r>
        <w:rPr>
          <w:spacing w:val="-11"/>
        </w:rPr>
        <w:t> </w:t>
      </w:r>
      <w:r>
        <w:rPr/>
        <w:t>project</w:t>
      </w:r>
      <w:r>
        <w:rPr>
          <w:spacing w:val="-12"/>
        </w:rPr>
        <w:t> </w:t>
      </w:r>
      <w:r>
        <w:rPr/>
        <w:t>area</w:t>
      </w:r>
      <w:r>
        <w:rPr>
          <w:spacing w:val="-13"/>
        </w:rPr>
        <w:t> </w:t>
      </w:r>
      <w:r>
        <w:rPr/>
        <w:t>was</w:t>
      </w:r>
      <w:r>
        <w:rPr>
          <w:spacing w:val="-13"/>
        </w:rPr>
        <w:t> </w:t>
      </w:r>
      <w:r>
        <w:rPr/>
        <w:t>completed.</w:t>
      </w:r>
      <w:r>
        <w:rPr>
          <w:spacing w:val="-12"/>
        </w:rPr>
        <w:t> </w:t>
      </w:r>
      <w:r>
        <w:rPr/>
        <w:t>Adequate measures have been put in place in C&amp;LRP to mitigate adverse impacts on the socio- economic conditions and livelihood of PAPs. The entitlement matrix has been prepared to cover all PAPs regardless of formal legal rights to restore or enhance the livelihoods of all categories of PAPs, particularly those who are non-title holders and vulnerable. The detail of entitlements is given in the </w:t>
      </w:r>
      <w:r>
        <w:rPr>
          <w:b/>
        </w:rPr>
        <w:t>Table 1</w:t>
      </w:r>
      <w:r>
        <w:rPr>
          <w:b/>
          <w:spacing w:val="-16"/>
        </w:rPr>
        <w:t> </w:t>
      </w:r>
      <w:r>
        <w:rPr/>
        <w:t>below:</w:t>
      </w:r>
    </w:p>
    <w:p>
      <w:pPr>
        <w:spacing w:after="0" w:line="276" w:lineRule="auto"/>
        <w:jc w:val="both"/>
        <w:sectPr>
          <w:pgSz w:w="11910" w:h="16840"/>
          <w:pgMar w:header="583" w:footer="575" w:top="840" w:bottom="760" w:left="860" w:right="1280"/>
        </w:sectPr>
      </w:pPr>
    </w:p>
    <w:p>
      <w:pPr>
        <w:pStyle w:val="BodyText"/>
        <w:rPr>
          <w:sz w:val="20"/>
        </w:rPr>
      </w:pPr>
    </w:p>
    <w:p>
      <w:pPr>
        <w:pStyle w:val="BodyText"/>
        <w:rPr>
          <w:sz w:val="20"/>
        </w:rPr>
      </w:pPr>
    </w:p>
    <w:p>
      <w:pPr>
        <w:pStyle w:val="BodyText"/>
        <w:spacing w:before="10"/>
        <w:rPr>
          <w:sz w:val="27"/>
        </w:rPr>
      </w:pPr>
    </w:p>
    <w:p>
      <w:pPr>
        <w:pStyle w:val="Heading3"/>
        <w:spacing w:before="93"/>
        <w:ind w:left="3809"/>
        <w:jc w:val="left"/>
      </w:pPr>
      <w:r>
        <w:rPr>
          <w:u w:val="thick"/>
        </w:rPr>
        <w:t>Table 1 : Entitlement Matrix</w:t>
      </w:r>
    </w:p>
    <w:p>
      <w:pPr>
        <w:pStyle w:val="BodyText"/>
        <w:spacing w:before="8"/>
        <w:rPr>
          <w:b/>
          <w:sz w:val="13"/>
        </w:rPr>
      </w:pPr>
    </w:p>
    <w:tbl>
      <w:tblPr>
        <w:tblW w:w="0" w:type="auto"/>
        <w:jc w:val="left"/>
        <w:tblInd w:w="9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69"/>
        <w:gridCol w:w="1237"/>
        <w:gridCol w:w="972"/>
        <w:gridCol w:w="1589"/>
        <w:gridCol w:w="4275"/>
      </w:tblGrid>
      <w:tr>
        <w:trPr>
          <w:trHeight w:val="599" w:hRule="exact"/>
        </w:trPr>
        <w:tc>
          <w:tcPr>
            <w:tcW w:w="569" w:type="dxa"/>
            <w:tcBorders>
              <w:bottom w:val="single" w:sz="4" w:space="0" w:color="000000"/>
              <w:right w:val="single" w:sz="4" w:space="0" w:color="000000"/>
            </w:tcBorders>
            <w:shd w:val="clear" w:color="auto" w:fill="BEBEBE"/>
          </w:tcPr>
          <w:p>
            <w:pPr>
              <w:pStyle w:val="TableParagraph"/>
              <w:spacing w:before="61"/>
              <w:ind w:left="136"/>
              <w:rPr>
                <w:b/>
                <w:sz w:val="20"/>
              </w:rPr>
            </w:pPr>
            <w:r>
              <w:rPr>
                <w:b/>
                <w:sz w:val="20"/>
              </w:rPr>
              <w:t>Sr.</w:t>
            </w:r>
          </w:p>
          <w:p>
            <w:pPr>
              <w:pStyle w:val="TableParagraph"/>
              <w:spacing w:before="0"/>
              <w:ind w:left="108"/>
              <w:rPr>
                <w:b/>
                <w:sz w:val="20"/>
              </w:rPr>
            </w:pPr>
            <w:r>
              <w:rPr>
                <w:b/>
                <w:sz w:val="20"/>
              </w:rPr>
              <w:t>No.</w:t>
            </w:r>
          </w:p>
        </w:tc>
        <w:tc>
          <w:tcPr>
            <w:tcW w:w="1237" w:type="dxa"/>
            <w:tcBorders>
              <w:left w:val="single" w:sz="4" w:space="0" w:color="000000"/>
              <w:bottom w:val="single" w:sz="4" w:space="0" w:color="000000"/>
              <w:right w:val="single" w:sz="4" w:space="0" w:color="000000"/>
            </w:tcBorders>
            <w:shd w:val="clear" w:color="auto" w:fill="BEBEBE"/>
          </w:tcPr>
          <w:p>
            <w:pPr>
              <w:pStyle w:val="TableParagraph"/>
              <w:spacing w:before="176"/>
              <w:ind w:left="177"/>
              <w:rPr>
                <w:b/>
                <w:sz w:val="20"/>
              </w:rPr>
            </w:pPr>
            <w:r>
              <w:rPr>
                <w:b/>
                <w:sz w:val="20"/>
              </w:rPr>
              <w:t>Category</w:t>
            </w:r>
          </w:p>
        </w:tc>
        <w:tc>
          <w:tcPr>
            <w:tcW w:w="972" w:type="dxa"/>
            <w:tcBorders>
              <w:left w:val="single" w:sz="4" w:space="0" w:color="000000"/>
              <w:bottom w:val="single" w:sz="4" w:space="0" w:color="000000"/>
              <w:right w:val="single" w:sz="4" w:space="0" w:color="000000"/>
            </w:tcBorders>
            <w:shd w:val="clear" w:color="auto" w:fill="BEBEBE"/>
          </w:tcPr>
          <w:p>
            <w:pPr>
              <w:pStyle w:val="TableParagraph"/>
              <w:spacing w:before="61"/>
              <w:ind w:left="244" w:right="110" w:hanging="123"/>
              <w:rPr>
                <w:b/>
                <w:sz w:val="20"/>
              </w:rPr>
            </w:pPr>
            <w:r>
              <w:rPr>
                <w:b/>
                <w:sz w:val="20"/>
              </w:rPr>
              <w:t>Type of Loss</w:t>
            </w:r>
          </w:p>
        </w:tc>
        <w:tc>
          <w:tcPr>
            <w:tcW w:w="1589" w:type="dxa"/>
            <w:tcBorders>
              <w:left w:val="single" w:sz="4" w:space="0" w:color="000000"/>
              <w:bottom w:val="single" w:sz="4" w:space="0" w:color="000000"/>
              <w:right w:val="single" w:sz="4" w:space="0" w:color="000000"/>
            </w:tcBorders>
            <w:shd w:val="clear" w:color="auto" w:fill="BEBEBE"/>
          </w:tcPr>
          <w:p>
            <w:pPr>
              <w:pStyle w:val="TableParagraph"/>
              <w:spacing w:before="176"/>
              <w:ind w:right="195"/>
              <w:jc w:val="right"/>
              <w:rPr>
                <w:b/>
                <w:sz w:val="20"/>
              </w:rPr>
            </w:pPr>
            <w:r>
              <w:rPr>
                <w:b/>
                <w:sz w:val="20"/>
              </w:rPr>
              <w:t>Entitled PAP</w:t>
            </w:r>
          </w:p>
        </w:tc>
        <w:tc>
          <w:tcPr>
            <w:tcW w:w="4275" w:type="dxa"/>
            <w:tcBorders>
              <w:left w:val="single" w:sz="4" w:space="0" w:color="000000"/>
              <w:bottom w:val="single" w:sz="4" w:space="0" w:color="000000"/>
            </w:tcBorders>
            <w:shd w:val="clear" w:color="auto" w:fill="BEBEBE"/>
          </w:tcPr>
          <w:p>
            <w:pPr>
              <w:pStyle w:val="TableParagraph"/>
              <w:spacing w:before="176"/>
              <w:ind w:left="1113"/>
              <w:rPr>
                <w:b/>
                <w:sz w:val="20"/>
              </w:rPr>
            </w:pPr>
            <w:r>
              <w:rPr>
                <w:b/>
                <w:sz w:val="20"/>
              </w:rPr>
              <w:t>Compensation Policy</w:t>
            </w:r>
          </w:p>
        </w:tc>
      </w:tr>
      <w:tr>
        <w:trPr>
          <w:trHeight w:val="1862" w:hRule="exact"/>
        </w:trPr>
        <w:tc>
          <w:tcPr>
            <w:tcW w:w="569" w:type="dxa"/>
            <w:tcBorders>
              <w:top w:val="single" w:sz="4" w:space="0" w:color="000000"/>
              <w:bottom w:val="single" w:sz="4" w:space="0" w:color="000000"/>
              <w:right w:val="single" w:sz="4" w:space="0" w:color="000000"/>
            </w:tcBorders>
          </w:tcPr>
          <w:p>
            <w:pPr>
              <w:pStyle w:val="TableParagraph"/>
              <w:spacing w:before="0"/>
              <w:rPr>
                <w:b/>
                <w:sz w:val="22"/>
              </w:rPr>
            </w:pPr>
          </w:p>
          <w:p>
            <w:pPr>
              <w:pStyle w:val="TableParagraph"/>
              <w:spacing w:before="0"/>
              <w:rPr>
                <w:b/>
                <w:sz w:val="22"/>
              </w:rPr>
            </w:pPr>
          </w:p>
          <w:p>
            <w:pPr>
              <w:pStyle w:val="TableParagraph"/>
              <w:spacing w:before="0"/>
              <w:rPr>
                <w:b/>
                <w:sz w:val="25"/>
              </w:rPr>
            </w:pPr>
          </w:p>
          <w:p>
            <w:pPr>
              <w:pStyle w:val="TableParagraph"/>
              <w:spacing w:before="0"/>
              <w:ind w:right="9"/>
              <w:jc w:val="center"/>
              <w:rPr>
                <w:sz w:val="20"/>
              </w:rPr>
            </w:pPr>
            <w:r>
              <w:rPr>
                <w:w w:val="99"/>
                <w:sz w:val="20"/>
              </w:rPr>
              <w:t>1</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spacing w:before="0"/>
              <w:rPr>
                <w:b/>
                <w:sz w:val="22"/>
              </w:rPr>
            </w:pPr>
          </w:p>
          <w:p>
            <w:pPr>
              <w:pStyle w:val="TableParagraph"/>
              <w:spacing w:before="1"/>
              <w:rPr>
                <w:b/>
                <w:sz w:val="24"/>
              </w:rPr>
            </w:pPr>
          </w:p>
          <w:p>
            <w:pPr>
              <w:pStyle w:val="TableParagraph"/>
              <w:spacing w:line="276" w:lineRule="auto" w:before="0"/>
              <w:ind w:left="216" w:right="221" w:hanging="1"/>
              <w:jc w:val="center"/>
              <w:rPr>
                <w:sz w:val="20"/>
              </w:rPr>
            </w:pPr>
            <w:r>
              <w:rPr>
                <w:sz w:val="20"/>
              </w:rPr>
              <w:t>Loss of </w:t>
            </w:r>
            <w:r>
              <w:rPr>
                <w:w w:val="95"/>
                <w:sz w:val="20"/>
              </w:rPr>
              <w:t>business </w:t>
            </w:r>
            <w:r>
              <w:rPr>
                <w:sz w:val="20"/>
              </w:rPr>
              <w:t>income</w:t>
            </w:r>
          </w:p>
        </w:tc>
        <w:tc>
          <w:tcPr>
            <w:tcW w:w="972" w:type="dxa"/>
            <w:tcBorders>
              <w:top w:val="single" w:sz="4" w:space="0" w:color="000000"/>
              <w:left w:val="single" w:sz="4" w:space="0" w:color="000000"/>
              <w:bottom w:val="single" w:sz="4" w:space="0" w:color="000000"/>
              <w:right w:val="single" w:sz="4" w:space="0" w:color="000000"/>
            </w:tcBorders>
          </w:tcPr>
          <w:p>
            <w:pPr>
              <w:pStyle w:val="TableParagraph"/>
              <w:spacing w:line="276" w:lineRule="auto" w:before="2"/>
              <w:ind w:left="83" w:right="88" w:hanging="1"/>
              <w:jc w:val="center"/>
              <w:rPr>
                <w:sz w:val="20"/>
              </w:rPr>
            </w:pPr>
            <w:r>
              <w:rPr>
                <w:sz w:val="20"/>
              </w:rPr>
              <w:t>Loss of income from vending and other </w:t>
            </w:r>
            <w:r>
              <w:rPr>
                <w:w w:val="95"/>
                <w:sz w:val="20"/>
              </w:rPr>
              <w:t>business</w:t>
            </w:r>
          </w:p>
        </w:tc>
        <w:tc>
          <w:tcPr>
            <w:tcW w:w="1589" w:type="dxa"/>
            <w:tcBorders>
              <w:top w:val="single" w:sz="4" w:space="0" w:color="000000"/>
              <w:left w:val="single" w:sz="4" w:space="0" w:color="000000"/>
              <w:bottom w:val="single" w:sz="4" w:space="0" w:color="000000"/>
              <w:right w:val="single" w:sz="4" w:space="0" w:color="000000"/>
            </w:tcBorders>
          </w:tcPr>
          <w:p>
            <w:pPr>
              <w:pStyle w:val="TableParagraph"/>
              <w:spacing w:before="0"/>
              <w:rPr>
                <w:b/>
                <w:sz w:val="22"/>
              </w:rPr>
            </w:pPr>
          </w:p>
          <w:p>
            <w:pPr>
              <w:pStyle w:val="TableParagraph"/>
              <w:spacing w:line="276" w:lineRule="auto" w:before="145"/>
              <w:ind w:left="148" w:right="153"/>
              <w:jc w:val="center"/>
              <w:rPr>
                <w:sz w:val="20"/>
              </w:rPr>
            </w:pPr>
            <w:r>
              <w:rPr>
                <w:sz w:val="20"/>
              </w:rPr>
              <w:t>82 businesses (Vendors and Nurseries owner)</w:t>
            </w:r>
          </w:p>
        </w:tc>
        <w:tc>
          <w:tcPr>
            <w:tcW w:w="4275" w:type="dxa"/>
            <w:tcBorders>
              <w:top w:val="single" w:sz="4" w:space="0" w:color="000000"/>
              <w:left w:val="single" w:sz="4" w:space="0" w:color="000000"/>
              <w:bottom w:val="single" w:sz="4" w:space="0" w:color="000000"/>
            </w:tcBorders>
          </w:tcPr>
          <w:p>
            <w:pPr>
              <w:pStyle w:val="TableParagraph"/>
              <w:numPr>
                <w:ilvl w:val="0"/>
                <w:numId w:val="2"/>
              </w:numPr>
              <w:tabs>
                <w:tab w:pos="262" w:val="left" w:leader="none"/>
              </w:tabs>
              <w:spacing w:line="273" w:lineRule="auto" w:before="3" w:after="0"/>
              <w:ind w:left="261" w:right="59" w:hanging="197"/>
              <w:jc w:val="both"/>
              <w:rPr>
                <w:sz w:val="20"/>
              </w:rPr>
            </w:pPr>
            <w:r>
              <w:rPr>
                <w:sz w:val="20"/>
              </w:rPr>
              <w:t>Cash payment for 12 months transitional allowance as per monthly income from the business (lump sum</w:t>
            </w:r>
            <w:r>
              <w:rPr>
                <w:spacing w:val="-10"/>
                <w:sz w:val="20"/>
              </w:rPr>
              <w:t> </w:t>
            </w:r>
            <w:r>
              <w:rPr>
                <w:sz w:val="20"/>
              </w:rPr>
              <w:t>payment).</w:t>
            </w:r>
          </w:p>
          <w:p>
            <w:pPr>
              <w:pStyle w:val="TableParagraph"/>
              <w:numPr>
                <w:ilvl w:val="0"/>
                <w:numId w:val="2"/>
              </w:numPr>
              <w:tabs>
                <w:tab w:pos="262" w:val="left" w:leader="none"/>
              </w:tabs>
              <w:spacing w:line="273" w:lineRule="auto" w:before="3" w:after="0"/>
              <w:ind w:left="261" w:right="62" w:hanging="197"/>
              <w:jc w:val="both"/>
              <w:rPr>
                <w:sz w:val="20"/>
              </w:rPr>
            </w:pPr>
            <w:r>
              <w:rPr>
                <w:sz w:val="20"/>
              </w:rPr>
              <w:t>Temporary and permanent employment to members of PAHs during construction or operation of the project, where</w:t>
            </w:r>
            <w:r>
              <w:rPr>
                <w:spacing w:val="-13"/>
                <w:sz w:val="20"/>
              </w:rPr>
              <w:t> </w:t>
            </w:r>
            <w:r>
              <w:rPr>
                <w:sz w:val="20"/>
              </w:rPr>
              <w:t>feasible.</w:t>
            </w:r>
          </w:p>
        </w:tc>
      </w:tr>
      <w:tr>
        <w:trPr>
          <w:trHeight w:val="2168" w:hRule="exact"/>
        </w:trPr>
        <w:tc>
          <w:tcPr>
            <w:tcW w:w="569" w:type="dxa"/>
            <w:tcBorders>
              <w:top w:val="single" w:sz="4" w:space="0" w:color="000000"/>
              <w:bottom w:val="single" w:sz="4" w:space="0" w:color="000000"/>
              <w:right w:val="single" w:sz="4" w:space="0" w:color="000000"/>
            </w:tcBorders>
          </w:tcPr>
          <w:p>
            <w:pPr>
              <w:pStyle w:val="TableParagraph"/>
              <w:spacing w:before="0"/>
              <w:rPr>
                <w:b/>
                <w:sz w:val="22"/>
              </w:rPr>
            </w:pPr>
          </w:p>
          <w:p>
            <w:pPr>
              <w:pStyle w:val="TableParagraph"/>
              <w:spacing w:before="0"/>
              <w:rPr>
                <w:b/>
                <w:sz w:val="22"/>
              </w:rPr>
            </w:pPr>
          </w:p>
          <w:p>
            <w:pPr>
              <w:pStyle w:val="TableParagraph"/>
              <w:spacing w:before="0"/>
              <w:rPr>
                <w:b/>
                <w:sz w:val="22"/>
              </w:rPr>
            </w:pPr>
          </w:p>
          <w:p>
            <w:pPr>
              <w:pStyle w:val="TableParagraph"/>
              <w:spacing w:before="187"/>
              <w:ind w:right="9"/>
              <w:jc w:val="center"/>
              <w:rPr>
                <w:sz w:val="20"/>
              </w:rPr>
            </w:pPr>
            <w:r>
              <w:rPr>
                <w:w w:val="99"/>
                <w:sz w:val="20"/>
              </w:rPr>
              <w:t>2</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spacing w:before="0"/>
              <w:rPr>
                <w:b/>
                <w:sz w:val="22"/>
              </w:rPr>
            </w:pPr>
          </w:p>
          <w:p>
            <w:pPr>
              <w:pStyle w:val="TableParagraph"/>
              <w:spacing w:before="0"/>
              <w:rPr>
                <w:b/>
                <w:sz w:val="22"/>
              </w:rPr>
            </w:pPr>
          </w:p>
          <w:p>
            <w:pPr>
              <w:pStyle w:val="TableParagraph"/>
              <w:spacing w:before="8"/>
              <w:rPr>
                <w:b/>
                <w:sz w:val="26"/>
              </w:rPr>
            </w:pPr>
          </w:p>
          <w:p>
            <w:pPr>
              <w:pStyle w:val="TableParagraph"/>
              <w:spacing w:line="276" w:lineRule="auto" w:before="1"/>
              <w:ind w:left="64" w:firstLine="223"/>
              <w:rPr>
                <w:sz w:val="20"/>
              </w:rPr>
            </w:pPr>
            <w:r>
              <w:rPr>
                <w:sz w:val="20"/>
              </w:rPr>
              <w:t>Loss of </w:t>
            </w:r>
            <w:r>
              <w:rPr>
                <w:w w:val="95"/>
                <w:sz w:val="20"/>
              </w:rPr>
              <w:t>employment</w:t>
            </w:r>
          </w:p>
        </w:tc>
        <w:tc>
          <w:tcPr>
            <w:tcW w:w="972" w:type="dxa"/>
            <w:tcBorders>
              <w:top w:val="single" w:sz="4" w:space="0" w:color="000000"/>
              <w:left w:val="single" w:sz="4" w:space="0" w:color="000000"/>
              <w:bottom w:val="single" w:sz="4" w:space="0" w:color="000000"/>
              <w:right w:val="single" w:sz="4" w:space="0" w:color="000000"/>
            </w:tcBorders>
          </w:tcPr>
          <w:p>
            <w:pPr>
              <w:pStyle w:val="TableParagraph"/>
              <w:spacing w:before="0"/>
              <w:rPr>
                <w:b/>
                <w:sz w:val="22"/>
              </w:rPr>
            </w:pPr>
          </w:p>
          <w:p>
            <w:pPr>
              <w:pStyle w:val="TableParagraph"/>
              <w:spacing w:before="0"/>
              <w:rPr>
                <w:b/>
                <w:sz w:val="22"/>
              </w:rPr>
            </w:pPr>
          </w:p>
          <w:p>
            <w:pPr>
              <w:pStyle w:val="TableParagraph"/>
              <w:spacing w:before="8"/>
              <w:rPr>
                <w:b/>
                <w:sz w:val="26"/>
              </w:rPr>
            </w:pPr>
          </w:p>
          <w:p>
            <w:pPr>
              <w:pStyle w:val="TableParagraph"/>
              <w:spacing w:line="276" w:lineRule="auto" w:before="1"/>
              <w:ind w:left="155" w:right="142"/>
              <w:rPr>
                <w:sz w:val="20"/>
              </w:rPr>
            </w:pPr>
            <w:r>
              <w:rPr>
                <w:sz w:val="20"/>
              </w:rPr>
              <w:t>Loss of income</w:t>
            </w:r>
          </w:p>
        </w:tc>
        <w:tc>
          <w:tcPr>
            <w:tcW w:w="1589" w:type="dxa"/>
            <w:tcBorders>
              <w:top w:val="single" w:sz="4" w:space="0" w:color="000000"/>
              <w:left w:val="single" w:sz="4" w:space="0" w:color="000000"/>
              <w:bottom w:val="single" w:sz="4" w:space="0" w:color="000000"/>
              <w:right w:val="single" w:sz="4" w:space="0" w:color="000000"/>
            </w:tcBorders>
          </w:tcPr>
          <w:p>
            <w:pPr>
              <w:pStyle w:val="TableParagraph"/>
              <w:spacing w:before="0"/>
              <w:rPr>
                <w:b/>
                <w:sz w:val="22"/>
              </w:rPr>
            </w:pPr>
          </w:p>
          <w:p>
            <w:pPr>
              <w:pStyle w:val="TableParagraph"/>
              <w:spacing w:before="0"/>
              <w:rPr>
                <w:b/>
                <w:sz w:val="22"/>
              </w:rPr>
            </w:pPr>
          </w:p>
          <w:p>
            <w:pPr>
              <w:pStyle w:val="TableParagraph"/>
              <w:spacing w:before="0"/>
              <w:rPr>
                <w:b/>
                <w:sz w:val="22"/>
              </w:rPr>
            </w:pPr>
          </w:p>
          <w:p>
            <w:pPr>
              <w:pStyle w:val="TableParagraph"/>
              <w:spacing w:before="187"/>
              <w:ind w:right="174"/>
              <w:jc w:val="right"/>
              <w:rPr>
                <w:sz w:val="20"/>
              </w:rPr>
            </w:pPr>
            <w:r>
              <w:rPr>
                <w:sz w:val="20"/>
              </w:rPr>
              <w:t>38 employees</w:t>
            </w:r>
          </w:p>
        </w:tc>
        <w:tc>
          <w:tcPr>
            <w:tcW w:w="4275" w:type="dxa"/>
            <w:tcBorders>
              <w:top w:val="single" w:sz="4" w:space="0" w:color="000000"/>
              <w:left w:val="single" w:sz="4" w:space="0" w:color="000000"/>
              <w:bottom w:val="single" w:sz="4" w:space="0" w:color="000000"/>
            </w:tcBorders>
          </w:tcPr>
          <w:p>
            <w:pPr>
              <w:pStyle w:val="TableParagraph"/>
              <w:numPr>
                <w:ilvl w:val="0"/>
                <w:numId w:val="3"/>
              </w:numPr>
              <w:tabs>
                <w:tab w:pos="262" w:val="left" w:leader="none"/>
              </w:tabs>
              <w:spacing w:line="273" w:lineRule="auto" w:before="0" w:after="0"/>
              <w:ind w:left="261" w:right="60" w:hanging="197"/>
              <w:jc w:val="both"/>
              <w:rPr>
                <w:sz w:val="20"/>
              </w:rPr>
            </w:pPr>
            <w:r>
              <w:rPr>
                <w:sz w:val="20"/>
              </w:rPr>
              <w:t>One-time lump sum payment in cash for transition period equivalent to 3 months as per officially announced minimum wage by the GoS</w:t>
            </w:r>
            <w:r>
              <w:rPr>
                <w:spacing w:val="-6"/>
                <w:sz w:val="20"/>
              </w:rPr>
              <w:t> </w:t>
            </w:r>
            <w:r>
              <w:rPr>
                <w:sz w:val="20"/>
              </w:rPr>
              <w:t>(16,000/month).</w:t>
            </w:r>
          </w:p>
          <w:p>
            <w:pPr>
              <w:pStyle w:val="TableParagraph"/>
              <w:numPr>
                <w:ilvl w:val="0"/>
                <w:numId w:val="3"/>
              </w:numPr>
              <w:tabs>
                <w:tab w:pos="262" w:val="left" w:leader="none"/>
              </w:tabs>
              <w:spacing w:line="240" w:lineRule="auto" w:before="5" w:after="0"/>
              <w:ind w:left="261" w:right="0" w:hanging="197"/>
              <w:jc w:val="left"/>
              <w:rPr>
                <w:sz w:val="20"/>
              </w:rPr>
            </w:pPr>
            <w:r>
              <w:rPr>
                <w:sz w:val="20"/>
              </w:rPr>
              <w:t>Notification in one-month</w:t>
            </w:r>
            <w:r>
              <w:rPr>
                <w:spacing w:val="-9"/>
                <w:sz w:val="20"/>
              </w:rPr>
              <w:t> </w:t>
            </w:r>
            <w:r>
              <w:rPr>
                <w:sz w:val="20"/>
              </w:rPr>
              <w:t>advance</w:t>
            </w:r>
          </w:p>
          <w:p>
            <w:pPr>
              <w:pStyle w:val="TableParagraph"/>
              <w:numPr>
                <w:ilvl w:val="0"/>
                <w:numId w:val="3"/>
              </w:numPr>
              <w:tabs>
                <w:tab w:pos="262" w:val="left" w:leader="none"/>
              </w:tabs>
              <w:spacing w:line="273" w:lineRule="auto" w:before="30" w:after="0"/>
              <w:ind w:left="261" w:right="59" w:hanging="197"/>
              <w:jc w:val="both"/>
              <w:rPr>
                <w:sz w:val="20"/>
              </w:rPr>
            </w:pPr>
            <w:r>
              <w:rPr>
                <w:sz w:val="20"/>
              </w:rPr>
              <w:t>Temporary and permanent employment to members of PAHs during construction or operation of the project, where</w:t>
            </w:r>
            <w:r>
              <w:rPr>
                <w:spacing w:val="-14"/>
                <w:sz w:val="20"/>
              </w:rPr>
              <w:t> </w:t>
            </w:r>
            <w:r>
              <w:rPr>
                <w:sz w:val="20"/>
              </w:rPr>
              <w:t>feasible.</w:t>
            </w:r>
          </w:p>
        </w:tc>
      </w:tr>
      <w:tr>
        <w:trPr>
          <w:trHeight w:val="1896" w:hRule="exact"/>
        </w:trPr>
        <w:tc>
          <w:tcPr>
            <w:tcW w:w="569" w:type="dxa"/>
            <w:tcBorders>
              <w:top w:val="single" w:sz="4" w:space="0" w:color="000000"/>
              <w:right w:val="single" w:sz="4" w:space="0" w:color="000000"/>
            </w:tcBorders>
          </w:tcPr>
          <w:p>
            <w:pPr>
              <w:pStyle w:val="TableParagraph"/>
              <w:spacing w:before="0"/>
              <w:rPr>
                <w:b/>
                <w:sz w:val="22"/>
              </w:rPr>
            </w:pPr>
          </w:p>
          <w:p>
            <w:pPr>
              <w:pStyle w:val="TableParagraph"/>
              <w:spacing w:before="0"/>
              <w:rPr>
                <w:b/>
                <w:sz w:val="22"/>
              </w:rPr>
            </w:pPr>
          </w:p>
          <w:p>
            <w:pPr>
              <w:pStyle w:val="TableParagraph"/>
              <w:spacing w:before="1"/>
              <w:rPr>
                <w:b/>
                <w:sz w:val="26"/>
              </w:rPr>
            </w:pPr>
          </w:p>
          <w:p>
            <w:pPr>
              <w:pStyle w:val="TableParagraph"/>
              <w:spacing w:before="0"/>
              <w:ind w:right="9"/>
              <w:jc w:val="center"/>
              <w:rPr>
                <w:sz w:val="20"/>
              </w:rPr>
            </w:pPr>
            <w:r>
              <w:rPr>
                <w:w w:val="99"/>
                <w:sz w:val="20"/>
              </w:rPr>
              <w:t>3</w:t>
            </w:r>
          </w:p>
        </w:tc>
        <w:tc>
          <w:tcPr>
            <w:tcW w:w="1237" w:type="dxa"/>
            <w:tcBorders>
              <w:top w:val="single" w:sz="4" w:space="0" w:color="000000"/>
              <w:left w:val="single" w:sz="4" w:space="0" w:color="000000"/>
              <w:right w:val="single" w:sz="4" w:space="0" w:color="000000"/>
            </w:tcBorders>
          </w:tcPr>
          <w:p>
            <w:pPr>
              <w:pStyle w:val="TableParagraph"/>
              <w:spacing w:before="0"/>
              <w:rPr>
                <w:b/>
                <w:sz w:val="22"/>
              </w:rPr>
            </w:pPr>
          </w:p>
          <w:p>
            <w:pPr>
              <w:pStyle w:val="TableParagraph"/>
              <w:spacing w:before="0"/>
              <w:rPr>
                <w:b/>
                <w:sz w:val="22"/>
              </w:rPr>
            </w:pPr>
          </w:p>
          <w:p>
            <w:pPr>
              <w:pStyle w:val="TableParagraph"/>
              <w:spacing w:line="276" w:lineRule="auto" w:before="168"/>
              <w:ind w:left="98" w:firstLine="33"/>
              <w:rPr>
                <w:sz w:val="20"/>
              </w:rPr>
            </w:pPr>
            <w:r>
              <w:rPr>
                <w:sz w:val="20"/>
              </w:rPr>
              <w:t>Vulnerable </w:t>
            </w:r>
            <w:r>
              <w:rPr>
                <w:w w:val="95"/>
                <w:sz w:val="20"/>
              </w:rPr>
              <w:t>households</w:t>
            </w:r>
          </w:p>
        </w:tc>
        <w:tc>
          <w:tcPr>
            <w:tcW w:w="972" w:type="dxa"/>
            <w:tcBorders>
              <w:top w:val="single" w:sz="4" w:space="0" w:color="000000"/>
              <w:left w:val="single" w:sz="4" w:space="0" w:color="000000"/>
              <w:right w:val="single" w:sz="4" w:space="0" w:color="000000"/>
            </w:tcBorders>
          </w:tcPr>
          <w:p>
            <w:pPr>
              <w:pStyle w:val="TableParagraph"/>
              <w:spacing w:before="0"/>
              <w:rPr>
                <w:b/>
                <w:sz w:val="22"/>
              </w:rPr>
            </w:pPr>
          </w:p>
          <w:p>
            <w:pPr>
              <w:pStyle w:val="TableParagraph"/>
              <w:spacing w:before="1"/>
              <w:rPr>
                <w:b/>
                <w:sz w:val="25"/>
              </w:rPr>
            </w:pPr>
          </w:p>
          <w:p>
            <w:pPr>
              <w:pStyle w:val="TableParagraph"/>
              <w:spacing w:line="276" w:lineRule="auto" w:before="0"/>
              <w:ind w:left="71" w:right="77" w:firstLine="2"/>
              <w:jc w:val="both"/>
              <w:rPr>
                <w:sz w:val="20"/>
              </w:rPr>
            </w:pPr>
            <w:r>
              <w:rPr>
                <w:sz w:val="20"/>
              </w:rPr>
              <w:t>Poor and vulnerabl e PAHs</w:t>
            </w:r>
          </w:p>
        </w:tc>
        <w:tc>
          <w:tcPr>
            <w:tcW w:w="1589" w:type="dxa"/>
            <w:tcBorders>
              <w:top w:val="single" w:sz="4" w:space="0" w:color="000000"/>
              <w:left w:val="single" w:sz="4" w:space="0" w:color="000000"/>
              <w:right w:val="single" w:sz="4" w:space="0" w:color="000000"/>
            </w:tcBorders>
          </w:tcPr>
          <w:p>
            <w:pPr>
              <w:pStyle w:val="TableParagraph"/>
              <w:spacing w:before="0"/>
              <w:rPr>
                <w:b/>
                <w:sz w:val="22"/>
              </w:rPr>
            </w:pPr>
          </w:p>
          <w:p>
            <w:pPr>
              <w:pStyle w:val="TableParagraph"/>
              <w:spacing w:before="0"/>
              <w:rPr>
                <w:b/>
                <w:sz w:val="22"/>
              </w:rPr>
            </w:pPr>
          </w:p>
          <w:p>
            <w:pPr>
              <w:pStyle w:val="TableParagraph"/>
              <w:spacing w:line="276" w:lineRule="auto" w:before="168"/>
              <w:ind w:left="415" w:right="165" w:hanging="233"/>
              <w:rPr>
                <w:sz w:val="20"/>
              </w:rPr>
            </w:pPr>
            <w:r>
              <w:rPr>
                <w:sz w:val="20"/>
              </w:rPr>
              <w:t>16 BPL and 3 disabled</w:t>
            </w:r>
          </w:p>
        </w:tc>
        <w:tc>
          <w:tcPr>
            <w:tcW w:w="4275" w:type="dxa"/>
            <w:tcBorders>
              <w:top w:val="single" w:sz="4" w:space="0" w:color="000000"/>
              <w:left w:val="single" w:sz="4" w:space="0" w:color="000000"/>
            </w:tcBorders>
          </w:tcPr>
          <w:p>
            <w:pPr>
              <w:pStyle w:val="TableParagraph"/>
              <w:numPr>
                <w:ilvl w:val="0"/>
                <w:numId w:val="4"/>
              </w:numPr>
              <w:tabs>
                <w:tab w:pos="243" w:val="left" w:leader="none"/>
              </w:tabs>
              <w:spacing w:line="273" w:lineRule="auto" w:before="0" w:after="0"/>
              <w:ind w:left="242" w:right="60" w:hanging="178"/>
              <w:jc w:val="both"/>
              <w:rPr>
                <w:sz w:val="20"/>
              </w:rPr>
            </w:pPr>
            <w:r>
              <w:rPr>
                <w:sz w:val="20"/>
              </w:rPr>
              <w:t>One-time lump sum assistance allowance in cash</w:t>
            </w:r>
            <w:r>
              <w:rPr>
                <w:spacing w:val="-15"/>
                <w:sz w:val="20"/>
              </w:rPr>
              <w:t> </w:t>
            </w:r>
            <w:r>
              <w:rPr>
                <w:sz w:val="20"/>
              </w:rPr>
              <w:t>equivalent</w:t>
            </w:r>
            <w:r>
              <w:rPr>
                <w:spacing w:val="-13"/>
                <w:sz w:val="20"/>
              </w:rPr>
              <w:t> </w:t>
            </w:r>
            <w:r>
              <w:rPr>
                <w:sz w:val="20"/>
              </w:rPr>
              <w:t>to</w:t>
            </w:r>
            <w:r>
              <w:rPr>
                <w:spacing w:val="-13"/>
                <w:sz w:val="20"/>
              </w:rPr>
              <w:t> </w:t>
            </w:r>
            <w:r>
              <w:rPr>
                <w:sz w:val="20"/>
              </w:rPr>
              <w:t>3</w:t>
            </w:r>
            <w:r>
              <w:rPr>
                <w:spacing w:val="-13"/>
                <w:sz w:val="20"/>
              </w:rPr>
              <w:t> </w:t>
            </w:r>
            <w:r>
              <w:rPr>
                <w:sz w:val="20"/>
              </w:rPr>
              <w:t>months’</w:t>
            </w:r>
            <w:r>
              <w:rPr>
                <w:spacing w:val="-16"/>
                <w:sz w:val="20"/>
              </w:rPr>
              <w:t> </w:t>
            </w:r>
            <w:r>
              <w:rPr>
                <w:sz w:val="20"/>
              </w:rPr>
              <w:t>official</w:t>
            </w:r>
            <w:r>
              <w:rPr>
                <w:spacing w:val="-16"/>
                <w:sz w:val="20"/>
              </w:rPr>
              <w:t> </w:t>
            </w:r>
            <w:r>
              <w:rPr>
                <w:sz w:val="20"/>
              </w:rPr>
              <w:t>minimum wage rate to all below the poverty line vulnerable</w:t>
            </w:r>
            <w:r>
              <w:rPr>
                <w:spacing w:val="-13"/>
                <w:sz w:val="20"/>
              </w:rPr>
              <w:t> </w:t>
            </w:r>
            <w:r>
              <w:rPr>
                <w:sz w:val="20"/>
              </w:rPr>
              <w:t>households.</w:t>
            </w:r>
          </w:p>
          <w:p>
            <w:pPr>
              <w:pStyle w:val="TableParagraph"/>
              <w:numPr>
                <w:ilvl w:val="0"/>
                <w:numId w:val="4"/>
              </w:numPr>
              <w:tabs>
                <w:tab w:pos="243" w:val="left" w:leader="none"/>
              </w:tabs>
              <w:spacing w:line="273" w:lineRule="auto" w:before="3" w:after="0"/>
              <w:ind w:left="242" w:right="62" w:hanging="178"/>
              <w:jc w:val="both"/>
              <w:rPr>
                <w:sz w:val="20"/>
              </w:rPr>
            </w:pPr>
            <w:r>
              <w:rPr>
                <w:sz w:val="20"/>
              </w:rPr>
              <w:t>Temporary and permanent employment to members of PAHs during construction or operation of the project, where</w:t>
            </w:r>
            <w:r>
              <w:rPr>
                <w:spacing w:val="-14"/>
                <w:sz w:val="20"/>
              </w:rPr>
              <w:t> </w:t>
            </w:r>
            <w:r>
              <w:rPr>
                <w:sz w:val="20"/>
              </w:rPr>
              <w:t>feasible.</w:t>
            </w:r>
          </w:p>
        </w:tc>
      </w:tr>
    </w:tbl>
    <w:p>
      <w:pPr>
        <w:pStyle w:val="BodyText"/>
        <w:spacing w:before="10"/>
        <w:rPr>
          <w:b/>
          <w:sz w:val="35"/>
        </w:rPr>
      </w:pPr>
    </w:p>
    <w:p>
      <w:pPr>
        <w:spacing w:before="0"/>
        <w:ind w:left="868" w:right="0" w:firstLine="0"/>
        <w:jc w:val="both"/>
        <w:rPr>
          <w:b/>
          <w:sz w:val="22"/>
        </w:rPr>
      </w:pPr>
      <w:r>
        <w:rPr>
          <w:b/>
          <w:sz w:val="22"/>
        </w:rPr>
        <w:t>Stakeholder Consultation and Information Disclosure</w:t>
      </w:r>
    </w:p>
    <w:p>
      <w:pPr>
        <w:pStyle w:val="BodyText"/>
        <w:spacing w:line="276" w:lineRule="auto" w:before="156"/>
        <w:ind w:left="868" w:right="152"/>
        <w:jc w:val="both"/>
      </w:pPr>
      <w:r>
        <w:rPr/>
        <w:t>Meaningful</w:t>
      </w:r>
      <w:r>
        <w:rPr>
          <w:spacing w:val="-7"/>
        </w:rPr>
        <w:t> </w:t>
      </w:r>
      <w:r>
        <w:rPr/>
        <w:t>consultation</w:t>
      </w:r>
      <w:r>
        <w:rPr>
          <w:spacing w:val="-11"/>
        </w:rPr>
        <w:t> </w:t>
      </w:r>
      <w:r>
        <w:rPr/>
        <w:t>and</w:t>
      </w:r>
      <w:r>
        <w:rPr>
          <w:spacing w:val="-6"/>
        </w:rPr>
        <w:t> </w:t>
      </w:r>
      <w:r>
        <w:rPr/>
        <w:t>engagement</w:t>
      </w:r>
      <w:r>
        <w:rPr>
          <w:spacing w:val="-7"/>
        </w:rPr>
        <w:t> </w:t>
      </w:r>
      <w:r>
        <w:rPr/>
        <w:t>with</w:t>
      </w:r>
      <w:r>
        <w:rPr>
          <w:spacing w:val="-4"/>
        </w:rPr>
        <w:t> </w:t>
      </w:r>
      <w:r>
        <w:rPr/>
        <w:t>communities</w:t>
      </w:r>
      <w:r>
        <w:rPr>
          <w:spacing w:val="-9"/>
        </w:rPr>
        <w:t> </w:t>
      </w:r>
      <w:r>
        <w:rPr/>
        <w:t>and</w:t>
      </w:r>
      <w:r>
        <w:rPr>
          <w:spacing w:val="-9"/>
        </w:rPr>
        <w:t> </w:t>
      </w:r>
      <w:r>
        <w:rPr/>
        <w:t>informal</w:t>
      </w:r>
      <w:r>
        <w:rPr>
          <w:spacing w:val="-7"/>
        </w:rPr>
        <w:t> </w:t>
      </w:r>
      <w:r>
        <w:rPr/>
        <w:t>vendors</w:t>
      </w:r>
      <w:r>
        <w:rPr>
          <w:spacing w:val="-4"/>
        </w:rPr>
        <w:t> </w:t>
      </w:r>
      <w:r>
        <w:rPr/>
        <w:t>is</w:t>
      </w:r>
      <w:r>
        <w:rPr>
          <w:spacing w:val="-8"/>
        </w:rPr>
        <w:t> </w:t>
      </w:r>
      <w:r>
        <w:rPr/>
        <w:t>critical to ensure that the views, interests and concerns of project stakeholders are taken into account in the assessment of the potential impacts of the</w:t>
      </w:r>
      <w:r>
        <w:rPr>
          <w:spacing w:val="-19"/>
        </w:rPr>
        <w:t> </w:t>
      </w:r>
      <w:r>
        <w:rPr/>
        <w:t>project.</w:t>
      </w:r>
    </w:p>
    <w:p>
      <w:pPr>
        <w:pStyle w:val="BodyText"/>
        <w:spacing w:line="276" w:lineRule="auto" w:before="120"/>
        <w:ind w:left="868" w:right="153"/>
        <w:jc w:val="both"/>
      </w:pPr>
      <w:r>
        <w:rPr/>
        <w:t>The major concerns raised during the consultations were impacts on people’s livelihood, rehabilitation</w:t>
      </w:r>
      <w:r>
        <w:rPr>
          <w:spacing w:val="-13"/>
        </w:rPr>
        <w:t> </w:t>
      </w:r>
      <w:r>
        <w:rPr/>
        <w:t>assistance,</w:t>
      </w:r>
      <w:r>
        <w:rPr>
          <w:spacing w:val="-16"/>
        </w:rPr>
        <w:t> </w:t>
      </w:r>
      <w:r>
        <w:rPr/>
        <w:t>disturbance</w:t>
      </w:r>
      <w:r>
        <w:rPr>
          <w:spacing w:val="-17"/>
        </w:rPr>
        <w:t> </w:t>
      </w:r>
      <w:r>
        <w:rPr/>
        <w:t>due</w:t>
      </w:r>
      <w:r>
        <w:rPr>
          <w:spacing w:val="-16"/>
        </w:rPr>
        <w:t> </w:t>
      </w:r>
      <w:r>
        <w:rPr/>
        <w:t>to</w:t>
      </w:r>
      <w:r>
        <w:rPr>
          <w:spacing w:val="-16"/>
        </w:rPr>
        <w:t> </w:t>
      </w:r>
      <w:r>
        <w:rPr/>
        <w:t>noise</w:t>
      </w:r>
      <w:r>
        <w:rPr>
          <w:spacing w:val="-19"/>
        </w:rPr>
        <w:t> </w:t>
      </w:r>
      <w:r>
        <w:rPr/>
        <w:t>and</w:t>
      </w:r>
      <w:r>
        <w:rPr>
          <w:spacing w:val="-13"/>
        </w:rPr>
        <w:t> </w:t>
      </w:r>
      <w:r>
        <w:rPr/>
        <w:t>dust;</w:t>
      </w:r>
      <w:r>
        <w:rPr>
          <w:spacing w:val="-15"/>
        </w:rPr>
        <w:t> </w:t>
      </w:r>
      <w:r>
        <w:rPr/>
        <w:t>employment</w:t>
      </w:r>
      <w:r>
        <w:rPr>
          <w:spacing w:val="-15"/>
        </w:rPr>
        <w:t> </w:t>
      </w:r>
      <w:r>
        <w:rPr/>
        <w:t>opportunities</w:t>
      </w:r>
      <w:r>
        <w:rPr>
          <w:spacing w:val="-16"/>
        </w:rPr>
        <w:t> </w:t>
      </w:r>
      <w:r>
        <w:rPr/>
        <w:t>lack to</w:t>
      </w:r>
      <w:r>
        <w:rPr>
          <w:spacing w:val="-13"/>
        </w:rPr>
        <w:t> </w:t>
      </w:r>
      <w:r>
        <w:rPr/>
        <w:t>local</w:t>
      </w:r>
      <w:r>
        <w:rPr>
          <w:spacing w:val="-14"/>
        </w:rPr>
        <w:t> </w:t>
      </w:r>
      <w:r>
        <w:rPr/>
        <w:t>communities;</w:t>
      </w:r>
      <w:r>
        <w:rPr>
          <w:spacing w:val="-12"/>
        </w:rPr>
        <w:t> </w:t>
      </w:r>
      <w:r>
        <w:rPr/>
        <w:t>economical</w:t>
      </w:r>
      <w:r>
        <w:rPr>
          <w:spacing w:val="-17"/>
        </w:rPr>
        <w:t> </w:t>
      </w:r>
      <w:r>
        <w:rPr/>
        <w:t>fare</w:t>
      </w:r>
      <w:r>
        <w:rPr>
          <w:spacing w:val="-15"/>
        </w:rPr>
        <w:t> </w:t>
      </w:r>
      <w:r>
        <w:rPr/>
        <w:t>of</w:t>
      </w:r>
      <w:r>
        <w:rPr>
          <w:spacing w:val="-10"/>
        </w:rPr>
        <w:t> </w:t>
      </w:r>
      <w:r>
        <w:rPr/>
        <w:t>BRT</w:t>
      </w:r>
      <w:r>
        <w:rPr>
          <w:spacing w:val="-11"/>
        </w:rPr>
        <w:t> </w:t>
      </w:r>
      <w:r>
        <w:rPr/>
        <w:t>buses;</w:t>
      </w:r>
      <w:r>
        <w:rPr>
          <w:spacing w:val="-12"/>
        </w:rPr>
        <w:t> </w:t>
      </w:r>
      <w:r>
        <w:rPr/>
        <w:t>separate</w:t>
      </w:r>
      <w:r>
        <w:rPr>
          <w:spacing w:val="-15"/>
        </w:rPr>
        <w:t> </w:t>
      </w:r>
      <w:r>
        <w:rPr/>
        <w:t>compartments</w:t>
      </w:r>
      <w:r>
        <w:rPr>
          <w:spacing w:val="-16"/>
        </w:rPr>
        <w:t> </w:t>
      </w:r>
      <w:r>
        <w:rPr/>
        <w:t>for</w:t>
      </w:r>
      <w:r>
        <w:rPr>
          <w:spacing w:val="-15"/>
        </w:rPr>
        <w:t> </w:t>
      </w:r>
      <w:r>
        <w:rPr/>
        <w:t>ladies</w:t>
      </w:r>
      <w:r>
        <w:rPr>
          <w:spacing w:val="-13"/>
        </w:rPr>
        <w:t> </w:t>
      </w:r>
      <w:r>
        <w:rPr/>
        <w:t>and senior</w:t>
      </w:r>
      <w:r>
        <w:rPr>
          <w:spacing w:val="-8"/>
        </w:rPr>
        <w:t> </w:t>
      </w:r>
      <w:r>
        <w:rPr/>
        <w:t>citizens;</w:t>
      </w:r>
      <w:r>
        <w:rPr>
          <w:spacing w:val="-7"/>
        </w:rPr>
        <w:t> </w:t>
      </w:r>
      <w:r>
        <w:rPr/>
        <w:t>hiring</w:t>
      </w:r>
      <w:r>
        <w:rPr>
          <w:spacing w:val="-8"/>
        </w:rPr>
        <w:t> </w:t>
      </w:r>
      <w:r>
        <w:rPr/>
        <w:t>of</w:t>
      </w:r>
      <w:r>
        <w:rPr>
          <w:spacing w:val="-10"/>
        </w:rPr>
        <w:t> </w:t>
      </w:r>
      <w:r>
        <w:rPr/>
        <w:t>female</w:t>
      </w:r>
      <w:r>
        <w:rPr>
          <w:spacing w:val="-8"/>
        </w:rPr>
        <w:t> </w:t>
      </w:r>
      <w:r>
        <w:rPr/>
        <w:t>drivers;</w:t>
      </w:r>
      <w:r>
        <w:rPr>
          <w:spacing w:val="-9"/>
        </w:rPr>
        <w:t> </w:t>
      </w:r>
      <w:r>
        <w:rPr/>
        <w:t>rehabilitation</w:t>
      </w:r>
      <w:r>
        <w:rPr>
          <w:spacing w:val="-9"/>
        </w:rPr>
        <w:t> </w:t>
      </w:r>
      <w:r>
        <w:rPr/>
        <w:t>of</w:t>
      </w:r>
      <w:r>
        <w:rPr>
          <w:spacing w:val="-7"/>
        </w:rPr>
        <w:t> </w:t>
      </w:r>
      <w:r>
        <w:rPr/>
        <w:t>existing</w:t>
      </w:r>
      <w:r>
        <w:rPr>
          <w:spacing w:val="-8"/>
        </w:rPr>
        <w:t> </w:t>
      </w:r>
      <w:r>
        <w:rPr/>
        <w:t>roads.</w:t>
      </w:r>
      <w:r>
        <w:rPr>
          <w:spacing w:val="-9"/>
        </w:rPr>
        <w:t> </w:t>
      </w:r>
      <w:r>
        <w:rPr/>
        <w:t>Avoid</w:t>
      </w:r>
      <w:r>
        <w:rPr>
          <w:spacing w:val="-8"/>
        </w:rPr>
        <w:t> </w:t>
      </w:r>
      <w:r>
        <w:rPr/>
        <w:t>crowdedness and</w:t>
      </w:r>
      <w:r>
        <w:rPr>
          <w:spacing w:val="-7"/>
        </w:rPr>
        <w:t> </w:t>
      </w:r>
      <w:r>
        <w:rPr/>
        <w:t>reckless</w:t>
      </w:r>
      <w:r>
        <w:rPr>
          <w:spacing w:val="-7"/>
        </w:rPr>
        <w:t> </w:t>
      </w:r>
      <w:r>
        <w:rPr/>
        <w:t>driving;</w:t>
      </w:r>
      <w:r>
        <w:rPr>
          <w:spacing w:val="-8"/>
        </w:rPr>
        <w:t> </w:t>
      </w:r>
      <w:r>
        <w:rPr/>
        <w:t>courteous</w:t>
      </w:r>
      <w:r>
        <w:rPr>
          <w:spacing w:val="-10"/>
        </w:rPr>
        <w:t> </w:t>
      </w:r>
      <w:r>
        <w:rPr/>
        <w:t>staff</w:t>
      </w:r>
      <w:r>
        <w:rPr>
          <w:spacing w:val="-6"/>
        </w:rPr>
        <w:t> </w:t>
      </w:r>
      <w:r>
        <w:rPr/>
        <w:t>and</w:t>
      </w:r>
      <w:r>
        <w:rPr>
          <w:spacing w:val="-10"/>
        </w:rPr>
        <w:t> </w:t>
      </w:r>
      <w:r>
        <w:rPr/>
        <w:t>removal</w:t>
      </w:r>
      <w:r>
        <w:rPr>
          <w:spacing w:val="-11"/>
        </w:rPr>
        <w:t> </w:t>
      </w:r>
      <w:r>
        <w:rPr/>
        <w:t>of high-tension</w:t>
      </w:r>
      <w:r>
        <w:rPr>
          <w:spacing w:val="-10"/>
        </w:rPr>
        <w:t> </w:t>
      </w:r>
      <w:r>
        <w:rPr/>
        <w:t>wires;</w:t>
      </w:r>
      <w:r>
        <w:rPr>
          <w:spacing w:val="-6"/>
        </w:rPr>
        <w:t> </w:t>
      </w:r>
      <w:r>
        <w:rPr/>
        <w:t>and</w:t>
      </w:r>
      <w:r>
        <w:rPr>
          <w:spacing w:val="-7"/>
        </w:rPr>
        <w:t> </w:t>
      </w:r>
      <w:r>
        <w:rPr/>
        <w:t>zero</w:t>
      </w:r>
      <w:r>
        <w:rPr>
          <w:spacing w:val="-9"/>
        </w:rPr>
        <w:t> </w:t>
      </w:r>
      <w:r>
        <w:rPr/>
        <w:t>tolerance towards gender harassment and women quota for jobs in</w:t>
      </w:r>
      <w:r>
        <w:rPr>
          <w:spacing w:val="-15"/>
        </w:rPr>
        <w:t> </w:t>
      </w:r>
      <w:r>
        <w:rPr/>
        <w:t>BRT.</w:t>
      </w:r>
    </w:p>
    <w:p>
      <w:pPr>
        <w:pStyle w:val="BodyText"/>
        <w:spacing w:line="276" w:lineRule="auto" w:before="120"/>
        <w:ind w:left="868" w:right="150"/>
        <w:jc w:val="both"/>
      </w:pPr>
      <w:r>
        <w:rPr/>
        <w:t>The SMTA will prepare an Information Brochure in Urdu Language including summary information on the key aspects of the compensation and rehabilitation assistance process of</w:t>
      </w:r>
      <w:r>
        <w:rPr>
          <w:spacing w:val="-5"/>
        </w:rPr>
        <w:t> </w:t>
      </w:r>
      <w:r>
        <w:rPr/>
        <w:t>the</w:t>
      </w:r>
      <w:r>
        <w:rPr>
          <w:spacing w:val="-9"/>
        </w:rPr>
        <w:t> </w:t>
      </w:r>
      <w:r>
        <w:rPr/>
        <w:t>Project,</w:t>
      </w:r>
      <w:r>
        <w:rPr>
          <w:spacing w:val="-12"/>
        </w:rPr>
        <w:t> </w:t>
      </w:r>
      <w:r>
        <w:rPr/>
        <w:t>grievance</w:t>
      </w:r>
      <w:r>
        <w:rPr>
          <w:spacing w:val="-9"/>
        </w:rPr>
        <w:t> </w:t>
      </w:r>
      <w:r>
        <w:rPr/>
        <w:t>redress</w:t>
      </w:r>
      <w:r>
        <w:rPr>
          <w:spacing w:val="-11"/>
        </w:rPr>
        <w:t> </w:t>
      </w:r>
      <w:r>
        <w:rPr/>
        <w:t>mechanism</w:t>
      </w:r>
      <w:r>
        <w:rPr>
          <w:spacing w:val="-8"/>
        </w:rPr>
        <w:t> </w:t>
      </w:r>
      <w:r>
        <w:rPr/>
        <w:t>with</w:t>
      </w:r>
      <w:r>
        <w:rPr>
          <w:spacing w:val="-11"/>
        </w:rPr>
        <w:t> </w:t>
      </w:r>
      <w:r>
        <w:rPr/>
        <w:t>institutional</w:t>
      </w:r>
      <w:r>
        <w:rPr>
          <w:spacing w:val="-10"/>
        </w:rPr>
        <w:t> </w:t>
      </w:r>
      <w:r>
        <w:rPr/>
        <w:t>set-up,</w:t>
      </w:r>
      <w:r>
        <w:rPr>
          <w:spacing w:val="-12"/>
        </w:rPr>
        <w:t> </w:t>
      </w:r>
      <w:r>
        <w:rPr/>
        <w:t>general</w:t>
      </w:r>
      <w:r>
        <w:rPr>
          <w:spacing w:val="-10"/>
        </w:rPr>
        <w:t> </w:t>
      </w:r>
      <w:r>
        <w:rPr/>
        <w:t>eligibility</w:t>
      </w:r>
      <w:r>
        <w:rPr>
          <w:spacing w:val="-11"/>
        </w:rPr>
        <w:t> </w:t>
      </w:r>
      <w:r>
        <w:rPr/>
        <w:t>and entitlement</w:t>
      </w:r>
      <w:r>
        <w:rPr>
          <w:spacing w:val="-5"/>
        </w:rPr>
        <w:t> </w:t>
      </w:r>
      <w:r>
        <w:rPr/>
        <w:t>provisions.</w:t>
      </w:r>
      <w:r>
        <w:rPr>
          <w:spacing w:val="-5"/>
        </w:rPr>
        <w:t> </w:t>
      </w:r>
      <w:r>
        <w:rPr/>
        <w:t>The</w:t>
      </w:r>
      <w:r>
        <w:rPr>
          <w:spacing w:val="-4"/>
        </w:rPr>
        <w:t> </w:t>
      </w:r>
      <w:r>
        <w:rPr/>
        <w:t>information</w:t>
      </w:r>
      <w:r>
        <w:rPr>
          <w:spacing w:val="-7"/>
        </w:rPr>
        <w:t> </w:t>
      </w:r>
      <w:r>
        <w:rPr/>
        <w:t>brochure</w:t>
      </w:r>
      <w:r>
        <w:rPr>
          <w:spacing w:val="-6"/>
        </w:rPr>
        <w:t> </w:t>
      </w:r>
      <w:r>
        <w:rPr/>
        <w:t>translated</w:t>
      </w:r>
      <w:r>
        <w:rPr>
          <w:spacing w:val="-6"/>
        </w:rPr>
        <w:t> </w:t>
      </w:r>
      <w:r>
        <w:rPr/>
        <w:t>in</w:t>
      </w:r>
      <w:r>
        <w:rPr>
          <w:spacing w:val="-6"/>
        </w:rPr>
        <w:t> </w:t>
      </w:r>
      <w:r>
        <w:rPr/>
        <w:t>Urdu</w:t>
      </w:r>
      <w:r>
        <w:rPr>
          <w:spacing w:val="-7"/>
        </w:rPr>
        <w:t> </w:t>
      </w:r>
      <w:r>
        <w:rPr/>
        <w:t>will</w:t>
      </w:r>
      <w:r>
        <w:rPr>
          <w:spacing w:val="-5"/>
        </w:rPr>
        <w:t> </w:t>
      </w:r>
      <w:r>
        <w:rPr/>
        <w:t>be</w:t>
      </w:r>
      <w:r>
        <w:rPr>
          <w:spacing w:val="-4"/>
        </w:rPr>
        <w:t> </w:t>
      </w:r>
      <w:r>
        <w:rPr/>
        <w:t>disseminated</w:t>
      </w:r>
      <w:r>
        <w:rPr>
          <w:spacing w:val="-6"/>
        </w:rPr>
        <w:t> </w:t>
      </w:r>
      <w:r>
        <w:rPr/>
        <w:t>to the PAPs during the detailed design preparation</w:t>
      </w:r>
      <w:r>
        <w:rPr>
          <w:spacing w:val="-19"/>
        </w:rPr>
        <w:t> </w:t>
      </w:r>
      <w:r>
        <w:rPr/>
        <w:t>stage.</w:t>
      </w:r>
    </w:p>
    <w:p>
      <w:pPr>
        <w:pStyle w:val="Heading3"/>
        <w:spacing w:before="120"/>
        <w:ind w:left="868"/>
      </w:pPr>
      <w:r>
        <w:rPr/>
        <w:t>Institutional Arrangements</w:t>
      </w:r>
    </w:p>
    <w:p>
      <w:pPr>
        <w:pStyle w:val="BodyText"/>
        <w:spacing w:line="276" w:lineRule="auto" w:before="160"/>
        <w:ind w:left="868" w:right="154"/>
        <w:jc w:val="both"/>
      </w:pPr>
      <w:r>
        <w:rPr/>
        <w:t>The implementation of the C&amp;LRP will involve distinct roles, functions, and various agencies. The SMTA is the Executing Agency (EA) and will do the implementation of C&amp;LRP</w:t>
      </w:r>
      <w:r>
        <w:rPr>
          <w:spacing w:val="-7"/>
        </w:rPr>
        <w:t> </w:t>
      </w:r>
      <w:r>
        <w:rPr/>
        <w:t>with</w:t>
      </w:r>
      <w:r>
        <w:rPr>
          <w:spacing w:val="-6"/>
        </w:rPr>
        <w:t> </w:t>
      </w:r>
      <w:r>
        <w:rPr/>
        <w:t>the</w:t>
      </w:r>
      <w:r>
        <w:rPr>
          <w:spacing w:val="-16"/>
        </w:rPr>
        <w:t> </w:t>
      </w:r>
      <w:r>
        <w:rPr/>
        <w:t>World</w:t>
      </w:r>
      <w:r>
        <w:rPr>
          <w:spacing w:val="-6"/>
        </w:rPr>
        <w:t> </w:t>
      </w:r>
      <w:r>
        <w:rPr/>
        <w:t>Bank</w:t>
      </w:r>
      <w:r>
        <w:rPr>
          <w:spacing w:val="-6"/>
        </w:rPr>
        <w:t> </w:t>
      </w:r>
      <w:r>
        <w:rPr/>
        <w:t>approval.</w:t>
      </w:r>
      <w:r>
        <w:rPr>
          <w:spacing w:val="-6"/>
        </w:rPr>
        <w:t> </w:t>
      </w:r>
      <w:r>
        <w:rPr/>
        <w:t>At</w:t>
      </w:r>
      <w:r>
        <w:rPr>
          <w:spacing w:val="-7"/>
        </w:rPr>
        <w:t> </w:t>
      </w:r>
      <w:r>
        <w:rPr/>
        <w:t>Project</w:t>
      </w:r>
      <w:r>
        <w:rPr>
          <w:spacing w:val="-8"/>
        </w:rPr>
        <w:t> </w:t>
      </w:r>
      <w:r>
        <w:rPr/>
        <w:t>level,</w:t>
      </w:r>
      <w:r>
        <w:rPr>
          <w:spacing w:val="-4"/>
        </w:rPr>
        <w:t> </w:t>
      </w:r>
      <w:r>
        <w:rPr/>
        <w:t>the</w:t>
      </w:r>
      <w:r>
        <w:rPr>
          <w:spacing w:val="-7"/>
        </w:rPr>
        <w:t> </w:t>
      </w:r>
      <w:r>
        <w:rPr/>
        <w:t>SMTA</w:t>
      </w:r>
      <w:r>
        <w:rPr>
          <w:spacing w:val="-9"/>
        </w:rPr>
        <w:t> </w:t>
      </w:r>
      <w:r>
        <w:rPr/>
        <w:t>will</w:t>
      </w:r>
      <w:r>
        <w:rPr>
          <w:spacing w:val="-7"/>
        </w:rPr>
        <w:t> </w:t>
      </w:r>
      <w:r>
        <w:rPr/>
        <w:t>exercise</w:t>
      </w:r>
      <w:r>
        <w:rPr>
          <w:spacing w:val="-7"/>
        </w:rPr>
        <w:t> </w:t>
      </w:r>
      <w:r>
        <w:rPr/>
        <w:t>its</w:t>
      </w:r>
      <w:r>
        <w:rPr>
          <w:spacing w:val="-11"/>
        </w:rPr>
        <w:t> </w:t>
      </w:r>
      <w:r>
        <w:rPr/>
        <w:t>functions</w:t>
      </w:r>
    </w:p>
    <w:p>
      <w:pPr>
        <w:spacing w:after="0" w:line="276" w:lineRule="auto"/>
        <w:jc w:val="both"/>
        <w:sectPr>
          <w:pgSz w:w="11910" w:h="16840"/>
          <w:pgMar w:header="583" w:footer="575" w:top="840" w:bottom="760" w:left="860" w:right="1280"/>
        </w:sectPr>
      </w:pPr>
    </w:p>
    <w:p>
      <w:pPr>
        <w:pStyle w:val="BodyText"/>
        <w:rPr>
          <w:sz w:val="20"/>
        </w:rPr>
      </w:pPr>
    </w:p>
    <w:p>
      <w:pPr>
        <w:pStyle w:val="BodyText"/>
        <w:rPr>
          <w:sz w:val="20"/>
        </w:rPr>
      </w:pPr>
    </w:p>
    <w:p>
      <w:pPr>
        <w:pStyle w:val="BodyText"/>
        <w:spacing w:before="10"/>
        <w:rPr>
          <w:sz w:val="27"/>
        </w:rPr>
      </w:pPr>
    </w:p>
    <w:p>
      <w:pPr>
        <w:pStyle w:val="BodyText"/>
        <w:spacing w:line="276" w:lineRule="auto" w:before="93"/>
        <w:ind w:left="868" w:right="152"/>
        <w:jc w:val="both"/>
      </w:pPr>
      <w:r>
        <w:rPr/>
        <w:t>through the Project Team. The Project Team will collect information and progress on C&amp;LRP and will be tasked with day-to-day project related activities at project level. The Project</w:t>
      </w:r>
      <w:r>
        <w:rPr>
          <w:spacing w:val="-12"/>
        </w:rPr>
        <w:t> </w:t>
      </w:r>
      <w:r>
        <w:rPr/>
        <w:t>team</w:t>
      </w:r>
      <w:r>
        <w:rPr>
          <w:spacing w:val="-10"/>
        </w:rPr>
        <w:t> </w:t>
      </w:r>
      <w:r>
        <w:rPr/>
        <w:t>will</w:t>
      </w:r>
      <w:r>
        <w:rPr>
          <w:spacing w:val="-12"/>
        </w:rPr>
        <w:t> </w:t>
      </w:r>
      <w:r>
        <w:rPr/>
        <w:t>be</w:t>
      </w:r>
      <w:r>
        <w:rPr>
          <w:spacing w:val="-11"/>
        </w:rPr>
        <w:t> </w:t>
      </w:r>
      <w:r>
        <w:rPr/>
        <w:t>comprised</w:t>
      </w:r>
      <w:r>
        <w:rPr>
          <w:spacing w:val="-11"/>
        </w:rPr>
        <w:t> </w:t>
      </w:r>
      <w:r>
        <w:rPr/>
        <w:t>off</w:t>
      </w:r>
      <w:r>
        <w:rPr>
          <w:spacing w:val="-12"/>
        </w:rPr>
        <w:t> </w:t>
      </w:r>
      <w:r>
        <w:rPr/>
        <w:t>social,</w:t>
      </w:r>
      <w:r>
        <w:rPr>
          <w:spacing w:val="-15"/>
        </w:rPr>
        <w:t> </w:t>
      </w:r>
      <w:r>
        <w:rPr/>
        <w:t>gender,</w:t>
      </w:r>
      <w:r>
        <w:rPr>
          <w:spacing w:val="-15"/>
        </w:rPr>
        <w:t> </w:t>
      </w:r>
      <w:r>
        <w:rPr/>
        <w:t>communication</w:t>
      </w:r>
      <w:r>
        <w:rPr>
          <w:spacing w:val="-11"/>
        </w:rPr>
        <w:t> </w:t>
      </w:r>
      <w:r>
        <w:rPr/>
        <w:t>and</w:t>
      </w:r>
      <w:r>
        <w:rPr>
          <w:spacing w:val="-14"/>
        </w:rPr>
        <w:t> </w:t>
      </w:r>
      <w:r>
        <w:rPr/>
        <w:t>environment</w:t>
      </w:r>
      <w:r>
        <w:rPr>
          <w:spacing w:val="-12"/>
        </w:rPr>
        <w:t> </w:t>
      </w:r>
      <w:r>
        <w:rPr/>
        <w:t>officers. The Project Team will be responsible for the preparation, implementation and monitoring of C&amp;LRP. The SMTA will also procure a Third Party Monitoring (TPM) to conduct independent monitoring and evaluation for the implementation of</w:t>
      </w:r>
      <w:r>
        <w:rPr>
          <w:spacing w:val="-16"/>
        </w:rPr>
        <w:t> </w:t>
      </w:r>
      <w:r>
        <w:rPr/>
        <w:t>C&amp;LRP.</w:t>
      </w:r>
    </w:p>
    <w:p>
      <w:pPr>
        <w:pStyle w:val="BodyText"/>
        <w:spacing w:before="10"/>
        <w:rPr>
          <w:sz w:val="35"/>
        </w:rPr>
      </w:pPr>
    </w:p>
    <w:p>
      <w:pPr>
        <w:pStyle w:val="Heading3"/>
        <w:ind w:left="868"/>
      </w:pPr>
      <w:r>
        <w:rPr/>
        <w:t>Grievance Redress Mechanism</w:t>
      </w:r>
    </w:p>
    <w:p>
      <w:pPr>
        <w:pStyle w:val="BodyText"/>
        <w:spacing w:line="276" w:lineRule="auto" w:before="157"/>
        <w:ind w:left="868" w:right="154"/>
        <w:jc w:val="both"/>
      </w:pPr>
      <w:r>
        <w:rPr/>
        <w:t>The project level Grievance Redress Mechanism (GRM) will be set up for the Project to address grievances arising from stakeholders. This SMP determines the structure, roles and functions of the GRM, through grievances arising due to social impacts can be addressed at the Project level. The GRM will be set up with a two-tiered structure; one at field level enabling immediate local responses to grievances and another at the Project level for addressing more difficult cases not resolved at the local level through Grievance Redress Committee headed by the Project Director during three weeks from the date of submission of the grievance.</w:t>
      </w:r>
    </w:p>
    <w:p>
      <w:pPr>
        <w:pStyle w:val="Heading3"/>
        <w:spacing w:before="123"/>
        <w:ind w:left="868"/>
      </w:pPr>
      <w:r>
        <w:rPr/>
        <w:t>Compensation and Livelihood Restoration</w:t>
      </w:r>
    </w:p>
    <w:p>
      <w:pPr>
        <w:pStyle w:val="BodyText"/>
        <w:spacing w:line="276" w:lineRule="auto" w:before="157"/>
        <w:ind w:left="868" w:right="155"/>
        <w:jc w:val="both"/>
      </w:pPr>
      <w:r>
        <w:rPr/>
        <w:t>Livelihood</w:t>
      </w:r>
      <w:r>
        <w:rPr>
          <w:spacing w:val="-12"/>
        </w:rPr>
        <w:t> </w:t>
      </w:r>
      <w:r>
        <w:rPr/>
        <w:t>and</w:t>
      </w:r>
      <w:r>
        <w:rPr>
          <w:spacing w:val="-12"/>
        </w:rPr>
        <w:t> </w:t>
      </w:r>
      <w:r>
        <w:rPr/>
        <w:t>rehabilitation</w:t>
      </w:r>
      <w:r>
        <w:rPr>
          <w:spacing w:val="-12"/>
        </w:rPr>
        <w:t> </w:t>
      </w:r>
      <w:r>
        <w:rPr/>
        <w:t>assistance</w:t>
      </w:r>
      <w:r>
        <w:rPr>
          <w:spacing w:val="-15"/>
        </w:rPr>
        <w:t> </w:t>
      </w:r>
      <w:r>
        <w:rPr/>
        <w:t>is</w:t>
      </w:r>
      <w:r>
        <w:rPr>
          <w:spacing w:val="-14"/>
        </w:rPr>
        <w:t> </w:t>
      </w:r>
      <w:r>
        <w:rPr/>
        <w:t>expected</w:t>
      </w:r>
      <w:r>
        <w:rPr>
          <w:spacing w:val="-12"/>
        </w:rPr>
        <w:t> </w:t>
      </w:r>
      <w:r>
        <w:rPr/>
        <w:t>to</w:t>
      </w:r>
      <w:r>
        <w:rPr>
          <w:spacing w:val="-17"/>
        </w:rPr>
        <w:t> </w:t>
      </w:r>
      <w:r>
        <w:rPr/>
        <w:t>restore</w:t>
      </w:r>
      <w:r>
        <w:rPr>
          <w:spacing w:val="-14"/>
        </w:rPr>
        <w:t> </w:t>
      </w:r>
      <w:r>
        <w:rPr/>
        <w:t>the</w:t>
      </w:r>
      <w:r>
        <w:rPr>
          <w:spacing w:val="-15"/>
        </w:rPr>
        <w:t> </w:t>
      </w:r>
      <w:r>
        <w:rPr/>
        <w:t>living</w:t>
      </w:r>
      <w:r>
        <w:rPr>
          <w:spacing w:val="-10"/>
        </w:rPr>
        <w:t> </w:t>
      </w:r>
      <w:r>
        <w:rPr/>
        <w:t>standards</w:t>
      </w:r>
      <w:r>
        <w:rPr>
          <w:spacing w:val="-14"/>
        </w:rPr>
        <w:t> </w:t>
      </w:r>
      <w:r>
        <w:rPr/>
        <w:t>of</w:t>
      </w:r>
      <w:r>
        <w:rPr>
          <w:spacing w:val="-11"/>
        </w:rPr>
        <w:t> </w:t>
      </w:r>
      <w:r>
        <w:rPr/>
        <w:t>PAPs, if not improve them. Livelihood restoration provides an opportunity to improve PAPs. A transitional business loss allowance for a period of 12 months will be provided. Such transitional support/allowance will be based on their net monthly income to offset the business losses during construction phase of that particular location. In addition to compensation, opportunities for project-based job or training will be provided to</w:t>
      </w:r>
      <w:r>
        <w:rPr>
          <w:spacing w:val="-22"/>
        </w:rPr>
        <w:t> </w:t>
      </w:r>
      <w:r>
        <w:rPr/>
        <w:t>PAPs.</w:t>
      </w:r>
    </w:p>
    <w:p>
      <w:pPr>
        <w:pStyle w:val="Heading3"/>
        <w:spacing w:before="120"/>
        <w:ind w:left="868"/>
      </w:pPr>
      <w:r>
        <w:rPr/>
        <w:t>Financing, Budget and Implementation</w:t>
      </w:r>
    </w:p>
    <w:p>
      <w:pPr>
        <w:pStyle w:val="BodyText"/>
        <w:spacing w:line="276" w:lineRule="auto" w:before="157"/>
        <w:ind w:left="868" w:right="152"/>
        <w:jc w:val="both"/>
      </w:pPr>
      <w:r>
        <w:rPr/>
        <w:t>The</w:t>
      </w:r>
      <w:r>
        <w:rPr>
          <w:spacing w:val="-16"/>
        </w:rPr>
        <w:t> </w:t>
      </w:r>
      <w:r>
        <w:rPr/>
        <w:t>allocation</w:t>
      </w:r>
      <w:r>
        <w:rPr>
          <w:spacing w:val="-14"/>
        </w:rPr>
        <w:t> </w:t>
      </w:r>
      <w:r>
        <w:rPr/>
        <w:t>and</w:t>
      </w:r>
      <w:r>
        <w:rPr>
          <w:spacing w:val="-16"/>
        </w:rPr>
        <w:t> </w:t>
      </w:r>
      <w:r>
        <w:rPr/>
        <w:t>provision</w:t>
      </w:r>
      <w:r>
        <w:rPr>
          <w:spacing w:val="-14"/>
        </w:rPr>
        <w:t> </w:t>
      </w:r>
      <w:r>
        <w:rPr/>
        <w:t>of</w:t>
      </w:r>
      <w:r>
        <w:rPr>
          <w:spacing w:val="-12"/>
        </w:rPr>
        <w:t> </w:t>
      </w:r>
      <w:r>
        <w:rPr/>
        <w:t>the</w:t>
      </w:r>
      <w:r>
        <w:rPr>
          <w:spacing w:val="-19"/>
        </w:rPr>
        <w:t> </w:t>
      </w:r>
      <w:r>
        <w:rPr/>
        <w:t>financial</w:t>
      </w:r>
      <w:r>
        <w:rPr>
          <w:spacing w:val="-17"/>
        </w:rPr>
        <w:t> </w:t>
      </w:r>
      <w:r>
        <w:rPr/>
        <w:t>resource</w:t>
      </w:r>
      <w:r>
        <w:rPr>
          <w:spacing w:val="-13"/>
        </w:rPr>
        <w:t> </w:t>
      </w:r>
      <w:r>
        <w:rPr/>
        <w:t>is</w:t>
      </w:r>
      <w:r>
        <w:rPr>
          <w:spacing w:val="-16"/>
        </w:rPr>
        <w:t> </w:t>
      </w:r>
      <w:r>
        <w:rPr/>
        <w:t>responsibility</w:t>
      </w:r>
      <w:r>
        <w:rPr>
          <w:spacing w:val="-16"/>
        </w:rPr>
        <w:t> </w:t>
      </w:r>
      <w:r>
        <w:rPr/>
        <w:t>of</w:t>
      </w:r>
      <w:r>
        <w:rPr>
          <w:spacing w:val="-13"/>
        </w:rPr>
        <w:t> </w:t>
      </w:r>
      <w:r>
        <w:rPr/>
        <w:t>the</w:t>
      </w:r>
      <w:r>
        <w:rPr>
          <w:spacing w:val="-19"/>
        </w:rPr>
        <w:t> </w:t>
      </w:r>
      <w:r>
        <w:rPr/>
        <w:t>SMTA</w:t>
      </w:r>
      <w:r>
        <w:rPr>
          <w:spacing w:val="-9"/>
        </w:rPr>
        <w:t> </w:t>
      </w:r>
      <w:r>
        <w:rPr/>
        <w:t>including freeing </w:t>
      </w:r>
      <w:r>
        <w:rPr>
          <w:spacing w:val="-3"/>
        </w:rPr>
        <w:t>ROW </w:t>
      </w:r>
      <w:r>
        <w:rPr/>
        <w:t>from encumbrances, payment of compensation and implementation of income restoration</w:t>
      </w:r>
      <w:r>
        <w:rPr>
          <w:spacing w:val="-6"/>
        </w:rPr>
        <w:t> </w:t>
      </w:r>
      <w:r>
        <w:rPr/>
        <w:t>measures.</w:t>
      </w:r>
    </w:p>
    <w:p>
      <w:pPr>
        <w:pStyle w:val="BodyText"/>
        <w:spacing w:line="276" w:lineRule="auto" w:before="120"/>
        <w:ind w:left="868" w:right="155"/>
        <w:jc w:val="both"/>
      </w:pPr>
      <w:r>
        <w:rPr/>
        <w:t>The</w:t>
      </w:r>
      <w:r>
        <w:rPr>
          <w:spacing w:val="-7"/>
        </w:rPr>
        <w:t> </w:t>
      </w:r>
      <w:r>
        <w:rPr/>
        <w:t>total</w:t>
      </w:r>
      <w:r>
        <w:rPr>
          <w:spacing w:val="-5"/>
        </w:rPr>
        <w:t> </w:t>
      </w:r>
      <w:r>
        <w:rPr/>
        <w:t>rehabilitation</w:t>
      </w:r>
      <w:r>
        <w:rPr>
          <w:spacing w:val="-4"/>
        </w:rPr>
        <w:t> </w:t>
      </w:r>
      <w:r>
        <w:rPr/>
        <w:t>assistance</w:t>
      </w:r>
      <w:r>
        <w:rPr>
          <w:spacing w:val="-4"/>
        </w:rPr>
        <w:t> </w:t>
      </w:r>
      <w:r>
        <w:rPr/>
        <w:t>is</w:t>
      </w:r>
      <w:r>
        <w:rPr>
          <w:spacing w:val="-4"/>
        </w:rPr>
        <w:t> </w:t>
      </w:r>
      <w:r>
        <w:rPr/>
        <w:t>estimated</w:t>
      </w:r>
      <w:r>
        <w:rPr>
          <w:spacing w:val="-7"/>
        </w:rPr>
        <w:t> </w:t>
      </w:r>
      <w:r>
        <w:rPr/>
        <w:t>to</w:t>
      </w:r>
      <w:r>
        <w:rPr>
          <w:spacing w:val="-6"/>
        </w:rPr>
        <w:t> </w:t>
      </w:r>
      <w:r>
        <w:rPr/>
        <w:t>be</w:t>
      </w:r>
      <w:r>
        <w:rPr>
          <w:spacing w:val="-4"/>
        </w:rPr>
        <w:t> </w:t>
      </w:r>
      <w:r>
        <w:rPr/>
        <w:t>PKR</w:t>
      </w:r>
      <w:r>
        <w:rPr>
          <w:spacing w:val="-5"/>
        </w:rPr>
        <w:t> </w:t>
      </w:r>
      <w:r>
        <w:rPr/>
        <w:t>29.80</w:t>
      </w:r>
      <w:r>
        <w:rPr>
          <w:spacing w:val="-6"/>
        </w:rPr>
        <w:t> </w:t>
      </w:r>
      <w:r>
        <w:rPr/>
        <w:t>million</w:t>
      </w:r>
      <w:r>
        <w:rPr>
          <w:spacing w:val="-4"/>
        </w:rPr>
        <w:t> </w:t>
      </w:r>
      <w:r>
        <w:rPr/>
        <w:t>(USD</w:t>
      </w:r>
      <w:r>
        <w:rPr>
          <w:spacing w:val="-5"/>
        </w:rPr>
        <w:t> </w:t>
      </w:r>
      <w:r>
        <w:rPr/>
        <w:t>0.21</w:t>
      </w:r>
      <w:r>
        <w:rPr>
          <w:spacing w:val="-6"/>
        </w:rPr>
        <w:t> </w:t>
      </w:r>
      <w:r>
        <w:rPr/>
        <w:t>million). Out</w:t>
      </w:r>
      <w:r>
        <w:rPr>
          <w:spacing w:val="-12"/>
        </w:rPr>
        <w:t> </w:t>
      </w:r>
      <w:r>
        <w:rPr/>
        <w:t>of</w:t>
      </w:r>
      <w:r>
        <w:rPr>
          <w:spacing w:val="-9"/>
        </w:rPr>
        <w:t> </w:t>
      </w:r>
      <w:r>
        <w:rPr/>
        <w:t>this</w:t>
      </w:r>
      <w:r>
        <w:rPr>
          <w:spacing w:val="-12"/>
        </w:rPr>
        <w:t> </w:t>
      </w:r>
      <w:r>
        <w:rPr/>
        <w:t>total</w:t>
      </w:r>
      <w:r>
        <w:rPr>
          <w:spacing w:val="-10"/>
        </w:rPr>
        <w:t> </w:t>
      </w:r>
      <w:r>
        <w:rPr/>
        <w:t>amount,</w:t>
      </w:r>
      <w:r>
        <w:rPr>
          <w:spacing w:val="-14"/>
        </w:rPr>
        <w:t> </w:t>
      </w:r>
      <w:r>
        <w:rPr/>
        <w:t>PKR</w:t>
      </w:r>
      <w:r>
        <w:rPr>
          <w:spacing w:val="-11"/>
        </w:rPr>
        <w:t> </w:t>
      </w:r>
      <w:r>
        <w:rPr/>
        <w:t>28.9</w:t>
      </w:r>
      <w:r>
        <w:rPr>
          <w:spacing w:val="-13"/>
        </w:rPr>
        <w:t> </w:t>
      </w:r>
      <w:r>
        <w:rPr/>
        <w:t>million</w:t>
      </w:r>
      <w:r>
        <w:rPr>
          <w:spacing w:val="-10"/>
        </w:rPr>
        <w:t> </w:t>
      </w:r>
      <w:r>
        <w:rPr/>
        <w:t>is</w:t>
      </w:r>
      <w:r>
        <w:rPr>
          <w:spacing w:val="-9"/>
        </w:rPr>
        <w:t> </w:t>
      </w:r>
      <w:r>
        <w:rPr/>
        <w:t>required</w:t>
      </w:r>
      <w:r>
        <w:rPr>
          <w:spacing w:val="-13"/>
        </w:rPr>
        <w:t> </w:t>
      </w:r>
      <w:r>
        <w:rPr/>
        <w:t>for</w:t>
      </w:r>
      <w:r>
        <w:rPr>
          <w:spacing w:val="-12"/>
        </w:rPr>
        <w:t> </w:t>
      </w:r>
      <w:r>
        <w:rPr/>
        <w:t>the</w:t>
      </w:r>
      <w:r>
        <w:rPr>
          <w:spacing w:val="-13"/>
        </w:rPr>
        <w:t> </w:t>
      </w:r>
      <w:r>
        <w:rPr/>
        <w:t>income</w:t>
      </w:r>
      <w:r>
        <w:rPr>
          <w:spacing w:val="-13"/>
        </w:rPr>
        <w:t> </w:t>
      </w:r>
      <w:r>
        <w:rPr/>
        <w:t>losses</w:t>
      </w:r>
      <w:r>
        <w:rPr>
          <w:spacing w:val="-12"/>
        </w:rPr>
        <w:t> </w:t>
      </w:r>
      <w:r>
        <w:rPr/>
        <w:t>for</w:t>
      </w:r>
      <w:r>
        <w:rPr>
          <w:spacing w:val="-12"/>
        </w:rPr>
        <w:t> </w:t>
      </w:r>
      <w:r>
        <w:rPr/>
        <w:t>the</w:t>
      </w:r>
      <w:r>
        <w:rPr>
          <w:spacing w:val="-13"/>
        </w:rPr>
        <w:t> </w:t>
      </w:r>
      <w:r>
        <w:rPr/>
        <w:t>transition period</w:t>
      </w:r>
      <w:r>
        <w:rPr>
          <w:spacing w:val="-8"/>
        </w:rPr>
        <w:t> </w:t>
      </w:r>
      <w:r>
        <w:rPr/>
        <w:t>of</w:t>
      </w:r>
      <w:r>
        <w:rPr>
          <w:spacing w:val="-4"/>
        </w:rPr>
        <w:t> </w:t>
      </w:r>
      <w:r>
        <w:rPr/>
        <w:t>informal</w:t>
      </w:r>
      <w:r>
        <w:rPr>
          <w:spacing w:val="-8"/>
        </w:rPr>
        <w:t> </w:t>
      </w:r>
      <w:r>
        <w:rPr/>
        <w:t>vendors/</w:t>
      </w:r>
      <w:r>
        <w:rPr>
          <w:spacing w:val="-6"/>
        </w:rPr>
        <w:t> </w:t>
      </w:r>
      <w:r>
        <w:rPr/>
        <w:t>employees</w:t>
      </w:r>
      <w:r>
        <w:rPr>
          <w:spacing w:val="-7"/>
        </w:rPr>
        <w:t> </w:t>
      </w:r>
      <w:r>
        <w:rPr/>
        <w:t>and</w:t>
      </w:r>
      <w:r>
        <w:rPr>
          <w:spacing w:val="-5"/>
        </w:rPr>
        <w:t> </w:t>
      </w:r>
      <w:r>
        <w:rPr/>
        <w:t>PKR</w:t>
      </w:r>
      <w:r>
        <w:rPr>
          <w:spacing w:val="-8"/>
        </w:rPr>
        <w:t> </w:t>
      </w:r>
      <w:r>
        <w:rPr/>
        <w:t>0.91</w:t>
      </w:r>
      <w:r>
        <w:rPr>
          <w:spacing w:val="-9"/>
        </w:rPr>
        <w:t> </w:t>
      </w:r>
      <w:r>
        <w:rPr/>
        <w:t>million</w:t>
      </w:r>
      <w:r>
        <w:rPr>
          <w:spacing w:val="-7"/>
        </w:rPr>
        <w:t> </w:t>
      </w:r>
      <w:r>
        <w:rPr/>
        <w:t>for</w:t>
      </w:r>
      <w:r>
        <w:rPr>
          <w:spacing w:val="-8"/>
        </w:rPr>
        <w:t> </w:t>
      </w:r>
      <w:r>
        <w:rPr/>
        <w:t>the</w:t>
      </w:r>
      <w:r>
        <w:rPr>
          <w:spacing w:val="-9"/>
        </w:rPr>
        <w:t> </w:t>
      </w:r>
      <w:r>
        <w:rPr/>
        <w:t>vulnerability</w:t>
      </w:r>
      <w:r>
        <w:rPr>
          <w:spacing w:val="-8"/>
        </w:rPr>
        <w:t> </w:t>
      </w:r>
      <w:r>
        <w:rPr/>
        <w:t>allowance to vulnerable</w:t>
      </w:r>
      <w:r>
        <w:rPr>
          <w:spacing w:val="-5"/>
        </w:rPr>
        <w:t> </w:t>
      </w:r>
      <w:r>
        <w:rPr/>
        <w:t>AHs.</w:t>
      </w:r>
    </w:p>
    <w:p>
      <w:pPr>
        <w:pStyle w:val="BodyText"/>
        <w:spacing w:line="276" w:lineRule="auto" w:before="120"/>
        <w:ind w:left="868" w:right="155"/>
        <w:jc w:val="both"/>
      </w:pPr>
      <w:r>
        <w:rPr/>
        <w:t>The C&amp;LRP implementation schedule will be based on readiness level of the Yellow BRT Corridor Project final design and commencement of the construction works.</w:t>
      </w:r>
    </w:p>
    <w:p>
      <w:pPr>
        <w:pStyle w:val="Heading3"/>
        <w:spacing w:before="120"/>
        <w:ind w:left="868"/>
      </w:pPr>
      <w:r>
        <w:rPr/>
        <w:t>Monitoring and Evaluation</w:t>
      </w:r>
    </w:p>
    <w:p>
      <w:pPr>
        <w:pStyle w:val="BodyText"/>
        <w:spacing w:line="276" w:lineRule="auto" w:before="157"/>
        <w:ind w:left="868" w:right="153"/>
        <w:jc w:val="both"/>
      </w:pPr>
      <w:r>
        <w:rPr/>
        <w:t>Monitoring will involve (i) compliance monitoring through internal and external monitoring to ensure that implementation is on schedule and problems are dealt with on a timely manner; (ii) The social impacts monitoring of the project and whether </w:t>
      </w:r>
      <w:r>
        <w:rPr>
          <w:spacing w:val="-5"/>
        </w:rPr>
        <w:t>PAPs </w:t>
      </w:r>
      <w:r>
        <w:rPr/>
        <w:t>are able to restore and preferably improve their pre-project living standards, incomes, and productive capacity utilizing baseline information established through the socio-economic survey undertaken</w:t>
      </w:r>
      <w:r>
        <w:rPr>
          <w:spacing w:val="-14"/>
        </w:rPr>
        <w:t> </w:t>
      </w:r>
      <w:r>
        <w:rPr/>
        <w:t>during</w:t>
      </w:r>
      <w:r>
        <w:rPr>
          <w:spacing w:val="-9"/>
        </w:rPr>
        <w:t> </w:t>
      </w:r>
      <w:r>
        <w:rPr/>
        <w:t>project</w:t>
      </w:r>
      <w:r>
        <w:rPr>
          <w:spacing w:val="-10"/>
        </w:rPr>
        <w:t> </w:t>
      </w:r>
      <w:r>
        <w:rPr/>
        <w:t>preparation;</w:t>
      </w:r>
      <w:r>
        <w:rPr>
          <w:spacing w:val="-10"/>
        </w:rPr>
        <w:t> </w:t>
      </w:r>
      <w:r>
        <w:rPr/>
        <w:t>and</w:t>
      </w:r>
      <w:r>
        <w:rPr>
          <w:spacing w:val="-13"/>
        </w:rPr>
        <w:t> </w:t>
      </w:r>
      <w:r>
        <w:rPr/>
        <w:t>(iii)</w:t>
      </w:r>
      <w:r>
        <w:rPr>
          <w:spacing w:val="-10"/>
        </w:rPr>
        <w:t> </w:t>
      </w:r>
      <w:r>
        <w:rPr/>
        <w:t>overall</w:t>
      </w:r>
      <w:r>
        <w:rPr>
          <w:spacing w:val="-12"/>
        </w:rPr>
        <w:t> </w:t>
      </w:r>
      <w:r>
        <w:rPr/>
        <w:t>monitoring</w:t>
      </w:r>
      <w:r>
        <w:rPr>
          <w:spacing w:val="-11"/>
        </w:rPr>
        <w:t> </w:t>
      </w:r>
      <w:r>
        <w:rPr/>
        <w:t>to</w:t>
      </w:r>
      <w:r>
        <w:rPr>
          <w:spacing w:val="-11"/>
        </w:rPr>
        <w:t> </w:t>
      </w:r>
      <w:r>
        <w:rPr/>
        <w:t>assess</w:t>
      </w:r>
      <w:r>
        <w:rPr>
          <w:spacing w:val="-11"/>
        </w:rPr>
        <w:t> </w:t>
      </w:r>
      <w:r>
        <w:rPr/>
        <w:t>status</w:t>
      </w:r>
      <w:r>
        <w:rPr>
          <w:spacing w:val="-11"/>
        </w:rPr>
        <w:t> </w:t>
      </w:r>
      <w:r>
        <w:rPr/>
        <w:t>of</w:t>
      </w:r>
      <w:r>
        <w:rPr>
          <w:spacing w:val="-10"/>
        </w:rPr>
        <w:t> </w:t>
      </w:r>
      <w:r>
        <w:rPr>
          <w:spacing w:val="-4"/>
        </w:rPr>
        <w:t>PAPs. </w:t>
      </w:r>
      <w:r>
        <w:rPr/>
        <w:t>The</w:t>
      </w:r>
      <w:r>
        <w:rPr>
          <w:spacing w:val="-6"/>
        </w:rPr>
        <w:t> </w:t>
      </w:r>
      <w:r>
        <w:rPr>
          <w:spacing w:val="-5"/>
        </w:rPr>
        <w:t>SMTA</w:t>
      </w:r>
      <w:r>
        <w:rPr>
          <w:spacing w:val="-15"/>
        </w:rPr>
        <w:t> </w:t>
      </w:r>
      <w:r>
        <w:rPr/>
        <w:t>will</w:t>
      </w:r>
      <w:r>
        <w:rPr>
          <w:spacing w:val="-4"/>
        </w:rPr>
        <w:t> </w:t>
      </w:r>
      <w:r>
        <w:rPr/>
        <w:t>prepare</w:t>
      </w:r>
      <w:r>
        <w:rPr>
          <w:spacing w:val="-5"/>
        </w:rPr>
        <w:t> </w:t>
      </w:r>
      <w:r>
        <w:rPr/>
        <w:t>and</w:t>
      </w:r>
      <w:r>
        <w:rPr>
          <w:spacing w:val="-3"/>
        </w:rPr>
        <w:t> </w:t>
      </w:r>
      <w:r>
        <w:rPr/>
        <w:t>submit</w:t>
      </w:r>
      <w:r>
        <w:rPr>
          <w:spacing w:val="-4"/>
        </w:rPr>
        <w:t> </w:t>
      </w:r>
      <w:r>
        <w:rPr/>
        <w:t>semi-annual</w:t>
      </w:r>
      <w:r>
        <w:rPr>
          <w:spacing w:val="-4"/>
        </w:rPr>
        <w:t> </w:t>
      </w:r>
      <w:r>
        <w:rPr>
          <w:spacing w:val="-2"/>
        </w:rPr>
        <w:t>SMP</w:t>
      </w:r>
      <w:r>
        <w:rPr>
          <w:spacing w:val="-8"/>
        </w:rPr>
        <w:t> </w:t>
      </w:r>
      <w:r>
        <w:rPr/>
        <w:t>monitoring</w:t>
      </w:r>
      <w:r>
        <w:rPr>
          <w:spacing w:val="-3"/>
        </w:rPr>
        <w:t> </w:t>
      </w:r>
      <w:r>
        <w:rPr/>
        <w:t>reports</w:t>
      </w:r>
      <w:r>
        <w:rPr>
          <w:spacing w:val="-7"/>
        </w:rPr>
        <w:t> </w:t>
      </w:r>
      <w:r>
        <w:rPr/>
        <w:t>to</w:t>
      </w:r>
      <w:r>
        <w:rPr>
          <w:spacing w:val="-3"/>
        </w:rPr>
        <w:t> </w:t>
      </w:r>
      <w:r>
        <w:rPr/>
        <w:t>the</w:t>
      </w:r>
      <w:r>
        <w:rPr>
          <w:spacing w:val="-8"/>
        </w:rPr>
        <w:t> </w:t>
      </w:r>
      <w:r>
        <w:rPr/>
        <w:t>World</w:t>
      </w:r>
      <w:r>
        <w:rPr>
          <w:spacing w:val="-3"/>
        </w:rPr>
        <w:t> </w:t>
      </w:r>
      <w:r>
        <w:rPr/>
        <w:t>Bank as</w:t>
      </w:r>
      <w:r>
        <w:rPr>
          <w:spacing w:val="-14"/>
        </w:rPr>
        <w:t> </w:t>
      </w:r>
      <w:r>
        <w:rPr/>
        <w:t>part</w:t>
      </w:r>
      <w:r>
        <w:rPr>
          <w:spacing w:val="-16"/>
        </w:rPr>
        <w:t> </w:t>
      </w:r>
      <w:r>
        <w:rPr/>
        <w:t>of</w:t>
      </w:r>
      <w:r>
        <w:rPr>
          <w:spacing w:val="-13"/>
        </w:rPr>
        <w:t> </w:t>
      </w:r>
      <w:r>
        <w:rPr/>
        <w:t>project</w:t>
      </w:r>
      <w:r>
        <w:rPr>
          <w:spacing w:val="-13"/>
        </w:rPr>
        <w:t> </w:t>
      </w:r>
      <w:r>
        <w:rPr/>
        <w:t>implementation</w:t>
      </w:r>
      <w:r>
        <w:rPr>
          <w:spacing w:val="-15"/>
        </w:rPr>
        <w:t> </w:t>
      </w:r>
      <w:r>
        <w:rPr/>
        <w:t>performance</w:t>
      </w:r>
      <w:r>
        <w:rPr>
          <w:spacing w:val="-17"/>
        </w:rPr>
        <w:t> </w:t>
      </w:r>
      <w:r>
        <w:rPr/>
        <w:t>monitoring.</w:t>
      </w:r>
      <w:r>
        <w:rPr>
          <w:spacing w:val="-16"/>
        </w:rPr>
        <w:t> </w:t>
      </w:r>
      <w:r>
        <w:rPr/>
        <w:t>Such</w:t>
      </w:r>
      <w:r>
        <w:rPr>
          <w:spacing w:val="-15"/>
        </w:rPr>
        <w:t> </w:t>
      </w:r>
      <w:r>
        <w:rPr/>
        <w:t>periodic</w:t>
      </w:r>
      <w:r>
        <w:rPr>
          <w:spacing w:val="-17"/>
        </w:rPr>
        <w:t> </w:t>
      </w:r>
      <w:r>
        <w:rPr/>
        <w:t>monitoring</w:t>
      </w:r>
      <w:r>
        <w:rPr>
          <w:spacing w:val="-17"/>
        </w:rPr>
        <w:t> </w:t>
      </w:r>
      <w:r>
        <w:rPr/>
        <w:t>reports</w:t>
      </w:r>
    </w:p>
    <w:p>
      <w:pPr>
        <w:spacing w:after="0" w:line="276" w:lineRule="auto"/>
        <w:jc w:val="both"/>
        <w:sectPr>
          <w:pgSz w:w="11910" w:h="16840"/>
          <w:pgMar w:header="583" w:footer="575" w:top="840" w:bottom="760" w:left="860" w:right="1280"/>
        </w:sectPr>
      </w:pPr>
    </w:p>
    <w:p>
      <w:pPr>
        <w:pStyle w:val="BodyText"/>
        <w:rPr>
          <w:sz w:val="20"/>
        </w:rPr>
      </w:pPr>
    </w:p>
    <w:p>
      <w:pPr>
        <w:pStyle w:val="BodyText"/>
        <w:rPr>
          <w:sz w:val="20"/>
        </w:rPr>
      </w:pPr>
    </w:p>
    <w:p>
      <w:pPr>
        <w:pStyle w:val="BodyText"/>
        <w:spacing w:before="10"/>
        <w:rPr>
          <w:sz w:val="27"/>
        </w:rPr>
      </w:pPr>
    </w:p>
    <w:p>
      <w:pPr>
        <w:pStyle w:val="BodyText"/>
        <w:spacing w:line="276" w:lineRule="auto" w:before="93"/>
        <w:ind w:left="868" w:right="156"/>
        <w:jc w:val="both"/>
      </w:pPr>
      <w:r>
        <w:rPr/>
        <w:t>documenting progress on compensation and livelihood rehabilitation assistance implementation</w:t>
      </w:r>
      <w:r>
        <w:rPr>
          <w:spacing w:val="-11"/>
        </w:rPr>
        <w:t> </w:t>
      </w:r>
      <w:r>
        <w:rPr/>
        <w:t>and</w:t>
      </w:r>
      <w:r>
        <w:rPr>
          <w:spacing w:val="-11"/>
        </w:rPr>
        <w:t> </w:t>
      </w:r>
      <w:r>
        <w:rPr/>
        <w:t>compensation</w:t>
      </w:r>
      <w:r>
        <w:rPr>
          <w:spacing w:val="-11"/>
        </w:rPr>
        <w:t> </w:t>
      </w:r>
      <w:r>
        <w:rPr/>
        <w:t>plan</w:t>
      </w:r>
      <w:r>
        <w:rPr>
          <w:spacing w:val="-11"/>
        </w:rPr>
        <w:t> </w:t>
      </w:r>
      <w:r>
        <w:rPr/>
        <w:t>completion</w:t>
      </w:r>
      <w:r>
        <w:rPr>
          <w:spacing w:val="-11"/>
        </w:rPr>
        <w:t> </w:t>
      </w:r>
      <w:r>
        <w:rPr/>
        <w:t>reports</w:t>
      </w:r>
      <w:r>
        <w:rPr>
          <w:spacing w:val="-11"/>
        </w:rPr>
        <w:t> </w:t>
      </w:r>
      <w:r>
        <w:rPr/>
        <w:t>will</w:t>
      </w:r>
      <w:r>
        <w:rPr>
          <w:spacing w:val="-12"/>
        </w:rPr>
        <w:t> </w:t>
      </w:r>
      <w:r>
        <w:rPr/>
        <w:t>be</w:t>
      </w:r>
      <w:r>
        <w:rPr>
          <w:spacing w:val="-11"/>
        </w:rPr>
        <w:t> </w:t>
      </w:r>
      <w:r>
        <w:rPr/>
        <w:t>provided</w:t>
      </w:r>
      <w:r>
        <w:rPr>
          <w:spacing w:val="-10"/>
        </w:rPr>
        <w:t> </w:t>
      </w:r>
      <w:r>
        <w:rPr/>
        <w:t>through</w:t>
      </w:r>
      <w:r>
        <w:rPr>
          <w:spacing w:val="-14"/>
        </w:rPr>
        <w:t> </w:t>
      </w:r>
      <w:r>
        <w:rPr/>
        <w:t>Project </w:t>
      </w:r>
      <w:r>
        <w:rPr>
          <w:spacing w:val="-7"/>
        </w:rPr>
        <w:t>Team </w:t>
      </w:r>
      <w:r>
        <w:rPr/>
        <w:t>to World Bank for review and</w:t>
      </w:r>
      <w:r>
        <w:rPr>
          <w:spacing w:val="-7"/>
        </w:rPr>
        <w:t> </w:t>
      </w:r>
      <w:r>
        <w:rPr/>
        <w:t>disclosure.</w:t>
      </w:r>
    </w:p>
    <w:p>
      <w:pPr>
        <w:spacing w:after="0" w:line="276" w:lineRule="auto"/>
        <w:jc w:val="both"/>
        <w:sectPr>
          <w:pgSz w:w="11910" w:h="16840"/>
          <w:pgMar w:header="583" w:footer="575" w:top="840" w:bottom="760" w:left="860" w:right="1280"/>
        </w:sectPr>
      </w:pPr>
    </w:p>
    <w:p>
      <w:pPr>
        <w:pStyle w:val="BodyText"/>
        <w:rPr>
          <w:sz w:val="20"/>
        </w:rPr>
      </w:pPr>
    </w:p>
    <w:p>
      <w:pPr>
        <w:pStyle w:val="BodyText"/>
        <w:rPr>
          <w:sz w:val="20"/>
        </w:rPr>
      </w:pPr>
    </w:p>
    <w:p>
      <w:pPr>
        <w:pStyle w:val="BodyText"/>
        <w:rPr>
          <w:sz w:val="28"/>
        </w:rPr>
      </w:pPr>
    </w:p>
    <w:p>
      <w:pPr>
        <w:pStyle w:val="Heading2"/>
        <w:spacing w:before="92"/>
        <w:ind w:left="868" w:firstLine="0"/>
      </w:pPr>
      <w:bookmarkStart w:name="_bookmark1" w:id="2"/>
      <w:bookmarkEnd w:id="2"/>
      <w:r>
        <w:rPr>
          <w:b w:val="0"/>
        </w:rPr>
      </w:r>
      <w:r>
        <w:rPr/>
        <w:t>1    INTRODUCTION</w:t>
      </w:r>
    </w:p>
    <w:p>
      <w:pPr>
        <w:pStyle w:val="BodyText"/>
        <w:spacing w:before="3"/>
        <w:rPr>
          <w:b/>
          <w:sz w:val="31"/>
        </w:rPr>
      </w:pPr>
    </w:p>
    <w:p>
      <w:pPr>
        <w:pStyle w:val="Heading2"/>
        <w:ind w:left="868" w:firstLine="0"/>
      </w:pPr>
      <w:bookmarkStart w:name="_bookmark2" w:id="3"/>
      <w:bookmarkEnd w:id="3"/>
      <w:r>
        <w:rPr>
          <w:b w:val="0"/>
        </w:rPr>
      </w:r>
      <w:r>
        <w:rPr/>
        <w:t>1.1  The Compensation and Livelihood Rehabilitations Plan (C&amp;LRP)</w:t>
      </w:r>
    </w:p>
    <w:p>
      <w:pPr>
        <w:pStyle w:val="ListParagraph"/>
        <w:numPr>
          <w:ilvl w:val="0"/>
          <w:numId w:val="5"/>
        </w:numPr>
        <w:tabs>
          <w:tab w:pos="1589" w:val="left" w:leader="none"/>
        </w:tabs>
        <w:spacing w:line="276" w:lineRule="auto" w:before="160" w:after="0"/>
        <w:ind w:left="868" w:right="153" w:firstLine="0"/>
        <w:jc w:val="both"/>
        <w:rPr>
          <w:sz w:val="22"/>
        </w:rPr>
      </w:pPr>
      <w:r>
        <w:rPr>
          <w:sz w:val="22"/>
        </w:rPr>
        <w:t>The development of Compensation and Livelihood Rehabilitation Plan (C&amp;LRP) is a </w:t>
      </w:r>
      <w:r>
        <w:rPr>
          <w:i/>
          <w:sz w:val="22"/>
        </w:rPr>
        <w:t>requirement </w:t>
      </w:r>
      <w:r>
        <w:rPr>
          <w:sz w:val="22"/>
        </w:rPr>
        <w:t>for the Project that entails issues of compensation, impact on livelihood under</w:t>
      </w:r>
      <w:r>
        <w:rPr>
          <w:spacing w:val="-8"/>
          <w:sz w:val="22"/>
        </w:rPr>
        <w:t> </w:t>
      </w:r>
      <w:r>
        <w:rPr>
          <w:sz w:val="22"/>
        </w:rPr>
        <w:t>the</w:t>
      </w:r>
      <w:r>
        <w:rPr>
          <w:spacing w:val="-11"/>
          <w:sz w:val="22"/>
        </w:rPr>
        <w:t> </w:t>
      </w:r>
      <w:r>
        <w:rPr>
          <w:i/>
          <w:sz w:val="22"/>
        </w:rPr>
        <w:t>World</w:t>
      </w:r>
      <w:r>
        <w:rPr>
          <w:i/>
          <w:spacing w:val="-9"/>
          <w:sz w:val="22"/>
        </w:rPr>
        <w:t> </w:t>
      </w:r>
      <w:r>
        <w:rPr>
          <w:i/>
          <w:sz w:val="22"/>
        </w:rPr>
        <w:t>Bank</w:t>
      </w:r>
      <w:r>
        <w:rPr>
          <w:i/>
          <w:spacing w:val="-8"/>
          <w:sz w:val="22"/>
        </w:rPr>
        <w:t> </w:t>
      </w:r>
      <w:r>
        <w:rPr>
          <w:i/>
          <w:sz w:val="22"/>
        </w:rPr>
        <w:t>Safeguard</w:t>
      </w:r>
      <w:r>
        <w:rPr>
          <w:i/>
          <w:spacing w:val="-9"/>
          <w:sz w:val="22"/>
        </w:rPr>
        <w:t> </w:t>
      </w:r>
      <w:r>
        <w:rPr>
          <w:i/>
          <w:sz w:val="22"/>
        </w:rPr>
        <w:t>Policy</w:t>
      </w:r>
      <w:r>
        <w:rPr>
          <w:i/>
          <w:spacing w:val="-8"/>
          <w:sz w:val="22"/>
        </w:rPr>
        <w:t> </w:t>
      </w:r>
      <w:r>
        <w:rPr>
          <w:i/>
          <w:sz w:val="22"/>
        </w:rPr>
        <w:t>on</w:t>
      </w:r>
      <w:r>
        <w:rPr>
          <w:i/>
          <w:spacing w:val="-11"/>
          <w:sz w:val="22"/>
        </w:rPr>
        <w:t> </w:t>
      </w:r>
      <w:r>
        <w:rPr>
          <w:i/>
          <w:sz w:val="22"/>
        </w:rPr>
        <w:t>Involuntary</w:t>
      </w:r>
      <w:r>
        <w:rPr>
          <w:i/>
          <w:spacing w:val="-8"/>
          <w:sz w:val="22"/>
        </w:rPr>
        <w:t> </w:t>
      </w:r>
      <w:r>
        <w:rPr>
          <w:i/>
          <w:sz w:val="22"/>
        </w:rPr>
        <w:t>Resettlement</w:t>
      </w:r>
      <w:r>
        <w:rPr>
          <w:i/>
          <w:spacing w:val="-9"/>
          <w:sz w:val="22"/>
        </w:rPr>
        <w:t> </w:t>
      </w:r>
      <w:r>
        <w:rPr>
          <w:sz w:val="22"/>
        </w:rPr>
        <w:t>(OP</w:t>
      </w:r>
      <w:r>
        <w:rPr>
          <w:spacing w:val="-9"/>
          <w:sz w:val="22"/>
        </w:rPr>
        <w:t> </w:t>
      </w:r>
      <w:r>
        <w:rPr>
          <w:sz w:val="22"/>
        </w:rPr>
        <w:t>4.12).</w:t>
      </w:r>
      <w:r>
        <w:rPr>
          <w:spacing w:val="-8"/>
          <w:sz w:val="22"/>
        </w:rPr>
        <w:t> </w:t>
      </w:r>
      <w:r>
        <w:rPr>
          <w:sz w:val="22"/>
        </w:rPr>
        <w:t>Apart</w:t>
      </w:r>
      <w:r>
        <w:rPr>
          <w:spacing w:val="-10"/>
          <w:sz w:val="22"/>
        </w:rPr>
        <w:t> </w:t>
      </w:r>
      <w:r>
        <w:rPr>
          <w:sz w:val="22"/>
        </w:rPr>
        <w:t>from meeting World Bank requirements, the C&amp;LRP defines the legal and policy framework, eligibility criteria and entitlements for project affected persons (PAPs) to ensure fair and timely compensation and rehabilitation. It also defines procedures for social impact assessment, consultation, participation and disclosure; grievance redress; monitoring and reporting; as well as the institutional and financial arrangements for the Yellow Bus Rapid Transit (BRT) Project (the Project)</w:t>
      </w:r>
      <w:r>
        <w:rPr>
          <w:spacing w:val="-18"/>
          <w:sz w:val="22"/>
        </w:rPr>
        <w:t> </w:t>
      </w:r>
      <w:r>
        <w:rPr>
          <w:sz w:val="22"/>
        </w:rPr>
        <w:t>implementation.</w:t>
      </w:r>
    </w:p>
    <w:p>
      <w:pPr>
        <w:pStyle w:val="BodyText"/>
        <w:spacing w:before="10"/>
        <w:rPr>
          <w:sz w:val="20"/>
        </w:rPr>
      </w:pPr>
    </w:p>
    <w:p>
      <w:pPr>
        <w:pStyle w:val="Heading3"/>
        <w:numPr>
          <w:ilvl w:val="2"/>
          <w:numId w:val="6"/>
        </w:numPr>
        <w:tabs>
          <w:tab w:pos="1589" w:val="left" w:leader="none"/>
        </w:tabs>
        <w:spacing w:line="240" w:lineRule="auto" w:before="0" w:after="0"/>
        <w:ind w:left="1588" w:right="0" w:hanging="720"/>
        <w:jc w:val="both"/>
      </w:pPr>
      <w:bookmarkStart w:name="_bookmark3" w:id="4"/>
      <w:bookmarkEnd w:id="4"/>
      <w:r>
        <w:rPr>
          <w:b w:val="0"/>
        </w:rPr>
      </w:r>
      <w:bookmarkStart w:name="_bookmark3" w:id="5"/>
      <w:bookmarkEnd w:id="5"/>
      <w:r>
        <w:rPr>
          <w:color w:val="0D0D0D"/>
        </w:rPr>
        <w:t>P</w:t>
      </w:r>
      <w:r>
        <w:rPr>
          <w:color w:val="0D0D0D"/>
        </w:rPr>
        <w:t>urpose and Scope of the</w:t>
      </w:r>
      <w:r>
        <w:rPr>
          <w:color w:val="0D0D0D"/>
          <w:spacing w:val="-8"/>
        </w:rPr>
        <w:t> </w:t>
      </w:r>
      <w:r>
        <w:rPr>
          <w:color w:val="0D0D0D"/>
        </w:rPr>
        <w:t>C&amp;LRP</w:t>
      </w:r>
    </w:p>
    <w:p>
      <w:pPr>
        <w:pStyle w:val="ListParagraph"/>
        <w:numPr>
          <w:ilvl w:val="0"/>
          <w:numId w:val="5"/>
        </w:numPr>
        <w:tabs>
          <w:tab w:pos="1589" w:val="left" w:leader="none"/>
        </w:tabs>
        <w:spacing w:line="276" w:lineRule="auto" w:before="156" w:after="0"/>
        <w:ind w:left="868" w:right="154" w:firstLine="0"/>
        <w:jc w:val="both"/>
        <w:rPr>
          <w:sz w:val="22"/>
        </w:rPr>
      </w:pPr>
      <w:r>
        <w:rPr>
          <w:sz w:val="22"/>
        </w:rPr>
        <w:t>The purpose of developing a C&amp; LRP at this stage of the Project cycle is to outline the</w:t>
      </w:r>
      <w:r>
        <w:rPr>
          <w:spacing w:val="-19"/>
          <w:sz w:val="22"/>
        </w:rPr>
        <w:t> </w:t>
      </w:r>
      <w:r>
        <w:rPr>
          <w:sz w:val="22"/>
        </w:rPr>
        <w:t>framework</w:t>
      </w:r>
      <w:r>
        <w:rPr>
          <w:spacing w:val="-17"/>
          <w:sz w:val="22"/>
        </w:rPr>
        <w:t> </w:t>
      </w:r>
      <w:r>
        <w:rPr>
          <w:sz w:val="22"/>
        </w:rPr>
        <w:t>for</w:t>
      </w:r>
      <w:r>
        <w:rPr>
          <w:spacing w:val="-17"/>
          <w:sz w:val="22"/>
        </w:rPr>
        <w:t> </w:t>
      </w:r>
      <w:r>
        <w:rPr>
          <w:sz w:val="22"/>
        </w:rPr>
        <w:t>mitigating</w:t>
      </w:r>
      <w:r>
        <w:rPr>
          <w:spacing w:val="-16"/>
          <w:sz w:val="22"/>
        </w:rPr>
        <w:t> </w:t>
      </w:r>
      <w:r>
        <w:rPr>
          <w:sz w:val="22"/>
        </w:rPr>
        <w:t>and</w:t>
      </w:r>
      <w:r>
        <w:rPr>
          <w:spacing w:val="-16"/>
          <w:sz w:val="22"/>
        </w:rPr>
        <w:t> </w:t>
      </w:r>
      <w:r>
        <w:rPr>
          <w:sz w:val="22"/>
        </w:rPr>
        <w:t>restoring</w:t>
      </w:r>
      <w:r>
        <w:rPr>
          <w:spacing w:val="-16"/>
          <w:sz w:val="22"/>
        </w:rPr>
        <w:t> </w:t>
      </w:r>
      <w:r>
        <w:rPr>
          <w:sz w:val="22"/>
        </w:rPr>
        <w:t>the</w:t>
      </w:r>
      <w:r>
        <w:rPr>
          <w:spacing w:val="-19"/>
          <w:sz w:val="22"/>
        </w:rPr>
        <w:t> </w:t>
      </w:r>
      <w:r>
        <w:rPr>
          <w:sz w:val="22"/>
        </w:rPr>
        <w:t>project’s</w:t>
      </w:r>
      <w:r>
        <w:rPr>
          <w:spacing w:val="-16"/>
          <w:sz w:val="22"/>
        </w:rPr>
        <w:t> </w:t>
      </w:r>
      <w:r>
        <w:rPr>
          <w:sz w:val="22"/>
        </w:rPr>
        <w:t>impacts</w:t>
      </w:r>
      <w:r>
        <w:rPr>
          <w:spacing w:val="-18"/>
          <w:sz w:val="22"/>
        </w:rPr>
        <w:t> </w:t>
      </w:r>
      <w:r>
        <w:rPr>
          <w:sz w:val="22"/>
        </w:rPr>
        <w:t>on</w:t>
      </w:r>
      <w:r>
        <w:rPr>
          <w:spacing w:val="-19"/>
          <w:sz w:val="22"/>
        </w:rPr>
        <w:t> </w:t>
      </w:r>
      <w:r>
        <w:rPr>
          <w:sz w:val="22"/>
        </w:rPr>
        <w:t>the</w:t>
      </w:r>
      <w:r>
        <w:rPr>
          <w:spacing w:val="-16"/>
          <w:sz w:val="22"/>
        </w:rPr>
        <w:t> </w:t>
      </w:r>
      <w:r>
        <w:rPr>
          <w:sz w:val="22"/>
        </w:rPr>
        <w:t>livelihoods</w:t>
      </w:r>
      <w:r>
        <w:rPr>
          <w:spacing w:val="-16"/>
          <w:sz w:val="22"/>
        </w:rPr>
        <w:t> </w:t>
      </w:r>
      <w:r>
        <w:rPr>
          <w:sz w:val="22"/>
        </w:rPr>
        <w:t>of</w:t>
      </w:r>
      <w:r>
        <w:rPr>
          <w:spacing w:val="-15"/>
          <w:sz w:val="22"/>
        </w:rPr>
        <w:t> </w:t>
      </w:r>
      <w:r>
        <w:rPr>
          <w:sz w:val="22"/>
        </w:rPr>
        <w:t>project- affected peoples (PAPs) as early as possible in project development. This will allow for effective disclosure to key stakeholders, and subsequent feedback and inputs, prior to the project approval and commencement. It is also needed to meet part of the permit requirement of the Sindh’s Environmental Protection Agency</w:t>
      </w:r>
      <w:r>
        <w:rPr>
          <w:spacing w:val="-16"/>
          <w:sz w:val="22"/>
        </w:rPr>
        <w:t> </w:t>
      </w:r>
      <w:r>
        <w:rPr>
          <w:sz w:val="22"/>
        </w:rPr>
        <w:t>(SEPA).</w:t>
      </w:r>
    </w:p>
    <w:p>
      <w:pPr>
        <w:pStyle w:val="BodyText"/>
        <w:spacing w:before="9"/>
        <w:rPr>
          <w:sz w:val="20"/>
        </w:rPr>
      </w:pPr>
    </w:p>
    <w:p>
      <w:pPr>
        <w:pStyle w:val="Heading3"/>
        <w:numPr>
          <w:ilvl w:val="2"/>
          <w:numId w:val="6"/>
        </w:numPr>
        <w:tabs>
          <w:tab w:pos="1589" w:val="left" w:leader="none"/>
        </w:tabs>
        <w:spacing w:line="240" w:lineRule="auto" w:before="1" w:after="0"/>
        <w:ind w:left="1588" w:right="0" w:hanging="720"/>
        <w:jc w:val="both"/>
      </w:pPr>
      <w:bookmarkStart w:name="_bookmark4" w:id="6"/>
      <w:bookmarkEnd w:id="6"/>
      <w:r>
        <w:rPr>
          <w:b w:val="0"/>
        </w:rPr>
      </w:r>
      <w:bookmarkStart w:name="_bookmark4" w:id="7"/>
      <w:bookmarkEnd w:id="7"/>
      <w:r>
        <w:rPr>
          <w:color w:val="0D0D0D"/>
        </w:rPr>
        <w:t>P</w:t>
      </w:r>
      <w:r>
        <w:rPr>
          <w:color w:val="0D0D0D"/>
        </w:rPr>
        <w:t>roject Policy on</w:t>
      </w:r>
      <w:r>
        <w:rPr>
          <w:color w:val="0D0D0D"/>
          <w:spacing w:val="-8"/>
        </w:rPr>
        <w:t> </w:t>
      </w:r>
      <w:r>
        <w:rPr>
          <w:color w:val="0D0D0D"/>
        </w:rPr>
        <w:t>C&amp;LRP</w:t>
      </w:r>
    </w:p>
    <w:p>
      <w:pPr>
        <w:pStyle w:val="ListParagraph"/>
        <w:numPr>
          <w:ilvl w:val="0"/>
          <w:numId w:val="5"/>
        </w:numPr>
        <w:tabs>
          <w:tab w:pos="1589" w:val="left" w:leader="none"/>
        </w:tabs>
        <w:spacing w:line="276" w:lineRule="auto" w:before="157" w:after="0"/>
        <w:ind w:left="868" w:right="159" w:firstLine="0"/>
        <w:jc w:val="both"/>
        <w:rPr>
          <w:sz w:val="22"/>
        </w:rPr>
      </w:pPr>
      <w:r>
        <w:rPr>
          <w:sz w:val="22"/>
        </w:rPr>
        <w:t>The C&amp;LRP, for instance, includes measures, which meet the objectives of the  OP 4.12, which requires</w:t>
      </w:r>
      <w:r>
        <w:rPr>
          <w:spacing w:val="-9"/>
          <w:sz w:val="22"/>
        </w:rPr>
        <w:t> </w:t>
      </w:r>
      <w:r>
        <w:rPr>
          <w:sz w:val="22"/>
        </w:rPr>
        <w:t>that:</w:t>
      </w:r>
    </w:p>
    <w:p>
      <w:pPr>
        <w:pStyle w:val="ListParagraph"/>
        <w:numPr>
          <w:ilvl w:val="1"/>
          <w:numId w:val="5"/>
        </w:numPr>
        <w:tabs>
          <w:tab w:pos="1589" w:val="left" w:leader="none"/>
        </w:tabs>
        <w:spacing w:line="273" w:lineRule="auto" w:before="120" w:after="0"/>
        <w:ind w:left="1588" w:right="241" w:hanging="360"/>
        <w:jc w:val="both"/>
        <w:rPr>
          <w:sz w:val="22"/>
        </w:rPr>
      </w:pPr>
      <w:r>
        <w:rPr>
          <w:sz w:val="22"/>
        </w:rPr>
        <w:t>Prompt and effective compensation is paid to affected people prior to project implementation;</w:t>
      </w:r>
    </w:p>
    <w:p>
      <w:pPr>
        <w:pStyle w:val="ListParagraph"/>
        <w:numPr>
          <w:ilvl w:val="1"/>
          <w:numId w:val="5"/>
        </w:numPr>
        <w:tabs>
          <w:tab w:pos="1589" w:val="left" w:leader="none"/>
        </w:tabs>
        <w:spacing w:line="276" w:lineRule="auto" w:before="2" w:after="0"/>
        <w:ind w:left="1588" w:right="241" w:hanging="360"/>
        <w:jc w:val="both"/>
        <w:rPr>
          <w:sz w:val="22"/>
        </w:rPr>
      </w:pPr>
      <w:r>
        <w:rPr>
          <w:sz w:val="22"/>
        </w:rPr>
        <w:t>PAPs are fully informed and consulted on their legal rights, resettlement preferences and alternatives, and are given opportunities to participate meaningfully in the planning, implementation and monitoring of the rehabilitation process.</w:t>
      </w:r>
    </w:p>
    <w:p>
      <w:pPr>
        <w:pStyle w:val="ListParagraph"/>
        <w:numPr>
          <w:ilvl w:val="1"/>
          <w:numId w:val="5"/>
        </w:numPr>
        <w:tabs>
          <w:tab w:pos="1589" w:val="left" w:leader="none"/>
        </w:tabs>
        <w:spacing w:line="273" w:lineRule="auto" w:before="0" w:after="0"/>
        <w:ind w:left="1588" w:right="243" w:hanging="360"/>
        <w:jc w:val="both"/>
        <w:rPr>
          <w:sz w:val="22"/>
        </w:rPr>
      </w:pPr>
      <w:r>
        <w:rPr>
          <w:sz w:val="22"/>
        </w:rPr>
        <w:t>The required transitional support and development assistance is provided to affected</w:t>
      </w:r>
      <w:r>
        <w:rPr>
          <w:spacing w:val="-14"/>
          <w:sz w:val="22"/>
        </w:rPr>
        <w:t> </w:t>
      </w:r>
      <w:r>
        <w:rPr>
          <w:sz w:val="22"/>
        </w:rPr>
        <w:t>people,</w:t>
      </w:r>
      <w:r>
        <w:rPr>
          <w:spacing w:val="-15"/>
          <w:sz w:val="22"/>
        </w:rPr>
        <w:t> </w:t>
      </w:r>
      <w:r>
        <w:rPr>
          <w:sz w:val="22"/>
        </w:rPr>
        <w:t>to</w:t>
      </w:r>
      <w:r>
        <w:rPr>
          <w:spacing w:val="-13"/>
          <w:sz w:val="22"/>
        </w:rPr>
        <w:t> </w:t>
      </w:r>
      <w:r>
        <w:rPr>
          <w:sz w:val="22"/>
        </w:rPr>
        <w:t>enable</w:t>
      </w:r>
      <w:r>
        <w:rPr>
          <w:spacing w:val="-13"/>
          <w:sz w:val="22"/>
        </w:rPr>
        <w:t> </w:t>
      </w:r>
      <w:r>
        <w:rPr>
          <w:sz w:val="22"/>
        </w:rPr>
        <w:t>them</w:t>
      </w:r>
      <w:r>
        <w:rPr>
          <w:spacing w:val="-15"/>
          <w:sz w:val="22"/>
        </w:rPr>
        <w:t> </w:t>
      </w:r>
      <w:r>
        <w:rPr>
          <w:sz w:val="22"/>
        </w:rPr>
        <w:t>to</w:t>
      </w:r>
      <w:r>
        <w:rPr>
          <w:spacing w:val="-16"/>
          <w:sz w:val="22"/>
        </w:rPr>
        <w:t> </w:t>
      </w:r>
      <w:r>
        <w:rPr>
          <w:sz w:val="22"/>
        </w:rPr>
        <w:t>restore</w:t>
      </w:r>
      <w:r>
        <w:rPr>
          <w:spacing w:val="-15"/>
          <w:sz w:val="22"/>
        </w:rPr>
        <w:t> </w:t>
      </w:r>
      <w:r>
        <w:rPr>
          <w:sz w:val="22"/>
        </w:rPr>
        <w:t>/</w:t>
      </w:r>
      <w:r>
        <w:rPr>
          <w:spacing w:val="-12"/>
          <w:sz w:val="22"/>
        </w:rPr>
        <w:t> </w:t>
      </w:r>
      <w:r>
        <w:rPr>
          <w:sz w:val="22"/>
        </w:rPr>
        <w:t>improve</w:t>
      </w:r>
      <w:r>
        <w:rPr>
          <w:spacing w:val="-13"/>
          <w:sz w:val="22"/>
        </w:rPr>
        <w:t> </w:t>
      </w:r>
      <w:r>
        <w:rPr>
          <w:sz w:val="22"/>
        </w:rPr>
        <w:t>their</w:t>
      </w:r>
      <w:r>
        <w:rPr>
          <w:spacing w:val="-13"/>
          <w:sz w:val="22"/>
        </w:rPr>
        <w:t> </w:t>
      </w:r>
      <w:r>
        <w:rPr>
          <w:sz w:val="22"/>
        </w:rPr>
        <w:t>livelihoods</w:t>
      </w:r>
      <w:r>
        <w:rPr>
          <w:spacing w:val="-13"/>
          <w:sz w:val="22"/>
        </w:rPr>
        <w:t> </w:t>
      </w:r>
      <w:r>
        <w:rPr>
          <w:sz w:val="22"/>
        </w:rPr>
        <w:t>and</w:t>
      </w:r>
      <w:r>
        <w:rPr>
          <w:spacing w:val="-13"/>
          <w:sz w:val="22"/>
        </w:rPr>
        <w:t> </w:t>
      </w:r>
      <w:r>
        <w:rPr>
          <w:sz w:val="22"/>
        </w:rPr>
        <w:t>standards of living;</w:t>
      </w:r>
      <w:r>
        <w:rPr>
          <w:spacing w:val="-3"/>
          <w:sz w:val="22"/>
        </w:rPr>
        <w:t> </w:t>
      </w:r>
      <w:r>
        <w:rPr>
          <w:sz w:val="22"/>
        </w:rPr>
        <w:t>and</w:t>
      </w:r>
    </w:p>
    <w:p>
      <w:pPr>
        <w:pStyle w:val="ListParagraph"/>
        <w:numPr>
          <w:ilvl w:val="1"/>
          <w:numId w:val="5"/>
        </w:numPr>
        <w:tabs>
          <w:tab w:pos="1588" w:val="left" w:leader="none"/>
          <w:tab w:pos="1589" w:val="left" w:leader="none"/>
        </w:tabs>
        <w:spacing w:line="240" w:lineRule="auto" w:before="3" w:after="0"/>
        <w:ind w:left="1588" w:right="0" w:hanging="360"/>
        <w:jc w:val="left"/>
        <w:rPr>
          <w:sz w:val="22"/>
        </w:rPr>
      </w:pPr>
      <w:r>
        <w:rPr>
          <w:sz w:val="22"/>
        </w:rPr>
        <w:t>Particular attention is paid to vulnerable groups among the affected</w:t>
      </w:r>
      <w:r>
        <w:rPr>
          <w:spacing w:val="-21"/>
          <w:sz w:val="22"/>
        </w:rPr>
        <w:t> </w:t>
      </w:r>
      <w:r>
        <w:rPr>
          <w:sz w:val="22"/>
        </w:rPr>
        <w:t>population.</w:t>
      </w:r>
    </w:p>
    <w:p>
      <w:pPr>
        <w:pStyle w:val="ListParagraph"/>
        <w:numPr>
          <w:ilvl w:val="0"/>
          <w:numId w:val="5"/>
        </w:numPr>
        <w:tabs>
          <w:tab w:pos="1589" w:val="left" w:leader="none"/>
        </w:tabs>
        <w:spacing w:line="240" w:lineRule="auto" w:before="155" w:after="0"/>
        <w:ind w:left="1588" w:right="0" w:hanging="720"/>
        <w:jc w:val="both"/>
        <w:rPr>
          <w:sz w:val="22"/>
        </w:rPr>
      </w:pPr>
      <w:r>
        <w:rPr>
          <w:sz w:val="22"/>
        </w:rPr>
        <w:t>In accordance with the policy objectives of OP 4.12, the C&amp;LRP seeks</w:t>
      </w:r>
      <w:r>
        <w:rPr>
          <w:spacing w:val="-17"/>
          <w:sz w:val="22"/>
        </w:rPr>
        <w:t> </w:t>
      </w:r>
      <w:r>
        <w:rPr>
          <w:sz w:val="22"/>
        </w:rPr>
        <w:t>to:</w:t>
      </w:r>
    </w:p>
    <w:p>
      <w:pPr>
        <w:pStyle w:val="ListParagraph"/>
        <w:numPr>
          <w:ilvl w:val="1"/>
          <w:numId w:val="5"/>
        </w:numPr>
        <w:tabs>
          <w:tab w:pos="1589" w:val="left" w:leader="none"/>
        </w:tabs>
        <w:spacing w:line="271" w:lineRule="auto" w:before="159" w:after="0"/>
        <w:ind w:left="1588" w:right="244" w:hanging="360"/>
        <w:jc w:val="both"/>
        <w:rPr>
          <w:sz w:val="22"/>
        </w:rPr>
      </w:pPr>
      <w:r>
        <w:rPr>
          <w:sz w:val="22"/>
        </w:rPr>
        <w:t>Avoid</w:t>
      </w:r>
      <w:r>
        <w:rPr>
          <w:spacing w:val="-6"/>
          <w:sz w:val="22"/>
        </w:rPr>
        <w:t> </w:t>
      </w:r>
      <w:r>
        <w:rPr>
          <w:sz w:val="22"/>
        </w:rPr>
        <w:t>involuntary</w:t>
      </w:r>
      <w:r>
        <w:rPr>
          <w:spacing w:val="-8"/>
          <w:sz w:val="22"/>
        </w:rPr>
        <w:t> </w:t>
      </w:r>
      <w:r>
        <w:rPr>
          <w:sz w:val="22"/>
        </w:rPr>
        <w:t>resettlement</w:t>
      </w:r>
      <w:r>
        <w:rPr>
          <w:spacing w:val="-7"/>
          <w:sz w:val="22"/>
        </w:rPr>
        <w:t> </w:t>
      </w:r>
      <w:r>
        <w:rPr>
          <w:sz w:val="22"/>
        </w:rPr>
        <w:t>where</w:t>
      </w:r>
      <w:r>
        <w:rPr>
          <w:spacing w:val="-8"/>
          <w:sz w:val="22"/>
        </w:rPr>
        <w:t> </w:t>
      </w:r>
      <w:r>
        <w:rPr>
          <w:sz w:val="22"/>
        </w:rPr>
        <w:t>feasible,</w:t>
      </w:r>
      <w:r>
        <w:rPr>
          <w:spacing w:val="-5"/>
          <w:sz w:val="22"/>
        </w:rPr>
        <w:t> </w:t>
      </w:r>
      <w:r>
        <w:rPr>
          <w:sz w:val="22"/>
        </w:rPr>
        <w:t>exploring</w:t>
      </w:r>
      <w:r>
        <w:rPr>
          <w:spacing w:val="-6"/>
          <w:sz w:val="22"/>
        </w:rPr>
        <w:t> </w:t>
      </w:r>
      <w:r>
        <w:rPr>
          <w:sz w:val="22"/>
        </w:rPr>
        <w:t>all</w:t>
      </w:r>
      <w:r>
        <w:rPr>
          <w:spacing w:val="-7"/>
          <w:sz w:val="22"/>
        </w:rPr>
        <w:t> </w:t>
      </w:r>
      <w:r>
        <w:rPr>
          <w:sz w:val="22"/>
        </w:rPr>
        <w:t>viable</w:t>
      </w:r>
      <w:r>
        <w:rPr>
          <w:spacing w:val="-6"/>
          <w:sz w:val="22"/>
        </w:rPr>
        <w:t> </w:t>
      </w:r>
      <w:r>
        <w:rPr>
          <w:sz w:val="22"/>
        </w:rPr>
        <w:t>project</w:t>
      </w:r>
      <w:r>
        <w:rPr>
          <w:spacing w:val="-5"/>
          <w:sz w:val="22"/>
        </w:rPr>
        <w:t> </w:t>
      </w:r>
      <w:r>
        <w:rPr>
          <w:sz w:val="22"/>
        </w:rPr>
        <w:t>designs; and</w:t>
      </w:r>
    </w:p>
    <w:p>
      <w:pPr>
        <w:pStyle w:val="ListParagraph"/>
        <w:numPr>
          <w:ilvl w:val="1"/>
          <w:numId w:val="5"/>
        </w:numPr>
        <w:tabs>
          <w:tab w:pos="1589" w:val="left" w:leader="none"/>
        </w:tabs>
        <w:spacing w:line="273" w:lineRule="auto" w:before="4" w:after="0"/>
        <w:ind w:left="1588" w:right="239" w:hanging="360"/>
        <w:jc w:val="both"/>
        <w:rPr>
          <w:sz w:val="22"/>
        </w:rPr>
      </w:pPr>
      <w:r>
        <w:rPr>
          <w:sz w:val="22"/>
        </w:rPr>
        <w:t>Ensure that affected people receive resettlement assistance, preferably under the Project, so that their standards of living, income earning capacity, and production levels are</w:t>
      </w:r>
      <w:r>
        <w:rPr>
          <w:spacing w:val="-7"/>
          <w:sz w:val="22"/>
        </w:rPr>
        <w:t> </w:t>
      </w:r>
      <w:r>
        <w:rPr>
          <w:sz w:val="22"/>
        </w:rPr>
        <w:t>improved;</w:t>
      </w:r>
    </w:p>
    <w:p>
      <w:pPr>
        <w:pStyle w:val="ListParagraph"/>
        <w:numPr>
          <w:ilvl w:val="0"/>
          <w:numId w:val="5"/>
        </w:numPr>
        <w:tabs>
          <w:tab w:pos="1589" w:val="left" w:leader="none"/>
        </w:tabs>
        <w:spacing w:line="276" w:lineRule="auto" w:before="122" w:after="0"/>
        <w:ind w:left="868" w:right="155" w:firstLine="0"/>
        <w:jc w:val="both"/>
        <w:rPr>
          <w:sz w:val="22"/>
        </w:rPr>
      </w:pPr>
      <w:r>
        <w:rPr>
          <w:sz w:val="22"/>
        </w:rPr>
        <w:t>This C&amp;LRP prepared by the SMTA, fulfils OP.12 requirements pertaining to compensation and rehabilitation policy, principles, objectives and implementation procedures</w:t>
      </w:r>
      <w:r>
        <w:rPr>
          <w:spacing w:val="-10"/>
          <w:sz w:val="22"/>
        </w:rPr>
        <w:t> </w:t>
      </w:r>
      <w:r>
        <w:rPr>
          <w:sz w:val="22"/>
        </w:rPr>
        <w:t>and</w:t>
      </w:r>
      <w:r>
        <w:rPr>
          <w:spacing w:val="-10"/>
          <w:sz w:val="22"/>
        </w:rPr>
        <w:t> </w:t>
      </w:r>
      <w:r>
        <w:rPr>
          <w:sz w:val="22"/>
        </w:rPr>
        <w:t>complies</w:t>
      </w:r>
      <w:r>
        <w:rPr>
          <w:spacing w:val="-10"/>
          <w:sz w:val="22"/>
        </w:rPr>
        <w:t> </w:t>
      </w:r>
      <w:r>
        <w:rPr>
          <w:sz w:val="22"/>
        </w:rPr>
        <w:t>with</w:t>
      </w:r>
      <w:r>
        <w:rPr>
          <w:spacing w:val="-7"/>
          <w:sz w:val="22"/>
        </w:rPr>
        <w:t> </w:t>
      </w:r>
      <w:r>
        <w:rPr>
          <w:sz w:val="22"/>
        </w:rPr>
        <w:t>pertinent</w:t>
      </w:r>
      <w:r>
        <w:rPr>
          <w:spacing w:val="-9"/>
          <w:sz w:val="22"/>
        </w:rPr>
        <w:t> </w:t>
      </w:r>
      <w:r>
        <w:rPr>
          <w:sz w:val="22"/>
        </w:rPr>
        <w:t>National</w:t>
      </w:r>
      <w:r>
        <w:rPr>
          <w:spacing w:val="-9"/>
          <w:sz w:val="22"/>
        </w:rPr>
        <w:t> </w:t>
      </w:r>
      <w:r>
        <w:rPr>
          <w:sz w:val="22"/>
        </w:rPr>
        <w:t>and</w:t>
      </w:r>
      <w:r>
        <w:rPr>
          <w:spacing w:val="-8"/>
          <w:sz w:val="22"/>
        </w:rPr>
        <w:t> </w:t>
      </w:r>
      <w:r>
        <w:rPr>
          <w:sz w:val="22"/>
        </w:rPr>
        <w:t>Provincial</w:t>
      </w:r>
      <w:r>
        <w:rPr>
          <w:spacing w:val="-8"/>
          <w:sz w:val="22"/>
        </w:rPr>
        <w:t> </w:t>
      </w:r>
      <w:r>
        <w:rPr>
          <w:sz w:val="22"/>
        </w:rPr>
        <w:t>laws</w:t>
      </w:r>
      <w:r>
        <w:rPr>
          <w:spacing w:val="-7"/>
          <w:sz w:val="22"/>
        </w:rPr>
        <w:t> </w:t>
      </w:r>
      <w:r>
        <w:rPr>
          <w:sz w:val="22"/>
        </w:rPr>
        <w:t>and</w:t>
      </w:r>
      <w:r>
        <w:rPr>
          <w:spacing w:val="-9"/>
          <w:sz w:val="22"/>
        </w:rPr>
        <w:t> </w:t>
      </w:r>
      <w:r>
        <w:rPr>
          <w:sz w:val="22"/>
        </w:rPr>
        <w:t>rules,</w:t>
      </w:r>
      <w:r>
        <w:rPr>
          <w:spacing w:val="-9"/>
          <w:sz w:val="22"/>
        </w:rPr>
        <w:t> </w:t>
      </w:r>
      <w:r>
        <w:rPr>
          <w:sz w:val="22"/>
        </w:rPr>
        <w:t>regulations</w:t>
      </w:r>
    </w:p>
    <w:p>
      <w:pPr>
        <w:spacing w:after="0" w:line="276" w:lineRule="auto"/>
        <w:jc w:val="both"/>
        <w:rPr>
          <w:sz w:val="22"/>
        </w:rPr>
        <w:sectPr>
          <w:pgSz w:w="11910" w:h="16840"/>
          <w:pgMar w:header="583" w:footer="575" w:top="840" w:bottom="760" w:left="860" w:right="1280"/>
        </w:sectPr>
      </w:pPr>
    </w:p>
    <w:p>
      <w:pPr>
        <w:pStyle w:val="BodyText"/>
        <w:rPr>
          <w:sz w:val="20"/>
        </w:rPr>
      </w:pPr>
    </w:p>
    <w:p>
      <w:pPr>
        <w:pStyle w:val="BodyText"/>
        <w:rPr>
          <w:sz w:val="20"/>
        </w:rPr>
      </w:pPr>
    </w:p>
    <w:p>
      <w:pPr>
        <w:pStyle w:val="BodyText"/>
        <w:spacing w:before="10"/>
        <w:rPr>
          <w:sz w:val="27"/>
        </w:rPr>
      </w:pPr>
    </w:p>
    <w:p>
      <w:pPr>
        <w:pStyle w:val="BodyText"/>
        <w:spacing w:line="276" w:lineRule="auto" w:before="93"/>
        <w:ind w:left="868" w:right="153"/>
        <w:jc w:val="both"/>
      </w:pPr>
      <w:r>
        <w:rPr/>
        <w:t>and guidelines for providing livelihoods and rehabilitation assistance to the PAPs. The SMTA has endorsed this C&amp;LRP and will implement before the Project commencement.</w:t>
      </w:r>
    </w:p>
    <w:p>
      <w:pPr>
        <w:pStyle w:val="BodyText"/>
        <w:spacing w:before="10"/>
        <w:rPr>
          <w:sz w:val="20"/>
        </w:rPr>
      </w:pPr>
    </w:p>
    <w:p>
      <w:pPr>
        <w:pStyle w:val="Heading2"/>
        <w:ind w:left="868" w:firstLine="0"/>
      </w:pPr>
      <w:bookmarkStart w:name="_bookmark5" w:id="8"/>
      <w:bookmarkEnd w:id="8"/>
      <w:r>
        <w:rPr>
          <w:b w:val="0"/>
        </w:rPr>
      </w:r>
      <w:r>
        <w:rPr/>
        <w:t>1.2  Measures to Minimize Impact</w:t>
      </w:r>
    </w:p>
    <w:p>
      <w:pPr>
        <w:pStyle w:val="ListParagraph"/>
        <w:numPr>
          <w:ilvl w:val="0"/>
          <w:numId w:val="5"/>
        </w:numPr>
        <w:tabs>
          <w:tab w:pos="1589" w:val="left" w:leader="none"/>
        </w:tabs>
        <w:spacing w:line="276" w:lineRule="auto" w:before="162" w:after="0"/>
        <w:ind w:left="868" w:right="150" w:firstLine="0"/>
        <w:jc w:val="both"/>
        <w:rPr>
          <w:sz w:val="22"/>
        </w:rPr>
      </w:pPr>
      <w:r>
        <w:rPr>
          <w:sz w:val="22"/>
        </w:rPr>
        <w:t>During the route selection of the Project options were explored to minimize the impact to cause the least disruption to population living with the Project Corridor. The following factors will be considered to minimize impact as summarized</w:t>
      </w:r>
      <w:r>
        <w:rPr>
          <w:spacing w:val="-24"/>
          <w:sz w:val="22"/>
        </w:rPr>
        <w:t> </w:t>
      </w:r>
      <w:r>
        <w:rPr>
          <w:sz w:val="22"/>
        </w:rPr>
        <w:t>below:</w:t>
      </w:r>
    </w:p>
    <w:p>
      <w:pPr>
        <w:pStyle w:val="ListParagraph"/>
        <w:numPr>
          <w:ilvl w:val="1"/>
          <w:numId w:val="5"/>
        </w:numPr>
        <w:tabs>
          <w:tab w:pos="1589" w:val="left" w:leader="none"/>
        </w:tabs>
        <w:spacing w:line="273" w:lineRule="auto" w:before="119" w:after="0"/>
        <w:ind w:left="1588" w:right="239" w:hanging="360"/>
        <w:jc w:val="both"/>
        <w:rPr>
          <w:sz w:val="22"/>
        </w:rPr>
      </w:pPr>
      <w:r>
        <w:rPr>
          <w:sz w:val="22"/>
        </w:rPr>
        <w:t>The Project has minimized the social and resettlement impacts as all alternative viable project options were explored in the Project design to carefully incorporate technical solutions to minimize resettlement</w:t>
      </w:r>
      <w:r>
        <w:rPr>
          <w:spacing w:val="-18"/>
          <w:sz w:val="22"/>
        </w:rPr>
        <w:t> </w:t>
      </w:r>
      <w:r>
        <w:rPr>
          <w:sz w:val="22"/>
        </w:rPr>
        <w:t>impacts;</w:t>
      </w:r>
    </w:p>
    <w:p>
      <w:pPr>
        <w:pStyle w:val="ListParagraph"/>
        <w:numPr>
          <w:ilvl w:val="1"/>
          <w:numId w:val="5"/>
        </w:numPr>
        <w:tabs>
          <w:tab w:pos="1589" w:val="left" w:leader="none"/>
        </w:tabs>
        <w:spacing w:line="273" w:lineRule="auto" w:before="2" w:after="0"/>
        <w:ind w:left="1588" w:right="250" w:hanging="360"/>
        <w:jc w:val="both"/>
        <w:rPr>
          <w:sz w:val="22"/>
        </w:rPr>
      </w:pPr>
      <w:r>
        <w:rPr>
          <w:sz w:val="22"/>
        </w:rPr>
        <w:t>As much as possible rehabilitation and replacement of existing infrastructure will be limited within the Right-of-Way (ROW) of the present route</w:t>
      </w:r>
      <w:r>
        <w:rPr>
          <w:spacing w:val="-23"/>
          <w:sz w:val="22"/>
        </w:rPr>
        <w:t> </w:t>
      </w:r>
      <w:r>
        <w:rPr>
          <w:sz w:val="22"/>
        </w:rPr>
        <w:t>alignment;</w:t>
      </w:r>
    </w:p>
    <w:p>
      <w:pPr>
        <w:pStyle w:val="ListParagraph"/>
        <w:numPr>
          <w:ilvl w:val="1"/>
          <w:numId w:val="5"/>
        </w:numPr>
        <w:tabs>
          <w:tab w:pos="1589" w:val="left" w:leader="none"/>
        </w:tabs>
        <w:spacing w:line="271" w:lineRule="auto" w:before="3" w:after="0"/>
        <w:ind w:left="1588" w:right="238" w:hanging="360"/>
        <w:jc w:val="both"/>
        <w:rPr>
          <w:sz w:val="22"/>
        </w:rPr>
      </w:pPr>
      <w:r>
        <w:rPr>
          <w:sz w:val="22"/>
        </w:rPr>
        <w:t>All efforts have been made to avoid the need to acquire any privately-owned</w:t>
      </w:r>
      <w:r>
        <w:rPr>
          <w:spacing w:val="-32"/>
          <w:sz w:val="22"/>
        </w:rPr>
        <w:t> </w:t>
      </w:r>
      <w:r>
        <w:rPr>
          <w:sz w:val="22"/>
        </w:rPr>
        <w:t>land. Most</w:t>
      </w:r>
      <w:r>
        <w:rPr>
          <w:spacing w:val="-14"/>
          <w:sz w:val="22"/>
        </w:rPr>
        <w:t> </w:t>
      </w:r>
      <w:r>
        <w:rPr>
          <w:sz w:val="22"/>
        </w:rPr>
        <w:t>of</w:t>
      </w:r>
      <w:r>
        <w:rPr>
          <w:spacing w:val="-13"/>
          <w:sz w:val="22"/>
        </w:rPr>
        <w:t> </w:t>
      </w:r>
      <w:r>
        <w:rPr>
          <w:sz w:val="22"/>
        </w:rPr>
        <w:t>the</w:t>
      </w:r>
      <w:r>
        <w:rPr>
          <w:spacing w:val="-19"/>
          <w:sz w:val="22"/>
        </w:rPr>
        <w:t> </w:t>
      </w:r>
      <w:r>
        <w:rPr>
          <w:sz w:val="22"/>
        </w:rPr>
        <w:t>construction</w:t>
      </w:r>
      <w:r>
        <w:rPr>
          <w:spacing w:val="-16"/>
          <w:sz w:val="22"/>
        </w:rPr>
        <w:t> </w:t>
      </w:r>
      <w:r>
        <w:rPr>
          <w:sz w:val="22"/>
        </w:rPr>
        <w:t>work</w:t>
      </w:r>
      <w:r>
        <w:rPr>
          <w:spacing w:val="-11"/>
          <w:sz w:val="22"/>
        </w:rPr>
        <w:t> </w:t>
      </w:r>
      <w:r>
        <w:rPr>
          <w:sz w:val="22"/>
        </w:rPr>
        <w:t>of</w:t>
      </w:r>
      <w:r>
        <w:rPr>
          <w:spacing w:val="-16"/>
          <w:sz w:val="22"/>
        </w:rPr>
        <w:t> </w:t>
      </w:r>
      <w:r>
        <w:rPr>
          <w:sz w:val="22"/>
        </w:rPr>
        <w:t>BRT</w:t>
      </w:r>
      <w:r>
        <w:rPr>
          <w:spacing w:val="-14"/>
          <w:sz w:val="22"/>
        </w:rPr>
        <w:t> </w:t>
      </w:r>
      <w:r>
        <w:rPr>
          <w:sz w:val="22"/>
        </w:rPr>
        <w:t>will</w:t>
      </w:r>
      <w:r>
        <w:rPr>
          <w:spacing w:val="-15"/>
          <w:sz w:val="22"/>
        </w:rPr>
        <w:t> </w:t>
      </w:r>
      <w:r>
        <w:rPr>
          <w:sz w:val="22"/>
        </w:rPr>
        <w:t>be</w:t>
      </w:r>
      <w:r>
        <w:rPr>
          <w:spacing w:val="-15"/>
          <w:sz w:val="22"/>
        </w:rPr>
        <w:t> </w:t>
      </w:r>
      <w:r>
        <w:rPr>
          <w:sz w:val="22"/>
        </w:rPr>
        <w:t>undertaken</w:t>
      </w:r>
      <w:r>
        <w:rPr>
          <w:spacing w:val="-17"/>
          <w:sz w:val="22"/>
        </w:rPr>
        <w:t> </w:t>
      </w:r>
      <w:r>
        <w:rPr>
          <w:sz w:val="22"/>
        </w:rPr>
        <w:t>within</w:t>
      </w:r>
      <w:r>
        <w:rPr>
          <w:spacing w:val="-14"/>
          <w:sz w:val="22"/>
        </w:rPr>
        <w:t> </w:t>
      </w:r>
      <w:r>
        <w:rPr>
          <w:sz w:val="22"/>
        </w:rPr>
        <w:t>the</w:t>
      </w:r>
      <w:r>
        <w:rPr>
          <w:spacing w:val="-18"/>
          <w:sz w:val="22"/>
        </w:rPr>
        <w:t> </w:t>
      </w:r>
      <w:r>
        <w:rPr>
          <w:sz w:val="22"/>
        </w:rPr>
        <w:t>median</w:t>
      </w:r>
      <w:r>
        <w:rPr>
          <w:spacing w:val="-15"/>
          <w:sz w:val="22"/>
        </w:rPr>
        <w:t> </w:t>
      </w:r>
      <w:r>
        <w:rPr>
          <w:sz w:val="22"/>
        </w:rPr>
        <w:t>of</w:t>
      </w:r>
      <w:r>
        <w:rPr>
          <w:spacing w:val="-13"/>
          <w:sz w:val="22"/>
        </w:rPr>
        <w:t> </w:t>
      </w:r>
      <w:r>
        <w:rPr>
          <w:sz w:val="22"/>
        </w:rPr>
        <w:t>ROW;</w:t>
      </w:r>
    </w:p>
    <w:p>
      <w:pPr>
        <w:spacing w:after="0" w:line="271" w:lineRule="auto"/>
        <w:jc w:val="both"/>
        <w:rPr>
          <w:sz w:val="22"/>
        </w:rPr>
        <w:sectPr>
          <w:pgSz w:w="11910" w:h="16840"/>
          <w:pgMar w:header="583" w:footer="575" w:top="840" w:bottom="760" w:left="860" w:right="1280"/>
        </w:sectPr>
      </w:pPr>
    </w:p>
    <w:p>
      <w:pPr>
        <w:pStyle w:val="BodyText"/>
        <w:rPr>
          <w:sz w:val="20"/>
        </w:rPr>
      </w:pPr>
    </w:p>
    <w:p>
      <w:pPr>
        <w:pStyle w:val="BodyText"/>
        <w:rPr>
          <w:sz w:val="20"/>
        </w:rPr>
      </w:pPr>
    </w:p>
    <w:p>
      <w:pPr>
        <w:pStyle w:val="BodyText"/>
        <w:rPr>
          <w:sz w:val="28"/>
        </w:rPr>
      </w:pPr>
    </w:p>
    <w:p>
      <w:pPr>
        <w:pStyle w:val="Heading2"/>
        <w:numPr>
          <w:ilvl w:val="0"/>
          <w:numId w:val="7"/>
        </w:numPr>
        <w:tabs>
          <w:tab w:pos="1301" w:val="left" w:leader="none"/>
        </w:tabs>
        <w:spacing w:line="240" w:lineRule="auto" w:before="92" w:after="0"/>
        <w:ind w:left="1300" w:right="0" w:hanging="432"/>
        <w:jc w:val="both"/>
      </w:pPr>
      <w:bookmarkStart w:name="_bookmark6" w:id="9"/>
      <w:bookmarkEnd w:id="9"/>
      <w:r>
        <w:rPr>
          <w:b w:val="0"/>
        </w:rPr>
      </w:r>
      <w:bookmarkStart w:name="_bookmark6" w:id="10"/>
      <w:bookmarkEnd w:id="10"/>
      <w:r>
        <w:rPr/>
        <w:t>PROJECT</w:t>
      </w:r>
      <w:r>
        <w:rPr>
          <w:spacing w:val="-5"/>
        </w:rPr>
        <w:t> </w:t>
      </w:r>
      <w:r>
        <w:rPr/>
        <w:t>DESCRIPTION</w:t>
      </w:r>
    </w:p>
    <w:p>
      <w:pPr>
        <w:pStyle w:val="BodyText"/>
        <w:spacing w:before="3"/>
        <w:rPr>
          <w:b/>
          <w:sz w:val="31"/>
        </w:rPr>
      </w:pPr>
    </w:p>
    <w:p>
      <w:pPr>
        <w:pStyle w:val="Heading2"/>
        <w:numPr>
          <w:ilvl w:val="1"/>
          <w:numId w:val="7"/>
        </w:numPr>
        <w:tabs>
          <w:tab w:pos="1320" w:val="left" w:leader="none"/>
        </w:tabs>
        <w:spacing w:line="240" w:lineRule="auto" w:before="0" w:after="0"/>
        <w:ind w:left="1319" w:right="0" w:hanging="451"/>
        <w:jc w:val="both"/>
      </w:pPr>
      <w:bookmarkStart w:name="_bookmark7" w:id="11"/>
      <w:bookmarkEnd w:id="11"/>
      <w:r>
        <w:rPr>
          <w:b w:val="0"/>
        </w:rPr>
      </w:r>
      <w:bookmarkStart w:name="_bookmark7" w:id="12"/>
      <w:bookmarkEnd w:id="12"/>
      <w:r>
        <w:rPr/>
        <w:t>Intro</w:t>
      </w:r>
      <w:r>
        <w:rPr/>
        <w:t>duction</w:t>
      </w:r>
    </w:p>
    <w:p>
      <w:pPr>
        <w:pStyle w:val="ListParagraph"/>
        <w:numPr>
          <w:ilvl w:val="0"/>
          <w:numId w:val="8"/>
        </w:numPr>
        <w:tabs>
          <w:tab w:pos="1589" w:val="left" w:leader="none"/>
        </w:tabs>
        <w:spacing w:line="276" w:lineRule="auto" w:before="160" w:after="0"/>
        <w:ind w:left="868" w:right="153" w:firstLine="0"/>
        <w:jc w:val="both"/>
        <w:rPr>
          <w:sz w:val="22"/>
        </w:rPr>
      </w:pPr>
      <w:r>
        <w:rPr>
          <w:sz w:val="22"/>
        </w:rPr>
        <w:t>The</w:t>
      </w:r>
      <w:r>
        <w:rPr>
          <w:spacing w:val="-11"/>
          <w:sz w:val="22"/>
        </w:rPr>
        <w:t> </w:t>
      </w:r>
      <w:r>
        <w:rPr>
          <w:sz w:val="22"/>
        </w:rPr>
        <w:t>Project</w:t>
      </w:r>
      <w:r>
        <w:rPr>
          <w:spacing w:val="-10"/>
          <w:sz w:val="22"/>
        </w:rPr>
        <w:t> </w:t>
      </w:r>
      <w:r>
        <w:rPr>
          <w:sz w:val="22"/>
        </w:rPr>
        <w:t>proposed</w:t>
      </w:r>
      <w:r>
        <w:rPr>
          <w:spacing w:val="-11"/>
          <w:sz w:val="22"/>
        </w:rPr>
        <w:t> </w:t>
      </w:r>
      <w:r>
        <w:rPr>
          <w:sz w:val="22"/>
        </w:rPr>
        <w:t>form</w:t>
      </w:r>
      <w:r>
        <w:rPr>
          <w:spacing w:val="-8"/>
          <w:sz w:val="22"/>
        </w:rPr>
        <w:t> </w:t>
      </w:r>
      <w:r>
        <w:rPr>
          <w:sz w:val="22"/>
        </w:rPr>
        <w:t>part</w:t>
      </w:r>
      <w:r>
        <w:rPr>
          <w:spacing w:val="-10"/>
          <w:sz w:val="22"/>
        </w:rPr>
        <w:t> </w:t>
      </w:r>
      <w:r>
        <w:rPr>
          <w:sz w:val="22"/>
        </w:rPr>
        <w:t>of</w:t>
      </w:r>
      <w:r>
        <w:rPr>
          <w:spacing w:val="-8"/>
          <w:sz w:val="22"/>
        </w:rPr>
        <w:t> </w:t>
      </w:r>
      <w:r>
        <w:rPr>
          <w:sz w:val="22"/>
        </w:rPr>
        <w:t>a</w:t>
      </w:r>
      <w:r>
        <w:rPr>
          <w:spacing w:val="-9"/>
          <w:sz w:val="22"/>
        </w:rPr>
        <w:t> </w:t>
      </w:r>
      <w:r>
        <w:rPr>
          <w:sz w:val="22"/>
        </w:rPr>
        <w:t>long-term</w:t>
      </w:r>
      <w:r>
        <w:rPr>
          <w:spacing w:val="-7"/>
          <w:sz w:val="22"/>
        </w:rPr>
        <w:t> </w:t>
      </w:r>
      <w:r>
        <w:rPr>
          <w:sz w:val="22"/>
        </w:rPr>
        <w:t>visions</w:t>
      </w:r>
      <w:r>
        <w:rPr>
          <w:spacing w:val="-11"/>
          <w:sz w:val="22"/>
        </w:rPr>
        <w:t> </w:t>
      </w:r>
      <w:r>
        <w:rPr>
          <w:sz w:val="22"/>
        </w:rPr>
        <w:t>for</w:t>
      </w:r>
      <w:r>
        <w:rPr>
          <w:spacing w:val="-10"/>
          <w:sz w:val="22"/>
        </w:rPr>
        <w:t> </w:t>
      </w:r>
      <w:r>
        <w:rPr>
          <w:sz w:val="22"/>
        </w:rPr>
        <w:t>the</w:t>
      </w:r>
      <w:r>
        <w:rPr>
          <w:spacing w:val="-11"/>
          <w:sz w:val="22"/>
        </w:rPr>
        <w:t> </w:t>
      </w:r>
      <w:r>
        <w:rPr>
          <w:sz w:val="22"/>
        </w:rPr>
        <w:t>Karachi</w:t>
      </w:r>
      <w:r>
        <w:rPr>
          <w:spacing w:val="-12"/>
          <w:sz w:val="22"/>
        </w:rPr>
        <w:t> </w:t>
      </w:r>
      <w:r>
        <w:rPr>
          <w:sz w:val="22"/>
        </w:rPr>
        <w:t>megacity,</w:t>
      </w:r>
      <w:r>
        <w:rPr>
          <w:spacing w:val="-8"/>
          <w:sz w:val="22"/>
        </w:rPr>
        <w:t> </w:t>
      </w:r>
      <w:r>
        <w:rPr>
          <w:sz w:val="22"/>
        </w:rPr>
        <w:t>one that</w:t>
      </w:r>
      <w:r>
        <w:rPr>
          <w:spacing w:val="-6"/>
          <w:sz w:val="22"/>
        </w:rPr>
        <w:t> </w:t>
      </w:r>
      <w:r>
        <w:rPr>
          <w:sz w:val="22"/>
        </w:rPr>
        <w:t>is</w:t>
      </w:r>
      <w:r>
        <w:rPr>
          <w:spacing w:val="-5"/>
          <w:sz w:val="22"/>
        </w:rPr>
        <w:t> </w:t>
      </w:r>
      <w:r>
        <w:rPr>
          <w:sz w:val="22"/>
        </w:rPr>
        <w:t>served</w:t>
      </w:r>
      <w:r>
        <w:rPr>
          <w:spacing w:val="-5"/>
          <w:sz w:val="22"/>
        </w:rPr>
        <w:t> </w:t>
      </w:r>
      <w:r>
        <w:rPr>
          <w:sz w:val="22"/>
        </w:rPr>
        <w:t>with</w:t>
      </w:r>
      <w:r>
        <w:rPr>
          <w:spacing w:val="-5"/>
          <w:sz w:val="22"/>
        </w:rPr>
        <w:t> </w:t>
      </w:r>
      <w:r>
        <w:rPr>
          <w:sz w:val="22"/>
        </w:rPr>
        <w:t>safe,</w:t>
      </w:r>
      <w:r>
        <w:rPr>
          <w:spacing w:val="-6"/>
          <w:sz w:val="22"/>
        </w:rPr>
        <w:t> </w:t>
      </w:r>
      <w:r>
        <w:rPr>
          <w:sz w:val="22"/>
        </w:rPr>
        <w:t>reliable,</w:t>
      </w:r>
      <w:r>
        <w:rPr>
          <w:spacing w:val="-4"/>
          <w:sz w:val="22"/>
        </w:rPr>
        <w:t> </w:t>
      </w:r>
      <w:r>
        <w:rPr>
          <w:sz w:val="22"/>
        </w:rPr>
        <w:t>efficient</w:t>
      </w:r>
      <w:r>
        <w:rPr>
          <w:spacing w:val="-4"/>
          <w:sz w:val="22"/>
        </w:rPr>
        <w:t> </w:t>
      </w:r>
      <w:r>
        <w:rPr>
          <w:sz w:val="22"/>
        </w:rPr>
        <w:t>and</w:t>
      </w:r>
      <w:r>
        <w:rPr>
          <w:spacing w:val="-5"/>
          <w:sz w:val="22"/>
        </w:rPr>
        <w:t> </w:t>
      </w:r>
      <w:r>
        <w:rPr>
          <w:sz w:val="22"/>
        </w:rPr>
        <w:t>accessible</w:t>
      </w:r>
      <w:r>
        <w:rPr>
          <w:spacing w:val="-5"/>
          <w:sz w:val="22"/>
        </w:rPr>
        <w:t> </w:t>
      </w:r>
      <w:r>
        <w:rPr>
          <w:sz w:val="22"/>
        </w:rPr>
        <w:t>sustainable</w:t>
      </w:r>
      <w:r>
        <w:rPr>
          <w:spacing w:val="-5"/>
          <w:sz w:val="22"/>
        </w:rPr>
        <w:t> </w:t>
      </w:r>
      <w:r>
        <w:rPr>
          <w:sz w:val="22"/>
        </w:rPr>
        <w:t>transport</w:t>
      </w:r>
      <w:r>
        <w:rPr>
          <w:spacing w:val="-6"/>
          <w:sz w:val="22"/>
        </w:rPr>
        <w:t> </w:t>
      </w:r>
      <w:r>
        <w:rPr>
          <w:sz w:val="22"/>
        </w:rPr>
        <w:t>services.</w:t>
      </w:r>
      <w:r>
        <w:rPr>
          <w:spacing w:val="-4"/>
          <w:sz w:val="22"/>
        </w:rPr>
        <w:t> </w:t>
      </w:r>
      <w:r>
        <w:rPr>
          <w:sz w:val="22"/>
        </w:rPr>
        <w:t>At the centre of the transport project is the bus rapid transit (BRT) Project, which is intended to</w:t>
      </w:r>
      <w:r>
        <w:rPr>
          <w:spacing w:val="-11"/>
          <w:sz w:val="22"/>
        </w:rPr>
        <w:t> </w:t>
      </w:r>
      <w:r>
        <w:rPr>
          <w:sz w:val="22"/>
        </w:rPr>
        <w:t>form</w:t>
      </w:r>
      <w:r>
        <w:rPr>
          <w:spacing w:val="-10"/>
          <w:sz w:val="22"/>
        </w:rPr>
        <w:t> </w:t>
      </w:r>
      <w:r>
        <w:rPr>
          <w:sz w:val="22"/>
        </w:rPr>
        <w:t>the</w:t>
      </w:r>
      <w:r>
        <w:rPr>
          <w:spacing w:val="-11"/>
          <w:sz w:val="22"/>
        </w:rPr>
        <w:t> </w:t>
      </w:r>
      <w:r>
        <w:rPr>
          <w:sz w:val="22"/>
        </w:rPr>
        <w:t>backbone</w:t>
      </w:r>
      <w:r>
        <w:rPr>
          <w:spacing w:val="-11"/>
          <w:sz w:val="22"/>
        </w:rPr>
        <w:t> </w:t>
      </w:r>
      <w:r>
        <w:rPr>
          <w:sz w:val="22"/>
        </w:rPr>
        <w:t>of</w:t>
      </w:r>
      <w:r>
        <w:rPr>
          <w:spacing w:val="-10"/>
          <w:sz w:val="22"/>
        </w:rPr>
        <w:t> </w:t>
      </w:r>
      <w:r>
        <w:rPr>
          <w:sz w:val="22"/>
        </w:rPr>
        <w:t>a</w:t>
      </w:r>
      <w:r>
        <w:rPr>
          <w:spacing w:val="-11"/>
          <w:sz w:val="22"/>
        </w:rPr>
        <w:t> </w:t>
      </w:r>
      <w:r>
        <w:rPr>
          <w:sz w:val="22"/>
        </w:rPr>
        <w:t>fully</w:t>
      </w:r>
      <w:r>
        <w:rPr>
          <w:spacing w:val="-11"/>
          <w:sz w:val="22"/>
        </w:rPr>
        <w:t> </w:t>
      </w:r>
      <w:r>
        <w:rPr>
          <w:sz w:val="22"/>
        </w:rPr>
        <w:t>integrated</w:t>
      </w:r>
      <w:r>
        <w:rPr>
          <w:spacing w:val="-9"/>
          <w:sz w:val="22"/>
        </w:rPr>
        <w:t> </w:t>
      </w:r>
      <w:r>
        <w:rPr>
          <w:sz w:val="22"/>
        </w:rPr>
        <w:t>and</w:t>
      </w:r>
      <w:r>
        <w:rPr>
          <w:spacing w:val="-11"/>
          <w:sz w:val="22"/>
        </w:rPr>
        <w:t> </w:t>
      </w:r>
      <w:r>
        <w:rPr>
          <w:sz w:val="22"/>
        </w:rPr>
        <w:t>extensive</w:t>
      </w:r>
      <w:r>
        <w:rPr>
          <w:spacing w:val="-9"/>
          <w:sz w:val="22"/>
        </w:rPr>
        <w:t> </w:t>
      </w:r>
      <w:r>
        <w:rPr>
          <w:sz w:val="22"/>
        </w:rPr>
        <w:t>transit</w:t>
      </w:r>
      <w:r>
        <w:rPr>
          <w:spacing w:val="-10"/>
          <w:sz w:val="22"/>
        </w:rPr>
        <w:t> </w:t>
      </w:r>
      <w:r>
        <w:rPr>
          <w:sz w:val="22"/>
        </w:rPr>
        <w:t>system</w:t>
      </w:r>
      <w:r>
        <w:rPr>
          <w:spacing w:val="-13"/>
          <w:sz w:val="22"/>
        </w:rPr>
        <w:t> </w:t>
      </w:r>
      <w:r>
        <w:rPr>
          <w:sz w:val="22"/>
        </w:rPr>
        <w:t>for</w:t>
      </w:r>
      <w:r>
        <w:rPr>
          <w:spacing w:val="-13"/>
          <w:sz w:val="22"/>
        </w:rPr>
        <w:t> </w:t>
      </w:r>
      <w:r>
        <w:rPr>
          <w:sz w:val="22"/>
        </w:rPr>
        <w:t>the</w:t>
      </w:r>
      <w:r>
        <w:rPr>
          <w:spacing w:val="-9"/>
          <w:sz w:val="22"/>
        </w:rPr>
        <w:t> </w:t>
      </w:r>
      <w:r>
        <w:rPr>
          <w:sz w:val="22"/>
        </w:rPr>
        <w:t>city,</w:t>
      </w:r>
      <w:r>
        <w:rPr>
          <w:spacing w:val="-8"/>
          <w:sz w:val="22"/>
        </w:rPr>
        <w:t> </w:t>
      </w:r>
      <w:r>
        <w:rPr>
          <w:sz w:val="22"/>
        </w:rPr>
        <w:t>enabling public transport to become the mode of choice for travel. In addition to the BRT project an Intelligent Traffic Control (ITC) system is proposed which will enhance traffic management across the network, ensuring smoother flow along the roads and allow for prioritization of high capacity transport such as</w:t>
      </w:r>
      <w:r>
        <w:rPr>
          <w:spacing w:val="-9"/>
          <w:sz w:val="22"/>
        </w:rPr>
        <w:t> </w:t>
      </w:r>
      <w:r>
        <w:rPr>
          <w:sz w:val="22"/>
        </w:rPr>
        <w:t>BRT.</w:t>
      </w:r>
    </w:p>
    <w:p>
      <w:pPr>
        <w:pStyle w:val="ListParagraph"/>
        <w:numPr>
          <w:ilvl w:val="0"/>
          <w:numId w:val="8"/>
        </w:numPr>
        <w:tabs>
          <w:tab w:pos="1589" w:val="left" w:leader="none"/>
        </w:tabs>
        <w:spacing w:line="276" w:lineRule="auto" w:before="120" w:after="0"/>
        <w:ind w:left="868" w:right="157" w:firstLine="0"/>
        <w:jc w:val="both"/>
        <w:rPr>
          <w:sz w:val="22"/>
        </w:rPr>
      </w:pPr>
      <w:r>
        <w:rPr>
          <w:sz w:val="22"/>
        </w:rPr>
        <w:t>The proposed Project will follow the Integrated Corridor Management Approach in the need of all road users along the corridor will be improved. Severely deteriorated road sections</w:t>
      </w:r>
      <w:r>
        <w:rPr>
          <w:spacing w:val="-9"/>
          <w:sz w:val="22"/>
        </w:rPr>
        <w:t> </w:t>
      </w:r>
      <w:r>
        <w:rPr>
          <w:sz w:val="22"/>
        </w:rPr>
        <w:t>along</w:t>
      </w:r>
      <w:r>
        <w:rPr>
          <w:spacing w:val="-7"/>
          <w:sz w:val="22"/>
        </w:rPr>
        <w:t> </w:t>
      </w:r>
      <w:r>
        <w:rPr>
          <w:sz w:val="22"/>
        </w:rPr>
        <w:t>the</w:t>
      </w:r>
      <w:r>
        <w:rPr>
          <w:spacing w:val="-11"/>
          <w:sz w:val="22"/>
        </w:rPr>
        <w:t> </w:t>
      </w:r>
      <w:r>
        <w:rPr>
          <w:sz w:val="22"/>
        </w:rPr>
        <w:t>corridors</w:t>
      </w:r>
      <w:r>
        <w:rPr>
          <w:spacing w:val="-8"/>
          <w:sz w:val="22"/>
        </w:rPr>
        <w:t> </w:t>
      </w:r>
      <w:r>
        <w:rPr>
          <w:sz w:val="22"/>
        </w:rPr>
        <w:t>and</w:t>
      </w:r>
      <w:r>
        <w:rPr>
          <w:spacing w:val="-9"/>
          <w:sz w:val="22"/>
        </w:rPr>
        <w:t> </w:t>
      </w:r>
      <w:r>
        <w:rPr>
          <w:sz w:val="22"/>
        </w:rPr>
        <w:t>catchment</w:t>
      </w:r>
      <w:r>
        <w:rPr>
          <w:spacing w:val="-8"/>
          <w:sz w:val="22"/>
        </w:rPr>
        <w:t> </w:t>
      </w:r>
      <w:r>
        <w:rPr>
          <w:sz w:val="22"/>
        </w:rPr>
        <w:t>areas</w:t>
      </w:r>
      <w:r>
        <w:rPr>
          <w:spacing w:val="-11"/>
          <w:sz w:val="22"/>
        </w:rPr>
        <w:t> </w:t>
      </w:r>
      <w:r>
        <w:rPr>
          <w:sz w:val="22"/>
        </w:rPr>
        <w:t>will</w:t>
      </w:r>
      <w:r>
        <w:rPr>
          <w:spacing w:val="-10"/>
          <w:sz w:val="22"/>
        </w:rPr>
        <w:t> </w:t>
      </w:r>
      <w:r>
        <w:rPr>
          <w:sz w:val="22"/>
        </w:rPr>
        <w:t>be</w:t>
      </w:r>
      <w:r>
        <w:rPr>
          <w:spacing w:val="-9"/>
          <w:sz w:val="22"/>
        </w:rPr>
        <w:t> </w:t>
      </w:r>
      <w:r>
        <w:rPr>
          <w:sz w:val="22"/>
        </w:rPr>
        <w:t>improved,</w:t>
      </w:r>
      <w:r>
        <w:rPr>
          <w:spacing w:val="-8"/>
          <w:sz w:val="22"/>
        </w:rPr>
        <w:t> </w:t>
      </w:r>
      <w:r>
        <w:rPr>
          <w:sz w:val="22"/>
        </w:rPr>
        <w:t>traffic</w:t>
      </w:r>
      <w:r>
        <w:rPr>
          <w:spacing w:val="-11"/>
          <w:sz w:val="22"/>
        </w:rPr>
        <w:t> </w:t>
      </w:r>
      <w:r>
        <w:rPr>
          <w:sz w:val="22"/>
        </w:rPr>
        <w:t>management</w:t>
      </w:r>
      <w:r>
        <w:rPr>
          <w:spacing w:val="-8"/>
          <w:sz w:val="22"/>
        </w:rPr>
        <w:t> </w:t>
      </w:r>
      <w:r>
        <w:rPr>
          <w:sz w:val="22"/>
        </w:rPr>
        <w:t>will be upgraded, and parking issues will be</w:t>
      </w:r>
      <w:r>
        <w:rPr>
          <w:spacing w:val="-12"/>
          <w:sz w:val="22"/>
        </w:rPr>
        <w:t> </w:t>
      </w:r>
      <w:r>
        <w:rPr>
          <w:sz w:val="22"/>
        </w:rPr>
        <w:t>addressed.</w:t>
      </w:r>
    </w:p>
    <w:p>
      <w:pPr>
        <w:pStyle w:val="BodyText"/>
        <w:spacing w:before="10"/>
        <w:rPr>
          <w:sz w:val="20"/>
        </w:rPr>
      </w:pPr>
    </w:p>
    <w:p>
      <w:pPr>
        <w:pStyle w:val="Heading2"/>
        <w:numPr>
          <w:ilvl w:val="1"/>
          <w:numId w:val="7"/>
        </w:numPr>
        <w:tabs>
          <w:tab w:pos="1589" w:val="left" w:leader="none"/>
        </w:tabs>
        <w:spacing w:line="240" w:lineRule="auto" w:before="1" w:after="0"/>
        <w:ind w:left="1588" w:right="0" w:hanging="720"/>
        <w:jc w:val="both"/>
      </w:pPr>
      <w:bookmarkStart w:name="_bookmark8" w:id="13"/>
      <w:bookmarkEnd w:id="13"/>
      <w:r>
        <w:rPr>
          <w:b w:val="0"/>
        </w:rPr>
      </w:r>
      <w:bookmarkStart w:name="_bookmark8" w:id="14"/>
      <w:bookmarkEnd w:id="14"/>
      <w:r>
        <w:rPr/>
        <w:t>P</w:t>
      </w:r>
      <w:r>
        <w:rPr/>
        <w:t>roject Development Objectives and Key</w:t>
      </w:r>
      <w:r>
        <w:rPr>
          <w:spacing w:val="-14"/>
        </w:rPr>
        <w:t> </w:t>
      </w:r>
      <w:r>
        <w:rPr/>
        <w:t>Results</w:t>
      </w:r>
    </w:p>
    <w:p>
      <w:pPr>
        <w:pStyle w:val="ListParagraph"/>
        <w:numPr>
          <w:ilvl w:val="0"/>
          <w:numId w:val="9"/>
        </w:numPr>
        <w:tabs>
          <w:tab w:pos="1589" w:val="left" w:leader="none"/>
        </w:tabs>
        <w:spacing w:line="276" w:lineRule="auto" w:before="160" w:after="0"/>
        <w:ind w:left="868" w:right="159" w:firstLine="0"/>
        <w:jc w:val="both"/>
        <w:rPr>
          <w:sz w:val="22"/>
        </w:rPr>
      </w:pPr>
      <w:r>
        <w:rPr>
          <w:sz w:val="22"/>
        </w:rPr>
        <w:t>The Project Development Objective is to improve mobility, accessibility and safety along selected corridors in Karachi. The key results that will measure the achievement of the PDOs are as follows,</w:t>
      </w:r>
      <w:r>
        <w:rPr>
          <w:spacing w:val="-8"/>
          <w:sz w:val="22"/>
        </w:rPr>
        <w:t> </w:t>
      </w:r>
      <w:r>
        <w:rPr>
          <w:sz w:val="22"/>
        </w:rPr>
        <w:t>are:</w:t>
      </w:r>
    </w:p>
    <w:p>
      <w:pPr>
        <w:pStyle w:val="ListParagraph"/>
        <w:numPr>
          <w:ilvl w:val="1"/>
          <w:numId w:val="9"/>
        </w:numPr>
        <w:tabs>
          <w:tab w:pos="1315" w:val="left" w:leader="none"/>
        </w:tabs>
        <w:spacing w:line="240" w:lineRule="auto" w:before="121" w:after="0"/>
        <w:ind w:left="1314" w:right="0" w:hanging="360"/>
        <w:jc w:val="both"/>
        <w:rPr>
          <w:sz w:val="22"/>
        </w:rPr>
      </w:pPr>
      <w:r>
        <w:rPr>
          <w:sz w:val="22"/>
        </w:rPr>
        <w:t>Car travel time during peak hour along the Yellow</w:t>
      </w:r>
      <w:r>
        <w:rPr>
          <w:spacing w:val="-20"/>
          <w:sz w:val="22"/>
        </w:rPr>
        <w:t> </w:t>
      </w:r>
      <w:r>
        <w:rPr>
          <w:sz w:val="22"/>
        </w:rPr>
        <w:t>Corridor,</w:t>
      </w:r>
    </w:p>
    <w:p>
      <w:pPr>
        <w:pStyle w:val="ListParagraph"/>
        <w:numPr>
          <w:ilvl w:val="1"/>
          <w:numId w:val="9"/>
        </w:numPr>
        <w:tabs>
          <w:tab w:pos="1315" w:val="left" w:leader="none"/>
        </w:tabs>
        <w:spacing w:line="261" w:lineRule="auto" w:before="23" w:after="0"/>
        <w:ind w:left="1314" w:right="159" w:hanging="360"/>
        <w:jc w:val="left"/>
        <w:rPr>
          <w:sz w:val="22"/>
        </w:rPr>
      </w:pPr>
      <w:r>
        <w:rPr>
          <w:sz w:val="22"/>
        </w:rPr>
        <w:t>Ridership of the BRT system (passengers per day), of which women ridership (percentage),</w:t>
      </w:r>
    </w:p>
    <w:p>
      <w:pPr>
        <w:pStyle w:val="ListParagraph"/>
        <w:numPr>
          <w:ilvl w:val="1"/>
          <w:numId w:val="9"/>
        </w:numPr>
        <w:tabs>
          <w:tab w:pos="1315" w:val="left" w:leader="none"/>
        </w:tabs>
        <w:spacing w:line="240" w:lineRule="auto" w:before="16" w:after="0"/>
        <w:ind w:left="1314" w:right="0" w:hanging="360"/>
        <w:jc w:val="both"/>
        <w:rPr>
          <w:sz w:val="22"/>
        </w:rPr>
      </w:pPr>
      <w:r>
        <w:rPr>
          <w:sz w:val="22"/>
        </w:rPr>
        <w:t>Users satisfaction with the quality of the new BRT</w:t>
      </w:r>
      <w:r>
        <w:rPr>
          <w:spacing w:val="-20"/>
          <w:sz w:val="22"/>
        </w:rPr>
        <w:t> </w:t>
      </w:r>
      <w:r>
        <w:rPr>
          <w:sz w:val="22"/>
        </w:rPr>
        <w:t>service,</w:t>
      </w:r>
    </w:p>
    <w:p>
      <w:pPr>
        <w:pStyle w:val="ListParagraph"/>
        <w:numPr>
          <w:ilvl w:val="1"/>
          <w:numId w:val="9"/>
        </w:numPr>
        <w:tabs>
          <w:tab w:pos="1315" w:val="left" w:leader="none"/>
        </w:tabs>
        <w:spacing w:line="259" w:lineRule="auto" w:before="26" w:after="0"/>
        <w:ind w:left="1314" w:right="158" w:hanging="360"/>
        <w:jc w:val="left"/>
        <w:rPr>
          <w:sz w:val="22"/>
        </w:rPr>
      </w:pPr>
      <w:r>
        <w:rPr>
          <w:sz w:val="22"/>
        </w:rPr>
        <w:t>Number of jobs accessible within 60-minute commute by walking and taking the Bus Rapid Transit System (Urban Accessibility</w:t>
      </w:r>
      <w:r>
        <w:rPr>
          <w:spacing w:val="-20"/>
          <w:sz w:val="22"/>
        </w:rPr>
        <w:t> </w:t>
      </w:r>
      <w:r>
        <w:rPr>
          <w:sz w:val="22"/>
        </w:rPr>
        <w:t>Index)</w:t>
      </w:r>
    </w:p>
    <w:p>
      <w:pPr>
        <w:pStyle w:val="ListParagraph"/>
        <w:numPr>
          <w:ilvl w:val="1"/>
          <w:numId w:val="9"/>
        </w:numPr>
        <w:tabs>
          <w:tab w:pos="1315" w:val="left" w:leader="none"/>
        </w:tabs>
        <w:spacing w:line="240" w:lineRule="auto" w:before="19" w:after="0"/>
        <w:ind w:left="1314" w:right="0" w:hanging="360"/>
        <w:jc w:val="both"/>
        <w:rPr>
          <w:sz w:val="22"/>
        </w:rPr>
      </w:pPr>
      <w:r>
        <w:rPr>
          <w:sz w:val="22"/>
        </w:rPr>
        <w:t>Number of road traffic fatalities broken down by road user</w:t>
      </w:r>
      <w:r>
        <w:rPr>
          <w:spacing w:val="-22"/>
          <w:sz w:val="22"/>
        </w:rPr>
        <w:t> </w:t>
      </w:r>
      <w:r>
        <w:rPr>
          <w:sz w:val="22"/>
        </w:rPr>
        <w:t>type.</w:t>
      </w:r>
    </w:p>
    <w:p>
      <w:pPr>
        <w:pStyle w:val="BodyText"/>
        <w:spacing w:before="6"/>
        <w:rPr>
          <w:sz w:val="26"/>
        </w:rPr>
      </w:pPr>
    </w:p>
    <w:p>
      <w:pPr>
        <w:pStyle w:val="ListParagraph"/>
        <w:numPr>
          <w:ilvl w:val="0"/>
          <w:numId w:val="9"/>
        </w:numPr>
        <w:tabs>
          <w:tab w:pos="1589" w:val="left" w:leader="none"/>
        </w:tabs>
        <w:spacing w:line="276" w:lineRule="auto" w:before="1" w:after="0"/>
        <w:ind w:left="868" w:right="152" w:firstLine="0"/>
        <w:jc w:val="both"/>
        <w:rPr>
          <w:sz w:val="22"/>
        </w:rPr>
      </w:pPr>
      <w:r>
        <w:rPr>
          <w:sz w:val="22"/>
        </w:rPr>
        <w:t>Rapidly growing traffic volumes and poor infrastructure remain key constraints to economic growth and development. The project is one in a series of planned BRT lines in Karachi and is approximately 22 km from the Dawood to Allawali Chowrangi. The Yellow BRT Corridor will mainly serve lower to middle income groups, or working and labour classes, including many women. The corridor connects several industrial, commercial and residential areas. Some of the major industrial areas that would be serviced by the proposed system are Korangi and Landhi industrial areas near Dawood Chowrangi. Commercial areas such as Defense Housing Authority (DHA), Tariq Road and Saddar are also located along the corridor whereas residential areas such as Mansehra Colony, DHA and PECHS are also traversed by the proposed</w:t>
      </w:r>
      <w:r>
        <w:rPr>
          <w:spacing w:val="-13"/>
          <w:sz w:val="22"/>
        </w:rPr>
        <w:t> </w:t>
      </w:r>
      <w:r>
        <w:rPr>
          <w:sz w:val="22"/>
        </w:rPr>
        <w:t>route.</w:t>
      </w:r>
    </w:p>
    <w:p>
      <w:pPr>
        <w:pStyle w:val="BodyText"/>
        <w:spacing w:before="11"/>
        <w:rPr>
          <w:sz w:val="20"/>
        </w:rPr>
      </w:pPr>
    </w:p>
    <w:p>
      <w:pPr>
        <w:pStyle w:val="Heading2"/>
        <w:numPr>
          <w:ilvl w:val="1"/>
          <w:numId w:val="7"/>
        </w:numPr>
        <w:tabs>
          <w:tab w:pos="1589" w:val="left" w:leader="none"/>
        </w:tabs>
        <w:spacing w:line="240" w:lineRule="auto" w:before="0" w:after="0"/>
        <w:ind w:left="1588" w:right="0" w:hanging="720"/>
        <w:jc w:val="both"/>
      </w:pPr>
      <w:bookmarkStart w:name="_bookmark9" w:id="15"/>
      <w:bookmarkEnd w:id="15"/>
      <w:r>
        <w:rPr>
          <w:b w:val="0"/>
        </w:rPr>
      </w:r>
      <w:bookmarkStart w:name="_bookmark9" w:id="16"/>
      <w:bookmarkEnd w:id="16"/>
      <w:r>
        <w:rPr/>
        <w:t>S</w:t>
      </w:r>
      <w:r>
        <w:rPr/>
        <w:t>indh Mass Transit</w:t>
      </w:r>
      <w:r>
        <w:rPr>
          <w:spacing w:val="-4"/>
        </w:rPr>
        <w:t> </w:t>
      </w:r>
      <w:r>
        <w:rPr/>
        <w:t>Authority</w:t>
      </w:r>
    </w:p>
    <w:p>
      <w:pPr>
        <w:pStyle w:val="BodyText"/>
        <w:spacing w:line="276" w:lineRule="auto" w:before="160"/>
        <w:ind w:left="868" w:right="150"/>
        <w:jc w:val="both"/>
      </w:pPr>
      <w:r>
        <w:rPr/>
        <w:t>11 The Sindh Mass Authority (SMTA) will be the Executing Agency (EA) of the Yellow BRT Corridor Project. The SA work would be supervised by the EA. The EA will be the focal point for coordination with all other consultants, government agencies and the WB. This</w:t>
      </w:r>
      <w:r>
        <w:rPr>
          <w:spacing w:val="-5"/>
        </w:rPr>
        <w:t> </w:t>
      </w:r>
      <w:r>
        <w:rPr/>
        <w:t>social</w:t>
      </w:r>
      <w:r>
        <w:rPr>
          <w:spacing w:val="-6"/>
        </w:rPr>
        <w:t> </w:t>
      </w:r>
      <w:r>
        <w:rPr/>
        <w:t>assessment</w:t>
      </w:r>
      <w:r>
        <w:rPr>
          <w:spacing w:val="-7"/>
        </w:rPr>
        <w:t> </w:t>
      </w:r>
      <w:r>
        <w:rPr/>
        <w:t>will</w:t>
      </w:r>
      <w:r>
        <w:rPr>
          <w:spacing w:val="-6"/>
        </w:rPr>
        <w:t> </w:t>
      </w:r>
      <w:r>
        <w:rPr/>
        <w:t>be</w:t>
      </w:r>
      <w:r>
        <w:rPr>
          <w:spacing w:val="-6"/>
        </w:rPr>
        <w:t> </w:t>
      </w:r>
      <w:r>
        <w:rPr/>
        <w:t>used</w:t>
      </w:r>
      <w:r>
        <w:rPr>
          <w:spacing w:val="-5"/>
        </w:rPr>
        <w:t> </w:t>
      </w:r>
      <w:r>
        <w:rPr/>
        <w:t>by</w:t>
      </w:r>
      <w:r>
        <w:rPr>
          <w:spacing w:val="-8"/>
        </w:rPr>
        <w:t> </w:t>
      </w:r>
      <w:r>
        <w:rPr/>
        <w:t>the</w:t>
      </w:r>
      <w:r>
        <w:rPr>
          <w:spacing w:val="-6"/>
        </w:rPr>
        <w:t> </w:t>
      </w:r>
      <w:r>
        <w:rPr/>
        <w:t>EA</w:t>
      </w:r>
      <w:r>
        <w:rPr>
          <w:spacing w:val="-6"/>
        </w:rPr>
        <w:t> </w:t>
      </w:r>
      <w:r>
        <w:rPr/>
        <w:t>in</w:t>
      </w:r>
      <w:r>
        <w:rPr>
          <w:spacing w:val="-8"/>
        </w:rPr>
        <w:t> </w:t>
      </w:r>
      <w:r>
        <w:rPr/>
        <w:t>order</w:t>
      </w:r>
      <w:r>
        <w:rPr>
          <w:spacing w:val="-7"/>
        </w:rPr>
        <w:t> </w:t>
      </w:r>
      <w:r>
        <w:rPr/>
        <w:t>to</w:t>
      </w:r>
      <w:r>
        <w:rPr>
          <w:spacing w:val="-5"/>
        </w:rPr>
        <w:t> </w:t>
      </w:r>
      <w:r>
        <w:rPr/>
        <w:t>ensure</w:t>
      </w:r>
      <w:r>
        <w:rPr>
          <w:spacing w:val="-8"/>
        </w:rPr>
        <w:t> </w:t>
      </w:r>
      <w:r>
        <w:rPr/>
        <w:t>that</w:t>
      </w:r>
      <w:r>
        <w:rPr>
          <w:spacing w:val="-6"/>
        </w:rPr>
        <w:t> </w:t>
      </w:r>
      <w:r>
        <w:rPr/>
        <w:t>all</w:t>
      </w:r>
      <w:r>
        <w:rPr>
          <w:spacing w:val="-6"/>
        </w:rPr>
        <w:t> </w:t>
      </w:r>
      <w:r>
        <w:rPr/>
        <w:t>social</w:t>
      </w:r>
      <w:r>
        <w:rPr>
          <w:spacing w:val="-6"/>
        </w:rPr>
        <w:t> </w:t>
      </w:r>
      <w:r>
        <w:rPr/>
        <w:t>impacts</w:t>
      </w:r>
      <w:r>
        <w:rPr>
          <w:spacing w:val="-5"/>
        </w:rPr>
        <w:t> </w:t>
      </w:r>
      <w:r>
        <w:rPr/>
        <w:t>are</w:t>
      </w:r>
    </w:p>
    <w:p>
      <w:pPr>
        <w:spacing w:after="0" w:line="276" w:lineRule="auto"/>
        <w:jc w:val="both"/>
        <w:sectPr>
          <w:pgSz w:w="11910" w:h="16840"/>
          <w:pgMar w:header="583" w:footer="575" w:top="840" w:bottom="760" w:left="860" w:right="1280"/>
        </w:sectPr>
      </w:pPr>
    </w:p>
    <w:p>
      <w:pPr>
        <w:pStyle w:val="BodyText"/>
        <w:rPr>
          <w:sz w:val="20"/>
        </w:rPr>
      </w:pPr>
    </w:p>
    <w:p>
      <w:pPr>
        <w:pStyle w:val="BodyText"/>
        <w:rPr>
          <w:sz w:val="20"/>
        </w:rPr>
      </w:pPr>
    </w:p>
    <w:p>
      <w:pPr>
        <w:pStyle w:val="BodyText"/>
        <w:spacing w:before="10"/>
        <w:rPr>
          <w:sz w:val="27"/>
        </w:rPr>
      </w:pPr>
    </w:p>
    <w:p>
      <w:pPr>
        <w:pStyle w:val="BodyText"/>
        <w:spacing w:line="276" w:lineRule="auto" w:before="93"/>
        <w:ind w:left="868" w:right="154"/>
        <w:jc w:val="both"/>
      </w:pPr>
      <w:r>
        <w:rPr/>
        <w:t>adequately</w:t>
      </w:r>
      <w:r>
        <w:rPr>
          <w:spacing w:val="-12"/>
        </w:rPr>
        <w:t> </w:t>
      </w:r>
      <w:r>
        <w:rPr/>
        <w:t>addressed</w:t>
      </w:r>
      <w:r>
        <w:rPr>
          <w:spacing w:val="-10"/>
        </w:rPr>
        <w:t> </w:t>
      </w:r>
      <w:r>
        <w:rPr/>
        <w:t>and</w:t>
      </w:r>
      <w:r>
        <w:rPr>
          <w:spacing w:val="-10"/>
        </w:rPr>
        <w:t> </w:t>
      </w:r>
      <w:r>
        <w:rPr/>
        <w:t>that</w:t>
      </w:r>
      <w:r>
        <w:rPr>
          <w:spacing w:val="-11"/>
        </w:rPr>
        <w:t> </w:t>
      </w:r>
      <w:r>
        <w:rPr/>
        <w:t>the</w:t>
      </w:r>
      <w:r>
        <w:rPr>
          <w:spacing w:val="-10"/>
        </w:rPr>
        <w:t> </w:t>
      </w:r>
      <w:r>
        <w:rPr/>
        <w:t>relevant</w:t>
      </w:r>
      <w:r>
        <w:rPr>
          <w:spacing w:val="-9"/>
        </w:rPr>
        <w:t> </w:t>
      </w:r>
      <w:r>
        <w:rPr/>
        <w:t>capacity</w:t>
      </w:r>
      <w:r>
        <w:rPr>
          <w:spacing w:val="-12"/>
        </w:rPr>
        <w:t> </w:t>
      </w:r>
      <w:r>
        <w:rPr/>
        <w:t>and</w:t>
      </w:r>
      <w:r>
        <w:rPr>
          <w:spacing w:val="-10"/>
        </w:rPr>
        <w:t> </w:t>
      </w:r>
      <w:r>
        <w:rPr/>
        <w:t>training</w:t>
      </w:r>
      <w:r>
        <w:rPr>
          <w:spacing w:val="-8"/>
        </w:rPr>
        <w:t> </w:t>
      </w:r>
      <w:r>
        <w:rPr/>
        <w:t>needs</w:t>
      </w:r>
      <w:r>
        <w:rPr>
          <w:spacing w:val="-12"/>
        </w:rPr>
        <w:t> </w:t>
      </w:r>
      <w:r>
        <w:rPr/>
        <w:t>are</w:t>
      </w:r>
      <w:r>
        <w:rPr>
          <w:spacing w:val="-12"/>
        </w:rPr>
        <w:t> </w:t>
      </w:r>
      <w:r>
        <w:rPr/>
        <w:t>established</w:t>
      </w:r>
      <w:r>
        <w:rPr>
          <w:spacing w:val="-12"/>
        </w:rPr>
        <w:t> </w:t>
      </w:r>
      <w:r>
        <w:rPr/>
        <w:t>for the</w:t>
      </w:r>
      <w:r>
        <w:rPr>
          <w:spacing w:val="-14"/>
        </w:rPr>
        <w:t> </w:t>
      </w:r>
      <w:r>
        <w:rPr/>
        <w:t>recommended</w:t>
      </w:r>
      <w:r>
        <w:rPr>
          <w:spacing w:val="-16"/>
        </w:rPr>
        <w:t> </w:t>
      </w:r>
      <w:r>
        <w:rPr/>
        <w:t>measures</w:t>
      </w:r>
      <w:r>
        <w:rPr>
          <w:spacing w:val="-13"/>
        </w:rPr>
        <w:t> </w:t>
      </w:r>
      <w:r>
        <w:rPr/>
        <w:t>to</w:t>
      </w:r>
      <w:r>
        <w:rPr>
          <w:spacing w:val="-14"/>
        </w:rPr>
        <w:t> </w:t>
      </w:r>
      <w:r>
        <w:rPr/>
        <w:t>be</w:t>
      </w:r>
      <w:r>
        <w:rPr>
          <w:spacing w:val="-14"/>
        </w:rPr>
        <w:t> </w:t>
      </w:r>
      <w:r>
        <w:rPr/>
        <w:t>implemented</w:t>
      </w:r>
      <w:r>
        <w:rPr>
          <w:spacing w:val="-14"/>
        </w:rPr>
        <w:t> </w:t>
      </w:r>
      <w:r>
        <w:rPr/>
        <w:t>effectively.</w:t>
      </w:r>
      <w:r>
        <w:rPr>
          <w:spacing w:val="-12"/>
        </w:rPr>
        <w:t> </w:t>
      </w:r>
      <w:r>
        <w:rPr/>
        <w:t>The</w:t>
      </w:r>
      <w:r>
        <w:rPr>
          <w:spacing w:val="-14"/>
        </w:rPr>
        <w:t> </w:t>
      </w:r>
      <w:r>
        <w:rPr/>
        <w:t>EA</w:t>
      </w:r>
      <w:r>
        <w:rPr>
          <w:spacing w:val="-12"/>
        </w:rPr>
        <w:t> </w:t>
      </w:r>
      <w:r>
        <w:rPr/>
        <w:t>will</w:t>
      </w:r>
      <w:r>
        <w:rPr>
          <w:spacing w:val="-12"/>
        </w:rPr>
        <w:t> </w:t>
      </w:r>
      <w:r>
        <w:rPr/>
        <w:t>also</w:t>
      </w:r>
      <w:r>
        <w:rPr>
          <w:spacing w:val="-11"/>
        </w:rPr>
        <w:t> </w:t>
      </w:r>
      <w:r>
        <w:rPr/>
        <w:t>provide</w:t>
      </w:r>
      <w:r>
        <w:rPr>
          <w:spacing w:val="-11"/>
        </w:rPr>
        <w:t> </w:t>
      </w:r>
      <w:r>
        <w:rPr/>
        <w:t>liaison and contacts with the local authorities, NGOs, academic institutions, and will work cooperatively with the Consultant team for all public participation and public consultation activities.</w:t>
      </w:r>
    </w:p>
    <w:p>
      <w:pPr>
        <w:pStyle w:val="BodyText"/>
        <w:spacing w:before="10"/>
        <w:rPr>
          <w:sz w:val="20"/>
        </w:rPr>
      </w:pPr>
    </w:p>
    <w:p>
      <w:pPr>
        <w:pStyle w:val="Heading2"/>
        <w:numPr>
          <w:ilvl w:val="1"/>
          <w:numId w:val="7"/>
        </w:numPr>
        <w:tabs>
          <w:tab w:pos="1589" w:val="left" w:leader="none"/>
        </w:tabs>
        <w:spacing w:line="240" w:lineRule="auto" w:before="0" w:after="0"/>
        <w:ind w:left="1588" w:right="0" w:hanging="720"/>
        <w:jc w:val="both"/>
      </w:pPr>
      <w:bookmarkStart w:name="_bookmark10" w:id="17"/>
      <w:bookmarkEnd w:id="17"/>
      <w:r>
        <w:rPr>
          <w:b w:val="0"/>
        </w:rPr>
      </w:r>
      <w:bookmarkStart w:name="_bookmark10" w:id="18"/>
      <w:bookmarkEnd w:id="18"/>
      <w:r>
        <w:rPr/>
        <w:t>P</w:t>
      </w:r>
      <w:r>
        <w:rPr/>
        <w:t>roject</w:t>
      </w:r>
      <w:r>
        <w:rPr>
          <w:spacing w:val="-3"/>
        </w:rPr>
        <w:t> </w:t>
      </w:r>
      <w:r>
        <w:rPr/>
        <w:t>Components</w:t>
      </w:r>
    </w:p>
    <w:p>
      <w:pPr>
        <w:pStyle w:val="BodyText"/>
        <w:spacing w:before="4"/>
        <w:rPr>
          <w:b/>
          <w:sz w:val="24"/>
        </w:rPr>
      </w:pPr>
    </w:p>
    <w:p>
      <w:pPr>
        <w:pStyle w:val="Heading3"/>
        <w:numPr>
          <w:ilvl w:val="2"/>
          <w:numId w:val="7"/>
        </w:numPr>
        <w:tabs>
          <w:tab w:pos="1589" w:val="left" w:leader="none"/>
        </w:tabs>
        <w:spacing w:line="240" w:lineRule="auto" w:before="0" w:after="0"/>
        <w:ind w:left="1588" w:right="0" w:hanging="720"/>
        <w:jc w:val="both"/>
      </w:pPr>
      <w:bookmarkStart w:name="_bookmark11" w:id="19"/>
      <w:bookmarkEnd w:id="19"/>
      <w:r>
        <w:rPr>
          <w:b w:val="0"/>
        </w:rPr>
      </w:r>
      <w:bookmarkStart w:name="_bookmark11" w:id="20"/>
      <w:bookmarkEnd w:id="20"/>
      <w:r>
        <w:rPr>
          <w:color w:val="0D0D0D"/>
        </w:rPr>
        <w:t>C</w:t>
      </w:r>
      <w:r>
        <w:rPr>
          <w:color w:val="0D0D0D"/>
        </w:rPr>
        <w:t>omponent 1: Urban Road Infrastructure along the Yellow</w:t>
      </w:r>
      <w:r>
        <w:rPr>
          <w:color w:val="0D0D0D"/>
          <w:spacing w:val="-16"/>
        </w:rPr>
        <w:t> </w:t>
      </w:r>
      <w:r>
        <w:rPr>
          <w:color w:val="0D0D0D"/>
        </w:rPr>
        <w:t>Corridor</w:t>
      </w:r>
    </w:p>
    <w:p>
      <w:pPr>
        <w:pStyle w:val="ListParagraph"/>
        <w:numPr>
          <w:ilvl w:val="0"/>
          <w:numId w:val="10"/>
        </w:numPr>
        <w:tabs>
          <w:tab w:pos="1589" w:val="left" w:leader="none"/>
        </w:tabs>
        <w:spacing w:line="240" w:lineRule="auto" w:before="160" w:after="0"/>
        <w:ind w:left="1588" w:right="0" w:hanging="720"/>
        <w:jc w:val="both"/>
        <w:rPr>
          <w:sz w:val="22"/>
        </w:rPr>
      </w:pPr>
      <w:r>
        <w:rPr>
          <w:sz w:val="22"/>
        </w:rPr>
        <w:t>This component will</w:t>
      </w:r>
      <w:r>
        <w:rPr>
          <w:spacing w:val="-9"/>
          <w:sz w:val="22"/>
        </w:rPr>
        <w:t> </w:t>
      </w:r>
      <w:r>
        <w:rPr>
          <w:sz w:val="22"/>
        </w:rPr>
        <w:t>finance:</w:t>
      </w:r>
    </w:p>
    <w:p>
      <w:pPr>
        <w:pStyle w:val="ListParagraph"/>
        <w:numPr>
          <w:ilvl w:val="1"/>
          <w:numId w:val="10"/>
        </w:numPr>
        <w:tabs>
          <w:tab w:pos="1589" w:val="left" w:leader="none"/>
        </w:tabs>
        <w:spacing w:line="271" w:lineRule="auto" w:before="159" w:after="0"/>
        <w:ind w:left="1588" w:right="155" w:hanging="360"/>
        <w:jc w:val="both"/>
        <w:rPr>
          <w:rFonts w:ascii="Calibri"/>
          <w:sz w:val="22"/>
        </w:rPr>
      </w:pPr>
      <w:r>
        <w:rPr>
          <w:sz w:val="22"/>
        </w:rPr>
        <w:t>Reconstruction of road infrastructure and related utilities improvement and shifting (e.g. street lighting, sewer/water supply, drainage, oil pipeline) and non-motorized transport facilities such as motorcycle lanes, footpaths and pedestrian crossing along the Yellow Line Corridor and its direct and feeder service</w:t>
      </w:r>
      <w:r>
        <w:rPr>
          <w:spacing w:val="-21"/>
          <w:sz w:val="22"/>
        </w:rPr>
        <w:t> </w:t>
      </w:r>
      <w:r>
        <w:rPr>
          <w:sz w:val="22"/>
        </w:rPr>
        <w:t>routes,</w:t>
      </w:r>
    </w:p>
    <w:p>
      <w:pPr>
        <w:pStyle w:val="ListParagraph"/>
        <w:numPr>
          <w:ilvl w:val="1"/>
          <w:numId w:val="10"/>
        </w:numPr>
        <w:tabs>
          <w:tab w:pos="1589" w:val="left" w:leader="none"/>
        </w:tabs>
        <w:spacing w:line="268" w:lineRule="auto" w:before="7" w:after="0"/>
        <w:ind w:left="1588" w:right="153" w:hanging="360"/>
        <w:jc w:val="both"/>
        <w:rPr>
          <w:rFonts w:ascii="Calibri"/>
          <w:sz w:val="22"/>
        </w:rPr>
      </w:pPr>
      <w:r>
        <w:rPr>
          <w:sz w:val="22"/>
        </w:rPr>
        <w:t>Implementation of the recommendations and mitigations measures identified by Environmental Management, and Compensation and Livelihood Rehabilitation Plans prior and during construction,</w:t>
      </w:r>
      <w:r>
        <w:rPr>
          <w:spacing w:val="-10"/>
          <w:sz w:val="22"/>
        </w:rPr>
        <w:t> </w:t>
      </w:r>
      <w:r>
        <w:rPr>
          <w:sz w:val="22"/>
        </w:rPr>
        <w:t>and</w:t>
      </w:r>
    </w:p>
    <w:p>
      <w:pPr>
        <w:pStyle w:val="ListParagraph"/>
        <w:numPr>
          <w:ilvl w:val="1"/>
          <w:numId w:val="10"/>
        </w:numPr>
        <w:tabs>
          <w:tab w:pos="1589" w:val="left" w:leader="none"/>
        </w:tabs>
        <w:spacing w:line="240" w:lineRule="auto" w:before="9" w:after="0"/>
        <w:ind w:left="1588" w:right="0" w:hanging="360"/>
        <w:jc w:val="left"/>
        <w:rPr>
          <w:rFonts w:ascii="Calibri"/>
          <w:sz w:val="22"/>
        </w:rPr>
      </w:pPr>
      <w:r>
        <w:rPr>
          <w:sz w:val="22"/>
        </w:rPr>
        <w:t>Detailed designs, construction supervision activities and third-party</w:t>
      </w:r>
      <w:r>
        <w:rPr>
          <w:spacing w:val="-24"/>
          <w:sz w:val="22"/>
        </w:rPr>
        <w:t> </w:t>
      </w:r>
      <w:r>
        <w:rPr>
          <w:sz w:val="22"/>
        </w:rPr>
        <w:t>monitoring.</w:t>
      </w:r>
    </w:p>
    <w:p>
      <w:pPr>
        <w:pStyle w:val="BodyText"/>
        <w:spacing w:before="8"/>
      </w:pPr>
    </w:p>
    <w:p>
      <w:pPr>
        <w:pStyle w:val="Heading3"/>
        <w:numPr>
          <w:ilvl w:val="2"/>
          <w:numId w:val="7"/>
        </w:numPr>
        <w:tabs>
          <w:tab w:pos="1588" w:val="left" w:leader="none"/>
          <w:tab w:pos="1589" w:val="left" w:leader="none"/>
        </w:tabs>
        <w:spacing w:line="278" w:lineRule="auto" w:before="1" w:after="0"/>
        <w:ind w:left="1588" w:right="157" w:hanging="720"/>
        <w:jc w:val="left"/>
      </w:pPr>
      <w:bookmarkStart w:name="_bookmark12" w:id="21"/>
      <w:bookmarkEnd w:id="21"/>
      <w:r>
        <w:rPr>
          <w:b w:val="0"/>
        </w:rPr>
      </w:r>
      <w:bookmarkStart w:name="_bookmark12" w:id="22"/>
      <w:bookmarkEnd w:id="22"/>
      <w:r>
        <w:rPr>
          <w:color w:val="0D0D0D"/>
        </w:rPr>
        <w:t>C</w:t>
      </w:r>
      <w:r>
        <w:rPr>
          <w:color w:val="0D0D0D"/>
        </w:rPr>
        <w:t>omponent 2: The Development and Operationalization of a BRT System along the</w:t>
      </w:r>
      <w:r>
        <w:rPr>
          <w:color w:val="0D0D0D"/>
          <w:spacing w:val="-6"/>
        </w:rPr>
        <w:t> </w:t>
      </w:r>
      <w:r>
        <w:rPr>
          <w:color w:val="0D0D0D"/>
        </w:rPr>
        <w:t>Yellow</w:t>
      </w:r>
    </w:p>
    <w:p>
      <w:pPr>
        <w:pStyle w:val="ListParagraph"/>
        <w:numPr>
          <w:ilvl w:val="0"/>
          <w:numId w:val="10"/>
        </w:numPr>
        <w:tabs>
          <w:tab w:pos="1589" w:val="left" w:leader="none"/>
        </w:tabs>
        <w:spacing w:line="240" w:lineRule="auto" w:before="118" w:after="0"/>
        <w:ind w:left="1588" w:right="0" w:hanging="720"/>
        <w:jc w:val="both"/>
        <w:rPr>
          <w:sz w:val="22"/>
        </w:rPr>
      </w:pPr>
      <w:r>
        <w:rPr>
          <w:sz w:val="22"/>
        </w:rPr>
        <w:t>This component will</w:t>
      </w:r>
      <w:r>
        <w:rPr>
          <w:spacing w:val="-9"/>
          <w:sz w:val="22"/>
        </w:rPr>
        <w:t> </w:t>
      </w:r>
      <w:r>
        <w:rPr>
          <w:sz w:val="22"/>
        </w:rPr>
        <w:t>finance:</w:t>
      </w:r>
    </w:p>
    <w:p>
      <w:pPr>
        <w:pStyle w:val="ListParagraph"/>
        <w:numPr>
          <w:ilvl w:val="1"/>
          <w:numId w:val="10"/>
        </w:numPr>
        <w:tabs>
          <w:tab w:pos="1589" w:val="left" w:leader="none"/>
        </w:tabs>
        <w:spacing w:line="276" w:lineRule="auto" w:before="157" w:after="0"/>
        <w:ind w:left="1588" w:right="153" w:hanging="360"/>
        <w:jc w:val="both"/>
        <w:rPr>
          <w:sz w:val="22"/>
        </w:rPr>
      </w:pPr>
      <w:r>
        <w:rPr>
          <w:sz w:val="22"/>
        </w:rPr>
        <w:t>Construction of the BRT infrastructure, including segregated busways,</w:t>
      </w:r>
      <w:r>
        <w:rPr>
          <w:spacing w:val="-35"/>
          <w:sz w:val="22"/>
        </w:rPr>
        <w:t> </w:t>
      </w:r>
      <w:r>
        <w:rPr>
          <w:sz w:val="22"/>
        </w:rPr>
        <w:t>interchange facilities, stations, terminal and</w:t>
      </w:r>
      <w:r>
        <w:rPr>
          <w:spacing w:val="-12"/>
          <w:sz w:val="22"/>
        </w:rPr>
        <w:t> </w:t>
      </w:r>
      <w:r>
        <w:rPr>
          <w:sz w:val="22"/>
        </w:rPr>
        <w:t>depots,</w:t>
      </w:r>
    </w:p>
    <w:p>
      <w:pPr>
        <w:pStyle w:val="ListParagraph"/>
        <w:numPr>
          <w:ilvl w:val="1"/>
          <w:numId w:val="10"/>
        </w:numPr>
        <w:tabs>
          <w:tab w:pos="1589" w:val="left" w:leader="none"/>
        </w:tabs>
        <w:spacing w:line="240" w:lineRule="auto" w:before="3" w:after="0"/>
        <w:ind w:left="1588" w:right="0" w:hanging="360"/>
        <w:jc w:val="left"/>
        <w:rPr>
          <w:sz w:val="22"/>
        </w:rPr>
      </w:pPr>
      <w:r>
        <w:rPr>
          <w:sz w:val="22"/>
        </w:rPr>
        <w:t>Procurement and installation of ITS equipment and fare collection</w:t>
      </w:r>
      <w:r>
        <w:rPr>
          <w:spacing w:val="-17"/>
          <w:sz w:val="22"/>
        </w:rPr>
        <w:t> </w:t>
      </w:r>
      <w:r>
        <w:rPr>
          <w:sz w:val="22"/>
        </w:rPr>
        <w:t>system,</w:t>
      </w:r>
    </w:p>
    <w:p>
      <w:pPr>
        <w:pStyle w:val="ListParagraph"/>
        <w:numPr>
          <w:ilvl w:val="1"/>
          <w:numId w:val="10"/>
        </w:numPr>
        <w:tabs>
          <w:tab w:pos="1589" w:val="left" w:leader="none"/>
        </w:tabs>
        <w:spacing w:line="240" w:lineRule="auto" w:before="37" w:after="0"/>
        <w:ind w:left="1588" w:right="0" w:hanging="360"/>
        <w:jc w:val="left"/>
        <w:rPr>
          <w:sz w:val="22"/>
        </w:rPr>
      </w:pPr>
      <w:r>
        <w:rPr>
          <w:sz w:val="22"/>
        </w:rPr>
        <w:t>Upto 50% of the cost of the BRT</w:t>
      </w:r>
      <w:r>
        <w:rPr>
          <w:spacing w:val="-9"/>
          <w:sz w:val="22"/>
        </w:rPr>
        <w:t> </w:t>
      </w:r>
      <w:r>
        <w:rPr>
          <w:sz w:val="22"/>
        </w:rPr>
        <w:t>Fleet</w:t>
      </w:r>
    </w:p>
    <w:p>
      <w:pPr>
        <w:pStyle w:val="ListParagraph"/>
        <w:numPr>
          <w:ilvl w:val="1"/>
          <w:numId w:val="10"/>
        </w:numPr>
        <w:tabs>
          <w:tab w:pos="1589" w:val="left" w:leader="none"/>
        </w:tabs>
        <w:spacing w:line="276" w:lineRule="auto" w:before="37" w:after="0"/>
        <w:ind w:left="1588" w:right="162" w:hanging="360"/>
        <w:jc w:val="both"/>
        <w:rPr>
          <w:sz w:val="22"/>
        </w:rPr>
      </w:pPr>
      <w:r>
        <w:rPr>
          <w:sz w:val="22"/>
        </w:rPr>
        <w:t>Implementation the social management plan including labour redeployment services, for the affected existing bus operators including drivers,</w:t>
      </w:r>
      <w:r>
        <w:rPr>
          <w:spacing w:val="-24"/>
          <w:sz w:val="22"/>
        </w:rPr>
        <w:t> </w:t>
      </w:r>
      <w:r>
        <w:rPr>
          <w:sz w:val="22"/>
        </w:rPr>
        <w:t>conductors,</w:t>
      </w:r>
    </w:p>
    <w:p>
      <w:pPr>
        <w:pStyle w:val="ListParagraph"/>
        <w:numPr>
          <w:ilvl w:val="1"/>
          <w:numId w:val="10"/>
        </w:numPr>
        <w:tabs>
          <w:tab w:pos="1589" w:val="left" w:leader="none"/>
        </w:tabs>
        <w:spacing w:line="240" w:lineRule="auto" w:before="0" w:after="0"/>
        <w:ind w:left="1588" w:right="0" w:hanging="360"/>
        <w:jc w:val="left"/>
        <w:rPr>
          <w:sz w:val="22"/>
        </w:rPr>
      </w:pPr>
      <w:r>
        <w:rPr>
          <w:sz w:val="22"/>
        </w:rPr>
        <w:t>Technical Assistance to implement and monitor GBV and other Gender</w:t>
      </w:r>
      <w:r>
        <w:rPr>
          <w:spacing w:val="-19"/>
          <w:sz w:val="22"/>
        </w:rPr>
        <w:t> </w:t>
      </w:r>
      <w:r>
        <w:rPr>
          <w:sz w:val="22"/>
        </w:rPr>
        <w:t>Actions,</w:t>
      </w:r>
    </w:p>
    <w:p>
      <w:pPr>
        <w:pStyle w:val="ListParagraph"/>
        <w:numPr>
          <w:ilvl w:val="1"/>
          <w:numId w:val="10"/>
        </w:numPr>
        <w:tabs>
          <w:tab w:pos="1589" w:val="left" w:leader="none"/>
        </w:tabs>
        <w:spacing w:line="276" w:lineRule="auto" w:before="39" w:after="0"/>
        <w:ind w:left="1228" w:right="2127" w:firstLine="0"/>
        <w:jc w:val="left"/>
        <w:rPr>
          <w:sz w:val="22"/>
        </w:rPr>
      </w:pPr>
      <w:r>
        <w:rPr>
          <w:sz w:val="22"/>
        </w:rPr>
        <w:t>The development of a TOD strategy along the yellow Corridor, (vii)Technical Assistance for Transaction Advisory Services,</w:t>
      </w:r>
      <w:r>
        <w:rPr>
          <w:spacing w:val="-11"/>
          <w:sz w:val="22"/>
        </w:rPr>
        <w:t> </w:t>
      </w:r>
      <w:r>
        <w:rPr>
          <w:sz w:val="22"/>
        </w:rPr>
        <w:t>and</w:t>
      </w:r>
    </w:p>
    <w:p>
      <w:pPr>
        <w:pStyle w:val="BodyText"/>
        <w:spacing w:line="273" w:lineRule="auto"/>
        <w:ind w:left="1588" w:right="157" w:hanging="360"/>
        <w:jc w:val="both"/>
      </w:pPr>
      <w:r>
        <w:rPr>
          <w:rFonts w:ascii="Calibri"/>
          <w:sz w:val="20"/>
        </w:rPr>
        <w:t>(viii)</w:t>
      </w:r>
      <w:r>
        <w:rPr/>
        <w:t>A program of regular engagement with key stakeholders, and implementation of a public relations and media strategy for generating support and disseminating information on the BRT system.</w:t>
      </w:r>
    </w:p>
    <w:p>
      <w:pPr>
        <w:pStyle w:val="BodyText"/>
        <w:spacing w:before="1"/>
        <w:rPr>
          <w:sz w:val="21"/>
        </w:rPr>
      </w:pPr>
    </w:p>
    <w:p>
      <w:pPr>
        <w:pStyle w:val="Heading3"/>
        <w:numPr>
          <w:ilvl w:val="2"/>
          <w:numId w:val="7"/>
        </w:numPr>
        <w:tabs>
          <w:tab w:pos="1589" w:val="left" w:leader="none"/>
        </w:tabs>
        <w:spacing w:line="240" w:lineRule="auto" w:before="0" w:after="0"/>
        <w:ind w:left="1588" w:right="0" w:hanging="720"/>
        <w:jc w:val="both"/>
      </w:pPr>
      <w:bookmarkStart w:name="_bookmark13" w:id="23"/>
      <w:bookmarkEnd w:id="23"/>
      <w:r>
        <w:rPr>
          <w:b w:val="0"/>
        </w:rPr>
      </w:r>
      <w:bookmarkStart w:name="_bookmark13" w:id="24"/>
      <w:bookmarkEnd w:id="24"/>
      <w:r>
        <w:rPr>
          <w:color w:val="0D0D0D"/>
        </w:rPr>
        <w:t>C</w:t>
      </w:r>
      <w:r>
        <w:rPr>
          <w:color w:val="0D0D0D"/>
        </w:rPr>
        <w:t>omponent 3: Capacity Building and Technical</w:t>
      </w:r>
      <w:r>
        <w:rPr>
          <w:color w:val="0D0D0D"/>
          <w:spacing w:val="-16"/>
        </w:rPr>
        <w:t> </w:t>
      </w:r>
      <w:r>
        <w:rPr>
          <w:color w:val="0D0D0D"/>
        </w:rPr>
        <w:t>Assistance</w:t>
      </w:r>
    </w:p>
    <w:p>
      <w:pPr>
        <w:pStyle w:val="ListParagraph"/>
        <w:numPr>
          <w:ilvl w:val="0"/>
          <w:numId w:val="10"/>
        </w:numPr>
        <w:tabs>
          <w:tab w:pos="1649" w:val="left" w:leader="none"/>
        </w:tabs>
        <w:spacing w:line="240" w:lineRule="auto" w:before="157" w:after="0"/>
        <w:ind w:left="1648" w:right="0" w:hanging="780"/>
        <w:jc w:val="both"/>
        <w:rPr>
          <w:sz w:val="22"/>
        </w:rPr>
      </w:pPr>
      <w:r>
        <w:rPr>
          <w:sz w:val="22"/>
        </w:rPr>
        <w:t>This component will</w:t>
      </w:r>
      <w:r>
        <w:rPr>
          <w:spacing w:val="-7"/>
          <w:sz w:val="22"/>
        </w:rPr>
        <w:t> </w:t>
      </w:r>
      <w:r>
        <w:rPr>
          <w:sz w:val="22"/>
        </w:rPr>
        <w:t>finance:</w:t>
      </w:r>
    </w:p>
    <w:p>
      <w:pPr>
        <w:pStyle w:val="ListParagraph"/>
        <w:numPr>
          <w:ilvl w:val="1"/>
          <w:numId w:val="10"/>
        </w:numPr>
        <w:tabs>
          <w:tab w:pos="1589" w:val="left" w:leader="none"/>
        </w:tabs>
        <w:spacing w:line="261" w:lineRule="auto" w:before="159" w:after="0"/>
        <w:ind w:left="1588" w:right="162" w:hanging="360"/>
        <w:jc w:val="both"/>
        <w:rPr>
          <w:rFonts w:ascii="Calibri"/>
          <w:sz w:val="22"/>
        </w:rPr>
      </w:pPr>
      <w:r>
        <w:rPr>
          <w:sz w:val="22"/>
        </w:rPr>
        <w:t>Project management cost including TA for processing compensation/severance payments and managing labour redeployment</w:t>
      </w:r>
      <w:r>
        <w:rPr>
          <w:spacing w:val="-17"/>
          <w:sz w:val="22"/>
        </w:rPr>
        <w:t> </w:t>
      </w:r>
      <w:r>
        <w:rPr>
          <w:sz w:val="22"/>
        </w:rPr>
        <w:t>services,</w:t>
      </w:r>
    </w:p>
    <w:p>
      <w:pPr>
        <w:pStyle w:val="ListParagraph"/>
        <w:numPr>
          <w:ilvl w:val="1"/>
          <w:numId w:val="10"/>
        </w:numPr>
        <w:tabs>
          <w:tab w:pos="1589" w:val="left" w:leader="none"/>
        </w:tabs>
        <w:spacing w:line="240" w:lineRule="auto" w:before="16" w:after="0"/>
        <w:ind w:left="1588" w:right="0" w:hanging="360"/>
        <w:jc w:val="left"/>
        <w:rPr>
          <w:rFonts w:ascii="Calibri"/>
          <w:sz w:val="22"/>
        </w:rPr>
      </w:pPr>
      <w:r>
        <w:rPr>
          <w:sz w:val="22"/>
        </w:rPr>
        <w:t>Technical assistance in traffic management and road</w:t>
      </w:r>
      <w:r>
        <w:rPr>
          <w:spacing w:val="-17"/>
          <w:sz w:val="22"/>
        </w:rPr>
        <w:t> </w:t>
      </w:r>
      <w:r>
        <w:rPr>
          <w:sz w:val="22"/>
        </w:rPr>
        <w:t>safety,</w:t>
      </w:r>
    </w:p>
    <w:p>
      <w:pPr>
        <w:pStyle w:val="ListParagraph"/>
        <w:numPr>
          <w:ilvl w:val="1"/>
          <w:numId w:val="10"/>
        </w:numPr>
        <w:tabs>
          <w:tab w:pos="1589" w:val="left" w:leader="none"/>
        </w:tabs>
        <w:spacing w:line="261" w:lineRule="auto" w:before="24" w:after="0"/>
        <w:ind w:left="1588" w:right="159" w:hanging="360"/>
        <w:jc w:val="both"/>
        <w:rPr>
          <w:rFonts w:ascii="Calibri"/>
          <w:sz w:val="22"/>
        </w:rPr>
      </w:pPr>
      <w:r>
        <w:rPr>
          <w:sz w:val="22"/>
        </w:rPr>
        <w:t>Support to regional transport authorities in automating the management and monitoring of bus routes permits,</w:t>
      </w:r>
      <w:r>
        <w:rPr>
          <w:spacing w:val="-14"/>
          <w:sz w:val="22"/>
        </w:rPr>
        <w:t> </w:t>
      </w:r>
      <w:r>
        <w:rPr>
          <w:sz w:val="22"/>
        </w:rPr>
        <w:t>and</w:t>
      </w:r>
    </w:p>
    <w:p>
      <w:pPr>
        <w:pStyle w:val="ListParagraph"/>
        <w:numPr>
          <w:ilvl w:val="1"/>
          <w:numId w:val="10"/>
        </w:numPr>
        <w:tabs>
          <w:tab w:pos="1589" w:val="left" w:leader="none"/>
        </w:tabs>
        <w:spacing w:line="240" w:lineRule="auto" w:before="15" w:after="0"/>
        <w:ind w:left="1588" w:right="0" w:hanging="360"/>
        <w:jc w:val="left"/>
        <w:rPr>
          <w:rFonts w:ascii="Calibri"/>
          <w:sz w:val="20"/>
        </w:rPr>
      </w:pPr>
      <w:r>
        <w:rPr>
          <w:sz w:val="22"/>
        </w:rPr>
        <w:t>Institutional Strengthening for the management of Urban Transport</w:t>
      </w:r>
      <w:r>
        <w:rPr>
          <w:spacing w:val="-18"/>
          <w:sz w:val="22"/>
        </w:rPr>
        <w:t> </w:t>
      </w:r>
      <w:r>
        <w:rPr>
          <w:sz w:val="22"/>
        </w:rPr>
        <w:t>Sector.</w:t>
      </w:r>
    </w:p>
    <w:p>
      <w:pPr>
        <w:spacing w:after="0" w:line="240" w:lineRule="auto"/>
        <w:jc w:val="left"/>
        <w:rPr>
          <w:rFonts w:ascii="Calibri"/>
          <w:sz w:val="20"/>
        </w:rPr>
        <w:sectPr>
          <w:pgSz w:w="11910" w:h="16840"/>
          <w:pgMar w:header="583" w:footer="575" w:top="840" w:bottom="760" w:left="860" w:right="1280"/>
        </w:sectPr>
      </w:pPr>
    </w:p>
    <w:p>
      <w:pPr>
        <w:pStyle w:val="BodyText"/>
        <w:rPr>
          <w:sz w:val="20"/>
        </w:rPr>
      </w:pPr>
    </w:p>
    <w:p>
      <w:pPr>
        <w:pStyle w:val="BodyText"/>
        <w:rPr>
          <w:sz w:val="20"/>
        </w:rPr>
      </w:pPr>
    </w:p>
    <w:p>
      <w:pPr>
        <w:pStyle w:val="BodyText"/>
        <w:rPr>
          <w:sz w:val="28"/>
        </w:rPr>
      </w:pPr>
    </w:p>
    <w:p>
      <w:pPr>
        <w:pStyle w:val="Heading2"/>
        <w:numPr>
          <w:ilvl w:val="1"/>
          <w:numId w:val="7"/>
        </w:numPr>
        <w:tabs>
          <w:tab w:pos="1589" w:val="left" w:leader="none"/>
        </w:tabs>
        <w:spacing w:line="240" w:lineRule="auto" w:before="92" w:after="0"/>
        <w:ind w:left="1588" w:right="0" w:hanging="720"/>
        <w:jc w:val="both"/>
      </w:pPr>
      <w:bookmarkStart w:name="_bookmark14" w:id="25"/>
      <w:bookmarkEnd w:id="25"/>
      <w:r>
        <w:rPr>
          <w:b w:val="0"/>
        </w:rPr>
      </w:r>
      <w:bookmarkStart w:name="_bookmark14" w:id="26"/>
      <w:bookmarkEnd w:id="26"/>
      <w:r>
        <w:rPr/>
        <w:t>De</w:t>
      </w:r>
      <w:r>
        <w:rPr/>
        <w:t>velopment of a BRT</w:t>
      </w:r>
      <w:r>
        <w:rPr>
          <w:spacing w:val="-9"/>
        </w:rPr>
        <w:t> </w:t>
      </w:r>
      <w:r>
        <w:rPr/>
        <w:t>System</w:t>
      </w:r>
    </w:p>
    <w:p>
      <w:pPr>
        <w:pStyle w:val="ListParagraph"/>
        <w:numPr>
          <w:ilvl w:val="0"/>
          <w:numId w:val="11"/>
        </w:numPr>
        <w:tabs>
          <w:tab w:pos="1589" w:val="left" w:leader="none"/>
        </w:tabs>
        <w:spacing w:line="276" w:lineRule="auto" w:before="160" w:after="0"/>
        <w:ind w:left="868" w:right="150" w:firstLine="0"/>
        <w:jc w:val="both"/>
        <w:rPr>
          <w:sz w:val="22"/>
        </w:rPr>
      </w:pPr>
      <w:r>
        <w:rPr>
          <w:sz w:val="22"/>
        </w:rPr>
        <w:t>The Yellow BRT corridor is developed primarily along Korangi Road connecting Karachi’s southeast suburbs, characterized by dense industrial and residential land uses, with</w:t>
      </w:r>
      <w:r>
        <w:rPr>
          <w:spacing w:val="-5"/>
          <w:sz w:val="22"/>
        </w:rPr>
        <w:t> </w:t>
      </w:r>
      <w:r>
        <w:rPr>
          <w:sz w:val="22"/>
        </w:rPr>
        <w:t>the</w:t>
      </w:r>
      <w:r>
        <w:rPr>
          <w:spacing w:val="-8"/>
          <w:sz w:val="22"/>
        </w:rPr>
        <w:t> </w:t>
      </w:r>
      <w:r>
        <w:rPr>
          <w:sz w:val="22"/>
        </w:rPr>
        <w:t>city’s</w:t>
      </w:r>
      <w:r>
        <w:rPr>
          <w:spacing w:val="-5"/>
          <w:sz w:val="22"/>
        </w:rPr>
        <w:t> </w:t>
      </w:r>
      <w:r>
        <w:rPr>
          <w:sz w:val="22"/>
        </w:rPr>
        <w:t>CBD</w:t>
      </w:r>
      <w:r>
        <w:rPr>
          <w:spacing w:val="-6"/>
          <w:sz w:val="22"/>
        </w:rPr>
        <w:t> </w:t>
      </w:r>
      <w:r>
        <w:rPr>
          <w:sz w:val="22"/>
        </w:rPr>
        <w:t>region</w:t>
      </w:r>
      <w:r>
        <w:rPr>
          <w:spacing w:val="-5"/>
          <w:sz w:val="22"/>
        </w:rPr>
        <w:t> </w:t>
      </w:r>
      <w:r>
        <w:rPr>
          <w:sz w:val="22"/>
        </w:rPr>
        <w:t>with</w:t>
      </w:r>
      <w:r>
        <w:rPr>
          <w:spacing w:val="-5"/>
          <w:sz w:val="22"/>
        </w:rPr>
        <w:t> </w:t>
      </w:r>
      <w:r>
        <w:rPr>
          <w:sz w:val="22"/>
        </w:rPr>
        <w:t>thriving</w:t>
      </w:r>
      <w:r>
        <w:rPr>
          <w:spacing w:val="-3"/>
          <w:sz w:val="22"/>
        </w:rPr>
        <w:t> </w:t>
      </w:r>
      <w:r>
        <w:rPr>
          <w:sz w:val="22"/>
        </w:rPr>
        <w:t>and</w:t>
      </w:r>
      <w:r>
        <w:rPr>
          <w:spacing w:val="-5"/>
          <w:sz w:val="22"/>
        </w:rPr>
        <w:t> </w:t>
      </w:r>
      <w:r>
        <w:rPr>
          <w:sz w:val="22"/>
        </w:rPr>
        <w:t>dynamic</w:t>
      </w:r>
      <w:r>
        <w:rPr>
          <w:spacing w:val="-5"/>
          <w:sz w:val="22"/>
        </w:rPr>
        <w:t> </w:t>
      </w:r>
      <w:r>
        <w:rPr>
          <w:sz w:val="22"/>
        </w:rPr>
        <w:t>commercial,</w:t>
      </w:r>
      <w:r>
        <w:rPr>
          <w:spacing w:val="-4"/>
          <w:sz w:val="22"/>
        </w:rPr>
        <w:t> </w:t>
      </w:r>
      <w:r>
        <w:rPr>
          <w:sz w:val="22"/>
        </w:rPr>
        <w:t>institutional,</w:t>
      </w:r>
      <w:r>
        <w:rPr>
          <w:spacing w:val="-4"/>
          <w:sz w:val="22"/>
        </w:rPr>
        <w:t> </w:t>
      </w:r>
      <w:r>
        <w:rPr>
          <w:sz w:val="22"/>
        </w:rPr>
        <w:t>cultural,</w:t>
      </w:r>
      <w:r>
        <w:rPr>
          <w:spacing w:val="-1"/>
          <w:sz w:val="22"/>
        </w:rPr>
        <w:t> </w:t>
      </w:r>
      <w:r>
        <w:rPr>
          <w:sz w:val="22"/>
        </w:rPr>
        <w:t>and religious</w:t>
      </w:r>
      <w:r>
        <w:rPr>
          <w:spacing w:val="-11"/>
          <w:sz w:val="22"/>
        </w:rPr>
        <w:t> </w:t>
      </w:r>
      <w:r>
        <w:rPr>
          <w:sz w:val="22"/>
        </w:rPr>
        <w:t>activities.</w:t>
      </w:r>
    </w:p>
    <w:p>
      <w:pPr>
        <w:pStyle w:val="BodyText"/>
        <w:spacing w:before="10"/>
        <w:rPr>
          <w:sz w:val="20"/>
        </w:rPr>
      </w:pPr>
    </w:p>
    <w:p>
      <w:pPr>
        <w:pStyle w:val="Heading3"/>
        <w:numPr>
          <w:ilvl w:val="2"/>
          <w:numId w:val="12"/>
        </w:numPr>
        <w:tabs>
          <w:tab w:pos="1589" w:val="left" w:leader="none"/>
        </w:tabs>
        <w:spacing w:line="240" w:lineRule="auto" w:before="0" w:after="0"/>
        <w:ind w:left="1588" w:right="0" w:hanging="720"/>
        <w:jc w:val="both"/>
      </w:pPr>
      <w:bookmarkStart w:name="_bookmark15" w:id="27"/>
      <w:bookmarkEnd w:id="27"/>
      <w:r>
        <w:rPr>
          <w:b w:val="0"/>
        </w:rPr>
      </w:r>
      <w:bookmarkStart w:name="_bookmark15" w:id="28"/>
      <w:bookmarkEnd w:id="28"/>
      <w:r>
        <w:rPr>
          <w:color w:val="0D0D0D"/>
        </w:rPr>
        <w:t>R</w:t>
      </w:r>
      <w:r>
        <w:rPr>
          <w:color w:val="0D0D0D"/>
        </w:rPr>
        <w:t>oute</w:t>
      </w:r>
      <w:r>
        <w:rPr>
          <w:color w:val="0D0D0D"/>
          <w:spacing w:val="-6"/>
        </w:rPr>
        <w:t> </w:t>
      </w:r>
      <w:r>
        <w:rPr>
          <w:color w:val="0D0D0D"/>
        </w:rPr>
        <w:t>Alignment</w:t>
      </w:r>
    </w:p>
    <w:p>
      <w:pPr>
        <w:pStyle w:val="ListParagraph"/>
        <w:numPr>
          <w:ilvl w:val="0"/>
          <w:numId w:val="11"/>
        </w:numPr>
        <w:tabs>
          <w:tab w:pos="1589" w:val="left" w:leader="none"/>
        </w:tabs>
        <w:spacing w:line="276" w:lineRule="auto" w:before="156" w:after="0"/>
        <w:ind w:left="868" w:right="151" w:firstLine="0"/>
        <w:jc w:val="both"/>
        <w:rPr>
          <w:sz w:val="22"/>
        </w:rPr>
      </w:pPr>
      <w:r>
        <w:rPr>
          <w:sz w:val="22"/>
        </w:rPr>
        <w:t>The BRT lane will be built on the existing road. The existing road has three to four lanes in each direction with service road and a median. Construction of the BRT lane and associated facilities, including the stations, depot and pedestrian bridges will not involve new land acquisition. The proposed bus terminals and depot will use vacant government land.</w:t>
      </w:r>
    </w:p>
    <w:p>
      <w:pPr>
        <w:pStyle w:val="BodyText"/>
        <w:spacing w:before="120"/>
        <w:ind w:left="868"/>
        <w:jc w:val="both"/>
      </w:pPr>
      <w:r>
        <w:rPr>
          <w:u w:val="single"/>
        </w:rPr>
        <w:t>Yellow BRT corridor Technical Design Features</w:t>
      </w:r>
    </w:p>
    <w:p>
      <w:pPr>
        <w:pStyle w:val="ListParagraph"/>
        <w:numPr>
          <w:ilvl w:val="0"/>
          <w:numId w:val="11"/>
        </w:numPr>
        <w:tabs>
          <w:tab w:pos="1589" w:val="left" w:leader="none"/>
        </w:tabs>
        <w:spacing w:line="276" w:lineRule="auto" w:before="159" w:after="0"/>
        <w:ind w:left="868" w:right="151" w:firstLine="0"/>
        <w:jc w:val="both"/>
        <w:rPr>
          <w:sz w:val="22"/>
        </w:rPr>
      </w:pPr>
      <w:r>
        <w:rPr>
          <w:sz w:val="22"/>
        </w:rPr>
        <w:t>Based on the feasibility study and the revised alignment, the main feature of the Karachi BRT Yellow Corridor would be as</w:t>
      </w:r>
      <w:r>
        <w:rPr>
          <w:spacing w:val="-12"/>
          <w:sz w:val="22"/>
        </w:rPr>
        <w:t> </w:t>
      </w:r>
      <w:r>
        <w:rPr>
          <w:sz w:val="22"/>
        </w:rPr>
        <w:t>under:</w:t>
      </w:r>
    </w:p>
    <w:p>
      <w:pPr>
        <w:pStyle w:val="ListParagraph"/>
        <w:numPr>
          <w:ilvl w:val="1"/>
          <w:numId w:val="11"/>
        </w:numPr>
        <w:tabs>
          <w:tab w:pos="1588" w:val="left" w:leader="none"/>
          <w:tab w:pos="1589" w:val="left" w:leader="none"/>
        </w:tabs>
        <w:spacing w:line="240" w:lineRule="auto" w:before="119" w:after="0"/>
        <w:ind w:left="1588" w:right="0" w:hanging="360"/>
        <w:jc w:val="left"/>
        <w:rPr>
          <w:sz w:val="22"/>
        </w:rPr>
      </w:pPr>
      <w:r>
        <w:rPr>
          <w:sz w:val="22"/>
        </w:rPr>
        <w:t>Construction of BRT lanes with 21 km of</w:t>
      </w:r>
      <w:r>
        <w:rPr>
          <w:spacing w:val="-17"/>
          <w:sz w:val="22"/>
        </w:rPr>
        <w:t> </w:t>
      </w:r>
      <w:r>
        <w:rPr>
          <w:sz w:val="22"/>
        </w:rPr>
        <w:t>corridor</w:t>
      </w:r>
    </w:p>
    <w:p>
      <w:pPr>
        <w:pStyle w:val="ListParagraph"/>
        <w:numPr>
          <w:ilvl w:val="1"/>
          <w:numId w:val="11"/>
        </w:numPr>
        <w:tabs>
          <w:tab w:pos="1588" w:val="left" w:leader="none"/>
          <w:tab w:pos="1589" w:val="left" w:leader="none"/>
        </w:tabs>
        <w:spacing w:line="273" w:lineRule="auto" w:before="34" w:after="0"/>
        <w:ind w:left="1588" w:right="159" w:hanging="360"/>
        <w:jc w:val="left"/>
        <w:rPr>
          <w:sz w:val="22"/>
        </w:rPr>
      </w:pPr>
      <w:r>
        <w:rPr>
          <w:sz w:val="22"/>
        </w:rPr>
        <w:t>Dedicated bus-lanes located in the middle of the carriageway, on either side of the median.</w:t>
      </w:r>
    </w:p>
    <w:p>
      <w:pPr>
        <w:pStyle w:val="ListParagraph"/>
        <w:numPr>
          <w:ilvl w:val="1"/>
          <w:numId w:val="11"/>
        </w:numPr>
        <w:tabs>
          <w:tab w:pos="1588" w:val="left" w:leader="none"/>
          <w:tab w:pos="1589" w:val="left" w:leader="none"/>
        </w:tabs>
        <w:spacing w:line="240" w:lineRule="auto" w:before="2" w:after="0"/>
        <w:ind w:left="1588" w:right="0" w:hanging="360"/>
        <w:jc w:val="left"/>
        <w:rPr>
          <w:sz w:val="22"/>
        </w:rPr>
      </w:pPr>
      <w:r>
        <w:rPr>
          <w:sz w:val="22"/>
        </w:rPr>
        <w:t>28 stations (22 at-grade 6</w:t>
      </w:r>
      <w:r>
        <w:rPr>
          <w:spacing w:val="-5"/>
          <w:sz w:val="22"/>
        </w:rPr>
        <w:t> </w:t>
      </w:r>
      <w:r>
        <w:rPr>
          <w:sz w:val="22"/>
        </w:rPr>
        <w:t>underground)</w:t>
      </w:r>
    </w:p>
    <w:p>
      <w:pPr>
        <w:pStyle w:val="ListParagraph"/>
        <w:numPr>
          <w:ilvl w:val="1"/>
          <w:numId w:val="11"/>
        </w:numPr>
        <w:tabs>
          <w:tab w:pos="1588" w:val="left" w:leader="none"/>
          <w:tab w:pos="1589" w:val="left" w:leader="none"/>
        </w:tabs>
        <w:spacing w:line="240" w:lineRule="auto" w:before="37" w:after="0"/>
        <w:ind w:left="1588" w:right="0" w:hanging="360"/>
        <w:jc w:val="left"/>
        <w:rPr>
          <w:sz w:val="22"/>
        </w:rPr>
      </w:pPr>
      <w:r>
        <w:rPr>
          <w:sz w:val="22"/>
        </w:rPr>
        <w:t>2 Depots: Dawood Chowrangi and Christian Colony on Landhi</w:t>
      </w:r>
      <w:r>
        <w:rPr>
          <w:spacing w:val="-20"/>
          <w:sz w:val="22"/>
        </w:rPr>
        <w:t> </w:t>
      </w:r>
      <w:r>
        <w:rPr>
          <w:sz w:val="22"/>
        </w:rPr>
        <w:t>Road</w:t>
      </w:r>
    </w:p>
    <w:p>
      <w:pPr>
        <w:pStyle w:val="BodyText"/>
        <w:rPr>
          <w:sz w:val="26"/>
        </w:rPr>
      </w:pPr>
    </w:p>
    <w:p>
      <w:pPr>
        <w:pStyle w:val="BodyText"/>
        <w:spacing w:before="2"/>
        <w:rPr>
          <w:sz w:val="23"/>
        </w:rPr>
      </w:pPr>
    </w:p>
    <w:p>
      <w:pPr>
        <w:pStyle w:val="Heading3"/>
        <w:numPr>
          <w:ilvl w:val="2"/>
          <w:numId w:val="12"/>
        </w:numPr>
        <w:tabs>
          <w:tab w:pos="1589" w:val="left" w:leader="none"/>
        </w:tabs>
        <w:spacing w:line="240" w:lineRule="auto" w:before="0" w:after="0"/>
        <w:ind w:left="1588" w:right="0" w:hanging="720"/>
        <w:jc w:val="both"/>
      </w:pPr>
      <w:bookmarkStart w:name="_bookmark16" w:id="29"/>
      <w:bookmarkEnd w:id="29"/>
      <w:r>
        <w:rPr>
          <w:b w:val="0"/>
        </w:rPr>
      </w:r>
      <w:bookmarkStart w:name="_bookmark16" w:id="30"/>
      <w:bookmarkEnd w:id="30"/>
      <w:r>
        <w:rPr>
          <w:color w:val="0D0D0D"/>
        </w:rPr>
        <w:t>C</w:t>
      </w:r>
      <w:r>
        <w:rPr>
          <w:color w:val="0D0D0D"/>
        </w:rPr>
        <w:t>orridor</w:t>
      </w:r>
      <w:r>
        <w:rPr>
          <w:color w:val="0D0D0D"/>
          <w:spacing w:val="-5"/>
        </w:rPr>
        <w:t> </w:t>
      </w:r>
      <w:r>
        <w:rPr>
          <w:color w:val="0D0D0D"/>
        </w:rPr>
        <w:t>Description</w:t>
      </w:r>
    </w:p>
    <w:p>
      <w:pPr>
        <w:pStyle w:val="ListParagraph"/>
        <w:numPr>
          <w:ilvl w:val="0"/>
          <w:numId w:val="11"/>
        </w:numPr>
        <w:tabs>
          <w:tab w:pos="1589" w:val="left" w:leader="none"/>
        </w:tabs>
        <w:spacing w:line="278" w:lineRule="auto" w:before="157" w:after="0"/>
        <w:ind w:left="868" w:right="158" w:firstLine="0"/>
        <w:jc w:val="both"/>
        <w:rPr>
          <w:sz w:val="22"/>
        </w:rPr>
      </w:pPr>
      <w:r>
        <w:rPr>
          <w:sz w:val="22"/>
        </w:rPr>
        <w:t>Based on existing </w:t>
      </w:r>
      <w:r>
        <w:rPr>
          <w:spacing w:val="-3"/>
          <w:sz w:val="22"/>
        </w:rPr>
        <w:t>ROW </w:t>
      </w:r>
      <w:r>
        <w:rPr>
          <w:sz w:val="22"/>
        </w:rPr>
        <w:t>and BRT operational arrangements, the corridor can be categorized in seven</w:t>
      </w:r>
      <w:r>
        <w:rPr>
          <w:spacing w:val="-6"/>
          <w:sz w:val="22"/>
        </w:rPr>
        <w:t> </w:t>
      </w:r>
      <w:r>
        <w:rPr>
          <w:sz w:val="22"/>
        </w:rPr>
        <w:t>segments:</w:t>
      </w:r>
    </w:p>
    <w:p>
      <w:pPr>
        <w:pStyle w:val="ListParagraph"/>
        <w:numPr>
          <w:ilvl w:val="0"/>
          <w:numId w:val="13"/>
        </w:numPr>
        <w:tabs>
          <w:tab w:pos="1589" w:val="left" w:leader="none"/>
        </w:tabs>
        <w:spacing w:line="240" w:lineRule="auto" w:before="117" w:after="0"/>
        <w:ind w:left="1588" w:right="0" w:hanging="360"/>
        <w:jc w:val="left"/>
        <w:rPr>
          <w:sz w:val="22"/>
        </w:rPr>
      </w:pPr>
      <w:r>
        <w:rPr>
          <w:sz w:val="22"/>
        </w:rPr>
        <w:t>Future Colony – from Dawood Chowrangi terminal to Mansehra Colony (1.3</w:t>
      </w:r>
      <w:r>
        <w:rPr>
          <w:spacing w:val="-25"/>
          <w:sz w:val="22"/>
        </w:rPr>
        <w:t> </w:t>
      </w:r>
      <w:r>
        <w:rPr>
          <w:sz w:val="22"/>
        </w:rPr>
        <w:t>km)</w:t>
      </w:r>
    </w:p>
    <w:p>
      <w:pPr>
        <w:pStyle w:val="ListParagraph"/>
        <w:numPr>
          <w:ilvl w:val="0"/>
          <w:numId w:val="13"/>
        </w:numPr>
        <w:tabs>
          <w:tab w:pos="1589" w:val="left" w:leader="none"/>
        </w:tabs>
        <w:spacing w:line="276" w:lineRule="auto" w:before="37" w:after="0"/>
        <w:ind w:left="1588" w:right="160" w:hanging="360"/>
        <w:jc w:val="left"/>
        <w:rPr>
          <w:sz w:val="22"/>
        </w:rPr>
      </w:pPr>
      <w:r>
        <w:rPr>
          <w:sz w:val="22"/>
        </w:rPr>
        <w:t>Korangi</w:t>
      </w:r>
      <w:r>
        <w:rPr>
          <w:spacing w:val="-8"/>
          <w:sz w:val="22"/>
        </w:rPr>
        <w:t> </w:t>
      </w:r>
      <w:r>
        <w:rPr>
          <w:sz w:val="22"/>
        </w:rPr>
        <w:t>Road</w:t>
      </w:r>
      <w:r>
        <w:rPr>
          <w:spacing w:val="-7"/>
          <w:sz w:val="22"/>
        </w:rPr>
        <w:t> </w:t>
      </w:r>
      <w:r>
        <w:rPr>
          <w:sz w:val="22"/>
        </w:rPr>
        <w:t>along</w:t>
      </w:r>
      <w:r>
        <w:rPr>
          <w:spacing w:val="-5"/>
          <w:sz w:val="22"/>
        </w:rPr>
        <w:t> </w:t>
      </w:r>
      <w:r>
        <w:rPr>
          <w:sz w:val="22"/>
        </w:rPr>
        <w:t>Korangi</w:t>
      </w:r>
      <w:r>
        <w:rPr>
          <w:spacing w:val="-8"/>
          <w:sz w:val="22"/>
        </w:rPr>
        <w:t> </w:t>
      </w:r>
      <w:r>
        <w:rPr>
          <w:sz w:val="22"/>
        </w:rPr>
        <w:t>Industrial</w:t>
      </w:r>
      <w:r>
        <w:rPr>
          <w:spacing w:val="-8"/>
          <w:sz w:val="22"/>
        </w:rPr>
        <w:t> </w:t>
      </w:r>
      <w:r>
        <w:rPr>
          <w:sz w:val="22"/>
        </w:rPr>
        <w:t>Area</w:t>
      </w:r>
      <w:r>
        <w:rPr>
          <w:spacing w:val="-5"/>
          <w:sz w:val="22"/>
        </w:rPr>
        <w:t> </w:t>
      </w:r>
      <w:r>
        <w:rPr>
          <w:sz w:val="22"/>
        </w:rPr>
        <w:t>–</w:t>
      </w:r>
      <w:r>
        <w:rPr>
          <w:spacing w:val="-9"/>
          <w:sz w:val="22"/>
        </w:rPr>
        <w:t> </w:t>
      </w:r>
      <w:r>
        <w:rPr>
          <w:sz w:val="22"/>
        </w:rPr>
        <w:t>from</w:t>
      </w:r>
      <w:r>
        <w:rPr>
          <w:spacing w:val="-6"/>
          <w:sz w:val="22"/>
        </w:rPr>
        <w:t> </w:t>
      </w:r>
      <w:r>
        <w:rPr>
          <w:sz w:val="22"/>
        </w:rPr>
        <w:t>Mansehra</w:t>
      </w:r>
      <w:r>
        <w:rPr>
          <w:spacing w:val="-7"/>
          <w:sz w:val="22"/>
        </w:rPr>
        <w:t> </w:t>
      </w:r>
      <w:r>
        <w:rPr>
          <w:sz w:val="22"/>
        </w:rPr>
        <w:t>Colony</w:t>
      </w:r>
      <w:r>
        <w:rPr>
          <w:spacing w:val="-8"/>
          <w:sz w:val="22"/>
        </w:rPr>
        <w:t> </w:t>
      </w:r>
      <w:r>
        <w:rPr>
          <w:sz w:val="22"/>
        </w:rPr>
        <w:t>to</w:t>
      </w:r>
      <w:r>
        <w:rPr>
          <w:spacing w:val="-7"/>
          <w:sz w:val="22"/>
        </w:rPr>
        <w:t> </w:t>
      </w:r>
      <w:r>
        <w:rPr>
          <w:sz w:val="22"/>
        </w:rPr>
        <w:t>Malir</w:t>
      </w:r>
      <w:r>
        <w:rPr>
          <w:spacing w:val="-6"/>
          <w:sz w:val="22"/>
        </w:rPr>
        <w:t> </w:t>
      </w:r>
      <w:r>
        <w:rPr>
          <w:sz w:val="22"/>
        </w:rPr>
        <w:t>River bridge (10.1</w:t>
      </w:r>
      <w:r>
        <w:rPr>
          <w:spacing w:val="-5"/>
          <w:sz w:val="22"/>
        </w:rPr>
        <w:t> </w:t>
      </w:r>
      <w:r>
        <w:rPr>
          <w:sz w:val="22"/>
        </w:rPr>
        <w:t>km)</w:t>
      </w:r>
    </w:p>
    <w:p>
      <w:pPr>
        <w:pStyle w:val="ListParagraph"/>
        <w:numPr>
          <w:ilvl w:val="0"/>
          <w:numId w:val="13"/>
        </w:numPr>
        <w:tabs>
          <w:tab w:pos="1589" w:val="left" w:leader="none"/>
        </w:tabs>
        <w:spacing w:line="240" w:lineRule="auto" w:before="0" w:after="0"/>
        <w:ind w:left="1588" w:right="0" w:hanging="360"/>
        <w:jc w:val="left"/>
        <w:rPr>
          <w:sz w:val="22"/>
        </w:rPr>
      </w:pPr>
      <w:r>
        <w:rPr>
          <w:sz w:val="22"/>
        </w:rPr>
        <w:t>Malir River bridge (1.4</w:t>
      </w:r>
      <w:r>
        <w:rPr>
          <w:spacing w:val="-9"/>
          <w:sz w:val="22"/>
        </w:rPr>
        <w:t> </w:t>
      </w:r>
      <w:r>
        <w:rPr>
          <w:sz w:val="22"/>
        </w:rPr>
        <w:t>km)</w:t>
      </w:r>
    </w:p>
    <w:p>
      <w:pPr>
        <w:pStyle w:val="ListParagraph"/>
        <w:numPr>
          <w:ilvl w:val="0"/>
          <w:numId w:val="13"/>
        </w:numPr>
        <w:tabs>
          <w:tab w:pos="1589" w:val="left" w:leader="none"/>
        </w:tabs>
        <w:spacing w:line="240" w:lineRule="auto" w:before="39" w:after="0"/>
        <w:ind w:left="1588" w:right="0" w:hanging="360"/>
        <w:jc w:val="left"/>
        <w:rPr>
          <w:sz w:val="22"/>
        </w:rPr>
      </w:pPr>
      <w:r>
        <w:rPr>
          <w:sz w:val="22"/>
        </w:rPr>
        <w:t>KPT interchange – directly underneath the flyover (0.8</w:t>
      </w:r>
      <w:r>
        <w:rPr>
          <w:spacing w:val="-16"/>
          <w:sz w:val="22"/>
        </w:rPr>
        <w:t> </w:t>
      </w:r>
      <w:r>
        <w:rPr>
          <w:sz w:val="22"/>
        </w:rPr>
        <w:t>km)</w:t>
      </w:r>
    </w:p>
    <w:p>
      <w:pPr>
        <w:pStyle w:val="ListParagraph"/>
        <w:numPr>
          <w:ilvl w:val="0"/>
          <w:numId w:val="13"/>
        </w:numPr>
        <w:tabs>
          <w:tab w:pos="1589" w:val="left" w:leader="none"/>
        </w:tabs>
        <w:spacing w:line="240" w:lineRule="auto" w:before="37" w:after="0"/>
        <w:ind w:left="1588" w:right="0" w:hanging="360"/>
        <w:jc w:val="left"/>
        <w:rPr>
          <w:sz w:val="22"/>
        </w:rPr>
      </w:pPr>
      <w:r>
        <w:rPr>
          <w:sz w:val="22"/>
        </w:rPr>
        <w:t>Korangi Road – from KPT Interchange to Shahrah-e-Faisal Interchange (4.2</w:t>
      </w:r>
      <w:r>
        <w:rPr>
          <w:spacing w:val="-20"/>
          <w:sz w:val="22"/>
        </w:rPr>
        <w:t> </w:t>
      </w:r>
      <w:r>
        <w:rPr>
          <w:sz w:val="22"/>
        </w:rPr>
        <w:t>km)</w:t>
      </w:r>
    </w:p>
    <w:p>
      <w:pPr>
        <w:pStyle w:val="ListParagraph"/>
        <w:numPr>
          <w:ilvl w:val="0"/>
          <w:numId w:val="13"/>
        </w:numPr>
        <w:tabs>
          <w:tab w:pos="1589" w:val="left" w:leader="none"/>
        </w:tabs>
        <w:spacing w:line="240" w:lineRule="auto" w:before="37" w:after="0"/>
        <w:ind w:left="1588" w:right="0" w:hanging="360"/>
        <w:jc w:val="left"/>
        <w:rPr>
          <w:sz w:val="22"/>
        </w:rPr>
      </w:pPr>
      <w:r>
        <w:rPr>
          <w:sz w:val="22"/>
        </w:rPr>
        <w:t>Shahrah-e-Faisal</w:t>
      </w:r>
      <w:r>
        <w:rPr>
          <w:spacing w:val="-7"/>
          <w:sz w:val="22"/>
        </w:rPr>
        <w:t> </w:t>
      </w:r>
      <w:r>
        <w:rPr>
          <w:sz w:val="22"/>
        </w:rPr>
        <w:t>–</w:t>
      </w:r>
      <w:r>
        <w:rPr>
          <w:spacing w:val="-8"/>
          <w:sz w:val="22"/>
        </w:rPr>
        <w:t> </w:t>
      </w:r>
      <w:r>
        <w:rPr>
          <w:sz w:val="22"/>
        </w:rPr>
        <w:t>mixed</w:t>
      </w:r>
      <w:r>
        <w:rPr>
          <w:spacing w:val="-7"/>
          <w:sz w:val="22"/>
        </w:rPr>
        <w:t> </w:t>
      </w:r>
      <w:r>
        <w:rPr>
          <w:sz w:val="22"/>
        </w:rPr>
        <w:t>operations</w:t>
      </w:r>
      <w:r>
        <w:rPr>
          <w:spacing w:val="-6"/>
          <w:sz w:val="22"/>
        </w:rPr>
        <w:t> </w:t>
      </w:r>
      <w:r>
        <w:rPr>
          <w:sz w:val="22"/>
        </w:rPr>
        <w:t>on</w:t>
      </w:r>
      <w:r>
        <w:rPr>
          <w:spacing w:val="-8"/>
          <w:sz w:val="22"/>
        </w:rPr>
        <w:t> </w:t>
      </w:r>
      <w:r>
        <w:rPr>
          <w:sz w:val="22"/>
        </w:rPr>
        <w:t>split</w:t>
      </w:r>
      <w:r>
        <w:rPr>
          <w:spacing w:val="-5"/>
          <w:sz w:val="22"/>
        </w:rPr>
        <w:t> </w:t>
      </w:r>
      <w:r>
        <w:rPr>
          <w:sz w:val="22"/>
        </w:rPr>
        <w:t>stations</w:t>
      </w:r>
      <w:r>
        <w:rPr>
          <w:spacing w:val="-6"/>
          <w:sz w:val="22"/>
        </w:rPr>
        <w:t> </w:t>
      </w:r>
      <w:r>
        <w:rPr>
          <w:sz w:val="22"/>
        </w:rPr>
        <w:t>with</w:t>
      </w:r>
      <w:r>
        <w:rPr>
          <w:spacing w:val="-6"/>
          <w:sz w:val="22"/>
        </w:rPr>
        <w:t> </w:t>
      </w:r>
      <w:r>
        <w:rPr>
          <w:sz w:val="22"/>
        </w:rPr>
        <w:t>left</w:t>
      </w:r>
      <w:r>
        <w:rPr>
          <w:spacing w:val="-7"/>
          <w:sz w:val="22"/>
        </w:rPr>
        <w:t> </w:t>
      </w:r>
      <w:r>
        <w:rPr>
          <w:sz w:val="22"/>
        </w:rPr>
        <w:t>side</w:t>
      </w:r>
      <w:r>
        <w:rPr>
          <w:spacing w:val="-7"/>
          <w:sz w:val="22"/>
        </w:rPr>
        <w:t> </w:t>
      </w:r>
      <w:r>
        <w:rPr>
          <w:sz w:val="22"/>
        </w:rPr>
        <w:t>access</w:t>
      </w:r>
      <w:r>
        <w:rPr>
          <w:spacing w:val="-10"/>
          <w:sz w:val="22"/>
        </w:rPr>
        <w:t> </w:t>
      </w:r>
      <w:r>
        <w:rPr>
          <w:sz w:val="22"/>
        </w:rPr>
        <w:t>(1.3</w:t>
      </w:r>
      <w:r>
        <w:rPr>
          <w:spacing w:val="-7"/>
          <w:sz w:val="22"/>
        </w:rPr>
        <w:t> </w:t>
      </w:r>
      <w:r>
        <w:rPr>
          <w:sz w:val="22"/>
        </w:rPr>
        <w:t>km)</w:t>
      </w:r>
    </w:p>
    <w:p>
      <w:pPr>
        <w:pStyle w:val="ListParagraph"/>
        <w:numPr>
          <w:ilvl w:val="0"/>
          <w:numId w:val="13"/>
        </w:numPr>
        <w:tabs>
          <w:tab w:pos="1589" w:val="left" w:leader="none"/>
        </w:tabs>
        <w:spacing w:line="280" w:lineRule="auto" w:before="37" w:after="0"/>
        <w:ind w:left="1588" w:right="155" w:hanging="360"/>
        <w:jc w:val="left"/>
        <w:rPr>
          <w:sz w:val="22"/>
        </w:rPr>
      </w:pPr>
      <w:r>
        <w:rPr>
          <w:sz w:val="22"/>
        </w:rPr>
        <w:t>Shahrah-e-Qaideen</w:t>
      </w:r>
      <w:r>
        <w:rPr>
          <w:spacing w:val="-9"/>
          <w:sz w:val="22"/>
        </w:rPr>
        <w:t> </w:t>
      </w:r>
      <w:r>
        <w:rPr>
          <w:sz w:val="22"/>
        </w:rPr>
        <w:t>–</w:t>
      </w:r>
      <w:r>
        <w:rPr>
          <w:spacing w:val="-14"/>
          <w:sz w:val="22"/>
        </w:rPr>
        <w:t> </w:t>
      </w:r>
      <w:r>
        <w:rPr>
          <w:sz w:val="22"/>
        </w:rPr>
        <w:t>from</w:t>
      </w:r>
      <w:r>
        <w:rPr>
          <w:spacing w:val="-8"/>
          <w:sz w:val="22"/>
        </w:rPr>
        <w:t> </w:t>
      </w:r>
      <w:r>
        <w:rPr>
          <w:sz w:val="22"/>
        </w:rPr>
        <w:t>Shahrah-e-Faisal</w:t>
      </w:r>
      <w:r>
        <w:rPr>
          <w:spacing w:val="-12"/>
          <w:sz w:val="22"/>
        </w:rPr>
        <w:t> </w:t>
      </w:r>
      <w:r>
        <w:rPr>
          <w:sz w:val="22"/>
        </w:rPr>
        <w:t>Interchange</w:t>
      </w:r>
      <w:r>
        <w:rPr>
          <w:spacing w:val="-11"/>
          <w:sz w:val="22"/>
        </w:rPr>
        <w:t> </w:t>
      </w:r>
      <w:r>
        <w:rPr>
          <w:sz w:val="22"/>
        </w:rPr>
        <w:t>to</w:t>
      </w:r>
      <w:r>
        <w:rPr>
          <w:spacing w:val="-11"/>
          <w:sz w:val="22"/>
        </w:rPr>
        <w:t> </w:t>
      </w:r>
      <w:r>
        <w:rPr>
          <w:sz w:val="22"/>
        </w:rPr>
        <w:t>M.A.</w:t>
      </w:r>
      <w:r>
        <w:rPr>
          <w:spacing w:val="-8"/>
          <w:sz w:val="22"/>
        </w:rPr>
        <w:t> </w:t>
      </w:r>
      <w:r>
        <w:rPr>
          <w:sz w:val="22"/>
        </w:rPr>
        <w:t>Jinnah</w:t>
      </w:r>
      <w:r>
        <w:rPr>
          <w:spacing w:val="-9"/>
          <w:sz w:val="22"/>
        </w:rPr>
        <w:t> </w:t>
      </w:r>
      <w:r>
        <w:rPr>
          <w:sz w:val="22"/>
        </w:rPr>
        <w:t>Road</w:t>
      </w:r>
      <w:r>
        <w:rPr>
          <w:spacing w:val="-9"/>
          <w:sz w:val="22"/>
        </w:rPr>
        <w:t> </w:t>
      </w:r>
      <w:r>
        <w:rPr>
          <w:sz w:val="22"/>
        </w:rPr>
        <w:t>(2.7 km)</w:t>
      </w:r>
    </w:p>
    <w:p>
      <w:pPr>
        <w:pStyle w:val="ListParagraph"/>
        <w:numPr>
          <w:ilvl w:val="0"/>
          <w:numId w:val="11"/>
        </w:numPr>
        <w:tabs>
          <w:tab w:pos="1589" w:val="left" w:leader="none"/>
        </w:tabs>
        <w:spacing w:line="240" w:lineRule="auto" w:before="151" w:after="0"/>
        <w:ind w:left="1588" w:right="0" w:hanging="720"/>
        <w:jc w:val="both"/>
        <w:rPr>
          <w:sz w:val="22"/>
        </w:rPr>
      </w:pPr>
      <w:r>
        <w:rPr>
          <w:sz w:val="22"/>
        </w:rPr>
        <w:t>The Karachi BRT Corridor alignment is provided as </w:t>
      </w:r>
      <w:r>
        <w:rPr>
          <w:b/>
          <w:sz w:val="22"/>
        </w:rPr>
        <w:t>Figure</w:t>
      </w:r>
      <w:r>
        <w:rPr>
          <w:b/>
          <w:spacing w:val="-15"/>
          <w:sz w:val="22"/>
        </w:rPr>
        <w:t> </w:t>
      </w:r>
      <w:r>
        <w:rPr>
          <w:b/>
          <w:sz w:val="22"/>
        </w:rPr>
        <w:t>1</w:t>
      </w:r>
      <w:r>
        <w:rPr>
          <w:sz w:val="22"/>
        </w:rPr>
        <w:t>.</w:t>
      </w:r>
    </w:p>
    <w:p>
      <w:pPr>
        <w:spacing w:after="0" w:line="240" w:lineRule="auto"/>
        <w:jc w:val="both"/>
        <w:rPr>
          <w:sz w:val="22"/>
        </w:rPr>
        <w:sectPr>
          <w:pgSz w:w="11910" w:h="16840"/>
          <w:pgMar w:header="583" w:footer="575" w:top="840" w:bottom="760" w:left="860" w:right="1280"/>
        </w:sectPr>
      </w:pPr>
    </w:p>
    <w:p>
      <w:pPr>
        <w:pStyle w:val="BodyText"/>
        <w:rPr>
          <w:sz w:val="20"/>
        </w:rPr>
      </w:pPr>
    </w:p>
    <w:p>
      <w:pPr>
        <w:pStyle w:val="BodyText"/>
        <w:rPr>
          <w:sz w:val="20"/>
        </w:rPr>
      </w:pPr>
    </w:p>
    <w:p>
      <w:pPr>
        <w:pStyle w:val="BodyText"/>
        <w:spacing w:before="10"/>
        <w:rPr>
          <w:sz w:val="27"/>
        </w:rPr>
      </w:pPr>
    </w:p>
    <w:p>
      <w:pPr>
        <w:spacing w:before="93"/>
        <w:ind w:left="2853" w:right="0" w:firstLine="0"/>
        <w:jc w:val="left"/>
        <w:rPr>
          <w:b/>
          <w:sz w:val="20"/>
        </w:rPr>
      </w:pPr>
      <w:bookmarkStart w:name="_bookmark17" w:id="31"/>
      <w:bookmarkEnd w:id="31"/>
      <w:r>
        <w:rPr/>
      </w:r>
      <w:r>
        <w:rPr>
          <w:b/>
          <w:sz w:val="20"/>
        </w:rPr>
        <w:t>Figure 1: Karachi Yellow BRT Corridor Alignment</w:t>
      </w:r>
    </w:p>
    <w:p>
      <w:pPr>
        <w:pStyle w:val="BodyText"/>
        <w:spacing w:before="10"/>
        <w:rPr>
          <w:b/>
          <w:sz w:val="8"/>
        </w:rPr>
      </w:pPr>
      <w:r>
        <w:rPr/>
        <w:drawing>
          <wp:anchor distT="0" distB="0" distL="0" distR="0" allowOverlap="1" layoutInCell="1" locked="0" behindDoc="0" simplePos="0" relativeHeight="1072">
            <wp:simplePos x="0" y="0"/>
            <wp:positionH relativeFrom="page">
              <wp:posOffset>1229994</wp:posOffset>
            </wp:positionH>
            <wp:positionV relativeFrom="paragraph">
              <wp:posOffset>90075</wp:posOffset>
            </wp:positionV>
            <wp:extent cx="5469674" cy="4058888"/>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9" cstate="print"/>
                    <a:stretch>
                      <a:fillRect/>
                    </a:stretch>
                  </pic:blipFill>
                  <pic:spPr>
                    <a:xfrm>
                      <a:off x="0" y="0"/>
                      <a:ext cx="5469674" cy="4058888"/>
                    </a:xfrm>
                    <a:prstGeom prst="rect">
                      <a:avLst/>
                    </a:prstGeom>
                  </pic:spPr>
                </pic:pic>
              </a:graphicData>
            </a:graphic>
          </wp:anchor>
        </w:drawing>
      </w:r>
    </w:p>
    <w:p>
      <w:pPr>
        <w:spacing w:after="0"/>
        <w:rPr>
          <w:sz w:val="8"/>
        </w:rPr>
        <w:sectPr>
          <w:pgSz w:w="11910" w:h="16840"/>
          <w:pgMar w:header="583" w:footer="575" w:top="840" w:bottom="760" w:left="860" w:right="1120"/>
        </w:sectPr>
      </w:pPr>
    </w:p>
    <w:p>
      <w:pPr>
        <w:pStyle w:val="BodyText"/>
        <w:rPr>
          <w:b/>
          <w:sz w:val="20"/>
        </w:rPr>
      </w:pPr>
    </w:p>
    <w:p>
      <w:pPr>
        <w:pStyle w:val="BodyText"/>
        <w:rPr>
          <w:b/>
          <w:sz w:val="20"/>
        </w:rPr>
      </w:pPr>
    </w:p>
    <w:p>
      <w:pPr>
        <w:pStyle w:val="BodyText"/>
        <w:rPr>
          <w:b/>
          <w:sz w:val="28"/>
        </w:rPr>
      </w:pPr>
    </w:p>
    <w:p>
      <w:pPr>
        <w:pStyle w:val="Heading2"/>
        <w:spacing w:before="92"/>
        <w:ind w:left="868" w:firstLine="0"/>
      </w:pPr>
      <w:bookmarkStart w:name="_bookmark18" w:id="32"/>
      <w:bookmarkEnd w:id="32"/>
      <w:r>
        <w:rPr>
          <w:b w:val="0"/>
        </w:rPr>
      </w:r>
      <w:r>
        <w:rPr/>
        <w:t>3    SCOPE OF LIVELIHOOD IMPACTS ON PAPs</w:t>
      </w:r>
    </w:p>
    <w:p>
      <w:pPr>
        <w:pStyle w:val="BodyText"/>
        <w:spacing w:before="3"/>
        <w:rPr>
          <w:b/>
          <w:sz w:val="31"/>
        </w:rPr>
      </w:pPr>
    </w:p>
    <w:p>
      <w:pPr>
        <w:pStyle w:val="Heading2"/>
        <w:ind w:left="868" w:firstLine="0"/>
      </w:pPr>
      <w:bookmarkStart w:name="_bookmark19" w:id="33"/>
      <w:bookmarkEnd w:id="33"/>
      <w:r>
        <w:rPr>
          <w:b w:val="0"/>
        </w:rPr>
      </w:r>
      <w:r>
        <w:rPr/>
        <w:t>3.1    Potential Project Social Impacts</w:t>
      </w:r>
    </w:p>
    <w:p>
      <w:pPr>
        <w:pStyle w:val="ListParagraph"/>
        <w:numPr>
          <w:ilvl w:val="0"/>
          <w:numId w:val="14"/>
        </w:numPr>
        <w:tabs>
          <w:tab w:pos="1589" w:val="left" w:leader="none"/>
        </w:tabs>
        <w:spacing w:line="276" w:lineRule="auto" w:before="160" w:after="0"/>
        <w:ind w:left="868" w:right="153" w:firstLine="0"/>
        <w:jc w:val="both"/>
        <w:rPr>
          <w:sz w:val="22"/>
        </w:rPr>
      </w:pPr>
      <w:r>
        <w:rPr>
          <w:sz w:val="22"/>
        </w:rPr>
        <w:t>During</w:t>
      </w:r>
      <w:r>
        <w:rPr>
          <w:spacing w:val="-8"/>
          <w:sz w:val="22"/>
        </w:rPr>
        <w:t> </w:t>
      </w:r>
      <w:r>
        <w:rPr>
          <w:sz w:val="22"/>
        </w:rPr>
        <w:t>the</w:t>
      </w:r>
      <w:r>
        <w:rPr>
          <w:spacing w:val="-8"/>
          <w:sz w:val="22"/>
        </w:rPr>
        <w:t> </w:t>
      </w:r>
      <w:r>
        <w:rPr>
          <w:sz w:val="22"/>
        </w:rPr>
        <w:t>detailed</w:t>
      </w:r>
      <w:r>
        <w:rPr>
          <w:spacing w:val="-8"/>
          <w:sz w:val="22"/>
        </w:rPr>
        <w:t> </w:t>
      </w:r>
      <w:r>
        <w:rPr>
          <w:sz w:val="22"/>
        </w:rPr>
        <w:t>scoping</w:t>
      </w:r>
      <w:r>
        <w:rPr>
          <w:spacing w:val="-4"/>
          <w:sz w:val="22"/>
        </w:rPr>
        <w:t> </w:t>
      </w:r>
      <w:r>
        <w:rPr>
          <w:sz w:val="22"/>
        </w:rPr>
        <w:t>and</w:t>
      </w:r>
      <w:r>
        <w:rPr>
          <w:spacing w:val="-7"/>
          <w:sz w:val="22"/>
        </w:rPr>
        <w:t> </w:t>
      </w:r>
      <w:r>
        <w:rPr>
          <w:sz w:val="22"/>
        </w:rPr>
        <w:t>impact</w:t>
      </w:r>
      <w:r>
        <w:rPr>
          <w:spacing w:val="-6"/>
          <w:sz w:val="22"/>
        </w:rPr>
        <w:t> </w:t>
      </w:r>
      <w:r>
        <w:rPr>
          <w:sz w:val="22"/>
        </w:rPr>
        <w:t>assessment</w:t>
      </w:r>
      <w:r>
        <w:rPr>
          <w:spacing w:val="-5"/>
          <w:sz w:val="22"/>
        </w:rPr>
        <w:t> </w:t>
      </w:r>
      <w:r>
        <w:rPr>
          <w:sz w:val="22"/>
        </w:rPr>
        <w:t>study</w:t>
      </w:r>
      <w:r>
        <w:rPr>
          <w:spacing w:val="-9"/>
          <w:sz w:val="22"/>
        </w:rPr>
        <w:t> </w:t>
      </w:r>
      <w:r>
        <w:rPr>
          <w:sz w:val="22"/>
        </w:rPr>
        <w:t>the</w:t>
      </w:r>
      <w:r>
        <w:rPr>
          <w:spacing w:val="-10"/>
          <w:sz w:val="22"/>
        </w:rPr>
        <w:t> </w:t>
      </w:r>
      <w:r>
        <w:rPr>
          <w:sz w:val="22"/>
        </w:rPr>
        <w:t>targeted</w:t>
      </w:r>
      <w:r>
        <w:rPr>
          <w:spacing w:val="-6"/>
          <w:sz w:val="22"/>
        </w:rPr>
        <w:t> </w:t>
      </w:r>
      <w:r>
        <w:rPr>
          <w:sz w:val="22"/>
        </w:rPr>
        <w:t>Yellow</w:t>
      </w:r>
      <w:r>
        <w:rPr>
          <w:spacing w:val="-11"/>
          <w:sz w:val="22"/>
        </w:rPr>
        <w:t> </w:t>
      </w:r>
      <w:r>
        <w:rPr>
          <w:sz w:val="22"/>
        </w:rPr>
        <w:t>BRT Project will not require any involuntary land acquisition or resettlement for construction work. The construction will be carried on and along the median of the existing road alignment (ROW). The </w:t>
      </w:r>
      <w:r>
        <w:rPr>
          <w:spacing w:val="-2"/>
          <w:sz w:val="22"/>
        </w:rPr>
        <w:t>BRT </w:t>
      </w:r>
      <w:r>
        <w:rPr>
          <w:sz w:val="22"/>
        </w:rPr>
        <w:t>facilities such as bus stations, terminal and hub described in Section</w:t>
      </w:r>
      <w:r>
        <w:rPr>
          <w:spacing w:val="-9"/>
          <w:sz w:val="22"/>
        </w:rPr>
        <w:t> </w:t>
      </w:r>
      <w:r>
        <w:rPr>
          <w:sz w:val="22"/>
        </w:rPr>
        <w:t>2</w:t>
      </w:r>
      <w:r>
        <w:rPr>
          <w:spacing w:val="-9"/>
          <w:sz w:val="22"/>
        </w:rPr>
        <w:t> </w:t>
      </w:r>
      <w:r>
        <w:rPr>
          <w:sz w:val="22"/>
        </w:rPr>
        <w:t>will</w:t>
      </w:r>
      <w:r>
        <w:rPr>
          <w:spacing w:val="-10"/>
          <w:sz w:val="22"/>
        </w:rPr>
        <w:t> </w:t>
      </w:r>
      <w:r>
        <w:rPr>
          <w:sz w:val="22"/>
        </w:rPr>
        <w:t>be</w:t>
      </w:r>
      <w:r>
        <w:rPr>
          <w:spacing w:val="-9"/>
          <w:sz w:val="22"/>
        </w:rPr>
        <w:t> </w:t>
      </w:r>
      <w:r>
        <w:rPr>
          <w:sz w:val="22"/>
        </w:rPr>
        <w:t>constructed</w:t>
      </w:r>
      <w:r>
        <w:rPr>
          <w:spacing w:val="-8"/>
          <w:sz w:val="22"/>
        </w:rPr>
        <w:t> </w:t>
      </w:r>
      <w:r>
        <w:rPr>
          <w:sz w:val="22"/>
        </w:rPr>
        <w:t>within</w:t>
      </w:r>
      <w:r>
        <w:rPr>
          <w:spacing w:val="-9"/>
          <w:sz w:val="22"/>
        </w:rPr>
        <w:t> </w:t>
      </w:r>
      <w:r>
        <w:rPr>
          <w:sz w:val="22"/>
        </w:rPr>
        <w:t>the</w:t>
      </w:r>
      <w:r>
        <w:rPr>
          <w:spacing w:val="-9"/>
          <w:sz w:val="22"/>
        </w:rPr>
        <w:t> </w:t>
      </w:r>
      <w:r>
        <w:rPr>
          <w:spacing w:val="-3"/>
          <w:sz w:val="22"/>
        </w:rPr>
        <w:t>ROW</w:t>
      </w:r>
      <w:r>
        <w:rPr>
          <w:spacing w:val="-4"/>
          <w:sz w:val="22"/>
        </w:rPr>
        <w:t> </w:t>
      </w:r>
      <w:r>
        <w:rPr>
          <w:sz w:val="22"/>
        </w:rPr>
        <w:t>and</w:t>
      </w:r>
      <w:r>
        <w:rPr>
          <w:spacing w:val="-14"/>
          <w:sz w:val="22"/>
        </w:rPr>
        <w:t> </w:t>
      </w:r>
      <w:r>
        <w:rPr>
          <w:sz w:val="22"/>
        </w:rPr>
        <w:t>government</w:t>
      </w:r>
      <w:r>
        <w:rPr>
          <w:spacing w:val="-8"/>
          <w:sz w:val="22"/>
        </w:rPr>
        <w:t> </w:t>
      </w:r>
      <w:r>
        <w:rPr>
          <w:sz w:val="22"/>
        </w:rPr>
        <w:t>land.</w:t>
      </w:r>
      <w:r>
        <w:rPr>
          <w:spacing w:val="-8"/>
          <w:sz w:val="22"/>
        </w:rPr>
        <w:t> </w:t>
      </w:r>
      <w:r>
        <w:rPr>
          <w:sz w:val="22"/>
        </w:rPr>
        <w:t>However,</w:t>
      </w:r>
      <w:r>
        <w:rPr>
          <w:spacing w:val="-8"/>
          <w:sz w:val="22"/>
        </w:rPr>
        <w:t> </w:t>
      </w:r>
      <w:r>
        <w:rPr>
          <w:sz w:val="22"/>
        </w:rPr>
        <w:t>vendors</w:t>
      </w:r>
      <w:r>
        <w:rPr>
          <w:spacing w:val="-11"/>
          <w:sz w:val="22"/>
        </w:rPr>
        <w:t> </w:t>
      </w:r>
      <w:r>
        <w:rPr>
          <w:sz w:val="22"/>
        </w:rPr>
        <w:t>and few nurseries within the </w:t>
      </w:r>
      <w:r>
        <w:rPr>
          <w:spacing w:val="-2"/>
          <w:sz w:val="22"/>
        </w:rPr>
        <w:t>ROW </w:t>
      </w:r>
      <w:r>
        <w:rPr>
          <w:sz w:val="22"/>
        </w:rPr>
        <w:t>will have some livelihood impacts, which were identified through</w:t>
      </w:r>
      <w:r>
        <w:rPr>
          <w:spacing w:val="-10"/>
          <w:sz w:val="22"/>
        </w:rPr>
        <w:t> </w:t>
      </w:r>
      <w:r>
        <w:rPr>
          <w:sz w:val="22"/>
        </w:rPr>
        <w:t>census</w:t>
      </w:r>
      <w:r>
        <w:rPr>
          <w:spacing w:val="-10"/>
          <w:sz w:val="22"/>
        </w:rPr>
        <w:t> </w:t>
      </w:r>
      <w:r>
        <w:rPr>
          <w:sz w:val="22"/>
        </w:rPr>
        <w:t>survey</w:t>
      </w:r>
      <w:r>
        <w:rPr>
          <w:spacing w:val="-11"/>
          <w:sz w:val="22"/>
        </w:rPr>
        <w:t> </w:t>
      </w:r>
      <w:r>
        <w:rPr>
          <w:sz w:val="22"/>
        </w:rPr>
        <w:t>and</w:t>
      </w:r>
      <w:r>
        <w:rPr>
          <w:spacing w:val="-10"/>
          <w:sz w:val="22"/>
        </w:rPr>
        <w:t> </w:t>
      </w:r>
      <w:r>
        <w:rPr>
          <w:sz w:val="22"/>
        </w:rPr>
        <w:t>will</w:t>
      </w:r>
      <w:r>
        <w:rPr>
          <w:spacing w:val="-11"/>
          <w:sz w:val="22"/>
        </w:rPr>
        <w:t> </w:t>
      </w:r>
      <w:r>
        <w:rPr>
          <w:sz w:val="22"/>
        </w:rPr>
        <w:t>be</w:t>
      </w:r>
      <w:r>
        <w:rPr>
          <w:spacing w:val="-10"/>
          <w:sz w:val="22"/>
        </w:rPr>
        <w:t> </w:t>
      </w:r>
      <w:r>
        <w:rPr>
          <w:sz w:val="22"/>
        </w:rPr>
        <w:t>compensated</w:t>
      </w:r>
      <w:r>
        <w:rPr>
          <w:spacing w:val="-10"/>
          <w:sz w:val="22"/>
        </w:rPr>
        <w:t> </w:t>
      </w:r>
      <w:r>
        <w:rPr>
          <w:sz w:val="22"/>
        </w:rPr>
        <w:t>prior</w:t>
      </w:r>
      <w:r>
        <w:rPr>
          <w:spacing w:val="-9"/>
          <w:sz w:val="22"/>
        </w:rPr>
        <w:t> </w:t>
      </w:r>
      <w:r>
        <w:rPr>
          <w:sz w:val="22"/>
        </w:rPr>
        <w:t>to</w:t>
      </w:r>
      <w:r>
        <w:rPr>
          <w:spacing w:val="-10"/>
          <w:sz w:val="22"/>
        </w:rPr>
        <w:t> </w:t>
      </w:r>
      <w:r>
        <w:rPr>
          <w:sz w:val="22"/>
        </w:rPr>
        <w:t>implementation</w:t>
      </w:r>
      <w:r>
        <w:rPr>
          <w:spacing w:val="-10"/>
          <w:sz w:val="22"/>
        </w:rPr>
        <w:t> </w:t>
      </w:r>
      <w:r>
        <w:rPr>
          <w:sz w:val="22"/>
        </w:rPr>
        <w:t>of</w:t>
      </w:r>
      <w:r>
        <w:rPr>
          <w:spacing w:val="-9"/>
          <w:sz w:val="22"/>
        </w:rPr>
        <w:t> </w:t>
      </w:r>
      <w:r>
        <w:rPr>
          <w:sz w:val="22"/>
        </w:rPr>
        <w:t>the</w:t>
      </w:r>
      <w:r>
        <w:rPr>
          <w:spacing w:val="-10"/>
          <w:sz w:val="22"/>
        </w:rPr>
        <w:t> </w:t>
      </w:r>
      <w:r>
        <w:rPr>
          <w:sz w:val="22"/>
        </w:rPr>
        <w:t>Project.</w:t>
      </w:r>
      <w:r>
        <w:rPr>
          <w:spacing w:val="-14"/>
          <w:sz w:val="22"/>
        </w:rPr>
        <w:t> </w:t>
      </w:r>
      <w:r>
        <w:rPr>
          <w:sz w:val="22"/>
        </w:rPr>
        <w:t>The details on type of assets, affected persons and nature of businesses and impact significance are given</w:t>
      </w:r>
      <w:r>
        <w:rPr>
          <w:spacing w:val="-11"/>
          <w:sz w:val="22"/>
        </w:rPr>
        <w:t> </w:t>
      </w:r>
      <w:r>
        <w:rPr>
          <w:sz w:val="22"/>
        </w:rPr>
        <w:t>below.</w:t>
      </w:r>
    </w:p>
    <w:p>
      <w:pPr>
        <w:pStyle w:val="Heading3"/>
        <w:spacing w:before="120"/>
        <w:ind w:left="2686" w:right="1978"/>
        <w:jc w:val="center"/>
      </w:pPr>
      <w:bookmarkStart w:name="_bookmark20" w:id="34"/>
      <w:bookmarkEnd w:id="34"/>
      <w:r>
        <w:rPr>
          <w:b w:val="0"/>
        </w:rPr>
      </w:r>
      <w:r>
        <w:rPr>
          <w:u w:val="thick"/>
        </w:rPr>
        <w:t>Table 1: Impact on Land Use</w:t>
      </w:r>
    </w:p>
    <w:p>
      <w:pPr>
        <w:pStyle w:val="BodyText"/>
        <w:spacing w:before="8"/>
        <w:rPr>
          <w:b/>
          <w:sz w:val="13"/>
        </w:rPr>
      </w:pPr>
    </w:p>
    <w:tbl>
      <w:tblPr>
        <w:tblW w:w="0" w:type="auto"/>
        <w:jc w:val="left"/>
        <w:tblInd w:w="11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11"/>
        <w:gridCol w:w="2667"/>
        <w:gridCol w:w="900"/>
        <w:gridCol w:w="1261"/>
        <w:gridCol w:w="1438"/>
      </w:tblGrid>
      <w:tr>
        <w:trPr>
          <w:trHeight w:val="541" w:hRule="exact"/>
        </w:trPr>
        <w:tc>
          <w:tcPr>
            <w:tcW w:w="1911" w:type="dxa"/>
            <w:tcBorders>
              <w:bottom w:val="single" w:sz="4" w:space="0" w:color="000000"/>
              <w:right w:val="single" w:sz="4" w:space="0" w:color="000000"/>
            </w:tcBorders>
            <w:shd w:val="clear" w:color="auto" w:fill="D9D9D9"/>
          </w:tcPr>
          <w:p>
            <w:pPr>
              <w:pStyle w:val="TableParagraph"/>
              <w:spacing w:before="116"/>
              <w:ind w:left="595"/>
              <w:rPr>
                <w:b/>
                <w:sz w:val="20"/>
              </w:rPr>
            </w:pPr>
            <w:r>
              <w:rPr>
                <w:b/>
                <w:sz w:val="20"/>
              </w:rPr>
              <w:t>Facility</w:t>
            </w:r>
          </w:p>
        </w:tc>
        <w:tc>
          <w:tcPr>
            <w:tcW w:w="2667" w:type="dxa"/>
            <w:tcBorders>
              <w:left w:val="single" w:sz="4" w:space="0" w:color="000000"/>
              <w:bottom w:val="single" w:sz="4" w:space="0" w:color="000000"/>
              <w:right w:val="single" w:sz="4" w:space="0" w:color="000000"/>
            </w:tcBorders>
            <w:shd w:val="clear" w:color="auto" w:fill="D9D9D9"/>
          </w:tcPr>
          <w:p>
            <w:pPr>
              <w:pStyle w:val="TableParagraph"/>
              <w:spacing w:before="116"/>
              <w:ind w:left="188" w:right="193"/>
              <w:jc w:val="center"/>
              <w:rPr>
                <w:b/>
                <w:sz w:val="20"/>
              </w:rPr>
            </w:pPr>
            <w:r>
              <w:rPr>
                <w:b/>
                <w:sz w:val="20"/>
              </w:rPr>
              <w:t>Location</w:t>
            </w:r>
          </w:p>
        </w:tc>
        <w:tc>
          <w:tcPr>
            <w:tcW w:w="900" w:type="dxa"/>
            <w:tcBorders>
              <w:left w:val="single" w:sz="4" w:space="0" w:color="000000"/>
              <w:bottom w:val="single" w:sz="4" w:space="0" w:color="000000"/>
              <w:right w:val="single" w:sz="4" w:space="0" w:color="000000"/>
            </w:tcBorders>
            <w:shd w:val="clear" w:color="auto" w:fill="D9D9D9"/>
          </w:tcPr>
          <w:p>
            <w:pPr>
              <w:pStyle w:val="TableParagraph"/>
              <w:spacing w:before="1"/>
              <w:ind w:left="131" w:firstLine="88"/>
              <w:rPr>
                <w:b/>
                <w:sz w:val="20"/>
              </w:rPr>
            </w:pPr>
            <w:r>
              <w:rPr>
                <w:b/>
                <w:sz w:val="20"/>
              </w:rPr>
              <w:t>Area </w:t>
            </w:r>
            <w:r>
              <w:rPr>
                <w:b/>
                <w:w w:val="95"/>
                <w:sz w:val="20"/>
              </w:rPr>
              <w:t>(Sq.m)</w:t>
            </w:r>
          </w:p>
        </w:tc>
        <w:tc>
          <w:tcPr>
            <w:tcW w:w="1261" w:type="dxa"/>
            <w:tcBorders>
              <w:left w:val="single" w:sz="4" w:space="0" w:color="000000"/>
              <w:bottom w:val="single" w:sz="4" w:space="0" w:color="000000"/>
              <w:right w:val="single" w:sz="4" w:space="0" w:color="000000"/>
            </w:tcBorders>
            <w:shd w:val="clear" w:color="auto" w:fill="D9D9D9"/>
          </w:tcPr>
          <w:p>
            <w:pPr>
              <w:pStyle w:val="TableParagraph"/>
              <w:spacing w:before="116"/>
              <w:ind w:left="52" w:right="56"/>
              <w:jc w:val="center"/>
              <w:rPr>
                <w:b/>
                <w:sz w:val="20"/>
              </w:rPr>
            </w:pPr>
            <w:r>
              <w:rPr>
                <w:b/>
                <w:sz w:val="20"/>
              </w:rPr>
              <w:t>Ownership</w:t>
            </w:r>
          </w:p>
        </w:tc>
        <w:tc>
          <w:tcPr>
            <w:tcW w:w="1438" w:type="dxa"/>
            <w:tcBorders>
              <w:left w:val="single" w:sz="4" w:space="0" w:color="000000"/>
              <w:bottom w:val="single" w:sz="4" w:space="0" w:color="000000"/>
            </w:tcBorders>
            <w:shd w:val="clear" w:color="auto" w:fill="D9D9D9"/>
          </w:tcPr>
          <w:p>
            <w:pPr>
              <w:pStyle w:val="TableParagraph"/>
              <w:spacing w:before="116"/>
              <w:ind w:left="117" w:right="115"/>
              <w:jc w:val="center"/>
              <w:rPr>
                <w:b/>
                <w:sz w:val="20"/>
              </w:rPr>
            </w:pPr>
            <w:r>
              <w:rPr>
                <w:b/>
                <w:sz w:val="20"/>
              </w:rPr>
              <w:t>Current Use</w:t>
            </w:r>
          </w:p>
        </w:tc>
      </w:tr>
      <w:tr>
        <w:trPr>
          <w:trHeight w:val="629" w:hRule="exact"/>
        </w:trPr>
        <w:tc>
          <w:tcPr>
            <w:tcW w:w="1911" w:type="dxa"/>
            <w:tcBorders>
              <w:top w:val="single" w:sz="4" w:space="0" w:color="000000"/>
              <w:bottom w:val="single" w:sz="4" w:space="0" w:color="000000"/>
              <w:right w:val="single" w:sz="4" w:space="0" w:color="000000"/>
            </w:tcBorders>
          </w:tcPr>
          <w:p>
            <w:pPr>
              <w:pStyle w:val="TableParagraph"/>
              <w:spacing w:before="47"/>
              <w:ind w:left="662" w:right="264" w:hanging="389"/>
              <w:rPr>
                <w:sz w:val="20"/>
              </w:rPr>
            </w:pPr>
            <w:r>
              <w:rPr>
                <w:sz w:val="20"/>
              </w:rPr>
              <w:t>Bus Station At- Grade</w:t>
            </w:r>
          </w:p>
        </w:tc>
        <w:tc>
          <w:tcPr>
            <w:tcW w:w="2667" w:type="dxa"/>
            <w:tcBorders>
              <w:top w:val="single" w:sz="4" w:space="0" w:color="000000"/>
              <w:left w:val="single" w:sz="4" w:space="0" w:color="000000"/>
              <w:bottom w:val="single" w:sz="4" w:space="0" w:color="000000"/>
              <w:right w:val="single" w:sz="4" w:space="0" w:color="000000"/>
            </w:tcBorders>
          </w:tcPr>
          <w:p>
            <w:pPr>
              <w:pStyle w:val="TableParagraph"/>
              <w:spacing w:before="47"/>
              <w:ind w:left="914" w:right="55" w:hanging="845"/>
              <w:rPr>
                <w:sz w:val="20"/>
              </w:rPr>
            </w:pPr>
            <w:r>
              <w:rPr>
                <w:sz w:val="20"/>
              </w:rPr>
              <w:t>20 along the road and within the ROW</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before="163"/>
              <w:ind w:left="117" w:right="121"/>
              <w:jc w:val="center"/>
              <w:rPr>
                <w:sz w:val="20"/>
              </w:rPr>
            </w:pPr>
            <w:r>
              <w:rPr>
                <w:sz w:val="20"/>
              </w:rPr>
              <w:t>10,051</w:t>
            </w:r>
          </w:p>
        </w:tc>
        <w:tc>
          <w:tcPr>
            <w:tcW w:w="1261" w:type="dxa"/>
            <w:tcBorders>
              <w:top w:val="single" w:sz="4" w:space="0" w:color="000000"/>
              <w:left w:val="single" w:sz="4" w:space="0" w:color="000000"/>
              <w:bottom w:val="single" w:sz="4" w:space="0" w:color="000000"/>
              <w:right w:val="single" w:sz="4" w:space="0" w:color="000000"/>
            </w:tcBorders>
          </w:tcPr>
          <w:p>
            <w:pPr>
              <w:pStyle w:val="TableParagraph"/>
              <w:spacing w:before="163"/>
              <w:ind w:left="52" w:right="58"/>
              <w:jc w:val="center"/>
              <w:rPr>
                <w:sz w:val="20"/>
              </w:rPr>
            </w:pPr>
            <w:r>
              <w:rPr>
                <w:sz w:val="20"/>
              </w:rPr>
              <w:t>Government</w:t>
            </w:r>
          </w:p>
        </w:tc>
        <w:tc>
          <w:tcPr>
            <w:tcW w:w="1438" w:type="dxa"/>
            <w:tcBorders>
              <w:top w:val="single" w:sz="4" w:space="0" w:color="000000"/>
              <w:left w:val="single" w:sz="4" w:space="0" w:color="000000"/>
              <w:bottom w:val="single" w:sz="4" w:space="0" w:color="000000"/>
            </w:tcBorders>
          </w:tcPr>
          <w:p>
            <w:pPr>
              <w:pStyle w:val="TableParagraph"/>
              <w:spacing w:before="163"/>
              <w:ind w:left="115" w:right="115"/>
              <w:jc w:val="center"/>
              <w:rPr>
                <w:sz w:val="20"/>
              </w:rPr>
            </w:pPr>
            <w:r>
              <w:rPr>
                <w:sz w:val="20"/>
              </w:rPr>
              <w:t>Within ROW</w:t>
            </w:r>
          </w:p>
        </w:tc>
      </w:tr>
      <w:tr>
        <w:trPr>
          <w:trHeight w:val="590" w:hRule="exact"/>
        </w:trPr>
        <w:tc>
          <w:tcPr>
            <w:tcW w:w="1911" w:type="dxa"/>
            <w:tcBorders>
              <w:top w:val="single" w:sz="4" w:space="0" w:color="000000"/>
              <w:bottom w:val="single" w:sz="4" w:space="0" w:color="000000"/>
              <w:right w:val="single" w:sz="4" w:space="0" w:color="000000"/>
            </w:tcBorders>
          </w:tcPr>
          <w:p>
            <w:pPr>
              <w:pStyle w:val="TableParagraph"/>
              <w:spacing w:before="31"/>
              <w:ind w:left="357" w:firstLine="72"/>
              <w:rPr>
                <w:sz w:val="20"/>
              </w:rPr>
            </w:pPr>
            <w:r>
              <w:rPr>
                <w:sz w:val="20"/>
              </w:rPr>
              <w:t>Bus Station </w:t>
            </w:r>
            <w:r>
              <w:rPr>
                <w:w w:val="95"/>
                <w:sz w:val="20"/>
              </w:rPr>
              <w:t>Underground</w:t>
            </w:r>
          </w:p>
        </w:tc>
        <w:tc>
          <w:tcPr>
            <w:tcW w:w="2667" w:type="dxa"/>
            <w:tcBorders>
              <w:top w:val="single" w:sz="4" w:space="0" w:color="000000"/>
              <w:left w:val="single" w:sz="4" w:space="0" w:color="000000"/>
              <w:bottom w:val="single" w:sz="4" w:space="0" w:color="000000"/>
              <w:right w:val="single" w:sz="4" w:space="0" w:color="000000"/>
            </w:tcBorders>
          </w:tcPr>
          <w:p>
            <w:pPr>
              <w:pStyle w:val="TableParagraph"/>
              <w:spacing w:before="31"/>
              <w:ind w:left="914" w:right="55" w:hanging="790"/>
              <w:rPr>
                <w:sz w:val="20"/>
              </w:rPr>
            </w:pPr>
            <w:r>
              <w:rPr>
                <w:sz w:val="20"/>
              </w:rPr>
              <w:t>6 along the road and within the ROW</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30" w:lineRule="exact" w:before="0"/>
              <w:ind w:left="116" w:right="121"/>
              <w:jc w:val="center"/>
              <w:rPr>
                <w:sz w:val="20"/>
              </w:rPr>
            </w:pPr>
            <w:r>
              <w:rPr>
                <w:sz w:val="20"/>
              </w:rPr>
              <w:t>3,058</w:t>
            </w:r>
          </w:p>
        </w:tc>
        <w:tc>
          <w:tcPr>
            <w:tcW w:w="1261" w:type="dxa"/>
            <w:tcBorders>
              <w:top w:val="single" w:sz="4" w:space="0" w:color="000000"/>
              <w:left w:val="single" w:sz="4" w:space="0" w:color="000000"/>
              <w:bottom w:val="single" w:sz="4" w:space="0" w:color="000000"/>
              <w:right w:val="single" w:sz="4" w:space="0" w:color="000000"/>
            </w:tcBorders>
          </w:tcPr>
          <w:p>
            <w:pPr>
              <w:pStyle w:val="TableParagraph"/>
              <w:spacing w:before="146"/>
              <w:ind w:left="52" w:right="55"/>
              <w:jc w:val="center"/>
              <w:rPr>
                <w:sz w:val="20"/>
              </w:rPr>
            </w:pPr>
            <w:r>
              <w:rPr>
                <w:sz w:val="20"/>
              </w:rPr>
              <w:t>-idem-</w:t>
            </w:r>
          </w:p>
        </w:tc>
        <w:tc>
          <w:tcPr>
            <w:tcW w:w="1438" w:type="dxa"/>
            <w:tcBorders>
              <w:top w:val="single" w:sz="4" w:space="0" w:color="000000"/>
              <w:left w:val="single" w:sz="4" w:space="0" w:color="000000"/>
              <w:bottom w:val="single" w:sz="4" w:space="0" w:color="000000"/>
            </w:tcBorders>
          </w:tcPr>
          <w:p>
            <w:pPr>
              <w:pStyle w:val="TableParagraph"/>
              <w:spacing w:before="146"/>
              <w:ind w:left="115" w:right="115"/>
              <w:jc w:val="center"/>
              <w:rPr>
                <w:sz w:val="20"/>
              </w:rPr>
            </w:pPr>
            <w:r>
              <w:rPr>
                <w:sz w:val="20"/>
              </w:rPr>
              <w:t>Within ROW</w:t>
            </w:r>
          </w:p>
        </w:tc>
      </w:tr>
      <w:tr>
        <w:trPr>
          <w:trHeight w:val="324" w:hRule="exact"/>
        </w:trPr>
        <w:tc>
          <w:tcPr>
            <w:tcW w:w="1911" w:type="dxa"/>
            <w:tcBorders>
              <w:top w:val="single" w:sz="4" w:space="0" w:color="000000"/>
              <w:bottom w:val="single" w:sz="4" w:space="0" w:color="000000"/>
              <w:right w:val="single" w:sz="4" w:space="0" w:color="000000"/>
            </w:tcBorders>
          </w:tcPr>
          <w:p>
            <w:pPr>
              <w:pStyle w:val="TableParagraph"/>
              <w:spacing w:before="11"/>
              <w:ind w:left="616"/>
              <w:rPr>
                <w:sz w:val="20"/>
              </w:rPr>
            </w:pPr>
            <w:r>
              <w:rPr>
                <w:sz w:val="20"/>
              </w:rPr>
              <w:t>Depot I</w:t>
            </w:r>
          </w:p>
        </w:tc>
        <w:tc>
          <w:tcPr>
            <w:tcW w:w="2667" w:type="dxa"/>
            <w:tcBorders>
              <w:top w:val="single" w:sz="4" w:space="0" w:color="000000"/>
              <w:left w:val="single" w:sz="4" w:space="0" w:color="000000"/>
              <w:bottom w:val="single" w:sz="4" w:space="0" w:color="000000"/>
              <w:right w:val="single" w:sz="4" w:space="0" w:color="000000"/>
            </w:tcBorders>
          </w:tcPr>
          <w:p>
            <w:pPr>
              <w:pStyle w:val="TableParagraph"/>
              <w:spacing w:before="11"/>
              <w:ind w:left="188" w:right="193"/>
              <w:jc w:val="center"/>
              <w:rPr>
                <w:sz w:val="20"/>
              </w:rPr>
            </w:pPr>
            <w:r>
              <w:rPr>
                <w:sz w:val="20"/>
              </w:rPr>
              <w:t>Near Dawood Chowrangi</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before="11"/>
              <w:ind w:left="117" w:right="121"/>
              <w:jc w:val="center"/>
              <w:rPr>
                <w:sz w:val="20"/>
              </w:rPr>
            </w:pPr>
            <w:r>
              <w:rPr>
                <w:sz w:val="20"/>
              </w:rPr>
              <w:t>12,290</w:t>
            </w:r>
          </w:p>
        </w:tc>
        <w:tc>
          <w:tcPr>
            <w:tcW w:w="1261" w:type="dxa"/>
            <w:tcBorders>
              <w:top w:val="single" w:sz="4" w:space="0" w:color="000000"/>
              <w:left w:val="single" w:sz="4" w:space="0" w:color="000000"/>
              <w:bottom w:val="single" w:sz="4" w:space="0" w:color="000000"/>
              <w:right w:val="single" w:sz="4" w:space="0" w:color="000000"/>
            </w:tcBorders>
          </w:tcPr>
          <w:p>
            <w:pPr>
              <w:pStyle w:val="TableParagraph"/>
              <w:spacing w:before="11"/>
              <w:ind w:left="52" w:right="55"/>
              <w:jc w:val="center"/>
              <w:rPr>
                <w:sz w:val="20"/>
              </w:rPr>
            </w:pPr>
            <w:r>
              <w:rPr>
                <w:sz w:val="20"/>
              </w:rPr>
              <w:t>-idem-</w:t>
            </w:r>
          </w:p>
        </w:tc>
        <w:tc>
          <w:tcPr>
            <w:tcW w:w="1438" w:type="dxa"/>
            <w:tcBorders>
              <w:top w:val="single" w:sz="4" w:space="0" w:color="000000"/>
              <w:left w:val="single" w:sz="4" w:space="0" w:color="000000"/>
              <w:bottom w:val="single" w:sz="4" w:space="0" w:color="000000"/>
            </w:tcBorders>
          </w:tcPr>
          <w:p>
            <w:pPr>
              <w:pStyle w:val="TableParagraph"/>
              <w:spacing w:before="11"/>
              <w:ind w:left="117" w:right="115"/>
              <w:jc w:val="center"/>
              <w:rPr>
                <w:sz w:val="20"/>
              </w:rPr>
            </w:pPr>
            <w:r>
              <w:rPr>
                <w:sz w:val="20"/>
              </w:rPr>
              <w:t>Vacant</w:t>
            </w:r>
          </w:p>
        </w:tc>
      </w:tr>
      <w:tr>
        <w:trPr>
          <w:trHeight w:val="334" w:hRule="exact"/>
        </w:trPr>
        <w:tc>
          <w:tcPr>
            <w:tcW w:w="1911" w:type="dxa"/>
            <w:tcBorders>
              <w:top w:val="single" w:sz="4" w:space="0" w:color="000000"/>
              <w:right w:val="single" w:sz="4" w:space="0" w:color="000000"/>
            </w:tcBorders>
          </w:tcPr>
          <w:p>
            <w:pPr>
              <w:pStyle w:val="TableParagraph"/>
              <w:spacing w:before="14"/>
              <w:ind w:left="590"/>
              <w:rPr>
                <w:sz w:val="20"/>
              </w:rPr>
            </w:pPr>
            <w:r>
              <w:rPr>
                <w:sz w:val="20"/>
              </w:rPr>
              <w:t>Depot II</w:t>
            </w:r>
          </w:p>
        </w:tc>
        <w:tc>
          <w:tcPr>
            <w:tcW w:w="2667" w:type="dxa"/>
            <w:tcBorders>
              <w:top w:val="single" w:sz="4" w:space="0" w:color="000000"/>
              <w:left w:val="single" w:sz="4" w:space="0" w:color="000000"/>
              <w:right w:val="single" w:sz="4" w:space="0" w:color="000000"/>
            </w:tcBorders>
          </w:tcPr>
          <w:p>
            <w:pPr>
              <w:pStyle w:val="TableParagraph"/>
              <w:spacing w:before="14"/>
              <w:ind w:left="188" w:right="191"/>
              <w:jc w:val="center"/>
              <w:rPr>
                <w:sz w:val="20"/>
              </w:rPr>
            </w:pPr>
            <w:r>
              <w:rPr>
                <w:sz w:val="20"/>
              </w:rPr>
              <w:t>Near Indus Hospital</w:t>
            </w:r>
          </w:p>
        </w:tc>
        <w:tc>
          <w:tcPr>
            <w:tcW w:w="900" w:type="dxa"/>
            <w:tcBorders>
              <w:top w:val="single" w:sz="4" w:space="0" w:color="000000"/>
              <w:left w:val="single" w:sz="4" w:space="0" w:color="000000"/>
              <w:right w:val="single" w:sz="4" w:space="0" w:color="000000"/>
            </w:tcBorders>
          </w:tcPr>
          <w:p>
            <w:pPr>
              <w:pStyle w:val="TableParagraph"/>
              <w:spacing w:before="14"/>
              <w:ind w:left="117" w:right="121"/>
              <w:jc w:val="center"/>
              <w:rPr>
                <w:sz w:val="20"/>
              </w:rPr>
            </w:pPr>
            <w:r>
              <w:rPr>
                <w:sz w:val="20"/>
              </w:rPr>
              <w:t>37,120</w:t>
            </w:r>
          </w:p>
        </w:tc>
        <w:tc>
          <w:tcPr>
            <w:tcW w:w="1261" w:type="dxa"/>
            <w:tcBorders>
              <w:top w:val="single" w:sz="4" w:space="0" w:color="000000"/>
              <w:left w:val="single" w:sz="4" w:space="0" w:color="000000"/>
              <w:right w:val="single" w:sz="4" w:space="0" w:color="000000"/>
            </w:tcBorders>
          </w:tcPr>
          <w:p>
            <w:pPr>
              <w:pStyle w:val="TableParagraph"/>
              <w:spacing w:before="14"/>
              <w:ind w:left="52" w:right="55"/>
              <w:jc w:val="center"/>
              <w:rPr>
                <w:sz w:val="20"/>
              </w:rPr>
            </w:pPr>
            <w:r>
              <w:rPr>
                <w:sz w:val="20"/>
              </w:rPr>
              <w:t>-idem-</w:t>
            </w:r>
          </w:p>
        </w:tc>
        <w:tc>
          <w:tcPr>
            <w:tcW w:w="1438" w:type="dxa"/>
            <w:tcBorders>
              <w:top w:val="single" w:sz="4" w:space="0" w:color="000000"/>
              <w:left w:val="single" w:sz="4" w:space="0" w:color="000000"/>
            </w:tcBorders>
          </w:tcPr>
          <w:p>
            <w:pPr>
              <w:pStyle w:val="TableParagraph"/>
              <w:spacing w:before="14"/>
              <w:ind w:left="117" w:right="115"/>
              <w:jc w:val="center"/>
              <w:rPr>
                <w:sz w:val="20"/>
              </w:rPr>
            </w:pPr>
            <w:r>
              <w:rPr>
                <w:sz w:val="20"/>
              </w:rPr>
              <w:t>Vacant</w:t>
            </w:r>
          </w:p>
        </w:tc>
      </w:tr>
    </w:tbl>
    <w:p>
      <w:pPr>
        <w:pStyle w:val="BodyText"/>
        <w:rPr>
          <w:b/>
          <w:sz w:val="24"/>
        </w:rPr>
      </w:pPr>
    </w:p>
    <w:p>
      <w:pPr>
        <w:pStyle w:val="BodyText"/>
        <w:spacing w:before="3"/>
        <w:rPr>
          <w:b/>
        </w:rPr>
      </w:pPr>
    </w:p>
    <w:p>
      <w:pPr>
        <w:pStyle w:val="Heading3"/>
        <w:numPr>
          <w:ilvl w:val="2"/>
          <w:numId w:val="15"/>
        </w:numPr>
        <w:tabs>
          <w:tab w:pos="1589" w:val="left" w:leader="none"/>
        </w:tabs>
        <w:spacing w:line="240" w:lineRule="auto" w:before="1" w:after="0"/>
        <w:ind w:left="1588" w:right="0" w:hanging="720"/>
        <w:jc w:val="both"/>
      </w:pPr>
      <w:bookmarkStart w:name="_bookmark21" w:id="35"/>
      <w:bookmarkEnd w:id="35"/>
      <w:r>
        <w:rPr>
          <w:b w:val="0"/>
        </w:rPr>
      </w:r>
      <w:bookmarkStart w:name="_bookmark21" w:id="36"/>
      <w:bookmarkEnd w:id="36"/>
      <w:r>
        <w:rPr>
          <w:color w:val="0D0D0D"/>
        </w:rPr>
        <w:t>I</w:t>
      </w:r>
      <w:r>
        <w:rPr>
          <w:color w:val="0D0D0D"/>
        </w:rPr>
        <w:t>mpact on Informal</w:t>
      </w:r>
      <w:r>
        <w:rPr>
          <w:color w:val="0D0D0D"/>
          <w:spacing w:val="-5"/>
        </w:rPr>
        <w:t> </w:t>
      </w:r>
      <w:r>
        <w:rPr>
          <w:color w:val="0D0D0D"/>
        </w:rPr>
        <w:t>Vendors</w:t>
      </w:r>
    </w:p>
    <w:p>
      <w:pPr>
        <w:pStyle w:val="ListParagraph"/>
        <w:numPr>
          <w:ilvl w:val="0"/>
          <w:numId w:val="14"/>
        </w:numPr>
        <w:tabs>
          <w:tab w:pos="1589" w:val="left" w:leader="none"/>
        </w:tabs>
        <w:spacing w:line="276" w:lineRule="auto" w:before="160" w:after="0"/>
        <w:ind w:left="868" w:right="153" w:firstLine="0"/>
        <w:jc w:val="both"/>
        <w:rPr>
          <w:sz w:val="22"/>
        </w:rPr>
      </w:pPr>
      <w:r>
        <w:rPr>
          <w:sz w:val="22"/>
        </w:rPr>
        <w:t>The census survey identified that the Project will impact 120 PAPs including employees from 82 small businesses operated by informal vendors, skilled labours and plant nurseries owners and employees. A total of 13 vendors including three nursery owners have refused to provide information, all of them have temporary moveable structures. Households of the 82 informal vendors will be temporarily impacted economically due to the construction of the</w:t>
      </w:r>
      <w:r>
        <w:rPr>
          <w:spacing w:val="-11"/>
          <w:sz w:val="22"/>
        </w:rPr>
        <w:t> </w:t>
      </w:r>
      <w:r>
        <w:rPr>
          <w:sz w:val="22"/>
        </w:rPr>
        <w:t>Project.</w:t>
      </w:r>
    </w:p>
    <w:p>
      <w:pPr>
        <w:pStyle w:val="ListParagraph"/>
        <w:numPr>
          <w:ilvl w:val="0"/>
          <w:numId w:val="14"/>
        </w:numPr>
        <w:tabs>
          <w:tab w:pos="1589" w:val="left" w:leader="none"/>
        </w:tabs>
        <w:spacing w:line="276" w:lineRule="auto" w:before="120" w:after="0"/>
        <w:ind w:left="868" w:right="151" w:firstLine="0"/>
        <w:jc w:val="both"/>
        <w:rPr>
          <w:sz w:val="22"/>
        </w:rPr>
      </w:pPr>
      <w:r>
        <w:rPr>
          <w:sz w:val="22"/>
        </w:rPr>
        <w:t>The affected vendors are running their businesses on public land (ROW) without any legal permission or license. The vendors are scattered along the corridor, with the higher</w:t>
      </w:r>
      <w:r>
        <w:rPr>
          <w:spacing w:val="-15"/>
          <w:sz w:val="22"/>
        </w:rPr>
        <w:t> </w:t>
      </w:r>
      <w:r>
        <w:rPr>
          <w:sz w:val="22"/>
        </w:rPr>
        <w:t>concentration</w:t>
      </w:r>
      <w:r>
        <w:rPr>
          <w:spacing w:val="-15"/>
          <w:sz w:val="22"/>
        </w:rPr>
        <w:t> </w:t>
      </w:r>
      <w:r>
        <w:rPr>
          <w:sz w:val="22"/>
        </w:rPr>
        <w:t>at</w:t>
      </w:r>
      <w:r>
        <w:rPr>
          <w:spacing w:val="-14"/>
          <w:sz w:val="22"/>
        </w:rPr>
        <w:t> </w:t>
      </w:r>
      <w:r>
        <w:rPr>
          <w:sz w:val="22"/>
        </w:rPr>
        <w:t>Kala</w:t>
      </w:r>
      <w:r>
        <w:rPr>
          <w:spacing w:val="-15"/>
          <w:sz w:val="22"/>
        </w:rPr>
        <w:t> </w:t>
      </w:r>
      <w:r>
        <w:rPr>
          <w:sz w:val="22"/>
        </w:rPr>
        <w:t>Pull</w:t>
      </w:r>
      <w:r>
        <w:rPr>
          <w:spacing w:val="-16"/>
          <w:sz w:val="22"/>
        </w:rPr>
        <w:t> </w:t>
      </w:r>
      <w:r>
        <w:rPr>
          <w:sz w:val="22"/>
        </w:rPr>
        <w:t>and</w:t>
      </w:r>
      <w:r>
        <w:rPr>
          <w:spacing w:val="-15"/>
          <w:sz w:val="22"/>
        </w:rPr>
        <w:t> </w:t>
      </w:r>
      <w:r>
        <w:rPr>
          <w:sz w:val="22"/>
        </w:rPr>
        <w:t>in</w:t>
      </w:r>
      <w:r>
        <w:rPr>
          <w:spacing w:val="-15"/>
          <w:sz w:val="22"/>
        </w:rPr>
        <w:t> </w:t>
      </w:r>
      <w:r>
        <w:rPr>
          <w:sz w:val="22"/>
        </w:rPr>
        <w:t>between</w:t>
      </w:r>
      <w:r>
        <w:rPr>
          <w:spacing w:val="-15"/>
          <w:sz w:val="22"/>
        </w:rPr>
        <w:t> </w:t>
      </w:r>
      <w:r>
        <w:rPr>
          <w:sz w:val="22"/>
        </w:rPr>
        <w:t>Dawood</w:t>
      </w:r>
      <w:r>
        <w:rPr>
          <w:spacing w:val="-15"/>
          <w:sz w:val="22"/>
        </w:rPr>
        <w:t> </w:t>
      </w:r>
      <w:r>
        <w:rPr>
          <w:sz w:val="22"/>
        </w:rPr>
        <w:t>Chowrangi</w:t>
      </w:r>
      <w:r>
        <w:rPr>
          <w:spacing w:val="-15"/>
          <w:sz w:val="22"/>
        </w:rPr>
        <w:t> </w:t>
      </w:r>
      <w:r>
        <w:rPr>
          <w:sz w:val="22"/>
        </w:rPr>
        <w:t>and</w:t>
      </w:r>
      <w:r>
        <w:rPr>
          <w:spacing w:val="-15"/>
          <w:sz w:val="22"/>
        </w:rPr>
        <w:t> </w:t>
      </w:r>
      <w:r>
        <w:rPr>
          <w:sz w:val="22"/>
        </w:rPr>
        <w:t>Brooks.</w:t>
      </w:r>
      <w:r>
        <w:rPr>
          <w:spacing w:val="-16"/>
          <w:sz w:val="22"/>
        </w:rPr>
        <w:t> </w:t>
      </w:r>
      <w:r>
        <w:rPr>
          <w:sz w:val="22"/>
        </w:rPr>
        <w:t>The</w:t>
      </w:r>
      <w:r>
        <w:rPr>
          <w:spacing w:val="-15"/>
          <w:sz w:val="22"/>
        </w:rPr>
        <w:t> </w:t>
      </w:r>
      <w:r>
        <w:rPr>
          <w:sz w:val="22"/>
        </w:rPr>
        <w:t>plant nurseries are located close to Jam Sadiq Bridge where in parallel a new four lane bridge will be constructed to accommodate the BRT. The locations of the informal vendors are given in </w:t>
      </w:r>
      <w:r>
        <w:rPr>
          <w:b/>
          <w:sz w:val="22"/>
        </w:rPr>
        <w:t>Table 2 </w:t>
      </w:r>
      <w:r>
        <w:rPr>
          <w:sz w:val="22"/>
        </w:rPr>
        <w:t>and the list of project affected vendors is given in </w:t>
      </w:r>
      <w:r>
        <w:rPr>
          <w:b/>
          <w:sz w:val="22"/>
        </w:rPr>
        <w:t>Annex</w:t>
      </w:r>
      <w:r>
        <w:rPr>
          <w:b/>
          <w:spacing w:val="-21"/>
          <w:sz w:val="22"/>
        </w:rPr>
        <w:t> </w:t>
      </w:r>
      <w:r>
        <w:rPr>
          <w:b/>
          <w:sz w:val="22"/>
        </w:rPr>
        <w:t>II</w:t>
      </w:r>
      <w:r>
        <w:rPr>
          <w:sz w:val="22"/>
        </w:rPr>
        <w:t>.</w:t>
      </w:r>
    </w:p>
    <w:p>
      <w:pPr>
        <w:pStyle w:val="BodyText"/>
        <w:rPr>
          <w:sz w:val="24"/>
        </w:rPr>
      </w:pPr>
    </w:p>
    <w:p>
      <w:pPr>
        <w:pStyle w:val="BodyText"/>
        <w:spacing w:before="4"/>
      </w:pPr>
    </w:p>
    <w:p>
      <w:pPr>
        <w:pStyle w:val="Heading3"/>
        <w:ind w:left="2686" w:right="1981"/>
        <w:jc w:val="center"/>
      </w:pPr>
      <w:bookmarkStart w:name="_bookmark22" w:id="37"/>
      <w:bookmarkEnd w:id="37"/>
      <w:r>
        <w:rPr>
          <w:b w:val="0"/>
        </w:rPr>
      </w:r>
      <w:r>
        <w:rPr>
          <w:u w:val="thick"/>
        </w:rPr>
        <w:t>Table 2: Affected Business and Number of PAPs</w:t>
      </w:r>
    </w:p>
    <w:p>
      <w:pPr>
        <w:pStyle w:val="BodyText"/>
        <w:spacing w:before="3" w:after="1"/>
        <w:rPr>
          <w:b/>
          <w:sz w:val="10"/>
        </w:rPr>
      </w:pPr>
    </w:p>
    <w:tbl>
      <w:tblPr>
        <w:tblW w:w="0" w:type="auto"/>
        <w:jc w:val="left"/>
        <w:tblInd w:w="210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350"/>
        <w:gridCol w:w="1985"/>
      </w:tblGrid>
      <w:tr>
        <w:trPr>
          <w:trHeight w:val="370" w:hRule="exact"/>
        </w:trPr>
        <w:tc>
          <w:tcPr>
            <w:tcW w:w="4350" w:type="dxa"/>
            <w:tcBorders>
              <w:bottom w:val="single" w:sz="4" w:space="0" w:color="000000"/>
              <w:right w:val="single" w:sz="4" w:space="0" w:color="000000"/>
            </w:tcBorders>
            <w:shd w:val="clear" w:color="auto" w:fill="D9D9D9"/>
          </w:tcPr>
          <w:p>
            <w:pPr>
              <w:pStyle w:val="TableParagraph"/>
              <w:ind w:left="1277"/>
              <w:rPr>
                <w:b/>
                <w:sz w:val="20"/>
              </w:rPr>
            </w:pPr>
            <w:r>
              <w:rPr>
                <w:b/>
                <w:sz w:val="20"/>
              </w:rPr>
              <w:t>Types of Business</w:t>
            </w:r>
          </w:p>
        </w:tc>
        <w:tc>
          <w:tcPr>
            <w:tcW w:w="1985" w:type="dxa"/>
            <w:tcBorders>
              <w:left w:val="single" w:sz="4" w:space="0" w:color="000000"/>
              <w:bottom w:val="single" w:sz="4" w:space="0" w:color="000000"/>
            </w:tcBorders>
            <w:shd w:val="clear" w:color="auto" w:fill="D9D9D9"/>
          </w:tcPr>
          <w:p>
            <w:pPr>
              <w:pStyle w:val="TableParagraph"/>
              <w:ind w:left="393" w:right="387"/>
              <w:jc w:val="center"/>
              <w:rPr>
                <w:b/>
                <w:sz w:val="20"/>
              </w:rPr>
            </w:pPr>
            <w:r>
              <w:rPr>
                <w:b/>
                <w:sz w:val="20"/>
              </w:rPr>
              <w:t>No. of PAPs</w:t>
            </w:r>
          </w:p>
        </w:tc>
      </w:tr>
      <w:tr>
        <w:trPr>
          <w:trHeight w:val="360" w:hRule="exact"/>
        </w:trPr>
        <w:tc>
          <w:tcPr>
            <w:tcW w:w="4350" w:type="dxa"/>
            <w:tcBorders>
              <w:top w:val="single" w:sz="4" w:space="0" w:color="000000"/>
              <w:bottom w:val="single" w:sz="4" w:space="0" w:color="000000"/>
              <w:right w:val="single" w:sz="4" w:space="0" w:color="000000"/>
            </w:tcBorders>
          </w:tcPr>
          <w:p>
            <w:pPr>
              <w:pStyle w:val="TableParagraph"/>
              <w:ind w:left="57"/>
              <w:rPr>
                <w:sz w:val="20"/>
              </w:rPr>
            </w:pPr>
            <w:r>
              <w:rPr>
                <w:sz w:val="20"/>
              </w:rPr>
              <w:t>Businesses on Footpath</w:t>
            </w:r>
          </w:p>
        </w:tc>
        <w:tc>
          <w:tcPr>
            <w:tcW w:w="1985" w:type="dxa"/>
            <w:tcBorders>
              <w:top w:val="single" w:sz="4" w:space="0" w:color="000000"/>
              <w:left w:val="single" w:sz="4" w:space="0" w:color="000000"/>
              <w:bottom w:val="single" w:sz="4" w:space="0" w:color="000000"/>
            </w:tcBorders>
          </w:tcPr>
          <w:p>
            <w:pPr>
              <w:pStyle w:val="TableParagraph"/>
              <w:ind w:left="393" w:right="387"/>
              <w:jc w:val="center"/>
              <w:rPr>
                <w:sz w:val="20"/>
              </w:rPr>
            </w:pPr>
            <w:r>
              <w:rPr>
                <w:sz w:val="20"/>
              </w:rPr>
              <w:t>13</w:t>
            </w:r>
          </w:p>
        </w:tc>
      </w:tr>
      <w:tr>
        <w:trPr>
          <w:trHeight w:val="360" w:hRule="exact"/>
        </w:trPr>
        <w:tc>
          <w:tcPr>
            <w:tcW w:w="4350" w:type="dxa"/>
            <w:tcBorders>
              <w:top w:val="single" w:sz="4" w:space="0" w:color="000000"/>
              <w:bottom w:val="single" w:sz="4" w:space="0" w:color="000000"/>
              <w:right w:val="single" w:sz="4" w:space="0" w:color="000000"/>
            </w:tcBorders>
          </w:tcPr>
          <w:p>
            <w:pPr>
              <w:pStyle w:val="TableParagraph"/>
              <w:ind w:left="57"/>
              <w:rPr>
                <w:sz w:val="20"/>
              </w:rPr>
            </w:pPr>
            <w:r>
              <w:rPr>
                <w:sz w:val="20"/>
              </w:rPr>
              <w:t>Temporary Kiosks</w:t>
            </w:r>
          </w:p>
        </w:tc>
        <w:tc>
          <w:tcPr>
            <w:tcW w:w="1985" w:type="dxa"/>
            <w:tcBorders>
              <w:top w:val="single" w:sz="4" w:space="0" w:color="000000"/>
              <w:left w:val="single" w:sz="4" w:space="0" w:color="000000"/>
              <w:bottom w:val="single" w:sz="4" w:space="0" w:color="000000"/>
            </w:tcBorders>
          </w:tcPr>
          <w:p>
            <w:pPr>
              <w:pStyle w:val="TableParagraph"/>
              <w:ind w:left="393" w:right="387"/>
              <w:jc w:val="center"/>
              <w:rPr>
                <w:sz w:val="20"/>
              </w:rPr>
            </w:pPr>
            <w:r>
              <w:rPr>
                <w:sz w:val="20"/>
              </w:rPr>
              <w:t>23</w:t>
            </w:r>
          </w:p>
        </w:tc>
      </w:tr>
      <w:tr>
        <w:trPr>
          <w:trHeight w:val="370" w:hRule="exact"/>
        </w:trPr>
        <w:tc>
          <w:tcPr>
            <w:tcW w:w="4350" w:type="dxa"/>
            <w:tcBorders>
              <w:top w:val="single" w:sz="4" w:space="0" w:color="000000"/>
              <w:right w:val="single" w:sz="4" w:space="0" w:color="000000"/>
            </w:tcBorders>
          </w:tcPr>
          <w:p>
            <w:pPr>
              <w:pStyle w:val="TableParagraph"/>
              <w:ind w:left="57"/>
              <w:rPr>
                <w:sz w:val="20"/>
              </w:rPr>
            </w:pPr>
            <w:r>
              <w:rPr>
                <w:sz w:val="20"/>
              </w:rPr>
              <w:t>Mobile Cart</w:t>
            </w:r>
          </w:p>
        </w:tc>
        <w:tc>
          <w:tcPr>
            <w:tcW w:w="1985" w:type="dxa"/>
            <w:tcBorders>
              <w:top w:val="single" w:sz="4" w:space="0" w:color="000000"/>
              <w:left w:val="single" w:sz="4" w:space="0" w:color="000000"/>
            </w:tcBorders>
          </w:tcPr>
          <w:p>
            <w:pPr>
              <w:pStyle w:val="TableParagraph"/>
              <w:ind w:left="393" w:right="387"/>
              <w:jc w:val="center"/>
              <w:rPr>
                <w:sz w:val="20"/>
              </w:rPr>
            </w:pPr>
            <w:r>
              <w:rPr>
                <w:sz w:val="20"/>
              </w:rPr>
              <w:t>27</w:t>
            </w:r>
          </w:p>
        </w:tc>
      </w:tr>
    </w:tbl>
    <w:p>
      <w:pPr>
        <w:spacing w:after="0"/>
        <w:jc w:val="center"/>
        <w:rPr>
          <w:sz w:val="20"/>
        </w:rPr>
        <w:sectPr>
          <w:pgSz w:w="11910" w:h="16840"/>
          <w:pgMar w:header="583" w:footer="575" w:top="840" w:bottom="760" w:left="860" w:right="1280"/>
        </w:sectPr>
      </w:pPr>
    </w:p>
    <w:p>
      <w:pPr>
        <w:pStyle w:val="BodyText"/>
        <w:rPr>
          <w:b/>
          <w:sz w:val="20"/>
        </w:rPr>
      </w:pPr>
    </w:p>
    <w:p>
      <w:pPr>
        <w:pStyle w:val="BodyText"/>
        <w:rPr>
          <w:b/>
          <w:sz w:val="20"/>
        </w:rPr>
      </w:pPr>
    </w:p>
    <w:p>
      <w:pPr>
        <w:pStyle w:val="BodyText"/>
        <w:rPr>
          <w:b/>
          <w:sz w:val="20"/>
        </w:rPr>
      </w:pPr>
    </w:p>
    <w:p>
      <w:pPr>
        <w:pStyle w:val="BodyText"/>
        <w:spacing w:before="11"/>
        <w:rPr>
          <w:b/>
          <w:sz w:val="15"/>
        </w:rPr>
      </w:pPr>
    </w:p>
    <w:tbl>
      <w:tblPr>
        <w:tblW w:w="0" w:type="auto"/>
        <w:jc w:val="left"/>
        <w:tblInd w:w="210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350"/>
        <w:gridCol w:w="1985"/>
      </w:tblGrid>
      <w:tr>
        <w:trPr>
          <w:trHeight w:val="370" w:hRule="exact"/>
        </w:trPr>
        <w:tc>
          <w:tcPr>
            <w:tcW w:w="4350" w:type="dxa"/>
            <w:tcBorders>
              <w:bottom w:val="single" w:sz="4" w:space="0" w:color="000000"/>
              <w:right w:val="single" w:sz="4" w:space="0" w:color="000000"/>
            </w:tcBorders>
            <w:shd w:val="clear" w:color="auto" w:fill="D9D9D9"/>
          </w:tcPr>
          <w:p>
            <w:pPr>
              <w:pStyle w:val="TableParagraph"/>
              <w:spacing w:before="60"/>
              <w:ind w:left="1277"/>
              <w:rPr>
                <w:b/>
                <w:sz w:val="20"/>
              </w:rPr>
            </w:pPr>
            <w:r>
              <w:rPr>
                <w:b/>
                <w:sz w:val="20"/>
              </w:rPr>
              <w:t>Types of Business</w:t>
            </w:r>
          </w:p>
        </w:tc>
        <w:tc>
          <w:tcPr>
            <w:tcW w:w="1985" w:type="dxa"/>
            <w:tcBorders>
              <w:left w:val="single" w:sz="4" w:space="0" w:color="000000"/>
              <w:bottom w:val="single" w:sz="4" w:space="0" w:color="000000"/>
            </w:tcBorders>
            <w:shd w:val="clear" w:color="auto" w:fill="D9D9D9"/>
          </w:tcPr>
          <w:p>
            <w:pPr>
              <w:pStyle w:val="TableParagraph"/>
              <w:spacing w:before="60"/>
              <w:ind w:left="393" w:right="387"/>
              <w:jc w:val="center"/>
              <w:rPr>
                <w:b/>
                <w:sz w:val="20"/>
              </w:rPr>
            </w:pPr>
            <w:r>
              <w:rPr>
                <w:b/>
                <w:sz w:val="20"/>
              </w:rPr>
              <w:t>No. of PAPs</w:t>
            </w:r>
          </w:p>
        </w:tc>
      </w:tr>
      <w:tr>
        <w:trPr>
          <w:trHeight w:val="360" w:hRule="exact"/>
        </w:trPr>
        <w:tc>
          <w:tcPr>
            <w:tcW w:w="4350" w:type="dxa"/>
            <w:tcBorders>
              <w:top w:val="single" w:sz="4" w:space="0" w:color="000000"/>
              <w:bottom w:val="single" w:sz="4" w:space="0" w:color="000000"/>
              <w:right w:val="single" w:sz="4" w:space="0" w:color="000000"/>
            </w:tcBorders>
          </w:tcPr>
          <w:p>
            <w:pPr>
              <w:pStyle w:val="TableParagraph"/>
              <w:ind w:left="57"/>
              <w:rPr>
                <w:sz w:val="20"/>
              </w:rPr>
            </w:pPr>
            <w:r>
              <w:rPr>
                <w:sz w:val="20"/>
              </w:rPr>
              <w:t>Plant Nurseries</w:t>
            </w:r>
          </w:p>
        </w:tc>
        <w:tc>
          <w:tcPr>
            <w:tcW w:w="1985" w:type="dxa"/>
            <w:tcBorders>
              <w:top w:val="single" w:sz="4" w:space="0" w:color="000000"/>
              <w:left w:val="single" w:sz="4" w:space="0" w:color="000000"/>
              <w:bottom w:val="single" w:sz="4" w:space="0" w:color="000000"/>
            </w:tcBorders>
          </w:tcPr>
          <w:p>
            <w:pPr>
              <w:pStyle w:val="TableParagraph"/>
              <w:ind w:left="6"/>
              <w:jc w:val="center"/>
              <w:rPr>
                <w:sz w:val="20"/>
              </w:rPr>
            </w:pPr>
            <w:r>
              <w:rPr>
                <w:w w:val="99"/>
                <w:sz w:val="20"/>
              </w:rPr>
              <w:t>4</w:t>
            </w:r>
          </w:p>
        </w:tc>
      </w:tr>
      <w:tr>
        <w:trPr>
          <w:trHeight w:val="360" w:hRule="exact"/>
        </w:trPr>
        <w:tc>
          <w:tcPr>
            <w:tcW w:w="4350" w:type="dxa"/>
            <w:tcBorders>
              <w:top w:val="single" w:sz="4" w:space="0" w:color="000000"/>
              <w:bottom w:val="single" w:sz="4" w:space="0" w:color="000000"/>
              <w:right w:val="single" w:sz="4" w:space="0" w:color="000000"/>
            </w:tcBorders>
          </w:tcPr>
          <w:p>
            <w:pPr>
              <w:pStyle w:val="TableParagraph"/>
              <w:ind w:left="57"/>
              <w:rPr>
                <w:sz w:val="20"/>
              </w:rPr>
            </w:pPr>
            <w:r>
              <w:rPr>
                <w:sz w:val="20"/>
              </w:rPr>
              <w:t>Shops Display Material within the ROW</w:t>
            </w:r>
          </w:p>
        </w:tc>
        <w:tc>
          <w:tcPr>
            <w:tcW w:w="1985" w:type="dxa"/>
            <w:tcBorders>
              <w:top w:val="single" w:sz="4" w:space="0" w:color="000000"/>
              <w:left w:val="single" w:sz="4" w:space="0" w:color="000000"/>
              <w:bottom w:val="single" w:sz="4" w:space="0" w:color="000000"/>
            </w:tcBorders>
          </w:tcPr>
          <w:p>
            <w:pPr>
              <w:pStyle w:val="TableParagraph"/>
              <w:ind w:left="393" w:right="387"/>
              <w:jc w:val="center"/>
              <w:rPr>
                <w:sz w:val="20"/>
              </w:rPr>
            </w:pPr>
            <w:r>
              <w:rPr>
                <w:sz w:val="20"/>
              </w:rPr>
              <w:t>11</w:t>
            </w:r>
          </w:p>
        </w:tc>
      </w:tr>
      <w:tr>
        <w:trPr>
          <w:trHeight w:val="360" w:hRule="exact"/>
        </w:trPr>
        <w:tc>
          <w:tcPr>
            <w:tcW w:w="4350" w:type="dxa"/>
            <w:tcBorders>
              <w:top w:val="single" w:sz="4" w:space="0" w:color="000000"/>
              <w:bottom w:val="single" w:sz="4" w:space="0" w:color="000000"/>
              <w:right w:val="single" w:sz="4" w:space="0" w:color="000000"/>
            </w:tcBorders>
          </w:tcPr>
          <w:p>
            <w:pPr>
              <w:pStyle w:val="TableParagraph"/>
              <w:ind w:left="57"/>
              <w:rPr>
                <w:sz w:val="20"/>
              </w:rPr>
            </w:pPr>
            <w:r>
              <w:rPr>
                <w:sz w:val="20"/>
              </w:rPr>
              <w:t>Tuck Shops under the Overhead Bridge</w:t>
            </w:r>
          </w:p>
        </w:tc>
        <w:tc>
          <w:tcPr>
            <w:tcW w:w="1985" w:type="dxa"/>
            <w:tcBorders>
              <w:top w:val="single" w:sz="4" w:space="0" w:color="000000"/>
              <w:left w:val="single" w:sz="4" w:space="0" w:color="000000"/>
              <w:bottom w:val="single" w:sz="4" w:space="0" w:color="000000"/>
            </w:tcBorders>
          </w:tcPr>
          <w:p>
            <w:pPr>
              <w:pStyle w:val="TableParagraph"/>
              <w:ind w:left="6"/>
              <w:jc w:val="center"/>
              <w:rPr>
                <w:sz w:val="20"/>
              </w:rPr>
            </w:pPr>
            <w:r>
              <w:rPr>
                <w:w w:val="99"/>
                <w:sz w:val="20"/>
              </w:rPr>
              <w:t>4</w:t>
            </w:r>
          </w:p>
        </w:tc>
      </w:tr>
      <w:tr>
        <w:trPr>
          <w:trHeight w:val="360" w:hRule="exact"/>
        </w:trPr>
        <w:tc>
          <w:tcPr>
            <w:tcW w:w="4350" w:type="dxa"/>
            <w:tcBorders>
              <w:top w:val="single" w:sz="4" w:space="0" w:color="000000"/>
              <w:bottom w:val="single" w:sz="4" w:space="0" w:color="000000"/>
              <w:right w:val="single" w:sz="4" w:space="0" w:color="000000"/>
            </w:tcBorders>
          </w:tcPr>
          <w:p>
            <w:pPr>
              <w:pStyle w:val="TableParagraph"/>
              <w:ind w:left="57"/>
              <w:rPr>
                <w:b/>
                <w:sz w:val="20"/>
              </w:rPr>
            </w:pPr>
            <w:r>
              <w:rPr>
                <w:b/>
                <w:sz w:val="20"/>
              </w:rPr>
              <w:t>Sub-total</w:t>
            </w:r>
          </w:p>
        </w:tc>
        <w:tc>
          <w:tcPr>
            <w:tcW w:w="1985" w:type="dxa"/>
            <w:tcBorders>
              <w:top w:val="single" w:sz="4" w:space="0" w:color="000000"/>
              <w:left w:val="single" w:sz="4" w:space="0" w:color="000000"/>
              <w:bottom w:val="single" w:sz="4" w:space="0" w:color="000000"/>
            </w:tcBorders>
          </w:tcPr>
          <w:p>
            <w:pPr>
              <w:pStyle w:val="TableParagraph"/>
              <w:ind w:left="393" w:right="387"/>
              <w:jc w:val="center"/>
              <w:rPr>
                <w:b/>
                <w:sz w:val="20"/>
              </w:rPr>
            </w:pPr>
            <w:r>
              <w:rPr>
                <w:b/>
                <w:sz w:val="20"/>
              </w:rPr>
              <w:t>82</w:t>
            </w:r>
          </w:p>
        </w:tc>
      </w:tr>
      <w:tr>
        <w:trPr>
          <w:trHeight w:val="360" w:hRule="exact"/>
        </w:trPr>
        <w:tc>
          <w:tcPr>
            <w:tcW w:w="4350" w:type="dxa"/>
            <w:tcBorders>
              <w:top w:val="single" w:sz="4" w:space="0" w:color="000000"/>
              <w:bottom w:val="single" w:sz="4" w:space="0" w:color="000000"/>
              <w:right w:val="single" w:sz="4" w:space="0" w:color="000000"/>
            </w:tcBorders>
          </w:tcPr>
          <w:p>
            <w:pPr>
              <w:pStyle w:val="TableParagraph"/>
              <w:ind w:left="57"/>
              <w:rPr>
                <w:sz w:val="20"/>
              </w:rPr>
            </w:pPr>
            <w:r>
              <w:rPr>
                <w:sz w:val="20"/>
              </w:rPr>
              <w:t>Employment Loss</w:t>
            </w:r>
          </w:p>
        </w:tc>
        <w:tc>
          <w:tcPr>
            <w:tcW w:w="1985" w:type="dxa"/>
            <w:tcBorders>
              <w:top w:val="single" w:sz="4" w:space="0" w:color="000000"/>
              <w:left w:val="single" w:sz="4" w:space="0" w:color="000000"/>
              <w:bottom w:val="single" w:sz="4" w:space="0" w:color="000000"/>
            </w:tcBorders>
          </w:tcPr>
          <w:p>
            <w:pPr>
              <w:pStyle w:val="TableParagraph"/>
              <w:ind w:left="393" w:right="387"/>
              <w:jc w:val="center"/>
              <w:rPr>
                <w:sz w:val="20"/>
              </w:rPr>
            </w:pPr>
            <w:r>
              <w:rPr>
                <w:sz w:val="20"/>
              </w:rPr>
              <w:t>38</w:t>
            </w:r>
          </w:p>
        </w:tc>
      </w:tr>
      <w:tr>
        <w:trPr>
          <w:trHeight w:val="370" w:hRule="exact"/>
        </w:trPr>
        <w:tc>
          <w:tcPr>
            <w:tcW w:w="4350" w:type="dxa"/>
            <w:tcBorders>
              <w:top w:val="single" w:sz="4" w:space="0" w:color="000000"/>
              <w:right w:val="single" w:sz="4" w:space="0" w:color="000000"/>
            </w:tcBorders>
          </w:tcPr>
          <w:p>
            <w:pPr>
              <w:pStyle w:val="TableParagraph"/>
              <w:ind w:left="57"/>
              <w:rPr>
                <w:b/>
                <w:sz w:val="20"/>
              </w:rPr>
            </w:pPr>
            <w:r>
              <w:rPr>
                <w:b/>
                <w:sz w:val="20"/>
              </w:rPr>
              <w:t>Total</w:t>
            </w:r>
          </w:p>
        </w:tc>
        <w:tc>
          <w:tcPr>
            <w:tcW w:w="1985" w:type="dxa"/>
            <w:tcBorders>
              <w:top w:val="single" w:sz="4" w:space="0" w:color="000000"/>
              <w:left w:val="single" w:sz="4" w:space="0" w:color="000000"/>
            </w:tcBorders>
          </w:tcPr>
          <w:p>
            <w:pPr>
              <w:pStyle w:val="TableParagraph"/>
              <w:ind w:left="393" w:right="387"/>
              <w:jc w:val="center"/>
              <w:rPr>
                <w:b/>
                <w:sz w:val="20"/>
              </w:rPr>
            </w:pPr>
            <w:r>
              <w:rPr>
                <w:b/>
                <w:sz w:val="20"/>
              </w:rPr>
              <w:t>120</w:t>
            </w:r>
          </w:p>
        </w:tc>
      </w:tr>
    </w:tbl>
    <w:p>
      <w:pPr>
        <w:pStyle w:val="BodyText"/>
        <w:rPr>
          <w:b/>
          <w:sz w:val="20"/>
        </w:rPr>
      </w:pPr>
    </w:p>
    <w:p>
      <w:pPr>
        <w:pStyle w:val="BodyText"/>
        <w:spacing w:before="2"/>
        <w:rPr>
          <w:b/>
          <w:sz w:val="18"/>
        </w:rPr>
      </w:pPr>
    </w:p>
    <w:p>
      <w:pPr>
        <w:pStyle w:val="Heading3"/>
        <w:numPr>
          <w:ilvl w:val="2"/>
          <w:numId w:val="15"/>
        </w:numPr>
        <w:tabs>
          <w:tab w:pos="1589" w:val="left" w:leader="none"/>
        </w:tabs>
        <w:spacing w:line="240" w:lineRule="auto" w:before="94" w:after="0"/>
        <w:ind w:left="1588" w:right="0" w:hanging="720"/>
        <w:jc w:val="both"/>
      </w:pPr>
      <w:bookmarkStart w:name="_bookmark23" w:id="38"/>
      <w:bookmarkEnd w:id="38"/>
      <w:r>
        <w:rPr>
          <w:b w:val="0"/>
        </w:rPr>
      </w:r>
      <w:bookmarkStart w:name="_bookmark23" w:id="39"/>
      <w:bookmarkEnd w:id="39"/>
      <w:r>
        <w:rPr>
          <w:color w:val="0D0D0D"/>
        </w:rPr>
        <w:t>V</w:t>
      </w:r>
      <w:r>
        <w:rPr>
          <w:color w:val="0D0D0D"/>
        </w:rPr>
        <w:t>ulnerable</w:t>
      </w:r>
      <w:r>
        <w:rPr>
          <w:color w:val="0D0D0D"/>
          <w:spacing w:val="-4"/>
        </w:rPr>
        <w:t> </w:t>
      </w:r>
      <w:r>
        <w:rPr>
          <w:color w:val="0D0D0D"/>
        </w:rPr>
        <w:t>PAPs</w:t>
      </w:r>
    </w:p>
    <w:p>
      <w:pPr>
        <w:pStyle w:val="ListParagraph"/>
        <w:numPr>
          <w:ilvl w:val="0"/>
          <w:numId w:val="14"/>
        </w:numPr>
        <w:tabs>
          <w:tab w:pos="1589" w:val="left" w:leader="none"/>
        </w:tabs>
        <w:spacing w:line="276" w:lineRule="auto" w:before="157" w:after="0"/>
        <w:ind w:left="868" w:right="151" w:firstLine="0"/>
        <w:jc w:val="both"/>
        <w:rPr>
          <w:b/>
          <w:sz w:val="22"/>
        </w:rPr>
      </w:pPr>
      <w:r>
        <w:rPr>
          <w:sz w:val="22"/>
        </w:rPr>
        <w:t>Vulnerable people are people who by virtue of gender, ethnicity, age, physical or mental</w:t>
      </w:r>
      <w:r>
        <w:rPr>
          <w:spacing w:val="-7"/>
          <w:sz w:val="22"/>
        </w:rPr>
        <w:t> </w:t>
      </w:r>
      <w:r>
        <w:rPr>
          <w:sz w:val="22"/>
        </w:rPr>
        <w:t>disability,</w:t>
      </w:r>
      <w:r>
        <w:rPr>
          <w:spacing w:val="-3"/>
          <w:sz w:val="22"/>
        </w:rPr>
        <w:t> </w:t>
      </w:r>
      <w:r>
        <w:rPr>
          <w:sz w:val="22"/>
        </w:rPr>
        <w:t>economic</w:t>
      </w:r>
      <w:r>
        <w:rPr>
          <w:spacing w:val="-4"/>
          <w:sz w:val="22"/>
        </w:rPr>
        <w:t> </w:t>
      </w:r>
      <w:r>
        <w:rPr>
          <w:sz w:val="22"/>
        </w:rPr>
        <w:t>disadvantage,</w:t>
      </w:r>
      <w:r>
        <w:rPr>
          <w:spacing w:val="-5"/>
          <w:sz w:val="22"/>
        </w:rPr>
        <w:t> </w:t>
      </w:r>
      <w:r>
        <w:rPr>
          <w:sz w:val="22"/>
        </w:rPr>
        <w:t>or</w:t>
      </w:r>
      <w:r>
        <w:rPr>
          <w:spacing w:val="-6"/>
          <w:sz w:val="22"/>
        </w:rPr>
        <w:t> </w:t>
      </w:r>
      <w:r>
        <w:rPr>
          <w:sz w:val="22"/>
        </w:rPr>
        <w:t>social</w:t>
      </w:r>
      <w:r>
        <w:rPr>
          <w:spacing w:val="-5"/>
          <w:sz w:val="22"/>
        </w:rPr>
        <w:t> </w:t>
      </w:r>
      <w:r>
        <w:rPr>
          <w:sz w:val="22"/>
        </w:rPr>
        <w:t>status</w:t>
      </w:r>
      <w:r>
        <w:rPr>
          <w:spacing w:val="-6"/>
          <w:sz w:val="22"/>
        </w:rPr>
        <w:t> </w:t>
      </w:r>
      <w:r>
        <w:rPr>
          <w:sz w:val="22"/>
        </w:rPr>
        <w:t>may</w:t>
      </w:r>
      <w:r>
        <w:rPr>
          <w:spacing w:val="-9"/>
          <w:sz w:val="22"/>
        </w:rPr>
        <w:t> </w:t>
      </w:r>
      <w:r>
        <w:rPr>
          <w:sz w:val="22"/>
        </w:rPr>
        <w:t>be</w:t>
      </w:r>
      <w:r>
        <w:rPr>
          <w:spacing w:val="-7"/>
          <w:sz w:val="22"/>
        </w:rPr>
        <w:t> </w:t>
      </w:r>
      <w:r>
        <w:rPr>
          <w:sz w:val="22"/>
        </w:rPr>
        <w:t>more</w:t>
      </w:r>
      <w:r>
        <w:rPr>
          <w:spacing w:val="-6"/>
          <w:sz w:val="22"/>
        </w:rPr>
        <w:t> </w:t>
      </w:r>
      <w:r>
        <w:rPr>
          <w:sz w:val="22"/>
        </w:rPr>
        <w:t>adversely</w:t>
      </w:r>
      <w:r>
        <w:rPr>
          <w:spacing w:val="-6"/>
          <w:sz w:val="22"/>
        </w:rPr>
        <w:t> </w:t>
      </w:r>
      <w:r>
        <w:rPr>
          <w:sz w:val="22"/>
        </w:rPr>
        <w:t>affected by</w:t>
      </w:r>
      <w:r>
        <w:rPr>
          <w:spacing w:val="-11"/>
          <w:sz w:val="22"/>
        </w:rPr>
        <w:t> </w:t>
      </w:r>
      <w:r>
        <w:rPr>
          <w:sz w:val="22"/>
        </w:rPr>
        <w:t>the</w:t>
      </w:r>
      <w:r>
        <w:rPr>
          <w:spacing w:val="-9"/>
          <w:sz w:val="22"/>
        </w:rPr>
        <w:t> </w:t>
      </w:r>
      <w:r>
        <w:rPr>
          <w:sz w:val="22"/>
        </w:rPr>
        <w:t>Project</w:t>
      </w:r>
      <w:r>
        <w:rPr>
          <w:spacing w:val="-10"/>
          <w:sz w:val="22"/>
        </w:rPr>
        <w:t> </w:t>
      </w:r>
      <w:r>
        <w:rPr>
          <w:sz w:val="22"/>
        </w:rPr>
        <w:t>than</w:t>
      </w:r>
      <w:r>
        <w:rPr>
          <w:spacing w:val="-9"/>
          <w:sz w:val="22"/>
        </w:rPr>
        <w:t> </w:t>
      </w:r>
      <w:r>
        <w:rPr>
          <w:sz w:val="22"/>
        </w:rPr>
        <w:t>others</w:t>
      </w:r>
      <w:r>
        <w:rPr>
          <w:spacing w:val="-8"/>
          <w:sz w:val="22"/>
        </w:rPr>
        <w:t> </w:t>
      </w:r>
      <w:r>
        <w:rPr>
          <w:sz w:val="22"/>
        </w:rPr>
        <w:t>and</w:t>
      </w:r>
      <w:r>
        <w:rPr>
          <w:spacing w:val="-9"/>
          <w:sz w:val="22"/>
        </w:rPr>
        <w:t> </w:t>
      </w:r>
      <w:r>
        <w:rPr>
          <w:sz w:val="22"/>
        </w:rPr>
        <w:t>who</w:t>
      </w:r>
      <w:r>
        <w:rPr>
          <w:spacing w:val="-7"/>
          <w:sz w:val="22"/>
        </w:rPr>
        <w:t> </w:t>
      </w:r>
      <w:r>
        <w:rPr>
          <w:sz w:val="22"/>
        </w:rPr>
        <w:t>may</w:t>
      </w:r>
      <w:r>
        <w:rPr>
          <w:spacing w:val="-11"/>
          <w:sz w:val="22"/>
        </w:rPr>
        <w:t> </w:t>
      </w:r>
      <w:r>
        <w:rPr>
          <w:sz w:val="22"/>
        </w:rPr>
        <w:t>be</w:t>
      </w:r>
      <w:r>
        <w:rPr>
          <w:spacing w:val="-11"/>
          <w:sz w:val="22"/>
        </w:rPr>
        <w:t> </w:t>
      </w:r>
      <w:r>
        <w:rPr>
          <w:sz w:val="22"/>
        </w:rPr>
        <w:t>limited</w:t>
      </w:r>
      <w:r>
        <w:rPr>
          <w:spacing w:val="-11"/>
          <w:sz w:val="22"/>
        </w:rPr>
        <w:t> </w:t>
      </w:r>
      <w:r>
        <w:rPr>
          <w:sz w:val="22"/>
        </w:rPr>
        <w:t>in</w:t>
      </w:r>
      <w:r>
        <w:rPr>
          <w:spacing w:val="-9"/>
          <w:sz w:val="22"/>
        </w:rPr>
        <w:t> </w:t>
      </w:r>
      <w:r>
        <w:rPr>
          <w:sz w:val="22"/>
        </w:rPr>
        <w:t>their</w:t>
      </w:r>
      <w:r>
        <w:rPr>
          <w:spacing w:val="-10"/>
          <w:sz w:val="22"/>
        </w:rPr>
        <w:t> </w:t>
      </w:r>
      <w:r>
        <w:rPr>
          <w:sz w:val="22"/>
        </w:rPr>
        <w:t>ability</w:t>
      </w:r>
      <w:r>
        <w:rPr>
          <w:spacing w:val="-11"/>
          <w:sz w:val="22"/>
        </w:rPr>
        <w:t> </w:t>
      </w:r>
      <w:r>
        <w:rPr>
          <w:sz w:val="22"/>
        </w:rPr>
        <w:t>to</w:t>
      </w:r>
      <w:r>
        <w:rPr>
          <w:spacing w:val="-11"/>
          <w:sz w:val="22"/>
        </w:rPr>
        <w:t> </w:t>
      </w:r>
      <w:r>
        <w:rPr>
          <w:sz w:val="22"/>
        </w:rPr>
        <w:t>claim</w:t>
      </w:r>
      <w:r>
        <w:rPr>
          <w:spacing w:val="-8"/>
          <w:sz w:val="22"/>
        </w:rPr>
        <w:t> </w:t>
      </w:r>
      <w:r>
        <w:rPr>
          <w:sz w:val="22"/>
        </w:rPr>
        <w:t>or</w:t>
      </w:r>
      <w:r>
        <w:rPr>
          <w:spacing w:val="-10"/>
          <w:sz w:val="22"/>
        </w:rPr>
        <w:t> </w:t>
      </w:r>
      <w:r>
        <w:rPr>
          <w:sz w:val="22"/>
        </w:rPr>
        <w:t>take</w:t>
      </w:r>
      <w:r>
        <w:rPr>
          <w:spacing w:val="-5"/>
          <w:sz w:val="22"/>
        </w:rPr>
        <w:t> </w:t>
      </w:r>
      <w:r>
        <w:rPr>
          <w:sz w:val="22"/>
        </w:rPr>
        <w:t>advantage of rehabilitation assistance and  related  development  benefits.  The  survey  identified  19 such vulnerable households including three disabled and 16 are living below poverty line. The number of vulnerable PAPs are provided in and </w:t>
      </w:r>
      <w:r>
        <w:rPr>
          <w:b/>
          <w:sz w:val="22"/>
        </w:rPr>
        <w:t>Table</w:t>
      </w:r>
      <w:r>
        <w:rPr>
          <w:b/>
          <w:spacing w:val="-14"/>
          <w:sz w:val="22"/>
        </w:rPr>
        <w:t> </w:t>
      </w:r>
      <w:r>
        <w:rPr>
          <w:b/>
          <w:sz w:val="22"/>
        </w:rPr>
        <w:t>3.</w:t>
      </w:r>
    </w:p>
    <w:p>
      <w:pPr>
        <w:pStyle w:val="BodyText"/>
        <w:rPr>
          <w:b/>
          <w:sz w:val="24"/>
        </w:rPr>
      </w:pPr>
    </w:p>
    <w:p>
      <w:pPr>
        <w:pStyle w:val="BodyText"/>
        <w:spacing w:before="3"/>
        <w:rPr>
          <w:b/>
        </w:rPr>
      </w:pPr>
    </w:p>
    <w:p>
      <w:pPr>
        <w:pStyle w:val="Heading3"/>
        <w:spacing w:before="1"/>
        <w:ind w:left="3912"/>
        <w:jc w:val="left"/>
      </w:pPr>
      <w:bookmarkStart w:name="_bookmark24" w:id="40"/>
      <w:bookmarkEnd w:id="40"/>
      <w:r>
        <w:rPr>
          <w:b w:val="0"/>
        </w:rPr>
      </w:r>
      <w:r>
        <w:rPr>
          <w:u w:val="thick"/>
        </w:rPr>
        <w:t>Table 3: Vulnerable PAPs</w:t>
      </w:r>
    </w:p>
    <w:p>
      <w:pPr>
        <w:pStyle w:val="BodyText"/>
        <w:spacing w:before="5"/>
        <w:rPr>
          <w:b/>
          <w:sz w:val="10"/>
        </w:rPr>
      </w:pPr>
    </w:p>
    <w:tbl>
      <w:tblPr>
        <w:tblW w:w="0" w:type="auto"/>
        <w:jc w:val="left"/>
        <w:tblInd w:w="18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18"/>
        <w:gridCol w:w="3867"/>
        <w:gridCol w:w="2146"/>
      </w:tblGrid>
      <w:tr>
        <w:trPr>
          <w:trHeight w:val="368" w:hRule="exact"/>
        </w:trPr>
        <w:tc>
          <w:tcPr>
            <w:tcW w:w="818" w:type="dxa"/>
            <w:tcBorders>
              <w:bottom w:val="single" w:sz="4" w:space="0" w:color="000000"/>
              <w:right w:val="single" w:sz="4" w:space="0" w:color="000000"/>
            </w:tcBorders>
            <w:shd w:val="clear" w:color="auto" w:fill="D9D9D9"/>
          </w:tcPr>
          <w:p>
            <w:pPr>
              <w:pStyle w:val="TableParagraph"/>
              <w:spacing w:before="61"/>
              <w:ind w:left="49" w:right="65"/>
              <w:jc w:val="center"/>
              <w:rPr>
                <w:b/>
                <w:sz w:val="20"/>
              </w:rPr>
            </w:pPr>
            <w:r>
              <w:rPr>
                <w:b/>
                <w:sz w:val="20"/>
              </w:rPr>
              <w:t>Sr. No.</w:t>
            </w:r>
          </w:p>
        </w:tc>
        <w:tc>
          <w:tcPr>
            <w:tcW w:w="3867" w:type="dxa"/>
            <w:tcBorders>
              <w:left w:val="single" w:sz="4" w:space="0" w:color="000000"/>
              <w:bottom w:val="single" w:sz="4" w:space="0" w:color="000000"/>
              <w:right w:val="single" w:sz="4" w:space="0" w:color="000000"/>
            </w:tcBorders>
            <w:shd w:val="clear" w:color="auto" w:fill="D9D9D9"/>
          </w:tcPr>
          <w:p>
            <w:pPr>
              <w:pStyle w:val="TableParagraph"/>
              <w:spacing w:before="61"/>
              <w:ind w:left="1066"/>
              <w:rPr>
                <w:b/>
                <w:sz w:val="20"/>
              </w:rPr>
            </w:pPr>
            <w:r>
              <w:rPr>
                <w:b/>
                <w:sz w:val="20"/>
              </w:rPr>
              <w:t>Vulnerability Type</w:t>
            </w:r>
          </w:p>
        </w:tc>
        <w:tc>
          <w:tcPr>
            <w:tcW w:w="2146" w:type="dxa"/>
            <w:tcBorders>
              <w:left w:val="single" w:sz="4" w:space="0" w:color="000000"/>
              <w:bottom w:val="single" w:sz="4" w:space="0" w:color="000000"/>
            </w:tcBorders>
            <w:shd w:val="clear" w:color="auto" w:fill="D9D9D9"/>
          </w:tcPr>
          <w:p>
            <w:pPr>
              <w:pStyle w:val="TableParagraph"/>
              <w:spacing w:before="61"/>
              <w:ind w:left="472" w:right="469"/>
              <w:jc w:val="center"/>
              <w:rPr>
                <w:b/>
                <w:sz w:val="20"/>
              </w:rPr>
            </w:pPr>
            <w:r>
              <w:rPr>
                <w:b/>
                <w:sz w:val="20"/>
              </w:rPr>
              <w:t>No. of PAPs</w:t>
            </w:r>
          </w:p>
        </w:tc>
      </w:tr>
      <w:tr>
        <w:trPr>
          <w:trHeight w:val="360" w:hRule="exact"/>
        </w:trPr>
        <w:tc>
          <w:tcPr>
            <w:tcW w:w="818" w:type="dxa"/>
            <w:tcBorders>
              <w:top w:val="single" w:sz="4" w:space="0" w:color="000000"/>
              <w:bottom w:val="single" w:sz="4" w:space="0" w:color="000000"/>
              <w:right w:val="single" w:sz="4" w:space="0" w:color="000000"/>
            </w:tcBorders>
          </w:tcPr>
          <w:p>
            <w:pPr>
              <w:pStyle w:val="TableParagraph"/>
              <w:spacing w:before="62"/>
              <w:ind w:right="9"/>
              <w:jc w:val="center"/>
              <w:rPr>
                <w:sz w:val="20"/>
              </w:rPr>
            </w:pPr>
            <w:r>
              <w:rPr>
                <w:w w:val="99"/>
                <w:sz w:val="20"/>
              </w:rPr>
              <w:t>1</w:t>
            </w:r>
          </w:p>
        </w:tc>
        <w:tc>
          <w:tcPr>
            <w:tcW w:w="3867"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Below OPL ≤16,000/month</w:t>
            </w:r>
          </w:p>
        </w:tc>
        <w:tc>
          <w:tcPr>
            <w:tcW w:w="2146" w:type="dxa"/>
            <w:tcBorders>
              <w:top w:val="single" w:sz="4" w:space="0" w:color="000000"/>
              <w:left w:val="single" w:sz="4" w:space="0" w:color="000000"/>
              <w:bottom w:val="single" w:sz="4" w:space="0" w:color="000000"/>
            </w:tcBorders>
          </w:tcPr>
          <w:p>
            <w:pPr>
              <w:pStyle w:val="TableParagraph"/>
              <w:spacing w:before="62"/>
              <w:ind w:left="472" w:right="467"/>
              <w:jc w:val="center"/>
              <w:rPr>
                <w:sz w:val="20"/>
              </w:rPr>
            </w:pPr>
            <w:r>
              <w:rPr>
                <w:sz w:val="20"/>
              </w:rPr>
              <w:t>16</w:t>
            </w:r>
          </w:p>
        </w:tc>
      </w:tr>
      <w:tr>
        <w:trPr>
          <w:trHeight w:val="360" w:hRule="exact"/>
        </w:trPr>
        <w:tc>
          <w:tcPr>
            <w:tcW w:w="818" w:type="dxa"/>
            <w:tcBorders>
              <w:top w:val="single" w:sz="4" w:space="0" w:color="000000"/>
              <w:bottom w:val="single" w:sz="4" w:space="0" w:color="000000"/>
              <w:right w:val="single" w:sz="4" w:space="0" w:color="000000"/>
            </w:tcBorders>
          </w:tcPr>
          <w:p>
            <w:pPr>
              <w:pStyle w:val="TableParagraph"/>
              <w:spacing w:before="62"/>
              <w:ind w:right="9"/>
              <w:jc w:val="center"/>
              <w:rPr>
                <w:sz w:val="20"/>
              </w:rPr>
            </w:pPr>
            <w:r>
              <w:rPr>
                <w:w w:val="99"/>
                <w:sz w:val="20"/>
              </w:rPr>
              <w:t>2</w:t>
            </w:r>
          </w:p>
        </w:tc>
        <w:tc>
          <w:tcPr>
            <w:tcW w:w="3867"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Disabled</w:t>
            </w:r>
          </w:p>
        </w:tc>
        <w:tc>
          <w:tcPr>
            <w:tcW w:w="2146" w:type="dxa"/>
            <w:tcBorders>
              <w:top w:val="single" w:sz="4" w:space="0" w:color="000000"/>
              <w:left w:val="single" w:sz="4" w:space="0" w:color="000000"/>
              <w:bottom w:val="single" w:sz="4" w:space="0" w:color="000000"/>
            </w:tcBorders>
          </w:tcPr>
          <w:p>
            <w:pPr>
              <w:pStyle w:val="TableParagraph"/>
              <w:spacing w:before="62"/>
              <w:ind w:left="10"/>
              <w:jc w:val="center"/>
              <w:rPr>
                <w:sz w:val="20"/>
              </w:rPr>
            </w:pPr>
            <w:r>
              <w:rPr>
                <w:w w:val="99"/>
                <w:sz w:val="20"/>
              </w:rPr>
              <w:t>3</w:t>
            </w:r>
          </w:p>
        </w:tc>
      </w:tr>
      <w:tr>
        <w:trPr>
          <w:trHeight w:val="370" w:hRule="exact"/>
        </w:trPr>
        <w:tc>
          <w:tcPr>
            <w:tcW w:w="818" w:type="dxa"/>
            <w:tcBorders>
              <w:top w:val="single" w:sz="4" w:space="0" w:color="000000"/>
              <w:right w:val="single" w:sz="4" w:space="0" w:color="000000"/>
            </w:tcBorders>
          </w:tcPr>
          <w:p>
            <w:pPr/>
          </w:p>
        </w:tc>
        <w:tc>
          <w:tcPr>
            <w:tcW w:w="3867" w:type="dxa"/>
            <w:tcBorders>
              <w:top w:val="single" w:sz="4" w:space="0" w:color="000000"/>
              <w:left w:val="single" w:sz="4" w:space="0" w:color="000000"/>
              <w:right w:val="single" w:sz="4" w:space="0" w:color="000000"/>
            </w:tcBorders>
          </w:tcPr>
          <w:p>
            <w:pPr>
              <w:pStyle w:val="TableParagraph"/>
              <w:spacing w:before="62"/>
              <w:ind w:left="67"/>
              <w:rPr>
                <w:b/>
                <w:sz w:val="20"/>
              </w:rPr>
            </w:pPr>
            <w:r>
              <w:rPr>
                <w:b/>
                <w:sz w:val="20"/>
              </w:rPr>
              <w:t>Total</w:t>
            </w:r>
          </w:p>
        </w:tc>
        <w:tc>
          <w:tcPr>
            <w:tcW w:w="2146" w:type="dxa"/>
            <w:tcBorders>
              <w:top w:val="single" w:sz="4" w:space="0" w:color="000000"/>
              <w:left w:val="single" w:sz="4" w:space="0" w:color="000000"/>
            </w:tcBorders>
          </w:tcPr>
          <w:p>
            <w:pPr>
              <w:pStyle w:val="TableParagraph"/>
              <w:spacing w:before="62"/>
              <w:ind w:left="472" w:right="467"/>
              <w:jc w:val="center"/>
              <w:rPr>
                <w:b/>
                <w:sz w:val="20"/>
              </w:rPr>
            </w:pPr>
            <w:r>
              <w:rPr>
                <w:b/>
                <w:sz w:val="20"/>
              </w:rPr>
              <w:t>19</w:t>
            </w:r>
          </w:p>
        </w:tc>
      </w:tr>
    </w:tbl>
    <w:p>
      <w:pPr>
        <w:pStyle w:val="BodyText"/>
        <w:rPr>
          <w:b/>
          <w:sz w:val="24"/>
        </w:rPr>
      </w:pPr>
    </w:p>
    <w:p>
      <w:pPr>
        <w:pStyle w:val="BodyText"/>
        <w:spacing w:before="4"/>
        <w:rPr>
          <w:b/>
        </w:rPr>
      </w:pPr>
    </w:p>
    <w:p>
      <w:pPr>
        <w:pStyle w:val="Heading2"/>
        <w:ind w:left="868" w:firstLine="0"/>
      </w:pPr>
      <w:bookmarkStart w:name="_bookmark25" w:id="41"/>
      <w:bookmarkEnd w:id="41"/>
      <w:r>
        <w:rPr>
          <w:b w:val="0"/>
        </w:rPr>
      </w:r>
      <w:r>
        <w:rPr/>
        <w:t>3.2    Types of Businesses Impacted</w:t>
      </w:r>
    </w:p>
    <w:p>
      <w:pPr>
        <w:pStyle w:val="ListParagraph"/>
        <w:numPr>
          <w:ilvl w:val="0"/>
          <w:numId w:val="14"/>
        </w:numPr>
        <w:tabs>
          <w:tab w:pos="1589" w:val="left" w:leader="none"/>
        </w:tabs>
        <w:spacing w:line="276" w:lineRule="auto" w:before="160" w:after="0"/>
        <w:ind w:left="868" w:right="150" w:firstLine="0"/>
        <w:jc w:val="both"/>
        <w:rPr>
          <w:sz w:val="22"/>
        </w:rPr>
      </w:pPr>
      <w:r>
        <w:rPr>
          <w:sz w:val="22"/>
        </w:rPr>
        <w:t>During the survey, 82 businesses are found within the ROW. A total of 38 mobile carts, selling different types of materials including dry fruit, fresh juice, fruit chat, second hand bags, shoes, sun glasses, helmet etc., 23 temporary Kiosks selling Beatle leaves, snuff,</w:t>
      </w:r>
      <w:r>
        <w:rPr>
          <w:spacing w:val="-6"/>
          <w:sz w:val="22"/>
        </w:rPr>
        <w:t> </w:t>
      </w:r>
      <w:r>
        <w:rPr>
          <w:sz w:val="22"/>
        </w:rPr>
        <w:t>biscuits,</w:t>
      </w:r>
      <w:r>
        <w:rPr>
          <w:spacing w:val="-8"/>
          <w:sz w:val="22"/>
        </w:rPr>
        <w:t> </w:t>
      </w:r>
      <w:r>
        <w:rPr>
          <w:sz w:val="22"/>
        </w:rPr>
        <w:t>toffees</w:t>
      </w:r>
      <w:r>
        <w:rPr>
          <w:spacing w:val="-6"/>
          <w:sz w:val="22"/>
        </w:rPr>
        <w:t> </w:t>
      </w:r>
      <w:r>
        <w:rPr>
          <w:sz w:val="22"/>
        </w:rPr>
        <w:t>pan,</w:t>
      </w:r>
      <w:r>
        <w:rPr>
          <w:spacing w:val="-6"/>
          <w:sz w:val="22"/>
        </w:rPr>
        <w:t> </w:t>
      </w:r>
      <w:r>
        <w:rPr>
          <w:sz w:val="22"/>
        </w:rPr>
        <w:t>cigarettes</w:t>
      </w:r>
      <w:r>
        <w:rPr>
          <w:spacing w:val="-7"/>
          <w:sz w:val="22"/>
        </w:rPr>
        <w:t> </w:t>
      </w:r>
      <w:r>
        <w:rPr>
          <w:sz w:val="22"/>
        </w:rPr>
        <w:t>etc.,</w:t>
      </w:r>
      <w:r>
        <w:rPr>
          <w:spacing w:val="-8"/>
          <w:sz w:val="22"/>
        </w:rPr>
        <w:t> </w:t>
      </w:r>
      <w:r>
        <w:rPr>
          <w:sz w:val="22"/>
        </w:rPr>
        <w:t>14</w:t>
      </w:r>
      <w:r>
        <w:rPr>
          <w:spacing w:val="-8"/>
          <w:sz w:val="22"/>
        </w:rPr>
        <w:t> </w:t>
      </w:r>
      <w:r>
        <w:rPr>
          <w:sz w:val="22"/>
        </w:rPr>
        <w:t>shops</w:t>
      </w:r>
      <w:r>
        <w:rPr>
          <w:spacing w:val="-7"/>
          <w:sz w:val="22"/>
        </w:rPr>
        <w:t> </w:t>
      </w:r>
      <w:r>
        <w:rPr>
          <w:sz w:val="22"/>
        </w:rPr>
        <w:t>display</w:t>
      </w:r>
      <w:r>
        <w:rPr>
          <w:spacing w:val="-10"/>
          <w:sz w:val="22"/>
        </w:rPr>
        <w:t> </w:t>
      </w:r>
      <w:r>
        <w:rPr>
          <w:sz w:val="22"/>
        </w:rPr>
        <w:t>material</w:t>
      </w:r>
      <w:r>
        <w:rPr>
          <w:spacing w:val="-8"/>
          <w:sz w:val="22"/>
        </w:rPr>
        <w:t> </w:t>
      </w:r>
      <w:r>
        <w:rPr>
          <w:sz w:val="22"/>
        </w:rPr>
        <w:t>such</w:t>
      </w:r>
      <w:r>
        <w:rPr>
          <w:spacing w:val="-10"/>
          <w:sz w:val="22"/>
        </w:rPr>
        <w:t> </w:t>
      </w:r>
      <w:r>
        <w:rPr>
          <w:sz w:val="22"/>
        </w:rPr>
        <w:t>as</w:t>
      </w:r>
      <w:r>
        <w:rPr>
          <w:spacing w:val="-7"/>
          <w:sz w:val="22"/>
        </w:rPr>
        <w:t> </w:t>
      </w:r>
      <w:r>
        <w:rPr>
          <w:sz w:val="22"/>
        </w:rPr>
        <w:t>blinds,</w:t>
      </w:r>
      <w:r>
        <w:rPr>
          <w:spacing w:val="-9"/>
          <w:sz w:val="22"/>
        </w:rPr>
        <w:t> </w:t>
      </w:r>
      <w:r>
        <w:rPr>
          <w:sz w:val="22"/>
        </w:rPr>
        <w:t>flower shop, construction material, wood store etc. Seven tuck shops are also found under overhead</w:t>
      </w:r>
      <w:r>
        <w:rPr>
          <w:spacing w:val="-8"/>
          <w:sz w:val="22"/>
        </w:rPr>
        <w:t> </w:t>
      </w:r>
      <w:r>
        <w:rPr>
          <w:sz w:val="22"/>
        </w:rPr>
        <w:t>bridge</w:t>
      </w:r>
      <w:r>
        <w:rPr>
          <w:spacing w:val="-10"/>
          <w:sz w:val="22"/>
        </w:rPr>
        <w:t> </w:t>
      </w:r>
      <w:r>
        <w:rPr>
          <w:sz w:val="22"/>
        </w:rPr>
        <w:t>and</w:t>
      </w:r>
      <w:r>
        <w:rPr>
          <w:spacing w:val="-8"/>
          <w:sz w:val="22"/>
        </w:rPr>
        <w:t> </w:t>
      </w:r>
      <w:r>
        <w:rPr>
          <w:sz w:val="22"/>
        </w:rPr>
        <w:t>13</w:t>
      </w:r>
      <w:r>
        <w:rPr>
          <w:spacing w:val="-13"/>
          <w:sz w:val="22"/>
        </w:rPr>
        <w:t> </w:t>
      </w:r>
      <w:r>
        <w:rPr>
          <w:sz w:val="22"/>
        </w:rPr>
        <w:t>other</w:t>
      </w:r>
      <w:r>
        <w:rPr>
          <w:spacing w:val="-7"/>
          <w:sz w:val="22"/>
        </w:rPr>
        <w:t> </w:t>
      </w:r>
      <w:r>
        <w:rPr>
          <w:sz w:val="22"/>
        </w:rPr>
        <w:t>business</w:t>
      </w:r>
      <w:r>
        <w:rPr>
          <w:spacing w:val="-7"/>
          <w:sz w:val="22"/>
        </w:rPr>
        <w:t> </w:t>
      </w:r>
      <w:r>
        <w:rPr>
          <w:sz w:val="22"/>
        </w:rPr>
        <w:t>selling</w:t>
      </w:r>
      <w:r>
        <w:rPr>
          <w:spacing w:val="-8"/>
          <w:sz w:val="22"/>
        </w:rPr>
        <w:t> </w:t>
      </w:r>
      <w:r>
        <w:rPr>
          <w:sz w:val="22"/>
        </w:rPr>
        <w:t>shoes,</w:t>
      </w:r>
      <w:r>
        <w:rPr>
          <w:spacing w:val="-7"/>
          <w:sz w:val="22"/>
        </w:rPr>
        <w:t> </w:t>
      </w:r>
      <w:r>
        <w:rPr>
          <w:sz w:val="22"/>
        </w:rPr>
        <w:t>and</w:t>
      </w:r>
      <w:r>
        <w:rPr>
          <w:spacing w:val="-10"/>
          <w:sz w:val="22"/>
        </w:rPr>
        <w:t> </w:t>
      </w:r>
      <w:r>
        <w:rPr>
          <w:sz w:val="22"/>
        </w:rPr>
        <w:t>second</w:t>
      </w:r>
      <w:r>
        <w:rPr>
          <w:spacing w:val="-8"/>
          <w:sz w:val="22"/>
        </w:rPr>
        <w:t> </w:t>
      </w:r>
      <w:r>
        <w:rPr>
          <w:sz w:val="22"/>
        </w:rPr>
        <w:t>hand</w:t>
      </w:r>
      <w:r>
        <w:rPr>
          <w:spacing w:val="-10"/>
          <w:sz w:val="22"/>
        </w:rPr>
        <w:t> </w:t>
      </w:r>
      <w:r>
        <w:rPr>
          <w:sz w:val="22"/>
        </w:rPr>
        <w:t>mobile</w:t>
      </w:r>
      <w:r>
        <w:rPr>
          <w:spacing w:val="-8"/>
          <w:sz w:val="22"/>
        </w:rPr>
        <w:t> </w:t>
      </w:r>
      <w:r>
        <w:rPr>
          <w:sz w:val="22"/>
        </w:rPr>
        <w:t>on</w:t>
      </w:r>
      <w:r>
        <w:rPr>
          <w:spacing w:val="-10"/>
          <w:sz w:val="22"/>
        </w:rPr>
        <w:t> </w:t>
      </w:r>
      <w:r>
        <w:rPr>
          <w:sz w:val="22"/>
        </w:rPr>
        <w:t>footpath are found within the </w:t>
      </w:r>
      <w:r>
        <w:rPr>
          <w:spacing w:val="-2"/>
          <w:sz w:val="22"/>
        </w:rPr>
        <w:t>ROW </w:t>
      </w:r>
      <w:r>
        <w:rPr>
          <w:sz w:val="22"/>
        </w:rPr>
        <w:t>(</w:t>
      </w:r>
      <w:r>
        <w:rPr>
          <w:b/>
          <w:sz w:val="22"/>
        </w:rPr>
        <w:t>Figure</w:t>
      </w:r>
      <w:r>
        <w:rPr>
          <w:b/>
          <w:spacing w:val="-6"/>
          <w:sz w:val="22"/>
        </w:rPr>
        <w:t> </w:t>
      </w:r>
      <w:r>
        <w:rPr>
          <w:b/>
          <w:sz w:val="22"/>
        </w:rPr>
        <w:t>2</w:t>
      </w:r>
      <w:r>
        <w:rPr>
          <w:sz w:val="22"/>
        </w:rPr>
        <w:t>).</w:t>
      </w:r>
    </w:p>
    <w:p>
      <w:pPr>
        <w:spacing w:after="0" w:line="276" w:lineRule="auto"/>
        <w:jc w:val="both"/>
        <w:rPr>
          <w:sz w:val="22"/>
        </w:rPr>
        <w:sectPr>
          <w:pgSz w:w="11910" w:h="16840"/>
          <w:pgMar w:header="583" w:footer="575" w:top="840" w:bottom="760" w:left="860" w:right="1280"/>
        </w:sectPr>
      </w:pPr>
    </w:p>
    <w:p>
      <w:pPr>
        <w:pStyle w:val="BodyText"/>
        <w:rPr>
          <w:sz w:val="20"/>
        </w:rPr>
      </w:pPr>
    </w:p>
    <w:p>
      <w:pPr>
        <w:pStyle w:val="BodyText"/>
        <w:rPr>
          <w:sz w:val="20"/>
        </w:rPr>
      </w:pPr>
    </w:p>
    <w:p>
      <w:pPr>
        <w:pStyle w:val="BodyText"/>
        <w:rPr>
          <w:sz w:val="20"/>
        </w:rPr>
      </w:pPr>
    </w:p>
    <w:p>
      <w:pPr>
        <w:spacing w:after="0"/>
        <w:rPr>
          <w:sz w:val="20"/>
        </w:rPr>
        <w:sectPr>
          <w:pgSz w:w="11910" w:h="16840"/>
          <w:pgMar w:header="583" w:footer="575" w:top="840" w:bottom="760" w:left="860" w:right="1280"/>
        </w:sectPr>
      </w:pPr>
    </w:p>
    <w:p>
      <w:pPr>
        <w:pStyle w:val="BodyText"/>
        <w:rPr>
          <w:sz w:val="18"/>
        </w:rPr>
      </w:pPr>
    </w:p>
    <w:p>
      <w:pPr>
        <w:pStyle w:val="BodyText"/>
        <w:rPr>
          <w:sz w:val="18"/>
        </w:rPr>
      </w:pPr>
    </w:p>
    <w:p>
      <w:pPr>
        <w:pStyle w:val="BodyText"/>
        <w:rPr>
          <w:sz w:val="18"/>
        </w:rPr>
      </w:pPr>
    </w:p>
    <w:p>
      <w:pPr>
        <w:pStyle w:val="BodyText"/>
        <w:spacing w:before="3"/>
        <w:rPr>
          <w:sz w:val="20"/>
        </w:rPr>
      </w:pPr>
    </w:p>
    <w:p>
      <w:pPr>
        <w:spacing w:before="1"/>
        <w:ind w:left="2498" w:right="0" w:firstLine="1"/>
        <w:jc w:val="center"/>
        <w:rPr>
          <w:sz w:val="16"/>
        </w:rPr>
      </w:pPr>
      <w:r>
        <w:rPr>
          <w:sz w:val="16"/>
        </w:rPr>
        <w:t>Shops Display </w:t>
      </w:r>
      <w:r>
        <w:rPr>
          <w:spacing w:val="-1"/>
          <w:sz w:val="16"/>
        </w:rPr>
        <w:t>Material </w:t>
      </w:r>
      <w:r>
        <w:rPr>
          <w:sz w:val="16"/>
        </w:rPr>
        <w:t>14</w:t>
      </w:r>
    </w:p>
    <w:p>
      <w:pPr>
        <w:pStyle w:val="BodyText"/>
        <w:spacing w:before="8"/>
        <w:rPr>
          <w:sz w:val="18"/>
        </w:rPr>
      </w:pPr>
      <w:r>
        <w:rPr/>
        <w:br w:type="column"/>
      </w:r>
      <w:r>
        <w:rPr>
          <w:sz w:val="18"/>
        </w:rPr>
      </w:r>
    </w:p>
    <w:p>
      <w:pPr>
        <w:spacing w:before="0"/>
        <w:ind w:left="693" w:right="0" w:firstLine="0"/>
        <w:jc w:val="center"/>
        <w:rPr>
          <w:sz w:val="16"/>
        </w:rPr>
      </w:pPr>
      <w:r>
        <w:rPr>
          <w:sz w:val="16"/>
        </w:rPr>
        <w:t>Tuck Shops</w:t>
      </w:r>
      <w:r>
        <w:rPr>
          <w:w w:val="100"/>
          <w:sz w:val="16"/>
        </w:rPr>
        <w:t> </w:t>
      </w:r>
      <w:r>
        <w:rPr>
          <w:sz w:val="16"/>
        </w:rPr>
        <w:t>under Overhead Bridge</w:t>
      </w:r>
    </w:p>
    <w:p>
      <w:pPr>
        <w:spacing w:before="1"/>
        <w:ind w:left="0" w:right="374" w:firstLine="0"/>
        <w:jc w:val="right"/>
        <w:rPr>
          <w:sz w:val="16"/>
        </w:rPr>
      </w:pPr>
      <w:r>
        <w:rPr/>
        <w:pict>
          <v:group style="position:absolute;margin-left:174.479996pt;margin-top:-7.711103pt;width:224.7pt;height:156.65pt;mso-position-horizontal-relative:page;mso-position-vertical-relative:paragraph;z-index:-309184" coordorigin="3490,-154" coordsize="4494,3133">
            <v:shape style="position:absolute;left:3490;top:-126;width:4494;height:3104" type="#_x0000_t75" stroked="false">
              <v:imagedata r:id="rId10" o:title=""/>
            </v:shape>
            <v:shape style="position:absolute;left:3957;top:-147;width:3131;height:613" coordorigin="3957,-147" coordsize="3131,613" path="m6532,212l6998,-147,7088,-147m4151,466l4046,423,3957,423e" filled="false" stroked="true" strokeweight=".75pt" strokecolor="#000000">
              <v:path arrowok="t"/>
              <v:stroke dashstyle="solid"/>
            </v:shape>
            <w10:wrap type="none"/>
          </v:group>
        </w:pict>
      </w:r>
      <w:r>
        <w:rPr>
          <w:w w:val="100"/>
          <w:sz w:val="16"/>
        </w:rPr>
        <w:t>7</w:t>
      </w:r>
    </w:p>
    <w:p>
      <w:pPr>
        <w:pStyle w:val="BodyText"/>
        <w:rPr>
          <w:sz w:val="18"/>
        </w:rPr>
      </w:pPr>
      <w:r>
        <w:rPr/>
        <w:br w:type="column"/>
      </w:r>
      <w:r>
        <w:rPr>
          <w:sz w:val="18"/>
        </w:rPr>
      </w:r>
    </w:p>
    <w:p>
      <w:pPr>
        <w:pStyle w:val="BodyText"/>
        <w:spacing w:before="9"/>
      </w:pPr>
    </w:p>
    <w:p>
      <w:pPr>
        <w:spacing w:before="0"/>
        <w:ind w:left="1448" w:right="2752" w:firstLine="0"/>
        <w:jc w:val="center"/>
        <w:rPr>
          <w:sz w:val="16"/>
        </w:rPr>
      </w:pPr>
      <w:r>
        <w:rPr>
          <w:sz w:val="16"/>
        </w:rPr>
        <w:t>Business on Footpath</w:t>
      </w:r>
    </w:p>
    <w:p>
      <w:pPr>
        <w:spacing w:before="0"/>
        <w:ind w:left="1448" w:right="2748" w:firstLine="0"/>
        <w:jc w:val="center"/>
        <w:rPr>
          <w:sz w:val="16"/>
        </w:rPr>
      </w:pPr>
      <w:r>
        <w:rPr>
          <w:sz w:val="16"/>
        </w:rPr>
        <w:t>13</w:t>
      </w:r>
    </w:p>
    <w:p>
      <w:pPr>
        <w:pStyle w:val="BodyText"/>
        <w:rPr>
          <w:sz w:val="18"/>
        </w:rPr>
      </w:pPr>
    </w:p>
    <w:p>
      <w:pPr>
        <w:pStyle w:val="BodyText"/>
        <w:rPr>
          <w:sz w:val="18"/>
        </w:rPr>
      </w:pPr>
    </w:p>
    <w:p>
      <w:pPr>
        <w:pStyle w:val="BodyText"/>
        <w:rPr>
          <w:sz w:val="18"/>
        </w:rPr>
      </w:pPr>
    </w:p>
    <w:p>
      <w:pPr>
        <w:pStyle w:val="BodyText"/>
        <w:spacing w:before="4"/>
        <w:rPr>
          <w:sz w:val="16"/>
        </w:rPr>
      </w:pPr>
    </w:p>
    <w:p>
      <w:pPr>
        <w:spacing w:before="0"/>
        <w:ind w:left="1348" w:right="2757" w:firstLine="0"/>
        <w:jc w:val="center"/>
        <w:rPr>
          <w:sz w:val="16"/>
        </w:rPr>
      </w:pPr>
      <w:r>
        <w:rPr>
          <w:sz w:val="16"/>
        </w:rPr>
        <w:t>Temporary Kiosks</w:t>
      </w:r>
    </w:p>
    <w:p>
      <w:pPr>
        <w:spacing w:before="0"/>
        <w:ind w:left="1350" w:right="2757" w:firstLine="0"/>
        <w:jc w:val="center"/>
        <w:rPr>
          <w:sz w:val="16"/>
        </w:rPr>
      </w:pPr>
      <w:r>
        <w:rPr>
          <w:sz w:val="16"/>
        </w:rPr>
        <w:t>23</w:t>
      </w:r>
    </w:p>
    <w:p>
      <w:pPr>
        <w:spacing w:after="0"/>
        <w:jc w:val="center"/>
        <w:rPr>
          <w:sz w:val="16"/>
        </w:rPr>
        <w:sectPr>
          <w:type w:val="continuous"/>
          <w:pgSz w:w="11910" w:h="16840"/>
          <w:pgMar w:top="800" w:bottom="280" w:left="860" w:right="1280"/>
          <w:cols w:num="3" w:equalWidth="0">
            <w:col w:w="3067" w:space="40"/>
            <w:col w:w="1539" w:space="40"/>
            <w:col w:w="5084"/>
          </w:cols>
        </w:sectPr>
      </w:pPr>
    </w:p>
    <w:p>
      <w:pPr>
        <w:pStyle w:val="BodyText"/>
        <w:spacing w:before="7"/>
        <w:rPr>
          <w:sz w:val="9"/>
        </w:rPr>
      </w:pPr>
    </w:p>
    <w:p>
      <w:pPr>
        <w:spacing w:before="96"/>
        <w:ind w:left="3690" w:right="5259" w:firstLine="0"/>
        <w:jc w:val="center"/>
        <w:rPr>
          <w:sz w:val="16"/>
        </w:rPr>
      </w:pPr>
      <w:r>
        <w:rPr>
          <w:sz w:val="16"/>
        </w:rPr>
        <w:t>Mobile Cart 38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3"/>
        <w:spacing w:before="209"/>
        <w:ind w:left="3770"/>
        <w:jc w:val="left"/>
      </w:pPr>
      <w:bookmarkStart w:name="_bookmark26" w:id="42"/>
      <w:bookmarkEnd w:id="42"/>
      <w:r>
        <w:rPr>
          <w:b w:val="0"/>
        </w:rPr>
      </w:r>
      <w:r>
        <w:rPr>
          <w:u w:val="thick"/>
        </w:rPr>
        <w:t>Figure 2: Types of Business</w:t>
      </w:r>
    </w:p>
    <w:p>
      <w:pPr>
        <w:pStyle w:val="ListParagraph"/>
        <w:numPr>
          <w:ilvl w:val="0"/>
          <w:numId w:val="14"/>
        </w:numPr>
        <w:tabs>
          <w:tab w:pos="1589" w:val="left" w:leader="none"/>
        </w:tabs>
        <w:spacing w:line="276" w:lineRule="auto" w:before="121" w:after="0"/>
        <w:ind w:left="868" w:right="152" w:firstLine="0"/>
        <w:jc w:val="both"/>
        <w:rPr>
          <w:sz w:val="22"/>
        </w:rPr>
      </w:pPr>
      <w:r>
        <w:rPr>
          <w:sz w:val="22"/>
        </w:rPr>
        <w:t>The informal vendors using wooden carts or display stands and have been doing businesses for many years. They have faced temporary dislocation in the past due to time to time road rehabilitation at this location and will be dislocated again due to the Project construction. The duration of impact during construction will depend on their success of availing alternative business locations in the</w:t>
      </w:r>
      <w:r>
        <w:rPr>
          <w:spacing w:val="-22"/>
          <w:sz w:val="22"/>
        </w:rPr>
        <w:t> </w:t>
      </w:r>
      <w:r>
        <w:rPr>
          <w:sz w:val="22"/>
        </w:rPr>
        <w:t>vicinity.</w:t>
      </w:r>
    </w:p>
    <w:p>
      <w:pPr>
        <w:pStyle w:val="ListParagraph"/>
        <w:numPr>
          <w:ilvl w:val="0"/>
          <w:numId w:val="14"/>
        </w:numPr>
        <w:tabs>
          <w:tab w:pos="1589" w:val="left" w:leader="none"/>
        </w:tabs>
        <w:spacing w:line="276" w:lineRule="auto" w:before="120" w:after="0"/>
        <w:ind w:left="868" w:right="153" w:firstLine="0"/>
        <w:jc w:val="both"/>
        <w:rPr>
          <w:sz w:val="22"/>
        </w:rPr>
      </w:pPr>
      <w:r>
        <w:rPr>
          <w:sz w:val="22"/>
        </w:rPr>
        <w:t>There will be no impact on structures used by informal vendors; they have set up moveable</w:t>
      </w:r>
      <w:r>
        <w:rPr>
          <w:spacing w:val="-8"/>
          <w:sz w:val="22"/>
        </w:rPr>
        <w:t> </w:t>
      </w:r>
      <w:r>
        <w:rPr>
          <w:sz w:val="22"/>
        </w:rPr>
        <w:t>temporary</w:t>
      </w:r>
      <w:r>
        <w:rPr>
          <w:spacing w:val="-9"/>
          <w:sz w:val="22"/>
        </w:rPr>
        <w:t> </w:t>
      </w:r>
      <w:r>
        <w:rPr>
          <w:sz w:val="22"/>
        </w:rPr>
        <w:t>structures</w:t>
      </w:r>
      <w:r>
        <w:rPr>
          <w:spacing w:val="-12"/>
          <w:sz w:val="22"/>
        </w:rPr>
        <w:t> </w:t>
      </w:r>
      <w:r>
        <w:rPr>
          <w:sz w:val="22"/>
        </w:rPr>
        <w:t>for</w:t>
      </w:r>
      <w:r>
        <w:rPr>
          <w:spacing w:val="-9"/>
          <w:sz w:val="22"/>
        </w:rPr>
        <w:t> </w:t>
      </w:r>
      <w:r>
        <w:rPr>
          <w:sz w:val="22"/>
        </w:rPr>
        <w:t>their</w:t>
      </w:r>
      <w:r>
        <w:rPr>
          <w:spacing w:val="-9"/>
          <w:sz w:val="22"/>
        </w:rPr>
        <w:t> </w:t>
      </w:r>
      <w:r>
        <w:rPr>
          <w:sz w:val="22"/>
        </w:rPr>
        <w:t>micro-enterprises</w:t>
      </w:r>
      <w:r>
        <w:rPr>
          <w:spacing w:val="-10"/>
          <w:sz w:val="22"/>
        </w:rPr>
        <w:t> </w:t>
      </w:r>
      <w:r>
        <w:rPr>
          <w:sz w:val="22"/>
        </w:rPr>
        <w:t>in</w:t>
      </w:r>
      <w:r>
        <w:rPr>
          <w:spacing w:val="-8"/>
          <w:sz w:val="22"/>
        </w:rPr>
        <w:t> </w:t>
      </w:r>
      <w:r>
        <w:rPr>
          <w:sz w:val="22"/>
        </w:rPr>
        <w:t>the</w:t>
      </w:r>
      <w:r>
        <w:rPr>
          <w:spacing w:val="-10"/>
          <w:sz w:val="22"/>
        </w:rPr>
        <w:t> </w:t>
      </w:r>
      <w:r>
        <w:rPr>
          <w:sz w:val="22"/>
        </w:rPr>
        <w:t>ROW.</w:t>
      </w:r>
      <w:r>
        <w:rPr>
          <w:spacing w:val="-11"/>
          <w:sz w:val="22"/>
        </w:rPr>
        <w:t> </w:t>
      </w:r>
      <w:r>
        <w:rPr>
          <w:sz w:val="22"/>
        </w:rPr>
        <w:t>Vendors</w:t>
      </w:r>
      <w:r>
        <w:rPr>
          <w:spacing w:val="-7"/>
          <w:sz w:val="22"/>
        </w:rPr>
        <w:t> </w:t>
      </w:r>
      <w:r>
        <w:rPr>
          <w:sz w:val="22"/>
        </w:rPr>
        <w:t>do</w:t>
      </w:r>
      <w:r>
        <w:rPr>
          <w:spacing w:val="-10"/>
          <w:sz w:val="22"/>
        </w:rPr>
        <w:t> </w:t>
      </w:r>
      <w:r>
        <w:rPr>
          <w:sz w:val="22"/>
        </w:rPr>
        <w:t>not</w:t>
      </w:r>
      <w:r>
        <w:rPr>
          <w:spacing w:val="-9"/>
          <w:sz w:val="22"/>
        </w:rPr>
        <w:t> </w:t>
      </w:r>
      <w:r>
        <w:rPr>
          <w:sz w:val="22"/>
        </w:rPr>
        <w:t>pay rent,</w:t>
      </w:r>
      <w:r>
        <w:rPr>
          <w:spacing w:val="-4"/>
          <w:sz w:val="22"/>
        </w:rPr>
        <w:t> </w:t>
      </w:r>
      <w:r>
        <w:rPr>
          <w:sz w:val="22"/>
        </w:rPr>
        <w:t>however,</w:t>
      </w:r>
      <w:r>
        <w:rPr>
          <w:spacing w:val="-3"/>
          <w:sz w:val="22"/>
        </w:rPr>
        <w:t> </w:t>
      </w:r>
      <w:r>
        <w:rPr>
          <w:sz w:val="22"/>
        </w:rPr>
        <w:t>some</w:t>
      </w:r>
      <w:r>
        <w:rPr>
          <w:spacing w:val="-5"/>
          <w:sz w:val="22"/>
        </w:rPr>
        <w:t> </w:t>
      </w:r>
      <w:r>
        <w:rPr>
          <w:sz w:val="22"/>
        </w:rPr>
        <w:t>pay</w:t>
      </w:r>
      <w:r>
        <w:rPr>
          <w:spacing w:val="-7"/>
          <w:sz w:val="22"/>
        </w:rPr>
        <w:t> </w:t>
      </w:r>
      <w:r>
        <w:rPr>
          <w:sz w:val="22"/>
        </w:rPr>
        <w:t>extortion</w:t>
      </w:r>
      <w:r>
        <w:rPr>
          <w:spacing w:val="-6"/>
          <w:sz w:val="22"/>
        </w:rPr>
        <w:t> </w:t>
      </w:r>
      <w:r>
        <w:rPr>
          <w:sz w:val="22"/>
        </w:rPr>
        <w:t>money</w:t>
      </w:r>
      <w:r>
        <w:rPr>
          <w:spacing w:val="-8"/>
          <w:sz w:val="22"/>
        </w:rPr>
        <w:t> </w:t>
      </w:r>
      <w:r>
        <w:rPr>
          <w:sz w:val="22"/>
        </w:rPr>
        <w:t>occasionally</w:t>
      </w:r>
      <w:r>
        <w:rPr>
          <w:spacing w:val="-7"/>
          <w:sz w:val="22"/>
        </w:rPr>
        <w:t> </w:t>
      </w:r>
      <w:r>
        <w:rPr>
          <w:sz w:val="22"/>
        </w:rPr>
        <w:t>for</w:t>
      </w:r>
      <w:r>
        <w:rPr>
          <w:spacing w:val="-4"/>
          <w:sz w:val="22"/>
        </w:rPr>
        <w:t> </w:t>
      </w:r>
      <w:r>
        <w:rPr>
          <w:sz w:val="22"/>
        </w:rPr>
        <w:t>utilization</w:t>
      </w:r>
      <w:r>
        <w:rPr>
          <w:spacing w:val="-5"/>
          <w:sz w:val="22"/>
        </w:rPr>
        <w:t> </w:t>
      </w:r>
      <w:r>
        <w:rPr>
          <w:sz w:val="22"/>
        </w:rPr>
        <w:t>of</w:t>
      </w:r>
      <w:r>
        <w:rPr>
          <w:spacing w:val="-5"/>
          <w:sz w:val="22"/>
        </w:rPr>
        <w:t> </w:t>
      </w:r>
      <w:r>
        <w:rPr>
          <w:sz w:val="22"/>
        </w:rPr>
        <w:t>spaces</w:t>
      </w:r>
      <w:r>
        <w:rPr>
          <w:spacing w:val="-5"/>
          <w:sz w:val="22"/>
        </w:rPr>
        <w:t> </w:t>
      </w:r>
      <w:r>
        <w:rPr>
          <w:sz w:val="22"/>
        </w:rPr>
        <w:t>in</w:t>
      </w:r>
      <w:r>
        <w:rPr>
          <w:spacing w:val="-5"/>
          <w:sz w:val="22"/>
        </w:rPr>
        <w:t> </w:t>
      </w:r>
      <w:r>
        <w:rPr>
          <w:sz w:val="22"/>
        </w:rPr>
        <w:t>the</w:t>
      </w:r>
      <w:r>
        <w:rPr>
          <w:spacing w:val="-6"/>
          <w:sz w:val="22"/>
        </w:rPr>
        <w:t> </w:t>
      </w:r>
      <w:r>
        <w:rPr>
          <w:spacing w:val="-3"/>
          <w:sz w:val="22"/>
        </w:rPr>
        <w:t>ROW </w:t>
      </w:r>
      <w:r>
        <w:rPr>
          <w:sz w:val="22"/>
        </w:rPr>
        <w:t>for their businesses. Most of the vendors take away their stock and vending infrastructure at the end of the business day. Because of the adjustment with fellow vendors and the availability of customers, every vendor occupies same space on the next day. All vendors work as independent owners of their</w:t>
      </w:r>
      <w:r>
        <w:rPr>
          <w:spacing w:val="-10"/>
          <w:sz w:val="22"/>
        </w:rPr>
        <w:t> </w:t>
      </w:r>
      <w:r>
        <w:rPr>
          <w:sz w:val="22"/>
        </w:rPr>
        <w:t>businesses.</w:t>
      </w:r>
    </w:p>
    <w:p>
      <w:pPr>
        <w:pStyle w:val="BodyText"/>
        <w:spacing w:before="120"/>
        <w:ind w:left="868"/>
        <w:jc w:val="both"/>
      </w:pPr>
      <w:r>
        <w:rPr>
          <w:w w:val="100"/>
        </w:rPr>
        <w:t>.</w:t>
      </w:r>
    </w:p>
    <w:p>
      <w:pPr>
        <w:pStyle w:val="Heading3"/>
        <w:spacing w:before="159"/>
        <w:ind w:left="2892"/>
        <w:jc w:val="left"/>
      </w:pPr>
      <w:r>
        <w:rPr/>
        <w:drawing>
          <wp:anchor distT="0" distB="0" distL="0" distR="0" allowOverlap="1" layoutInCell="1" locked="0" behindDoc="1" simplePos="0" relativeHeight="268126295">
            <wp:simplePos x="0" y="0"/>
            <wp:positionH relativeFrom="page">
              <wp:posOffset>1097280</wp:posOffset>
            </wp:positionH>
            <wp:positionV relativeFrom="paragraph">
              <wp:posOffset>336268</wp:posOffset>
            </wp:positionV>
            <wp:extent cx="2684614" cy="2028444"/>
            <wp:effectExtent l="0" t="0" r="0" b="0"/>
            <wp:wrapNone/>
            <wp:docPr id="5" name="image4.jpeg" descr=""/>
            <wp:cNvGraphicFramePr>
              <a:graphicFrameLocks noChangeAspect="1"/>
            </wp:cNvGraphicFramePr>
            <a:graphic>
              <a:graphicData uri="http://schemas.openxmlformats.org/drawingml/2006/picture">
                <pic:pic>
                  <pic:nvPicPr>
                    <pic:cNvPr id="6" name="image4.jpeg"/>
                    <pic:cNvPicPr/>
                  </pic:nvPicPr>
                  <pic:blipFill>
                    <a:blip r:embed="rId11" cstate="print"/>
                    <a:stretch>
                      <a:fillRect/>
                    </a:stretch>
                  </pic:blipFill>
                  <pic:spPr>
                    <a:xfrm>
                      <a:off x="0" y="0"/>
                      <a:ext cx="2684614" cy="2028444"/>
                    </a:xfrm>
                    <a:prstGeom prst="rect">
                      <a:avLst/>
                    </a:prstGeom>
                  </pic:spPr>
                </pic:pic>
              </a:graphicData>
            </a:graphic>
          </wp:anchor>
        </w:drawing>
      </w:r>
      <w:r>
        <w:rPr/>
        <w:drawing>
          <wp:anchor distT="0" distB="0" distL="0" distR="0" allowOverlap="1" layoutInCell="1" locked="0" behindDoc="1" simplePos="0" relativeHeight="268126319">
            <wp:simplePos x="0" y="0"/>
            <wp:positionH relativeFrom="page">
              <wp:posOffset>3988308</wp:posOffset>
            </wp:positionH>
            <wp:positionV relativeFrom="paragraph">
              <wp:posOffset>355191</wp:posOffset>
            </wp:positionV>
            <wp:extent cx="2679040" cy="2007489"/>
            <wp:effectExtent l="0" t="0" r="0" b="0"/>
            <wp:wrapNone/>
            <wp:docPr id="7" name="image5.jpeg" descr=""/>
            <wp:cNvGraphicFramePr>
              <a:graphicFrameLocks noChangeAspect="1"/>
            </wp:cNvGraphicFramePr>
            <a:graphic>
              <a:graphicData uri="http://schemas.openxmlformats.org/drawingml/2006/picture">
                <pic:pic>
                  <pic:nvPicPr>
                    <pic:cNvPr id="8" name="image5.jpeg"/>
                    <pic:cNvPicPr/>
                  </pic:nvPicPr>
                  <pic:blipFill>
                    <a:blip r:embed="rId12" cstate="print"/>
                    <a:stretch>
                      <a:fillRect/>
                    </a:stretch>
                  </pic:blipFill>
                  <pic:spPr>
                    <a:xfrm>
                      <a:off x="0" y="0"/>
                      <a:ext cx="2679040" cy="2007489"/>
                    </a:xfrm>
                    <a:prstGeom prst="rect">
                      <a:avLst/>
                    </a:prstGeom>
                  </pic:spPr>
                </pic:pic>
              </a:graphicData>
            </a:graphic>
          </wp:anchor>
        </w:drawing>
      </w:r>
      <w:bookmarkStart w:name="_bookmark27" w:id="43"/>
      <w:bookmarkEnd w:id="43"/>
      <w:r>
        <w:rPr>
          <w:b w:val="0"/>
        </w:rPr>
      </w:r>
      <w:r>
        <w:rPr>
          <w:u w:val="thick"/>
        </w:rPr>
        <w:t>Figure 3: Visual Snapshots of Social Impacts</w:t>
      </w:r>
    </w:p>
    <w:p>
      <w:pPr>
        <w:pStyle w:val="BodyText"/>
        <w:spacing w:before="5"/>
        <w:rPr>
          <w:b/>
          <w:sz w:val="11"/>
        </w:rPr>
      </w:pPr>
    </w:p>
    <w:tbl>
      <w:tblPr>
        <w:tblW w:w="0" w:type="auto"/>
        <w:jc w:val="left"/>
        <w:tblInd w:w="66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753"/>
        <w:gridCol w:w="4189"/>
      </w:tblGrid>
      <w:tr>
        <w:trPr>
          <w:trHeight w:val="3179" w:hRule="exact"/>
        </w:trPr>
        <w:tc>
          <w:tcPr>
            <w:tcW w:w="4753" w:type="dxa"/>
          </w:tcPr>
          <w:p>
            <w:pPr/>
          </w:p>
        </w:tc>
        <w:tc>
          <w:tcPr>
            <w:tcW w:w="4189" w:type="dxa"/>
            <w:tcBorders>
              <w:top w:val="single" w:sz="6" w:space="0" w:color="4F81BC"/>
            </w:tcBorders>
          </w:tcPr>
          <w:p>
            <w:pPr>
              <w:pStyle w:val="TableParagraph"/>
              <w:spacing w:before="0"/>
              <w:rPr>
                <w:b/>
                <w:sz w:val="20"/>
              </w:rPr>
            </w:pPr>
          </w:p>
          <w:p>
            <w:pPr>
              <w:pStyle w:val="TableParagraph"/>
              <w:spacing w:before="0"/>
              <w:rPr>
                <w:b/>
                <w:sz w:val="20"/>
              </w:rPr>
            </w:pPr>
          </w:p>
          <w:p>
            <w:pPr>
              <w:pStyle w:val="TableParagraph"/>
              <w:spacing w:before="0"/>
              <w:rPr>
                <w:b/>
                <w:sz w:val="20"/>
              </w:rPr>
            </w:pPr>
          </w:p>
          <w:p>
            <w:pPr>
              <w:pStyle w:val="TableParagraph"/>
              <w:spacing w:before="0"/>
              <w:rPr>
                <w:b/>
                <w:sz w:val="20"/>
              </w:rPr>
            </w:pPr>
          </w:p>
          <w:p>
            <w:pPr>
              <w:pStyle w:val="TableParagraph"/>
              <w:spacing w:before="0"/>
              <w:rPr>
                <w:b/>
                <w:sz w:val="20"/>
              </w:rPr>
            </w:pPr>
          </w:p>
          <w:p>
            <w:pPr>
              <w:pStyle w:val="TableParagraph"/>
              <w:spacing w:before="0"/>
              <w:rPr>
                <w:b/>
                <w:sz w:val="20"/>
              </w:rPr>
            </w:pPr>
          </w:p>
          <w:p>
            <w:pPr>
              <w:pStyle w:val="TableParagraph"/>
              <w:spacing w:before="0"/>
              <w:rPr>
                <w:b/>
                <w:sz w:val="20"/>
              </w:rPr>
            </w:pPr>
          </w:p>
          <w:p>
            <w:pPr>
              <w:pStyle w:val="TableParagraph"/>
              <w:spacing w:before="0"/>
              <w:rPr>
                <w:b/>
                <w:sz w:val="20"/>
              </w:rPr>
            </w:pPr>
          </w:p>
          <w:p>
            <w:pPr>
              <w:pStyle w:val="TableParagraph"/>
              <w:spacing w:before="0"/>
              <w:rPr>
                <w:b/>
                <w:sz w:val="20"/>
              </w:rPr>
            </w:pPr>
          </w:p>
          <w:p>
            <w:pPr>
              <w:pStyle w:val="TableParagraph"/>
              <w:spacing w:before="0"/>
              <w:rPr>
                <w:b/>
                <w:sz w:val="20"/>
              </w:rPr>
            </w:pPr>
          </w:p>
          <w:p>
            <w:pPr>
              <w:pStyle w:val="TableParagraph"/>
              <w:spacing w:before="0"/>
              <w:rPr>
                <w:b/>
                <w:sz w:val="20"/>
              </w:rPr>
            </w:pPr>
          </w:p>
          <w:p>
            <w:pPr>
              <w:pStyle w:val="TableParagraph"/>
              <w:spacing w:before="0"/>
              <w:rPr>
                <w:b/>
                <w:sz w:val="20"/>
              </w:rPr>
            </w:pPr>
          </w:p>
          <w:p>
            <w:pPr>
              <w:pStyle w:val="TableParagraph"/>
              <w:spacing w:before="0"/>
              <w:rPr>
                <w:b/>
                <w:sz w:val="20"/>
              </w:rPr>
            </w:pPr>
          </w:p>
          <w:p>
            <w:pPr>
              <w:pStyle w:val="TableParagraph"/>
              <w:spacing w:before="9"/>
              <w:rPr>
                <w:b/>
                <w:sz w:val="15"/>
              </w:rPr>
            </w:pPr>
          </w:p>
        </w:tc>
      </w:tr>
      <w:tr>
        <w:trPr>
          <w:trHeight w:val="398" w:hRule="exact"/>
        </w:trPr>
        <w:tc>
          <w:tcPr>
            <w:tcW w:w="4753" w:type="dxa"/>
          </w:tcPr>
          <w:p>
            <w:pPr>
              <w:pStyle w:val="TableParagraph"/>
              <w:spacing w:before="29"/>
              <w:ind w:left="200"/>
              <w:rPr>
                <w:sz w:val="16"/>
              </w:rPr>
            </w:pPr>
            <w:r>
              <w:rPr>
                <w:sz w:val="16"/>
              </w:rPr>
              <w:t>Affected Business on Footpath at Defence More</w:t>
            </w:r>
          </w:p>
        </w:tc>
        <w:tc>
          <w:tcPr>
            <w:tcW w:w="4189" w:type="dxa"/>
          </w:tcPr>
          <w:p>
            <w:pPr>
              <w:pStyle w:val="TableParagraph"/>
              <w:spacing w:before="29"/>
              <w:ind w:left="1"/>
              <w:rPr>
                <w:sz w:val="16"/>
              </w:rPr>
            </w:pPr>
            <w:r>
              <w:rPr>
                <w:sz w:val="16"/>
              </w:rPr>
              <w:t>Affected</w:t>
            </w:r>
            <w:r>
              <w:rPr>
                <w:spacing w:val="-16"/>
                <w:sz w:val="16"/>
              </w:rPr>
              <w:t> </w:t>
            </w:r>
            <w:r>
              <w:rPr>
                <w:sz w:val="16"/>
              </w:rPr>
              <w:t>Plant</w:t>
            </w:r>
            <w:r>
              <w:rPr>
                <w:spacing w:val="-14"/>
                <w:sz w:val="16"/>
              </w:rPr>
              <w:t> </w:t>
            </w:r>
            <w:r>
              <w:rPr>
                <w:sz w:val="16"/>
              </w:rPr>
              <w:t>Nursery</w:t>
            </w:r>
            <w:r>
              <w:rPr>
                <w:spacing w:val="-13"/>
                <w:sz w:val="16"/>
              </w:rPr>
              <w:t> </w:t>
            </w:r>
            <w:r>
              <w:rPr>
                <w:sz w:val="16"/>
              </w:rPr>
              <w:t>between</w:t>
            </w:r>
            <w:r>
              <w:rPr>
                <w:spacing w:val="-14"/>
                <w:sz w:val="16"/>
              </w:rPr>
              <w:t> </w:t>
            </w:r>
            <w:r>
              <w:rPr>
                <w:sz w:val="16"/>
              </w:rPr>
              <w:t>Brooks</w:t>
            </w:r>
            <w:r>
              <w:rPr>
                <w:spacing w:val="-14"/>
                <w:sz w:val="16"/>
              </w:rPr>
              <w:t> </w:t>
            </w:r>
            <w:r>
              <w:rPr>
                <w:sz w:val="16"/>
              </w:rPr>
              <w:t>Chowrangi</w:t>
            </w:r>
            <w:r>
              <w:rPr>
                <w:spacing w:val="-13"/>
                <w:sz w:val="16"/>
              </w:rPr>
              <w:t> </w:t>
            </w:r>
            <w:r>
              <w:rPr>
                <w:sz w:val="16"/>
              </w:rPr>
              <w:t>and</w:t>
            </w:r>
            <w:r>
              <w:rPr>
                <w:spacing w:val="-12"/>
                <w:sz w:val="16"/>
              </w:rPr>
              <w:t> </w:t>
            </w:r>
            <w:r>
              <w:rPr>
                <w:sz w:val="16"/>
              </w:rPr>
              <w:t>Jam Sadiq</w:t>
            </w:r>
            <w:r>
              <w:rPr>
                <w:spacing w:val="1"/>
                <w:sz w:val="16"/>
              </w:rPr>
              <w:t> </w:t>
            </w:r>
            <w:r>
              <w:rPr>
                <w:sz w:val="16"/>
              </w:rPr>
              <w:t>Bridge</w:t>
            </w:r>
          </w:p>
        </w:tc>
      </w:tr>
    </w:tbl>
    <w:p>
      <w:pPr>
        <w:spacing w:after="0"/>
        <w:rPr>
          <w:sz w:val="16"/>
        </w:rPr>
        <w:sectPr>
          <w:type w:val="continuous"/>
          <w:pgSz w:w="11910" w:h="16840"/>
          <w:pgMar w:top="800" w:bottom="280" w:left="860" w:right="12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5"/>
        </w:rPr>
      </w:pPr>
    </w:p>
    <w:tbl>
      <w:tblPr>
        <w:tblW w:w="0" w:type="auto"/>
        <w:jc w:val="left"/>
        <w:tblInd w:w="66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73"/>
        <w:gridCol w:w="4568"/>
      </w:tblGrid>
      <w:tr>
        <w:trPr>
          <w:trHeight w:val="3201" w:hRule="exact"/>
        </w:trPr>
        <w:tc>
          <w:tcPr>
            <w:tcW w:w="4573" w:type="dxa"/>
          </w:tcPr>
          <w:p>
            <w:pPr>
              <w:pStyle w:val="TableParagraph"/>
              <w:spacing w:before="0"/>
              <w:ind w:left="200"/>
              <w:rPr>
                <w:rFonts w:ascii="Times New Roman"/>
                <w:sz w:val="20"/>
              </w:rPr>
            </w:pPr>
            <w:r>
              <w:rPr>
                <w:rFonts w:ascii="Times New Roman"/>
                <w:sz w:val="20"/>
              </w:rPr>
              <w:drawing>
                <wp:inline distT="0" distB="0" distL="0" distR="0">
                  <wp:extent cx="2662427" cy="2011679"/>
                  <wp:effectExtent l="0" t="0" r="0" b="0"/>
                  <wp:docPr id="9" name="image6.jpeg" descr=""/>
                  <wp:cNvGraphicFramePr>
                    <a:graphicFrameLocks noChangeAspect="1"/>
                  </wp:cNvGraphicFramePr>
                  <a:graphic>
                    <a:graphicData uri="http://schemas.openxmlformats.org/drawingml/2006/picture">
                      <pic:pic>
                        <pic:nvPicPr>
                          <pic:cNvPr id="10" name="image6.jpeg"/>
                          <pic:cNvPicPr/>
                        </pic:nvPicPr>
                        <pic:blipFill>
                          <a:blip r:embed="rId13" cstate="print"/>
                          <a:stretch>
                            <a:fillRect/>
                          </a:stretch>
                        </pic:blipFill>
                        <pic:spPr>
                          <a:xfrm>
                            <a:off x="0" y="0"/>
                            <a:ext cx="2662427" cy="2011679"/>
                          </a:xfrm>
                          <a:prstGeom prst="rect">
                            <a:avLst/>
                          </a:prstGeom>
                        </pic:spPr>
                      </pic:pic>
                    </a:graphicData>
                  </a:graphic>
                </wp:inline>
              </w:drawing>
            </w:r>
            <w:r>
              <w:rPr>
                <w:rFonts w:ascii="Times New Roman"/>
                <w:sz w:val="20"/>
              </w:rPr>
            </w:r>
          </w:p>
        </w:tc>
        <w:tc>
          <w:tcPr>
            <w:tcW w:w="4568" w:type="dxa"/>
          </w:tcPr>
          <w:p>
            <w:pPr>
              <w:pStyle w:val="TableParagraph"/>
              <w:spacing w:before="0"/>
              <w:ind w:left="180"/>
              <w:rPr>
                <w:rFonts w:ascii="Times New Roman"/>
                <w:sz w:val="20"/>
              </w:rPr>
            </w:pPr>
            <w:r>
              <w:rPr>
                <w:rFonts w:ascii="Times New Roman"/>
                <w:sz w:val="20"/>
              </w:rPr>
              <w:drawing>
                <wp:inline distT="0" distB="0" distL="0" distR="0">
                  <wp:extent cx="2659380" cy="2011679"/>
                  <wp:effectExtent l="0" t="0" r="0" b="0"/>
                  <wp:docPr id="11" name="image7.jpeg" descr=""/>
                  <wp:cNvGraphicFramePr>
                    <a:graphicFrameLocks noChangeAspect="1"/>
                  </wp:cNvGraphicFramePr>
                  <a:graphic>
                    <a:graphicData uri="http://schemas.openxmlformats.org/drawingml/2006/picture">
                      <pic:pic>
                        <pic:nvPicPr>
                          <pic:cNvPr id="12" name="image7.jpeg"/>
                          <pic:cNvPicPr/>
                        </pic:nvPicPr>
                        <pic:blipFill>
                          <a:blip r:embed="rId14" cstate="print"/>
                          <a:stretch>
                            <a:fillRect/>
                          </a:stretch>
                        </pic:blipFill>
                        <pic:spPr>
                          <a:xfrm>
                            <a:off x="0" y="0"/>
                            <a:ext cx="2659380" cy="2011679"/>
                          </a:xfrm>
                          <a:prstGeom prst="rect">
                            <a:avLst/>
                          </a:prstGeom>
                        </pic:spPr>
                      </pic:pic>
                    </a:graphicData>
                  </a:graphic>
                </wp:inline>
              </w:drawing>
            </w:r>
            <w:r>
              <w:rPr>
                <w:rFonts w:ascii="Times New Roman"/>
                <w:sz w:val="20"/>
              </w:rPr>
            </w:r>
          </w:p>
        </w:tc>
      </w:tr>
      <w:tr>
        <w:trPr>
          <w:trHeight w:val="261" w:hRule="exact"/>
        </w:trPr>
        <w:tc>
          <w:tcPr>
            <w:tcW w:w="4573" w:type="dxa"/>
          </w:tcPr>
          <w:p>
            <w:pPr>
              <w:pStyle w:val="TableParagraph"/>
              <w:spacing w:before="28"/>
              <w:ind w:left="200"/>
              <w:rPr>
                <w:sz w:val="16"/>
              </w:rPr>
            </w:pPr>
            <w:r>
              <w:rPr>
                <w:sz w:val="16"/>
              </w:rPr>
              <w:t>Affected Mobile Carts at Noorani Chowrangi</w:t>
            </w:r>
          </w:p>
        </w:tc>
        <w:tc>
          <w:tcPr>
            <w:tcW w:w="4568" w:type="dxa"/>
          </w:tcPr>
          <w:p>
            <w:pPr>
              <w:pStyle w:val="TableParagraph"/>
              <w:spacing w:before="28"/>
              <w:ind w:left="181"/>
              <w:rPr>
                <w:sz w:val="16"/>
              </w:rPr>
            </w:pPr>
            <w:r>
              <w:rPr>
                <w:sz w:val="16"/>
              </w:rPr>
              <w:t>Display Material within the ROW at Kala Pull</w:t>
            </w:r>
          </w:p>
        </w:tc>
      </w:tr>
      <w:tr>
        <w:trPr>
          <w:trHeight w:val="3341" w:hRule="exact"/>
        </w:trPr>
        <w:tc>
          <w:tcPr>
            <w:tcW w:w="4573" w:type="dxa"/>
          </w:tcPr>
          <w:p>
            <w:pPr>
              <w:pStyle w:val="TableParagraph"/>
              <w:spacing w:before="2"/>
              <w:rPr>
                <w:rFonts w:ascii="Times New Roman"/>
                <w:sz w:val="4"/>
              </w:rPr>
            </w:pPr>
          </w:p>
          <w:p>
            <w:pPr>
              <w:pStyle w:val="TableParagraph"/>
              <w:spacing w:before="0"/>
              <w:ind w:left="200"/>
              <w:rPr>
                <w:rFonts w:ascii="Times New Roman"/>
                <w:sz w:val="20"/>
              </w:rPr>
            </w:pPr>
            <w:r>
              <w:rPr>
                <w:rFonts w:ascii="Times New Roman"/>
                <w:sz w:val="20"/>
              </w:rPr>
              <w:drawing>
                <wp:inline distT="0" distB="0" distL="0" distR="0">
                  <wp:extent cx="2657383" cy="2007107"/>
                  <wp:effectExtent l="0" t="0" r="0" b="0"/>
                  <wp:docPr id="13" name="image8.jpeg" descr=""/>
                  <wp:cNvGraphicFramePr>
                    <a:graphicFrameLocks noChangeAspect="1"/>
                  </wp:cNvGraphicFramePr>
                  <a:graphic>
                    <a:graphicData uri="http://schemas.openxmlformats.org/drawingml/2006/picture">
                      <pic:pic>
                        <pic:nvPicPr>
                          <pic:cNvPr id="14" name="image8.jpeg"/>
                          <pic:cNvPicPr/>
                        </pic:nvPicPr>
                        <pic:blipFill>
                          <a:blip r:embed="rId15" cstate="print"/>
                          <a:stretch>
                            <a:fillRect/>
                          </a:stretch>
                        </pic:blipFill>
                        <pic:spPr>
                          <a:xfrm>
                            <a:off x="0" y="0"/>
                            <a:ext cx="2657383" cy="2007107"/>
                          </a:xfrm>
                          <a:prstGeom prst="rect">
                            <a:avLst/>
                          </a:prstGeom>
                        </pic:spPr>
                      </pic:pic>
                    </a:graphicData>
                  </a:graphic>
                </wp:inline>
              </w:drawing>
            </w:r>
            <w:r>
              <w:rPr>
                <w:rFonts w:ascii="Times New Roman"/>
                <w:sz w:val="20"/>
              </w:rPr>
            </w:r>
          </w:p>
        </w:tc>
        <w:tc>
          <w:tcPr>
            <w:tcW w:w="4568" w:type="dxa"/>
          </w:tcPr>
          <w:p>
            <w:pPr>
              <w:pStyle w:val="TableParagraph"/>
              <w:spacing w:before="2"/>
              <w:rPr>
                <w:rFonts w:ascii="Times New Roman"/>
                <w:sz w:val="4"/>
              </w:rPr>
            </w:pPr>
          </w:p>
          <w:p>
            <w:pPr>
              <w:pStyle w:val="TableParagraph"/>
              <w:spacing w:before="0"/>
              <w:ind w:left="180"/>
              <w:rPr>
                <w:rFonts w:ascii="Times New Roman"/>
                <w:sz w:val="20"/>
              </w:rPr>
            </w:pPr>
            <w:r>
              <w:rPr>
                <w:rFonts w:ascii="Times New Roman"/>
                <w:sz w:val="20"/>
              </w:rPr>
              <w:drawing>
                <wp:inline distT="0" distB="0" distL="0" distR="0">
                  <wp:extent cx="2654341" cy="2007107"/>
                  <wp:effectExtent l="0" t="0" r="0" b="0"/>
                  <wp:docPr id="15" name="image9.jpeg" descr=""/>
                  <wp:cNvGraphicFramePr>
                    <a:graphicFrameLocks noChangeAspect="1"/>
                  </wp:cNvGraphicFramePr>
                  <a:graphic>
                    <a:graphicData uri="http://schemas.openxmlformats.org/drawingml/2006/picture">
                      <pic:pic>
                        <pic:nvPicPr>
                          <pic:cNvPr id="16" name="image9.jpeg"/>
                          <pic:cNvPicPr/>
                        </pic:nvPicPr>
                        <pic:blipFill>
                          <a:blip r:embed="rId16" cstate="print"/>
                          <a:stretch>
                            <a:fillRect/>
                          </a:stretch>
                        </pic:blipFill>
                        <pic:spPr>
                          <a:xfrm>
                            <a:off x="0" y="0"/>
                            <a:ext cx="2654341" cy="2007107"/>
                          </a:xfrm>
                          <a:prstGeom prst="rect">
                            <a:avLst/>
                          </a:prstGeom>
                        </pic:spPr>
                      </pic:pic>
                    </a:graphicData>
                  </a:graphic>
                </wp:inline>
              </w:drawing>
            </w:r>
            <w:r>
              <w:rPr>
                <w:rFonts w:ascii="Times New Roman"/>
                <w:sz w:val="20"/>
              </w:rPr>
            </w:r>
          </w:p>
        </w:tc>
      </w:tr>
      <w:tr>
        <w:trPr>
          <w:trHeight w:val="335" w:hRule="exact"/>
        </w:trPr>
        <w:tc>
          <w:tcPr>
            <w:tcW w:w="4573" w:type="dxa"/>
          </w:tcPr>
          <w:p>
            <w:pPr>
              <w:pStyle w:val="TableParagraph"/>
              <w:spacing w:before="121"/>
              <w:ind w:left="200"/>
              <w:rPr>
                <w:sz w:val="16"/>
              </w:rPr>
            </w:pPr>
            <w:r>
              <w:rPr>
                <w:sz w:val="16"/>
              </w:rPr>
              <w:t>Display Material within the ROW at Kala Pull</w:t>
            </w:r>
          </w:p>
        </w:tc>
        <w:tc>
          <w:tcPr>
            <w:tcW w:w="4568" w:type="dxa"/>
          </w:tcPr>
          <w:p>
            <w:pPr>
              <w:pStyle w:val="TableParagraph"/>
              <w:spacing w:before="121"/>
              <w:ind w:left="181"/>
              <w:rPr>
                <w:sz w:val="16"/>
              </w:rPr>
            </w:pPr>
            <w:r>
              <w:rPr>
                <w:sz w:val="16"/>
              </w:rPr>
              <w:t>Flower Shops to be Temporarily Affected at Kala Pull</w:t>
            </w:r>
          </w:p>
        </w:tc>
      </w:tr>
      <w:tr>
        <w:trPr>
          <w:trHeight w:val="3231" w:hRule="exact"/>
        </w:trPr>
        <w:tc>
          <w:tcPr>
            <w:tcW w:w="4573" w:type="dxa"/>
          </w:tcPr>
          <w:p>
            <w:pPr>
              <w:pStyle w:val="TableParagraph"/>
              <w:spacing w:before="6"/>
              <w:rPr>
                <w:rFonts w:ascii="Times New Roman"/>
                <w:sz w:val="2"/>
              </w:rPr>
            </w:pPr>
          </w:p>
          <w:p>
            <w:pPr>
              <w:pStyle w:val="TableParagraph"/>
              <w:spacing w:before="0"/>
              <w:ind w:left="200"/>
              <w:rPr>
                <w:rFonts w:ascii="Times New Roman"/>
                <w:sz w:val="20"/>
              </w:rPr>
            </w:pPr>
            <w:r>
              <w:rPr>
                <w:rFonts w:ascii="Times New Roman"/>
                <w:sz w:val="20"/>
              </w:rPr>
              <w:drawing>
                <wp:inline distT="0" distB="0" distL="0" distR="0">
                  <wp:extent cx="2684614" cy="2028444"/>
                  <wp:effectExtent l="0" t="0" r="0" b="0"/>
                  <wp:docPr id="17" name="image10.jpeg" descr=""/>
                  <wp:cNvGraphicFramePr>
                    <a:graphicFrameLocks noChangeAspect="1"/>
                  </wp:cNvGraphicFramePr>
                  <a:graphic>
                    <a:graphicData uri="http://schemas.openxmlformats.org/drawingml/2006/picture">
                      <pic:pic>
                        <pic:nvPicPr>
                          <pic:cNvPr id="18" name="image10.jpeg"/>
                          <pic:cNvPicPr/>
                        </pic:nvPicPr>
                        <pic:blipFill>
                          <a:blip r:embed="rId17" cstate="print"/>
                          <a:stretch>
                            <a:fillRect/>
                          </a:stretch>
                        </pic:blipFill>
                        <pic:spPr>
                          <a:xfrm>
                            <a:off x="0" y="0"/>
                            <a:ext cx="2684614" cy="2028444"/>
                          </a:xfrm>
                          <a:prstGeom prst="rect">
                            <a:avLst/>
                          </a:prstGeom>
                        </pic:spPr>
                      </pic:pic>
                    </a:graphicData>
                  </a:graphic>
                </wp:inline>
              </w:drawing>
            </w:r>
            <w:r>
              <w:rPr>
                <w:rFonts w:ascii="Times New Roman"/>
                <w:sz w:val="20"/>
              </w:rPr>
            </w:r>
          </w:p>
        </w:tc>
        <w:tc>
          <w:tcPr>
            <w:tcW w:w="4568" w:type="dxa"/>
          </w:tcPr>
          <w:p>
            <w:pPr>
              <w:pStyle w:val="TableParagraph"/>
              <w:spacing w:before="6"/>
              <w:rPr>
                <w:rFonts w:ascii="Times New Roman"/>
                <w:sz w:val="2"/>
              </w:rPr>
            </w:pPr>
          </w:p>
          <w:p>
            <w:pPr>
              <w:pStyle w:val="TableParagraph"/>
              <w:spacing w:before="0"/>
              <w:ind w:left="180"/>
              <w:rPr>
                <w:rFonts w:ascii="Times New Roman"/>
                <w:sz w:val="20"/>
              </w:rPr>
            </w:pPr>
            <w:r>
              <w:rPr>
                <w:rFonts w:ascii="Times New Roman"/>
                <w:sz w:val="20"/>
              </w:rPr>
              <w:drawing>
                <wp:inline distT="0" distB="0" distL="0" distR="0">
                  <wp:extent cx="2653839" cy="2007489"/>
                  <wp:effectExtent l="0" t="0" r="0" b="0"/>
                  <wp:docPr id="19" name="image11.jpeg" descr=""/>
                  <wp:cNvGraphicFramePr>
                    <a:graphicFrameLocks noChangeAspect="1"/>
                  </wp:cNvGraphicFramePr>
                  <a:graphic>
                    <a:graphicData uri="http://schemas.openxmlformats.org/drawingml/2006/picture">
                      <pic:pic>
                        <pic:nvPicPr>
                          <pic:cNvPr id="20" name="image11.jpeg"/>
                          <pic:cNvPicPr/>
                        </pic:nvPicPr>
                        <pic:blipFill>
                          <a:blip r:embed="rId18" cstate="print"/>
                          <a:stretch>
                            <a:fillRect/>
                          </a:stretch>
                        </pic:blipFill>
                        <pic:spPr>
                          <a:xfrm>
                            <a:off x="0" y="0"/>
                            <a:ext cx="2653839" cy="2007489"/>
                          </a:xfrm>
                          <a:prstGeom prst="rect">
                            <a:avLst/>
                          </a:prstGeom>
                        </pic:spPr>
                      </pic:pic>
                    </a:graphicData>
                  </a:graphic>
                </wp:inline>
              </w:drawing>
            </w:r>
            <w:r>
              <w:rPr>
                <w:rFonts w:ascii="Times New Roman"/>
                <w:sz w:val="20"/>
              </w:rPr>
            </w:r>
          </w:p>
        </w:tc>
      </w:tr>
      <w:tr>
        <w:trPr>
          <w:trHeight w:val="213" w:hRule="exact"/>
        </w:trPr>
        <w:tc>
          <w:tcPr>
            <w:tcW w:w="4573" w:type="dxa"/>
          </w:tcPr>
          <w:p>
            <w:pPr>
              <w:pStyle w:val="TableParagraph"/>
              <w:spacing w:before="29"/>
              <w:ind w:left="200"/>
              <w:rPr>
                <w:sz w:val="16"/>
              </w:rPr>
            </w:pPr>
            <w:r>
              <w:rPr>
                <w:sz w:val="16"/>
              </w:rPr>
              <w:t>Affected Fruit Cart at Dawood Chowrangi</w:t>
            </w:r>
          </w:p>
        </w:tc>
        <w:tc>
          <w:tcPr>
            <w:tcW w:w="4568" w:type="dxa"/>
          </w:tcPr>
          <w:p>
            <w:pPr>
              <w:pStyle w:val="TableParagraph"/>
              <w:spacing w:before="29"/>
              <w:ind w:left="181"/>
              <w:rPr>
                <w:sz w:val="16"/>
              </w:rPr>
            </w:pPr>
            <w:r>
              <w:rPr>
                <w:sz w:val="16"/>
              </w:rPr>
              <w:t>Affected Mobile Cart (Tuck Shop) at Singer Chowrangi</w:t>
            </w:r>
          </w:p>
        </w:tc>
      </w:tr>
    </w:tbl>
    <w:p>
      <w:pPr>
        <w:spacing w:after="0"/>
        <w:rPr>
          <w:sz w:val="16"/>
        </w:rPr>
        <w:sectPr>
          <w:pgSz w:w="11910" w:h="16840"/>
          <w:pgMar w:header="583" w:footer="575" w:top="840" w:bottom="760" w:left="860" w:right="1140"/>
        </w:sectPr>
      </w:pPr>
    </w:p>
    <w:p>
      <w:pPr>
        <w:pStyle w:val="BodyText"/>
        <w:rPr>
          <w:rFonts w:ascii="Times New Roman"/>
          <w:sz w:val="20"/>
        </w:rPr>
      </w:pPr>
    </w:p>
    <w:p>
      <w:pPr>
        <w:pStyle w:val="BodyText"/>
        <w:rPr>
          <w:rFonts w:ascii="Times New Roman"/>
          <w:sz w:val="20"/>
        </w:rPr>
      </w:pPr>
    </w:p>
    <w:p>
      <w:pPr>
        <w:pStyle w:val="BodyText"/>
        <w:spacing w:before="10"/>
        <w:rPr>
          <w:rFonts w:ascii="Times New Roman"/>
          <w:sz w:val="27"/>
        </w:rPr>
      </w:pPr>
    </w:p>
    <w:p>
      <w:pPr>
        <w:pStyle w:val="ListParagraph"/>
        <w:numPr>
          <w:ilvl w:val="2"/>
          <w:numId w:val="16"/>
        </w:numPr>
        <w:tabs>
          <w:tab w:pos="1589" w:val="left" w:leader="none"/>
        </w:tabs>
        <w:spacing w:line="240" w:lineRule="auto" w:before="93" w:after="0"/>
        <w:ind w:left="1588" w:right="0" w:hanging="720"/>
        <w:jc w:val="both"/>
        <w:rPr>
          <w:b/>
          <w:sz w:val="22"/>
        </w:rPr>
      </w:pPr>
      <w:bookmarkStart w:name="_bookmark28" w:id="44"/>
      <w:bookmarkEnd w:id="44"/>
      <w:r>
        <w:rPr/>
      </w:r>
      <w:bookmarkStart w:name="_bookmark28" w:id="45"/>
      <w:bookmarkEnd w:id="45"/>
      <w:r>
        <w:rPr>
          <w:b/>
          <w:color w:val="0D0D0D"/>
          <w:sz w:val="22"/>
        </w:rPr>
        <w:t>I</w:t>
      </w:r>
      <w:r>
        <w:rPr>
          <w:b/>
          <w:color w:val="0D0D0D"/>
          <w:sz w:val="22"/>
        </w:rPr>
        <w:t>mpact on Public</w:t>
      </w:r>
      <w:r>
        <w:rPr>
          <w:b/>
          <w:color w:val="0D0D0D"/>
          <w:spacing w:val="-9"/>
          <w:sz w:val="22"/>
        </w:rPr>
        <w:t> </w:t>
      </w:r>
      <w:r>
        <w:rPr>
          <w:b/>
          <w:color w:val="0D0D0D"/>
          <w:sz w:val="22"/>
        </w:rPr>
        <w:t>Utilities</w:t>
      </w:r>
    </w:p>
    <w:p>
      <w:pPr>
        <w:pStyle w:val="ListParagraph"/>
        <w:numPr>
          <w:ilvl w:val="0"/>
          <w:numId w:val="14"/>
        </w:numPr>
        <w:tabs>
          <w:tab w:pos="1589" w:val="left" w:leader="none"/>
        </w:tabs>
        <w:spacing w:line="276" w:lineRule="auto" w:before="157" w:after="0"/>
        <w:ind w:left="868" w:right="4682" w:firstLine="0"/>
        <w:jc w:val="both"/>
        <w:rPr>
          <w:sz w:val="22"/>
        </w:rPr>
      </w:pPr>
      <w:r>
        <w:rPr/>
        <w:drawing>
          <wp:anchor distT="0" distB="0" distL="0" distR="0" allowOverlap="1" layoutInCell="1" locked="0" behindDoc="0" simplePos="0" relativeHeight="1168">
            <wp:simplePos x="0" y="0"/>
            <wp:positionH relativeFrom="page">
              <wp:posOffset>3974591</wp:posOffset>
            </wp:positionH>
            <wp:positionV relativeFrom="paragraph">
              <wp:posOffset>100937</wp:posOffset>
            </wp:positionV>
            <wp:extent cx="2663952" cy="2011679"/>
            <wp:effectExtent l="0" t="0" r="0" b="0"/>
            <wp:wrapNone/>
            <wp:docPr id="21" name="image12.jpeg" descr=""/>
            <wp:cNvGraphicFramePr>
              <a:graphicFrameLocks noChangeAspect="1"/>
            </wp:cNvGraphicFramePr>
            <a:graphic>
              <a:graphicData uri="http://schemas.openxmlformats.org/drawingml/2006/picture">
                <pic:pic>
                  <pic:nvPicPr>
                    <pic:cNvPr id="22" name="image12.jpeg"/>
                    <pic:cNvPicPr/>
                  </pic:nvPicPr>
                  <pic:blipFill>
                    <a:blip r:embed="rId19" cstate="print"/>
                    <a:stretch>
                      <a:fillRect/>
                    </a:stretch>
                  </pic:blipFill>
                  <pic:spPr>
                    <a:xfrm>
                      <a:off x="0" y="0"/>
                      <a:ext cx="2663952" cy="2011679"/>
                    </a:xfrm>
                    <a:prstGeom prst="rect">
                      <a:avLst/>
                    </a:prstGeom>
                  </pic:spPr>
                </pic:pic>
              </a:graphicData>
            </a:graphic>
          </wp:anchor>
        </w:drawing>
      </w:r>
      <w:r>
        <w:rPr/>
        <w:pict>
          <v:shape style="position:absolute;margin-left:302.959991pt;margin-top:7.947854pt;width:229.8pt;height:170.75pt;mso-position-horizontal-relative:page;mso-position-vertical-relative:paragraph;z-index:119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95"/>
                  </w:tblGrid>
                  <w:tr>
                    <w:trPr>
                      <w:trHeight w:val="3201" w:hRule="exact"/>
                    </w:trPr>
                    <w:tc>
                      <w:tcPr>
                        <w:tcW w:w="4595" w:type="dxa"/>
                      </w:tcPr>
                      <w:p>
                        <w:pPr>
                          <w:pStyle w:val="TableParagraph"/>
                          <w:spacing w:before="0"/>
                          <w:rPr>
                            <w:sz w:val="24"/>
                          </w:rPr>
                        </w:pPr>
                      </w:p>
                      <w:p>
                        <w:pPr>
                          <w:pStyle w:val="TableParagraph"/>
                          <w:spacing w:before="6"/>
                          <w:rPr>
                            <w:sz w:val="26"/>
                          </w:rPr>
                        </w:pPr>
                      </w:p>
                      <w:p>
                        <w:pPr>
                          <w:pStyle w:val="TableParagraph"/>
                          <w:spacing w:before="0"/>
                          <w:ind w:left="-40"/>
                          <w:rPr>
                            <w:sz w:val="22"/>
                          </w:rPr>
                        </w:pPr>
                        <w:r>
                          <w:rPr>
                            <w:w w:val="100"/>
                            <w:sz w:val="22"/>
                          </w:rPr>
                          <w:t>,</w:t>
                        </w:r>
                      </w:p>
                      <w:p>
                        <w:pPr>
                          <w:pStyle w:val="TableParagraph"/>
                          <w:spacing w:before="5"/>
                          <w:rPr>
                            <w:sz w:val="28"/>
                          </w:rPr>
                        </w:pPr>
                      </w:p>
                      <w:p>
                        <w:pPr>
                          <w:pStyle w:val="TableParagraph"/>
                          <w:spacing w:before="0"/>
                          <w:ind w:left="-42"/>
                          <w:rPr>
                            <w:sz w:val="22"/>
                          </w:rPr>
                        </w:pPr>
                        <w:r>
                          <w:rPr>
                            <w:w w:val="100"/>
                            <w:sz w:val="22"/>
                          </w:rPr>
                          <w:t>.</w:t>
                        </w:r>
                      </w:p>
                    </w:tc>
                  </w:tr>
                  <w:tr>
                    <w:trPr>
                      <w:trHeight w:val="213" w:hRule="exact"/>
                    </w:trPr>
                    <w:tc>
                      <w:tcPr>
                        <w:tcW w:w="4595" w:type="dxa"/>
                      </w:tcPr>
                      <w:p>
                        <w:pPr>
                          <w:pStyle w:val="TableParagraph"/>
                          <w:spacing w:before="29"/>
                          <w:ind w:left="201"/>
                          <w:rPr>
                            <w:sz w:val="16"/>
                          </w:rPr>
                        </w:pPr>
                        <w:r>
                          <w:rPr>
                            <w:sz w:val="16"/>
                          </w:rPr>
                          <w:t>Affected SSGC Pumping Station at Jam Sadiq Bridge</w:t>
                        </w:r>
                      </w:p>
                    </w:tc>
                  </w:tr>
                </w:tbl>
                <w:p>
                  <w:pPr>
                    <w:pStyle w:val="BodyText"/>
                  </w:pPr>
                </w:p>
              </w:txbxContent>
            </v:textbox>
            <w10:wrap type="none"/>
          </v:shape>
        </w:pict>
      </w:r>
      <w:r>
        <w:rPr>
          <w:sz w:val="22"/>
        </w:rPr>
        <w:t>The preliminary design identified impact on a number of public utilities. These include water supplies, drainage system telecommunication infrastructure, gas and electricity supply poles and transformers Temporary ambulance stations, police/ security check posts will also need to be relocated. M/s NESPAK has already submitted designs of the impacted utilities with the </w:t>
      </w:r>
      <w:r>
        <w:rPr>
          <w:spacing w:val="-3"/>
          <w:sz w:val="22"/>
        </w:rPr>
        <w:t>ROW </w:t>
      </w:r>
      <w:r>
        <w:rPr>
          <w:sz w:val="22"/>
        </w:rPr>
        <w:t>to SMTA for onward sharing with</w:t>
      </w:r>
      <w:r>
        <w:rPr>
          <w:spacing w:val="-14"/>
          <w:sz w:val="22"/>
        </w:rPr>
        <w:t> </w:t>
      </w:r>
      <w:r>
        <w:rPr>
          <w:sz w:val="22"/>
        </w:rPr>
        <w:t>the</w:t>
      </w:r>
      <w:r>
        <w:rPr>
          <w:spacing w:val="-16"/>
          <w:sz w:val="22"/>
        </w:rPr>
        <w:t> </w:t>
      </w:r>
      <w:r>
        <w:rPr>
          <w:sz w:val="22"/>
        </w:rPr>
        <w:t>utility</w:t>
      </w:r>
      <w:r>
        <w:rPr>
          <w:spacing w:val="-15"/>
          <w:sz w:val="22"/>
        </w:rPr>
        <w:t> </w:t>
      </w:r>
      <w:r>
        <w:rPr>
          <w:sz w:val="22"/>
        </w:rPr>
        <w:t>agencies</w:t>
      </w:r>
      <w:r>
        <w:rPr>
          <w:spacing w:val="-15"/>
          <w:sz w:val="22"/>
        </w:rPr>
        <w:t> </w:t>
      </w:r>
      <w:r>
        <w:rPr>
          <w:sz w:val="22"/>
        </w:rPr>
        <w:t>to</w:t>
      </w:r>
      <w:r>
        <w:rPr>
          <w:spacing w:val="-14"/>
          <w:sz w:val="22"/>
        </w:rPr>
        <w:t> </w:t>
      </w:r>
      <w:r>
        <w:rPr>
          <w:sz w:val="22"/>
        </w:rPr>
        <w:t>submit</w:t>
      </w:r>
      <w:r>
        <w:rPr>
          <w:spacing w:val="-15"/>
          <w:sz w:val="22"/>
        </w:rPr>
        <w:t> </w:t>
      </w:r>
      <w:r>
        <w:rPr>
          <w:sz w:val="22"/>
        </w:rPr>
        <w:t>their</w:t>
      </w:r>
      <w:r>
        <w:rPr>
          <w:spacing w:val="-14"/>
          <w:sz w:val="22"/>
        </w:rPr>
        <w:t> </w:t>
      </w:r>
      <w:r>
        <w:rPr>
          <w:sz w:val="22"/>
        </w:rPr>
        <w:t>budget and plans for relocation or redesign of these existing affected</w:t>
      </w:r>
      <w:r>
        <w:rPr>
          <w:spacing w:val="-14"/>
          <w:sz w:val="22"/>
        </w:rPr>
        <w:t> </w:t>
      </w:r>
      <w:r>
        <w:rPr>
          <w:sz w:val="22"/>
        </w:rPr>
        <w:t>utilities.</w:t>
      </w:r>
    </w:p>
    <w:p>
      <w:pPr>
        <w:pStyle w:val="BodyText"/>
        <w:spacing w:before="9"/>
        <w:rPr>
          <w:sz w:val="12"/>
        </w:rPr>
      </w:pPr>
    </w:p>
    <w:p>
      <w:pPr>
        <w:pStyle w:val="Heading3"/>
        <w:numPr>
          <w:ilvl w:val="2"/>
          <w:numId w:val="16"/>
        </w:numPr>
        <w:tabs>
          <w:tab w:pos="1589" w:val="left" w:leader="none"/>
        </w:tabs>
        <w:spacing w:line="240" w:lineRule="auto" w:before="93" w:after="0"/>
        <w:ind w:left="1588" w:right="0" w:hanging="720"/>
        <w:jc w:val="both"/>
      </w:pPr>
      <w:bookmarkStart w:name="_bookmark29" w:id="46"/>
      <w:bookmarkEnd w:id="46"/>
      <w:r>
        <w:rPr>
          <w:b w:val="0"/>
        </w:rPr>
      </w:r>
      <w:bookmarkStart w:name="_bookmark29" w:id="47"/>
      <w:bookmarkEnd w:id="47"/>
      <w:r>
        <w:rPr>
          <w:color w:val="0D0D0D"/>
        </w:rPr>
        <w:t>T</w:t>
      </w:r>
      <w:r>
        <w:rPr>
          <w:color w:val="0D0D0D"/>
        </w:rPr>
        <w:t>emporary Impacts on Access and</w:t>
      </w:r>
      <w:r>
        <w:rPr>
          <w:color w:val="0D0D0D"/>
          <w:spacing w:val="-8"/>
        </w:rPr>
        <w:t> </w:t>
      </w:r>
      <w:r>
        <w:rPr>
          <w:color w:val="0D0D0D"/>
        </w:rPr>
        <w:t>Mobility</w:t>
      </w:r>
    </w:p>
    <w:p>
      <w:pPr>
        <w:pStyle w:val="ListParagraph"/>
        <w:numPr>
          <w:ilvl w:val="0"/>
          <w:numId w:val="14"/>
        </w:numPr>
        <w:tabs>
          <w:tab w:pos="1589" w:val="left" w:leader="none"/>
        </w:tabs>
        <w:spacing w:line="276" w:lineRule="auto" w:before="156" w:after="0"/>
        <w:ind w:left="868" w:right="294" w:firstLine="0"/>
        <w:jc w:val="both"/>
        <w:rPr>
          <w:sz w:val="22"/>
        </w:rPr>
      </w:pPr>
      <w:r>
        <w:rPr>
          <w:sz w:val="22"/>
        </w:rPr>
        <w:t>Temporary impacts on mobility and access of people due to construction of the Project will surface during the construction, which will be managed by the civil works contractors during the construction period and contractors will ensure no inconvenience to the people. These activities would affect all populations within the corridor, including minority</w:t>
      </w:r>
      <w:r>
        <w:rPr>
          <w:spacing w:val="-14"/>
          <w:sz w:val="22"/>
        </w:rPr>
        <w:t> </w:t>
      </w:r>
      <w:r>
        <w:rPr>
          <w:sz w:val="22"/>
        </w:rPr>
        <w:t>and</w:t>
      </w:r>
      <w:r>
        <w:rPr>
          <w:spacing w:val="-15"/>
          <w:sz w:val="22"/>
        </w:rPr>
        <w:t> </w:t>
      </w:r>
      <w:r>
        <w:rPr>
          <w:sz w:val="22"/>
        </w:rPr>
        <w:t>low-income</w:t>
      </w:r>
      <w:r>
        <w:rPr>
          <w:spacing w:val="-14"/>
          <w:sz w:val="22"/>
        </w:rPr>
        <w:t> </w:t>
      </w:r>
      <w:r>
        <w:rPr>
          <w:sz w:val="22"/>
        </w:rPr>
        <w:t>populations,</w:t>
      </w:r>
      <w:r>
        <w:rPr>
          <w:spacing w:val="-11"/>
          <w:sz w:val="22"/>
        </w:rPr>
        <w:t> </w:t>
      </w:r>
      <w:r>
        <w:rPr>
          <w:sz w:val="22"/>
        </w:rPr>
        <w:t>and</w:t>
      </w:r>
      <w:r>
        <w:rPr>
          <w:spacing w:val="-12"/>
          <w:sz w:val="22"/>
        </w:rPr>
        <w:t> </w:t>
      </w:r>
      <w:r>
        <w:rPr>
          <w:sz w:val="22"/>
        </w:rPr>
        <w:t>would</w:t>
      </w:r>
      <w:r>
        <w:rPr>
          <w:spacing w:val="-12"/>
          <w:sz w:val="22"/>
        </w:rPr>
        <w:t> </w:t>
      </w:r>
      <w:r>
        <w:rPr>
          <w:sz w:val="22"/>
        </w:rPr>
        <w:t>consist</w:t>
      </w:r>
      <w:r>
        <w:rPr>
          <w:spacing w:val="-10"/>
          <w:sz w:val="22"/>
        </w:rPr>
        <w:t> </w:t>
      </w:r>
      <w:r>
        <w:rPr>
          <w:sz w:val="22"/>
        </w:rPr>
        <w:t>of</w:t>
      </w:r>
      <w:r>
        <w:rPr>
          <w:spacing w:val="-13"/>
          <w:sz w:val="22"/>
        </w:rPr>
        <w:t> </w:t>
      </w:r>
      <w:r>
        <w:rPr>
          <w:sz w:val="22"/>
        </w:rPr>
        <w:t>repaving</w:t>
      </w:r>
      <w:r>
        <w:rPr>
          <w:spacing w:val="-12"/>
          <w:sz w:val="22"/>
        </w:rPr>
        <w:t> </w:t>
      </w:r>
      <w:r>
        <w:rPr>
          <w:sz w:val="22"/>
        </w:rPr>
        <w:t>and</w:t>
      </w:r>
      <w:r>
        <w:rPr>
          <w:spacing w:val="-15"/>
          <w:sz w:val="22"/>
        </w:rPr>
        <w:t> </w:t>
      </w:r>
      <w:r>
        <w:rPr>
          <w:sz w:val="22"/>
        </w:rPr>
        <w:t>restriping</w:t>
      </w:r>
      <w:r>
        <w:rPr>
          <w:spacing w:val="-12"/>
          <w:sz w:val="22"/>
        </w:rPr>
        <w:t> </w:t>
      </w:r>
      <w:r>
        <w:rPr>
          <w:sz w:val="22"/>
        </w:rPr>
        <w:t>of</w:t>
      </w:r>
      <w:r>
        <w:rPr>
          <w:spacing w:val="-11"/>
          <w:sz w:val="22"/>
        </w:rPr>
        <w:t> </w:t>
      </w:r>
      <w:r>
        <w:rPr>
          <w:sz w:val="22"/>
        </w:rPr>
        <w:t>lanes, sidewalk improvements, temporary lane and sidewalk closures, and placement of shelters and</w:t>
      </w:r>
      <w:r>
        <w:rPr>
          <w:spacing w:val="-14"/>
          <w:sz w:val="22"/>
        </w:rPr>
        <w:t> </w:t>
      </w:r>
      <w:r>
        <w:rPr>
          <w:sz w:val="22"/>
        </w:rPr>
        <w:t>other</w:t>
      </w:r>
      <w:r>
        <w:rPr>
          <w:spacing w:val="-14"/>
          <w:sz w:val="22"/>
        </w:rPr>
        <w:t> </w:t>
      </w:r>
      <w:r>
        <w:rPr>
          <w:sz w:val="22"/>
        </w:rPr>
        <w:t>BRT</w:t>
      </w:r>
      <w:r>
        <w:rPr>
          <w:spacing w:val="-15"/>
          <w:sz w:val="22"/>
        </w:rPr>
        <w:t> </w:t>
      </w:r>
      <w:r>
        <w:rPr>
          <w:sz w:val="22"/>
        </w:rPr>
        <w:t>station</w:t>
      </w:r>
      <w:r>
        <w:rPr>
          <w:spacing w:val="-17"/>
          <w:sz w:val="22"/>
        </w:rPr>
        <w:t> </w:t>
      </w:r>
      <w:r>
        <w:rPr>
          <w:sz w:val="22"/>
        </w:rPr>
        <w:t>features.</w:t>
      </w:r>
      <w:r>
        <w:rPr>
          <w:spacing w:val="-16"/>
          <w:sz w:val="22"/>
        </w:rPr>
        <w:t> </w:t>
      </w:r>
      <w:r>
        <w:rPr>
          <w:sz w:val="22"/>
        </w:rPr>
        <w:t>Temporary</w:t>
      </w:r>
      <w:r>
        <w:rPr>
          <w:spacing w:val="-16"/>
          <w:sz w:val="22"/>
        </w:rPr>
        <w:t> </w:t>
      </w:r>
      <w:r>
        <w:rPr>
          <w:sz w:val="22"/>
        </w:rPr>
        <w:t>traffic</w:t>
      </w:r>
      <w:r>
        <w:rPr>
          <w:spacing w:val="-19"/>
          <w:sz w:val="22"/>
        </w:rPr>
        <w:t> </w:t>
      </w:r>
      <w:r>
        <w:rPr>
          <w:sz w:val="22"/>
        </w:rPr>
        <w:t>delays</w:t>
      </w:r>
      <w:r>
        <w:rPr>
          <w:spacing w:val="-12"/>
          <w:sz w:val="22"/>
        </w:rPr>
        <w:t> </w:t>
      </w:r>
      <w:r>
        <w:rPr>
          <w:sz w:val="22"/>
        </w:rPr>
        <w:t>would</w:t>
      </w:r>
      <w:r>
        <w:rPr>
          <w:spacing w:val="-14"/>
          <w:sz w:val="22"/>
        </w:rPr>
        <w:t> </w:t>
      </w:r>
      <w:r>
        <w:rPr>
          <w:sz w:val="22"/>
        </w:rPr>
        <w:t>be</w:t>
      </w:r>
      <w:r>
        <w:rPr>
          <w:spacing w:val="-15"/>
          <w:sz w:val="22"/>
        </w:rPr>
        <w:t> </w:t>
      </w:r>
      <w:r>
        <w:rPr>
          <w:sz w:val="22"/>
        </w:rPr>
        <w:t>likely</w:t>
      </w:r>
      <w:r>
        <w:rPr>
          <w:spacing w:val="-17"/>
          <w:sz w:val="22"/>
        </w:rPr>
        <w:t> </w:t>
      </w:r>
      <w:r>
        <w:rPr>
          <w:sz w:val="22"/>
        </w:rPr>
        <w:t>during</w:t>
      </w:r>
      <w:r>
        <w:rPr>
          <w:spacing w:val="-15"/>
          <w:sz w:val="22"/>
        </w:rPr>
        <w:t> </w:t>
      </w:r>
      <w:r>
        <w:rPr>
          <w:sz w:val="22"/>
        </w:rPr>
        <w:t>construction and detours would be provided to maintain access for motorists, transit riders, and pedestrians. Construction would be staged so as to limit impacts to the surrounding communities.</w:t>
      </w:r>
    </w:p>
    <w:p>
      <w:pPr>
        <w:pStyle w:val="ListParagraph"/>
        <w:numPr>
          <w:ilvl w:val="0"/>
          <w:numId w:val="14"/>
        </w:numPr>
        <w:tabs>
          <w:tab w:pos="1649" w:val="left" w:leader="none"/>
        </w:tabs>
        <w:spacing w:line="276" w:lineRule="auto" w:before="120" w:after="0"/>
        <w:ind w:left="868" w:right="294" w:firstLine="0"/>
        <w:jc w:val="both"/>
        <w:rPr>
          <w:sz w:val="22"/>
        </w:rPr>
      </w:pPr>
      <w:r>
        <w:rPr>
          <w:sz w:val="22"/>
        </w:rPr>
        <w:t>The</w:t>
      </w:r>
      <w:r>
        <w:rPr>
          <w:spacing w:val="-12"/>
          <w:sz w:val="22"/>
        </w:rPr>
        <w:t> </w:t>
      </w:r>
      <w:r>
        <w:rPr>
          <w:sz w:val="22"/>
        </w:rPr>
        <w:t>contractors</w:t>
      </w:r>
      <w:r>
        <w:rPr>
          <w:spacing w:val="-14"/>
          <w:sz w:val="22"/>
        </w:rPr>
        <w:t> </w:t>
      </w:r>
      <w:r>
        <w:rPr>
          <w:sz w:val="22"/>
        </w:rPr>
        <w:t>will</w:t>
      </w:r>
      <w:r>
        <w:rPr>
          <w:spacing w:val="-13"/>
          <w:sz w:val="22"/>
        </w:rPr>
        <w:t> </w:t>
      </w:r>
      <w:r>
        <w:rPr>
          <w:sz w:val="22"/>
        </w:rPr>
        <w:t>ensure</w:t>
      </w:r>
      <w:r>
        <w:rPr>
          <w:spacing w:val="-14"/>
          <w:sz w:val="22"/>
        </w:rPr>
        <w:t> </w:t>
      </w:r>
      <w:r>
        <w:rPr>
          <w:sz w:val="22"/>
        </w:rPr>
        <w:t>that</w:t>
      </w:r>
      <w:r>
        <w:rPr>
          <w:spacing w:val="-16"/>
          <w:sz w:val="22"/>
        </w:rPr>
        <w:t> </w:t>
      </w:r>
      <w:r>
        <w:rPr>
          <w:sz w:val="22"/>
        </w:rPr>
        <w:t>the</w:t>
      </w:r>
      <w:r>
        <w:rPr>
          <w:spacing w:val="-12"/>
          <w:sz w:val="22"/>
        </w:rPr>
        <w:t> </w:t>
      </w:r>
      <w:r>
        <w:rPr>
          <w:sz w:val="22"/>
        </w:rPr>
        <w:t>construction</w:t>
      </w:r>
      <w:r>
        <w:rPr>
          <w:spacing w:val="-15"/>
          <w:sz w:val="22"/>
        </w:rPr>
        <w:t> </w:t>
      </w:r>
      <w:r>
        <w:rPr>
          <w:sz w:val="22"/>
        </w:rPr>
        <w:t>related</w:t>
      </w:r>
      <w:r>
        <w:rPr>
          <w:spacing w:val="-12"/>
          <w:sz w:val="22"/>
        </w:rPr>
        <w:t> </w:t>
      </w:r>
      <w:r>
        <w:rPr>
          <w:sz w:val="22"/>
        </w:rPr>
        <w:t>activities</w:t>
      </w:r>
      <w:r>
        <w:rPr>
          <w:spacing w:val="-12"/>
          <w:sz w:val="22"/>
        </w:rPr>
        <w:t> </w:t>
      </w:r>
      <w:r>
        <w:rPr>
          <w:sz w:val="22"/>
        </w:rPr>
        <w:t>would</w:t>
      </w:r>
      <w:r>
        <w:rPr>
          <w:spacing w:val="-12"/>
          <w:sz w:val="22"/>
        </w:rPr>
        <w:t> </w:t>
      </w:r>
      <w:r>
        <w:rPr>
          <w:sz w:val="22"/>
        </w:rPr>
        <w:t>be</w:t>
      </w:r>
      <w:r>
        <w:rPr>
          <w:spacing w:val="-10"/>
          <w:sz w:val="22"/>
        </w:rPr>
        <w:t> </w:t>
      </w:r>
      <w:r>
        <w:rPr>
          <w:sz w:val="22"/>
        </w:rPr>
        <w:t>minimal and temporary at any one location along the project corridor and would be similar throughout the corridor. Contractors would also keep community members apprised of construction schedules in readily accessible public locations as well as on the SMTA website and seek community input when developing construction plans. A traffic management</w:t>
      </w:r>
      <w:r>
        <w:rPr>
          <w:spacing w:val="-8"/>
          <w:sz w:val="22"/>
        </w:rPr>
        <w:t> </w:t>
      </w:r>
      <w:r>
        <w:rPr>
          <w:sz w:val="22"/>
        </w:rPr>
        <w:t>plan</w:t>
      </w:r>
      <w:r>
        <w:rPr>
          <w:spacing w:val="-9"/>
          <w:sz w:val="22"/>
        </w:rPr>
        <w:t> </w:t>
      </w:r>
      <w:r>
        <w:rPr>
          <w:sz w:val="22"/>
        </w:rPr>
        <w:t>will</w:t>
      </w:r>
      <w:r>
        <w:rPr>
          <w:spacing w:val="-9"/>
          <w:sz w:val="22"/>
        </w:rPr>
        <w:t> </w:t>
      </w:r>
      <w:r>
        <w:rPr>
          <w:sz w:val="22"/>
        </w:rPr>
        <w:t>also</w:t>
      </w:r>
      <w:r>
        <w:rPr>
          <w:spacing w:val="-9"/>
          <w:sz w:val="22"/>
        </w:rPr>
        <w:t> </w:t>
      </w:r>
      <w:r>
        <w:rPr>
          <w:sz w:val="22"/>
        </w:rPr>
        <w:t>be</w:t>
      </w:r>
      <w:r>
        <w:rPr>
          <w:spacing w:val="-9"/>
          <w:sz w:val="22"/>
        </w:rPr>
        <w:t> </w:t>
      </w:r>
      <w:r>
        <w:rPr>
          <w:sz w:val="22"/>
        </w:rPr>
        <w:t>prepared</w:t>
      </w:r>
      <w:r>
        <w:rPr>
          <w:spacing w:val="-11"/>
          <w:sz w:val="22"/>
        </w:rPr>
        <w:t> </w:t>
      </w:r>
      <w:r>
        <w:rPr>
          <w:sz w:val="22"/>
        </w:rPr>
        <w:t>for</w:t>
      </w:r>
      <w:r>
        <w:rPr>
          <w:spacing w:val="-10"/>
          <w:sz w:val="22"/>
        </w:rPr>
        <w:t> </w:t>
      </w:r>
      <w:r>
        <w:rPr>
          <w:sz w:val="22"/>
        </w:rPr>
        <w:t>this</w:t>
      </w:r>
      <w:r>
        <w:rPr>
          <w:spacing w:val="-8"/>
          <w:sz w:val="22"/>
        </w:rPr>
        <w:t> </w:t>
      </w:r>
      <w:r>
        <w:rPr>
          <w:sz w:val="22"/>
        </w:rPr>
        <w:t>purpose</w:t>
      </w:r>
      <w:r>
        <w:rPr>
          <w:spacing w:val="-9"/>
          <w:sz w:val="22"/>
        </w:rPr>
        <w:t> </w:t>
      </w:r>
      <w:r>
        <w:rPr>
          <w:sz w:val="22"/>
        </w:rPr>
        <w:t>as</w:t>
      </w:r>
      <w:r>
        <w:rPr>
          <w:spacing w:val="-9"/>
          <w:sz w:val="22"/>
        </w:rPr>
        <w:t> </w:t>
      </w:r>
      <w:r>
        <w:rPr>
          <w:sz w:val="22"/>
        </w:rPr>
        <w:t>part</w:t>
      </w:r>
      <w:r>
        <w:rPr>
          <w:spacing w:val="-8"/>
          <w:sz w:val="22"/>
        </w:rPr>
        <w:t> </w:t>
      </w:r>
      <w:r>
        <w:rPr>
          <w:sz w:val="22"/>
        </w:rPr>
        <w:t>of</w:t>
      </w:r>
      <w:r>
        <w:rPr>
          <w:spacing w:val="-10"/>
          <w:sz w:val="22"/>
        </w:rPr>
        <w:t> </w:t>
      </w:r>
      <w:r>
        <w:rPr>
          <w:sz w:val="22"/>
        </w:rPr>
        <w:t>the</w:t>
      </w:r>
      <w:r>
        <w:rPr>
          <w:spacing w:val="-9"/>
          <w:sz w:val="22"/>
        </w:rPr>
        <w:t> </w:t>
      </w:r>
      <w:r>
        <w:rPr>
          <w:sz w:val="22"/>
        </w:rPr>
        <w:t>EMP.</w:t>
      </w:r>
      <w:r>
        <w:rPr>
          <w:spacing w:val="-8"/>
          <w:sz w:val="22"/>
        </w:rPr>
        <w:t> </w:t>
      </w:r>
      <w:r>
        <w:rPr>
          <w:sz w:val="22"/>
        </w:rPr>
        <w:t>The</w:t>
      </w:r>
      <w:r>
        <w:rPr>
          <w:spacing w:val="-11"/>
          <w:sz w:val="22"/>
        </w:rPr>
        <w:t> </w:t>
      </w:r>
      <w:r>
        <w:rPr>
          <w:sz w:val="22"/>
        </w:rPr>
        <w:t>contractor has to identify the impacts and address them during the</w:t>
      </w:r>
      <w:r>
        <w:rPr>
          <w:spacing w:val="-19"/>
          <w:sz w:val="22"/>
        </w:rPr>
        <w:t> </w:t>
      </w:r>
      <w:r>
        <w:rPr>
          <w:sz w:val="22"/>
        </w:rPr>
        <w:t>construction.</w:t>
      </w:r>
    </w:p>
    <w:p>
      <w:pPr>
        <w:pStyle w:val="BodyText"/>
        <w:spacing w:before="10"/>
        <w:rPr>
          <w:sz w:val="20"/>
        </w:rPr>
      </w:pPr>
    </w:p>
    <w:p>
      <w:pPr>
        <w:pStyle w:val="Heading3"/>
        <w:numPr>
          <w:ilvl w:val="2"/>
          <w:numId w:val="16"/>
        </w:numPr>
        <w:tabs>
          <w:tab w:pos="1589" w:val="left" w:leader="none"/>
        </w:tabs>
        <w:spacing w:line="240" w:lineRule="auto" w:before="0" w:after="0"/>
        <w:ind w:left="1588" w:right="0" w:hanging="720"/>
        <w:jc w:val="both"/>
      </w:pPr>
      <w:bookmarkStart w:name="_bookmark30" w:id="48"/>
      <w:bookmarkEnd w:id="48"/>
      <w:r>
        <w:rPr>
          <w:b w:val="0"/>
        </w:rPr>
      </w:r>
      <w:bookmarkStart w:name="_bookmark30" w:id="49"/>
      <w:bookmarkEnd w:id="49"/>
      <w:r>
        <w:rPr>
          <w:color w:val="0D0D0D"/>
        </w:rPr>
        <w:t>T</w:t>
      </w:r>
      <w:r>
        <w:rPr>
          <w:color w:val="0D0D0D"/>
        </w:rPr>
        <w:t>emporary use of</w:t>
      </w:r>
      <w:r>
        <w:rPr>
          <w:color w:val="0D0D0D"/>
          <w:spacing w:val="-2"/>
        </w:rPr>
        <w:t> </w:t>
      </w:r>
      <w:r>
        <w:rPr>
          <w:color w:val="0D0D0D"/>
        </w:rPr>
        <w:t>land</w:t>
      </w:r>
    </w:p>
    <w:p>
      <w:pPr>
        <w:pStyle w:val="ListParagraph"/>
        <w:numPr>
          <w:ilvl w:val="0"/>
          <w:numId w:val="14"/>
        </w:numPr>
        <w:tabs>
          <w:tab w:pos="1589" w:val="left" w:leader="none"/>
        </w:tabs>
        <w:spacing w:line="276" w:lineRule="auto" w:before="156" w:after="0"/>
        <w:ind w:left="868" w:right="291" w:firstLine="0"/>
        <w:jc w:val="both"/>
        <w:rPr>
          <w:sz w:val="22"/>
        </w:rPr>
      </w:pPr>
      <w:r>
        <w:rPr>
          <w:sz w:val="22"/>
        </w:rPr>
        <w:t>Currently, it is not possible to know the size of temporary land use at this stage, However,</w:t>
      </w:r>
      <w:r>
        <w:rPr>
          <w:spacing w:val="-6"/>
          <w:sz w:val="22"/>
        </w:rPr>
        <w:t> </w:t>
      </w:r>
      <w:r>
        <w:rPr>
          <w:sz w:val="22"/>
        </w:rPr>
        <w:t>if</w:t>
      </w:r>
      <w:r>
        <w:rPr>
          <w:spacing w:val="-6"/>
          <w:sz w:val="22"/>
        </w:rPr>
        <w:t> </w:t>
      </w:r>
      <w:r>
        <w:rPr>
          <w:sz w:val="22"/>
        </w:rPr>
        <w:t>required</w:t>
      </w:r>
      <w:r>
        <w:rPr>
          <w:spacing w:val="-10"/>
          <w:sz w:val="22"/>
        </w:rPr>
        <w:t> </w:t>
      </w:r>
      <w:r>
        <w:rPr>
          <w:sz w:val="22"/>
        </w:rPr>
        <w:t>for</w:t>
      </w:r>
      <w:r>
        <w:rPr>
          <w:spacing w:val="-9"/>
          <w:sz w:val="22"/>
        </w:rPr>
        <w:t> </w:t>
      </w:r>
      <w:r>
        <w:rPr>
          <w:sz w:val="22"/>
        </w:rPr>
        <w:t>project</w:t>
      </w:r>
      <w:r>
        <w:rPr>
          <w:spacing w:val="-9"/>
          <w:sz w:val="22"/>
        </w:rPr>
        <w:t> </w:t>
      </w:r>
      <w:r>
        <w:rPr>
          <w:sz w:val="22"/>
        </w:rPr>
        <w:t>contractor’s</w:t>
      </w:r>
      <w:r>
        <w:rPr>
          <w:spacing w:val="-9"/>
          <w:sz w:val="22"/>
        </w:rPr>
        <w:t> </w:t>
      </w:r>
      <w:r>
        <w:rPr>
          <w:sz w:val="22"/>
        </w:rPr>
        <w:t>facilities</w:t>
      </w:r>
      <w:r>
        <w:rPr>
          <w:spacing w:val="-7"/>
          <w:sz w:val="22"/>
        </w:rPr>
        <w:t> </w:t>
      </w:r>
      <w:r>
        <w:rPr>
          <w:sz w:val="22"/>
        </w:rPr>
        <w:t>like</w:t>
      </w:r>
      <w:r>
        <w:rPr>
          <w:spacing w:val="-10"/>
          <w:sz w:val="22"/>
        </w:rPr>
        <w:t> </w:t>
      </w:r>
      <w:r>
        <w:rPr>
          <w:sz w:val="22"/>
        </w:rPr>
        <w:t>camps</w:t>
      </w:r>
      <w:r>
        <w:rPr>
          <w:spacing w:val="-7"/>
          <w:sz w:val="22"/>
        </w:rPr>
        <w:t> </w:t>
      </w:r>
      <w:r>
        <w:rPr>
          <w:sz w:val="22"/>
        </w:rPr>
        <w:t>sites,</w:t>
      </w:r>
      <w:r>
        <w:rPr>
          <w:spacing w:val="-9"/>
          <w:sz w:val="22"/>
        </w:rPr>
        <w:t> </w:t>
      </w:r>
      <w:r>
        <w:rPr>
          <w:sz w:val="22"/>
        </w:rPr>
        <w:t>stack</w:t>
      </w:r>
      <w:r>
        <w:rPr>
          <w:spacing w:val="-7"/>
          <w:sz w:val="22"/>
        </w:rPr>
        <w:t> </w:t>
      </w:r>
      <w:r>
        <w:rPr>
          <w:sz w:val="22"/>
        </w:rPr>
        <w:t>yards,</w:t>
      </w:r>
      <w:r>
        <w:rPr>
          <w:spacing w:val="-8"/>
          <w:sz w:val="22"/>
        </w:rPr>
        <w:t> </w:t>
      </w:r>
      <w:r>
        <w:rPr>
          <w:sz w:val="22"/>
        </w:rPr>
        <w:t>etc.,</w:t>
      </w:r>
      <w:r>
        <w:rPr>
          <w:spacing w:val="-8"/>
          <w:sz w:val="22"/>
        </w:rPr>
        <w:t> </w:t>
      </w:r>
      <w:r>
        <w:rPr>
          <w:sz w:val="22"/>
        </w:rPr>
        <w:t>will be through term lease agreement between the civil works contractor and the land owners. The Contractor will directly negotiate with the respective land owners to agree on terms and conditions of leasing arrangement for temporary use of land and accordingly a lease agreement can be signed between the contractor and the respective land</w:t>
      </w:r>
      <w:r>
        <w:rPr>
          <w:spacing w:val="-21"/>
          <w:sz w:val="22"/>
        </w:rPr>
        <w:t> </w:t>
      </w:r>
      <w:r>
        <w:rPr>
          <w:sz w:val="22"/>
        </w:rPr>
        <w:t>owners.</w:t>
      </w:r>
    </w:p>
    <w:p>
      <w:pPr>
        <w:spacing w:after="0" w:line="276" w:lineRule="auto"/>
        <w:jc w:val="both"/>
        <w:rPr>
          <w:sz w:val="22"/>
        </w:rPr>
        <w:sectPr>
          <w:pgSz w:w="11910" w:h="16840"/>
          <w:pgMar w:header="583" w:footer="575" w:top="840" w:bottom="760" w:left="860" w:right="1140"/>
        </w:sectPr>
      </w:pPr>
    </w:p>
    <w:p>
      <w:pPr>
        <w:pStyle w:val="BodyText"/>
        <w:rPr>
          <w:sz w:val="20"/>
        </w:rPr>
      </w:pPr>
    </w:p>
    <w:p>
      <w:pPr>
        <w:pStyle w:val="BodyText"/>
        <w:rPr>
          <w:sz w:val="20"/>
        </w:rPr>
      </w:pPr>
    </w:p>
    <w:p>
      <w:pPr>
        <w:pStyle w:val="BodyText"/>
        <w:rPr>
          <w:sz w:val="28"/>
        </w:rPr>
      </w:pPr>
    </w:p>
    <w:p>
      <w:pPr>
        <w:pStyle w:val="Heading2"/>
        <w:numPr>
          <w:ilvl w:val="0"/>
          <w:numId w:val="17"/>
        </w:numPr>
        <w:tabs>
          <w:tab w:pos="1301" w:val="left" w:leader="none"/>
        </w:tabs>
        <w:spacing w:line="240" w:lineRule="auto" w:before="92" w:after="0"/>
        <w:ind w:left="1300" w:right="0" w:hanging="432"/>
        <w:jc w:val="both"/>
      </w:pPr>
      <w:bookmarkStart w:name="_bookmark31" w:id="50"/>
      <w:bookmarkEnd w:id="50"/>
      <w:r>
        <w:rPr>
          <w:b w:val="0"/>
        </w:rPr>
      </w:r>
      <w:bookmarkStart w:name="_bookmark31" w:id="51"/>
      <w:bookmarkEnd w:id="51"/>
      <w:r>
        <w:rPr/>
        <w:t>S</w:t>
      </w:r>
      <w:r>
        <w:rPr/>
        <w:t>OCIO-ECONOMIC PROFILES OF</w:t>
      </w:r>
      <w:r>
        <w:rPr>
          <w:spacing w:val="-7"/>
        </w:rPr>
        <w:t> </w:t>
      </w:r>
      <w:r>
        <w:rPr/>
        <w:t>PAPs</w:t>
      </w:r>
    </w:p>
    <w:p>
      <w:pPr>
        <w:pStyle w:val="BodyText"/>
        <w:spacing w:before="3"/>
        <w:rPr>
          <w:b/>
          <w:sz w:val="31"/>
        </w:rPr>
      </w:pPr>
    </w:p>
    <w:p>
      <w:pPr>
        <w:pStyle w:val="Heading2"/>
        <w:numPr>
          <w:ilvl w:val="1"/>
          <w:numId w:val="17"/>
        </w:numPr>
        <w:tabs>
          <w:tab w:pos="1445" w:val="left" w:leader="none"/>
        </w:tabs>
        <w:spacing w:line="240" w:lineRule="auto" w:before="0" w:after="0"/>
        <w:ind w:left="1444" w:right="0" w:hanging="576"/>
        <w:jc w:val="both"/>
      </w:pPr>
      <w:bookmarkStart w:name="_bookmark32" w:id="52"/>
      <w:bookmarkEnd w:id="52"/>
      <w:r>
        <w:rPr>
          <w:b w:val="0"/>
        </w:rPr>
      </w:r>
      <w:bookmarkStart w:name="_bookmark32" w:id="53"/>
      <w:bookmarkEnd w:id="53"/>
      <w:r>
        <w:rPr/>
        <w:t>O</w:t>
      </w:r>
      <w:r>
        <w:rPr/>
        <w:t>verview</w:t>
      </w:r>
    </w:p>
    <w:p>
      <w:pPr>
        <w:pStyle w:val="BodyText"/>
        <w:spacing w:line="276" w:lineRule="auto" w:before="160"/>
        <w:ind w:left="868" w:right="151"/>
        <w:jc w:val="both"/>
      </w:pPr>
      <w:r>
        <w:rPr/>
        <w:t>31 In this Section, the demographic and socio-economic characteristics of the informal vendors are described based on findings from the census and socio-economic survey conducted during February 2019. The main objective of the section is to analyse socioeconomic and cultural characteristics of the PAPs such as demography, literacy, income, and employment, to provide the context of persons are being impacted by the Project.</w:t>
      </w:r>
    </w:p>
    <w:p>
      <w:pPr>
        <w:pStyle w:val="BodyText"/>
        <w:spacing w:before="1"/>
        <w:rPr>
          <w:sz w:val="21"/>
        </w:rPr>
      </w:pPr>
    </w:p>
    <w:p>
      <w:pPr>
        <w:pStyle w:val="Heading2"/>
        <w:numPr>
          <w:ilvl w:val="1"/>
          <w:numId w:val="17"/>
        </w:numPr>
        <w:tabs>
          <w:tab w:pos="1445" w:val="left" w:leader="none"/>
        </w:tabs>
        <w:spacing w:line="240" w:lineRule="auto" w:before="0" w:after="0"/>
        <w:ind w:left="1444" w:right="0" w:hanging="576"/>
        <w:jc w:val="both"/>
      </w:pPr>
      <w:bookmarkStart w:name="_bookmark33" w:id="54"/>
      <w:bookmarkEnd w:id="54"/>
      <w:r>
        <w:rPr>
          <w:b w:val="0"/>
        </w:rPr>
      </w:r>
      <w:bookmarkStart w:name="_bookmark33" w:id="55"/>
      <w:bookmarkEnd w:id="55"/>
      <w:r>
        <w:rPr/>
        <w:t>Demogr</w:t>
      </w:r>
      <w:r>
        <w:rPr/>
        <w:t>aphic</w:t>
      </w:r>
      <w:r>
        <w:rPr>
          <w:spacing w:val="-5"/>
        </w:rPr>
        <w:t> </w:t>
      </w:r>
      <w:r>
        <w:rPr/>
        <w:t>Characteristics</w:t>
      </w:r>
    </w:p>
    <w:p>
      <w:pPr>
        <w:pStyle w:val="ListParagraph"/>
        <w:numPr>
          <w:ilvl w:val="0"/>
          <w:numId w:val="18"/>
        </w:numPr>
        <w:tabs>
          <w:tab w:pos="1589" w:val="left" w:leader="none"/>
        </w:tabs>
        <w:spacing w:line="276" w:lineRule="auto" w:before="160" w:after="0"/>
        <w:ind w:left="868" w:right="157" w:firstLine="0"/>
        <w:jc w:val="both"/>
        <w:rPr>
          <w:sz w:val="22"/>
        </w:rPr>
      </w:pPr>
      <w:r>
        <w:rPr/>
        <w:pict>
          <v:group style="position:absolute;margin-left:141.044998pt;margin-top:86.312843pt;width:292.5pt;height:139.5pt;mso-position-horizontal-relative:page;mso-position-vertical-relative:paragraph;z-index:1288;mso-wrap-distance-left:0;mso-wrap-distance-right:0" coordorigin="2821,1726" coordsize="5850,2790">
            <v:shape style="position:absolute;left:2828;top:1734;width:5835;height:2775" type="#_x0000_t75" stroked="false">
              <v:imagedata r:id="rId20" o:title=""/>
            </v:shape>
            <v:shape style="position:absolute;left:3552;top:1873;width:4895;height:2260" type="#_x0000_t75" stroked="false">
              <v:imagedata r:id="rId21" o:title=""/>
            </v:shape>
            <v:line style="position:absolute" from="3591,4098" to="3530,4098" stroked="true" strokeweight="1.5pt" strokecolor="#ffffff">
              <v:stroke dashstyle="solid"/>
            </v:line>
            <v:line style="position:absolute" from="3591,3760" to="3530,3760" stroked="true" strokeweight="1.5pt" strokecolor="#ffffff">
              <v:stroke dashstyle="solid"/>
            </v:line>
            <v:line style="position:absolute" from="3591,3424" to="3530,3424" stroked="true" strokeweight="1.5pt" strokecolor="#ffffff">
              <v:stroke dashstyle="solid"/>
            </v:line>
            <v:line style="position:absolute" from="3591,3085" to="3530,3085" stroked="true" strokeweight="1.5pt" strokecolor="#ffffff">
              <v:stroke dashstyle="solid"/>
            </v:line>
            <v:line style="position:absolute" from="3591,2747" to="3530,2747" stroked="true" strokeweight="1.5pt" strokecolor="#ffffff">
              <v:stroke dashstyle="solid"/>
            </v:line>
            <v:line style="position:absolute" from="3591,2411" to="3530,2411" stroked="true" strokeweight="1.5pt" strokecolor="#ffffff">
              <v:stroke dashstyle="solid"/>
            </v:line>
            <v:line style="position:absolute" from="3591,2072" to="3530,2072" stroked="true" strokeweight="1.5pt" strokecolor="#ffffff">
              <v:stroke dashstyle="solid"/>
            </v:line>
            <v:line style="position:absolute" from="3591,4099" to="3591,4159" stroked="true" strokeweight="1.5pt" strokecolor="#ffffff">
              <v:stroke dashstyle="solid"/>
            </v:line>
            <v:line style="position:absolute" from="5894,4099" to="5894,4159" stroked="true" strokeweight="1.5pt" strokecolor="#ffffff">
              <v:stroke dashstyle="solid"/>
            </v:line>
            <v:line style="position:absolute" from="8200,4099" to="8200,4159" stroked="true" strokeweight="1.5pt" strokecolor="#ffffff">
              <v:stroke dashstyle="solid"/>
            </v:line>
            <v:rect style="position:absolute;left:2828;top:1734;width:5835;height:2775" filled="false" stroked="true" strokeweight=".75pt" strokecolor="#858585">
              <v:stroke dashstyle="solid"/>
            </v:rect>
            <v:shape style="position:absolute;left:3018;top:1961;width:420;height:2249" type="#_x0000_t202" filled="false" stroked="false">
              <v:textbox inset="0,0,0,0">
                <w:txbxContent>
                  <w:p>
                    <w:pPr>
                      <w:spacing w:line="223" w:lineRule="exact" w:before="0"/>
                      <w:ind w:left="0" w:right="18" w:firstLine="0"/>
                      <w:jc w:val="center"/>
                      <w:rPr>
                        <w:sz w:val="20"/>
                      </w:rPr>
                    </w:pPr>
                    <w:r>
                      <w:rPr>
                        <w:sz w:val="20"/>
                      </w:rPr>
                      <w:t>60%</w:t>
                    </w:r>
                  </w:p>
                  <w:p>
                    <w:pPr>
                      <w:spacing w:before="108"/>
                      <w:ind w:left="0" w:right="18" w:firstLine="0"/>
                      <w:jc w:val="center"/>
                      <w:rPr>
                        <w:sz w:val="20"/>
                      </w:rPr>
                    </w:pPr>
                    <w:r>
                      <w:rPr>
                        <w:sz w:val="20"/>
                      </w:rPr>
                      <w:t>50%</w:t>
                    </w:r>
                  </w:p>
                  <w:p>
                    <w:pPr>
                      <w:spacing w:before="107"/>
                      <w:ind w:left="0" w:right="18" w:firstLine="0"/>
                      <w:jc w:val="center"/>
                      <w:rPr>
                        <w:sz w:val="20"/>
                      </w:rPr>
                    </w:pPr>
                    <w:r>
                      <w:rPr>
                        <w:sz w:val="20"/>
                      </w:rPr>
                      <w:t>40%</w:t>
                    </w:r>
                  </w:p>
                  <w:p>
                    <w:pPr>
                      <w:spacing w:before="107"/>
                      <w:ind w:left="0" w:right="18" w:firstLine="0"/>
                      <w:jc w:val="center"/>
                      <w:rPr>
                        <w:sz w:val="20"/>
                      </w:rPr>
                    </w:pPr>
                    <w:r>
                      <w:rPr>
                        <w:sz w:val="20"/>
                      </w:rPr>
                      <w:t>30%</w:t>
                    </w:r>
                  </w:p>
                  <w:p>
                    <w:pPr>
                      <w:spacing w:before="108"/>
                      <w:ind w:left="0" w:right="18" w:firstLine="0"/>
                      <w:jc w:val="center"/>
                      <w:rPr>
                        <w:sz w:val="20"/>
                      </w:rPr>
                    </w:pPr>
                    <w:r>
                      <w:rPr>
                        <w:sz w:val="20"/>
                      </w:rPr>
                      <w:t>20%</w:t>
                    </w:r>
                  </w:p>
                  <w:p>
                    <w:pPr>
                      <w:spacing w:before="107"/>
                      <w:ind w:left="0" w:right="18" w:firstLine="0"/>
                      <w:jc w:val="center"/>
                      <w:rPr>
                        <w:sz w:val="20"/>
                      </w:rPr>
                    </w:pPr>
                    <w:r>
                      <w:rPr>
                        <w:sz w:val="20"/>
                      </w:rPr>
                      <w:t>10%</w:t>
                    </w:r>
                  </w:p>
                  <w:p>
                    <w:pPr>
                      <w:spacing w:before="107"/>
                      <w:ind w:left="89" w:right="0" w:firstLine="0"/>
                      <w:jc w:val="center"/>
                      <w:rPr>
                        <w:sz w:val="20"/>
                      </w:rPr>
                    </w:pPr>
                    <w:r>
                      <w:rPr>
                        <w:sz w:val="20"/>
                      </w:rPr>
                      <w:t>0%</w:t>
                    </w:r>
                  </w:p>
                </w:txbxContent>
              </v:textbox>
              <w10:wrap type="none"/>
            </v:shape>
            <v:shape style="position:absolute;left:4527;top:4220;width:453;height:223" type="#_x0000_t202" filled="false" stroked="false">
              <v:textbox inset="0,0,0,0">
                <w:txbxContent>
                  <w:p>
                    <w:pPr>
                      <w:spacing w:line="223" w:lineRule="exact" w:before="0"/>
                      <w:ind w:left="0" w:right="0" w:firstLine="0"/>
                      <w:jc w:val="left"/>
                      <w:rPr>
                        <w:sz w:val="20"/>
                      </w:rPr>
                    </w:pPr>
                    <w:r>
                      <w:rPr>
                        <w:sz w:val="20"/>
                      </w:rPr>
                      <w:t>Male</w:t>
                    </w:r>
                  </w:p>
                </w:txbxContent>
              </v:textbox>
              <w10:wrap type="none"/>
            </v:shape>
            <v:shape style="position:absolute;left:6716;top:4220;width:687;height:223" type="#_x0000_t202" filled="false" stroked="false">
              <v:textbox inset="0,0,0,0">
                <w:txbxContent>
                  <w:p>
                    <w:pPr>
                      <w:spacing w:line="223" w:lineRule="exact" w:before="0"/>
                      <w:ind w:left="0" w:right="0" w:firstLine="0"/>
                      <w:jc w:val="left"/>
                      <w:rPr>
                        <w:sz w:val="20"/>
                      </w:rPr>
                    </w:pPr>
                    <w:r>
                      <w:rPr>
                        <w:sz w:val="20"/>
                      </w:rPr>
                      <w:t>Female</w:t>
                    </w:r>
                  </w:p>
                </w:txbxContent>
              </v:textbox>
              <w10:wrap type="none"/>
            </v:shape>
            <w10:wrap type="topAndBottom"/>
          </v:group>
        </w:pict>
      </w:r>
      <w:r>
        <w:rPr>
          <w:sz w:val="22"/>
        </w:rPr>
        <w:t>There is a total of 82 PAPs including vendors, plant nursery owners and their employees who are considered Project Affected Persons (PAP) during the construction of the Project. All PAPs are resident of various localities in the Karachi City. According to the obtained census data, total population of these 82 PAP households is 518 inhabitants. Of these 55% are male and 45% are female as shown in the </w:t>
      </w:r>
      <w:r>
        <w:rPr>
          <w:b/>
          <w:sz w:val="22"/>
        </w:rPr>
        <w:t>Figure</w:t>
      </w:r>
      <w:r>
        <w:rPr>
          <w:b/>
          <w:spacing w:val="-12"/>
          <w:sz w:val="22"/>
        </w:rPr>
        <w:t> </w:t>
      </w:r>
      <w:r>
        <w:rPr>
          <w:b/>
          <w:sz w:val="22"/>
        </w:rPr>
        <w:t>4</w:t>
      </w:r>
      <w:r>
        <w:rPr>
          <w:sz w:val="22"/>
        </w:rPr>
        <w:t>.</w:t>
      </w:r>
    </w:p>
    <w:p>
      <w:pPr>
        <w:spacing w:before="204"/>
        <w:ind w:left="3465" w:right="0" w:firstLine="0"/>
        <w:jc w:val="left"/>
        <w:rPr>
          <w:sz w:val="22"/>
        </w:rPr>
      </w:pPr>
      <w:bookmarkStart w:name="_bookmark34" w:id="56"/>
      <w:bookmarkEnd w:id="56"/>
      <w:r>
        <w:rPr/>
      </w:r>
      <w:r>
        <w:rPr>
          <w:b/>
          <w:sz w:val="22"/>
        </w:rPr>
        <w:t>Figure 4: </w:t>
      </w:r>
      <w:r>
        <w:rPr>
          <w:sz w:val="22"/>
        </w:rPr>
        <w:t>Male/Female Composition</w:t>
      </w:r>
    </w:p>
    <w:p>
      <w:pPr>
        <w:pStyle w:val="BodyText"/>
        <w:spacing w:before="10"/>
        <w:rPr>
          <w:sz w:val="20"/>
        </w:rPr>
      </w:pPr>
    </w:p>
    <w:p>
      <w:pPr>
        <w:pStyle w:val="Heading3"/>
        <w:numPr>
          <w:ilvl w:val="2"/>
          <w:numId w:val="19"/>
        </w:numPr>
        <w:tabs>
          <w:tab w:pos="1589" w:val="left" w:leader="none"/>
        </w:tabs>
        <w:spacing w:line="240" w:lineRule="auto" w:before="1" w:after="0"/>
        <w:ind w:left="1588" w:right="0" w:hanging="720"/>
        <w:jc w:val="both"/>
      </w:pPr>
      <w:bookmarkStart w:name="_bookmark35" w:id="57"/>
      <w:bookmarkEnd w:id="57"/>
      <w:r>
        <w:rPr>
          <w:b w:val="0"/>
        </w:rPr>
      </w:r>
      <w:bookmarkStart w:name="_bookmark35" w:id="58"/>
      <w:bookmarkEnd w:id="58"/>
      <w:r>
        <w:rPr>
          <w:color w:val="0D0D0D"/>
        </w:rPr>
        <w:t>A</w:t>
      </w:r>
      <w:r>
        <w:rPr>
          <w:color w:val="0D0D0D"/>
        </w:rPr>
        <w:t>ge</w:t>
      </w:r>
      <w:r>
        <w:rPr>
          <w:color w:val="0D0D0D"/>
          <w:spacing w:val="-1"/>
        </w:rPr>
        <w:t> </w:t>
      </w:r>
      <w:r>
        <w:rPr>
          <w:color w:val="0D0D0D"/>
        </w:rPr>
        <w:t>Structure</w:t>
      </w:r>
    </w:p>
    <w:p>
      <w:pPr>
        <w:pStyle w:val="ListParagraph"/>
        <w:numPr>
          <w:ilvl w:val="0"/>
          <w:numId w:val="18"/>
        </w:numPr>
        <w:tabs>
          <w:tab w:pos="1589" w:val="left" w:leader="none"/>
        </w:tabs>
        <w:spacing w:line="276" w:lineRule="auto" w:before="157" w:after="0"/>
        <w:ind w:left="868" w:right="152" w:firstLine="0"/>
        <w:jc w:val="both"/>
        <w:rPr>
          <w:sz w:val="22"/>
        </w:rPr>
      </w:pPr>
      <w:r>
        <w:rPr>
          <w:sz w:val="22"/>
        </w:rPr>
        <w:t>A large number (70.7%) of PAPs comprises of 18-40 years of age, while a small population (2.4%) of PAPs comprises of below 18 years of age. About 24.4% of the PAPs population are 41-60 years of age. Above 60 years of age account for only 2.4% of the PAPs population </w:t>
      </w:r>
      <w:r>
        <w:rPr>
          <w:b/>
          <w:sz w:val="22"/>
        </w:rPr>
        <w:t>Figure</w:t>
      </w:r>
      <w:r>
        <w:rPr>
          <w:b/>
          <w:spacing w:val="-4"/>
          <w:sz w:val="22"/>
        </w:rPr>
        <w:t> </w:t>
      </w:r>
      <w:r>
        <w:rPr>
          <w:b/>
          <w:sz w:val="22"/>
        </w:rPr>
        <w:t>5</w:t>
      </w:r>
      <w:r>
        <w:rPr>
          <w:sz w:val="22"/>
        </w:rPr>
        <w:t>.</w:t>
      </w:r>
    </w:p>
    <w:p>
      <w:pPr>
        <w:pStyle w:val="ListParagraph"/>
        <w:numPr>
          <w:ilvl w:val="0"/>
          <w:numId w:val="18"/>
        </w:numPr>
        <w:tabs>
          <w:tab w:pos="1589" w:val="left" w:leader="none"/>
        </w:tabs>
        <w:spacing w:line="276" w:lineRule="auto" w:before="122" w:after="0"/>
        <w:ind w:left="868" w:right="154" w:firstLine="0"/>
        <w:jc w:val="both"/>
        <w:rPr>
          <w:sz w:val="22"/>
        </w:rPr>
      </w:pPr>
      <w:r>
        <w:rPr>
          <w:sz w:val="22"/>
        </w:rPr>
        <w:t>Gender</w:t>
      </w:r>
      <w:r>
        <w:rPr>
          <w:spacing w:val="-11"/>
          <w:sz w:val="22"/>
        </w:rPr>
        <w:t> </w:t>
      </w:r>
      <w:r>
        <w:rPr>
          <w:sz w:val="22"/>
        </w:rPr>
        <w:t>ratios</w:t>
      </w:r>
      <w:r>
        <w:rPr>
          <w:spacing w:val="-12"/>
          <w:sz w:val="22"/>
        </w:rPr>
        <w:t> </w:t>
      </w:r>
      <w:r>
        <w:rPr>
          <w:sz w:val="22"/>
        </w:rPr>
        <w:t>from</w:t>
      </w:r>
      <w:r>
        <w:rPr>
          <w:spacing w:val="-8"/>
          <w:sz w:val="22"/>
        </w:rPr>
        <w:t> </w:t>
      </w:r>
      <w:r>
        <w:rPr>
          <w:sz w:val="22"/>
        </w:rPr>
        <w:t>Figure</w:t>
      </w:r>
      <w:r>
        <w:rPr>
          <w:spacing w:val="-10"/>
          <w:sz w:val="22"/>
        </w:rPr>
        <w:t> </w:t>
      </w:r>
      <w:r>
        <w:rPr>
          <w:sz w:val="22"/>
        </w:rPr>
        <w:t>10</w:t>
      </w:r>
      <w:r>
        <w:rPr>
          <w:spacing w:val="-10"/>
          <w:sz w:val="22"/>
        </w:rPr>
        <w:t> </w:t>
      </w:r>
      <w:r>
        <w:rPr>
          <w:sz w:val="22"/>
        </w:rPr>
        <w:t>indicate</w:t>
      </w:r>
      <w:r>
        <w:rPr>
          <w:spacing w:val="-10"/>
          <w:sz w:val="22"/>
        </w:rPr>
        <w:t> </w:t>
      </w:r>
      <w:r>
        <w:rPr>
          <w:sz w:val="22"/>
        </w:rPr>
        <w:t>there</w:t>
      </w:r>
      <w:r>
        <w:rPr>
          <w:spacing w:val="-10"/>
          <w:sz w:val="22"/>
        </w:rPr>
        <w:t> </w:t>
      </w:r>
      <w:r>
        <w:rPr>
          <w:sz w:val="22"/>
        </w:rPr>
        <w:t>are</w:t>
      </w:r>
      <w:r>
        <w:rPr>
          <w:spacing w:val="-12"/>
          <w:sz w:val="22"/>
        </w:rPr>
        <w:t> </w:t>
      </w:r>
      <w:r>
        <w:rPr>
          <w:sz w:val="22"/>
        </w:rPr>
        <w:t>more</w:t>
      </w:r>
      <w:r>
        <w:rPr>
          <w:spacing w:val="-12"/>
          <w:sz w:val="22"/>
        </w:rPr>
        <w:t> </w:t>
      </w:r>
      <w:r>
        <w:rPr>
          <w:sz w:val="22"/>
        </w:rPr>
        <w:t>females</w:t>
      </w:r>
      <w:r>
        <w:rPr>
          <w:spacing w:val="-10"/>
          <w:sz w:val="22"/>
        </w:rPr>
        <w:t> </w:t>
      </w:r>
      <w:r>
        <w:rPr>
          <w:sz w:val="22"/>
        </w:rPr>
        <w:t>than</w:t>
      </w:r>
      <w:r>
        <w:rPr>
          <w:spacing w:val="-13"/>
          <w:sz w:val="22"/>
        </w:rPr>
        <w:t> </w:t>
      </w:r>
      <w:r>
        <w:rPr>
          <w:sz w:val="22"/>
        </w:rPr>
        <w:t>males</w:t>
      </w:r>
      <w:r>
        <w:rPr>
          <w:spacing w:val="-10"/>
          <w:sz w:val="22"/>
        </w:rPr>
        <w:t> </w:t>
      </w:r>
      <w:r>
        <w:rPr>
          <w:sz w:val="22"/>
        </w:rPr>
        <w:t>in</w:t>
      </w:r>
      <w:r>
        <w:rPr>
          <w:spacing w:val="-10"/>
          <w:sz w:val="22"/>
        </w:rPr>
        <w:t> </w:t>
      </w:r>
      <w:r>
        <w:rPr>
          <w:sz w:val="22"/>
        </w:rPr>
        <w:t>the</w:t>
      </w:r>
      <w:r>
        <w:rPr>
          <w:spacing w:val="-10"/>
          <w:sz w:val="22"/>
        </w:rPr>
        <w:t> </w:t>
      </w:r>
      <w:r>
        <w:rPr>
          <w:sz w:val="22"/>
        </w:rPr>
        <w:t>age group of 5 years or younger and 6-15 age groups. From ages 16-45 and 46-65, there are more</w:t>
      </w:r>
      <w:r>
        <w:rPr>
          <w:spacing w:val="-12"/>
          <w:sz w:val="22"/>
        </w:rPr>
        <w:t> </w:t>
      </w:r>
      <w:r>
        <w:rPr>
          <w:sz w:val="22"/>
        </w:rPr>
        <w:t>males</w:t>
      </w:r>
      <w:r>
        <w:rPr>
          <w:spacing w:val="-12"/>
          <w:sz w:val="22"/>
        </w:rPr>
        <w:t> </w:t>
      </w:r>
      <w:r>
        <w:rPr>
          <w:sz w:val="22"/>
        </w:rPr>
        <w:t>than</w:t>
      </w:r>
      <w:r>
        <w:rPr>
          <w:spacing w:val="-12"/>
          <w:sz w:val="22"/>
        </w:rPr>
        <w:t> </w:t>
      </w:r>
      <w:r>
        <w:rPr>
          <w:sz w:val="22"/>
        </w:rPr>
        <w:t>females</w:t>
      </w:r>
      <w:r>
        <w:rPr>
          <w:spacing w:val="-13"/>
          <w:sz w:val="22"/>
        </w:rPr>
        <w:t> </w:t>
      </w:r>
      <w:r>
        <w:rPr>
          <w:sz w:val="22"/>
        </w:rPr>
        <w:t>of</w:t>
      </w:r>
      <w:r>
        <w:rPr>
          <w:spacing w:val="-7"/>
          <w:sz w:val="22"/>
        </w:rPr>
        <w:t> </w:t>
      </w:r>
      <w:r>
        <w:rPr>
          <w:sz w:val="22"/>
        </w:rPr>
        <w:t>PAHs.</w:t>
      </w:r>
      <w:r>
        <w:rPr>
          <w:spacing w:val="-14"/>
          <w:sz w:val="22"/>
        </w:rPr>
        <w:t> </w:t>
      </w:r>
      <w:r>
        <w:rPr>
          <w:sz w:val="22"/>
        </w:rPr>
        <w:t>The</w:t>
      </w:r>
      <w:r>
        <w:rPr>
          <w:spacing w:val="-10"/>
          <w:sz w:val="22"/>
        </w:rPr>
        <w:t> </w:t>
      </w:r>
      <w:r>
        <w:rPr>
          <w:sz w:val="22"/>
        </w:rPr>
        <w:t>ratio</w:t>
      </w:r>
      <w:r>
        <w:rPr>
          <w:spacing w:val="-10"/>
          <w:sz w:val="22"/>
        </w:rPr>
        <w:t> </w:t>
      </w:r>
      <w:r>
        <w:rPr>
          <w:sz w:val="22"/>
        </w:rPr>
        <w:t>of</w:t>
      </w:r>
      <w:r>
        <w:rPr>
          <w:spacing w:val="-9"/>
          <w:sz w:val="22"/>
        </w:rPr>
        <w:t> </w:t>
      </w:r>
      <w:r>
        <w:rPr>
          <w:sz w:val="22"/>
        </w:rPr>
        <w:t>male,</w:t>
      </w:r>
      <w:r>
        <w:rPr>
          <w:spacing w:val="-12"/>
          <w:sz w:val="22"/>
        </w:rPr>
        <w:t> </w:t>
      </w:r>
      <w:r>
        <w:rPr>
          <w:sz w:val="22"/>
        </w:rPr>
        <w:t>female</w:t>
      </w:r>
      <w:r>
        <w:rPr>
          <w:spacing w:val="-10"/>
          <w:sz w:val="22"/>
        </w:rPr>
        <w:t> </w:t>
      </w:r>
      <w:r>
        <w:rPr>
          <w:sz w:val="22"/>
        </w:rPr>
        <w:t>in</w:t>
      </w:r>
      <w:r>
        <w:rPr>
          <w:spacing w:val="-10"/>
          <w:sz w:val="22"/>
        </w:rPr>
        <w:t> </w:t>
      </w:r>
      <w:r>
        <w:rPr>
          <w:sz w:val="22"/>
        </w:rPr>
        <w:t>the</w:t>
      </w:r>
      <w:r>
        <w:rPr>
          <w:spacing w:val="-10"/>
          <w:sz w:val="22"/>
        </w:rPr>
        <w:t> </w:t>
      </w:r>
      <w:r>
        <w:rPr>
          <w:sz w:val="22"/>
        </w:rPr>
        <w:t>age</w:t>
      </w:r>
      <w:r>
        <w:rPr>
          <w:spacing w:val="-15"/>
          <w:sz w:val="22"/>
        </w:rPr>
        <w:t> </w:t>
      </w:r>
      <w:r>
        <w:rPr>
          <w:sz w:val="22"/>
        </w:rPr>
        <w:t>group</w:t>
      </w:r>
      <w:r>
        <w:rPr>
          <w:spacing w:val="-10"/>
          <w:sz w:val="22"/>
        </w:rPr>
        <w:t> </w:t>
      </w:r>
      <w:r>
        <w:rPr>
          <w:sz w:val="22"/>
        </w:rPr>
        <w:t>of</w:t>
      </w:r>
      <w:r>
        <w:rPr>
          <w:spacing w:val="-7"/>
          <w:sz w:val="22"/>
        </w:rPr>
        <w:t> </w:t>
      </w:r>
      <w:r>
        <w:rPr>
          <w:sz w:val="22"/>
        </w:rPr>
        <w:t>65</w:t>
      </w:r>
      <w:r>
        <w:rPr>
          <w:spacing w:val="-10"/>
          <w:sz w:val="22"/>
        </w:rPr>
        <w:t> </w:t>
      </w:r>
      <w:r>
        <w:rPr>
          <w:sz w:val="22"/>
        </w:rPr>
        <w:t>or</w:t>
      </w:r>
      <w:r>
        <w:rPr>
          <w:spacing w:val="-9"/>
          <w:sz w:val="22"/>
        </w:rPr>
        <w:t> </w:t>
      </w:r>
      <w:r>
        <w:rPr>
          <w:sz w:val="22"/>
        </w:rPr>
        <w:t>older is</w:t>
      </w:r>
      <w:r>
        <w:rPr>
          <w:spacing w:val="-2"/>
          <w:sz w:val="22"/>
        </w:rPr>
        <w:t> </w:t>
      </w:r>
      <w:r>
        <w:rPr>
          <w:sz w:val="22"/>
        </w:rPr>
        <w:t>same.</w:t>
      </w:r>
    </w:p>
    <w:p>
      <w:pPr>
        <w:spacing w:after="0" w:line="276" w:lineRule="auto"/>
        <w:jc w:val="both"/>
        <w:rPr>
          <w:sz w:val="22"/>
        </w:rPr>
        <w:sectPr>
          <w:pgSz w:w="11910" w:h="16840"/>
          <w:pgMar w:header="583" w:footer="575" w:top="840" w:bottom="760" w:left="860" w:right="1280"/>
        </w:sectPr>
      </w:pPr>
    </w:p>
    <w:p>
      <w:pPr>
        <w:pStyle w:val="BodyText"/>
        <w:rPr>
          <w:sz w:val="20"/>
        </w:rPr>
      </w:pPr>
    </w:p>
    <w:p>
      <w:pPr>
        <w:pStyle w:val="BodyText"/>
        <w:rPr>
          <w:sz w:val="20"/>
        </w:rPr>
      </w:pPr>
    </w:p>
    <w:p>
      <w:pPr>
        <w:pStyle w:val="BodyText"/>
        <w:rPr>
          <w:sz w:val="20"/>
        </w:rPr>
      </w:pPr>
    </w:p>
    <w:p>
      <w:pPr>
        <w:pStyle w:val="BodyText"/>
        <w:spacing w:before="6" w:after="1"/>
        <w:rPr>
          <w:sz w:val="16"/>
        </w:rPr>
      </w:pPr>
    </w:p>
    <w:tbl>
      <w:tblPr>
        <w:tblW w:w="0" w:type="auto"/>
        <w:jc w:val="left"/>
        <w:tblInd w:w="122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42"/>
        <w:gridCol w:w="4704"/>
      </w:tblGrid>
      <w:tr>
        <w:trPr>
          <w:trHeight w:val="345" w:hRule="exact"/>
        </w:trPr>
        <w:tc>
          <w:tcPr>
            <w:tcW w:w="4342" w:type="dxa"/>
          </w:tcPr>
          <w:p>
            <w:pPr>
              <w:pStyle w:val="TableParagraph"/>
              <w:spacing w:line="223" w:lineRule="exact" w:before="0"/>
              <w:ind w:left="666"/>
              <w:rPr>
                <w:b/>
                <w:sz w:val="20"/>
              </w:rPr>
            </w:pPr>
            <w:r>
              <w:rPr>
                <w:b/>
                <w:sz w:val="20"/>
              </w:rPr>
              <w:t>Age Group of PAP</w:t>
            </w:r>
          </w:p>
        </w:tc>
        <w:tc>
          <w:tcPr>
            <w:tcW w:w="4704" w:type="dxa"/>
            <w:tcBorders>
              <w:bottom w:val="single" w:sz="6" w:space="0" w:color="858585"/>
            </w:tcBorders>
          </w:tcPr>
          <w:p>
            <w:pPr>
              <w:pStyle w:val="TableParagraph"/>
              <w:spacing w:line="223" w:lineRule="exact" w:before="0"/>
              <w:ind w:left="1108"/>
              <w:rPr>
                <w:b/>
                <w:sz w:val="20"/>
              </w:rPr>
            </w:pPr>
            <w:r>
              <w:rPr>
                <w:b/>
                <w:sz w:val="20"/>
              </w:rPr>
              <w:t>Age Group of PAH</w:t>
            </w:r>
          </w:p>
        </w:tc>
      </w:tr>
      <w:tr>
        <w:trPr>
          <w:trHeight w:val="3433" w:hRule="exact"/>
        </w:trPr>
        <w:tc>
          <w:tcPr>
            <w:tcW w:w="4342" w:type="dxa"/>
            <w:tcBorders>
              <w:right w:val="single" w:sz="6" w:space="0" w:color="858585"/>
            </w:tcBorders>
          </w:tcPr>
          <w:p>
            <w:pPr>
              <w:pStyle w:val="TableParagraph"/>
              <w:spacing w:before="0"/>
              <w:rPr>
                <w:sz w:val="20"/>
              </w:rPr>
            </w:pPr>
          </w:p>
          <w:p>
            <w:pPr>
              <w:pStyle w:val="TableParagraph"/>
              <w:spacing w:before="7"/>
              <w:rPr>
                <w:sz w:val="28"/>
              </w:rPr>
            </w:pPr>
          </w:p>
          <w:p>
            <w:pPr>
              <w:pStyle w:val="TableParagraph"/>
              <w:spacing w:before="0"/>
              <w:ind w:left="1062"/>
              <w:rPr>
                <w:b/>
                <w:sz w:val="18"/>
              </w:rPr>
            </w:pPr>
            <w:r>
              <w:rPr>
                <w:b/>
                <w:sz w:val="18"/>
              </w:rPr>
              <w:t>2.4%</w:t>
            </w:r>
          </w:p>
          <w:p>
            <w:pPr>
              <w:pStyle w:val="TableParagraph"/>
              <w:spacing w:before="48"/>
              <w:ind w:left="660" w:right="1826"/>
              <w:jc w:val="center"/>
              <w:rPr>
                <w:b/>
                <w:sz w:val="18"/>
              </w:rPr>
            </w:pPr>
            <w:r>
              <w:rPr>
                <w:b/>
                <w:sz w:val="18"/>
              </w:rPr>
              <w:t>2.4%</w:t>
            </w:r>
          </w:p>
          <w:p>
            <w:pPr>
              <w:pStyle w:val="TableParagraph"/>
              <w:spacing w:before="0"/>
              <w:rPr>
                <w:sz w:val="25"/>
              </w:rPr>
            </w:pPr>
          </w:p>
          <w:p>
            <w:pPr>
              <w:pStyle w:val="TableParagraph"/>
              <w:spacing w:before="0"/>
              <w:ind w:left="416"/>
              <w:rPr>
                <w:b/>
                <w:sz w:val="18"/>
              </w:rPr>
            </w:pPr>
            <w:r>
              <w:rPr>
                <w:b/>
                <w:sz w:val="18"/>
              </w:rPr>
              <w:t>24.4%</w:t>
            </w:r>
          </w:p>
          <w:p>
            <w:pPr>
              <w:pStyle w:val="TableParagraph"/>
              <w:spacing w:before="0"/>
              <w:rPr>
                <w:sz w:val="20"/>
              </w:rPr>
            </w:pPr>
          </w:p>
          <w:p>
            <w:pPr>
              <w:pStyle w:val="TableParagraph"/>
              <w:spacing w:before="8"/>
              <w:rPr>
                <w:sz w:val="16"/>
              </w:rPr>
            </w:pPr>
          </w:p>
          <w:p>
            <w:pPr>
              <w:pStyle w:val="TableParagraph"/>
              <w:spacing w:before="0"/>
              <w:ind w:left="1359" w:right="1228"/>
              <w:jc w:val="center"/>
              <w:rPr>
                <w:b/>
                <w:sz w:val="18"/>
              </w:rPr>
            </w:pPr>
            <w:r>
              <w:rPr>
                <w:b/>
                <w:sz w:val="18"/>
              </w:rPr>
              <w:t>70.7%</w:t>
            </w: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5"/>
              <w:rPr>
                <w:sz w:val="22"/>
              </w:rPr>
            </w:pPr>
          </w:p>
          <w:p>
            <w:pPr>
              <w:pStyle w:val="TableParagraph"/>
              <w:tabs>
                <w:tab w:pos="838" w:val="left" w:leader="none"/>
                <w:tab w:pos="1833" w:val="left" w:leader="none"/>
                <w:tab w:pos="2827" w:val="left" w:leader="none"/>
              </w:tabs>
              <w:spacing w:before="0"/>
              <w:ind w:right="1032"/>
              <w:jc w:val="center"/>
              <w:rPr>
                <w:sz w:val="18"/>
              </w:rPr>
            </w:pPr>
            <w:r>
              <w:rPr>
                <w:sz w:val="18"/>
              </w:rPr>
              <w:t>&lt;18</w:t>
              <w:tab/>
              <w:t>18-40</w:t>
              <w:tab/>
              <w:t>41-60</w:t>
              <w:tab/>
              <w:t>&gt;60</w:t>
            </w:r>
          </w:p>
        </w:tc>
        <w:tc>
          <w:tcPr>
            <w:tcW w:w="4704" w:type="dxa"/>
            <w:tcBorders>
              <w:top w:val="single" w:sz="6" w:space="0" w:color="858585"/>
              <w:left w:val="single" w:sz="6" w:space="0" w:color="858585"/>
              <w:right w:val="single" w:sz="6" w:space="0" w:color="858585"/>
            </w:tcBorders>
          </w:tcPr>
          <w:p>
            <w:pPr>
              <w:pStyle w:val="TableParagraph"/>
              <w:spacing w:before="176"/>
              <w:ind w:left="87" w:right="4197"/>
              <w:jc w:val="center"/>
              <w:rPr>
                <w:sz w:val="18"/>
              </w:rPr>
            </w:pPr>
            <w:r>
              <w:rPr>
                <w:sz w:val="18"/>
              </w:rPr>
              <w:t>50%</w:t>
            </w:r>
          </w:p>
          <w:p>
            <w:pPr>
              <w:pStyle w:val="TableParagraph"/>
              <w:spacing w:before="9"/>
              <w:ind w:left="87" w:right="4197"/>
              <w:jc w:val="center"/>
              <w:rPr>
                <w:sz w:val="18"/>
              </w:rPr>
            </w:pPr>
            <w:r>
              <w:rPr>
                <w:sz w:val="18"/>
              </w:rPr>
              <w:t>45%</w:t>
            </w:r>
          </w:p>
          <w:p>
            <w:pPr>
              <w:pStyle w:val="TableParagraph"/>
              <w:spacing w:before="9"/>
              <w:ind w:left="87" w:right="4197"/>
              <w:jc w:val="center"/>
              <w:rPr>
                <w:sz w:val="18"/>
              </w:rPr>
            </w:pPr>
            <w:r>
              <w:rPr>
                <w:sz w:val="18"/>
              </w:rPr>
              <w:t>40%</w:t>
            </w:r>
          </w:p>
          <w:p>
            <w:pPr>
              <w:pStyle w:val="TableParagraph"/>
              <w:spacing w:before="10"/>
              <w:ind w:left="87" w:right="4197"/>
              <w:jc w:val="center"/>
              <w:rPr>
                <w:sz w:val="18"/>
              </w:rPr>
            </w:pPr>
            <w:r>
              <w:rPr>
                <w:sz w:val="18"/>
              </w:rPr>
              <w:t>35%</w:t>
            </w:r>
          </w:p>
          <w:p>
            <w:pPr>
              <w:pStyle w:val="TableParagraph"/>
              <w:spacing w:before="10"/>
              <w:ind w:left="87" w:right="4197"/>
              <w:jc w:val="center"/>
              <w:rPr>
                <w:sz w:val="18"/>
              </w:rPr>
            </w:pPr>
            <w:r>
              <w:rPr>
                <w:sz w:val="18"/>
              </w:rPr>
              <w:t>30%</w:t>
            </w:r>
          </w:p>
          <w:p>
            <w:pPr>
              <w:pStyle w:val="TableParagraph"/>
              <w:spacing w:before="10"/>
              <w:ind w:left="87" w:right="4197"/>
              <w:jc w:val="center"/>
              <w:rPr>
                <w:sz w:val="18"/>
              </w:rPr>
            </w:pPr>
            <w:r>
              <w:rPr>
                <w:sz w:val="18"/>
              </w:rPr>
              <w:t>25%</w:t>
            </w:r>
          </w:p>
          <w:p>
            <w:pPr>
              <w:pStyle w:val="TableParagraph"/>
              <w:spacing w:before="9"/>
              <w:ind w:left="87" w:right="4197"/>
              <w:jc w:val="center"/>
              <w:rPr>
                <w:sz w:val="18"/>
              </w:rPr>
            </w:pPr>
            <w:r>
              <w:rPr>
                <w:sz w:val="18"/>
              </w:rPr>
              <w:t>20%</w:t>
            </w:r>
          </w:p>
          <w:p>
            <w:pPr>
              <w:pStyle w:val="TableParagraph"/>
              <w:spacing w:before="9"/>
              <w:ind w:left="87" w:right="4197"/>
              <w:jc w:val="center"/>
              <w:rPr>
                <w:sz w:val="18"/>
              </w:rPr>
            </w:pPr>
            <w:r>
              <w:rPr>
                <w:sz w:val="18"/>
              </w:rPr>
              <w:t>15%</w:t>
            </w:r>
          </w:p>
          <w:p>
            <w:pPr>
              <w:pStyle w:val="TableParagraph"/>
              <w:spacing w:before="9"/>
              <w:ind w:left="87" w:right="4197"/>
              <w:jc w:val="center"/>
              <w:rPr>
                <w:sz w:val="18"/>
              </w:rPr>
            </w:pPr>
            <w:r>
              <w:rPr>
                <w:sz w:val="18"/>
              </w:rPr>
              <w:t>10%</w:t>
            </w:r>
          </w:p>
          <w:p>
            <w:pPr>
              <w:pStyle w:val="TableParagraph"/>
              <w:spacing w:before="9"/>
              <w:ind w:left="89" w:right="4095"/>
              <w:jc w:val="center"/>
              <w:rPr>
                <w:sz w:val="18"/>
              </w:rPr>
            </w:pPr>
            <w:r>
              <w:rPr>
                <w:sz w:val="18"/>
              </w:rPr>
              <w:t>5%</w:t>
            </w:r>
          </w:p>
          <w:p>
            <w:pPr>
              <w:pStyle w:val="TableParagraph"/>
              <w:spacing w:before="9"/>
              <w:ind w:left="89" w:right="4095"/>
              <w:jc w:val="center"/>
              <w:rPr>
                <w:sz w:val="18"/>
              </w:rPr>
            </w:pPr>
            <w:r>
              <w:rPr>
                <w:sz w:val="18"/>
              </w:rPr>
              <w:t>0%</w:t>
            </w:r>
          </w:p>
          <w:p>
            <w:pPr>
              <w:pStyle w:val="TableParagraph"/>
              <w:tabs>
                <w:tab w:pos="1605" w:val="left" w:leader="none"/>
                <w:tab w:pos="2329" w:val="left" w:leader="none"/>
                <w:tab w:pos="3103" w:val="left" w:leader="none"/>
                <w:tab w:pos="3954" w:val="left" w:leader="none"/>
              </w:tabs>
              <w:spacing w:before="7"/>
              <w:ind w:left="911"/>
              <w:rPr>
                <w:sz w:val="18"/>
              </w:rPr>
            </w:pPr>
            <w:r>
              <w:rPr>
                <w:sz w:val="18"/>
              </w:rPr>
              <w:t>≤5</w:t>
              <w:tab/>
              <w:t>6-15</w:t>
              <w:tab/>
              <w:t>16-45</w:t>
              <w:tab/>
              <w:t>46-65</w:t>
              <w:tab/>
              <w:t>&gt;65</w:t>
            </w:r>
          </w:p>
          <w:p>
            <w:pPr>
              <w:pStyle w:val="TableParagraph"/>
              <w:spacing w:before="8"/>
              <w:rPr>
                <w:sz w:val="16"/>
              </w:rPr>
            </w:pPr>
          </w:p>
          <w:p>
            <w:pPr>
              <w:pStyle w:val="TableParagraph"/>
              <w:tabs>
                <w:tab w:pos="2488" w:val="left" w:leader="none"/>
              </w:tabs>
              <w:spacing w:before="0"/>
              <w:ind w:left="1753"/>
              <w:rPr>
                <w:sz w:val="20"/>
              </w:rPr>
            </w:pPr>
            <w:r>
              <w:rPr>
                <w:sz w:val="20"/>
              </w:rPr>
              <w:t>Male</w:t>
              <w:tab/>
              <w:t>Female</w:t>
            </w:r>
          </w:p>
        </w:tc>
      </w:tr>
    </w:tbl>
    <w:p>
      <w:pPr>
        <w:pStyle w:val="BodyText"/>
        <w:spacing w:before="2"/>
        <w:rPr>
          <w:sz w:val="9"/>
        </w:rPr>
      </w:pPr>
    </w:p>
    <w:p>
      <w:pPr>
        <w:spacing w:before="93"/>
        <w:ind w:left="3666" w:right="3636" w:firstLine="0"/>
        <w:jc w:val="center"/>
        <w:rPr>
          <w:sz w:val="22"/>
        </w:rPr>
      </w:pPr>
      <w:r>
        <w:rPr/>
        <w:pict>
          <v:group style="position:absolute;margin-left:103.955002pt;margin-top:-153.442108pt;width:149.550pt;height:148.15pt;mso-position-horizontal-relative:page;mso-position-vertical-relative:paragraph;z-index:-308968" coordorigin="2079,-3069" coordsize="2991,2963">
            <v:shape style="position:absolute;left:2098;top:-3069;width:2972;height:2963" type="#_x0000_t75" stroked="false">
              <v:imagedata r:id="rId22" o:title=""/>
            </v:shape>
            <v:rect style="position:absolute;left:2087;top:-377;width:90;height:90" filled="false" stroked="true" strokeweight=".75pt" strokecolor="#345b88">
              <v:stroke dashstyle="solid"/>
            </v:rect>
            <v:line style="position:absolute" from="2971,-377" to="2971,-287" stroked="true" strokeweight="4.5225pt" strokecolor="#c0504d">
              <v:stroke dashstyle="solid"/>
            </v:line>
            <v:rect style="position:absolute;left:2925;top:-377;width:90;height:90" filled="false" stroked="true" strokeweight=".75pt" strokecolor="#8a3533">
              <v:stroke dashstyle="solid"/>
            </v:rect>
            <v:line style="position:absolute" from="3965,-377" to="3965,-287" stroked="true" strokeweight="4.5225pt" strokecolor="#9bba58">
              <v:stroke dashstyle="solid"/>
            </v:line>
            <v:rect style="position:absolute;left:3919;top:-377;width:90;height:90" filled="false" stroked="true" strokeweight=".75pt" strokecolor="#6e863b">
              <v:stroke dashstyle="solid"/>
            </v:rect>
            <v:line style="position:absolute" from="4958,-377" to="4958,-287" stroked="true" strokeweight="4.5225pt" strokecolor="#8063a1">
              <v:stroke dashstyle="solid"/>
            </v:line>
            <v:rect style="position:absolute;left:4913;top:-377;width:90;height:90" filled="false" stroked="true" strokeweight=".75pt" strokecolor="#5a4474">
              <v:stroke dashstyle="solid"/>
            </v:rect>
            <w10:wrap type="none"/>
          </v:group>
        </w:pict>
      </w:r>
      <w:r>
        <w:rPr/>
        <w:pict>
          <v:group style="position:absolute;margin-left:323.700012pt;margin-top:-176.972107pt;width:235.2pt;height:169.2pt;mso-position-horizontal-relative:page;mso-position-vertical-relative:paragraph;z-index:-308944" coordorigin="6474,-3539" coordsize="4704,3384">
            <v:shape style="position:absolute;left:6474;top:-3539;width:4704;height:3384" type="#_x0000_t75" stroked="false">
              <v:imagedata r:id="rId23" o:title=""/>
            </v:shape>
            <v:shape style="position:absolute;left:7066;top:-3369;width:4048;height:2324" type="#_x0000_t75" stroked="false">
              <v:imagedata r:id="rId24" o:title=""/>
            </v:shape>
            <v:shape style="position:absolute;left:7050;top:-3250;width:55;height:2172" coordorigin="7050,-3250" coordsize="55,2172" path="m7105,-1079l7050,-1079m7105,-1295l7050,-1295m7105,-1514l7050,-1514m7105,-1730l7050,-1730m7105,-1948l7050,-1948m7105,-2164l7050,-2164m7105,-2382l7050,-2382m7105,-2598l7050,-2598m7105,-2817l7050,-2817m7105,-3033l7050,-3033m7105,-3250l7050,-3250e" filled="false" stroked="true" strokeweight="1.5pt" strokecolor="#ffffff">
              <v:path arrowok="t"/>
              <v:stroke dashstyle="solid"/>
            </v:shape>
            <v:shape style="position:absolute;left:7090;top:-1051;width:3900;height:2" coordorigin="7090,-1051" coordsize="3900,0" path="m7090,-1051l7120,-1051m7864,-1051l7894,-1051m8637,-1051l8667,-1051m9412,-1051l9442,-1051m10185,-1051l10215,-1051m10959,-1051l10989,-1051e" filled="false" stroked="true" strokeweight="2.71pt" strokecolor="#ffffff">
              <v:path arrowok="t"/>
              <v:stroke dashstyle="solid"/>
            </v:shape>
            <v:rect style="position:absolute;left:8090;top:-496;width:101;height:101" filled="true" fillcolor="#8063a1" stroked="false">
              <v:fill type="solid"/>
            </v:rect>
            <v:rect style="position:absolute;left:8825;top:-496;width:101;height:101" filled="true" fillcolor="#c0504d" stroked="false">
              <v:fill type="solid"/>
            </v:rect>
            <w10:wrap type="none"/>
          </v:group>
        </w:pict>
      </w:r>
      <w:bookmarkStart w:name="_bookmark36" w:id="59"/>
      <w:bookmarkEnd w:id="59"/>
      <w:r>
        <w:rPr/>
      </w:r>
      <w:r>
        <w:rPr>
          <w:b/>
          <w:sz w:val="22"/>
        </w:rPr>
        <w:t>Figure 5: </w:t>
      </w:r>
      <w:r>
        <w:rPr>
          <w:sz w:val="22"/>
        </w:rPr>
        <w:t>Age Structure</w:t>
      </w:r>
    </w:p>
    <w:p>
      <w:pPr>
        <w:pStyle w:val="BodyText"/>
        <w:rPr>
          <w:sz w:val="24"/>
        </w:rPr>
      </w:pPr>
    </w:p>
    <w:p>
      <w:pPr>
        <w:pStyle w:val="Heading3"/>
        <w:numPr>
          <w:ilvl w:val="2"/>
          <w:numId w:val="19"/>
        </w:numPr>
        <w:tabs>
          <w:tab w:pos="1589" w:val="left" w:leader="none"/>
        </w:tabs>
        <w:spacing w:line="240" w:lineRule="auto" w:before="1" w:after="0"/>
        <w:ind w:left="1588" w:right="0" w:hanging="720"/>
        <w:jc w:val="both"/>
      </w:pPr>
      <w:bookmarkStart w:name="_bookmark37" w:id="60"/>
      <w:bookmarkEnd w:id="60"/>
      <w:r>
        <w:rPr>
          <w:b w:val="0"/>
        </w:rPr>
      </w:r>
      <w:bookmarkStart w:name="_bookmark37" w:id="61"/>
      <w:bookmarkEnd w:id="61"/>
      <w:r>
        <w:rPr>
          <w:color w:val="0D0D0D"/>
        </w:rPr>
        <w:t>H</w:t>
      </w:r>
      <w:r>
        <w:rPr>
          <w:color w:val="0D0D0D"/>
        </w:rPr>
        <w:t>ousehold</w:t>
      </w:r>
      <w:r>
        <w:rPr>
          <w:color w:val="0D0D0D"/>
          <w:spacing w:val="-2"/>
        </w:rPr>
        <w:t> </w:t>
      </w:r>
      <w:r>
        <w:rPr>
          <w:color w:val="0D0D0D"/>
        </w:rPr>
        <w:t>Size</w:t>
      </w:r>
    </w:p>
    <w:p>
      <w:pPr>
        <w:pStyle w:val="ListParagraph"/>
        <w:numPr>
          <w:ilvl w:val="0"/>
          <w:numId w:val="18"/>
        </w:numPr>
        <w:tabs>
          <w:tab w:pos="1589" w:val="left" w:leader="none"/>
        </w:tabs>
        <w:spacing w:line="276" w:lineRule="auto" w:before="160" w:after="0"/>
        <w:ind w:left="868" w:right="837" w:firstLine="0"/>
        <w:jc w:val="both"/>
        <w:rPr>
          <w:sz w:val="22"/>
        </w:rPr>
      </w:pPr>
      <w:r>
        <w:rPr>
          <w:sz w:val="22"/>
        </w:rPr>
        <w:t>The average household size is 6.3 and varies from 15 persons per households as largest and smallest of one person per household. Among the PAPs 19 households have four</w:t>
      </w:r>
      <w:r>
        <w:rPr>
          <w:spacing w:val="-9"/>
          <w:sz w:val="22"/>
        </w:rPr>
        <w:t> </w:t>
      </w:r>
      <w:r>
        <w:rPr>
          <w:sz w:val="22"/>
        </w:rPr>
        <w:t>or</w:t>
      </w:r>
      <w:r>
        <w:rPr>
          <w:spacing w:val="-9"/>
          <w:sz w:val="22"/>
        </w:rPr>
        <w:t> </w:t>
      </w:r>
      <w:r>
        <w:rPr>
          <w:sz w:val="22"/>
        </w:rPr>
        <w:t>less</w:t>
      </w:r>
      <w:r>
        <w:rPr>
          <w:spacing w:val="-13"/>
          <w:sz w:val="22"/>
        </w:rPr>
        <w:t> </w:t>
      </w:r>
      <w:r>
        <w:rPr>
          <w:sz w:val="22"/>
        </w:rPr>
        <w:t>than</w:t>
      </w:r>
      <w:r>
        <w:rPr>
          <w:spacing w:val="-12"/>
          <w:sz w:val="22"/>
        </w:rPr>
        <w:t> </w:t>
      </w:r>
      <w:r>
        <w:rPr>
          <w:sz w:val="22"/>
        </w:rPr>
        <w:t>four</w:t>
      </w:r>
      <w:r>
        <w:rPr>
          <w:spacing w:val="-11"/>
          <w:sz w:val="22"/>
        </w:rPr>
        <w:t> </w:t>
      </w:r>
      <w:r>
        <w:rPr>
          <w:sz w:val="22"/>
        </w:rPr>
        <w:t>members</w:t>
      </w:r>
      <w:r>
        <w:rPr>
          <w:spacing w:val="-12"/>
          <w:sz w:val="22"/>
        </w:rPr>
        <w:t> </w:t>
      </w:r>
      <w:r>
        <w:rPr>
          <w:sz w:val="22"/>
        </w:rPr>
        <w:t>and</w:t>
      </w:r>
      <w:r>
        <w:rPr>
          <w:spacing w:val="-10"/>
          <w:sz w:val="22"/>
        </w:rPr>
        <w:t> </w:t>
      </w:r>
      <w:r>
        <w:rPr>
          <w:sz w:val="22"/>
        </w:rPr>
        <w:t>23</w:t>
      </w:r>
      <w:r>
        <w:rPr>
          <w:spacing w:val="-10"/>
          <w:sz w:val="22"/>
        </w:rPr>
        <w:t> </w:t>
      </w:r>
      <w:r>
        <w:rPr>
          <w:sz w:val="22"/>
        </w:rPr>
        <w:t>households</w:t>
      </w:r>
      <w:r>
        <w:rPr>
          <w:spacing w:val="-10"/>
          <w:sz w:val="22"/>
        </w:rPr>
        <w:t> </w:t>
      </w:r>
      <w:r>
        <w:rPr>
          <w:sz w:val="22"/>
        </w:rPr>
        <w:t>have</w:t>
      </w:r>
      <w:r>
        <w:rPr>
          <w:spacing w:val="-10"/>
          <w:sz w:val="22"/>
        </w:rPr>
        <w:t> </w:t>
      </w:r>
      <w:r>
        <w:rPr>
          <w:sz w:val="22"/>
        </w:rPr>
        <w:t>eight</w:t>
      </w:r>
      <w:r>
        <w:rPr>
          <w:spacing w:val="-12"/>
          <w:sz w:val="22"/>
        </w:rPr>
        <w:t> </w:t>
      </w:r>
      <w:r>
        <w:rPr>
          <w:sz w:val="22"/>
        </w:rPr>
        <w:t>or</w:t>
      </w:r>
      <w:r>
        <w:rPr>
          <w:spacing w:val="-12"/>
          <w:sz w:val="22"/>
        </w:rPr>
        <w:t> </w:t>
      </w:r>
      <w:r>
        <w:rPr>
          <w:sz w:val="22"/>
        </w:rPr>
        <w:t>more</w:t>
      </w:r>
      <w:r>
        <w:rPr>
          <w:spacing w:val="-10"/>
          <w:sz w:val="22"/>
        </w:rPr>
        <w:t> </w:t>
      </w:r>
      <w:r>
        <w:rPr>
          <w:sz w:val="22"/>
        </w:rPr>
        <w:t>than</w:t>
      </w:r>
      <w:r>
        <w:rPr>
          <w:spacing w:val="-13"/>
          <w:sz w:val="22"/>
        </w:rPr>
        <w:t> </w:t>
      </w:r>
      <w:r>
        <w:rPr>
          <w:sz w:val="22"/>
        </w:rPr>
        <w:t>eight</w:t>
      </w:r>
      <w:r>
        <w:rPr>
          <w:spacing w:val="-11"/>
          <w:sz w:val="22"/>
        </w:rPr>
        <w:t> </w:t>
      </w:r>
      <w:r>
        <w:rPr>
          <w:sz w:val="22"/>
        </w:rPr>
        <w:t>members. It is observed that extended families are very common. The head of household is responsible to look after all social matters including managing income and</w:t>
      </w:r>
      <w:r>
        <w:rPr>
          <w:spacing w:val="-28"/>
          <w:sz w:val="22"/>
        </w:rPr>
        <w:t> </w:t>
      </w:r>
      <w:r>
        <w:rPr>
          <w:sz w:val="22"/>
        </w:rPr>
        <w:t>expenditures.</w:t>
      </w:r>
    </w:p>
    <w:p>
      <w:pPr>
        <w:pStyle w:val="BodyText"/>
        <w:spacing w:before="11"/>
        <w:rPr>
          <w:sz w:val="20"/>
        </w:rPr>
      </w:pPr>
    </w:p>
    <w:p>
      <w:pPr>
        <w:pStyle w:val="Heading2"/>
        <w:numPr>
          <w:ilvl w:val="1"/>
          <w:numId w:val="19"/>
        </w:numPr>
        <w:tabs>
          <w:tab w:pos="1445" w:val="left" w:leader="none"/>
        </w:tabs>
        <w:spacing w:line="240" w:lineRule="auto" w:before="0" w:after="0"/>
        <w:ind w:left="1444" w:right="0" w:hanging="576"/>
        <w:jc w:val="both"/>
      </w:pPr>
      <w:bookmarkStart w:name="_bookmark38" w:id="62"/>
      <w:bookmarkEnd w:id="62"/>
      <w:r>
        <w:rPr>
          <w:b w:val="0"/>
        </w:rPr>
      </w:r>
      <w:bookmarkStart w:name="_bookmark38" w:id="63"/>
      <w:bookmarkEnd w:id="63"/>
      <w:r>
        <w:rPr/>
        <w:t>Rel</w:t>
      </w:r>
      <w:r>
        <w:rPr/>
        <w:t>igion and</w:t>
      </w:r>
      <w:r>
        <w:rPr>
          <w:spacing w:val="-3"/>
        </w:rPr>
        <w:t> </w:t>
      </w:r>
      <w:r>
        <w:rPr/>
        <w:t>Ethnicity</w:t>
      </w:r>
    </w:p>
    <w:p>
      <w:pPr>
        <w:pStyle w:val="ListParagraph"/>
        <w:numPr>
          <w:ilvl w:val="0"/>
          <w:numId w:val="20"/>
        </w:numPr>
        <w:tabs>
          <w:tab w:pos="1589" w:val="left" w:leader="none"/>
        </w:tabs>
        <w:spacing w:line="276" w:lineRule="auto" w:before="160" w:after="0"/>
        <w:ind w:left="868" w:right="831" w:firstLine="0"/>
        <w:jc w:val="both"/>
        <w:rPr>
          <w:sz w:val="22"/>
        </w:rPr>
      </w:pPr>
      <w:r>
        <w:rPr>
          <w:sz w:val="22"/>
        </w:rPr>
        <w:t>Almost 86% of the PAPs are Muslim, whereas 13% population is Hindu. A mere population (1%) comprises of Christian (</w:t>
      </w:r>
      <w:r>
        <w:rPr>
          <w:b/>
          <w:sz w:val="22"/>
        </w:rPr>
        <w:t>Figure</w:t>
      </w:r>
      <w:r>
        <w:rPr>
          <w:b/>
          <w:spacing w:val="-11"/>
          <w:sz w:val="22"/>
        </w:rPr>
        <w:t> </w:t>
      </w:r>
      <w:r>
        <w:rPr>
          <w:b/>
          <w:sz w:val="22"/>
        </w:rPr>
        <w:t>6</w:t>
      </w:r>
      <w:r>
        <w:rPr>
          <w:sz w:val="22"/>
        </w:rPr>
        <w:t>).</w:t>
      </w:r>
    </w:p>
    <w:p>
      <w:pPr>
        <w:pStyle w:val="ListParagraph"/>
        <w:numPr>
          <w:ilvl w:val="0"/>
          <w:numId w:val="20"/>
        </w:numPr>
        <w:tabs>
          <w:tab w:pos="1589" w:val="left" w:leader="none"/>
        </w:tabs>
        <w:spacing w:line="276" w:lineRule="auto" w:before="120" w:after="0"/>
        <w:ind w:left="868" w:right="830" w:firstLine="0"/>
        <w:jc w:val="both"/>
        <w:rPr>
          <w:sz w:val="22"/>
        </w:rPr>
      </w:pPr>
      <w:r>
        <w:rPr/>
        <w:drawing>
          <wp:anchor distT="0" distB="0" distL="0" distR="0" allowOverlap="1" layoutInCell="1" locked="0" behindDoc="0" simplePos="0" relativeHeight="1360">
            <wp:simplePos x="0" y="0"/>
            <wp:positionH relativeFrom="page">
              <wp:posOffset>4060825</wp:posOffset>
            </wp:positionH>
            <wp:positionV relativeFrom="paragraph">
              <wp:posOffset>1265654</wp:posOffset>
            </wp:positionV>
            <wp:extent cx="2324734" cy="1466850"/>
            <wp:effectExtent l="0" t="0" r="0" b="0"/>
            <wp:wrapNone/>
            <wp:docPr id="23" name="image18.png" descr=""/>
            <wp:cNvGraphicFramePr>
              <a:graphicFrameLocks noChangeAspect="1"/>
            </wp:cNvGraphicFramePr>
            <a:graphic>
              <a:graphicData uri="http://schemas.openxmlformats.org/drawingml/2006/picture">
                <pic:pic>
                  <pic:nvPicPr>
                    <pic:cNvPr id="24" name="image18.png"/>
                    <pic:cNvPicPr/>
                  </pic:nvPicPr>
                  <pic:blipFill>
                    <a:blip r:embed="rId25" cstate="print"/>
                    <a:stretch>
                      <a:fillRect/>
                    </a:stretch>
                  </pic:blipFill>
                  <pic:spPr>
                    <a:xfrm>
                      <a:off x="0" y="0"/>
                      <a:ext cx="2324734" cy="1466850"/>
                    </a:xfrm>
                    <a:prstGeom prst="rect">
                      <a:avLst/>
                    </a:prstGeom>
                  </pic:spPr>
                </pic:pic>
              </a:graphicData>
            </a:graphic>
          </wp:anchor>
        </w:drawing>
      </w:r>
      <w:r>
        <w:rPr>
          <w:sz w:val="22"/>
        </w:rPr>
        <w:t>Nearly, 5 ethnic castes were reported. The largest caste in the PAPs is Pukhtun which accounts for 25% of the total estimated population, followed by Sindhis (23%) and Punjabis (19%), Baloch (13%) and others constitute 5% of PAPs. About 15% of the PAPs did not answer (</w:t>
      </w:r>
      <w:r>
        <w:rPr>
          <w:b/>
          <w:sz w:val="22"/>
        </w:rPr>
        <w:t>Figure</w:t>
      </w:r>
      <w:r>
        <w:rPr>
          <w:b/>
          <w:spacing w:val="-3"/>
          <w:sz w:val="22"/>
        </w:rPr>
        <w:t> </w:t>
      </w:r>
      <w:r>
        <w:rPr>
          <w:b/>
          <w:sz w:val="22"/>
        </w:rPr>
        <w:t>6</w:t>
      </w:r>
      <w:r>
        <w:rPr>
          <w:sz w:val="22"/>
        </w:rPr>
        <w:t>).</w:t>
      </w:r>
    </w:p>
    <w:p>
      <w:pPr>
        <w:pStyle w:val="BodyText"/>
        <w:rPr>
          <w:sz w:val="20"/>
        </w:rPr>
      </w:pPr>
    </w:p>
    <w:p>
      <w:pPr>
        <w:pStyle w:val="BodyText"/>
        <w:spacing w:before="4"/>
        <w:rPr>
          <w:sz w:val="10"/>
        </w:rPr>
      </w:pPr>
    </w:p>
    <w:tbl>
      <w:tblPr>
        <w:tblW w:w="0" w:type="auto"/>
        <w:jc w:val="left"/>
        <w:tblInd w:w="83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72"/>
        <w:gridCol w:w="4094"/>
      </w:tblGrid>
      <w:tr>
        <w:trPr>
          <w:trHeight w:val="2802" w:hRule="exact"/>
        </w:trPr>
        <w:tc>
          <w:tcPr>
            <w:tcW w:w="4472" w:type="dxa"/>
          </w:tcPr>
          <w:p>
            <w:pPr>
              <w:pStyle w:val="TableParagraph"/>
              <w:spacing w:before="0"/>
              <w:ind w:left="200"/>
              <w:rPr>
                <w:sz w:val="20"/>
              </w:rPr>
            </w:pPr>
            <w:r>
              <w:rPr>
                <w:sz w:val="20"/>
              </w:rPr>
              <w:drawing>
                <wp:inline distT="0" distB="0" distL="0" distR="0">
                  <wp:extent cx="2548083" cy="1467135"/>
                  <wp:effectExtent l="0" t="0" r="0" b="0"/>
                  <wp:docPr id="25" name="image19.png" descr=""/>
                  <wp:cNvGraphicFramePr>
                    <a:graphicFrameLocks noChangeAspect="1"/>
                  </wp:cNvGraphicFramePr>
                  <a:graphic>
                    <a:graphicData uri="http://schemas.openxmlformats.org/drawingml/2006/picture">
                      <pic:pic>
                        <pic:nvPicPr>
                          <pic:cNvPr id="26" name="image19.png"/>
                          <pic:cNvPicPr/>
                        </pic:nvPicPr>
                        <pic:blipFill>
                          <a:blip r:embed="rId26" cstate="print"/>
                          <a:stretch>
                            <a:fillRect/>
                          </a:stretch>
                        </pic:blipFill>
                        <pic:spPr>
                          <a:xfrm>
                            <a:off x="0" y="0"/>
                            <a:ext cx="2548083" cy="1467135"/>
                          </a:xfrm>
                          <a:prstGeom prst="rect">
                            <a:avLst/>
                          </a:prstGeom>
                        </pic:spPr>
                      </pic:pic>
                    </a:graphicData>
                  </a:graphic>
                </wp:inline>
              </w:drawing>
            </w:r>
            <w:r>
              <w:rPr>
                <w:sz w:val="20"/>
              </w:rPr>
            </w:r>
          </w:p>
          <w:p>
            <w:pPr>
              <w:pStyle w:val="TableParagraph"/>
              <w:spacing w:before="7"/>
              <w:rPr>
                <w:sz w:val="22"/>
              </w:rPr>
            </w:pPr>
          </w:p>
          <w:p>
            <w:pPr>
              <w:pStyle w:val="TableParagraph"/>
              <w:spacing w:before="1"/>
              <w:ind w:left="1408"/>
              <w:rPr>
                <w:b/>
                <w:sz w:val="20"/>
              </w:rPr>
            </w:pPr>
            <w:r>
              <w:rPr>
                <w:b/>
                <w:sz w:val="20"/>
                <w:u w:val="thick"/>
              </w:rPr>
              <w:t>Religion</w:t>
            </w:r>
          </w:p>
        </w:tc>
        <w:tc>
          <w:tcPr>
            <w:tcW w:w="4094" w:type="dxa"/>
          </w:tcPr>
          <w:p>
            <w:pPr>
              <w:pStyle w:val="TableParagraph"/>
              <w:spacing w:before="130"/>
              <w:ind w:left="1282"/>
              <w:rPr>
                <w:b/>
                <w:sz w:val="20"/>
              </w:rPr>
            </w:pPr>
            <w:r>
              <w:rPr>
                <w:b/>
                <w:sz w:val="20"/>
                <w:u w:val="thick"/>
              </w:rPr>
              <w:t>Ethnicity</w:t>
            </w:r>
          </w:p>
        </w:tc>
      </w:tr>
    </w:tbl>
    <w:p>
      <w:pPr>
        <w:pStyle w:val="BodyText"/>
        <w:spacing w:before="6"/>
        <w:rPr>
          <w:sz w:val="30"/>
        </w:rPr>
      </w:pPr>
    </w:p>
    <w:p>
      <w:pPr>
        <w:spacing w:before="0"/>
        <w:ind w:left="3667" w:right="3636" w:firstLine="0"/>
        <w:jc w:val="center"/>
        <w:rPr>
          <w:sz w:val="22"/>
        </w:rPr>
      </w:pPr>
      <w:bookmarkStart w:name="_bookmark39" w:id="64"/>
      <w:bookmarkEnd w:id="64"/>
      <w:r>
        <w:rPr/>
      </w:r>
      <w:r>
        <w:rPr>
          <w:b/>
          <w:sz w:val="22"/>
        </w:rPr>
        <w:t>Figure 6: </w:t>
      </w:r>
      <w:r>
        <w:rPr>
          <w:sz w:val="22"/>
        </w:rPr>
        <w:t>Religion and Ethnicity</w:t>
      </w:r>
    </w:p>
    <w:p>
      <w:pPr>
        <w:spacing w:after="0"/>
        <w:jc w:val="center"/>
        <w:rPr>
          <w:sz w:val="22"/>
        </w:rPr>
        <w:sectPr>
          <w:pgSz w:w="11910" w:h="16840"/>
          <w:pgMar w:header="583" w:footer="575" w:top="840" w:bottom="760" w:left="860" w:right="600"/>
        </w:sectPr>
      </w:pPr>
    </w:p>
    <w:p>
      <w:pPr>
        <w:pStyle w:val="BodyText"/>
        <w:rPr>
          <w:sz w:val="20"/>
        </w:rPr>
      </w:pPr>
    </w:p>
    <w:p>
      <w:pPr>
        <w:pStyle w:val="BodyText"/>
        <w:rPr>
          <w:sz w:val="20"/>
        </w:rPr>
      </w:pPr>
    </w:p>
    <w:p>
      <w:pPr>
        <w:pStyle w:val="BodyText"/>
        <w:rPr>
          <w:sz w:val="28"/>
        </w:rPr>
      </w:pPr>
    </w:p>
    <w:p>
      <w:pPr>
        <w:pStyle w:val="Heading2"/>
        <w:numPr>
          <w:ilvl w:val="1"/>
          <w:numId w:val="19"/>
        </w:numPr>
        <w:tabs>
          <w:tab w:pos="1445" w:val="left" w:leader="none"/>
        </w:tabs>
        <w:spacing w:line="240" w:lineRule="auto" w:before="92" w:after="0"/>
        <w:ind w:left="1444" w:right="0" w:hanging="576"/>
        <w:jc w:val="both"/>
      </w:pPr>
      <w:bookmarkStart w:name="_bookmark40" w:id="65"/>
      <w:bookmarkEnd w:id="65"/>
      <w:r>
        <w:rPr>
          <w:b w:val="0"/>
        </w:rPr>
      </w:r>
      <w:bookmarkStart w:name="_bookmark40" w:id="66"/>
      <w:bookmarkEnd w:id="66"/>
      <w:r>
        <w:rPr/>
        <w:t>M</w:t>
      </w:r>
      <w:r>
        <w:rPr/>
        <w:t>arital</w:t>
      </w:r>
      <w:r>
        <w:rPr>
          <w:spacing w:val="-2"/>
        </w:rPr>
        <w:t> </w:t>
      </w:r>
      <w:r>
        <w:rPr/>
        <w:t>Status</w:t>
      </w:r>
    </w:p>
    <w:p>
      <w:pPr>
        <w:pStyle w:val="BodyText"/>
        <w:spacing w:before="160"/>
        <w:ind w:left="868"/>
        <w:jc w:val="both"/>
      </w:pPr>
      <w:r>
        <w:rPr/>
        <w:t>38        Out of the total 82 PAPs, up to 68% are married whereas 32% are unmarried.</w:t>
      </w:r>
    </w:p>
    <w:p>
      <w:pPr>
        <w:pStyle w:val="BodyText"/>
        <w:spacing w:before="2"/>
        <w:rPr>
          <w:sz w:val="24"/>
        </w:rPr>
      </w:pPr>
    </w:p>
    <w:p>
      <w:pPr>
        <w:pStyle w:val="Heading2"/>
        <w:numPr>
          <w:ilvl w:val="1"/>
          <w:numId w:val="19"/>
        </w:numPr>
        <w:tabs>
          <w:tab w:pos="1445" w:val="left" w:leader="none"/>
        </w:tabs>
        <w:spacing w:line="240" w:lineRule="auto" w:before="0" w:after="0"/>
        <w:ind w:left="1444" w:right="0" w:hanging="576"/>
        <w:jc w:val="both"/>
      </w:pPr>
      <w:bookmarkStart w:name="_bookmark41" w:id="67"/>
      <w:bookmarkEnd w:id="67"/>
      <w:r>
        <w:rPr>
          <w:b w:val="0"/>
        </w:rPr>
      </w:r>
      <w:bookmarkStart w:name="_bookmark41" w:id="68"/>
      <w:bookmarkEnd w:id="68"/>
      <w:r>
        <w:rPr/>
        <w:t>Educ</w:t>
      </w:r>
      <w:r>
        <w:rPr/>
        <w:t>ation</w:t>
      </w:r>
    </w:p>
    <w:p>
      <w:pPr>
        <w:pStyle w:val="ListParagraph"/>
        <w:numPr>
          <w:ilvl w:val="0"/>
          <w:numId w:val="21"/>
        </w:numPr>
        <w:tabs>
          <w:tab w:pos="1589" w:val="left" w:leader="none"/>
        </w:tabs>
        <w:spacing w:line="276" w:lineRule="auto" w:before="162" w:after="0"/>
        <w:ind w:left="868" w:right="234" w:firstLine="0"/>
        <w:jc w:val="both"/>
        <w:rPr>
          <w:sz w:val="22"/>
        </w:rPr>
      </w:pPr>
      <w:r>
        <w:rPr>
          <w:sz w:val="22"/>
        </w:rPr>
        <w:t>The</w:t>
      </w:r>
      <w:r>
        <w:rPr>
          <w:spacing w:val="-11"/>
          <w:sz w:val="22"/>
        </w:rPr>
        <w:t> </w:t>
      </w:r>
      <w:r>
        <w:rPr>
          <w:sz w:val="22"/>
        </w:rPr>
        <w:t>level</w:t>
      </w:r>
      <w:r>
        <w:rPr>
          <w:spacing w:val="-12"/>
          <w:sz w:val="22"/>
        </w:rPr>
        <w:t> </w:t>
      </w:r>
      <w:r>
        <w:rPr>
          <w:sz w:val="22"/>
        </w:rPr>
        <w:t>of</w:t>
      </w:r>
      <w:r>
        <w:rPr>
          <w:spacing w:val="-8"/>
          <w:sz w:val="22"/>
        </w:rPr>
        <w:t> </w:t>
      </w:r>
      <w:r>
        <w:rPr>
          <w:sz w:val="22"/>
        </w:rPr>
        <w:t>education</w:t>
      </w:r>
      <w:r>
        <w:rPr>
          <w:spacing w:val="-11"/>
          <w:sz w:val="22"/>
        </w:rPr>
        <w:t> </w:t>
      </w:r>
      <w:r>
        <w:rPr>
          <w:sz w:val="22"/>
        </w:rPr>
        <w:t>of</w:t>
      </w:r>
      <w:r>
        <w:rPr>
          <w:spacing w:val="-10"/>
          <w:sz w:val="22"/>
        </w:rPr>
        <w:t> </w:t>
      </w:r>
      <w:r>
        <w:rPr>
          <w:sz w:val="22"/>
        </w:rPr>
        <w:t>PAPs</w:t>
      </w:r>
      <w:r>
        <w:rPr>
          <w:spacing w:val="-11"/>
          <w:sz w:val="22"/>
        </w:rPr>
        <w:t> </w:t>
      </w:r>
      <w:r>
        <w:rPr>
          <w:sz w:val="22"/>
        </w:rPr>
        <w:t>is</w:t>
      </w:r>
      <w:r>
        <w:rPr>
          <w:spacing w:val="-11"/>
          <w:sz w:val="22"/>
        </w:rPr>
        <w:t> </w:t>
      </w:r>
      <w:r>
        <w:rPr>
          <w:sz w:val="22"/>
        </w:rPr>
        <w:t>determined</w:t>
      </w:r>
      <w:r>
        <w:rPr>
          <w:spacing w:val="-11"/>
          <w:sz w:val="22"/>
        </w:rPr>
        <w:t> </w:t>
      </w:r>
      <w:r>
        <w:rPr>
          <w:sz w:val="22"/>
        </w:rPr>
        <w:t>through</w:t>
      </w:r>
      <w:r>
        <w:rPr>
          <w:spacing w:val="-13"/>
          <w:sz w:val="22"/>
        </w:rPr>
        <w:t> </w:t>
      </w:r>
      <w:r>
        <w:rPr>
          <w:sz w:val="22"/>
        </w:rPr>
        <w:t>specially</w:t>
      </w:r>
      <w:r>
        <w:rPr>
          <w:spacing w:val="-13"/>
          <w:sz w:val="22"/>
        </w:rPr>
        <w:t> </w:t>
      </w:r>
      <w:r>
        <w:rPr>
          <w:sz w:val="22"/>
        </w:rPr>
        <w:t>designed</w:t>
      </w:r>
      <w:r>
        <w:rPr>
          <w:spacing w:val="-11"/>
          <w:sz w:val="22"/>
        </w:rPr>
        <w:t> </w:t>
      </w:r>
      <w:r>
        <w:rPr>
          <w:sz w:val="22"/>
        </w:rPr>
        <w:t>questions. About 50% PAPs are illiterate whereas 21% have completed primary education. Almost 11% of PAPs have attended middle school while 16% of the PAPs have attained matric level education. A mere number (2%) of PAPs reached intermediate level education </w:t>
      </w:r>
      <w:r>
        <w:rPr>
          <w:b/>
          <w:sz w:val="22"/>
        </w:rPr>
        <w:t>(Figure 7)</w:t>
      </w:r>
      <w:r>
        <w:rPr>
          <w:sz w:val="22"/>
        </w:rPr>
        <w:t>. The data shows that the trend of higher education in PAPs is not</w:t>
      </w:r>
      <w:r>
        <w:rPr>
          <w:spacing w:val="-25"/>
          <w:sz w:val="22"/>
        </w:rPr>
        <w:t> </w:t>
      </w:r>
      <w:r>
        <w:rPr>
          <w:sz w:val="22"/>
        </w:rPr>
        <w:t>high.</w:t>
      </w:r>
    </w:p>
    <w:p>
      <w:pPr>
        <w:pStyle w:val="ListParagraph"/>
        <w:numPr>
          <w:ilvl w:val="0"/>
          <w:numId w:val="21"/>
        </w:numPr>
        <w:tabs>
          <w:tab w:pos="1589" w:val="left" w:leader="none"/>
        </w:tabs>
        <w:spacing w:line="276" w:lineRule="auto" w:before="120" w:after="0"/>
        <w:ind w:left="868" w:right="236" w:firstLine="0"/>
        <w:jc w:val="both"/>
        <w:rPr>
          <w:sz w:val="22"/>
        </w:rPr>
      </w:pPr>
      <w:r>
        <w:rPr/>
        <w:pict>
          <v:group style="position:absolute;margin-left:107.879997pt;margin-top:125.602898pt;width:146.6pt;height:118.4pt;mso-position-horizontal-relative:page;mso-position-vertical-relative:paragraph;z-index:-308896" coordorigin="2158,2512" coordsize="2932,2368">
            <v:shape style="position:absolute;left:2158;top:2536;width:2932;height:2344" type="#_x0000_t75" stroked="false">
              <v:imagedata r:id="rId27" o:title=""/>
            </v:shape>
            <v:shape style="position:absolute;left:2898;top:2520;width:1510;height:441" coordorigin="2898,2520" coordsize="1510,441" path="m3719,2854l2988,2724,2898,2724m4396,2960l4408,2520e" filled="false" stroked="true" strokeweight=".75pt" strokecolor="#000000">
              <v:path arrowok="t"/>
              <v:stroke dashstyle="solid"/>
            </v:shape>
            <w10:wrap type="none"/>
          </v:group>
        </w:pict>
      </w:r>
      <w:r>
        <w:rPr/>
        <w:pict>
          <v:group style="position:absolute;margin-left:316.799988pt;margin-top:101.257896pt;width:169.3pt;height:151.75pt;mso-position-horizontal-relative:page;mso-position-vertical-relative:paragraph;z-index:-308872" coordorigin="6336,2025" coordsize="3386,3035">
            <v:shape style="position:absolute;left:6336;top:2025;width:3385;height:3035" type="#_x0000_t75" stroked="false">
              <v:imagedata r:id="rId28" o:title=""/>
            </v:shape>
            <v:shape style="position:absolute;left:8376;top:2347;width:1255;height:543" coordorigin="8376,2347" coordsize="1255,543" path="m8376,2548l8460,2347,8550,2347m8898,2651l9494,2395,9585,2395m9405,2889l9540,2875,9630,2875e" filled="false" stroked="true" strokeweight=".75pt" strokecolor="#000000">
              <v:path arrowok="t"/>
              <v:stroke dashstyle="solid"/>
            </v:shape>
            <w10:wrap type="none"/>
          </v:group>
        </w:pict>
      </w:r>
      <w:r>
        <w:rPr>
          <w:sz w:val="22"/>
        </w:rPr>
        <w:t>According</w:t>
      </w:r>
      <w:r>
        <w:rPr>
          <w:spacing w:val="-12"/>
          <w:sz w:val="22"/>
        </w:rPr>
        <w:t> </w:t>
      </w:r>
      <w:r>
        <w:rPr>
          <w:sz w:val="22"/>
        </w:rPr>
        <w:t>to</w:t>
      </w:r>
      <w:r>
        <w:rPr>
          <w:spacing w:val="-13"/>
          <w:sz w:val="22"/>
        </w:rPr>
        <w:t> </w:t>
      </w:r>
      <w:r>
        <w:rPr>
          <w:sz w:val="22"/>
        </w:rPr>
        <w:t>the</w:t>
      </w:r>
      <w:r>
        <w:rPr>
          <w:spacing w:val="-11"/>
          <w:sz w:val="22"/>
        </w:rPr>
        <w:t> </w:t>
      </w:r>
      <w:r>
        <w:rPr>
          <w:sz w:val="22"/>
        </w:rPr>
        <w:t>obtained</w:t>
      </w:r>
      <w:r>
        <w:rPr>
          <w:spacing w:val="-11"/>
          <w:sz w:val="22"/>
        </w:rPr>
        <w:t> </w:t>
      </w:r>
      <w:r>
        <w:rPr>
          <w:sz w:val="22"/>
        </w:rPr>
        <w:t>data,</w:t>
      </w:r>
      <w:r>
        <w:rPr>
          <w:spacing w:val="-11"/>
          <w:sz w:val="22"/>
        </w:rPr>
        <w:t> </w:t>
      </w:r>
      <w:r>
        <w:rPr>
          <w:sz w:val="22"/>
        </w:rPr>
        <w:t>about</w:t>
      </w:r>
      <w:r>
        <w:rPr>
          <w:spacing w:val="-11"/>
          <w:sz w:val="22"/>
        </w:rPr>
        <w:t> </w:t>
      </w:r>
      <w:r>
        <w:rPr>
          <w:sz w:val="22"/>
        </w:rPr>
        <w:t>64%</w:t>
      </w:r>
      <w:r>
        <w:rPr>
          <w:spacing w:val="-10"/>
          <w:sz w:val="22"/>
        </w:rPr>
        <w:t> </w:t>
      </w:r>
      <w:r>
        <w:rPr>
          <w:sz w:val="22"/>
        </w:rPr>
        <w:t>of</w:t>
      </w:r>
      <w:r>
        <w:rPr>
          <w:spacing w:val="-9"/>
          <w:sz w:val="22"/>
        </w:rPr>
        <w:t> </w:t>
      </w:r>
      <w:r>
        <w:rPr>
          <w:sz w:val="22"/>
        </w:rPr>
        <w:t>PAHs</w:t>
      </w:r>
      <w:r>
        <w:rPr>
          <w:spacing w:val="-11"/>
          <w:sz w:val="22"/>
        </w:rPr>
        <w:t> </w:t>
      </w:r>
      <w:r>
        <w:rPr>
          <w:sz w:val="22"/>
        </w:rPr>
        <w:t>are</w:t>
      </w:r>
      <w:r>
        <w:rPr>
          <w:spacing w:val="-11"/>
          <w:sz w:val="22"/>
        </w:rPr>
        <w:t> </w:t>
      </w:r>
      <w:r>
        <w:rPr>
          <w:sz w:val="22"/>
        </w:rPr>
        <w:t>illiterate</w:t>
      </w:r>
      <w:r>
        <w:rPr>
          <w:spacing w:val="-11"/>
          <w:sz w:val="22"/>
        </w:rPr>
        <w:t> </w:t>
      </w:r>
      <w:r>
        <w:rPr>
          <w:sz w:val="22"/>
        </w:rPr>
        <w:t>which</w:t>
      </w:r>
      <w:r>
        <w:rPr>
          <w:spacing w:val="-11"/>
          <w:sz w:val="22"/>
        </w:rPr>
        <w:t> </w:t>
      </w:r>
      <w:r>
        <w:rPr>
          <w:sz w:val="22"/>
        </w:rPr>
        <w:t>is</w:t>
      </w:r>
      <w:r>
        <w:rPr>
          <w:spacing w:val="-9"/>
          <w:sz w:val="22"/>
        </w:rPr>
        <w:t> </w:t>
      </w:r>
      <w:r>
        <w:rPr>
          <w:sz w:val="22"/>
        </w:rPr>
        <w:t>marginally higher</w:t>
      </w:r>
      <w:r>
        <w:rPr>
          <w:spacing w:val="-15"/>
          <w:sz w:val="22"/>
        </w:rPr>
        <w:t> </w:t>
      </w:r>
      <w:r>
        <w:rPr>
          <w:sz w:val="22"/>
        </w:rPr>
        <w:t>than</w:t>
      </w:r>
      <w:r>
        <w:rPr>
          <w:spacing w:val="-14"/>
          <w:sz w:val="22"/>
        </w:rPr>
        <w:t> </w:t>
      </w:r>
      <w:r>
        <w:rPr>
          <w:sz w:val="22"/>
        </w:rPr>
        <w:t>PAPs.</w:t>
      </w:r>
      <w:r>
        <w:rPr>
          <w:spacing w:val="-12"/>
          <w:sz w:val="22"/>
        </w:rPr>
        <w:t> </w:t>
      </w:r>
      <w:r>
        <w:rPr>
          <w:sz w:val="22"/>
        </w:rPr>
        <w:t>Among</w:t>
      </w:r>
      <w:r>
        <w:rPr>
          <w:spacing w:val="-12"/>
          <w:sz w:val="22"/>
        </w:rPr>
        <w:t> </w:t>
      </w:r>
      <w:r>
        <w:rPr>
          <w:sz w:val="22"/>
        </w:rPr>
        <w:t>the</w:t>
      </w:r>
      <w:r>
        <w:rPr>
          <w:spacing w:val="-14"/>
          <w:sz w:val="22"/>
        </w:rPr>
        <w:t> </w:t>
      </w:r>
      <w:r>
        <w:rPr>
          <w:sz w:val="22"/>
        </w:rPr>
        <w:t>rest</w:t>
      </w:r>
      <w:r>
        <w:rPr>
          <w:spacing w:val="-12"/>
          <w:sz w:val="22"/>
        </w:rPr>
        <w:t> </w:t>
      </w:r>
      <w:r>
        <w:rPr>
          <w:sz w:val="22"/>
        </w:rPr>
        <w:t>of</w:t>
      </w:r>
      <w:r>
        <w:rPr>
          <w:spacing w:val="-12"/>
          <w:sz w:val="22"/>
        </w:rPr>
        <w:t> </w:t>
      </w:r>
      <w:r>
        <w:rPr>
          <w:sz w:val="22"/>
        </w:rPr>
        <w:t>the</w:t>
      </w:r>
      <w:r>
        <w:rPr>
          <w:spacing w:val="-14"/>
          <w:sz w:val="22"/>
        </w:rPr>
        <w:t> </w:t>
      </w:r>
      <w:r>
        <w:rPr>
          <w:sz w:val="22"/>
        </w:rPr>
        <w:t>PAHs,</w:t>
      </w:r>
      <w:r>
        <w:rPr>
          <w:spacing w:val="-12"/>
          <w:sz w:val="22"/>
        </w:rPr>
        <w:t> </w:t>
      </w:r>
      <w:r>
        <w:rPr>
          <w:sz w:val="22"/>
        </w:rPr>
        <w:t>15%</w:t>
      </w:r>
      <w:r>
        <w:rPr>
          <w:spacing w:val="-10"/>
          <w:sz w:val="22"/>
        </w:rPr>
        <w:t> </w:t>
      </w:r>
      <w:r>
        <w:rPr>
          <w:sz w:val="22"/>
        </w:rPr>
        <w:t>have</w:t>
      </w:r>
      <w:r>
        <w:rPr>
          <w:spacing w:val="-14"/>
          <w:sz w:val="22"/>
        </w:rPr>
        <w:t> </w:t>
      </w:r>
      <w:r>
        <w:rPr>
          <w:sz w:val="22"/>
        </w:rPr>
        <w:t>attained</w:t>
      </w:r>
      <w:r>
        <w:rPr>
          <w:spacing w:val="-11"/>
          <w:sz w:val="22"/>
        </w:rPr>
        <w:t> </w:t>
      </w:r>
      <w:r>
        <w:rPr>
          <w:sz w:val="22"/>
        </w:rPr>
        <w:t>primary</w:t>
      </w:r>
      <w:r>
        <w:rPr>
          <w:spacing w:val="-13"/>
          <w:sz w:val="22"/>
        </w:rPr>
        <w:t> </w:t>
      </w:r>
      <w:r>
        <w:rPr>
          <w:sz w:val="22"/>
        </w:rPr>
        <w:t>level</w:t>
      </w:r>
      <w:r>
        <w:rPr>
          <w:spacing w:val="-12"/>
          <w:sz w:val="22"/>
        </w:rPr>
        <w:t> </w:t>
      </w:r>
      <w:r>
        <w:rPr>
          <w:sz w:val="22"/>
        </w:rPr>
        <w:t>education, 6% middle and 9% have reached matric level education. A very small number of PAHs have attained intermediate (3%) and Bachelors (2%) level education (</w:t>
      </w:r>
      <w:r>
        <w:rPr>
          <w:b/>
          <w:sz w:val="22"/>
        </w:rPr>
        <w:t>Figure</w:t>
      </w:r>
      <w:r>
        <w:rPr>
          <w:b/>
          <w:spacing w:val="-18"/>
          <w:sz w:val="22"/>
        </w:rPr>
        <w:t> </w:t>
      </w:r>
      <w:r>
        <w:rPr>
          <w:b/>
          <w:sz w:val="22"/>
        </w:rPr>
        <w:t>7</w:t>
      </w:r>
      <w:r>
        <w:rPr>
          <w:sz w:val="22"/>
        </w:rPr>
        <w:t>).</w:t>
      </w:r>
    </w:p>
    <w:p>
      <w:pPr>
        <w:pStyle w:val="BodyText"/>
        <w:spacing w:before="3"/>
        <w:rPr>
          <w:sz w:val="11"/>
        </w:rPr>
      </w:pPr>
    </w:p>
    <w:tbl>
      <w:tblPr>
        <w:tblW w:w="0" w:type="auto"/>
        <w:jc w:val="left"/>
        <w:tblInd w:w="108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88"/>
        <w:gridCol w:w="4575"/>
      </w:tblGrid>
      <w:tr>
        <w:trPr>
          <w:trHeight w:val="399" w:hRule="exact"/>
        </w:trPr>
        <w:tc>
          <w:tcPr>
            <w:tcW w:w="4088" w:type="dxa"/>
          </w:tcPr>
          <w:p>
            <w:pPr>
              <w:pStyle w:val="TableParagraph"/>
              <w:spacing w:line="223" w:lineRule="exact" w:before="0"/>
              <w:ind w:left="888"/>
              <w:rPr>
                <w:b/>
                <w:sz w:val="20"/>
              </w:rPr>
            </w:pPr>
            <w:r>
              <w:rPr>
                <w:b/>
                <w:sz w:val="20"/>
                <w:u w:val="thick"/>
              </w:rPr>
              <w:t>Education of PAP</w:t>
            </w:r>
          </w:p>
        </w:tc>
        <w:tc>
          <w:tcPr>
            <w:tcW w:w="4575" w:type="dxa"/>
          </w:tcPr>
          <w:p>
            <w:pPr>
              <w:pStyle w:val="TableParagraph"/>
              <w:spacing w:line="223" w:lineRule="exact" w:before="0"/>
              <w:ind w:left="1584"/>
              <w:rPr>
                <w:b/>
                <w:sz w:val="20"/>
              </w:rPr>
            </w:pPr>
            <w:r>
              <w:rPr>
                <w:b/>
                <w:sz w:val="20"/>
              </w:rPr>
              <w:t>Education of PAH</w:t>
            </w:r>
          </w:p>
        </w:tc>
      </w:tr>
      <w:tr>
        <w:trPr>
          <w:trHeight w:val="3250" w:hRule="exact"/>
        </w:trPr>
        <w:tc>
          <w:tcPr>
            <w:tcW w:w="4088" w:type="dxa"/>
          </w:tcPr>
          <w:p>
            <w:pPr>
              <w:pStyle w:val="TableParagraph"/>
              <w:spacing w:before="7"/>
              <w:rPr>
                <w:sz w:val="21"/>
              </w:rPr>
            </w:pPr>
          </w:p>
          <w:p>
            <w:pPr>
              <w:pStyle w:val="TableParagraph"/>
              <w:spacing w:line="239" w:lineRule="exact" w:before="0"/>
              <w:ind w:left="2376"/>
              <w:rPr>
                <w:rFonts w:ascii="Calibri"/>
                <w:sz w:val="20"/>
              </w:rPr>
            </w:pPr>
            <w:r>
              <w:rPr>
                <w:rFonts w:ascii="Calibri"/>
                <w:sz w:val="20"/>
              </w:rPr>
              <w:t>Matric,</w:t>
            </w:r>
          </w:p>
          <w:p>
            <w:pPr>
              <w:pStyle w:val="TableParagraph"/>
              <w:tabs>
                <w:tab w:pos="2496" w:val="left" w:leader="none"/>
              </w:tabs>
              <w:spacing w:line="243" w:lineRule="exact" w:before="0"/>
              <w:ind w:left="200"/>
              <w:rPr>
                <w:rFonts w:ascii="Calibri"/>
                <w:sz w:val="20"/>
              </w:rPr>
            </w:pPr>
            <w:r>
              <w:rPr>
                <w:rFonts w:ascii="Calibri"/>
                <w:position w:val="1"/>
                <w:sz w:val="20"/>
              </w:rPr>
              <w:t>Intermed</w:t>
              <w:tab/>
            </w:r>
            <w:r>
              <w:rPr>
                <w:rFonts w:ascii="Calibri"/>
                <w:sz w:val="20"/>
              </w:rPr>
              <w:t>16%</w:t>
            </w:r>
          </w:p>
          <w:p>
            <w:pPr>
              <w:pStyle w:val="TableParagraph"/>
              <w:spacing w:line="237" w:lineRule="exact" w:before="0"/>
              <w:ind w:left="231"/>
              <w:rPr>
                <w:rFonts w:ascii="Calibri"/>
                <w:sz w:val="20"/>
              </w:rPr>
            </w:pPr>
            <w:r>
              <w:rPr>
                <w:rFonts w:ascii="Calibri"/>
                <w:sz w:val="20"/>
              </w:rPr>
              <w:t>iate , 2%</w:t>
            </w:r>
          </w:p>
          <w:p>
            <w:pPr>
              <w:pStyle w:val="TableParagraph"/>
              <w:spacing w:before="0"/>
              <w:rPr>
                <w:sz w:val="20"/>
              </w:rPr>
            </w:pPr>
          </w:p>
          <w:p>
            <w:pPr>
              <w:pStyle w:val="TableParagraph"/>
              <w:tabs>
                <w:tab w:pos="2858" w:val="left" w:leader="none"/>
              </w:tabs>
              <w:spacing w:line="287" w:lineRule="exact" w:before="121"/>
              <w:ind w:left="217"/>
              <w:jc w:val="center"/>
              <w:rPr>
                <w:rFonts w:ascii="Calibri"/>
                <w:sz w:val="20"/>
              </w:rPr>
            </w:pPr>
            <w:r>
              <w:rPr>
                <w:rFonts w:ascii="Calibri"/>
                <w:sz w:val="20"/>
              </w:rPr>
              <w:t>Illiterate,</w:t>
              <w:tab/>
            </w:r>
            <w:r>
              <w:rPr>
                <w:rFonts w:ascii="Calibri"/>
                <w:position w:val="8"/>
                <w:sz w:val="20"/>
              </w:rPr>
              <w:t>Middle,</w:t>
            </w:r>
          </w:p>
          <w:p>
            <w:pPr>
              <w:pStyle w:val="TableParagraph"/>
              <w:tabs>
                <w:tab w:pos="2860" w:val="left" w:leader="none"/>
              </w:tabs>
              <w:spacing w:line="287" w:lineRule="exact" w:before="0"/>
              <w:ind w:left="277"/>
              <w:jc w:val="center"/>
              <w:rPr>
                <w:rFonts w:ascii="Calibri"/>
                <w:sz w:val="20"/>
              </w:rPr>
            </w:pPr>
            <w:r>
              <w:rPr>
                <w:rFonts w:ascii="Calibri"/>
                <w:position w:val="-7"/>
                <w:sz w:val="20"/>
              </w:rPr>
              <w:t>50%</w:t>
              <w:tab/>
            </w:r>
            <w:r>
              <w:rPr>
                <w:rFonts w:ascii="Calibri"/>
                <w:sz w:val="20"/>
              </w:rPr>
              <w:t>11%</w:t>
            </w:r>
          </w:p>
          <w:p>
            <w:pPr>
              <w:pStyle w:val="TableParagraph"/>
              <w:spacing w:before="0"/>
              <w:rPr>
                <w:sz w:val="26"/>
              </w:rPr>
            </w:pPr>
          </w:p>
          <w:p>
            <w:pPr>
              <w:pStyle w:val="TableParagraph"/>
              <w:spacing w:before="7"/>
              <w:rPr>
                <w:sz w:val="27"/>
              </w:rPr>
            </w:pPr>
          </w:p>
          <w:p>
            <w:pPr>
              <w:pStyle w:val="TableParagraph"/>
              <w:spacing w:before="0"/>
              <w:ind w:left="2883" w:right="670" w:hanging="171"/>
              <w:rPr>
                <w:rFonts w:ascii="Calibri"/>
                <w:sz w:val="20"/>
              </w:rPr>
            </w:pPr>
            <w:r>
              <w:rPr>
                <w:rFonts w:ascii="Calibri"/>
                <w:sz w:val="20"/>
              </w:rPr>
              <w:t>Primary,</w:t>
            </w:r>
            <w:r>
              <w:rPr>
                <w:rFonts w:ascii="Calibri"/>
                <w:w w:val="99"/>
                <w:sz w:val="20"/>
              </w:rPr>
              <w:t> </w:t>
            </w:r>
            <w:r>
              <w:rPr>
                <w:rFonts w:ascii="Calibri"/>
                <w:sz w:val="20"/>
              </w:rPr>
              <w:t>21%</w:t>
            </w:r>
          </w:p>
        </w:tc>
        <w:tc>
          <w:tcPr>
            <w:tcW w:w="4575" w:type="dxa"/>
          </w:tcPr>
          <w:p>
            <w:pPr>
              <w:pStyle w:val="TableParagraph"/>
              <w:spacing w:line="206" w:lineRule="exact" w:before="170"/>
              <w:ind w:left="2482" w:right="1302"/>
              <w:jc w:val="center"/>
              <w:rPr>
                <w:sz w:val="18"/>
              </w:rPr>
            </w:pPr>
            <w:r>
              <w:rPr>
                <w:sz w:val="18"/>
              </w:rPr>
              <w:t>Intermedi</w:t>
            </w:r>
          </w:p>
          <w:p>
            <w:pPr>
              <w:pStyle w:val="TableParagraph"/>
              <w:tabs>
                <w:tab w:pos="824" w:val="left" w:leader="none"/>
                <w:tab w:pos="1861" w:val="left" w:leader="none"/>
              </w:tabs>
              <w:spacing w:line="256" w:lineRule="exact" w:before="0"/>
              <w:ind w:right="448"/>
              <w:jc w:val="right"/>
              <w:rPr>
                <w:sz w:val="18"/>
              </w:rPr>
            </w:pPr>
            <w:r>
              <w:rPr>
                <w:sz w:val="18"/>
              </w:rPr>
              <w:t>BA, 2%</w:t>
              <w:tab/>
            </w:r>
            <w:r>
              <w:rPr>
                <w:position w:val="5"/>
                <w:sz w:val="18"/>
              </w:rPr>
              <w:t>ate</w:t>
            </w:r>
            <w:r>
              <w:rPr>
                <w:spacing w:val="-2"/>
                <w:position w:val="5"/>
                <w:sz w:val="18"/>
              </w:rPr>
              <w:t> </w:t>
            </w:r>
            <w:r>
              <w:rPr>
                <w:position w:val="5"/>
                <w:sz w:val="18"/>
              </w:rPr>
              <w:t>, 3%</w:t>
              <w:tab/>
            </w:r>
            <w:r>
              <w:rPr>
                <w:spacing w:val="-1"/>
                <w:sz w:val="18"/>
              </w:rPr>
              <w:t>Matric,</w:t>
            </w:r>
          </w:p>
          <w:p>
            <w:pPr>
              <w:pStyle w:val="TableParagraph"/>
              <w:spacing w:before="2"/>
              <w:ind w:right="587"/>
              <w:jc w:val="right"/>
              <w:rPr>
                <w:sz w:val="18"/>
              </w:rPr>
            </w:pPr>
            <w:r>
              <w:rPr>
                <w:sz w:val="18"/>
              </w:rPr>
              <w:t>9%</w:t>
            </w:r>
          </w:p>
          <w:p>
            <w:pPr>
              <w:pStyle w:val="TableParagraph"/>
              <w:spacing w:before="64"/>
              <w:ind w:left="3789" w:right="346" w:hanging="161"/>
              <w:rPr>
                <w:sz w:val="18"/>
              </w:rPr>
            </w:pPr>
            <w:r>
              <w:rPr>
                <w:sz w:val="18"/>
              </w:rPr>
              <w:t>Middle, 6%</w:t>
            </w:r>
          </w:p>
          <w:p>
            <w:pPr>
              <w:pStyle w:val="TableParagraph"/>
              <w:spacing w:before="6"/>
              <w:rPr>
                <w:sz w:val="22"/>
              </w:rPr>
            </w:pPr>
          </w:p>
          <w:p>
            <w:pPr>
              <w:pStyle w:val="TableParagraph"/>
              <w:spacing w:before="0"/>
              <w:ind w:left="641"/>
              <w:rPr>
                <w:sz w:val="18"/>
              </w:rPr>
            </w:pPr>
            <w:r>
              <w:rPr>
                <w:sz w:val="18"/>
              </w:rPr>
              <w:t>Illiterate,</w:t>
            </w:r>
          </w:p>
          <w:p>
            <w:pPr>
              <w:pStyle w:val="TableParagraph"/>
              <w:tabs>
                <w:tab w:pos="3703" w:val="left" w:leader="none"/>
              </w:tabs>
              <w:spacing w:before="2"/>
              <w:ind w:left="802"/>
              <w:rPr>
                <w:sz w:val="18"/>
              </w:rPr>
            </w:pPr>
            <w:r>
              <w:rPr>
                <w:sz w:val="18"/>
              </w:rPr>
              <w:t>64%</w:t>
              <w:tab/>
              <w:t>Primary,</w:t>
            </w:r>
          </w:p>
          <w:p>
            <w:pPr>
              <w:pStyle w:val="TableParagraph"/>
              <w:spacing w:before="1"/>
              <w:ind w:right="353"/>
              <w:jc w:val="right"/>
              <w:rPr>
                <w:sz w:val="18"/>
              </w:rPr>
            </w:pPr>
            <w:r>
              <w:rPr>
                <w:sz w:val="18"/>
              </w:rPr>
              <w:t>15%</w:t>
            </w:r>
          </w:p>
        </w:tc>
      </w:tr>
    </w:tbl>
    <w:p>
      <w:pPr>
        <w:pStyle w:val="BodyText"/>
        <w:spacing w:before="7"/>
        <w:rPr>
          <w:sz w:val="28"/>
        </w:rPr>
      </w:pPr>
    </w:p>
    <w:p>
      <w:pPr>
        <w:spacing w:before="0"/>
        <w:ind w:left="3451" w:right="2823" w:firstLine="0"/>
        <w:jc w:val="center"/>
        <w:rPr>
          <w:sz w:val="22"/>
        </w:rPr>
      </w:pPr>
      <w:bookmarkStart w:name="_bookmark42" w:id="69"/>
      <w:bookmarkEnd w:id="69"/>
      <w:r>
        <w:rPr/>
      </w:r>
      <w:r>
        <w:rPr>
          <w:b/>
          <w:sz w:val="22"/>
        </w:rPr>
        <w:t>Figure 7: </w:t>
      </w:r>
      <w:r>
        <w:rPr>
          <w:sz w:val="22"/>
        </w:rPr>
        <w:t>Education Level</w:t>
      </w:r>
    </w:p>
    <w:p>
      <w:pPr>
        <w:pStyle w:val="BodyText"/>
        <w:spacing w:before="1"/>
        <w:rPr>
          <w:sz w:val="24"/>
        </w:rPr>
      </w:pPr>
    </w:p>
    <w:p>
      <w:pPr>
        <w:pStyle w:val="Heading2"/>
        <w:numPr>
          <w:ilvl w:val="1"/>
          <w:numId w:val="19"/>
        </w:numPr>
        <w:tabs>
          <w:tab w:pos="1445" w:val="left" w:leader="none"/>
        </w:tabs>
        <w:spacing w:line="240" w:lineRule="auto" w:before="1" w:after="0"/>
        <w:ind w:left="1444" w:right="0" w:hanging="576"/>
        <w:jc w:val="both"/>
      </w:pPr>
      <w:bookmarkStart w:name="_bookmark43" w:id="70"/>
      <w:bookmarkEnd w:id="70"/>
      <w:r>
        <w:rPr>
          <w:b w:val="0"/>
        </w:rPr>
      </w:r>
      <w:bookmarkStart w:name="_bookmark43" w:id="71"/>
      <w:bookmarkEnd w:id="71"/>
      <w:r>
        <w:rPr/>
        <w:t>Inc</w:t>
      </w:r>
      <w:r>
        <w:rPr/>
        <w:t>ome</w:t>
      </w:r>
    </w:p>
    <w:p>
      <w:pPr>
        <w:pStyle w:val="ListParagraph"/>
        <w:numPr>
          <w:ilvl w:val="0"/>
          <w:numId w:val="22"/>
        </w:numPr>
        <w:tabs>
          <w:tab w:pos="1589" w:val="left" w:leader="none"/>
        </w:tabs>
        <w:spacing w:line="276" w:lineRule="auto" w:before="160" w:after="0"/>
        <w:ind w:left="868" w:right="235" w:firstLine="0"/>
        <w:jc w:val="both"/>
        <w:rPr>
          <w:sz w:val="22"/>
        </w:rPr>
      </w:pPr>
      <w:r>
        <w:rPr>
          <w:sz w:val="22"/>
        </w:rPr>
        <w:t>The</w:t>
      </w:r>
      <w:r>
        <w:rPr>
          <w:spacing w:val="-7"/>
          <w:sz w:val="22"/>
        </w:rPr>
        <w:t> </w:t>
      </w:r>
      <w:r>
        <w:rPr>
          <w:sz w:val="22"/>
        </w:rPr>
        <w:t>distribution</w:t>
      </w:r>
      <w:r>
        <w:rPr>
          <w:spacing w:val="-7"/>
          <w:sz w:val="22"/>
        </w:rPr>
        <w:t> </w:t>
      </w:r>
      <w:r>
        <w:rPr>
          <w:sz w:val="22"/>
        </w:rPr>
        <w:t>of</w:t>
      </w:r>
      <w:r>
        <w:rPr>
          <w:spacing w:val="-5"/>
          <w:sz w:val="22"/>
        </w:rPr>
        <w:t> </w:t>
      </w:r>
      <w:r>
        <w:rPr>
          <w:sz w:val="22"/>
        </w:rPr>
        <w:t>household</w:t>
      </w:r>
      <w:r>
        <w:rPr>
          <w:spacing w:val="-6"/>
          <w:sz w:val="22"/>
        </w:rPr>
        <w:t> </w:t>
      </w:r>
      <w:r>
        <w:rPr>
          <w:sz w:val="22"/>
        </w:rPr>
        <w:t>income</w:t>
      </w:r>
      <w:r>
        <w:rPr>
          <w:spacing w:val="-6"/>
          <w:sz w:val="22"/>
        </w:rPr>
        <w:t> </w:t>
      </w:r>
      <w:r>
        <w:rPr>
          <w:sz w:val="22"/>
        </w:rPr>
        <w:t>is</w:t>
      </w:r>
      <w:r>
        <w:rPr>
          <w:spacing w:val="-6"/>
          <w:sz w:val="22"/>
        </w:rPr>
        <w:t> </w:t>
      </w:r>
      <w:r>
        <w:rPr>
          <w:sz w:val="22"/>
        </w:rPr>
        <w:t>provided</w:t>
      </w:r>
      <w:r>
        <w:rPr>
          <w:spacing w:val="-6"/>
          <w:sz w:val="22"/>
        </w:rPr>
        <w:t> </w:t>
      </w:r>
      <w:r>
        <w:rPr>
          <w:sz w:val="22"/>
        </w:rPr>
        <w:t>in</w:t>
      </w:r>
      <w:r>
        <w:rPr>
          <w:spacing w:val="-3"/>
          <w:sz w:val="22"/>
        </w:rPr>
        <w:t> </w:t>
      </w:r>
      <w:r>
        <w:rPr>
          <w:sz w:val="22"/>
        </w:rPr>
        <w:t>Figure</w:t>
      </w:r>
      <w:r>
        <w:rPr>
          <w:spacing w:val="-6"/>
          <w:sz w:val="22"/>
        </w:rPr>
        <w:t> </w:t>
      </w:r>
      <w:r>
        <w:rPr>
          <w:sz w:val="22"/>
        </w:rPr>
        <w:t>13.</w:t>
      </w:r>
      <w:r>
        <w:rPr>
          <w:spacing w:val="-7"/>
          <w:sz w:val="22"/>
        </w:rPr>
        <w:t> </w:t>
      </w:r>
      <w:r>
        <w:rPr>
          <w:sz w:val="22"/>
        </w:rPr>
        <w:t>A</w:t>
      </w:r>
      <w:r>
        <w:rPr>
          <w:spacing w:val="-9"/>
          <w:sz w:val="22"/>
        </w:rPr>
        <w:t> </w:t>
      </w:r>
      <w:r>
        <w:rPr>
          <w:sz w:val="22"/>
        </w:rPr>
        <w:t>mere</w:t>
      </w:r>
      <w:r>
        <w:rPr>
          <w:spacing w:val="-8"/>
          <w:sz w:val="22"/>
        </w:rPr>
        <w:t> </w:t>
      </w:r>
      <w:r>
        <w:rPr>
          <w:sz w:val="22"/>
        </w:rPr>
        <w:t>portion</w:t>
      </w:r>
      <w:r>
        <w:rPr>
          <w:spacing w:val="-7"/>
          <w:sz w:val="22"/>
        </w:rPr>
        <w:t> </w:t>
      </w:r>
      <w:r>
        <w:rPr>
          <w:sz w:val="22"/>
        </w:rPr>
        <w:t>(7)</w:t>
      </w:r>
      <w:r>
        <w:rPr>
          <w:spacing w:val="-8"/>
          <w:sz w:val="22"/>
        </w:rPr>
        <w:t> </w:t>
      </w:r>
      <w:r>
        <w:rPr>
          <w:sz w:val="22"/>
        </w:rPr>
        <w:t>of PAPs earns more than PKR 50,000/month and considered economically stable. Almost four PAPs are earning less than PKR 10,000/month whereas 31 PAPs are earning from PKR 10,000 to PKR 20,000. About 30 PAPs are making from PKR 20,001 to PKR 30,000; six PAPs are earning from PKR 30,001  to PKR  40,000 and four  PAPs  are  earning  PKR 40,001 to PKR 50,000 (</w:t>
      </w:r>
      <w:r>
        <w:rPr>
          <w:b/>
          <w:sz w:val="22"/>
        </w:rPr>
        <w:t>Figure</w:t>
      </w:r>
      <w:r>
        <w:rPr>
          <w:b/>
          <w:spacing w:val="-9"/>
          <w:sz w:val="22"/>
        </w:rPr>
        <w:t> </w:t>
      </w:r>
      <w:r>
        <w:rPr>
          <w:b/>
          <w:sz w:val="22"/>
        </w:rPr>
        <w:t>8</w:t>
      </w:r>
      <w:r>
        <w:rPr>
          <w:sz w:val="22"/>
        </w:rPr>
        <w:t>).</w:t>
      </w:r>
    </w:p>
    <w:p>
      <w:pPr>
        <w:pStyle w:val="ListParagraph"/>
        <w:numPr>
          <w:ilvl w:val="0"/>
          <w:numId w:val="22"/>
        </w:numPr>
        <w:tabs>
          <w:tab w:pos="1589" w:val="left" w:leader="none"/>
        </w:tabs>
        <w:spacing w:line="276" w:lineRule="auto" w:before="123" w:after="0"/>
        <w:ind w:left="868" w:right="234" w:firstLine="0"/>
        <w:jc w:val="both"/>
        <w:rPr>
          <w:sz w:val="22"/>
        </w:rPr>
      </w:pPr>
      <w:r>
        <w:rPr>
          <w:sz w:val="22"/>
        </w:rPr>
        <w:t>A wide range of household incomes are reported of PAHs. Income of more than PKR  50,000/month  is  reported  by  12  PAHs  whereas  one   is   earning   less  than PKR 10,000/month. About 23  PAHs  are  earning  from  PKR  10,000  to  PKR  20,000, 28 are earning from PKR 20,001 to PKR 30,000, 10 from PKR 30,001 to PKR 40,000 and eight PAHs are earning from PKR 40,001 to PKR 50,000/month (</w:t>
      </w:r>
      <w:r>
        <w:rPr>
          <w:b/>
          <w:sz w:val="22"/>
        </w:rPr>
        <w:t>Figure</w:t>
      </w:r>
      <w:r>
        <w:rPr>
          <w:b/>
          <w:spacing w:val="-20"/>
          <w:sz w:val="22"/>
        </w:rPr>
        <w:t> </w:t>
      </w:r>
      <w:r>
        <w:rPr>
          <w:b/>
          <w:sz w:val="22"/>
        </w:rPr>
        <w:t>8</w:t>
      </w:r>
      <w:r>
        <w:rPr>
          <w:sz w:val="22"/>
        </w:rPr>
        <w:t>).</w:t>
      </w:r>
    </w:p>
    <w:p>
      <w:pPr>
        <w:spacing w:after="0" w:line="276" w:lineRule="auto"/>
        <w:jc w:val="both"/>
        <w:rPr>
          <w:sz w:val="22"/>
        </w:rPr>
        <w:sectPr>
          <w:pgSz w:w="11910" w:h="16840"/>
          <w:pgMar w:header="583" w:footer="575" w:top="840" w:bottom="760" w:left="860" w:right="1200"/>
        </w:sectPr>
      </w:pPr>
    </w:p>
    <w:p>
      <w:pPr>
        <w:pStyle w:val="BodyText"/>
        <w:rPr>
          <w:sz w:val="20"/>
        </w:rPr>
      </w:pPr>
    </w:p>
    <w:p>
      <w:pPr>
        <w:pStyle w:val="BodyText"/>
        <w:rPr>
          <w:sz w:val="20"/>
        </w:rPr>
      </w:pPr>
    </w:p>
    <w:p>
      <w:pPr>
        <w:pStyle w:val="BodyText"/>
        <w:rPr>
          <w:sz w:val="20"/>
        </w:rPr>
      </w:pPr>
    </w:p>
    <w:p>
      <w:pPr>
        <w:pStyle w:val="BodyText"/>
        <w:spacing w:before="6" w:after="1"/>
        <w:rPr>
          <w:sz w:val="16"/>
        </w:rPr>
      </w:pPr>
    </w:p>
    <w:tbl>
      <w:tblPr>
        <w:tblW w:w="0" w:type="auto"/>
        <w:jc w:val="left"/>
        <w:tblInd w:w="105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623"/>
        <w:gridCol w:w="4677"/>
      </w:tblGrid>
      <w:tr>
        <w:trPr>
          <w:trHeight w:val="409" w:hRule="exact"/>
        </w:trPr>
        <w:tc>
          <w:tcPr>
            <w:tcW w:w="4623" w:type="dxa"/>
          </w:tcPr>
          <w:p>
            <w:pPr>
              <w:pStyle w:val="TableParagraph"/>
              <w:spacing w:line="223" w:lineRule="exact" w:before="0"/>
              <w:ind w:left="726"/>
              <w:rPr>
                <w:b/>
                <w:sz w:val="20"/>
              </w:rPr>
            </w:pPr>
            <w:r>
              <w:rPr>
                <w:b/>
                <w:sz w:val="20"/>
                <w:u w:val="thick"/>
              </w:rPr>
              <w:t>Monthly Income of PAP</w:t>
            </w:r>
          </w:p>
        </w:tc>
        <w:tc>
          <w:tcPr>
            <w:tcW w:w="4677" w:type="dxa"/>
          </w:tcPr>
          <w:p>
            <w:pPr>
              <w:pStyle w:val="TableParagraph"/>
              <w:spacing w:line="223" w:lineRule="exact" w:before="0"/>
              <w:ind w:left="886"/>
              <w:rPr>
                <w:b/>
                <w:sz w:val="20"/>
              </w:rPr>
            </w:pPr>
            <w:r>
              <w:rPr>
                <w:b/>
                <w:sz w:val="20"/>
                <w:u w:val="thick"/>
              </w:rPr>
              <w:t>Monthly Income of PAH</w:t>
            </w:r>
          </w:p>
        </w:tc>
      </w:tr>
      <w:tr>
        <w:trPr>
          <w:trHeight w:val="3245" w:hRule="exact"/>
        </w:trPr>
        <w:tc>
          <w:tcPr>
            <w:tcW w:w="4623" w:type="dxa"/>
          </w:tcPr>
          <w:p>
            <w:pPr>
              <w:pStyle w:val="TableParagraph"/>
              <w:spacing w:before="11"/>
              <w:rPr>
                <w:sz w:val="23"/>
              </w:rPr>
            </w:pPr>
          </w:p>
          <w:p>
            <w:pPr>
              <w:pStyle w:val="TableParagraph"/>
              <w:spacing w:before="0"/>
              <w:ind w:left="182" w:right="4201"/>
              <w:jc w:val="center"/>
              <w:rPr>
                <w:sz w:val="18"/>
              </w:rPr>
            </w:pPr>
            <w:r>
              <w:rPr>
                <w:sz w:val="18"/>
              </w:rPr>
              <w:t>30</w:t>
            </w:r>
          </w:p>
          <w:p>
            <w:pPr>
              <w:pStyle w:val="TableParagraph"/>
              <w:spacing w:before="109"/>
              <w:ind w:left="182" w:right="4201"/>
              <w:jc w:val="center"/>
              <w:rPr>
                <w:sz w:val="18"/>
              </w:rPr>
            </w:pPr>
            <w:r>
              <w:rPr>
                <w:sz w:val="18"/>
              </w:rPr>
              <w:t>25</w:t>
            </w:r>
          </w:p>
          <w:p>
            <w:pPr>
              <w:pStyle w:val="TableParagraph"/>
              <w:spacing w:before="109"/>
              <w:ind w:left="182" w:right="4201"/>
              <w:jc w:val="center"/>
              <w:rPr>
                <w:sz w:val="18"/>
              </w:rPr>
            </w:pPr>
            <w:r>
              <w:rPr>
                <w:sz w:val="18"/>
              </w:rPr>
              <w:t>20</w:t>
            </w:r>
          </w:p>
          <w:p>
            <w:pPr>
              <w:pStyle w:val="TableParagraph"/>
              <w:spacing w:before="109"/>
              <w:ind w:left="182" w:right="4201"/>
              <w:jc w:val="center"/>
              <w:rPr>
                <w:sz w:val="18"/>
              </w:rPr>
            </w:pPr>
            <w:r>
              <w:rPr>
                <w:sz w:val="18"/>
              </w:rPr>
              <w:t>15</w:t>
            </w:r>
          </w:p>
          <w:p>
            <w:pPr>
              <w:pStyle w:val="TableParagraph"/>
              <w:spacing w:before="108"/>
              <w:ind w:left="182" w:right="4201"/>
              <w:jc w:val="center"/>
              <w:rPr>
                <w:sz w:val="18"/>
              </w:rPr>
            </w:pPr>
            <w:r>
              <w:rPr>
                <w:sz w:val="18"/>
              </w:rPr>
              <w:t>10</w:t>
            </w:r>
          </w:p>
          <w:p>
            <w:pPr>
              <w:pStyle w:val="TableParagraph"/>
              <w:spacing w:before="109"/>
              <w:ind w:right="3920"/>
              <w:jc w:val="center"/>
              <w:rPr>
                <w:sz w:val="18"/>
              </w:rPr>
            </w:pPr>
            <w:r>
              <w:rPr>
                <w:w w:val="99"/>
                <w:sz w:val="18"/>
              </w:rPr>
              <w:t>5</w:t>
            </w:r>
          </w:p>
          <w:p>
            <w:pPr>
              <w:pStyle w:val="TableParagraph"/>
              <w:spacing w:before="109"/>
              <w:ind w:right="3920"/>
              <w:jc w:val="center"/>
              <w:rPr>
                <w:sz w:val="18"/>
              </w:rPr>
            </w:pPr>
            <w:r>
              <w:rPr>
                <w:w w:val="99"/>
                <w:sz w:val="18"/>
              </w:rPr>
              <w:t>0</w:t>
            </w:r>
          </w:p>
          <w:p>
            <w:pPr>
              <w:pStyle w:val="TableParagraph"/>
              <w:tabs>
                <w:tab w:pos="2764" w:val="left" w:leader="none"/>
              </w:tabs>
              <w:spacing w:before="177"/>
              <w:ind w:left="731"/>
              <w:rPr>
                <w:sz w:val="18"/>
              </w:rPr>
            </w:pPr>
            <w:r>
              <w:rPr>
                <w:sz w:val="18"/>
              </w:rPr>
              <w:t>≤10,000</w:t>
              <w:tab/>
              <w:t>10,000-20,000</w:t>
            </w:r>
          </w:p>
          <w:p>
            <w:pPr>
              <w:pStyle w:val="TableParagraph"/>
              <w:tabs>
                <w:tab w:pos="2764" w:val="left" w:leader="none"/>
              </w:tabs>
              <w:spacing w:before="14"/>
              <w:ind w:left="731"/>
              <w:rPr>
                <w:sz w:val="18"/>
              </w:rPr>
            </w:pPr>
            <w:r>
              <w:rPr>
                <w:sz w:val="18"/>
              </w:rPr>
              <w:t>20,001-30,000</w:t>
              <w:tab/>
              <w:t>30,001-40,000</w:t>
            </w:r>
          </w:p>
          <w:p>
            <w:pPr>
              <w:pStyle w:val="TableParagraph"/>
              <w:tabs>
                <w:tab w:pos="2764" w:val="left" w:leader="none"/>
              </w:tabs>
              <w:spacing w:before="19"/>
              <w:ind w:left="731"/>
              <w:rPr>
                <w:sz w:val="18"/>
              </w:rPr>
            </w:pPr>
            <w:r>
              <w:rPr>
                <w:sz w:val="18"/>
              </w:rPr>
              <w:t>40,001-50,000</w:t>
              <w:tab/>
              <w:t>&gt;50,000</w:t>
            </w:r>
          </w:p>
        </w:tc>
        <w:tc>
          <w:tcPr>
            <w:tcW w:w="4677" w:type="dxa"/>
          </w:tcPr>
          <w:p>
            <w:pPr>
              <w:pStyle w:val="TableParagraph"/>
              <w:spacing w:before="0"/>
              <w:rPr>
                <w:sz w:val="20"/>
              </w:rPr>
            </w:pPr>
          </w:p>
          <w:p>
            <w:pPr>
              <w:pStyle w:val="TableParagraph"/>
              <w:spacing w:before="8"/>
              <w:rPr>
                <w:sz w:val="25"/>
              </w:rPr>
            </w:pPr>
          </w:p>
          <w:p>
            <w:pPr>
              <w:pStyle w:val="TableParagraph"/>
              <w:spacing w:before="1"/>
              <w:ind w:left="291"/>
              <w:rPr>
                <w:sz w:val="18"/>
              </w:rPr>
            </w:pPr>
            <w:r>
              <w:rPr>
                <w:sz w:val="18"/>
              </w:rPr>
              <w:t>30</w:t>
            </w:r>
          </w:p>
          <w:p>
            <w:pPr>
              <w:pStyle w:val="TableParagraph"/>
              <w:spacing w:before="90"/>
              <w:ind w:left="291"/>
              <w:rPr>
                <w:sz w:val="18"/>
              </w:rPr>
            </w:pPr>
            <w:r>
              <w:rPr>
                <w:sz w:val="18"/>
              </w:rPr>
              <w:t>25</w:t>
            </w:r>
          </w:p>
          <w:p>
            <w:pPr>
              <w:pStyle w:val="TableParagraph"/>
              <w:spacing w:before="90"/>
              <w:ind w:left="291"/>
              <w:rPr>
                <w:sz w:val="18"/>
              </w:rPr>
            </w:pPr>
            <w:r>
              <w:rPr>
                <w:sz w:val="18"/>
              </w:rPr>
              <w:t>20</w:t>
            </w:r>
          </w:p>
          <w:p>
            <w:pPr>
              <w:pStyle w:val="TableParagraph"/>
              <w:spacing w:before="90"/>
              <w:ind w:left="291"/>
              <w:rPr>
                <w:sz w:val="18"/>
              </w:rPr>
            </w:pPr>
            <w:r>
              <w:rPr>
                <w:sz w:val="18"/>
              </w:rPr>
              <w:t>15</w:t>
            </w:r>
          </w:p>
          <w:p>
            <w:pPr>
              <w:pStyle w:val="TableParagraph"/>
              <w:spacing w:before="89"/>
              <w:ind w:left="291"/>
              <w:rPr>
                <w:sz w:val="18"/>
              </w:rPr>
            </w:pPr>
            <w:r>
              <w:rPr>
                <w:sz w:val="18"/>
              </w:rPr>
              <w:t>10</w:t>
            </w:r>
          </w:p>
          <w:p>
            <w:pPr>
              <w:pStyle w:val="TableParagraph"/>
              <w:spacing w:before="89"/>
              <w:ind w:left="391"/>
              <w:rPr>
                <w:sz w:val="18"/>
              </w:rPr>
            </w:pPr>
            <w:r>
              <w:rPr>
                <w:w w:val="99"/>
                <w:sz w:val="18"/>
              </w:rPr>
              <w:t>5</w:t>
            </w:r>
          </w:p>
          <w:p>
            <w:pPr>
              <w:pStyle w:val="TableParagraph"/>
              <w:spacing w:before="89"/>
              <w:ind w:left="391"/>
              <w:rPr>
                <w:sz w:val="18"/>
              </w:rPr>
            </w:pPr>
            <w:r>
              <w:rPr>
                <w:w w:val="99"/>
                <w:sz w:val="18"/>
              </w:rPr>
              <w:t>0</w:t>
            </w:r>
          </w:p>
          <w:p>
            <w:pPr>
              <w:pStyle w:val="TableParagraph"/>
              <w:tabs>
                <w:tab w:pos="2808" w:val="left" w:leader="none"/>
              </w:tabs>
              <w:spacing w:before="100"/>
              <w:ind w:left="893"/>
              <w:rPr>
                <w:sz w:val="18"/>
              </w:rPr>
            </w:pPr>
            <w:r>
              <w:rPr>
                <w:sz w:val="18"/>
              </w:rPr>
              <w:t>≤10,000</w:t>
              <w:tab/>
              <w:t>10,000-20,000</w:t>
            </w:r>
          </w:p>
          <w:p>
            <w:pPr>
              <w:pStyle w:val="TableParagraph"/>
              <w:tabs>
                <w:tab w:pos="2808" w:val="left" w:leader="none"/>
              </w:tabs>
              <w:spacing w:before="1"/>
              <w:ind w:left="893"/>
              <w:rPr>
                <w:sz w:val="18"/>
              </w:rPr>
            </w:pPr>
            <w:r>
              <w:rPr>
                <w:sz w:val="18"/>
              </w:rPr>
              <w:t>20,001-30,000</w:t>
              <w:tab/>
              <w:t>30,001-40,000</w:t>
            </w:r>
          </w:p>
          <w:p>
            <w:pPr>
              <w:pStyle w:val="TableParagraph"/>
              <w:tabs>
                <w:tab w:pos="2808" w:val="left" w:leader="none"/>
              </w:tabs>
              <w:spacing w:before="6"/>
              <w:ind w:left="893"/>
              <w:rPr>
                <w:sz w:val="18"/>
              </w:rPr>
            </w:pPr>
            <w:r>
              <w:rPr>
                <w:sz w:val="18"/>
              </w:rPr>
              <w:t>40,001-50,000</w:t>
              <w:tab/>
              <w:t>&gt;50,000</w:t>
            </w:r>
          </w:p>
        </w:tc>
      </w:tr>
    </w:tbl>
    <w:p>
      <w:pPr>
        <w:pStyle w:val="BodyText"/>
        <w:rPr>
          <w:sz w:val="20"/>
        </w:rPr>
      </w:pPr>
    </w:p>
    <w:p>
      <w:pPr>
        <w:pStyle w:val="Heading3"/>
        <w:spacing w:before="94"/>
        <w:ind w:left="3575" w:right="3565"/>
        <w:jc w:val="center"/>
      </w:pPr>
      <w:r>
        <w:rPr/>
        <w:pict>
          <v:group style="position:absolute;margin-left:96.974998pt;margin-top:-178.062103pt;width:219.75pt;height:171.75pt;mso-position-horizontal-relative:page;mso-position-vertical-relative:paragraph;z-index:-308848" coordorigin="1939,-3561" coordsize="4395,3435">
            <v:shape style="position:absolute;left:1939;top:-3561;width:4395;height:3435" type="#_x0000_t75" stroked="false">
              <v:imagedata r:id="rId29" o:title=""/>
            </v:shape>
            <v:shape style="position:absolute;left:2436;top:-3289;width:3815;height:2125" type="#_x0000_t75" stroked="false">
              <v:imagedata r:id="rId30" o:title=""/>
            </v:shape>
            <v:shape style="position:absolute;left:2420;top:-3093;width:55;height:1897" coordorigin="2420,-3093" coordsize="55,1897" path="m2474,-1196l2420,-1196m2474,-1513l2420,-1513m2474,-1829l2420,-1829m2474,-2144l2420,-2144m2474,-2461l2420,-2461m2474,-2777l2420,-2777m2474,-3093l2420,-3093e" filled="false" stroked="true" strokeweight="1.5pt" strokecolor="#ffffff">
              <v:path arrowok="t"/>
              <v:stroke dashstyle="solid"/>
            </v:shape>
            <v:line style="position:absolute" from="2567,-857" to="2567,-767" stroked="true" strokeweight="4.5225pt" strokecolor="#4571a7">
              <v:stroke dashstyle="solid"/>
            </v:line>
            <v:line style="position:absolute" from="4600,-857" to="4600,-767" stroked="true" strokeweight="4.5225pt" strokecolor="#aa4643">
              <v:stroke dashstyle="solid"/>
            </v:line>
            <v:line style="position:absolute" from="2567,-631" to="2567,-540" stroked="true" strokeweight="4.5225pt" strokecolor="#88a44e">
              <v:stroke dashstyle="solid"/>
            </v:line>
            <v:line style="position:absolute" from="4600,-631" to="4600,-540" stroked="true" strokeweight="4.5225pt" strokecolor="#70578f">
              <v:stroke dashstyle="solid"/>
            </v:line>
            <v:line style="position:absolute" from="2567,-405" to="2567,-314" stroked="true" strokeweight="4.5225pt" strokecolor="#4197ae">
              <v:stroke dashstyle="solid"/>
            </v:line>
            <v:line style="position:absolute" from="4600,-405" to="4600,-314" stroked="true" strokeweight="4.5225pt" strokecolor="#db843c">
              <v:stroke dashstyle="solid"/>
            </v:line>
            <w10:wrap type="none"/>
          </v:group>
        </w:pict>
      </w:r>
      <w:r>
        <w:rPr/>
        <w:pict>
          <v:group style="position:absolute;margin-left:333.760010pt;margin-top:-173.392105pt;width:224.8pt;height:162.4pt;mso-position-horizontal-relative:page;mso-position-vertical-relative:paragraph;z-index:-308824" coordorigin="6675,-3468" coordsize="4496,3248">
            <v:shape style="position:absolute;left:6675;top:-3468;width:4496;height:3248" type="#_x0000_t75" stroked="false">
              <v:imagedata r:id="rId31" o:title=""/>
            </v:shape>
            <v:shape style="position:absolute;left:7152;top:-3041;width:3868;height:2012" type="#_x0000_t75" stroked="false">
              <v:imagedata r:id="rId32" o:title=""/>
            </v:shape>
            <v:shape style="position:absolute;left:7134;top:-2843;width:55;height:1780" coordorigin="7134,-2843" coordsize="55,1780" path="m7188,-1063l7134,-1063m7188,-1359l7134,-1359m7188,-1657l7134,-1657m7188,-1952l7134,-1952m7188,-2249l7134,-2249m7188,-2547l7134,-2547m7188,-2843l7134,-2843e" filled="false" stroked="true" strokeweight="1.5pt" strokecolor="#ffffff">
              <v:path arrowok="t"/>
              <v:stroke dashstyle="solid"/>
            </v:shape>
            <v:line style="position:absolute" from="7351,-800" to="7351,-709" stroked="true" strokeweight="4.5225pt" strokecolor="#4571a7">
              <v:stroke dashstyle="solid"/>
            </v:line>
            <v:line style="position:absolute" from="9267,-800" to="9267,-709" stroked="true" strokeweight="4.5225pt" strokecolor="#aa4643">
              <v:stroke dashstyle="solid"/>
            </v:line>
            <v:line style="position:absolute" from="7351,-586" to="7351,-495" stroked="true" strokeweight="4.5225pt" strokecolor="#88a44e">
              <v:stroke dashstyle="solid"/>
            </v:line>
            <v:line style="position:absolute" from="9267,-586" to="9267,-495" stroked="true" strokeweight="4.5225pt" strokecolor="#70578f">
              <v:stroke dashstyle="solid"/>
            </v:line>
            <v:line style="position:absolute" from="7351,-372" to="7351,-282" stroked="true" strokeweight="4.5225pt" strokecolor="#4197ae">
              <v:stroke dashstyle="solid"/>
            </v:line>
            <v:line style="position:absolute" from="9267,-372" to="9267,-282" stroked="true" strokeweight="4.5225pt" strokecolor="#db843c">
              <v:stroke dashstyle="solid"/>
            </v:line>
            <w10:wrap type="none"/>
          </v:group>
        </w:pict>
      </w:r>
      <w:bookmarkStart w:name="_bookmark44" w:id="72"/>
      <w:bookmarkEnd w:id="72"/>
      <w:r>
        <w:rPr>
          <w:b w:val="0"/>
        </w:rPr>
      </w:r>
      <w:r>
        <w:rPr>
          <w:u w:val="thick"/>
        </w:rPr>
        <w:t>Figure 8: Monthly Income Level</w:t>
      </w:r>
    </w:p>
    <w:p>
      <w:pPr>
        <w:spacing w:after="0"/>
        <w:jc w:val="center"/>
        <w:sectPr>
          <w:pgSz w:w="11910" w:h="16840"/>
          <w:pgMar w:header="583" w:footer="575" w:top="840" w:bottom="760" w:left="860" w:right="580"/>
        </w:sectPr>
      </w:pPr>
    </w:p>
    <w:p>
      <w:pPr>
        <w:pStyle w:val="BodyText"/>
        <w:rPr>
          <w:b/>
          <w:sz w:val="20"/>
        </w:rPr>
      </w:pPr>
    </w:p>
    <w:p>
      <w:pPr>
        <w:pStyle w:val="BodyText"/>
        <w:rPr>
          <w:b/>
          <w:sz w:val="20"/>
        </w:rPr>
      </w:pPr>
    </w:p>
    <w:p>
      <w:pPr>
        <w:pStyle w:val="BodyText"/>
        <w:rPr>
          <w:b/>
          <w:sz w:val="28"/>
        </w:rPr>
      </w:pPr>
    </w:p>
    <w:p>
      <w:pPr>
        <w:pStyle w:val="Heading2"/>
        <w:numPr>
          <w:ilvl w:val="0"/>
          <w:numId w:val="23"/>
        </w:numPr>
        <w:tabs>
          <w:tab w:pos="1301" w:val="left" w:leader="none"/>
        </w:tabs>
        <w:spacing w:line="240" w:lineRule="auto" w:before="92" w:after="0"/>
        <w:ind w:left="1300" w:right="0" w:hanging="432"/>
        <w:jc w:val="both"/>
      </w:pPr>
      <w:bookmarkStart w:name="_bookmark45" w:id="73"/>
      <w:bookmarkEnd w:id="73"/>
      <w:r>
        <w:rPr>
          <w:b w:val="0"/>
        </w:rPr>
      </w:r>
      <w:bookmarkStart w:name="_bookmark45" w:id="74"/>
      <w:bookmarkEnd w:id="74"/>
      <w:r>
        <w:rPr/>
        <w:t>LE</w:t>
      </w:r>
      <w:r>
        <w:rPr/>
        <w:t>GAL AND POLICY</w:t>
      </w:r>
      <w:r>
        <w:rPr>
          <w:spacing w:val="-10"/>
        </w:rPr>
        <w:t> </w:t>
      </w:r>
      <w:r>
        <w:rPr/>
        <w:t>FRAMEWORK</w:t>
      </w:r>
    </w:p>
    <w:p>
      <w:pPr>
        <w:pStyle w:val="BodyText"/>
        <w:spacing w:before="3"/>
        <w:rPr>
          <w:b/>
          <w:sz w:val="31"/>
        </w:rPr>
      </w:pPr>
    </w:p>
    <w:p>
      <w:pPr>
        <w:pStyle w:val="Heading2"/>
        <w:numPr>
          <w:ilvl w:val="1"/>
          <w:numId w:val="23"/>
        </w:numPr>
        <w:tabs>
          <w:tab w:pos="1445" w:val="left" w:leader="none"/>
        </w:tabs>
        <w:spacing w:line="240" w:lineRule="auto" w:before="0" w:after="0"/>
        <w:ind w:left="1444" w:right="0" w:hanging="576"/>
        <w:jc w:val="both"/>
      </w:pPr>
      <w:bookmarkStart w:name="_bookmark46" w:id="75"/>
      <w:bookmarkEnd w:id="75"/>
      <w:r>
        <w:rPr>
          <w:b w:val="0"/>
        </w:rPr>
      </w:r>
      <w:bookmarkStart w:name="_bookmark46" w:id="76"/>
      <w:bookmarkEnd w:id="76"/>
      <w:r>
        <w:rPr/>
        <w:t>Lega</w:t>
      </w:r>
      <w:r>
        <w:rPr/>
        <w:t>l and Policy</w:t>
      </w:r>
      <w:r>
        <w:rPr>
          <w:spacing w:val="-6"/>
        </w:rPr>
        <w:t> </w:t>
      </w:r>
      <w:r>
        <w:rPr/>
        <w:t>Framework</w:t>
      </w:r>
    </w:p>
    <w:p>
      <w:pPr>
        <w:pStyle w:val="ListParagraph"/>
        <w:numPr>
          <w:ilvl w:val="0"/>
          <w:numId w:val="24"/>
        </w:numPr>
        <w:tabs>
          <w:tab w:pos="1589" w:val="left" w:leader="none"/>
        </w:tabs>
        <w:spacing w:line="276" w:lineRule="auto" w:before="160" w:after="0"/>
        <w:ind w:left="868" w:right="154" w:firstLine="0"/>
        <w:jc w:val="both"/>
        <w:rPr>
          <w:sz w:val="22"/>
        </w:rPr>
      </w:pPr>
      <w:r>
        <w:rPr>
          <w:sz w:val="22"/>
        </w:rPr>
        <w:t>This C&amp;LRP is designed on the basis of the regulatory framework of Pakistan’s for Land</w:t>
      </w:r>
      <w:r>
        <w:rPr>
          <w:spacing w:val="-9"/>
          <w:sz w:val="22"/>
        </w:rPr>
        <w:t> </w:t>
      </w:r>
      <w:r>
        <w:rPr>
          <w:sz w:val="22"/>
        </w:rPr>
        <w:t>Acquisition</w:t>
      </w:r>
      <w:r>
        <w:rPr>
          <w:spacing w:val="-9"/>
          <w:sz w:val="22"/>
        </w:rPr>
        <w:t> </w:t>
      </w:r>
      <w:r>
        <w:rPr>
          <w:sz w:val="22"/>
        </w:rPr>
        <w:t>Act</w:t>
      </w:r>
      <w:r>
        <w:rPr>
          <w:spacing w:val="-7"/>
          <w:sz w:val="22"/>
        </w:rPr>
        <w:t> </w:t>
      </w:r>
      <w:r>
        <w:rPr>
          <w:sz w:val="22"/>
        </w:rPr>
        <w:t>(1894)</w:t>
      </w:r>
      <w:r>
        <w:rPr>
          <w:spacing w:val="-8"/>
          <w:sz w:val="22"/>
        </w:rPr>
        <w:t> </w:t>
      </w:r>
      <w:r>
        <w:rPr>
          <w:sz w:val="22"/>
        </w:rPr>
        <w:t>and</w:t>
      </w:r>
      <w:r>
        <w:rPr>
          <w:spacing w:val="-9"/>
          <w:sz w:val="22"/>
        </w:rPr>
        <w:t> </w:t>
      </w:r>
      <w:r>
        <w:rPr>
          <w:sz w:val="22"/>
        </w:rPr>
        <w:t>the</w:t>
      </w:r>
      <w:r>
        <w:rPr>
          <w:spacing w:val="-15"/>
          <w:sz w:val="22"/>
        </w:rPr>
        <w:t> </w:t>
      </w:r>
      <w:r>
        <w:rPr>
          <w:sz w:val="22"/>
        </w:rPr>
        <w:t>World</w:t>
      </w:r>
      <w:r>
        <w:rPr>
          <w:spacing w:val="-9"/>
          <w:sz w:val="22"/>
        </w:rPr>
        <w:t> </w:t>
      </w:r>
      <w:r>
        <w:rPr>
          <w:sz w:val="22"/>
        </w:rPr>
        <w:t>Bank</w:t>
      </w:r>
      <w:r>
        <w:rPr>
          <w:spacing w:val="-11"/>
          <w:sz w:val="22"/>
        </w:rPr>
        <w:t> </w:t>
      </w:r>
      <w:r>
        <w:rPr>
          <w:sz w:val="22"/>
        </w:rPr>
        <w:t>Operational</w:t>
      </w:r>
      <w:r>
        <w:rPr>
          <w:spacing w:val="-10"/>
          <w:sz w:val="22"/>
        </w:rPr>
        <w:t> </w:t>
      </w:r>
      <w:r>
        <w:rPr>
          <w:sz w:val="22"/>
        </w:rPr>
        <w:t>Policies,</w:t>
      </w:r>
      <w:r>
        <w:rPr>
          <w:spacing w:val="-8"/>
          <w:sz w:val="22"/>
        </w:rPr>
        <w:t> </w:t>
      </w:r>
      <w:r>
        <w:rPr>
          <w:sz w:val="22"/>
        </w:rPr>
        <w:t>specifically</w:t>
      </w:r>
      <w:r>
        <w:rPr>
          <w:spacing w:val="-8"/>
          <w:sz w:val="22"/>
        </w:rPr>
        <w:t> </w:t>
      </w:r>
      <w:r>
        <w:rPr>
          <w:sz w:val="22"/>
        </w:rPr>
        <w:t>OP</w:t>
      </w:r>
      <w:r>
        <w:rPr>
          <w:spacing w:val="-9"/>
          <w:sz w:val="22"/>
        </w:rPr>
        <w:t> </w:t>
      </w:r>
      <w:r>
        <w:rPr>
          <w:sz w:val="22"/>
        </w:rPr>
        <w:t>4.12. The primary objective of OP 4.12 is to ensure that PAPs are assisted to improve, or as a very minimum restore, their former living standards, income earning capacity, and production</w:t>
      </w:r>
      <w:r>
        <w:rPr>
          <w:spacing w:val="-2"/>
          <w:sz w:val="22"/>
        </w:rPr>
        <w:t> </w:t>
      </w:r>
      <w:r>
        <w:rPr>
          <w:sz w:val="22"/>
        </w:rPr>
        <w:t>levels.</w:t>
      </w:r>
    </w:p>
    <w:p>
      <w:pPr>
        <w:pStyle w:val="ListParagraph"/>
        <w:numPr>
          <w:ilvl w:val="0"/>
          <w:numId w:val="24"/>
        </w:numPr>
        <w:tabs>
          <w:tab w:pos="1589" w:val="left" w:leader="none"/>
        </w:tabs>
        <w:spacing w:line="278" w:lineRule="auto" w:before="120" w:after="0"/>
        <w:ind w:left="868" w:right="155" w:firstLine="0"/>
        <w:jc w:val="both"/>
        <w:rPr>
          <w:sz w:val="22"/>
        </w:rPr>
      </w:pPr>
      <w:r>
        <w:rPr>
          <w:sz w:val="22"/>
        </w:rPr>
        <w:t>Under the Project the key principles of OP4.12 should be applied regardless of stipulation in national</w:t>
      </w:r>
      <w:r>
        <w:rPr>
          <w:spacing w:val="-10"/>
          <w:sz w:val="22"/>
        </w:rPr>
        <w:t> </w:t>
      </w:r>
      <w:r>
        <w:rPr>
          <w:sz w:val="22"/>
        </w:rPr>
        <w:t>law:</w:t>
      </w:r>
    </w:p>
    <w:p>
      <w:pPr>
        <w:pStyle w:val="ListParagraph"/>
        <w:numPr>
          <w:ilvl w:val="1"/>
          <w:numId w:val="24"/>
        </w:numPr>
        <w:tabs>
          <w:tab w:pos="1589" w:val="left" w:leader="none"/>
        </w:tabs>
        <w:spacing w:line="271" w:lineRule="auto" w:before="117" w:after="0"/>
        <w:ind w:left="1588" w:right="238" w:hanging="360"/>
        <w:jc w:val="both"/>
        <w:rPr>
          <w:sz w:val="22"/>
        </w:rPr>
      </w:pPr>
      <w:r>
        <w:rPr>
          <w:sz w:val="22"/>
        </w:rPr>
        <w:t>Infrastructure investments, such as BRT construction works will be planned to avoid or minimize disturbance and destruction of private</w:t>
      </w:r>
      <w:r>
        <w:rPr>
          <w:spacing w:val="-15"/>
          <w:sz w:val="22"/>
        </w:rPr>
        <w:t> </w:t>
      </w:r>
      <w:r>
        <w:rPr>
          <w:sz w:val="22"/>
        </w:rPr>
        <w:t>property;</w:t>
      </w:r>
    </w:p>
    <w:p>
      <w:pPr>
        <w:pStyle w:val="ListParagraph"/>
        <w:numPr>
          <w:ilvl w:val="1"/>
          <w:numId w:val="24"/>
        </w:numPr>
        <w:tabs>
          <w:tab w:pos="1589" w:val="left" w:leader="none"/>
        </w:tabs>
        <w:spacing w:line="273" w:lineRule="auto" w:before="4" w:after="0"/>
        <w:ind w:left="1588" w:right="240" w:hanging="360"/>
        <w:jc w:val="both"/>
        <w:rPr>
          <w:sz w:val="22"/>
        </w:rPr>
      </w:pPr>
      <w:r>
        <w:rPr>
          <w:sz w:val="22"/>
        </w:rPr>
        <w:t>Where</w:t>
      </w:r>
      <w:r>
        <w:rPr>
          <w:spacing w:val="-11"/>
          <w:sz w:val="22"/>
        </w:rPr>
        <w:t> </w:t>
      </w:r>
      <w:r>
        <w:rPr>
          <w:sz w:val="22"/>
        </w:rPr>
        <w:t>adverse</w:t>
      </w:r>
      <w:r>
        <w:rPr>
          <w:spacing w:val="-11"/>
          <w:sz w:val="22"/>
        </w:rPr>
        <w:t> </w:t>
      </w:r>
      <w:r>
        <w:rPr>
          <w:sz w:val="22"/>
        </w:rPr>
        <w:t>impact</w:t>
      </w:r>
      <w:r>
        <w:rPr>
          <w:spacing w:val="-10"/>
          <w:sz w:val="22"/>
        </w:rPr>
        <w:t> </w:t>
      </w:r>
      <w:r>
        <w:rPr>
          <w:sz w:val="22"/>
        </w:rPr>
        <w:t>is</w:t>
      </w:r>
      <w:r>
        <w:rPr>
          <w:spacing w:val="-13"/>
          <w:sz w:val="22"/>
        </w:rPr>
        <w:t> </w:t>
      </w:r>
      <w:r>
        <w:rPr>
          <w:sz w:val="22"/>
        </w:rPr>
        <w:t>unavoidable,</w:t>
      </w:r>
      <w:r>
        <w:rPr>
          <w:spacing w:val="-6"/>
          <w:sz w:val="22"/>
        </w:rPr>
        <w:t> </w:t>
      </w:r>
      <w:r>
        <w:rPr>
          <w:sz w:val="22"/>
        </w:rPr>
        <w:t>mitigation</w:t>
      </w:r>
      <w:r>
        <w:rPr>
          <w:spacing w:val="-14"/>
          <w:sz w:val="22"/>
        </w:rPr>
        <w:t> </w:t>
      </w:r>
      <w:r>
        <w:rPr>
          <w:sz w:val="22"/>
        </w:rPr>
        <w:t>measures</w:t>
      </w:r>
      <w:r>
        <w:rPr>
          <w:spacing w:val="-13"/>
          <w:sz w:val="22"/>
        </w:rPr>
        <w:t> </w:t>
      </w:r>
      <w:r>
        <w:rPr>
          <w:sz w:val="22"/>
        </w:rPr>
        <w:t>such</w:t>
      </w:r>
      <w:r>
        <w:rPr>
          <w:spacing w:val="-11"/>
          <w:sz w:val="22"/>
        </w:rPr>
        <w:t> </w:t>
      </w:r>
      <w:r>
        <w:rPr>
          <w:sz w:val="22"/>
        </w:rPr>
        <w:t>as</w:t>
      </w:r>
      <w:r>
        <w:rPr>
          <w:spacing w:val="-11"/>
          <w:sz w:val="22"/>
        </w:rPr>
        <w:t> </w:t>
      </w:r>
      <w:r>
        <w:rPr>
          <w:sz w:val="22"/>
        </w:rPr>
        <w:t>compensation and rehabilitation assistance and associated activities will be executed as development</w:t>
      </w:r>
      <w:r>
        <w:rPr>
          <w:spacing w:val="-5"/>
          <w:sz w:val="22"/>
        </w:rPr>
        <w:t> </w:t>
      </w:r>
      <w:r>
        <w:rPr>
          <w:sz w:val="22"/>
        </w:rPr>
        <w:t>programs;</w:t>
      </w:r>
    </w:p>
    <w:p>
      <w:pPr>
        <w:pStyle w:val="ListParagraph"/>
        <w:numPr>
          <w:ilvl w:val="1"/>
          <w:numId w:val="24"/>
        </w:numPr>
        <w:tabs>
          <w:tab w:pos="1589" w:val="left" w:leader="none"/>
        </w:tabs>
        <w:spacing w:line="273" w:lineRule="auto" w:before="2" w:after="0"/>
        <w:ind w:left="1588" w:right="247" w:hanging="360"/>
        <w:jc w:val="both"/>
        <w:rPr>
          <w:sz w:val="22"/>
        </w:rPr>
      </w:pPr>
      <w:r>
        <w:rPr>
          <w:sz w:val="22"/>
        </w:rPr>
        <w:t>PAPs, as defined in the eligibility section, are entitled to compensation for the full replacement</w:t>
      </w:r>
      <w:r>
        <w:rPr>
          <w:spacing w:val="-6"/>
          <w:sz w:val="22"/>
        </w:rPr>
        <w:t> </w:t>
      </w:r>
      <w:r>
        <w:rPr>
          <w:sz w:val="22"/>
        </w:rPr>
        <w:t>costs;</w:t>
      </w:r>
    </w:p>
    <w:p>
      <w:pPr>
        <w:pStyle w:val="ListParagraph"/>
        <w:numPr>
          <w:ilvl w:val="1"/>
          <w:numId w:val="24"/>
        </w:numPr>
        <w:tabs>
          <w:tab w:pos="1589" w:val="left" w:leader="none"/>
        </w:tabs>
        <w:spacing w:line="271" w:lineRule="auto" w:before="2" w:after="0"/>
        <w:ind w:left="1588" w:right="241" w:hanging="360"/>
        <w:jc w:val="both"/>
        <w:rPr>
          <w:sz w:val="22"/>
        </w:rPr>
      </w:pPr>
      <w:r>
        <w:rPr>
          <w:sz w:val="22"/>
        </w:rPr>
        <w:t>PAPs</w:t>
      </w:r>
      <w:r>
        <w:rPr>
          <w:spacing w:val="-8"/>
          <w:sz w:val="22"/>
        </w:rPr>
        <w:t> </w:t>
      </w:r>
      <w:r>
        <w:rPr>
          <w:sz w:val="22"/>
        </w:rPr>
        <w:t>should</w:t>
      </w:r>
      <w:r>
        <w:rPr>
          <w:spacing w:val="-9"/>
          <w:sz w:val="22"/>
        </w:rPr>
        <w:t> </w:t>
      </w:r>
      <w:r>
        <w:rPr>
          <w:sz w:val="22"/>
        </w:rPr>
        <w:t>be</w:t>
      </w:r>
      <w:r>
        <w:rPr>
          <w:spacing w:val="-9"/>
          <w:sz w:val="22"/>
        </w:rPr>
        <w:t> </w:t>
      </w:r>
      <w:r>
        <w:rPr>
          <w:sz w:val="22"/>
        </w:rPr>
        <w:t>provided</w:t>
      </w:r>
      <w:r>
        <w:rPr>
          <w:spacing w:val="-7"/>
          <w:sz w:val="22"/>
        </w:rPr>
        <w:t> </w:t>
      </w:r>
      <w:r>
        <w:rPr>
          <w:sz w:val="22"/>
        </w:rPr>
        <w:t>with</w:t>
      </w:r>
      <w:r>
        <w:rPr>
          <w:spacing w:val="-9"/>
          <w:sz w:val="22"/>
        </w:rPr>
        <w:t> </w:t>
      </w:r>
      <w:r>
        <w:rPr>
          <w:sz w:val="22"/>
        </w:rPr>
        <w:t>sufficient</w:t>
      </w:r>
      <w:r>
        <w:rPr>
          <w:spacing w:val="-10"/>
          <w:sz w:val="22"/>
        </w:rPr>
        <w:t> </w:t>
      </w:r>
      <w:r>
        <w:rPr>
          <w:sz w:val="22"/>
        </w:rPr>
        <w:t>investment</w:t>
      </w:r>
      <w:r>
        <w:rPr>
          <w:spacing w:val="-8"/>
          <w:sz w:val="22"/>
        </w:rPr>
        <w:t> </w:t>
      </w:r>
      <w:r>
        <w:rPr>
          <w:sz w:val="22"/>
        </w:rPr>
        <w:t>resources</w:t>
      </w:r>
      <w:r>
        <w:rPr>
          <w:spacing w:val="-9"/>
          <w:sz w:val="22"/>
        </w:rPr>
        <w:t> </w:t>
      </w:r>
      <w:r>
        <w:rPr>
          <w:sz w:val="22"/>
        </w:rPr>
        <w:t>and</w:t>
      </w:r>
      <w:r>
        <w:rPr>
          <w:spacing w:val="-11"/>
          <w:sz w:val="22"/>
        </w:rPr>
        <w:t> </w:t>
      </w:r>
      <w:r>
        <w:rPr>
          <w:sz w:val="22"/>
        </w:rPr>
        <w:t>opportunities</w:t>
      </w:r>
      <w:r>
        <w:rPr>
          <w:spacing w:val="-9"/>
          <w:sz w:val="22"/>
        </w:rPr>
        <w:t> </w:t>
      </w:r>
      <w:r>
        <w:rPr>
          <w:sz w:val="22"/>
        </w:rPr>
        <w:t>to share in project benefits, specifically through improved employment</w:t>
      </w:r>
      <w:r>
        <w:rPr>
          <w:spacing w:val="-21"/>
          <w:sz w:val="22"/>
        </w:rPr>
        <w:t> </w:t>
      </w:r>
      <w:r>
        <w:rPr>
          <w:sz w:val="22"/>
        </w:rPr>
        <w:t>opportunities.</w:t>
      </w:r>
    </w:p>
    <w:p>
      <w:pPr>
        <w:pStyle w:val="ListParagraph"/>
        <w:numPr>
          <w:ilvl w:val="1"/>
          <w:numId w:val="24"/>
        </w:numPr>
        <w:tabs>
          <w:tab w:pos="1589" w:val="left" w:leader="none"/>
        </w:tabs>
        <w:spacing w:line="273" w:lineRule="auto" w:before="4" w:after="0"/>
        <w:ind w:left="1588" w:right="246" w:hanging="360"/>
        <w:jc w:val="both"/>
        <w:rPr>
          <w:sz w:val="22"/>
        </w:rPr>
      </w:pPr>
      <w:r>
        <w:rPr>
          <w:sz w:val="22"/>
        </w:rPr>
        <w:t>Any compensation or mitigation of impact due to PAPs under the project must be provided prior to commencement of civil</w:t>
      </w:r>
      <w:r>
        <w:rPr>
          <w:spacing w:val="-13"/>
          <w:sz w:val="22"/>
        </w:rPr>
        <w:t> </w:t>
      </w:r>
      <w:r>
        <w:rPr>
          <w:sz w:val="22"/>
        </w:rPr>
        <w:t>works.</w:t>
      </w:r>
    </w:p>
    <w:p>
      <w:pPr>
        <w:pStyle w:val="BodyText"/>
        <w:spacing w:before="1"/>
        <w:rPr>
          <w:sz w:val="21"/>
        </w:rPr>
      </w:pPr>
    </w:p>
    <w:p>
      <w:pPr>
        <w:pStyle w:val="Heading2"/>
        <w:numPr>
          <w:ilvl w:val="1"/>
          <w:numId w:val="23"/>
        </w:numPr>
        <w:tabs>
          <w:tab w:pos="1445" w:val="left" w:leader="none"/>
        </w:tabs>
        <w:spacing w:line="240" w:lineRule="auto" w:before="0" w:after="0"/>
        <w:ind w:left="1444" w:right="0" w:hanging="576"/>
        <w:jc w:val="both"/>
      </w:pPr>
      <w:bookmarkStart w:name="_bookmark47" w:id="77"/>
      <w:bookmarkEnd w:id="77"/>
      <w:r>
        <w:rPr>
          <w:b w:val="0"/>
        </w:rPr>
      </w:r>
      <w:bookmarkStart w:name="_bookmark47" w:id="78"/>
      <w:bookmarkEnd w:id="78"/>
      <w:r>
        <w:rPr/>
        <w:t>W</w:t>
      </w:r>
      <w:r>
        <w:rPr/>
        <w:t>orld Bank OP 4.12 and Resettlement</w:t>
      </w:r>
      <w:r>
        <w:rPr>
          <w:spacing w:val="-12"/>
        </w:rPr>
        <w:t> </w:t>
      </w:r>
      <w:r>
        <w:rPr/>
        <w:t>Principles</w:t>
      </w:r>
    </w:p>
    <w:p>
      <w:pPr>
        <w:pStyle w:val="ListParagraph"/>
        <w:numPr>
          <w:ilvl w:val="0"/>
          <w:numId w:val="25"/>
        </w:numPr>
        <w:tabs>
          <w:tab w:pos="1589" w:val="left" w:leader="none"/>
        </w:tabs>
        <w:spacing w:line="276" w:lineRule="auto" w:before="160" w:after="0"/>
        <w:ind w:left="868" w:right="156" w:firstLine="0"/>
        <w:jc w:val="both"/>
        <w:rPr>
          <w:sz w:val="22"/>
        </w:rPr>
      </w:pPr>
      <w:r>
        <w:rPr>
          <w:sz w:val="22"/>
        </w:rPr>
        <w:t>World Bank has adopted OP 12.4 as a safeguard requirement for involuntary resettlement. The objectives of OP 4.12 is to avoid involuntary resettlement wherever possible;</w:t>
      </w:r>
      <w:r>
        <w:rPr>
          <w:spacing w:val="-6"/>
          <w:sz w:val="22"/>
        </w:rPr>
        <w:t> </w:t>
      </w:r>
      <w:r>
        <w:rPr>
          <w:sz w:val="22"/>
        </w:rPr>
        <w:t>to</w:t>
      </w:r>
      <w:r>
        <w:rPr>
          <w:spacing w:val="-12"/>
          <w:sz w:val="22"/>
        </w:rPr>
        <w:t> </w:t>
      </w:r>
      <w:r>
        <w:rPr>
          <w:sz w:val="22"/>
        </w:rPr>
        <w:t>minimize</w:t>
      </w:r>
      <w:r>
        <w:rPr>
          <w:spacing w:val="-7"/>
          <w:sz w:val="22"/>
        </w:rPr>
        <w:t> </w:t>
      </w:r>
      <w:r>
        <w:rPr>
          <w:sz w:val="22"/>
        </w:rPr>
        <w:t>involuntary</w:t>
      </w:r>
      <w:r>
        <w:rPr>
          <w:spacing w:val="-9"/>
          <w:sz w:val="22"/>
        </w:rPr>
        <w:t> </w:t>
      </w:r>
      <w:r>
        <w:rPr>
          <w:sz w:val="22"/>
        </w:rPr>
        <w:t>resettlement</w:t>
      </w:r>
      <w:r>
        <w:rPr>
          <w:spacing w:val="-8"/>
          <w:sz w:val="22"/>
        </w:rPr>
        <w:t> </w:t>
      </w:r>
      <w:r>
        <w:rPr>
          <w:sz w:val="22"/>
        </w:rPr>
        <w:t>by</w:t>
      </w:r>
      <w:r>
        <w:rPr>
          <w:spacing w:val="-12"/>
          <w:sz w:val="22"/>
        </w:rPr>
        <w:t> </w:t>
      </w:r>
      <w:r>
        <w:rPr>
          <w:sz w:val="22"/>
        </w:rPr>
        <w:t>exploring</w:t>
      </w:r>
      <w:r>
        <w:rPr>
          <w:spacing w:val="-5"/>
          <w:sz w:val="22"/>
        </w:rPr>
        <w:t> </w:t>
      </w:r>
      <w:r>
        <w:rPr>
          <w:sz w:val="22"/>
        </w:rPr>
        <w:t>project</w:t>
      </w:r>
      <w:r>
        <w:rPr>
          <w:spacing w:val="-9"/>
          <w:sz w:val="22"/>
        </w:rPr>
        <w:t> </w:t>
      </w:r>
      <w:r>
        <w:rPr>
          <w:sz w:val="22"/>
        </w:rPr>
        <w:t>and</w:t>
      </w:r>
      <w:r>
        <w:rPr>
          <w:spacing w:val="-10"/>
          <w:sz w:val="22"/>
        </w:rPr>
        <w:t> </w:t>
      </w:r>
      <w:r>
        <w:rPr>
          <w:sz w:val="22"/>
        </w:rPr>
        <w:t>design</w:t>
      </w:r>
      <w:r>
        <w:rPr>
          <w:spacing w:val="-7"/>
          <w:sz w:val="22"/>
        </w:rPr>
        <w:t> </w:t>
      </w:r>
      <w:r>
        <w:rPr>
          <w:sz w:val="22"/>
        </w:rPr>
        <w:t>alternatives; to</w:t>
      </w:r>
      <w:r>
        <w:rPr>
          <w:spacing w:val="-9"/>
          <w:sz w:val="22"/>
        </w:rPr>
        <w:t> </w:t>
      </w:r>
      <w:r>
        <w:rPr>
          <w:sz w:val="22"/>
        </w:rPr>
        <w:t>enhance,</w:t>
      </w:r>
      <w:r>
        <w:rPr>
          <w:spacing w:val="-8"/>
          <w:sz w:val="22"/>
        </w:rPr>
        <w:t> </w:t>
      </w:r>
      <w:r>
        <w:rPr>
          <w:sz w:val="22"/>
        </w:rPr>
        <w:t>or</w:t>
      </w:r>
      <w:r>
        <w:rPr>
          <w:spacing w:val="-10"/>
          <w:sz w:val="22"/>
        </w:rPr>
        <w:t> </w:t>
      </w:r>
      <w:r>
        <w:rPr>
          <w:sz w:val="22"/>
        </w:rPr>
        <w:t>at</w:t>
      </w:r>
      <w:r>
        <w:rPr>
          <w:spacing w:val="-10"/>
          <w:sz w:val="22"/>
        </w:rPr>
        <w:t> </w:t>
      </w:r>
      <w:r>
        <w:rPr>
          <w:sz w:val="22"/>
        </w:rPr>
        <w:t>least</w:t>
      </w:r>
      <w:r>
        <w:rPr>
          <w:spacing w:val="-10"/>
          <w:sz w:val="22"/>
        </w:rPr>
        <w:t> </w:t>
      </w:r>
      <w:r>
        <w:rPr>
          <w:sz w:val="22"/>
        </w:rPr>
        <w:t>restore,</w:t>
      </w:r>
      <w:r>
        <w:rPr>
          <w:spacing w:val="-10"/>
          <w:sz w:val="22"/>
        </w:rPr>
        <w:t> </w:t>
      </w:r>
      <w:r>
        <w:rPr>
          <w:sz w:val="22"/>
        </w:rPr>
        <w:t>the</w:t>
      </w:r>
      <w:r>
        <w:rPr>
          <w:spacing w:val="-9"/>
          <w:sz w:val="22"/>
        </w:rPr>
        <w:t> </w:t>
      </w:r>
      <w:r>
        <w:rPr>
          <w:sz w:val="22"/>
        </w:rPr>
        <w:t>livelihoods</w:t>
      </w:r>
      <w:r>
        <w:rPr>
          <w:spacing w:val="-8"/>
          <w:sz w:val="22"/>
        </w:rPr>
        <w:t> </w:t>
      </w:r>
      <w:r>
        <w:rPr>
          <w:sz w:val="22"/>
        </w:rPr>
        <w:t>of</w:t>
      </w:r>
      <w:r>
        <w:rPr>
          <w:spacing w:val="-3"/>
          <w:sz w:val="22"/>
        </w:rPr>
        <w:t> </w:t>
      </w:r>
      <w:r>
        <w:rPr>
          <w:sz w:val="22"/>
        </w:rPr>
        <w:t>all</w:t>
      </w:r>
      <w:r>
        <w:rPr>
          <w:spacing w:val="-10"/>
          <w:sz w:val="22"/>
        </w:rPr>
        <w:t> </w:t>
      </w:r>
      <w:r>
        <w:rPr>
          <w:sz w:val="22"/>
        </w:rPr>
        <w:t>displaced</w:t>
      </w:r>
      <w:r>
        <w:rPr>
          <w:spacing w:val="-9"/>
          <w:sz w:val="22"/>
        </w:rPr>
        <w:t> </w:t>
      </w:r>
      <w:r>
        <w:rPr>
          <w:sz w:val="22"/>
        </w:rPr>
        <w:t>persons</w:t>
      </w:r>
      <w:r>
        <w:rPr>
          <w:spacing w:val="-8"/>
          <w:sz w:val="22"/>
        </w:rPr>
        <w:t> </w:t>
      </w:r>
      <w:r>
        <w:rPr>
          <w:sz w:val="22"/>
        </w:rPr>
        <w:t>in</w:t>
      </w:r>
      <w:r>
        <w:rPr>
          <w:spacing w:val="-11"/>
          <w:sz w:val="22"/>
        </w:rPr>
        <w:t> </w:t>
      </w:r>
      <w:r>
        <w:rPr>
          <w:sz w:val="22"/>
        </w:rPr>
        <w:t>real</w:t>
      </w:r>
      <w:r>
        <w:rPr>
          <w:spacing w:val="-10"/>
          <w:sz w:val="22"/>
        </w:rPr>
        <w:t> </w:t>
      </w:r>
      <w:r>
        <w:rPr>
          <w:sz w:val="22"/>
        </w:rPr>
        <w:t>terms</w:t>
      </w:r>
      <w:r>
        <w:rPr>
          <w:spacing w:val="-11"/>
          <w:sz w:val="22"/>
        </w:rPr>
        <w:t> </w:t>
      </w:r>
      <w:r>
        <w:rPr>
          <w:sz w:val="22"/>
        </w:rPr>
        <w:t>relative to</w:t>
      </w:r>
      <w:r>
        <w:rPr>
          <w:spacing w:val="-6"/>
          <w:sz w:val="22"/>
        </w:rPr>
        <w:t> </w:t>
      </w:r>
      <w:r>
        <w:rPr>
          <w:sz w:val="22"/>
        </w:rPr>
        <w:t>pre-project</w:t>
      </w:r>
      <w:r>
        <w:rPr>
          <w:spacing w:val="-6"/>
          <w:sz w:val="22"/>
        </w:rPr>
        <w:t> </w:t>
      </w:r>
      <w:r>
        <w:rPr>
          <w:sz w:val="22"/>
        </w:rPr>
        <w:t>levels;</w:t>
      </w:r>
      <w:r>
        <w:rPr>
          <w:spacing w:val="-4"/>
          <w:sz w:val="22"/>
        </w:rPr>
        <w:t> </w:t>
      </w:r>
      <w:r>
        <w:rPr>
          <w:sz w:val="22"/>
        </w:rPr>
        <w:t>and</w:t>
      </w:r>
      <w:r>
        <w:rPr>
          <w:spacing w:val="-9"/>
          <w:sz w:val="22"/>
        </w:rPr>
        <w:t> </w:t>
      </w:r>
      <w:r>
        <w:rPr>
          <w:sz w:val="22"/>
        </w:rPr>
        <w:t>to</w:t>
      </w:r>
      <w:r>
        <w:rPr>
          <w:spacing w:val="-5"/>
          <w:sz w:val="22"/>
        </w:rPr>
        <w:t> </w:t>
      </w:r>
      <w:r>
        <w:rPr>
          <w:sz w:val="22"/>
        </w:rPr>
        <w:t>improve</w:t>
      </w:r>
      <w:r>
        <w:rPr>
          <w:spacing w:val="-6"/>
          <w:sz w:val="22"/>
        </w:rPr>
        <w:t> </w:t>
      </w:r>
      <w:r>
        <w:rPr>
          <w:sz w:val="22"/>
        </w:rPr>
        <w:t>the</w:t>
      </w:r>
      <w:r>
        <w:rPr>
          <w:spacing w:val="-7"/>
          <w:sz w:val="22"/>
        </w:rPr>
        <w:t> </w:t>
      </w:r>
      <w:r>
        <w:rPr>
          <w:sz w:val="22"/>
        </w:rPr>
        <w:t>standards</w:t>
      </w:r>
      <w:r>
        <w:rPr>
          <w:spacing w:val="-5"/>
          <w:sz w:val="22"/>
        </w:rPr>
        <w:t> </w:t>
      </w:r>
      <w:r>
        <w:rPr>
          <w:sz w:val="22"/>
        </w:rPr>
        <w:t>of</w:t>
      </w:r>
      <w:r>
        <w:rPr>
          <w:spacing w:val="-4"/>
          <w:sz w:val="22"/>
        </w:rPr>
        <w:t> </w:t>
      </w:r>
      <w:r>
        <w:rPr>
          <w:sz w:val="22"/>
        </w:rPr>
        <w:t>living</w:t>
      </w:r>
      <w:r>
        <w:rPr>
          <w:spacing w:val="-5"/>
          <w:sz w:val="22"/>
        </w:rPr>
        <w:t> </w:t>
      </w:r>
      <w:r>
        <w:rPr>
          <w:sz w:val="22"/>
        </w:rPr>
        <w:t>of</w:t>
      </w:r>
      <w:r>
        <w:rPr>
          <w:spacing w:val="-6"/>
          <w:sz w:val="22"/>
        </w:rPr>
        <w:t> </w:t>
      </w:r>
      <w:r>
        <w:rPr>
          <w:sz w:val="22"/>
        </w:rPr>
        <w:t>the</w:t>
      </w:r>
      <w:r>
        <w:rPr>
          <w:spacing w:val="-7"/>
          <w:sz w:val="22"/>
        </w:rPr>
        <w:t> </w:t>
      </w:r>
      <w:r>
        <w:rPr>
          <w:sz w:val="22"/>
        </w:rPr>
        <w:t>displaced</w:t>
      </w:r>
      <w:r>
        <w:rPr>
          <w:spacing w:val="-5"/>
          <w:sz w:val="22"/>
        </w:rPr>
        <w:t> </w:t>
      </w:r>
      <w:r>
        <w:rPr>
          <w:sz w:val="22"/>
        </w:rPr>
        <w:t>poor</w:t>
      </w:r>
      <w:r>
        <w:rPr>
          <w:spacing w:val="-4"/>
          <w:sz w:val="22"/>
        </w:rPr>
        <w:t> </w:t>
      </w:r>
      <w:r>
        <w:rPr>
          <w:sz w:val="22"/>
        </w:rPr>
        <w:t>and</w:t>
      </w:r>
      <w:r>
        <w:rPr>
          <w:spacing w:val="-7"/>
          <w:sz w:val="22"/>
        </w:rPr>
        <w:t> </w:t>
      </w:r>
      <w:r>
        <w:rPr>
          <w:sz w:val="22"/>
        </w:rPr>
        <w:t>other vulnerable</w:t>
      </w:r>
      <w:r>
        <w:rPr>
          <w:spacing w:val="-5"/>
          <w:sz w:val="22"/>
        </w:rPr>
        <w:t> </w:t>
      </w:r>
      <w:r>
        <w:rPr>
          <w:sz w:val="22"/>
        </w:rPr>
        <w:t>groups.</w:t>
      </w:r>
    </w:p>
    <w:p>
      <w:pPr>
        <w:pStyle w:val="ListParagraph"/>
        <w:numPr>
          <w:ilvl w:val="0"/>
          <w:numId w:val="25"/>
        </w:numPr>
        <w:tabs>
          <w:tab w:pos="1589" w:val="left" w:leader="none"/>
        </w:tabs>
        <w:spacing w:line="276" w:lineRule="auto" w:before="122" w:after="0"/>
        <w:ind w:left="868" w:right="153" w:firstLine="0"/>
        <w:jc w:val="both"/>
        <w:rPr>
          <w:sz w:val="22"/>
        </w:rPr>
      </w:pPr>
      <w:r>
        <w:rPr>
          <w:sz w:val="22"/>
        </w:rPr>
        <w:t>The OP 4.12 covers physical displacement (relocation, loss of residential land, </w:t>
      </w:r>
      <w:r>
        <w:rPr>
          <w:spacing w:val="-3"/>
          <w:sz w:val="22"/>
        </w:rPr>
        <w:t>or </w:t>
      </w:r>
      <w:r>
        <w:rPr>
          <w:sz w:val="22"/>
        </w:rPr>
        <w:t>loss</w:t>
      </w:r>
      <w:r>
        <w:rPr>
          <w:spacing w:val="-6"/>
          <w:sz w:val="22"/>
        </w:rPr>
        <w:t> </w:t>
      </w:r>
      <w:r>
        <w:rPr>
          <w:sz w:val="22"/>
        </w:rPr>
        <w:t>of</w:t>
      </w:r>
      <w:r>
        <w:rPr>
          <w:spacing w:val="-5"/>
          <w:sz w:val="22"/>
        </w:rPr>
        <w:t> </w:t>
      </w:r>
      <w:r>
        <w:rPr>
          <w:sz w:val="22"/>
        </w:rPr>
        <w:t>shelter)</w:t>
      </w:r>
      <w:r>
        <w:rPr>
          <w:spacing w:val="-8"/>
          <w:sz w:val="22"/>
        </w:rPr>
        <w:t> </w:t>
      </w:r>
      <w:r>
        <w:rPr>
          <w:sz w:val="22"/>
        </w:rPr>
        <w:t>and</w:t>
      </w:r>
      <w:r>
        <w:rPr>
          <w:spacing w:val="-6"/>
          <w:sz w:val="22"/>
        </w:rPr>
        <w:t> </w:t>
      </w:r>
      <w:r>
        <w:rPr>
          <w:sz w:val="22"/>
        </w:rPr>
        <w:t>economic</w:t>
      </w:r>
      <w:r>
        <w:rPr>
          <w:spacing w:val="-6"/>
          <w:sz w:val="22"/>
        </w:rPr>
        <w:t> </w:t>
      </w:r>
      <w:r>
        <w:rPr>
          <w:sz w:val="22"/>
        </w:rPr>
        <w:t>displacement</w:t>
      </w:r>
      <w:r>
        <w:rPr>
          <w:spacing w:val="-8"/>
          <w:sz w:val="22"/>
        </w:rPr>
        <w:t> </w:t>
      </w:r>
      <w:r>
        <w:rPr>
          <w:sz w:val="22"/>
        </w:rPr>
        <w:t>(loss</w:t>
      </w:r>
      <w:r>
        <w:rPr>
          <w:spacing w:val="-9"/>
          <w:sz w:val="22"/>
        </w:rPr>
        <w:t> </w:t>
      </w:r>
      <w:r>
        <w:rPr>
          <w:sz w:val="22"/>
        </w:rPr>
        <w:t>of</w:t>
      </w:r>
      <w:r>
        <w:rPr>
          <w:spacing w:val="-3"/>
          <w:sz w:val="22"/>
        </w:rPr>
        <w:t> </w:t>
      </w:r>
      <w:r>
        <w:rPr>
          <w:sz w:val="22"/>
        </w:rPr>
        <w:t>land,</w:t>
      </w:r>
      <w:r>
        <w:rPr>
          <w:spacing w:val="-8"/>
          <w:sz w:val="22"/>
        </w:rPr>
        <w:t> </w:t>
      </w:r>
      <w:r>
        <w:rPr>
          <w:sz w:val="22"/>
        </w:rPr>
        <w:t>assets,</w:t>
      </w:r>
      <w:r>
        <w:rPr>
          <w:spacing w:val="-7"/>
          <w:sz w:val="22"/>
        </w:rPr>
        <w:t> </w:t>
      </w:r>
      <w:r>
        <w:rPr>
          <w:sz w:val="22"/>
        </w:rPr>
        <w:t>access</w:t>
      </w:r>
      <w:r>
        <w:rPr>
          <w:spacing w:val="-8"/>
          <w:sz w:val="22"/>
        </w:rPr>
        <w:t> </w:t>
      </w:r>
      <w:r>
        <w:rPr>
          <w:sz w:val="22"/>
        </w:rPr>
        <w:t>to</w:t>
      </w:r>
      <w:r>
        <w:rPr>
          <w:spacing w:val="-9"/>
          <w:sz w:val="22"/>
        </w:rPr>
        <w:t> </w:t>
      </w:r>
      <w:r>
        <w:rPr>
          <w:sz w:val="22"/>
        </w:rPr>
        <w:t>assets,</w:t>
      </w:r>
      <w:r>
        <w:rPr>
          <w:spacing w:val="-7"/>
          <w:sz w:val="22"/>
        </w:rPr>
        <w:t> </w:t>
      </w:r>
      <w:r>
        <w:rPr>
          <w:sz w:val="22"/>
        </w:rPr>
        <w:t>income sources, or means of livelihoods) as a result of (i) involuntary acquisition of land, or (ii) involuntary</w:t>
      </w:r>
      <w:r>
        <w:rPr>
          <w:spacing w:val="-6"/>
          <w:sz w:val="22"/>
        </w:rPr>
        <w:t> </w:t>
      </w:r>
      <w:r>
        <w:rPr>
          <w:sz w:val="22"/>
        </w:rPr>
        <w:t>restrictions</w:t>
      </w:r>
      <w:r>
        <w:rPr>
          <w:spacing w:val="-4"/>
          <w:sz w:val="22"/>
        </w:rPr>
        <w:t> </w:t>
      </w:r>
      <w:r>
        <w:rPr>
          <w:sz w:val="22"/>
        </w:rPr>
        <w:t>on</w:t>
      </w:r>
      <w:r>
        <w:rPr>
          <w:spacing w:val="-4"/>
          <w:sz w:val="22"/>
        </w:rPr>
        <w:t> </w:t>
      </w:r>
      <w:r>
        <w:rPr>
          <w:sz w:val="22"/>
        </w:rPr>
        <w:t>land</w:t>
      </w:r>
      <w:r>
        <w:rPr>
          <w:spacing w:val="-4"/>
          <w:sz w:val="22"/>
        </w:rPr>
        <w:t> </w:t>
      </w:r>
      <w:r>
        <w:rPr>
          <w:sz w:val="22"/>
        </w:rPr>
        <w:t>use</w:t>
      </w:r>
      <w:r>
        <w:rPr>
          <w:spacing w:val="-4"/>
          <w:sz w:val="22"/>
        </w:rPr>
        <w:t> </w:t>
      </w:r>
      <w:r>
        <w:rPr>
          <w:sz w:val="22"/>
        </w:rPr>
        <w:t>or</w:t>
      </w:r>
      <w:r>
        <w:rPr>
          <w:spacing w:val="-3"/>
          <w:sz w:val="22"/>
        </w:rPr>
        <w:t> </w:t>
      </w:r>
      <w:r>
        <w:rPr>
          <w:sz w:val="22"/>
        </w:rPr>
        <w:t>on</w:t>
      </w:r>
      <w:r>
        <w:rPr>
          <w:spacing w:val="-4"/>
          <w:sz w:val="22"/>
        </w:rPr>
        <w:t> </w:t>
      </w:r>
      <w:r>
        <w:rPr>
          <w:sz w:val="22"/>
        </w:rPr>
        <w:t>access</w:t>
      </w:r>
      <w:r>
        <w:rPr>
          <w:spacing w:val="-6"/>
          <w:sz w:val="22"/>
        </w:rPr>
        <w:t> </w:t>
      </w:r>
      <w:r>
        <w:rPr>
          <w:sz w:val="22"/>
        </w:rPr>
        <w:t>to</w:t>
      </w:r>
      <w:r>
        <w:rPr>
          <w:spacing w:val="-4"/>
          <w:sz w:val="22"/>
        </w:rPr>
        <w:t> </w:t>
      </w:r>
      <w:r>
        <w:rPr>
          <w:sz w:val="22"/>
        </w:rPr>
        <w:t>legally</w:t>
      </w:r>
      <w:r>
        <w:rPr>
          <w:spacing w:val="-6"/>
          <w:sz w:val="22"/>
        </w:rPr>
        <w:t> </w:t>
      </w:r>
      <w:r>
        <w:rPr>
          <w:sz w:val="22"/>
        </w:rPr>
        <w:t>designated</w:t>
      </w:r>
      <w:r>
        <w:rPr>
          <w:spacing w:val="-7"/>
          <w:sz w:val="22"/>
        </w:rPr>
        <w:t> </w:t>
      </w:r>
      <w:r>
        <w:rPr>
          <w:sz w:val="22"/>
        </w:rPr>
        <w:t>parks</w:t>
      </w:r>
      <w:r>
        <w:rPr>
          <w:spacing w:val="-4"/>
          <w:sz w:val="22"/>
        </w:rPr>
        <w:t> </w:t>
      </w:r>
      <w:r>
        <w:rPr>
          <w:sz w:val="22"/>
        </w:rPr>
        <w:t>and</w:t>
      </w:r>
      <w:r>
        <w:rPr>
          <w:spacing w:val="-4"/>
          <w:sz w:val="22"/>
        </w:rPr>
        <w:t> </w:t>
      </w:r>
      <w:r>
        <w:rPr>
          <w:sz w:val="22"/>
        </w:rPr>
        <w:t>protected areas. The important elements of OP 4.12 are: (i) compensation at replacement cost for lost assets, livelihood, and income prior to displacement; (ii) assistance for relocation, including provision of relocation sites with appropriate facilities and services; and (iii) assistance</w:t>
      </w:r>
      <w:r>
        <w:rPr>
          <w:spacing w:val="-11"/>
          <w:sz w:val="22"/>
        </w:rPr>
        <w:t> </w:t>
      </w:r>
      <w:r>
        <w:rPr>
          <w:sz w:val="22"/>
        </w:rPr>
        <w:t>for</w:t>
      </w:r>
      <w:r>
        <w:rPr>
          <w:spacing w:val="-8"/>
          <w:sz w:val="22"/>
        </w:rPr>
        <w:t> </w:t>
      </w:r>
      <w:r>
        <w:rPr>
          <w:sz w:val="22"/>
        </w:rPr>
        <w:t>rehabilitation</w:t>
      </w:r>
      <w:r>
        <w:rPr>
          <w:spacing w:val="-7"/>
          <w:sz w:val="22"/>
        </w:rPr>
        <w:t> </w:t>
      </w:r>
      <w:r>
        <w:rPr>
          <w:sz w:val="22"/>
        </w:rPr>
        <w:t>to</w:t>
      </w:r>
      <w:r>
        <w:rPr>
          <w:spacing w:val="-9"/>
          <w:sz w:val="22"/>
        </w:rPr>
        <w:t> </w:t>
      </w:r>
      <w:r>
        <w:rPr>
          <w:sz w:val="22"/>
        </w:rPr>
        <w:t>achieve</w:t>
      </w:r>
      <w:r>
        <w:rPr>
          <w:spacing w:val="-6"/>
          <w:sz w:val="22"/>
        </w:rPr>
        <w:t> </w:t>
      </w:r>
      <w:r>
        <w:rPr>
          <w:sz w:val="22"/>
        </w:rPr>
        <w:t>at</w:t>
      </w:r>
      <w:r>
        <w:rPr>
          <w:spacing w:val="-5"/>
          <w:sz w:val="22"/>
        </w:rPr>
        <w:t> </w:t>
      </w:r>
      <w:r>
        <w:rPr>
          <w:sz w:val="22"/>
        </w:rPr>
        <w:t>least</w:t>
      </w:r>
      <w:r>
        <w:rPr>
          <w:spacing w:val="-8"/>
          <w:sz w:val="22"/>
        </w:rPr>
        <w:t> </w:t>
      </w:r>
      <w:r>
        <w:rPr>
          <w:sz w:val="22"/>
        </w:rPr>
        <w:t>the</w:t>
      </w:r>
      <w:r>
        <w:rPr>
          <w:spacing w:val="-9"/>
          <w:sz w:val="22"/>
        </w:rPr>
        <w:t> </w:t>
      </w:r>
      <w:r>
        <w:rPr>
          <w:sz w:val="22"/>
        </w:rPr>
        <w:t>same</w:t>
      </w:r>
      <w:r>
        <w:rPr>
          <w:spacing w:val="-6"/>
          <w:sz w:val="22"/>
        </w:rPr>
        <w:t> </w:t>
      </w:r>
      <w:r>
        <w:rPr>
          <w:sz w:val="22"/>
        </w:rPr>
        <w:t>level</w:t>
      </w:r>
      <w:r>
        <w:rPr>
          <w:spacing w:val="-7"/>
          <w:sz w:val="22"/>
        </w:rPr>
        <w:t> </w:t>
      </w:r>
      <w:r>
        <w:rPr>
          <w:sz w:val="22"/>
        </w:rPr>
        <w:t>of</w:t>
      </w:r>
      <w:r>
        <w:rPr>
          <w:spacing w:val="-5"/>
          <w:sz w:val="22"/>
        </w:rPr>
        <w:t> </w:t>
      </w:r>
      <w:r>
        <w:rPr>
          <w:sz w:val="22"/>
        </w:rPr>
        <w:t>well-being</w:t>
      </w:r>
      <w:r>
        <w:rPr>
          <w:spacing w:val="-7"/>
          <w:sz w:val="22"/>
        </w:rPr>
        <w:t> </w:t>
      </w:r>
      <w:r>
        <w:rPr>
          <w:sz w:val="22"/>
        </w:rPr>
        <w:t>with</w:t>
      </w:r>
      <w:r>
        <w:rPr>
          <w:spacing w:val="-6"/>
          <w:sz w:val="22"/>
        </w:rPr>
        <w:t> </w:t>
      </w:r>
      <w:r>
        <w:rPr>
          <w:sz w:val="22"/>
        </w:rPr>
        <w:t>the</w:t>
      </w:r>
      <w:r>
        <w:rPr>
          <w:spacing w:val="-9"/>
          <w:sz w:val="22"/>
        </w:rPr>
        <w:t> </w:t>
      </w:r>
      <w:r>
        <w:rPr>
          <w:sz w:val="22"/>
        </w:rPr>
        <w:t>project as without it. The operational policy gives special attention to poor and vulnerable households to ensure their improved well-being as a result of subproject interventions. Followings are the basic policy principle of OP</w:t>
      </w:r>
      <w:r>
        <w:rPr>
          <w:spacing w:val="-18"/>
          <w:sz w:val="22"/>
        </w:rPr>
        <w:t> </w:t>
      </w:r>
      <w:r>
        <w:rPr>
          <w:sz w:val="22"/>
        </w:rPr>
        <w:t>4.12:</w:t>
      </w:r>
    </w:p>
    <w:p>
      <w:pPr>
        <w:pStyle w:val="ListParagraph"/>
        <w:numPr>
          <w:ilvl w:val="1"/>
          <w:numId w:val="25"/>
        </w:numPr>
        <w:tabs>
          <w:tab w:pos="1948" w:val="left" w:leader="none"/>
          <w:tab w:pos="1949" w:val="left" w:leader="none"/>
        </w:tabs>
        <w:spacing w:line="252" w:lineRule="exact" w:before="141" w:after="0"/>
        <w:ind w:left="1948" w:right="154" w:hanging="360"/>
        <w:jc w:val="left"/>
        <w:rPr>
          <w:sz w:val="22"/>
        </w:rPr>
      </w:pPr>
      <w:r>
        <w:rPr>
          <w:sz w:val="22"/>
        </w:rPr>
        <w:t>Screen the project early on to identify past, present, and future involuntary resettlement impacts and</w:t>
      </w:r>
      <w:r>
        <w:rPr>
          <w:spacing w:val="-13"/>
          <w:sz w:val="22"/>
        </w:rPr>
        <w:t> </w:t>
      </w:r>
      <w:r>
        <w:rPr>
          <w:sz w:val="22"/>
        </w:rPr>
        <w:t>risks.</w:t>
      </w:r>
    </w:p>
    <w:p>
      <w:pPr>
        <w:spacing w:after="0" w:line="252" w:lineRule="exact"/>
        <w:jc w:val="left"/>
        <w:rPr>
          <w:sz w:val="22"/>
        </w:rPr>
        <w:sectPr>
          <w:pgSz w:w="11910" w:h="16840"/>
          <w:pgMar w:header="583" w:footer="575" w:top="840" w:bottom="760" w:left="860" w:right="1280"/>
        </w:sectPr>
      </w:pPr>
    </w:p>
    <w:p>
      <w:pPr>
        <w:pStyle w:val="BodyText"/>
        <w:rPr>
          <w:sz w:val="20"/>
        </w:rPr>
      </w:pPr>
    </w:p>
    <w:p>
      <w:pPr>
        <w:pStyle w:val="BodyText"/>
        <w:rPr>
          <w:sz w:val="20"/>
        </w:rPr>
      </w:pPr>
    </w:p>
    <w:p>
      <w:pPr>
        <w:pStyle w:val="BodyText"/>
        <w:spacing w:before="4"/>
        <w:rPr>
          <w:sz w:val="27"/>
        </w:rPr>
      </w:pPr>
    </w:p>
    <w:p>
      <w:pPr>
        <w:pStyle w:val="ListParagraph"/>
        <w:numPr>
          <w:ilvl w:val="1"/>
          <w:numId w:val="25"/>
        </w:numPr>
        <w:tabs>
          <w:tab w:pos="1949" w:val="left" w:leader="none"/>
        </w:tabs>
        <w:spacing w:line="252" w:lineRule="exact" w:before="121" w:after="0"/>
        <w:ind w:left="1948" w:right="154" w:hanging="360"/>
        <w:jc w:val="both"/>
        <w:rPr>
          <w:sz w:val="22"/>
        </w:rPr>
      </w:pPr>
      <w:r>
        <w:rPr>
          <w:sz w:val="22"/>
        </w:rPr>
        <w:t>Determine the scope of resettlement planning through a survey and/or census of displaced persons, including a gender analysis, specifically related to resettlement impacts and</w:t>
      </w:r>
      <w:r>
        <w:rPr>
          <w:spacing w:val="-13"/>
          <w:sz w:val="22"/>
        </w:rPr>
        <w:t> </w:t>
      </w:r>
      <w:r>
        <w:rPr>
          <w:sz w:val="22"/>
        </w:rPr>
        <w:t>risks.</w:t>
      </w:r>
    </w:p>
    <w:p>
      <w:pPr>
        <w:pStyle w:val="ListParagraph"/>
        <w:numPr>
          <w:ilvl w:val="1"/>
          <w:numId w:val="25"/>
        </w:numPr>
        <w:tabs>
          <w:tab w:pos="1949" w:val="left" w:leader="none"/>
        </w:tabs>
        <w:spacing w:line="252" w:lineRule="exact" w:before="16" w:after="0"/>
        <w:ind w:left="1948" w:right="157" w:hanging="360"/>
        <w:jc w:val="both"/>
        <w:rPr>
          <w:sz w:val="22"/>
        </w:rPr>
      </w:pPr>
      <w:r>
        <w:rPr>
          <w:sz w:val="22"/>
        </w:rPr>
        <w:t>Carry out meaningful consultations with affected persons, host communities, and concerned nongovernment organizations. Inform all displaced persons of their entitlements and resettlement</w:t>
      </w:r>
      <w:r>
        <w:rPr>
          <w:spacing w:val="-20"/>
          <w:sz w:val="22"/>
        </w:rPr>
        <w:t> </w:t>
      </w:r>
      <w:r>
        <w:rPr>
          <w:sz w:val="22"/>
        </w:rPr>
        <w:t>options.</w:t>
      </w:r>
    </w:p>
    <w:p>
      <w:pPr>
        <w:pStyle w:val="ListParagraph"/>
        <w:numPr>
          <w:ilvl w:val="1"/>
          <w:numId w:val="25"/>
        </w:numPr>
        <w:tabs>
          <w:tab w:pos="1949" w:val="left" w:leader="none"/>
        </w:tabs>
        <w:spacing w:line="252" w:lineRule="exact" w:before="16" w:after="0"/>
        <w:ind w:left="1948" w:right="158" w:hanging="360"/>
        <w:jc w:val="both"/>
        <w:rPr>
          <w:sz w:val="22"/>
        </w:rPr>
      </w:pPr>
      <w:r>
        <w:rPr>
          <w:sz w:val="22"/>
        </w:rPr>
        <w:t>Ensure their participation in planning, implementation, and monitoring and evaluation of resettlement</w:t>
      </w:r>
      <w:r>
        <w:rPr>
          <w:spacing w:val="-14"/>
          <w:sz w:val="22"/>
        </w:rPr>
        <w:t> </w:t>
      </w:r>
      <w:r>
        <w:rPr>
          <w:sz w:val="22"/>
        </w:rPr>
        <w:t>programs.</w:t>
      </w:r>
    </w:p>
    <w:p>
      <w:pPr>
        <w:pStyle w:val="ListParagraph"/>
        <w:numPr>
          <w:ilvl w:val="1"/>
          <w:numId w:val="25"/>
        </w:numPr>
        <w:tabs>
          <w:tab w:pos="1949" w:val="left" w:leader="none"/>
        </w:tabs>
        <w:spacing w:line="240" w:lineRule="auto" w:before="0" w:after="0"/>
        <w:ind w:left="1948" w:right="159" w:hanging="360"/>
        <w:jc w:val="both"/>
        <w:rPr>
          <w:sz w:val="22"/>
        </w:rPr>
      </w:pPr>
      <w:r>
        <w:rPr>
          <w:sz w:val="22"/>
        </w:rPr>
        <w:t>Pay particular attention to the needs of vulnerable groups, especially those below the poverty line, the landless, the elderly, women and children, and Indigenous Peoples, and those without legal title to land, and ensure their participation in</w:t>
      </w:r>
      <w:r>
        <w:rPr>
          <w:spacing w:val="-11"/>
          <w:sz w:val="22"/>
        </w:rPr>
        <w:t> </w:t>
      </w:r>
      <w:r>
        <w:rPr>
          <w:sz w:val="22"/>
        </w:rPr>
        <w:t>consultations.</w:t>
      </w:r>
    </w:p>
    <w:p>
      <w:pPr>
        <w:pStyle w:val="ListParagraph"/>
        <w:numPr>
          <w:ilvl w:val="1"/>
          <w:numId w:val="25"/>
        </w:numPr>
        <w:tabs>
          <w:tab w:pos="1949" w:val="left" w:leader="none"/>
        </w:tabs>
        <w:spacing w:line="252" w:lineRule="exact" w:before="23" w:after="0"/>
        <w:ind w:left="1948" w:right="157" w:hanging="360"/>
        <w:jc w:val="both"/>
        <w:rPr>
          <w:sz w:val="22"/>
        </w:rPr>
      </w:pPr>
      <w:r>
        <w:rPr>
          <w:sz w:val="22"/>
        </w:rPr>
        <w:t>Establish a grievance redress mechanism to receive and facilitate resolution of the affected persons’</w:t>
      </w:r>
      <w:r>
        <w:rPr>
          <w:spacing w:val="-8"/>
          <w:sz w:val="22"/>
        </w:rPr>
        <w:t> </w:t>
      </w:r>
      <w:r>
        <w:rPr>
          <w:sz w:val="22"/>
        </w:rPr>
        <w:t>concerns.</w:t>
      </w:r>
    </w:p>
    <w:p>
      <w:pPr>
        <w:pStyle w:val="ListParagraph"/>
        <w:numPr>
          <w:ilvl w:val="1"/>
          <w:numId w:val="25"/>
        </w:numPr>
        <w:tabs>
          <w:tab w:pos="1949" w:val="left" w:leader="none"/>
        </w:tabs>
        <w:spacing w:line="252" w:lineRule="exact" w:before="17" w:after="0"/>
        <w:ind w:left="1948" w:right="151" w:hanging="360"/>
        <w:jc w:val="both"/>
        <w:rPr>
          <w:sz w:val="22"/>
        </w:rPr>
      </w:pPr>
      <w:r>
        <w:rPr>
          <w:sz w:val="22"/>
        </w:rPr>
        <w:t>Improve, or at least restore, the livelihoods of all displaced persons through prompt compensation at full replacement cost for</w:t>
      </w:r>
      <w:r>
        <w:rPr>
          <w:spacing w:val="-13"/>
          <w:sz w:val="22"/>
        </w:rPr>
        <w:t> </w:t>
      </w:r>
      <w:r>
        <w:rPr>
          <w:sz w:val="22"/>
        </w:rPr>
        <w:t>assets.</w:t>
      </w:r>
    </w:p>
    <w:p>
      <w:pPr>
        <w:pStyle w:val="ListParagraph"/>
        <w:numPr>
          <w:ilvl w:val="1"/>
          <w:numId w:val="25"/>
        </w:numPr>
        <w:tabs>
          <w:tab w:pos="1949" w:val="left" w:leader="none"/>
        </w:tabs>
        <w:spacing w:line="240" w:lineRule="auto" w:before="0" w:after="0"/>
        <w:ind w:left="1948" w:right="154" w:hanging="360"/>
        <w:jc w:val="both"/>
        <w:rPr>
          <w:sz w:val="22"/>
        </w:rPr>
      </w:pPr>
      <w:r>
        <w:rPr>
          <w:sz w:val="22"/>
        </w:rPr>
        <w:t>Provide PAPs with needed assistance, transitional support and development assistance, such as land development, credit facilities, training, or employment opportunities.</w:t>
      </w:r>
    </w:p>
    <w:p>
      <w:pPr>
        <w:pStyle w:val="BodyText"/>
        <w:rPr>
          <w:sz w:val="21"/>
        </w:rPr>
      </w:pPr>
    </w:p>
    <w:p>
      <w:pPr>
        <w:pStyle w:val="Heading2"/>
        <w:numPr>
          <w:ilvl w:val="1"/>
          <w:numId w:val="23"/>
        </w:numPr>
        <w:tabs>
          <w:tab w:pos="1444" w:val="left" w:leader="none"/>
          <w:tab w:pos="1445" w:val="left" w:leader="none"/>
        </w:tabs>
        <w:spacing w:line="276" w:lineRule="auto" w:before="0" w:after="0"/>
        <w:ind w:left="1444" w:right="152" w:hanging="576"/>
        <w:jc w:val="left"/>
      </w:pPr>
      <w:bookmarkStart w:name="_bookmark48" w:id="79"/>
      <w:bookmarkEnd w:id="79"/>
      <w:r>
        <w:rPr>
          <w:b w:val="0"/>
        </w:rPr>
      </w:r>
      <w:bookmarkStart w:name="_bookmark48" w:id="80"/>
      <w:bookmarkEnd w:id="80"/>
      <w:r>
        <w:rPr/>
        <w:t>C</w:t>
      </w:r>
      <w:r>
        <w:rPr/>
        <w:t>omparison of Pakistan’s LAA and WB OP 4.12 IR Safeguards Policy Principles</w:t>
      </w:r>
    </w:p>
    <w:p>
      <w:pPr>
        <w:pStyle w:val="ListParagraph"/>
        <w:numPr>
          <w:ilvl w:val="0"/>
          <w:numId w:val="26"/>
        </w:numPr>
        <w:tabs>
          <w:tab w:pos="1589" w:val="left" w:leader="none"/>
        </w:tabs>
        <w:spacing w:line="276" w:lineRule="auto" w:before="119" w:after="0"/>
        <w:ind w:left="868" w:right="150" w:firstLine="0"/>
        <w:jc w:val="both"/>
        <w:rPr>
          <w:sz w:val="22"/>
        </w:rPr>
      </w:pPr>
      <w:r>
        <w:rPr>
          <w:sz w:val="22"/>
        </w:rPr>
        <w:t>The objective of this comparison is to identify and address inadequacy of the existing legal provisions whether the two sets of procedures are in conformity with each other and more importantly to identify and suggest measures to bridge these differences and gaps.</w:t>
      </w:r>
    </w:p>
    <w:p>
      <w:pPr>
        <w:pStyle w:val="ListParagraph"/>
        <w:numPr>
          <w:ilvl w:val="0"/>
          <w:numId w:val="26"/>
        </w:numPr>
        <w:tabs>
          <w:tab w:pos="1589" w:val="left" w:leader="none"/>
        </w:tabs>
        <w:spacing w:line="240" w:lineRule="auto" w:before="120" w:after="0"/>
        <w:ind w:left="1588" w:right="0" w:hanging="720"/>
        <w:jc w:val="both"/>
        <w:rPr>
          <w:sz w:val="22"/>
        </w:rPr>
      </w:pPr>
      <w:r>
        <w:rPr>
          <w:sz w:val="22"/>
        </w:rPr>
        <w:t>Comparison</w:t>
      </w:r>
      <w:r>
        <w:rPr>
          <w:spacing w:val="-11"/>
          <w:sz w:val="22"/>
        </w:rPr>
        <w:t> </w:t>
      </w:r>
      <w:r>
        <w:rPr>
          <w:sz w:val="22"/>
        </w:rPr>
        <w:t>of</w:t>
      </w:r>
      <w:r>
        <w:rPr>
          <w:spacing w:val="-10"/>
          <w:sz w:val="22"/>
        </w:rPr>
        <w:t> </w:t>
      </w:r>
      <w:r>
        <w:rPr>
          <w:sz w:val="22"/>
        </w:rPr>
        <w:t>Pakistan’s</w:t>
      </w:r>
      <w:r>
        <w:rPr>
          <w:spacing w:val="-11"/>
          <w:sz w:val="22"/>
        </w:rPr>
        <w:t> </w:t>
      </w:r>
      <w:r>
        <w:rPr>
          <w:sz w:val="22"/>
        </w:rPr>
        <w:t>Land</w:t>
      </w:r>
      <w:r>
        <w:rPr>
          <w:spacing w:val="-11"/>
          <w:sz w:val="22"/>
        </w:rPr>
        <w:t> </w:t>
      </w:r>
      <w:r>
        <w:rPr>
          <w:sz w:val="22"/>
        </w:rPr>
        <w:t>Acquisition</w:t>
      </w:r>
      <w:r>
        <w:rPr>
          <w:spacing w:val="-11"/>
          <w:sz w:val="22"/>
        </w:rPr>
        <w:t> </w:t>
      </w:r>
      <w:r>
        <w:rPr>
          <w:sz w:val="22"/>
        </w:rPr>
        <w:t>Act</w:t>
      </w:r>
      <w:r>
        <w:rPr>
          <w:spacing w:val="-10"/>
          <w:sz w:val="22"/>
        </w:rPr>
        <w:t> </w:t>
      </w:r>
      <w:r>
        <w:rPr>
          <w:sz w:val="22"/>
        </w:rPr>
        <w:t>of</w:t>
      </w:r>
      <w:r>
        <w:rPr>
          <w:spacing w:val="-12"/>
          <w:sz w:val="22"/>
        </w:rPr>
        <w:t> </w:t>
      </w:r>
      <w:r>
        <w:rPr>
          <w:sz w:val="22"/>
        </w:rPr>
        <w:t>1894</w:t>
      </w:r>
      <w:r>
        <w:rPr>
          <w:spacing w:val="-11"/>
          <w:sz w:val="22"/>
        </w:rPr>
        <w:t> </w:t>
      </w:r>
      <w:r>
        <w:rPr>
          <w:sz w:val="22"/>
        </w:rPr>
        <w:t>(LAA)</w:t>
      </w:r>
      <w:r>
        <w:rPr>
          <w:spacing w:val="-13"/>
          <w:sz w:val="22"/>
        </w:rPr>
        <w:t> </w:t>
      </w:r>
      <w:r>
        <w:rPr>
          <w:sz w:val="22"/>
        </w:rPr>
        <w:t>and</w:t>
      </w:r>
      <w:r>
        <w:rPr>
          <w:spacing w:val="-16"/>
          <w:sz w:val="22"/>
        </w:rPr>
        <w:t> </w:t>
      </w:r>
      <w:r>
        <w:rPr>
          <w:sz w:val="22"/>
        </w:rPr>
        <w:t>World</w:t>
      </w:r>
      <w:r>
        <w:rPr>
          <w:spacing w:val="-11"/>
          <w:sz w:val="22"/>
        </w:rPr>
        <w:t> </w:t>
      </w:r>
      <w:r>
        <w:rPr>
          <w:sz w:val="22"/>
        </w:rPr>
        <w:t>Bank’s</w:t>
      </w:r>
      <w:r>
        <w:rPr>
          <w:spacing w:val="-13"/>
          <w:sz w:val="22"/>
        </w:rPr>
        <w:t> </w:t>
      </w:r>
      <w:r>
        <w:rPr>
          <w:sz w:val="22"/>
        </w:rPr>
        <w:t>OP</w:t>
      </w:r>
    </w:p>
    <w:p>
      <w:pPr>
        <w:pStyle w:val="BodyText"/>
        <w:spacing w:line="276" w:lineRule="auto" w:before="40"/>
        <w:ind w:left="868" w:right="152"/>
        <w:jc w:val="both"/>
      </w:pPr>
      <w:r>
        <w:rPr/>
        <w:t>4.12 on Involuntary Resettlement shows that the LAA of Pakistan and OP 4.12 deviate on some</w:t>
      </w:r>
      <w:r>
        <w:rPr>
          <w:spacing w:val="-16"/>
        </w:rPr>
        <w:t> </w:t>
      </w:r>
      <w:r>
        <w:rPr/>
        <w:t>key</w:t>
      </w:r>
      <w:r>
        <w:rPr>
          <w:spacing w:val="-14"/>
        </w:rPr>
        <w:t> </w:t>
      </w:r>
      <w:r>
        <w:rPr/>
        <w:t>points.</w:t>
      </w:r>
      <w:r>
        <w:rPr>
          <w:spacing w:val="-14"/>
        </w:rPr>
        <w:t> </w:t>
      </w:r>
      <w:r>
        <w:rPr/>
        <w:t>The</w:t>
      </w:r>
      <w:r>
        <w:rPr>
          <w:spacing w:val="-17"/>
        </w:rPr>
        <w:t> </w:t>
      </w:r>
      <w:r>
        <w:rPr/>
        <w:t>key</w:t>
      </w:r>
      <w:r>
        <w:rPr>
          <w:spacing w:val="-19"/>
        </w:rPr>
        <w:t> </w:t>
      </w:r>
      <w:r>
        <w:rPr/>
        <w:t>World</w:t>
      </w:r>
      <w:r>
        <w:rPr>
          <w:spacing w:val="-14"/>
        </w:rPr>
        <w:t> </w:t>
      </w:r>
      <w:r>
        <w:rPr/>
        <w:t>bank</w:t>
      </w:r>
      <w:r>
        <w:rPr>
          <w:spacing w:val="-11"/>
        </w:rPr>
        <w:t> </w:t>
      </w:r>
      <w:r>
        <w:rPr/>
        <w:t>Policy</w:t>
      </w:r>
      <w:r>
        <w:rPr>
          <w:spacing w:val="-14"/>
        </w:rPr>
        <w:t> </w:t>
      </w:r>
      <w:r>
        <w:rPr/>
        <w:t>Principles</w:t>
      </w:r>
      <w:r>
        <w:rPr>
          <w:spacing w:val="-11"/>
        </w:rPr>
        <w:t> </w:t>
      </w:r>
      <w:r>
        <w:rPr/>
        <w:t>are</w:t>
      </w:r>
      <w:r>
        <w:rPr>
          <w:spacing w:val="-13"/>
        </w:rPr>
        <w:t> </w:t>
      </w:r>
      <w:r>
        <w:rPr/>
        <w:t>(i)</w:t>
      </w:r>
      <w:r>
        <w:rPr>
          <w:spacing w:val="-13"/>
        </w:rPr>
        <w:t> </w:t>
      </w:r>
      <w:r>
        <w:rPr/>
        <w:t>the</w:t>
      </w:r>
      <w:r>
        <w:rPr>
          <w:spacing w:val="-11"/>
        </w:rPr>
        <w:t> </w:t>
      </w:r>
      <w:r>
        <w:rPr/>
        <w:t>need</w:t>
      </w:r>
      <w:r>
        <w:rPr>
          <w:spacing w:val="-14"/>
        </w:rPr>
        <w:t> </w:t>
      </w:r>
      <w:r>
        <w:rPr/>
        <w:t>to</w:t>
      </w:r>
      <w:r>
        <w:rPr>
          <w:spacing w:val="-14"/>
        </w:rPr>
        <w:t> </w:t>
      </w:r>
      <w:r>
        <w:rPr/>
        <w:t>screen</w:t>
      </w:r>
      <w:r>
        <w:rPr>
          <w:spacing w:val="-14"/>
        </w:rPr>
        <w:t> </w:t>
      </w:r>
      <w:r>
        <w:rPr/>
        <w:t>the</w:t>
      </w:r>
      <w:r>
        <w:rPr>
          <w:spacing w:val="-12"/>
        </w:rPr>
        <w:t> </w:t>
      </w:r>
      <w:r>
        <w:rPr/>
        <w:t>project early on in the planning stage, (ii) carry out meaningful consultation, (iii) at the minimum restore livelihood levels to what they were before the project, improve the livelihoods of displaced</w:t>
      </w:r>
      <w:r>
        <w:rPr>
          <w:spacing w:val="-11"/>
        </w:rPr>
        <w:t> </w:t>
      </w:r>
      <w:r>
        <w:rPr/>
        <w:t>vulnerable</w:t>
      </w:r>
      <w:r>
        <w:rPr>
          <w:spacing w:val="-11"/>
        </w:rPr>
        <w:t> </w:t>
      </w:r>
      <w:r>
        <w:rPr/>
        <w:t>groups</w:t>
      </w:r>
      <w:r>
        <w:rPr>
          <w:spacing w:val="-11"/>
        </w:rPr>
        <w:t> </w:t>
      </w:r>
      <w:r>
        <w:rPr/>
        <w:t>(iv)</w:t>
      </w:r>
      <w:r>
        <w:rPr>
          <w:spacing w:val="-10"/>
        </w:rPr>
        <w:t> </w:t>
      </w:r>
      <w:r>
        <w:rPr/>
        <w:t>prompt</w:t>
      </w:r>
      <w:r>
        <w:rPr>
          <w:spacing w:val="-10"/>
        </w:rPr>
        <w:t> </w:t>
      </w:r>
      <w:r>
        <w:rPr/>
        <w:t>compensation</w:t>
      </w:r>
      <w:r>
        <w:rPr>
          <w:spacing w:val="-11"/>
        </w:rPr>
        <w:t> </w:t>
      </w:r>
      <w:r>
        <w:rPr/>
        <w:t>at</w:t>
      </w:r>
      <w:r>
        <w:rPr>
          <w:spacing w:val="-13"/>
        </w:rPr>
        <w:t> </w:t>
      </w:r>
      <w:r>
        <w:rPr/>
        <w:t>full</w:t>
      </w:r>
      <w:r>
        <w:rPr>
          <w:spacing w:val="-12"/>
        </w:rPr>
        <w:t> </w:t>
      </w:r>
      <w:r>
        <w:rPr/>
        <w:t>replacement</w:t>
      </w:r>
      <w:r>
        <w:rPr>
          <w:spacing w:val="-12"/>
        </w:rPr>
        <w:t> </w:t>
      </w:r>
      <w:r>
        <w:rPr/>
        <w:t>cost</w:t>
      </w:r>
      <w:r>
        <w:rPr>
          <w:spacing w:val="-10"/>
        </w:rPr>
        <w:t> </w:t>
      </w:r>
      <w:r>
        <w:rPr/>
        <w:t>is</w:t>
      </w:r>
      <w:r>
        <w:rPr>
          <w:spacing w:val="-11"/>
        </w:rPr>
        <w:t> </w:t>
      </w:r>
      <w:r>
        <w:rPr/>
        <w:t>to</w:t>
      </w:r>
      <w:r>
        <w:rPr>
          <w:spacing w:val="-14"/>
        </w:rPr>
        <w:t> </w:t>
      </w:r>
      <w:r>
        <w:rPr/>
        <w:t>be</w:t>
      </w:r>
      <w:r>
        <w:rPr>
          <w:spacing w:val="-11"/>
        </w:rPr>
        <w:t> </w:t>
      </w:r>
      <w:r>
        <w:rPr/>
        <w:t>paid</w:t>
      </w:r>
    </w:p>
    <w:p>
      <w:pPr>
        <w:pStyle w:val="ListParagraph"/>
        <w:numPr>
          <w:ilvl w:val="1"/>
          <w:numId w:val="10"/>
        </w:numPr>
        <w:tabs>
          <w:tab w:pos="1202" w:val="left" w:leader="none"/>
        </w:tabs>
        <w:spacing w:line="276" w:lineRule="auto" w:before="2" w:after="0"/>
        <w:ind w:left="868" w:right="158" w:firstLine="0"/>
        <w:jc w:val="both"/>
        <w:rPr>
          <w:sz w:val="22"/>
        </w:rPr>
      </w:pPr>
      <w:r>
        <w:rPr>
          <w:sz w:val="22"/>
        </w:rPr>
        <w:t>provide displaced people with adequate assistance, (vi) ensure that displaced people who have no statutory rights to the land that they are working are eligible for resettlement assistance and compensation for the loss of non-land assets and (vii) disclose all</w:t>
      </w:r>
      <w:r>
        <w:rPr>
          <w:spacing w:val="-21"/>
          <w:sz w:val="22"/>
        </w:rPr>
        <w:t> </w:t>
      </w:r>
      <w:r>
        <w:rPr>
          <w:sz w:val="22"/>
        </w:rPr>
        <w:t>reports.</w:t>
      </w:r>
    </w:p>
    <w:p>
      <w:pPr>
        <w:pStyle w:val="ListParagraph"/>
        <w:numPr>
          <w:ilvl w:val="0"/>
          <w:numId w:val="26"/>
        </w:numPr>
        <w:tabs>
          <w:tab w:pos="1589" w:val="left" w:leader="none"/>
        </w:tabs>
        <w:spacing w:line="276" w:lineRule="auto" w:before="119" w:after="0"/>
        <w:ind w:left="868" w:right="151" w:firstLine="0"/>
        <w:jc w:val="both"/>
        <w:rPr>
          <w:sz w:val="22"/>
        </w:rPr>
      </w:pPr>
      <w:r>
        <w:rPr>
          <w:sz w:val="22"/>
        </w:rPr>
        <w:t>The</w:t>
      </w:r>
      <w:r>
        <w:rPr>
          <w:spacing w:val="-19"/>
          <w:sz w:val="22"/>
        </w:rPr>
        <w:t> </w:t>
      </w:r>
      <w:r>
        <w:rPr>
          <w:sz w:val="22"/>
        </w:rPr>
        <w:t>LAA</w:t>
      </w:r>
      <w:r>
        <w:rPr>
          <w:spacing w:val="-17"/>
          <w:sz w:val="22"/>
        </w:rPr>
        <w:t> </w:t>
      </w:r>
      <w:r>
        <w:rPr>
          <w:sz w:val="22"/>
        </w:rPr>
        <w:t>in</w:t>
      </w:r>
      <w:r>
        <w:rPr>
          <w:spacing w:val="-16"/>
          <w:sz w:val="22"/>
        </w:rPr>
        <w:t> </w:t>
      </w:r>
      <w:r>
        <w:rPr>
          <w:sz w:val="22"/>
        </w:rPr>
        <w:t>contrast</w:t>
      </w:r>
      <w:r>
        <w:rPr>
          <w:spacing w:val="-17"/>
          <w:sz w:val="22"/>
        </w:rPr>
        <w:t> </w:t>
      </w:r>
      <w:r>
        <w:rPr>
          <w:sz w:val="22"/>
        </w:rPr>
        <w:t>to</w:t>
      </w:r>
      <w:r>
        <w:rPr>
          <w:spacing w:val="-18"/>
          <w:sz w:val="22"/>
        </w:rPr>
        <w:t> </w:t>
      </w:r>
      <w:r>
        <w:rPr>
          <w:sz w:val="22"/>
        </w:rPr>
        <w:t>OP</w:t>
      </w:r>
      <w:r>
        <w:rPr>
          <w:spacing w:val="-17"/>
          <w:sz w:val="22"/>
        </w:rPr>
        <w:t> </w:t>
      </w:r>
      <w:r>
        <w:rPr>
          <w:sz w:val="22"/>
        </w:rPr>
        <w:t>4.12</w:t>
      </w:r>
      <w:r>
        <w:rPr>
          <w:spacing w:val="-16"/>
          <w:sz w:val="22"/>
        </w:rPr>
        <w:t> </w:t>
      </w:r>
      <w:r>
        <w:rPr>
          <w:sz w:val="22"/>
        </w:rPr>
        <w:t>does</w:t>
      </w:r>
      <w:r>
        <w:rPr>
          <w:spacing w:val="-16"/>
          <w:sz w:val="22"/>
        </w:rPr>
        <w:t> </w:t>
      </w:r>
      <w:r>
        <w:rPr>
          <w:sz w:val="22"/>
        </w:rPr>
        <w:t>not</w:t>
      </w:r>
      <w:r>
        <w:rPr>
          <w:spacing w:val="-17"/>
          <w:sz w:val="22"/>
        </w:rPr>
        <w:t> </w:t>
      </w:r>
      <w:r>
        <w:rPr>
          <w:sz w:val="22"/>
        </w:rPr>
        <w:t>require</w:t>
      </w:r>
      <w:r>
        <w:rPr>
          <w:spacing w:val="-16"/>
          <w:sz w:val="22"/>
        </w:rPr>
        <w:t> </w:t>
      </w:r>
      <w:r>
        <w:rPr>
          <w:sz w:val="22"/>
        </w:rPr>
        <w:t>adequate</w:t>
      </w:r>
      <w:r>
        <w:rPr>
          <w:spacing w:val="-16"/>
          <w:sz w:val="22"/>
        </w:rPr>
        <w:t> </w:t>
      </w:r>
      <w:r>
        <w:rPr>
          <w:sz w:val="22"/>
        </w:rPr>
        <w:t>consultation</w:t>
      </w:r>
      <w:r>
        <w:rPr>
          <w:spacing w:val="-16"/>
          <w:sz w:val="22"/>
        </w:rPr>
        <w:t> </w:t>
      </w:r>
      <w:r>
        <w:rPr>
          <w:sz w:val="22"/>
        </w:rPr>
        <w:t>with</w:t>
      </w:r>
      <w:r>
        <w:rPr>
          <w:spacing w:val="-16"/>
          <w:sz w:val="22"/>
        </w:rPr>
        <w:t> </w:t>
      </w:r>
      <w:r>
        <w:rPr>
          <w:sz w:val="22"/>
        </w:rPr>
        <w:t>affected parties;</w:t>
      </w:r>
      <w:r>
        <w:rPr>
          <w:spacing w:val="-5"/>
          <w:sz w:val="22"/>
        </w:rPr>
        <w:t> </w:t>
      </w:r>
      <w:r>
        <w:rPr>
          <w:sz w:val="22"/>
        </w:rPr>
        <w:t>it</w:t>
      </w:r>
      <w:r>
        <w:rPr>
          <w:spacing w:val="-3"/>
          <w:sz w:val="22"/>
        </w:rPr>
        <w:t> </w:t>
      </w:r>
      <w:r>
        <w:rPr>
          <w:sz w:val="22"/>
        </w:rPr>
        <w:t>simply</w:t>
      </w:r>
      <w:r>
        <w:rPr>
          <w:spacing w:val="-6"/>
          <w:sz w:val="22"/>
        </w:rPr>
        <w:t> </w:t>
      </w:r>
      <w:r>
        <w:rPr>
          <w:sz w:val="22"/>
        </w:rPr>
        <w:t>requires</w:t>
      </w:r>
      <w:r>
        <w:rPr>
          <w:spacing w:val="-6"/>
          <w:sz w:val="22"/>
        </w:rPr>
        <w:t> </w:t>
      </w:r>
      <w:r>
        <w:rPr>
          <w:sz w:val="22"/>
        </w:rPr>
        <w:t>that</w:t>
      </w:r>
      <w:r>
        <w:rPr>
          <w:spacing w:val="-5"/>
          <w:sz w:val="22"/>
        </w:rPr>
        <w:t> </w:t>
      </w:r>
      <w:r>
        <w:rPr>
          <w:sz w:val="22"/>
        </w:rPr>
        <w:t>declaration</w:t>
      </w:r>
      <w:r>
        <w:rPr>
          <w:spacing w:val="-4"/>
          <w:sz w:val="22"/>
        </w:rPr>
        <w:t> </w:t>
      </w:r>
      <w:r>
        <w:rPr>
          <w:sz w:val="22"/>
        </w:rPr>
        <w:t>and</w:t>
      </w:r>
      <w:r>
        <w:rPr>
          <w:spacing w:val="-4"/>
          <w:sz w:val="22"/>
        </w:rPr>
        <w:t> </w:t>
      </w:r>
      <w:r>
        <w:rPr>
          <w:sz w:val="22"/>
        </w:rPr>
        <w:t>notice</w:t>
      </w:r>
      <w:r>
        <w:rPr>
          <w:spacing w:val="-4"/>
          <w:sz w:val="22"/>
        </w:rPr>
        <w:t> </w:t>
      </w:r>
      <w:r>
        <w:rPr>
          <w:sz w:val="22"/>
        </w:rPr>
        <w:t>be</w:t>
      </w:r>
      <w:r>
        <w:rPr>
          <w:spacing w:val="-7"/>
          <w:sz w:val="22"/>
        </w:rPr>
        <w:t> </w:t>
      </w:r>
      <w:r>
        <w:rPr>
          <w:sz w:val="22"/>
        </w:rPr>
        <w:t>given</w:t>
      </w:r>
      <w:r>
        <w:rPr>
          <w:spacing w:val="-4"/>
          <w:sz w:val="22"/>
        </w:rPr>
        <w:t> </w:t>
      </w:r>
      <w:r>
        <w:rPr>
          <w:sz w:val="22"/>
        </w:rPr>
        <w:t>about</w:t>
      </w:r>
      <w:r>
        <w:rPr>
          <w:spacing w:val="-5"/>
          <w:sz w:val="22"/>
        </w:rPr>
        <w:t> </w:t>
      </w:r>
      <w:r>
        <w:rPr>
          <w:sz w:val="22"/>
        </w:rPr>
        <w:t>temporary</w:t>
      </w:r>
      <w:r>
        <w:rPr>
          <w:spacing w:val="-6"/>
          <w:sz w:val="22"/>
        </w:rPr>
        <w:t> </w:t>
      </w:r>
      <w:r>
        <w:rPr>
          <w:sz w:val="22"/>
        </w:rPr>
        <w:t>use</w:t>
      </w:r>
      <w:r>
        <w:rPr>
          <w:spacing w:val="-4"/>
          <w:sz w:val="22"/>
        </w:rPr>
        <w:t> </w:t>
      </w:r>
      <w:r>
        <w:rPr>
          <w:sz w:val="22"/>
        </w:rPr>
        <w:t>of</w:t>
      </w:r>
      <w:r>
        <w:rPr>
          <w:spacing w:val="-3"/>
          <w:sz w:val="22"/>
        </w:rPr>
        <w:t> </w:t>
      </w:r>
      <w:r>
        <w:rPr>
          <w:sz w:val="22"/>
        </w:rPr>
        <w:t>land or</w:t>
      </w:r>
      <w:r>
        <w:rPr>
          <w:spacing w:val="-15"/>
          <w:sz w:val="22"/>
        </w:rPr>
        <w:t> </w:t>
      </w:r>
      <w:r>
        <w:rPr>
          <w:sz w:val="22"/>
        </w:rPr>
        <w:t>acquisition</w:t>
      </w:r>
      <w:r>
        <w:rPr>
          <w:spacing w:val="-16"/>
          <w:sz w:val="22"/>
        </w:rPr>
        <w:t> </w:t>
      </w:r>
      <w:r>
        <w:rPr>
          <w:sz w:val="22"/>
        </w:rPr>
        <w:t>and</w:t>
      </w:r>
      <w:r>
        <w:rPr>
          <w:spacing w:val="-16"/>
          <w:sz w:val="22"/>
        </w:rPr>
        <w:t> </w:t>
      </w:r>
      <w:r>
        <w:rPr>
          <w:sz w:val="22"/>
        </w:rPr>
        <w:t>the</w:t>
      </w:r>
      <w:r>
        <w:rPr>
          <w:spacing w:val="-16"/>
          <w:sz w:val="22"/>
        </w:rPr>
        <w:t> </w:t>
      </w:r>
      <w:r>
        <w:rPr>
          <w:sz w:val="22"/>
        </w:rPr>
        <w:t>purposes</w:t>
      </w:r>
      <w:r>
        <w:rPr>
          <w:spacing w:val="-18"/>
          <w:sz w:val="22"/>
        </w:rPr>
        <w:t> </w:t>
      </w:r>
      <w:r>
        <w:rPr>
          <w:sz w:val="22"/>
        </w:rPr>
        <w:t>for</w:t>
      </w:r>
      <w:r>
        <w:rPr>
          <w:spacing w:val="-15"/>
          <w:sz w:val="22"/>
        </w:rPr>
        <w:t> </w:t>
      </w:r>
      <w:r>
        <w:rPr>
          <w:sz w:val="22"/>
        </w:rPr>
        <w:t>which</w:t>
      </w:r>
      <w:r>
        <w:rPr>
          <w:spacing w:val="-16"/>
          <w:sz w:val="22"/>
        </w:rPr>
        <w:t> </w:t>
      </w:r>
      <w:r>
        <w:rPr>
          <w:sz w:val="22"/>
        </w:rPr>
        <w:t>it</w:t>
      </w:r>
      <w:r>
        <w:rPr>
          <w:spacing w:val="-15"/>
          <w:sz w:val="22"/>
        </w:rPr>
        <w:t> </w:t>
      </w:r>
      <w:r>
        <w:rPr>
          <w:sz w:val="22"/>
        </w:rPr>
        <w:t>is</w:t>
      </w:r>
      <w:r>
        <w:rPr>
          <w:spacing w:val="-16"/>
          <w:sz w:val="22"/>
        </w:rPr>
        <w:t> </w:t>
      </w:r>
      <w:r>
        <w:rPr>
          <w:sz w:val="22"/>
        </w:rPr>
        <w:t>required.</w:t>
      </w:r>
      <w:r>
        <w:rPr>
          <w:spacing w:val="-13"/>
          <w:sz w:val="22"/>
        </w:rPr>
        <w:t> </w:t>
      </w:r>
      <w:r>
        <w:rPr>
          <w:sz w:val="22"/>
        </w:rPr>
        <w:t>Nor</w:t>
      </w:r>
      <w:r>
        <w:rPr>
          <w:spacing w:val="-15"/>
          <w:sz w:val="22"/>
        </w:rPr>
        <w:t> </w:t>
      </w:r>
      <w:r>
        <w:rPr>
          <w:sz w:val="22"/>
        </w:rPr>
        <w:t>does</w:t>
      </w:r>
      <w:r>
        <w:rPr>
          <w:spacing w:val="-16"/>
          <w:sz w:val="22"/>
        </w:rPr>
        <w:t> </w:t>
      </w:r>
      <w:r>
        <w:rPr>
          <w:sz w:val="22"/>
        </w:rPr>
        <w:t>the</w:t>
      </w:r>
      <w:r>
        <w:rPr>
          <w:spacing w:val="-16"/>
          <w:sz w:val="22"/>
        </w:rPr>
        <w:t> </w:t>
      </w:r>
      <w:r>
        <w:rPr>
          <w:sz w:val="22"/>
        </w:rPr>
        <w:t>Act</w:t>
      </w:r>
      <w:r>
        <w:rPr>
          <w:spacing w:val="-15"/>
          <w:sz w:val="22"/>
        </w:rPr>
        <w:t> </w:t>
      </w:r>
      <w:r>
        <w:rPr>
          <w:sz w:val="22"/>
        </w:rPr>
        <w:t>require</w:t>
      </w:r>
      <w:r>
        <w:rPr>
          <w:spacing w:val="-16"/>
          <w:sz w:val="22"/>
        </w:rPr>
        <w:t> </w:t>
      </w:r>
      <w:r>
        <w:rPr>
          <w:sz w:val="22"/>
        </w:rPr>
        <w:t>preparation of a “plan” documenting the process, and consultations undertaken with PAPs. Finally,</w:t>
      </w:r>
      <w:r>
        <w:rPr>
          <w:spacing w:val="-39"/>
          <w:sz w:val="22"/>
        </w:rPr>
        <w:t> </w:t>
      </w:r>
      <w:r>
        <w:rPr>
          <w:sz w:val="22"/>
        </w:rPr>
        <w:t>the LAA does not entitle compensation to PAPs without title nor provides compensation </w:t>
      </w:r>
      <w:r>
        <w:rPr>
          <w:spacing w:val="2"/>
          <w:sz w:val="22"/>
        </w:rPr>
        <w:t>for </w:t>
      </w:r>
      <w:r>
        <w:rPr>
          <w:sz w:val="22"/>
        </w:rPr>
        <w:t>income losses caused by LAR. </w:t>
      </w:r>
      <w:r>
        <w:rPr>
          <w:b/>
          <w:sz w:val="22"/>
        </w:rPr>
        <w:t>Table 4 </w:t>
      </w:r>
      <w:r>
        <w:rPr>
          <w:sz w:val="22"/>
        </w:rPr>
        <w:t>summarizes the differences between the LAA and World Bank safeguards and the measures that need to be addressed to ensure the subproject implementation is fully consistent with the World Bank’s</w:t>
      </w:r>
      <w:r>
        <w:rPr>
          <w:spacing w:val="-30"/>
          <w:sz w:val="22"/>
        </w:rPr>
        <w:t> </w:t>
      </w:r>
      <w:r>
        <w:rPr>
          <w:sz w:val="22"/>
        </w:rPr>
        <w:t>requirements.</w:t>
      </w:r>
    </w:p>
    <w:p>
      <w:pPr>
        <w:spacing w:after="0" w:line="276" w:lineRule="auto"/>
        <w:jc w:val="both"/>
        <w:rPr>
          <w:sz w:val="22"/>
        </w:rPr>
        <w:sectPr>
          <w:pgSz w:w="11910" w:h="16840"/>
          <w:pgMar w:header="583" w:footer="575" w:top="840" w:bottom="760" w:left="860" w:right="1280"/>
        </w:sectPr>
      </w:pPr>
    </w:p>
    <w:p>
      <w:pPr>
        <w:pStyle w:val="BodyText"/>
        <w:rPr>
          <w:sz w:val="20"/>
        </w:rPr>
      </w:pPr>
    </w:p>
    <w:p>
      <w:pPr>
        <w:pStyle w:val="BodyText"/>
        <w:rPr>
          <w:sz w:val="20"/>
        </w:rPr>
      </w:pPr>
    </w:p>
    <w:p>
      <w:pPr>
        <w:pStyle w:val="BodyText"/>
        <w:spacing w:before="10"/>
        <w:rPr>
          <w:sz w:val="27"/>
        </w:rPr>
      </w:pPr>
    </w:p>
    <w:p>
      <w:pPr>
        <w:pStyle w:val="Heading3"/>
        <w:spacing w:before="93"/>
        <w:ind w:left="1072"/>
        <w:jc w:val="left"/>
      </w:pPr>
      <w:bookmarkStart w:name="_bookmark49" w:id="81"/>
      <w:bookmarkEnd w:id="81"/>
      <w:r>
        <w:rPr>
          <w:b w:val="0"/>
        </w:rPr>
      </w:r>
      <w:r>
        <w:rPr>
          <w:u w:val="thick"/>
        </w:rPr>
        <w:t>Table 4: Measures to Address LAA 1894 &amp; OP 4.12 Gaps Relevant to the Project</w:t>
      </w:r>
    </w:p>
    <w:p>
      <w:pPr>
        <w:pStyle w:val="BodyText"/>
        <w:spacing w:before="3"/>
        <w:rPr>
          <w:b/>
          <w:sz w:val="10"/>
        </w:rPr>
      </w:pPr>
    </w:p>
    <w:tbl>
      <w:tblPr>
        <w:tblW w:w="0" w:type="auto"/>
        <w:jc w:val="left"/>
        <w:tblInd w:w="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02"/>
        <w:gridCol w:w="2640"/>
        <w:gridCol w:w="3190"/>
      </w:tblGrid>
      <w:tr>
        <w:trPr>
          <w:trHeight w:val="876" w:hRule="exact"/>
        </w:trPr>
        <w:tc>
          <w:tcPr>
            <w:tcW w:w="2902" w:type="dxa"/>
            <w:shd w:val="clear" w:color="auto" w:fill="D9D9D9"/>
          </w:tcPr>
          <w:p>
            <w:pPr>
              <w:pStyle w:val="TableParagraph"/>
              <w:spacing w:before="57"/>
              <w:ind w:left="152" w:right="152"/>
              <w:jc w:val="center"/>
              <w:rPr>
                <w:b/>
                <w:sz w:val="20"/>
              </w:rPr>
            </w:pPr>
            <w:r>
              <w:rPr>
                <w:b/>
                <w:sz w:val="20"/>
              </w:rPr>
              <w:t>WB Involuntary Resettlement Policy OP 4.12</w:t>
            </w:r>
          </w:p>
        </w:tc>
        <w:tc>
          <w:tcPr>
            <w:tcW w:w="2640" w:type="dxa"/>
            <w:shd w:val="clear" w:color="auto" w:fill="D9D9D9"/>
          </w:tcPr>
          <w:p>
            <w:pPr>
              <w:pStyle w:val="TableParagraph"/>
              <w:spacing w:before="57"/>
              <w:ind w:left="283" w:right="286" w:firstLine="1"/>
              <w:jc w:val="center"/>
              <w:rPr>
                <w:b/>
                <w:sz w:val="20"/>
              </w:rPr>
            </w:pPr>
            <w:r>
              <w:rPr>
                <w:b/>
                <w:sz w:val="20"/>
              </w:rPr>
              <w:t>Pakistan, Land Acquisition Act</w:t>
            </w:r>
            <w:r>
              <w:rPr>
                <w:b/>
                <w:spacing w:val="-12"/>
                <w:sz w:val="20"/>
              </w:rPr>
              <w:t> </w:t>
            </w:r>
            <w:r>
              <w:rPr>
                <w:b/>
                <w:sz w:val="20"/>
              </w:rPr>
              <w:t>(LAA) 1894</w:t>
            </w:r>
          </w:p>
        </w:tc>
        <w:tc>
          <w:tcPr>
            <w:tcW w:w="3190" w:type="dxa"/>
            <w:shd w:val="clear" w:color="auto" w:fill="D9D9D9"/>
          </w:tcPr>
          <w:p>
            <w:pPr>
              <w:pStyle w:val="TableParagraph"/>
              <w:spacing w:before="57"/>
              <w:ind w:left="1126" w:hanging="716"/>
              <w:rPr>
                <w:b/>
                <w:sz w:val="20"/>
              </w:rPr>
            </w:pPr>
            <w:r>
              <w:rPr>
                <w:b/>
                <w:sz w:val="20"/>
              </w:rPr>
              <w:t>Proposed Gaps Bridging Measures</w:t>
            </w:r>
          </w:p>
        </w:tc>
      </w:tr>
      <w:tr>
        <w:trPr>
          <w:trHeight w:val="1562" w:hRule="exact"/>
        </w:trPr>
        <w:tc>
          <w:tcPr>
            <w:tcW w:w="2902" w:type="dxa"/>
          </w:tcPr>
          <w:p>
            <w:pPr>
              <w:pStyle w:val="TableParagraph"/>
              <w:spacing w:before="55"/>
              <w:ind w:left="148" w:right="152"/>
              <w:jc w:val="center"/>
              <w:rPr>
                <w:sz w:val="20"/>
              </w:rPr>
            </w:pPr>
            <w:r>
              <w:rPr>
                <w:sz w:val="20"/>
              </w:rPr>
              <w:t>Early screening of the project to identify social impacts and risks including a gender analysis, specifically related to resettlement impacts and risks.</w:t>
            </w:r>
          </w:p>
        </w:tc>
        <w:tc>
          <w:tcPr>
            <w:tcW w:w="2640" w:type="dxa"/>
          </w:tcPr>
          <w:p>
            <w:pPr>
              <w:pStyle w:val="TableParagraph"/>
              <w:spacing w:before="0"/>
              <w:rPr>
                <w:b/>
                <w:sz w:val="22"/>
              </w:rPr>
            </w:pPr>
          </w:p>
          <w:p>
            <w:pPr>
              <w:pStyle w:val="TableParagraph"/>
              <w:spacing w:before="147"/>
              <w:ind w:left="364" w:right="367" w:firstLine="1"/>
              <w:jc w:val="center"/>
              <w:rPr>
                <w:sz w:val="20"/>
              </w:rPr>
            </w:pPr>
            <w:r>
              <w:rPr>
                <w:sz w:val="20"/>
              </w:rPr>
              <w:t>No such condition mentioned for early screening in the</w:t>
            </w:r>
            <w:r>
              <w:rPr>
                <w:spacing w:val="-10"/>
                <w:sz w:val="20"/>
              </w:rPr>
              <w:t> </w:t>
            </w:r>
            <w:r>
              <w:rPr>
                <w:sz w:val="20"/>
              </w:rPr>
              <w:t>LAA.</w:t>
            </w:r>
          </w:p>
        </w:tc>
        <w:tc>
          <w:tcPr>
            <w:tcW w:w="3190" w:type="dxa"/>
          </w:tcPr>
          <w:p>
            <w:pPr>
              <w:pStyle w:val="TableParagraph"/>
              <w:spacing w:before="9"/>
              <w:rPr>
                <w:b/>
                <w:sz w:val="24"/>
              </w:rPr>
            </w:pPr>
          </w:p>
          <w:p>
            <w:pPr>
              <w:pStyle w:val="TableParagraph"/>
              <w:spacing w:before="0"/>
              <w:ind w:left="191" w:right="199" w:hanging="3"/>
              <w:jc w:val="center"/>
              <w:rPr>
                <w:sz w:val="20"/>
              </w:rPr>
            </w:pPr>
            <w:r>
              <w:rPr>
                <w:sz w:val="20"/>
              </w:rPr>
              <w:t>Project potential social impacts were screened and</w:t>
            </w:r>
            <w:r>
              <w:rPr>
                <w:spacing w:val="-12"/>
                <w:sz w:val="20"/>
              </w:rPr>
              <w:t> </w:t>
            </w:r>
            <w:r>
              <w:rPr>
                <w:sz w:val="20"/>
              </w:rPr>
              <w:t>categorized using a systematic methodological</w:t>
            </w:r>
            <w:r>
              <w:rPr>
                <w:spacing w:val="-10"/>
                <w:sz w:val="20"/>
              </w:rPr>
              <w:t> </w:t>
            </w:r>
            <w:r>
              <w:rPr>
                <w:sz w:val="20"/>
              </w:rPr>
              <w:t>approach.</w:t>
            </w:r>
          </w:p>
        </w:tc>
      </w:tr>
      <w:tr>
        <w:trPr>
          <w:trHeight w:val="1105" w:hRule="exact"/>
        </w:trPr>
        <w:tc>
          <w:tcPr>
            <w:tcW w:w="2902" w:type="dxa"/>
          </w:tcPr>
          <w:p>
            <w:pPr>
              <w:pStyle w:val="TableParagraph"/>
              <w:spacing w:before="57"/>
              <w:ind w:left="134" w:right="135" w:firstLine="1"/>
              <w:jc w:val="center"/>
              <w:rPr>
                <w:sz w:val="20"/>
              </w:rPr>
            </w:pPr>
            <w:r>
              <w:rPr>
                <w:sz w:val="20"/>
              </w:rPr>
              <w:t>Carry out meaningful consultations with PAPs, host communities, and concerned civil society organizations.</w:t>
            </w:r>
          </w:p>
        </w:tc>
        <w:tc>
          <w:tcPr>
            <w:tcW w:w="2640" w:type="dxa"/>
          </w:tcPr>
          <w:p>
            <w:pPr>
              <w:pStyle w:val="TableParagraph"/>
              <w:spacing w:before="172"/>
              <w:ind w:left="112" w:right="117"/>
              <w:jc w:val="center"/>
              <w:rPr>
                <w:sz w:val="20"/>
              </w:rPr>
            </w:pPr>
            <w:r>
              <w:rPr>
                <w:sz w:val="20"/>
              </w:rPr>
              <w:t>No formal consultation with PAPs and other stakeholders is required.</w:t>
            </w:r>
          </w:p>
        </w:tc>
        <w:tc>
          <w:tcPr>
            <w:tcW w:w="3190" w:type="dxa"/>
          </w:tcPr>
          <w:p>
            <w:pPr>
              <w:pStyle w:val="TableParagraph"/>
              <w:spacing w:before="172"/>
              <w:ind w:left="146" w:right="151" w:hanging="2"/>
              <w:jc w:val="center"/>
              <w:rPr>
                <w:sz w:val="20"/>
              </w:rPr>
            </w:pPr>
            <w:r>
              <w:rPr>
                <w:sz w:val="20"/>
              </w:rPr>
              <w:t>Key stakeholders and PAPs consultation during planning and design of the project.</w:t>
            </w:r>
          </w:p>
        </w:tc>
      </w:tr>
      <w:tr>
        <w:trPr>
          <w:trHeight w:val="1334" w:hRule="exact"/>
        </w:trPr>
        <w:tc>
          <w:tcPr>
            <w:tcW w:w="2902" w:type="dxa"/>
          </w:tcPr>
          <w:p>
            <w:pPr>
              <w:pStyle w:val="TableParagraph"/>
              <w:spacing w:before="0"/>
              <w:rPr>
                <w:b/>
                <w:sz w:val="22"/>
              </w:rPr>
            </w:pPr>
          </w:p>
          <w:p>
            <w:pPr>
              <w:pStyle w:val="TableParagraph"/>
              <w:spacing w:before="150"/>
              <w:ind w:left="304" w:right="154" w:hanging="132"/>
              <w:rPr>
                <w:sz w:val="20"/>
              </w:rPr>
            </w:pPr>
            <w:r>
              <w:rPr>
                <w:sz w:val="20"/>
              </w:rPr>
              <w:t>Lack of title should not be an excuse for compensation.</w:t>
            </w:r>
          </w:p>
        </w:tc>
        <w:tc>
          <w:tcPr>
            <w:tcW w:w="2640" w:type="dxa"/>
          </w:tcPr>
          <w:p>
            <w:pPr>
              <w:pStyle w:val="TableParagraph"/>
              <w:spacing w:before="172"/>
              <w:ind w:left="115" w:right="116" w:hanging="1"/>
              <w:jc w:val="center"/>
              <w:rPr>
                <w:sz w:val="20"/>
              </w:rPr>
            </w:pPr>
            <w:r>
              <w:rPr>
                <w:sz w:val="20"/>
              </w:rPr>
              <w:t>Titled land owners or holders of customary</w:t>
            </w:r>
            <w:r>
              <w:rPr>
                <w:spacing w:val="-12"/>
                <w:sz w:val="20"/>
              </w:rPr>
              <w:t> </w:t>
            </w:r>
            <w:r>
              <w:rPr>
                <w:sz w:val="20"/>
              </w:rPr>
              <w:t>rights are only recognized for compensation.</w:t>
            </w:r>
          </w:p>
        </w:tc>
        <w:tc>
          <w:tcPr>
            <w:tcW w:w="3190" w:type="dxa"/>
          </w:tcPr>
          <w:p>
            <w:pPr>
              <w:pStyle w:val="TableParagraph"/>
              <w:spacing w:before="57"/>
              <w:ind w:left="141" w:right="151" w:firstLine="4"/>
              <w:jc w:val="center"/>
              <w:rPr>
                <w:sz w:val="20"/>
              </w:rPr>
            </w:pPr>
            <w:r>
              <w:rPr>
                <w:sz w:val="20"/>
              </w:rPr>
              <w:t>Squatters, informal tenants/leaseholders are</w:t>
            </w:r>
            <w:r>
              <w:rPr>
                <w:spacing w:val="-13"/>
                <w:sz w:val="20"/>
              </w:rPr>
              <w:t> </w:t>
            </w:r>
            <w:r>
              <w:rPr>
                <w:sz w:val="20"/>
              </w:rPr>
              <w:t>entitled to compensation for loss of structures and livelihood and for relocation.</w:t>
            </w:r>
          </w:p>
        </w:tc>
      </w:tr>
      <w:tr>
        <w:trPr>
          <w:trHeight w:val="1565" w:hRule="exact"/>
        </w:trPr>
        <w:tc>
          <w:tcPr>
            <w:tcW w:w="2902" w:type="dxa"/>
          </w:tcPr>
          <w:p>
            <w:pPr>
              <w:pStyle w:val="TableParagraph"/>
              <w:spacing w:before="57"/>
              <w:ind w:left="129" w:right="129" w:hanging="1"/>
              <w:jc w:val="center"/>
              <w:rPr>
                <w:sz w:val="20"/>
              </w:rPr>
            </w:pPr>
            <w:r>
              <w:rPr>
                <w:sz w:val="20"/>
              </w:rPr>
              <w:t>Valuation of built-up structures is based on</w:t>
            </w:r>
            <w:r>
              <w:rPr>
                <w:spacing w:val="-9"/>
                <w:sz w:val="20"/>
              </w:rPr>
              <w:t> </w:t>
            </w:r>
            <w:r>
              <w:rPr>
                <w:sz w:val="20"/>
              </w:rPr>
              <w:t>current market value/cost of new construction of the</w:t>
            </w:r>
            <w:r>
              <w:rPr>
                <w:spacing w:val="-9"/>
                <w:sz w:val="20"/>
              </w:rPr>
              <w:t> </w:t>
            </w:r>
            <w:r>
              <w:rPr>
                <w:sz w:val="20"/>
              </w:rPr>
              <w:t>structure.</w:t>
            </w:r>
          </w:p>
          <w:p>
            <w:pPr>
              <w:pStyle w:val="TableParagraph"/>
              <w:spacing w:before="0"/>
              <w:ind w:left="152" w:right="152"/>
              <w:jc w:val="center"/>
              <w:rPr>
                <w:sz w:val="20"/>
              </w:rPr>
            </w:pPr>
            <w:r>
              <w:rPr>
                <w:sz w:val="20"/>
              </w:rPr>
              <w:t>PAPs can take the salvage material free of cost.</w:t>
            </w:r>
          </w:p>
        </w:tc>
        <w:tc>
          <w:tcPr>
            <w:tcW w:w="2640" w:type="dxa"/>
          </w:tcPr>
          <w:p>
            <w:pPr>
              <w:pStyle w:val="TableParagraph"/>
              <w:spacing w:before="57"/>
              <w:ind w:left="108" w:right="110" w:hanging="2"/>
              <w:jc w:val="center"/>
              <w:rPr>
                <w:sz w:val="20"/>
              </w:rPr>
            </w:pPr>
            <w:r>
              <w:rPr>
                <w:sz w:val="20"/>
              </w:rPr>
              <w:t>Valuation of structures based on official rates,</w:t>
            </w:r>
            <w:r>
              <w:rPr>
                <w:spacing w:val="-5"/>
                <w:sz w:val="20"/>
              </w:rPr>
              <w:t> </w:t>
            </w:r>
            <w:r>
              <w:rPr>
                <w:sz w:val="20"/>
              </w:rPr>
              <w:t>with depreciation deducted from gross value of the structure and 10 % for salvage</w:t>
            </w:r>
            <w:r>
              <w:rPr>
                <w:spacing w:val="-8"/>
                <w:sz w:val="20"/>
              </w:rPr>
              <w:t> </w:t>
            </w:r>
            <w:r>
              <w:rPr>
                <w:sz w:val="20"/>
              </w:rPr>
              <w:t>material.</w:t>
            </w:r>
          </w:p>
        </w:tc>
        <w:tc>
          <w:tcPr>
            <w:tcW w:w="3190" w:type="dxa"/>
          </w:tcPr>
          <w:p>
            <w:pPr>
              <w:pStyle w:val="TableParagraph"/>
              <w:spacing w:before="57"/>
              <w:ind w:left="256" w:right="266" w:firstLine="6"/>
              <w:jc w:val="center"/>
              <w:rPr>
                <w:sz w:val="20"/>
              </w:rPr>
            </w:pPr>
            <w:r>
              <w:rPr>
                <w:sz w:val="20"/>
              </w:rPr>
              <w:t>IA will ensure current market rates without any deduction of depreciation and salvage material.</w:t>
            </w:r>
          </w:p>
        </w:tc>
      </w:tr>
      <w:tr>
        <w:trPr>
          <w:trHeight w:val="2254" w:hRule="exact"/>
        </w:trPr>
        <w:tc>
          <w:tcPr>
            <w:tcW w:w="2902" w:type="dxa"/>
          </w:tcPr>
          <w:p>
            <w:pPr>
              <w:pStyle w:val="TableParagraph"/>
              <w:spacing w:before="55"/>
              <w:ind w:left="117" w:right="117" w:hanging="1"/>
              <w:jc w:val="center"/>
              <w:rPr>
                <w:sz w:val="20"/>
              </w:rPr>
            </w:pPr>
            <w:r>
              <w:rPr>
                <w:sz w:val="20"/>
              </w:rPr>
              <w:t>Complaints and grievances are resolved informally through community participation in the Grievance Redress Committees (GRC), local governments and CSOs.</w:t>
            </w:r>
          </w:p>
        </w:tc>
        <w:tc>
          <w:tcPr>
            <w:tcW w:w="2640" w:type="dxa"/>
          </w:tcPr>
          <w:p>
            <w:pPr>
              <w:pStyle w:val="TableParagraph"/>
              <w:spacing w:before="55"/>
              <w:ind w:left="163" w:right="165"/>
              <w:jc w:val="center"/>
              <w:rPr>
                <w:sz w:val="20"/>
              </w:rPr>
            </w:pPr>
            <w:r>
              <w:rPr>
                <w:sz w:val="20"/>
              </w:rPr>
              <w:t>The Revenue Department is the only authority to decide disputes and address complaints regarding quantification and assessment of compensation for the affected lands and other assets.</w:t>
            </w:r>
          </w:p>
        </w:tc>
        <w:tc>
          <w:tcPr>
            <w:tcW w:w="3190" w:type="dxa"/>
          </w:tcPr>
          <w:p>
            <w:pPr>
              <w:pStyle w:val="TableParagraph"/>
              <w:spacing w:before="55"/>
              <w:ind w:left="119" w:right="126" w:firstLine="1"/>
              <w:jc w:val="center"/>
              <w:rPr>
                <w:sz w:val="20"/>
              </w:rPr>
            </w:pPr>
            <w:r>
              <w:rPr>
                <w:sz w:val="20"/>
              </w:rPr>
              <w:t>SMTA will establish project based GRM and include GRC</w:t>
            </w:r>
            <w:r>
              <w:rPr>
                <w:spacing w:val="-8"/>
                <w:sz w:val="20"/>
              </w:rPr>
              <w:t> </w:t>
            </w:r>
            <w:r>
              <w:rPr>
                <w:sz w:val="20"/>
              </w:rPr>
              <w:t>for complaint</w:t>
            </w:r>
            <w:r>
              <w:rPr>
                <w:spacing w:val="-10"/>
                <w:sz w:val="20"/>
              </w:rPr>
              <w:t> </w:t>
            </w:r>
            <w:r>
              <w:rPr>
                <w:sz w:val="20"/>
              </w:rPr>
              <w:t>resolution.</w:t>
            </w:r>
          </w:p>
        </w:tc>
      </w:tr>
      <w:tr>
        <w:trPr>
          <w:trHeight w:val="2254" w:hRule="exact"/>
        </w:trPr>
        <w:tc>
          <w:tcPr>
            <w:tcW w:w="2902" w:type="dxa"/>
          </w:tcPr>
          <w:p>
            <w:pPr>
              <w:pStyle w:val="TableParagraph"/>
              <w:spacing w:before="55"/>
              <w:ind w:left="155" w:right="155" w:hanging="3"/>
              <w:jc w:val="center"/>
              <w:rPr>
                <w:sz w:val="20"/>
              </w:rPr>
            </w:pPr>
            <w:r>
              <w:rPr>
                <w:sz w:val="20"/>
              </w:rPr>
              <w:t>WB policy requires rehabilitation for lost losses, and for expenses incurred by the PAPs during the relocation process particular attention must be paid to the poor and vulnerable groups.</w:t>
            </w:r>
          </w:p>
        </w:tc>
        <w:tc>
          <w:tcPr>
            <w:tcW w:w="2640" w:type="dxa"/>
          </w:tcPr>
          <w:p>
            <w:pPr>
              <w:pStyle w:val="TableParagraph"/>
              <w:spacing w:before="55"/>
              <w:ind w:left="276" w:right="275" w:hanging="4"/>
              <w:jc w:val="center"/>
              <w:rPr>
                <w:sz w:val="20"/>
              </w:rPr>
            </w:pPr>
            <w:r>
              <w:rPr>
                <w:sz w:val="20"/>
              </w:rPr>
              <w:t>No provision for income/livelihood rehabilitation measure, allowances for severely affected APs and vulnerable groups, or resettlement expenses.</w:t>
            </w:r>
          </w:p>
        </w:tc>
        <w:tc>
          <w:tcPr>
            <w:tcW w:w="3190" w:type="dxa"/>
          </w:tcPr>
          <w:p>
            <w:pPr>
              <w:pStyle w:val="TableParagraph"/>
              <w:spacing w:before="55"/>
              <w:ind w:left="103" w:right="110" w:firstLine="3"/>
              <w:jc w:val="center"/>
              <w:rPr>
                <w:sz w:val="20"/>
              </w:rPr>
            </w:pPr>
            <w:r>
              <w:rPr>
                <w:sz w:val="20"/>
              </w:rPr>
              <w:t>Provision should be made to pay for resettlement expenses (transportation and transitional allowances), compensate for</w:t>
            </w:r>
            <w:r>
              <w:rPr>
                <w:spacing w:val="-13"/>
                <w:sz w:val="20"/>
              </w:rPr>
              <w:t> </w:t>
            </w:r>
            <w:r>
              <w:rPr>
                <w:sz w:val="20"/>
              </w:rPr>
              <w:t>loss of income, and provide support</w:t>
            </w:r>
            <w:r>
              <w:rPr>
                <w:spacing w:val="-13"/>
                <w:sz w:val="20"/>
              </w:rPr>
              <w:t> </w:t>
            </w:r>
            <w:r>
              <w:rPr>
                <w:sz w:val="20"/>
              </w:rPr>
              <w:t>to vulnerable persons and those severely impacted (considered to be those losing more than</w:t>
            </w:r>
            <w:r>
              <w:rPr>
                <w:spacing w:val="-11"/>
                <w:sz w:val="20"/>
              </w:rPr>
              <w:t> </w:t>
            </w:r>
            <w:r>
              <w:rPr>
                <w:sz w:val="20"/>
              </w:rPr>
              <w:t>10%</w:t>
            </w:r>
            <w:r>
              <w:rPr>
                <w:spacing w:val="-2"/>
                <w:sz w:val="20"/>
              </w:rPr>
              <w:t> </w:t>
            </w:r>
            <w:r>
              <w:rPr>
                <w:sz w:val="20"/>
              </w:rPr>
              <w:t>of</w:t>
            </w:r>
            <w:r>
              <w:rPr>
                <w:spacing w:val="1"/>
                <w:sz w:val="20"/>
              </w:rPr>
              <w:t> </w:t>
            </w:r>
            <w:r>
              <w:rPr>
                <w:sz w:val="20"/>
              </w:rPr>
              <w:t>their productive</w:t>
            </w:r>
            <w:r>
              <w:rPr>
                <w:spacing w:val="-9"/>
                <w:sz w:val="20"/>
              </w:rPr>
              <w:t> </w:t>
            </w:r>
            <w:r>
              <w:rPr>
                <w:sz w:val="20"/>
              </w:rPr>
              <w:t>assets).</w:t>
            </w:r>
          </w:p>
        </w:tc>
      </w:tr>
      <w:tr>
        <w:trPr>
          <w:trHeight w:val="874" w:hRule="exact"/>
        </w:trPr>
        <w:tc>
          <w:tcPr>
            <w:tcW w:w="2902" w:type="dxa"/>
          </w:tcPr>
          <w:p>
            <w:pPr>
              <w:pStyle w:val="TableParagraph"/>
              <w:spacing w:before="55"/>
              <w:ind w:left="148" w:right="152"/>
              <w:jc w:val="center"/>
              <w:rPr>
                <w:sz w:val="20"/>
              </w:rPr>
            </w:pPr>
            <w:r>
              <w:rPr>
                <w:sz w:val="20"/>
              </w:rPr>
              <w:t>Disclosure of draft &amp; final C&amp;LRP to PAPs and on World Bank Website</w:t>
            </w:r>
          </w:p>
        </w:tc>
        <w:tc>
          <w:tcPr>
            <w:tcW w:w="2640" w:type="dxa"/>
          </w:tcPr>
          <w:p>
            <w:pPr>
              <w:pStyle w:val="TableParagraph"/>
              <w:spacing w:before="55"/>
              <w:ind w:left="863" w:right="464" w:hanging="384"/>
              <w:rPr>
                <w:sz w:val="20"/>
              </w:rPr>
            </w:pPr>
            <w:r>
              <w:rPr>
                <w:sz w:val="20"/>
              </w:rPr>
              <w:t>No requirement for disclosure</w:t>
            </w:r>
          </w:p>
        </w:tc>
        <w:tc>
          <w:tcPr>
            <w:tcW w:w="3190" w:type="dxa"/>
          </w:tcPr>
          <w:p>
            <w:pPr>
              <w:pStyle w:val="TableParagraph"/>
              <w:spacing w:before="55"/>
              <w:ind w:left="103" w:right="109"/>
              <w:jc w:val="center"/>
              <w:rPr>
                <w:sz w:val="20"/>
              </w:rPr>
            </w:pPr>
            <w:r>
              <w:rPr>
                <w:sz w:val="20"/>
              </w:rPr>
              <w:t>Disclosure of C&amp;LRP at planning, design and implementation stages.</w:t>
            </w:r>
          </w:p>
        </w:tc>
      </w:tr>
    </w:tbl>
    <w:p>
      <w:pPr>
        <w:pStyle w:val="BodyText"/>
        <w:spacing w:before="10"/>
        <w:rPr>
          <w:b/>
          <w:sz w:val="20"/>
        </w:rPr>
      </w:pPr>
    </w:p>
    <w:p>
      <w:pPr>
        <w:pStyle w:val="Heading2"/>
        <w:tabs>
          <w:tab w:pos="1444" w:val="left" w:leader="none"/>
        </w:tabs>
        <w:ind w:left="868" w:firstLine="0"/>
        <w:jc w:val="left"/>
      </w:pPr>
      <w:bookmarkStart w:name="_bookmark50" w:id="82"/>
      <w:bookmarkEnd w:id="82"/>
      <w:r>
        <w:rPr>
          <w:b w:val="0"/>
        </w:rPr>
      </w:r>
      <w:r>
        <w:rPr/>
        <w:t>5.4</w:t>
        <w:tab/>
        <w:t>Gap Bridging</w:t>
      </w:r>
      <w:r>
        <w:rPr>
          <w:spacing w:val="-4"/>
        </w:rPr>
        <w:t> </w:t>
      </w:r>
      <w:r>
        <w:rPr/>
        <w:t>Measures</w:t>
      </w:r>
    </w:p>
    <w:p>
      <w:pPr>
        <w:pStyle w:val="ListParagraph"/>
        <w:numPr>
          <w:ilvl w:val="0"/>
          <w:numId w:val="26"/>
        </w:numPr>
        <w:tabs>
          <w:tab w:pos="1588" w:val="left" w:leader="none"/>
          <w:tab w:pos="1589" w:val="left" w:leader="none"/>
        </w:tabs>
        <w:spacing w:line="278" w:lineRule="auto" w:before="160" w:after="0"/>
        <w:ind w:left="868" w:right="176" w:firstLine="0"/>
        <w:jc w:val="left"/>
        <w:rPr>
          <w:sz w:val="22"/>
        </w:rPr>
      </w:pPr>
      <w:r>
        <w:rPr>
          <w:sz w:val="22"/>
        </w:rPr>
        <w:t>In order to establish a land acquisition and resettlement policy framework for the Project, which reconciles Pakistan’s legal and regulatory system for LAR (LAA 1894) </w:t>
      </w:r>
      <w:r>
        <w:rPr>
          <w:spacing w:val="9"/>
          <w:sz w:val="22"/>
        </w:rPr>
        <w:t> </w:t>
      </w:r>
      <w:r>
        <w:rPr>
          <w:sz w:val="22"/>
        </w:rPr>
        <w:t>and</w:t>
      </w:r>
    </w:p>
    <w:p>
      <w:pPr>
        <w:spacing w:after="0" w:line="278" w:lineRule="auto"/>
        <w:jc w:val="left"/>
        <w:rPr>
          <w:sz w:val="22"/>
        </w:rPr>
        <w:sectPr>
          <w:pgSz w:w="11910" w:h="16840"/>
          <w:pgMar w:header="583" w:footer="575" w:top="840" w:bottom="760" w:left="860" w:right="1260"/>
        </w:sectPr>
      </w:pPr>
    </w:p>
    <w:p>
      <w:pPr>
        <w:pStyle w:val="BodyText"/>
        <w:rPr>
          <w:sz w:val="20"/>
        </w:rPr>
      </w:pPr>
    </w:p>
    <w:p>
      <w:pPr>
        <w:pStyle w:val="BodyText"/>
        <w:rPr>
          <w:sz w:val="20"/>
        </w:rPr>
      </w:pPr>
    </w:p>
    <w:p>
      <w:pPr>
        <w:pStyle w:val="BodyText"/>
        <w:spacing w:before="10"/>
        <w:rPr>
          <w:sz w:val="27"/>
        </w:rPr>
      </w:pPr>
    </w:p>
    <w:p>
      <w:pPr>
        <w:pStyle w:val="BodyText"/>
        <w:spacing w:line="276" w:lineRule="auto" w:before="93"/>
        <w:ind w:left="868" w:right="157"/>
        <w:jc w:val="both"/>
      </w:pPr>
      <w:r>
        <w:rPr/>
        <w:t>World Bank’s OP 4.12, and addresses the gaps between the two systems, the following principles</w:t>
      </w:r>
      <w:r>
        <w:rPr>
          <w:spacing w:val="-4"/>
        </w:rPr>
        <w:t> </w:t>
      </w:r>
      <w:r>
        <w:rPr/>
        <w:t>(as</w:t>
      </w:r>
      <w:r>
        <w:rPr>
          <w:spacing w:val="-9"/>
        </w:rPr>
        <w:t> </w:t>
      </w:r>
      <w:r>
        <w:rPr/>
        <w:t>mentioned</w:t>
      </w:r>
      <w:r>
        <w:rPr>
          <w:spacing w:val="-9"/>
        </w:rPr>
        <w:t> </w:t>
      </w:r>
      <w:r>
        <w:rPr/>
        <w:t>under</w:t>
      </w:r>
      <w:r>
        <w:rPr>
          <w:spacing w:val="-5"/>
        </w:rPr>
        <w:t> </w:t>
      </w:r>
      <w:r>
        <w:rPr/>
        <w:t>the</w:t>
      </w:r>
      <w:r>
        <w:rPr>
          <w:spacing w:val="-7"/>
        </w:rPr>
        <w:t> </w:t>
      </w:r>
      <w:r>
        <w:rPr/>
        <w:t>project</w:t>
      </w:r>
      <w:r>
        <w:rPr>
          <w:spacing w:val="-3"/>
        </w:rPr>
        <w:t> </w:t>
      </w:r>
      <w:r>
        <w:rPr/>
        <w:t>LAR</w:t>
      </w:r>
      <w:r>
        <w:rPr>
          <w:spacing w:val="-7"/>
        </w:rPr>
        <w:t> </w:t>
      </w:r>
      <w:r>
        <w:rPr/>
        <w:t>policy</w:t>
      </w:r>
      <w:r>
        <w:rPr>
          <w:spacing w:val="-6"/>
        </w:rPr>
        <w:t> </w:t>
      </w:r>
      <w:r>
        <w:rPr/>
        <w:t>below)</w:t>
      </w:r>
      <w:r>
        <w:rPr>
          <w:spacing w:val="-3"/>
        </w:rPr>
        <w:t> </w:t>
      </w:r>
      <w:r>
        <w:rPr/>
        <w:t>will</w:t>
      </w:r>
      <w:r>
        <w:rPr>
          <w:spacing w:val="-5"/>
        </w:rPr>
        <w:t> </w:t>
      </w:r>
      <w:r>
        <w:rPr/>
        <w:t>be</w:t>
      </w:r>
      <w:r>
        <w:rPr>
          <w:spacing w:val="-4"/>
        </w:rPr>
        <w:t> </w:t>
      </w:r>
      <w:r>
        <w:rPr/>
        <w:t>adopted</w:t>
      </w:r>
      <w:r>
        <w:rPr>
          <w:spacing w:val="-4"/>
        </w:rPr>
        <w:t> </w:t>
      </w:r>
      <w:r>
        <w:rPr/>
        <w:t>and</w:t>
      </w:r>
      <w:r>
        <w:rPr>
          <w:spacing w:val="-6"/>
        </w:rPr>
        <w:t> </w:t>
      </w:r>
      <w:r>
        <w:rPr/>
        <w:t>reflected in the eligibility and entitlements provisions indicated in section 7 of the C&amp;LRP </w:t>
      </w:r>
      <w:r>
        <w:rPr>
          <w:spacing w:val="-3"/>
        </w:rPr>
        <w:t>on </w:t>
      </w:r>
      <w:r>
        <w:rPr/>
        <w:t>compensation</w:t>
      </w:r>
      <w:r>
        <w:rPr>
          <w:spacing w:val="-9"/>
        </w:rPr>
        <w:t> </w:t>
      </w:r>
      <w:r>
        <w:rPr/>
        <w:t>entitlements.</w:t>
      </w:r>
    </w:p>
    <w:p>
      <w:pPr>
        <w:pStyle w:val="BodyText"/>
        <w:spacing w:before="9"/>
        <w:rPr>
          <w:sz w:val="20"/>
        </w:rPr>
      </w:pPr>
    </w:p>
    <w:p>
      <w:pPr>
        <w:pStyle w:val="Heading3"/>
        <w:numPr>
          <w:ilvl w:val="2"/>
          <w:numId w:val="27"/>
        </w:numPr>
        <w:tabs>
          <w:tab w:pos="1589" w:val="left" w:leader="none"/>
        </w:tabs>
        <w:spacing w:line="240" w:lineRule="auto" w:before="1" w:after="0"/>
        <w:ind w:left="1588" w:right="0" w:hanging="720"/>
        <w:jc w:val="both"/>
      </w:pPr>
      <w:bookmarkStart w:name="_bookmark51" w:id="83"/>
      <w:bookmarkEnd w:id="83"/>
      <w:r>
        <w:rPr>
          <w:b w:val="0"/>
        </w:rPr>
      </w:r>
      <w:bookmarkStart w:name="_bookmark51" w:id="84"/>
      <w:bookmarkEnd w:id="84"/>
      <w:r>
        <w:rPr>
          <w:color w:val="0D0D0D"/>
        </w:rPr>
        <w:t>Li</w:t>
      </w:r>
      <w:r>
        <w:rPr>
          <w:color w:val="0D0D0D"/>
        </w:rPr>
        <w:t>velihood and Rehabilitation Assistance Policy for the</w:t>
      </w:r>
      <w:r>
        <w:rPr>
          <w:color w:val="0D0D0D"/>
          <w:spacing w:val="-13"/>
        </w:rPr>
        <w:t> </w:t>
      </w:r>
      <w:r>
        <w:rPr>
          <w:color w:val="0D0D0D"/>
        </w:rPr>
        <w:t>Project</w:t>
      </w:r>
    </w:p>
    <w:p>
      <w:pPr>
        <w:pStyle w:val="ListParagraph"/>
        <w:numPr>
          <w:ilvl w:val="0"/>
          <w:numId w:val="26"/>
        </w:numPr>
        <w:tabs>
          <w:tab w:pos="1589" w:val="left" w:leader="none"/>
        </w:tabs>
        <w:spacing w:line="276" w:lineRule="auto" w:before="157" w:after="0"/>
        <w:ind w:left="868" w:right="151" w:firstLine="0"/>
        <w:jc w:val="both"/>
        <w:rPr>
          <w:sz w:val="22"/>
        </w:rPr>
      </w:pPr>
      <w:r>
        <w:rPr>
          <w:sz w:val="22"/>
        </w:rPr>
        <w:t>Based on identified gaps between World Bank’s OP 4.12 requirements and LAA practice and procedures following LAR policy is formulated for the sub-projects to be implemented:</w:t>
      </w:r>
    </w:p>
    <w:p>
      <w:pPr>
        <w:pStyle w:val="ListParagraph"/>
        <w:numPr>
          <w:ilvl w:val="1"/>
          <w:numId w:val="26"/>
        </w:numPr>
        <w:tabs>
          <w:tab w:pos="1589" w:val="left" w:leader="none"/>
        </w:tabs>
        <w:spacing w:line="276" w:lineRule="auto" w:before="120" w:after="0"/>
        <w:ind w:left="1588" w:right="153" w:hanging="470"/>
        <w:jc w:val="both"/>
        <w:rPr>
          <w:sz w:val="22"/>
        </w:rPr>
      </w:pPr>
      <w:r>
        <w:rPr>
          <w:sz w:val="22"/>
        </w:rPr>
        <w:t>Avoid and minimize the need for physical and/or economic displacement through alternatives analysis and siting, re-alignment and other design</w:t>
      </w:r>
      <w:r>
        <w:rPr>
          <w:spacing w:val="-21"/>
          <w:sz w:val="22"/>
        </w:rPr>
        <w:t> </w:t>
      </w:r>
      <w:r>
        <w:rPr>
          <w:sz w:val="22"/>
        </w:rPr>
        <w:t>modifications;</w:t>
      </w:r>
    </w:p>
    <w:p>
      <w:pPr>
        <w:pStyle w:val="ListParagraph"/>
        <w:numPr>
          <w:ilvl w:val="1"/>
          <w:numId w:val="26"/>
        </w:numPr>
        <w:tabs>
          <w:tab w:pos="1589" w:val="left" w:leader="none"/>
        </w:tabs>
        <w:spacing w:line="276" w:lineRule="auto" w:before="0" w:after="0"/>
        <w:ind w:left="1588" w:right="155" w:hanging="518"/>
        <w:jc w:val="both"/>
        <w:rPr>
          <w:sz w:val="22"/>
        </w:rPr>
      </w:pPr>
      <w:r>
        <w:rPr>
          <w:sz w:val="22"/>
        </w:rPr>
        <w:t>Conduct appropriate consultation processes that achieve the free, prior and informed participation of affected people and communities in decision-making related to</w:t>
      </w:r>
      <w:r>
        <w:rPr>
          <w:spacing w:val="-5"/>
          <w:sz w:val="22"/>
        </w:rPr>
        <w:t> </w:t>
      </w:r>
      <w:r>
        <w:rPr>
          <w:sz w:val="22"/>
        </w:rPr>
        <w:t>resettlement.</w:t>
      </w:r>
    </w:p>
    <w:p>
      <w:pPr>
        <w:pStyle w:val="ListParagraph"/>
        <w:numPr>
          <w:ilvl w:val="1"/>
          <w:numId w:val="26"/>
        </w:numPr>
        <w:tabs>
          <w:tab w:pos="1651" w:val="left" w:leader="none"/>
        </w:tabs>
        <w:spacing w:line="276" w:lineRule="auto" w:before="0" w:after="0"/>
        <w:ind w:left="1588" w:right="162" w:hanging="569"/>
        <w:jc w:val="both"/>
        <w:rPr>
          <w:sz w:val="22"/>
        </w:rPr>
      </w:pPr>
      <w:r>
        <w:rPr>
          <w:sz w:val="22"/>
        </w:rPr>
        <w:t>Endeavour to ensure their continuing participation during implementation and monitoring/evaluation</w:t>
      </w:r>
    </w:p>
    <w:p>
      <w:pPr>
        <w:pStyle w:val="ListParagraph"/>
        <w:numPr>
          <w:ilvl w:val="1"/>
          <w:numId w:val="26"/>
        </w:numPr>
        <w:tabs>
          <w:tab w:pos="1589" w:val="left" w:leader="none"/>
        </w:tabs>
        <w:spacing w:line="276" w:lineRule="auto" w:before="0" w:after="0"/>
        <w:ind w:left="1588" w:right="156" w:hanging="581"/>
        <w:jc w:val="both"/>
        <w:rPr>
          <w:sz w:val="22"/>
        </w:rPr>
      </w:pPr>
      <w:r>
        <w:rPr>
          <w:sz w:val="22"/>
        </w:rPr>
        <w:t>Design and implement resettlement in a manner that gives physically and economically displaced people the opportunity to at least restore their livelihoods and standards of</w:t>
      </w:r>
      <w:r>
        <w:rPr>
          <w:spacing w:val="-10"/>
          <w:sz w:val="22"/>
        </w:rPr>
        <w:t> </w:t>
      </w:r>
      <w:r>
        <w:rPr>
          <w:sz w:val="22"/>
        </w:rPr>
        <w:t>living</w:t>
      </w:r>
    </w:p>
    <w:p>
      <w:pPr>
        <w:pStyle w:val="ListParagraph"/>
        <w:numPr>
          <w:ilvl w:val="1"/>
          <w:numId w:val="26"/>
        </w:numPr>
        <w:tabs>
          <w:tab w:pos="1589" w:val="left" w:leader="none"/>
        </w:tabs>
        <w:spacing w:line="276" w:lineRule="auto" w:before="0" w:after="0"/>
        <w:ind w:left="1588" w:right="156" w:hanging="530"/>
        <w:jc w:val="both"/>
        <w:rPr>
          <w:sz w:val="22"/>
        </w:rPr>
      </w:pPr>
      <w:r>
        <w:rPr>
          <w:sz w:val="22"/>
        </w:rPr>
        <w:t>Compensate</w:t>
      </w:r>
      <w:r>
        <w:rPr>
          <w:spacing w:val="-13"/>
          <w:sz w:val="22"/>
        </w:rPr>
        <w:t> </w:t>
      </w:r>
      <w:r>
        <w:rPr>
          <w:sz w:val="22"/>
        </w:rPr>
        <w:t>people</w:t>
      </w:r>
      <w:r>
        <w:rPr>
          <w:spacing w:val="-13"/>
          <w:sz w:val="22"/>
        </w:rPr>
        <w:t> </w:t>
      </w:r>
      <w:r>
        <w:rPr>
          <w:sz w:val="22"/>
        </w:rPr>
        <w:t>affected</w:t>
      </w:r>
      <w:r>
        <w:rPr>
          <w:spacing w:val="-14"/>
          <w:sz w:val="22"/>
        </w:rPr>
        <w:t> </w:t>
      </w:r>
      <w:r>
        <w:rPr>
          <w:sz w:val="22"/>
        </w:rPr>
        <w:t>by</w:t>
      </w:r>
      <w:r>
        <w:rPr>
          <w:spacing w:val="-16"/>
          <w:sz w:val="22"/>
        </w:rPr>
        <w:t> </w:t>
      </w:r>
      <w:r>
        <w:rPr>
          <w:sz w:val="22"/>
        </w:rPr>
        <w:t>displacement,</w:t>
      </w:r>
      <w:r>
        <w:rPr>
          <w:spacing w:val="-12"/>
          <w:sz w:val="22"/>
        </w:rPr>
        <w:t> </w:t>
      </w:r>
      <w:r>
        <w:rPr>
          <w:sz w:val="22"/>
        </w:rPr>
        <w:t>both</w:t>
      </w:r>
      <w:r>
        <w:rPr>
          <w:spacing w:val="-13"/>
          <w:sz w:val="22"/>
        </w:rPr>
        <w:t> </w:t>
      </w:r>
      <w:r>
        <w:rPr>
          <w:sz w:val="22"/>
        </w:rPr>
        <w:t>economic</w:t>
      </w:r>
      <w:r>
        <w:rPr>
          <w:spacing w:val="-13"/>
          <w:sz w:val="22"/>
        </w:rPr>
        <w:t> </w:t>
      </w:r>
      <w:r>
        <w:rPr>
          <w:sz w:val="22"/>
        </w:rPr>
        <w:t>and</w:t>
      </w:r>
      <w:r>
        <w:rPr>
          <w:spacing w:val="-13"/>
          <w:sz w:val="22"/>
        </w:rPr>
        <w:t> </w:t>
      </w:r>
      <w:r>
        <w:rPr>
          <w:sz w:val="22"/>
        </w:rPr>
        <w:t>physical,</w:t>
      </w:r>
      <w:r>
        <w:rPr>
          <w:spacing w:val="-15"/>
          <w:sz w:val="22"/>
        </w:rPr>
        <w:t> </w:t>
      </w:r>
      <w:r>
        <w:rPr>
          <w:sz w:val="22"/>
        </w:rPr>
        <w:t>for</w:t>
      </w:r>
      <w:r>
        <w:rPr>
          <w:spacing w:val="-13"/>
          <w:sz w:val="22"/>
        </w:rPr>
        <w:t> </w:t>
      </w:r>
      <w:r>
        <w:rPr>
          <w:sz w:val="22"/>
        </w:rPr>
        <w:t>loss of assets at full replacement</w:t>
      </w:r>
      <w:r>
        <w:rPr>
          <w:spacing w:val="-6"/>
          <w:sz w:val="22"/>
        </w:rPr>
        <w:t> </w:t>
      </w:r>
      <w:r>
        <w:rPr>
          <w:sz w:val="22"/>
        </w:rPr>
        <w:t>cost</w:t>
      </w:r>
    </w:p>
    <w:p>
      <w:pPr>
        <w:pStyle w:val="ListParagraph"/>
        <w:numPr>
          <w:ilvl w:val="1"/>
          <w:numId w:val="26"/>
        </w:numPr>
        <w:tabs>
          <w:tab w:pos="1589" w:val="left" w:leader="none"/>
        </w:tabs>
        <w:spacing w:line="278" w:lineRule="auto" w:before="0" w:after="0"/>
        <w:ind w:left="1588" w:right="158" w:hanging="581"/>
        <w:jc w:val="both"/>
        <w:rPr>
          <w:sz w:val="22"/>
        </w:rPr>
      </w:pPr>
      <w:r>
        <w:rPr>
          <w:sz w:val="22"/>
        </w:rPr>
        <w:t>Identify and provide special assistance to people who are especially vulnerable to displacement</w:t>
      </w:r>
      <w:r>
        <w:rPr>
          <w:spacing w:val="-4"/>
          <w:sz w:val="22"/>
        </w:rPr>
        <w:t> </w:t>
      </w:r>
      <w:r>
        <w:rPr>
          <w:sz w:val="22"/>
        </w:rPr>
        <w:t>impacts;</w:t>
      </w:r>
    </w:p>
    <w:p>
      <w:pPr>
        <w:pStyle w:val="ListParagraph"/>
        <w:numPr>
          <w:ilvl w:val="1"/>
          <w:numId w:val="26"/>
        </w:numPr>
        <w:tabs>
          <w:tab w:pos="1589" w:val="left" w:leader="none"/>
        </w:tabs>
        <w:spacing w:line="276" w:lineRule="auto" w:before="0" w:after="0"/>
        <w:ind w:left="1588" w:right="155" w:hanging="629"/>
        <w:jc w:val="both"/>
        <w:rPr>
          <w:sz w:val="22"/>
        </w:rPr>
      </w:pPr>
      <w:r>
        <w:rPr>
          <w:sz w:val="22"/>
        </w:rPr>
        <w:t>Provide measures to support the physical relocation and re-establishment </w:t>
      </w:r>
      <w:r>
        <w:rPr>
          <w:spacing w:val="-3"/>
          <w:sz w:val="22"/>
        </w:rPr>
        <w:t>of </w:t>
      </w:r>
      <w:r>
        <w:rPr>
          <w:sz w:val="22"/>
        </w:rPr>
        <w:t>communities</w:t>
      </w:r>
    </w:p>
    <w:p>
      <w:pPr>
        <w:pStyle w:val="ListParagraph"/>
        <w:numPr>
          <w:ilvl w:val="1"/>
          <w:numId w:val="26"/>
        </w:numPr>
        <w:tabs>
          <w:tab w:pos="1589" w:val="left" w:leader="none"/>
        </w:tabs>
        <w:spacing w:line="240" w:lineRule="auto" w:before="3" w:after="0"/>
        <w:ind w:left="1588" w:right="0" w:hanging="677"/>
        <w:jc w:val="both"/>
        <w:rPr>
          <w:sz w:val="22"/>
        </w:rPr>
      </w:pPr>
      <w:r>
        <w:rPr>
          <w:sz w:val="22"/>
        </w:rPr>
        <w:t>Improve the living conditions of physically displaced</w:t>
      </w:r>
      <w:r>
        <w:rPr>
          <w:spacing w:val="-14"/>
          <w:sz w:val="22"/>
        </w:rPr>
        <w:t> </w:t>
      </w:r>
      <w:r>
        <w:rPr>
          <w:sz w:val="22"/>
        </w:rPr>
        <w:t>households;</w:t>
      </w:r>
    </w:p>
    <w:p>
      <w:pPr>
        <w:pStyle w:val="ListParagraph"/>
        <w:numPr>
          <w:ilvl w:val="1"/>
          <w:numId w:val="26"/>
        </w:numPr>
        <w:tabs>
          <w:tab w:pos="1589" w:val="left" w:leader="none"/>
        </w:tabs>
        <w:spacing w:line="276" w:lineRule="auto" w:before="37" w:after="0"/>
        <w:ind w:left="1588" w:right="160" w:hanging="581"/>
        <w:jc w:val="both"/>
        <w:rPr>
          <w:sz w:val="22"/>
        </w:rPr>
      </w:pPr>
      <w:r>
        <w:rPr>
          <w:sz w:val="22"/>
        </w:rPr>
        <w:t>Carefully monitor and evaluate activities to ensure that resettlement measures are meeting the needs of affected people and to identify the need for corrective measures. Implement corrective measures as</w:t>
      </w:r>
      <w:r>
        <w:rPr>
          <w:spacing w:val="-14"/>
          <w:sz w:val="22"/>
        </w:rPr>
        <w:t> </w:t>
      </w:r>
      <w:r>
        <w:rPr>
          <w:sz w:val="22"/>
        </w:rPr>
        <w:t>required;</w:t>
      </w:r>
    </w:p>
    <w:p>
      <w:pPr>
        <w:pStyle w:val="ListParagraph"/>
        <w:numPr>
          <w:ilvl w:val="1"/>
          <w:numId w:val="26"/>
        </w:numPr>
        <w:tabs>
          <w:tab w:pos="1589" w:val="left" w:leader="none"/>
        </w:tabs>
        <w:spacing w:line="276" w:lineRule="auto" w:before="0" w:after="0"/>
        <w:ind w:left="1588" w:right="157" w:hanging="530"/>
        <w:jc w:val="both"/>
        <w:rPr>
          <w:sz w:val="22"/>
        </w:rPr>
      </w:pPr>
      <w:r>
        <w:rPr>
          <w:sz w:val="22"/>
        </w:rPr>
        <w:t>Gender sensitive grievance redress system with women participation will be ensured</w:t>
      </w:r>
      <w:r>
        <w:rPr>
          <w:spacing w:val="-6"/>
          <w:sz w:val="22"/>
        </w:rPr>
        <w:t> </w:t>
      </w:r>
      <w:r>
        <w:rPr>
          <w:sz w:val="22"/>
        </w:rPr>
        <w:t>to</w:t>
      </w:r>
      <w:r>
        <w:rPr>
          <w:spacing w:val="-6"/>
          <w:sz w:val="22"/>
        </w:rPr>
        <w:t> </w:t>
      </w:r>
      <w:r>
        <w:rPr>
          <w:sz w:val="22"/>
        </w:rPr>
        <w:t>facilitate</w:t>
      </w:r>
      <w:r>
        <w:rPr>
          <w:spacing w:val="-6"/>
          <w:sz w:val="22"/>
        </w:rPr>
        <w:t> </w:t>
      </w:r>
      <w:r>
        <w:rPr>
          <w:sz w:val="22"/>
        </w:rPr>
        <w:t>the</w:t>
      </w:r>
      <w:r>
        <w:rPr>
          <w:spacing w:val="-4"/>
          <w:sz w:val="22"/>
        </w:rPr>
        <w:t> </w:t>
      </w:r>
      <w:r>
        <w:rPr>
          <w:sz w:val="22"/>
        </w:rPr>
        <w:t>aggrieved</w:t>
      </w:r>
      <w:r>
        <w:rPr>
          <w:spacing w:val="-4"/>
          <w:sz w:val="22"/>
        </w:rPr>
        <w:t> </w:t>
      </w:r>
      <w:r>
        <w:rPr>
          <w:sz w:val="22"/>
        </w:rPr>
        <w:t>women</w:t>
      </w:r>
      <w:r>
        <w:rPr>
          <w:spacing w:val="-4"/>
          <w:sz w:val="22"/>
        </w:rPr>
        <w:t> </w:t>
      </w:r>
      <w:r>
        <w:rPr>
          <w:sz w:val="22"/>
        </w:rPr>
        <w:t>(if</w:t>
      </w:r>
      <w:r>
        <w:rPr>
          <w:spacing w:val="-3"/>
          <w:sz w:val="22"/>
        </w:rPr>
        <w:t> </w:t>
      </w:r>
      <w:r>
        <w:rPr>
          <w:sz w:val="22"/>
        </w:rPr>
        <w:t>any)</w:t>
      </w:r>
      <w:r>
        <w:rPr>
          <w:spacing w:val="-5"/>
          <w:sz w:val="22"/>
        </w:rPr>
        <w:t> </w:t>
      </w:r>
      <w:r>
        <w:rPr>
          <w:sz w:val="22"/>
        </w:rPr>
        <w:t>to</w:t>
      </w:r>
      <w:r>
        <w:rPr>
          <w:spacing w:val="-4"/>
          <w:sz w:val="22"/>
        </w:rPr>
        <w:t> </w:t>
      </w:r>
      <w:r>
        <w:rPr>
          <w:sz w:val="22"/>
        </w:rPr>
        <w:t>lodge</w:t>
      </w:r>
      <w:r>
        <w:rPr>
          <w:spacing w:val="-4"/>
          <w:sz w:val="22"/>
        </w:rPr>
        <w:t> </w:t>
      </w:r>
      <w:r>
        <w:rPr>
          <w:sz w:val="22"/>
        </w:rPr>
        <w:t>complaints</w:t>
      </w:r>
      <w:r>
        <w:rPr>
          <w:spacing w:val="-3"/>
          <w:sz w:val="22"/>
        </w:rPr>
        <w:t> </w:t>
      </w:r>
      <w:r>
        <w:rPr>
          <w:sz w:val="22"/>
        </w:rPr>
        <w:t>and</w:t>
      </w:r>
      <w:r>
        <w:rPr>
          <w:spacing w:val="-9"/>
          <w:sz w:val="22"/>
        </w:rPr>
        <w:t> </w:t>
      </w:r>
      <w:r>
        <w:rPr>
          <w:sz w:val="22"/>
        </w:rPr>
        <w:t>get</w:t>
      </w:r>
      <w:r>
        <w:rPr>
          <w:spacing w:val="-3"/>
          <w:sz w:val="22"/>
        </w:rPr>
        <w:t> </w:t>
      </w:r>
      <w:r>
        <w:rPr>
          <w:sz w:val="22"/>
        </w:rPr>
        <w:t>their concerns</w:t>
      </w:r>
      <w:r>
        <w:rPr>
          <w:spacing w:val="-4"/>
          <w:sz w:val="22"/>
        </w:rPr>
        <w:t> </w:t>
      </w:r>
      <w:r>
        <w:rPr>
          <w:sz w:val="22"/>
        </w:rPr>
        <w:t>resolved.</w:t>
      </w:r>
    </w:p>
    <w:p>
      <w:pPr>
        <w:pStyle w:val="BodyText"/>
        <w:spacing w:before="10"/>
        <w:rPr>
          <w:sz w:val="20"/>
        </w:rPr>
      </w:pPr>
    </w:p>
    <w:p>
      <w:pPr>
        <w:pStyle w:val="Heading3"/>
        <w:numPr>
          <w:ilvl w:val="2"/>
          <w:numId w:val="27"/>
        </w:numPr>
        <w:tabs>
          <w:tab w:pos="1589" w:val="left" w:leader="none"/>
        </w:tabs>
        <w:spacing w:line="240" w:lineRule="auto" w:before="0" w:after="0"/>
        <w:ind w:left="1588" w:right="0" w:hanging="720"/>
        <w:jc w:val="both"/>
      </w:pPr>
      <w:bookmarkStart w:name="_bookmark52" w:id="85"/>
      <w:bookmarkEnd w:id="85"/>
      <w:r>
        <w:rPr>
          <w:b w:val="0"/>
        </w:rPr>
      </w:r>
      <w:bookmarkStart w:name="_bookmark52" w:id="86"/>
      <w:bookmarkEnd w:id="86"/>
      <w:r>
        <w:rPr>
          <w:color w:val="0D0D0D"/>
        </w:rPr>
        <w:t>S</w:t>
      </w:r>
      <w:r>
        <w:rPr>
          <w:color w:val="0D0D0D"/>
        </w:rPr>
        <w:t>pecific Provisions for disadvantaged or vulnerable</w:t>
      </w:r>
      <w:r>
        <w:rPr>
          <w:color w:val="0D0D0D"/>
          <w:spacing w:val="-14"/>
        </w:rPr>
        <w:t> </w:t>
      </w:r>
      <w:r>
        <w:rPr>
          <w:color w:val="0D0D0D"/>
        </w:rPr>
        <w:t>individuals/groups</w:t>
      </w:r>
    </w:p>
    <w:p>
      <w:pPr>
        <w:pStyle w:val="ListParagraph"/>
        <w:numPr>
          <w:ilvl w:val="0"/>
          <w:numId w:val="26"/>
        </w:numPr>
        <w:tabs>
          <w:tab w:pos="1589" w:val="left" w:leader="none"/>
        </w:tabs>
        <w:spacing w:line="276" w:lineRule="auto" w:before="157" w:after="0"/>
        <w:ind w:left="868" w:right="154" w:firstLine="0"/>
        <w:jc w:val="both"/>
        <w:rPr>
          <w:sz w:val="22"/>
        </w:rPr>
      </w:pPr>
      <w:r>
        <w:rPr>
          <w:sz w:val="22"/>
        </w:rPr>
        <w:t>One of the key OP 4.12 requirements on involuntary resettlement is to improve the standards of living of the displaced poor and other vulnerable groups who may</w:t>
      </w:r>
      <w:r>
        <w:rPr>
          <w:spacing w:val="-35"/>
          <w:sz w:val="22"/>
        </w:rPr>
        <w:t> </w:t>
      </w:r>
      <w:r>
        <w:rPr>
          <w:sz w:val="22"/>
        </w:rPr>
        <w:t>experience adverse impacts disadvantageously from subproject intervention because of their disadvantaged/vulnerable</w:t>
      </w:r>
      <w:r>
        <w:rPr>
          <w:spacing w:val="-5"/>
          <w:sz w:val="22"/>
        </w:rPr>
        <w:t> </w:t>
      </w:r>
      <w:r>
        <w:rPr>
          <w:sz w:val="22"/>
        </w:rPr>
        <w:t>status.</w:t>
      </w:r>
      <w:r>
        <w:rPr>
          <w:spacing w:val="-5"/>
          <w:sz w:val="22"/>
        </w:rPr>
        <w:t> </w:t>
      </w:r>
      <w:r>
        <w:rPr>
          <w:sz w:val="22"/>
        </w:rPr>
        <w:t>Typically,</w:t>
      </w:r>
      <w:r>
        <w:rPr>
          <w:spacing w:val="-4"/>
          <w:sz w:val="22"/>
        </w:rPr>
        <w:t> </w:t>
      </w:r>
      <w:r>
        <w:rPr>
          <w:sz w:val="22"/>
        </w:rPr>
        <w:t>those</w:t>
      </w:r>
      <w:r>
        <w:rPr>
          <w:spacing w:val="-7"/>
          <w:sz w:val="22"/>
        </w:rPr>
        <w:t> </w:t>
      </w:r>
      <w:r>
        <w:rPr>
          <w:sz w:val="22"/>
        </w:rPr>
        <w:t>below</w:t>
      </w:r>
      <w:r>
        <w:rPr>
          <w:spacing w:val="-8"/>
          <w:sz w:val="22"/>
        </w:rPr>
        <w:t> </w:t>
      </w:r>
      <w:r>
        <w:rPr>
          <w:sz w:val="22"/>
        </w:rPr>
        <w:t>poverty</w:t>
      </w:r>
      <w:r>
        <w:rPr>
          <w:spacing w:val="-7"/>
          <w:sz w:val="22"/>
        </w:rPr>
        <w:t> </w:t>
      </w:r>
      <w:r>
        <w:rPr>
          <w:sz w:val="22"/>
        </w:rPr>
        <w:t>line,</w:t>
      </w:r>
      <w:r>
        <w:rPr>
          <w:spacing w:val="-4"/>
          <w:sz w:val="22"/>
        </w:rPr>
        <w:t> </w:t>
      </w:r>
      <w:r>
        <w:rPr>
          <w:sz w:val="22"/>
        </w:rPr>
        <w:t>the</w:t>
      </w:r>
      <w:r>
        <w:rPr>
          <w:spacing w:val="-8"/>
          <w:sz w:val="22"/>
        </w:rPr>
        <w:t> </w:t>
      </w:r>
      <w:r>
        <w:rPr>
          <w:sz w:val="22"/>
        </w:rPr>
        <w:t>landless</w:t>
      </w:r>
      <w:r>
        <w:rPr>
          <w:spacing w:val="-5"/>
          <w:sz w:val="22"/>
        </w:rPr>
        <w:t> </w:t>
      </w:r>
      <w:r>
        <w:rPr>
          <w:sz w:val="22"/>
        </w:rPr>
        <w:t>or</w:t>
      </w:r>
      <w:r>
        <w:rPr>
          <w:spacing w:val="-7"/>
          <w:sz w:val="22"/>
        </w:rPr>
        <w:t> </w:t>
      </w:r>
      <w:r>
        <w:rPr>
          <w:sz w:val="22"/>
        </w:rPr>
        <w:t>those without a title to land, the elderly, female headed households, women, transgender and children, comprise the disadvantaged or vulnerable groups within a subproject’s displaced population.</w:t>
      </w:r>
    </w:p>
    <w:p>
      <w:pPr>
        <w:pStyle w:val="ListParagraph"/>
        <w:numPr>
          <w:ilvl w:val="0"/>
          <w:numId w:val="26"/>
        </w:numPr>
        <w:tabs>
          <w:tab w:pos="1589" w:val="left" w:leader="none"/>
        </w:tabs>
        <w:spacing w:line="276" w:lineRule="auto" w:before="122" w:after="0"/>
        <w:ind w:left="868" w:right="156" w:firstLine="0"/>
        <w:jc w:val="both"/>
        <w:rPr>
          <w:sz w:val="22"/>
        </w:rPr>
      </w:pPr>
      <w:r>
        <w:rPr>
          <w:sz w:val="22"/>
        </w:rPr>
        <w:t>To identify vulnerable persons/households, the following vulnerability indicators have</w:t>
      </w:r>
      <w:r>
        <w:rPr>
          <w:spacing w:val="-11"/>
          <w:sz w:val="22"/>
        </w:rPr>
        <w:t> </w:t>
      </w:r>
      <w:r>
        <w:rPr>
          <w:sz w:val="22"/>
        </w:rPr>
        <w:t>been</w:t>
      </w:r>
      <w:r>
        <w:rPr>
          <w:spacing w:val="-11"/>
          <w:sz w:val="22"/>
        </w:rPr>
        <w:t> </w:t>
      </w:r>
      <w:r>
        <w:rPr>
          <w:sz w:val="22"/>
        </w:rPr>
        <w:t>established</w:t>
      </w:r>
      <w:r>
        <w:rPr>
          <w:spacing w:val="-11"/>
          <w:sz w:val="22"/>
        </w:rPr>
        <w:t> </w:t>
      </w:r>
      <w:r>
        <w:rPr>
          <w:sz w:val="22"/>
        </w:rPr>
        <w:t>for</w:t>
      </w:r>
      <w:r>
        <w:rPr>
          <w:spacing w:val="-10"/>
          <w:sz w:val="22"/>
        </w:rPr>
        <w:t> </w:t>
      </w:r>
      <w:r>
        <w:rPr>
          <w:sz w:val="22"/>
        </w:rPr>
        <w:t>the</w:t>
      </w:r>
      <w:r>
        <w:rPr>
          <w:spacing w:val="-10"/>
          <w:sz w:val="22"/>
        </w:rPr>
        <w:t> </w:t>
      </w:r>
      <w:r>
        <w:rPr>
          <w:sz w:val="22"/>
        </w:rPr>
        <w:t>Yellow</w:t>
      </w:r>
      <w:r>
        <w:rPr>
          <w:spacing w:val="-15"/>
          <w:sz w:val="22"/>
        </w:rPr>
        <w:t> </w:t>
      </w:r>
      <w:r>
        <w:rPr>
          <w:sz w:val="22"/>
        </w:rPr>
        <w:t>BRT</w:t>
      </w:r>
      <w:r>
        <w:rPr>
          <w:spacing w:val="-9"/>
          <w:sz w:val="22"/>
        </w:rPr>
        <w:t> </w:t>
      </w:r>
      <w:r>
        <w:rPr>
          <w:sz w:val="22"/>
        </w:rPr>
        <w:t>Corridor</w:t>
      </w:r>
      <w:r>
        <w:rPr>
          <w:spacing w:val="-10"/>
          <w:sz w:val="22"/>
        </w:rPr>
        <w:t> </w:t>
      </w:r>
      <w:r>
        <w:rPr>
          <w:sz w:val="22"/>
        </w:rPr>
        <w:t>Project</w:t>
      </w:r>
      <w:r>
        <w:rPr>
          <w:spacing w:val="-10"/>
          <w:sz w:val="22"/>
        </w:rPr>
        <w:t> </w:t>
      </w:r>
      <w:r>
        <w:rPr>
          <w:sz w:val="22"/>
        </w:rPr>
        <w:t>and</w:t>
      </w:r>
      <w:r>
        <w:rPr>
          <w:spacing w:val="-11"/>
          <w:sz w:val="22"/>
        </w:rPr>
        <w:t> </w:t>
      </w:r>
      <w:r>
        <w:rPr>
          <w:sz w:val="22"/>
        </w:rPr>
        <w:t>the</w:t>
      </w:r>
      <w:r>
        <w:rPr>
          <w:spacing w:val="-11"/>
          <w:sz w:val="22"/>
        </w:rPr>
        <w:t> </w:t>
      </w:r>
      <w:r>
        <w:rPr>
          <w:sz w:val="22"/>
        </w:rPr>
        <w:t>households’</w:t>
      </w:r>
      <w:r>
        <w:rPr>
          <w:spacing w:val="-12"/>
          <w:sz w:val="22"/>
        </w:rPr>
        <w:t> </w:t>
      </w:r>
      <w:r>
        <w:rPr>
          <w:sz w:val="22"/>
        </w:rPr>
        <w:t>exhibit</w:t>
      </w:r>
      <w:r>
        <w:rPr>
          <w:spacing w:val="-10"/>
          <w:sz w:val="22"/>
        </w:rPr>
        <w:t> </w:t>
      </w:r>
      <w:r>
        <w:rPr>
          <w:sz w:val="22"/>
        </w:rPr>
        <w:t>one or a combination of the conditions below will be termed as</w:t>
      </w:r>
      <w:r>
        <w:rPr>
          <w:spacing w:val="-20"/>
          <w:sz w:val="22"/>
        </w:rPr>
        <w:t> </w:t>
      </w:r>
      <w:r>
        <w:rPr>
          <w:sz w:val="22"/>
        </w:rPr>
        <w:t>vulnerable:</w:t>
      </w:r>
    </w:p>
    <w:p>
      <w:pPr>
        <w:spacing w:after="0" w:line="276" w:lineRule="auto"/>
        <w:jc w:val="both"/>
        <w:rPr>
          <w:sz w:val="22"/>
        </w:rPr>
        <w:sectPr>
          <w:pgSz w:w="11910" w:h="16840"/>
          <w:pgMar w:header="583" w:footer="575" w:top="840" w:bottom="760" w:left="860" w:right="1280"/>
        </w:sectPr>
      </w:pPr>
    </w:p>
    <w:p>
      <w:pPr>
        <w:pStyle w:val="BodyText"/>
        <w:rPr>
          <w:sz w:val="20"/>
        </w:rPr>
      </w:pPr>
    </w:p>
    <w:p>
      <w:pPr>
        <w:pStyle w:val="BodyText"/>
        <w:rPr>
          <w:sz w:val="20"/>
        </w:rPr>
      </w:pPr>
    </w:p>
    <w:p>
      <w:pPr>
        <w:pStyle w:val="BodyText"/>
        <w:spacing w:before="10"/>
        <w:rPr>
          <w:sz w:val="27"/>
        </w:rPr>
      </w:pPr>
    </w:p>
    <w:p>
      <w:pPr>
        <w:pStyle w:val="ListParagraph"/>
        <w:numPr>
          <w:ilvl w:val="0"/>
          <w:numId w:val="26"/>
        </w:numPr>
        <w:tabs>
          <w:tab w:pos="1589" w:val="left" w:leader="none"/>
        </w:tabs>
        <w:spacing w:line="276" w:lineRule="auto" w:before="93" w:after="0"/>
        <w:ind w:left="868" w:right="160" w:firstLine="0"/>
        <w:jc w:val="both"/>
        <w:rPr>
          <w:sz w:val="22"/>
        </w:rPr>
      </w:pPr>
      <w:r>
        <w:rPr>
          <w:sz w:val="22"/>
        </w:rPr>
        <w:t>The poor with their income level equal to or below minimum wage officially announced by the Government of Sindh as PKR</w:t>
      </w:r>
      <w:r>
        <w:rPr>
          <w:spacing w:val="-8"/>
          <w:sz w:val="22"/>
        </w:rPr>
        <w:t> </w:t>
      </w:r>
      <w:r>
        <w:rPr>
          <w:sz w:val="22"/>
        </w:rPr>
        <w:t>16,000.</w:t>
      </w:r>
    </w:p>
    <w:p>
      <w:pPr>
        <w:pStyle w:val="ListParagraph"/>
        <w:numPr>
          <w:ilvl w:val="0"/>
          <w:numId w:val="26"/>
        </w:numPr>
        <w:tabs>
          <w:tab w:pos="1589" w:val="left" w:leader="none"/>
        </w:tabs>
        <w:spacing w:line="278" w:lineRule="auto" w:before="120" w:after="0"/>
        <w:ind w:left="868" w:right="156" w:firstLine="0"/>
        <w:jc w:val="both"/>
        <w:rPr>
          <w:sz w:val="22"/>
        </w:rPr>
      </w:pPr>
      <w:r>
        <w:rPr>
          <w:sz w:val="22"/>
        </w:rPr>
        <w:t>The</w:t>
      </w:r>
      <w:r>
        <w:rPr>
          <w:spacing w:val="-11"/>
          <w:sz w:val="22"/>
        </w:rPr>
        <w:t> </w:t>
      </w:r>
      <w:r>
        <w:rPr>
          <w:sz w:val="22"/>
        </w:rPr>
        <w:t>disabled</w:t>
      </w:r>
      <w:r>
        <w:rPr>
          <w:spacing w:val="-11"/>
          <w:sz w:val="22"/>
        </w:rPr>
        <w:t> </w:t>
      </w:r>
      <w:r>
        <w:rPr>
          <w:sz w:val="22"/>
        </w:rPr>
        <w:t>elderly</w:t>
      </w:r>
      <w:r>
        <w:rPr>
          <w:spacing w:val="-11"/>
          <w:sz w:val="22"/>
        </w:rPr>
        <w:t> </w:t>
      </w:r>
      <w:r>
        <w:rPr>
          <w:sz w:val="22"/>
        </w:rPr>
        <w:t>and</w:t>
      </w:r>
      <w:r>
        <w:rPr>
          <w:spacing w:val="-14"/>
          <w:sz w:val="22"/>
        </w:rPr>
        <w:t> </w:t>
      </w:r>
      <w:r>
        <w:rPr>
          <w:sz w:val="22"/>
        </w:rPr>
        <w:t>female</w:t>
      </w:r>
      <w:r>
        <w:rPr>
          <w:spacing w:val="-11"/>
          <w:sz w:val="22"/>
        </w:rPr>
        <w:t> </w:t>
      </w:r>
      <w:r>
        <w:rPr>
          <w:sz w:val="22"/>
        </w:rPr>
        <w:t>headed</w:t>
      </w:r>
      <w:r>
        <w:rPr>
          <w:spacing w:val="-11"/>
          <w:sz w:val="22"/>
        </w:rPr>
        <w:t> </w:t>
      </w:r>
      <w:r>
        <w:rPr>
          <w:sz w:val="22"/>
        </w:rPr>
        <w:t>households</w:t>
      </w:r>
      <w:r>
        <w:rPr>
          <w:spacing w:val="-9"/>
          <w:sz w:val="22"/>
        </w:rPr>
        <w:t> </w:t>
      </w:r>
      <w:r>
        <w:rPr>
          <w:sz w:val="22"/>
        </w:rPr>
        <w:t>including</w:t>
      </w:r>
      <w:r>
        <w:rPr>
          <w:spacing w:val="-9"/>
          <w:sz w:val="22"/>
        </w:rPr>
        <w:t> </w:t>
      </w:r>
      <w:r>
        <w:rPr>
          <w:sz w:val="22"/>
        </w:rPr>
        <w:t>women,</w:t>
      </w:r>
      <w:r>
        <w:rPr>
          <w:spacing w:val="-12"/>
          <w:sz w:val="22"/>
        </w:rPr>
        <w:t> </w:t>
      </w:r>
      <w:r>
        <w:rPr>
          <w:sz w:val="22"/>
        </w:rPr>
        <w:t>transgender and children.</w:t>
      </w:r>
    </w:p>
    <w:p>
      <w:pPr>
        <w:pStyle w:val="ListParagraph"/>
        <w:numPr>
          <w:ilvl w:val="0"/>
          <w:numId w:val="26"/>
        </w:numPr>
        <w:tabs>
          <w:tab w:pos="1589" w:val="left" w:leader="none"/>
        </w:tabs>
        <w:spacing w:line="276" w:lineRule="auto" w:before="118" w:after="0"/>
        <w:ind w:left="868" w:right="153" w:firstLine="0"/>
        <w:jc w:val="both"/>
        <w:rPr>
          <w:sz w:val="22"/>
        </w:rPr>
      </w:pPr>
      <w:r>
        <w:rPr>
          <w:sz w:val="22"/>
        </w:rPr>
        <w:t>Vulnerable households with specific resettlement impacts on their livelihood were identified during census and socio-economic survey. Such vulnerable groups were consulted on measures to safeguard against impoverishment and accordingly livelihood and income restoration measures for rehabilitation and enhancement of their livelihood is provided in the C&amp;LRP and will be ensured during execution of the</w:t>
      </w:r>
      <w:r>
        <w:rPr>
          <w:spacing w:val="-19"/>
          <w:sz w:val="22"/>
        </w:rPr>
        <w:t> </w:t>
      </w:r>
      <w:r>
        <w:rPr>
          <w:sz w:val="22"/>
        </w:rPr>
        <w:t>project.</w:t>
      </w:r>
    </w:p>
    <w:p>
      <w:pPr>
        <w:pStyle w:val="BodyText"/>
        <w:spacing w:before="10"/>
        <w:rPr>
          <w:sz w:val="20"/>
        </w:rPr>
      </w:pPr>
    </w:p>
    <w:p>
      <w:pPr>
        <w:pStyle w:val="Heading3"/>
        <w:numPr>
          <w:ilvl w:val="2"/>
          <w:numId w:val="27"/>
        </w:numPr>
        <w:tabs>
          <w:tab w:pos="1589" w:val="left" w:leader="none"/>
        </w:tabs>
        <w:spacing w:line="240" w:lineRule="auto" w:before="0" w:after="0"/>
        <w:ind w:left="1588" w:right="0" w:hanging="720"/>
        <w:jc w:val="both"/>
      </w:pPr>
      <w:bookmarkStart w:name="_bookmark53" w:id="87"/>
      <w:bookmarkEnd w:id="87"/>
      <w:r>
        <w:rPr>
          <w:b w:val="0"/>
        </w:rPr>
      </w:r>
      <w:bookmarkStart w:name="_bookmark53" w:id="88"/>
      <w:bookmarkEnd w:id="88"/>
      <w:r>
        <w:rPr>
          <w:color w:val="0D0D0D"/>
        </w:rPr>
        <w:t>I</w:t>
      </w:r>
      <w:r>
        <w:rPr>
          <w:color w:val="0D0D0D"/>
        </w:rPr>
        <w:t>ndigenous</w:t>
      </w:r>
      <w:r>
        <w:rPr>
          <w:color w:val="0D0D0D"/>
          <w:spacing w:val="-1"/>
        </w:rPr>
        <w:t> </w:t>
      </w:r>
      <w:r>
        <w:rPr>
          <w:color w:val="0D0D0D"/>
        </w:rPr>
        <w:t>People</w:t>
      </w:r>
    </w:p>
    <w:p>
      <w:pPr>
        <w:pStyle w:val="ListParagraph"/>
        <w:numPr>
          <w:ilvl w:val="0"/>
          <w:numId w:val="26"/>
        </w:numPr>
        <w:tabs>
          <w:tab w:pos="1589" w:val="left" w:leader="none"/>
        </w:tabs>
        <w:spacing w:line="276" w:lineRule="auto" w:before="157" w:after="0"/>
        <w:ind w:left="868" w:right="152" w:firstLine="0"/>
        <w:jc w:val="both"/>
        <w:rPr>
          <w:sz w:val="22"/>
        </w:rPr>
      </w:pPr>
      <w:r>
        <w:rPr>
          <w:sz w:val="22"/>
        </w:rPr>
        <w:t>The Project will be implemented in Karachi. The initial screening of the Project confirmed that no IP groups exist in the Project area in Karachi. Therefore, the Indigenous Peoples Safeguards of the World Bank’s OP 4.10 is not</w:t>
      </w:r>
      <w:r>
        <w:rPr>
          <w:spacing w:val="-20"/>
          <w:sz w:val="22"/>
        </w:rPr>
        <w:t> </w:t>
      </w:r>
      <w:r>
        <w:rPr>
          <w:sz w:val="22"/>
        </w:rPr>
        <w:t>triggered.</w:t>
      </w:r>
    </w:p>
    <w:p>
      <w:pPr>
        <w:pStyle w:val="BodyText"/>
        <w:spacing w:before="10"/>
        <w:rPr>
          <w:sz w:val="20"/>
        </w:rPr>
      </w:pPr>
    </w:p>
    <w:p>
      <w:pPr>
        <w:pStyle w:val="Heading3"/>
        <w:numPr>
          <w:ilvl w:val="2"/>
          <w:numId w:val="27"/>
        </w:numPr>
        <w:tabs>
          <w:tab w:pos="1589" w:val="left" w:leader="none"/>
        </w:tabs>
        <w:spacing w:line="240" w:lineRule="auto" w:before="0" w:after="0"/>
        <w:ind w:left="1588" w:right="0" w:hanging="720"/>
        <w:jc w:val="both"/>
      </w:pPr>
      <w:bookmarkStart w:name="_bookmark54" w:id="89"/>
      <w:bookmarkEnd w:id="89"/>
      <w:r>
        <w:rPr>
          <w:b w:val="0"/>
        </w:rPr>
      </w:r>
      <w:bookmarkStart w:name="_bookmark54" w:id="90"/>
      <w:bookmarkEnd w:id="90"/>
      <w:r>
        <w:rPr>
          <w:color w:val="0D0D0D"/>
        </w:rPr>
        <w:t>C</w:t>
      </w:r>
      <w:r>
        <w:rPr>
          <w:color w:val="0D0D0D"/>
        </w:rPr>
        <w:t>hange of Project Scope or identification of Unanticipated</w:t>
      </w:r>
      <w:r>
        <w:rPr>
          <w:color w:val="0D0D0D"/>
          <w:spacing w:val="-17"/>
        </w:rPr>
        <w:t> </w:t>
      </w:r>
      <w:r>
        <w:rPr>
          <w:color w:val="0D0D0D"/>
        </w:rPr>
        <w:t>Impacts</w:t>
      </w:r>
    </w:p>
    <w:p>
      <w:pPr>
        <w:pStyle w:val="ListParagraph"/>
        <w:numPr>
          <w:ilvl w:val="0"/>
          <w:numId w:val="26"/>
        </w:numPr>
        <w:tabs>
          <w:tab w:pos="1589" w:val="left" w:leader="none"/>
        </w:tabs>
        <w:spacing w:line="276" w:lineRule="auto" w:before="157" w:after="0"/>
        <w:ind w:left="868" w:right="155" w:firstLine="0"/>
        <w:jc w:val="both"/>
        <w:rPr>
          <w:sz w:val="22"/>
        </w:rPr>
      </w:pPr>
      <w:r>
        <w:rPr>
          <w:sz w:val="22"/>
        </w:rPr>
        <w:t>In</w:t>
      </w:r>
      <w:r>
        <w:rPr>
          <w:spacing w:val="-11"/>
          <w:sz w:val="22"/>
        </w:rPr>
        <w:t> </w:t>
      </w:r>
      <w:r>
        <w:rPr>
          <w:sz w:val="22"/>
        </w:rPr>
        <w:t>case</w:t>
      </w:r>
      <w:r>
        <w:rPr>
          <w:spacing w:val="-11"/>
          <w:sz w:val="22"/>
        </w:rPr>
        <w:t> </w:t>
      </w:r>
      <w:r>
        <w:rPr>
          <w:sz w:val="22"/>
        </w:rPr>
        <w:t>of</w:t>
      </w:r>
      <w:r>
        <w:rPr>
          <w:spacing w:val="-9"/>
          <w:sz w:val="22"/>
        </w:rPr>
        <w:t> </w:t>
      </w:r>
      <w:r>
        <w:rPr>
          <w:sz w:val="22"/>
        </w:rPr>
        <w:t>any</w:t>
      </w:r>
      <w:r>
        <w:rPr>
          <w:spacing w:val="-13"/>
          <w:sz w:val="22"/>
        </w:rPr>
        <w:t> </w:t>
      </w:r>
      <w:r>
        <w:rPr>
          <w:sz w:val="22"/>
        </w:rPr>
        <w:t>change</w:t>
      </w:r>
      <w:r>
        <w:rPr>
          <w:spacing w:val="-11"/>
          <w:sz w:val="22"/>
        </w:rPr>
        <w:t> </w:t>
      </w:r>
      <w:r>
        <w:rPr>
          <w:sz w:val="22"/>
        </w:rPr>
        <w:t>in</w:t>
      </w:r>
      <w:r>
        <w:rPr>
          <w:spacing w:val="-11"/>
          <w:sz w:val="22"/>
        </w:rPr>
        <w:t> </w:t>
      </w:r>
      <w:r>
        <w:rPr>
          <w:sz w:val="22"/>
        </w:rPr>
        <w:t>the</w:t>
      </w:r>
      <w:r>
        <w:rPr>
          <w:spacing w:val="-12"/>
          <w:sz w:val="22"/>
        </w:rPr>
        <w:t> </w:t>
      </w:r>
      <w:r>
        <w:rPr>
          <w:sz w:val="22"/>
        </w:rPr>
        <w:t>scope</w:t>
      </w:r>
      <w:r>
        <w:rPr>
          <w:spacing w:val="-11"/>
          <w:sz w:val="22"/>
        </w:rPr>
        <w:t> </w:t>
      </w:r>
      <w:r>
        <w:rPr>
          <w:sz w:val="22"/>
        </w:rPr>
        <w:t>of</w:t>
      </w:r>
      <w:r>
        <w:rPr>
          <w:spacing w:val="-9"/>
          <w:sz w:val="22"/>
        </w:rPr>
        <w:t> </w:t>
      </w:r>
      <w:r>
        <w:rPr>
          <w:sz w:val="22"/>
        </w:rPr>
        <w:t>the</w:t>
      </w:r>
      <w:r>
        <w:rPr>
          <w:spacing w:val="-11"/>
          <w:sz w:val="22"/>
        </w:rPr>
        <w:t> </w:t>
      </w:r>
      <w:r>
        <w:rPr>
          <w:sz w:val="22"/>
        </w:rPr>
        <w:t>Project</w:t>
      </w:r>
      <w:r>
        <w:rPr>
          <w:spacing w:val="-10"/>
          <w:sz w:val="22"/>
        </w:rPr>
        <w:t> </w:t>
      </w:r>
      <w:r>
        <w:rPr>
          <w:sz w:val="22"/>
        </w:rPr>
        <w:t>or</w:t>
      </w:r>
      <w:r>
        <w:rPr>
          <w:spacing w:val="-10"/>
          <w:sz w:val="22"/>
        </w:rPr>
        <w:t> </w:t>
      </w:r>
      <w:r>
        <w:rPr>
          <w:sz w:val="22"/>
        </w:rPr>
        <w:t>unanticipated</w:t>
      </w:r>
      <w:r>
        <w:rPr>
          <w:spacing w:val="-14"/>
          <w:sz w:val="22"/>
        </w:rPr>
        <w:t> </w:t>
      </w:r>
      <w:r>
        <w:rPr>
          <w:sz w:val="22"/>
        </w:rPr>
        <w:t>impacts</w:t>
      </w:r>
      <w:r>
        <w:rPr>
          <w:spacing w:val="-11"/>
          <w:sz w:val="22"/>
        </w:rPr>
        <w:t> </w:t>
      </w:r>
      <w:r>
        <w:rPr>
          <w:sz w:val="22"/>
        </w:rPr>
        <w:t>identified during detailed design and implementation are not covered under the eligibility and entitlement provisions of this C&amp;LRP, new and additional eligibility and entitlement provisions will be determined in accordance with the resettlement requirements of the World Bank’s OP 4.12 and the applicable legal framework of Pakistan. Accordingly, the C&amp;LRP</w:t>
      </w:r>
      <w:r>
        <w:rPr>
          <w:spacing w:val="-16"/>
          <w:sz w:val="22"/>
        </w:rPr>
        <w:t> </w:t>
      </w:r>
      <w:r>
        <w:rPr>
          <w:sz w:val="22"/>
        </w:rPr>
        <w:t>will</w:t>
      </w:r>
      <w:r>
        <w:rPr>
          <w:spacing w:val="-16"/>
          <w:sz w:val="22"/>
        </w:rPr>
        <w:t> </w:t>
      </w:r>
      <w:r>
        <w:rPr>
          <w:sz w:val="22"/>
        </w:rPr>
        <w:t>be</w:t>
      </w:r>
      <w:r>
        <w:rPr>
          <w:spacing w:val="-16"/>
          <w:sz w:val="22"/>
        </w:rPr>
        <w:t> </w:t>
      </w:r>
      <w:r>
        <w:rPr>
          <w:sz w:val="22"/>
        </w:rPr>
        <w:t>updated</w:t>
      </w:r>
      <w:r>
        <w:rPr>
          <w:spacing w:val="-16"/>
          <w:sz w:val="22"/>
        </w:rPr>
        <w:t> </w:t>
      </w:r>
      <w:r>
        <w:rPr>
          <w:sz w:val="22"/>
        </w:rPr>
        <w:t>and</w:t>
      </w:r>
      <w:r>
        <w:rPr>
          <w:spacing w:val="-18"/>
          <w:sz w:val="22"/>
        </w:rPr>
        <w:t> </w:t>
      </w:r>
      <w:r>
        <w:rPr>
          <w:sz w:val="22"/>
        </w:rPr>
        <w:t>government</w:t>
      </w:r>
      <w:r>
        <w:rPr>
          <w:spacing w:val="-16"/>
          <w:sz w:val="22"/>
        </w:rPr>
        <w:t> </w:t>
      </w:r>
      <w:r>
        <w:rPr>
          <w:sz w:val="22"/>
        </w:rPr>
        <w:t>endorsed,</w:t>
      </w:r>
      <w:r>
        <w:rPr>
          <w:spacing w:val="-14"/>
          <w:sz w:val="22"/>
        </w:rPr>
        <w:t> </w:t>
      </w:r>
      <w:r>
        <w:rPr>
          <w:sz w:val="22"/>
        </w:rPr>
        <w:t>and</w:t>
      </w:r>
      <w:r>
        <w:rPr>
          <w:spacing w:val="-22"/>
          <w:sz w:val="22"/>
        </w:rPr>
        <w:t> </w:t>
      </w:r>
      <w:r>
        <w:rPr>
          <w:sz w:val="22"/>
        </w:rPr>
        <w:t>World</w:t>
      </w:r>
      <w:r>
        <w:rPr>
          <w:spacing w:val="-18"/>
          <w:sz w:val="22"/>
        </w:rPr>
        <w:t> </w:t>
      </w:r>
      <w:r>
        <w:rPr>
          <w:sz w:val="22"/>
        </w:rPr>
        <w:t>Bank</w:t>
      </w:r>
      <w:r>
        <w:rPr>
          <w:spacing w:val="-13"/>
          <w:sz w:val="22"/>
        </w:rPr>
        <w:t> </w:t>
      </w:r>
      <w:r>
        <w:rPr>
          <w:sz w:val="22"/>
        </w:rPr>
        <w:t>cleared</w:t>
      </w:r>
      <w:r>
        <w:rPr>
          <w:spacing w:val="-16"/>
          <w:sz w:val="22"/>
        </w:rPr>
        <w:t> </w:t>
      </w:r>
      <w:r>
        <w:rPr>
          <w:sz w:val="22"/>
        </w:rPr>
        <w:t>and</w:t>
      </w:r>
      <w:r>
        <w:rPr>
          <w:spacing w:val="-17"/>
          <w:sz w:val="22"/>
        </w:rPr>
        <w:t> </w:t>
      </w:r>
      <w:r>
        <w:rPr>
          <w:sz w:val="22"/>
        </w:rPr>
        <w:t>the</w:t>
      </w:r>
      <w:r>
        <w:rPr>
          <w:spacing w:val="-18"/>
          <w:sz w:val="22"/>
        </w:rPr>
        <w:t> </w:t>
      </w:r>
      <w:r>
        <w:rPr>
          <w:sz w:val="22"/>
        </w:rPr>
        <w:t>revised C&amp;LRP shall be disclosed on the World Bank and SMTA</w:t>
      </w:r>
      <w:r>
        <w:rPr>
          <w:spacing w:val="-15"/>
          <w:sz w:val="22"/>
        </w:rPr>
        <w:t> </w:t>
      </w:r>
      <w:r>
        <w:rPr>
          <w:sz w:val="22"/>
        </w:rPr>
        <w:t>websites.</w:t>
      </w:r>
    </w:p>
    <w:p>
      <w:pPr>
        <w:pStyle w:val="BodyText"/>
        <w:spacing w:before="2"/>
        <w:rPr>
          <w:sz w:val="21"/>
        </w:rPr>
      </w:pPr>
    </w:p>
    <w:p>
      <w:pPr>
        <w:pStyle w:val="Heading2"/>
        <w:numPr>
          <w:ilvl w:val="1"/>
          <w:numId w:val="27"/>
        </w:numPr>
        <w:tabs>
          <w:tab w:pos="1445" w:val="left" w:leader="none"/>
        </w:tabs>
        <w:spacing w:line="240" w:lineRule="auto" w:before="0" w:after="0"/>
        <w:ind w:left="1444" w:right="0" w:hanging="576"/>
        <w:jc w:val="both"/>
      </w:pPr>
      <w:bookmarkStart w:name="_bookmark55" w:id="91"/>
      <w:bookmarkEnd w:id="91"/>
      <w:r>
        <w:rPr>
          <w:b w:val="0"/>
        </w:rPr>
      </w:r>
      <w:bookmarkStart w:name="_bookmark55" w:id="92"/>
      <w:bookmarkEnd w:id="92"/>
      <w:r>
        <w:rPr/>
        <w:t>C</w:t>
      </w:r>
      <w:r>
        <w:rPr/>
        <w:t>ompensation Eligibility and</w:t>
      </w:r>
      <w:r>
        <w:rPr>
          <w:spacing w:val="-10"/>
        </w:rPr>
        <w:t> </w:t>
      </w:r>
      <w:r>
        <w:rPr/>
        <w:t>Entitlement</w:t>
      </w:r>
    </w:p>
    <w:p>
      <w:pPr>
        <w:pStyle w:val="Heading3"/>
        <w:spacing w:before="160"/>
        <w:ind w:left="868"/>
      </w:pPr>
      <w:r>
        <w:rPr/>
        <w:t>5.5.1.1   Cut-off Date</w:t>
      </w:r>
    </w:p>
    <w:p>
      <w:pPr>
        <w:pStyle w:val="ListParagraph"/>
        <w:numPr>
          <w:ilvl w:val="0"/>
          <w:numId w:val="28"/>
        </w:numPr>
        <w:tabs>
          <w:tab w:pos="1589" w:val="left" w:leader="none"/>
        </w:tabs>
        <w:spacing w:line="276" w:lineRule="auto" w:before="119" w:after="0"/>
        <w:ind w:left="868" w:right="152" w:firstLine="0"/>
        <w:jc w:val="both"/>
        <w:rPr>
          <w:sz w:val="22"/>
        </w:rPr>
      </w:pPr>
      <w:r>
        <w:rPr>
          <w:sz w:val="22"/>
        </w:rPr>
        <w:t>The determination of eligibility for various types of compensation is framed both in terms of the PAP categories, as well as whether individual PAPs and affected property were present in the project affected area before the cut-off date. In functional terms, a cut- off date establishes a calendar limit on the project’s responsibility to compensate for impacts, specifically by defining a date after which the public ‘should know’ not to make improvements or settle on project land by virtue of public consultation and other communications</w:t>
      </w:r>
      <w:r>
        <w:rPr>
          <w:spacing w:val="-6"/>
          <w:sz w:val="22"/>
        </w:rPr>
        <w:t> </w:t>
      </w:r>
      <w:r>
        <w:rPr>
          <w:sz w:val="22"/>
        </w:rPr>
        <w:t>efforts.</w:t>
      </w:r>
    </w:p>
    <w:p>
      <w:pPr>
        <w:pStyle w:val="ListParagraph"/>
        <w:numPr>
          <w:ilvl w:val="0"/>
          <w:numId w:val="28"/>
        </w:numPr>
        <w:tabs>
          <w:tab w:pos="1589" w:val="left" w:leader="none"/>
        </w:tabs>
        <w:spacing w:line="276" w:lineRule="auto" w:before="120" w:after="0"/>
        <w:ind w:left="868" w:right="154" w:firstLine="0"/>
        <w:jc w:val="both"/>
        <w:rPr>
          <w:sz w:val="22"/>
        </w:rPr>
      </w:pPr>
      <w:r>
        <w:rPr>
          <w:sz w:val="22"/>
        </w:rPr>
        <w:t>The eligibility for compensation was </w:t>
      </w:r>
      <w:r>
        <w:rPr>
          <w:sz w:val="22"/>
          <w:u w:val="single"/>
        </w:rPr>
        <w:t>22 February 2019 </w:t>
      </w:r>
      <w:r>
        <w:rPr>
          <w:sz w:val="22"/>
        </w:rPr>
        <w:t>defined as the </w:t>
      </w:r>
      <w:r>
        <w:rPr>
          <w:i/>
          <w:sz w:val="22"/>
        </w:rPr>
        <w:t>cut-off date</w:t>
      </w:r>
      <w:r>
        <w:rPr>
          <w:sz w:val="22"/>
        </w:rPr>
        <w:t>. This</w:t>
      </w:r>
      <w:r>
        <w:rPr>
          <w:spacing w:val="-8"/>
          <w:sz w:val="22"/>
        </w:rPr>
        <w:t> </w:t>
      </w:r>
      <w:r>
        <w:rPr>
          <w:sz w:val="22"/>
        </w:rPr>
        <w:t>date</w:t>
      </w:r>
      <w:r>
        <w:rPr>
          <w:spacing w:val="-11"/>
          <w:sz w:val="22"/>
        </w:rPr>
        <w:t> </w:t>
      </w:r>
      <w:r>
        <w:rPr>
          <w:sz w:val="22"/>
        </w:rPr>
        <w:t>was</w:t>
      </w:r>
      <w:r>
        <w:rPr>
          <w:spacing w:val="-9"/>
          <w:sz w:val="22"/>
        </w:rPr>
        <w:t> </w:t>
      </w:r>
      <w:r>
        <w:rPr>
          <w:sz w:val="22"/>
        </w:rPr>
        <w:t>when</w:t>
      </w:r>
      <w:r>
        <w:rPr>
          <w:spacing w:val="-9"/>
          <w:sz w:val="22"/>
        </w:rPr>
        <w:t> </w:t>
      </w:r>
      <w:r>
        <w:rPr>
          <w:sz w:val="22"/>
        </w:rPr>
        <w:t>the</w:t>
      </w:r>
      <w:r>
        <w:rPr>
          <w:spacing w:val="-9"/>
          <w:sz w:val="22"/>
        </w:rPr>
        <w:t> </w:t>
      </w:r>
      <w:r>
        <w:rPr>
          <w:sz w:val="22"/>
        </w:rPr>
        <w:t>census</w:t>
      </w:r>
      <w:r>
        <w:rPr>
          <w:spacing w:val="-9"/>
          <w:sz w:val="22"/>
        </w:rPr>
        <w:t> </w:t>
      </w:r>
      <w:r>
        <w:rPr>
          <w:sz w:val="22"/>
        </w:rPr>
        <w:t>of</w:t>
      </w:r>
      <w:r>
        <w:rPr>
          <w:spacing w:val="-8"/>
          <w:sz w:val="22"/>
        </w:rPr>
        <w:t> </w:t>
      </w:r>
      <w:r>
        <w:rPr>
          <w:sz w:val="22"/>
        </w:rPr>
        <w:t>affected</w:t>
      </w:r>
      <w:r>
        <w:rPr>
          <w:spacing w:val="-11"/>
          <w:sz w:val="22"/>
        </w:rPr>
        <w:t> </w:t>
      </w:r>
      <w:r>
        <w:rPr>
          <w:sz w:val="22"/>
        </w:rPr>
        <w:t>people</w:t>
      </w:r>
      <w:r>
        <w:rPr>
          <w:spacing w:val="-11"/>
          <w:sz w:val="22"/>
        </w:rPr>
        <w:t> </w:t>
      </w:r>
      <w:r>
        <w:rPr>
          <w:sz w:val="22"/>
        </w:rPr>
        <w:t>living</w:t>
      </w:r>
      <w:r>
        <w:rPr>
          <w:spacing w:val="-7"/>
          <w:sz w:val="22"/>
        </w:rPr>
        <w:t> </w:t>
      </w:r>
      <w:r>
        <w:rPr>
          <w:sz w:val="22"/>
        </w:rPr>
        <w:t>in</w:t>
      </w:r>
      <w:r>
        <w:rPr>
          <w:spacing w:val="-11"/>
          <w:sz w:val="22"/>
        </w:rPr>
        <w:t> </w:t>
      </w:r>
      <w:r>
        <w:rPr>
          <w:sz w:val="22"/>
        </w:rPr>
        <w:t>the</w:t>
      </w:r>
      <w:r>
        <w:rPr>
          <w:spacing w:val="-9"/>
          <w:sz w:val="22"/>
        </w:rPr>
        <w:t> </w:t>
      </w:r>
      <w:r>
        <w:rPr>
          <w:sz w:val="22"/>
        </w:rPr>
        <w:t>project</w:t>
      </w:r>
      <w:r>
        <w:rPr>
          <w:spacing w:val="-10"/>
          <w:sz w:val="22"/>
        </w:rPr>
        <w:t> </w:t>
      </w:r>
      <w:r>
        <w:rPr>
          <w:sz w:val="22"/>
        </w:rPr>
        <w:t>area</w:t>
      </w:r>
      <w:r>
        <w:rPr>
          <w:spacing w:val="-13"/>
          <w:sz w:val="22"/>
        </w:rPr>
        <w:t> </w:t>
      </w:r>
      <w:r>
        <w:rPr>
          <w:sz w:val="22"/>
        </w:rPr>
        <w:t>was</w:t>
      </w:r>
      <w:r>
        <w:rPr>
          <w:spacing w:val="-9"/>
          <w:sz w:val="22"/>
        </w:rPr>
        <w:t> </w:t>
      </w:r>
      <w:r>
        <w:rPr>
          <w:sz w:val="22"/>
        </w:rPr>
        <w:t>completed. It</w:t>
      </w:r>
      <w:r>
        <w:rPr>
          <w:spacing w:val="-10"/>
          <w:sz w:val="22"/>
        </w:rPr>
        <w:t> </w:t>
      </w:r>
      <w:r>
        <w:rPr>
          <w:sz w:val="22"/>
        </w:rPr>
        <w:t>determines</w:t>
      </w:r>
      <w:r>
        <w:rPr>
          <w:spacing w:val="-10"/>
          <w:sz w:val="22"/>
        </w:rPr>
        <w:t> </w:t>
      </w:r>
      <w:r>
        <w:rPr>
          <w:sz w:val="22"/>
        </w:rPr>
        <w:t>eligibility</w:t>
      </w:r>
      <w:r>
        <w:rPr>
          <w:spacing w:val="-11"/>
          <w:sz w:val="22"/>
        </w:rPr>
        <w:t> </w:t>
      </w:r>
      <w:r>
        <w:rPr>
          <w:sz w:val="22"/>
        </w:rPr>
        <w:t>to</w:t>
      </w:r>
      <w:r>
        <w:rPr>
          <w:spacing w:val="-14"/>
          <w:sz w:val="22"/>
        </w:rPr>
        <w:t> </w:t>
      </w:r>
      <w:r>
        <w:rPr>
          <w:sz w:val="22"/>
        </w:rPr>
        <w:t>the</w:t>
      </w:r>
      <w:r>
        <w:rPr>
          <w:spacing w:val="-11"/>
          <w:sz w:val="22"/>
        </w:rPr>
        <w:t> </w:t>
      </w:r>
      <w:r>
        <w:rPr>
          <w:sz w:val="22"/>
        </w:rPr>
        <w:t>status</w:t>
      </w:r>
      <w:r>
        <w:rPr>
          <w:spacing w:val="-11"/>
          <w:sz w:val="22"/>
        </w:rPr>
        <w:t> </w:t>
      </w:r>
      <w:r>
        <w:rPr>
          <w:sz w:val="22"/>
        </w:rPr>
        <w:t>of</w:t>
      </w:r>
      <w:r>
        <w:rPr>
          <w:spacing w:val="-8"/>
          <w:sz w:val="22"/>
        </w:rPr>
        <w:t> </w:t>
      </w:r>
      <w:r>
        <w:rPr>
          <w:sz w:val="22"/>
        </w:rPr>
        <w:t>affected</w:t>
      </w:r>
      <w:r>
        <w:rPr>
          <w:spacing w:val="-10"/>
          <w:sz w:val="22"/>
        </w:rPr>
        <w:t> </w:t>
      </w:r>
      <w:r>
        <w:rPr>
          <w:sz w:val="22"/>
        </w:rPr>
        <w:t>persons.</w:t>
      </w:r>
      <w:r>
        <w:rPr>
          <w:spacing w:val="-12"/>
          <w:sz w:val="22"/>
        </w:rPr>
        <w:t> </w:t>
      </w:r>
      <w:r>
        <w:rPr>
          <w:sz w:val="22"/>
        </w:rPr>
        <w:t>The</w:t>
      </w:r>
      <w:r>
        <w:rPr>
          <w:spacing w:val="-11"/>
          <w:sz w:val="22"/>
        </w:rPr>
        <w:t> </w:t>
      </w:r>
      <w:r>
        <w:rPr>
          <w:sz w:val="22"/>
        </w:rPr>
        <w:t>cut-off</w:t>
      </w:r>
      <w:r>
        <w:rPr>
          <w:spacing w:val="-10"/>
          <w:sz w:val="22"/>
        </w:rPr>
        <w:t> </w:t>
      </w:r>
      <w:r>
        <w:rPr>
          <w:sz w:val="22"/>
        </w:rPr>
        <w:t>date</w:t>
      </w:r>
      <w:r>
        <w:rPr>
          <w:spacing w:val="-10"/>
          <w:sz w:val="22"/>
        </w:rPr>
        <w:t> </w:t>
      </w:r>
      <w:r>
        <w:rPr>
          <w:sz w:val="22"/>
        </w:rPr>
        <w:t>was</w:t>
      </w:r>
      <w:r>
        <w:rPr>
          <w:spacing w:val="-9"/>
          <w:sz w:val="22"/>
        </w:rPr>
        <w:t> </w:t>
      </w:r>
      <w:r>
        <w:rPr>
          <w:sz w:val="22"/>
        </w:rPr>
        <w:t>set</w:t>
      </w:r>
      <w:r>
        <w:rPr>
          <w:spacing w:val="-10"/>
          <w:sz w:val="22"/>
        </w:rPr>
        <w:t> </w:t>
      </w:r>
      <w:r>
        <w:rPr>
          <w:sz w:val="22"/>
        </w:rPr>
        <w:t>to</w:t>
      </w:r>
      <w:r>
        <w:rPr>
          <w:spacing w:val="-11"/>
          <w:sz w:val="22"/>
        </w:rPr>
        <w:t> </w:t>
      </w:r>
      <w:r>
        <w:rPr>
          <w:sz w:val="22"/>
        </w:rPr>
        <w:t>prevent influx of outsiders and to avoid false and frivolous claims for compensation, relocation and livelihood rehabilitation</w:t>
      </w:r>
      <w:r>
        <w:rPr>
          <w:spacing w:val="-14"/>
          <w:sz w:val="22"/>
        </w:rPr>
        <w:t> </w:t>
      </w:r>
      <w:r>
        <w:rPr>
          <w:sz w:val="22"/>
        </w:rPr>
        <w:t>entitlements.</w:t>
      </w:r>
    </w:p>
    <w:p>
      <w:pPr>
        <w:pStyle w:val="ListParagraph"/>
        <w:numPr>
          <w:ilvl w:val="0"/>
          <w:numId w:val="28"/>
        </w:numPr>
        <w:tabs>
          <w:tab w:pos="1589" w:val="left" w:leader="none"/>
        </w:tabs>
        <w:spacing w:line="276" w:lineRule="auto" w:before="120" w:after="0"/>
        <w:ind w:left="868" w:right="150" w:firstLine="0"/>
        <w:jc w:val="both"/>
        <w:rPr>
          <w:sz w:val="22"/>
        </w:rPr>
      </w:pPr>
      <w:r>
        <w:rPr>
          <w:sz w:val="22"/>
        </w:rPr>
        <w:t>The cut-off date was disclosed to the PAPs through consultative meetings, focus group discussions, field surveys and other means of communication including</w:t>
      </w:r>
      <w:r>
        <w:rPr>
          <w:spacing w:val="-29"/>
          <w:sz w:val="22"/>
        </w:rPr>
        <w:t> </w:t>
      </w:r>
      <w:r>
        <w:rPr>
          <w:sz w:val="22"/>
        </w:rPr>
        <w:t>face-to-face communication with</w:t>
      </w:r>
      <w:r>
        <w:rPr>
          <w:spacing w:val="-9"/>
          <w:sz w:val="22"/>
        </w:rPr>
        <w:t> </w:t>
      </w:r>
      <w:r>
        <w:rPr>
          <w:sz w:val="22"/>
        </w:rPr>
        <w:t>communities.</w:t>
      </w:r>
    </w:p>
    <w:p>
      <w:pPr>
        <w:spacing w:after="0" w:line="276" w:lineRule="auto"/>
        <w:jc w:val="both"/>
        <w:rPr>
          <w:sz w:val="22"/>
        </w:rPr>
        <w:sectPr>
          <w:pgSz w:w="11910" w:h="16840"/>
          <w:pgMar w:header="583" w:footer="575" w:top="840" w:bottom="760" w:left="860" w:right="1280"/>
        </w:sectPr>
      </w:pPr>
    </w:p>
    <w:p>
      <w:pPr>
        <w:pStyle w:val="BodyText"/>
        <w:rPr>
          <w:sz w:val="20"/>
        </w:rPr>
      </w:pPr>
    </w:p>
    <w:p>
      <w:pPr>
        <w:pStyle w:val="BodyText"/>
        <w:rPr>
          <w:sz w:val="20"/>
        </w:rPr>
      </w:pPr>
    </w:p>
    <w:p>
      <w:pPr>
        <w:pStyle w:val="BodyText"/>
        <w:spacing w:before="10"/>
        <w:rPr>
          <w:sz w:val="27"/>
        </w:rPr>
      </w:pPr>
    </w:p>
    <w:p>
      <w:pPr>
        <w:pStyle w:val="Heading3"/>
        <w:spacing w:before="93"/>
        <w:ind w:left="868"/>
      </w:pPr>
      <w:bookmarkStart w:name="_bookmark56" w:id="93"/>
      <w:bookmarkEnd w:id="93"/>
      <w:r>
        <w:rPr>
          <w:b w:val="0"/>
        </w:rPr>
      </w:r>
      <w:r>
        <w:rPr>
          <w:color w:val="0D0D0D"/>
        </w:rPr>
        <w:t>5.5.2    Compensation Entitlements</w:t>
      </w:r>
    </w:p>
    <w:p>
      <w:pPr>
        <w:pStyle w:val="ListParagraph"/>
        <w:numPr>
          <w:ilvl w:val="0"/>
          <w:numId w:val="28"/>
        </w:numPr>
        <w:tabs>
          <w:tab w:pos="1589" w:val="left" w:leader="none"/>
        </w:tabs>
        <w:spacing w:line="276" w:lineRule="auto" w:before="157" w:after="0"/>
        <w:ind w:left="868" w:right="150" w:firstLine="0"/>
        <w:jc w:val="both"/>
        <w:rPr>
          <w:sz w:val="22"/>
        </w:rPr>
      </w:pPr>
      <w:r>
        <w:rPr>
          <w:sz w:val="22"/>
        </w:rPr>
        <w:t>The</w:t>
      </w:r>
      <w:r>
        <w:rPr>
          <w:spacing w:val="-4"/>
          <w:sz w:val="22"/>
        </w:rPr>
        <w:t> </w:t>
      </w:r>
      <w:r>
        <w:rPr>
          <w:sz w:val="22"/>
        </w:rPr>
        <w:t>entitlement</w:t>
      </w:r>
      <w:r>
        <w:rPr>
          <w:spacing w:val="-5"/>
          <w:sz w:val="22"/>
        </w:rPr>
        <w:t> </w:t>
      </w:r>
      <w:r>
        <w:rPr>
          <w:sz w:val="22"/>
        </w:rPr>
        <w:t>matrix</w:t>
      </w:r>
      <w:r>
        <w:rPr>
          <w:spacing w:val="-6"/>
          <w:sz w:val="22"/>
        </w:rPr>
        <w:t> </w:t>
      </w:r>
      <w:r>
        <w:rPr>
          <w:sz w:val="22"/>
        </w:rPr>
        <w:t>captures</w:t>
      </w:r>
      <w:r>
        <w:rPr>
          <w:spacing w:val="-6"/>
          <w:sz w:val="22"/>
        </w:rPr>
        <w:t> </w:t>
      </w:r>
      <w:r>
        <w:rPr>
          <w:sz w:val="22"/>
        </w:rPr>
        <w:t>all</w:t>
      </w:r>
      <w:r>
        <w:rPr>
          <w:spacing w:val="-5"/>
          <w:sz w:val="22"/>
        </w:rPr>
        <w:t> </w:t>
      </w:r>
      <w:r>
        <w:rPr>
          <w:sz w:val="22"/>
        </w:rPr>
        <w:t>PAPs,</w:t>
      </w:r>
      <w:r>
        <w:rPr>
          <w:spacing w:val="-3"/>
          <w:sz w:val="22"/>
        </w:rPr>
        <w:t> </w:t>
      </w:r>
      <w:r>
        <w:rPr>
          <w:sz w:val="22"/>
        </w:rPr>
        <w:t>the</w:t>
      </w:r>
      <w:r>
        <w:rPr>
          <w:spacing w:val="-4"/>
          <w:sz w:val="22"/>
        </w:rPr>
        <w:t> </w:t>
      </w:r>
      <w:r>
        <w:rPr>
          <w:sz w:val="22"/>
        </w:rPr>
        <w:t>characteristics</w:t>
      </w:r>
      <w:r>
        <w:rPr>
          <w:spacing w:val="-4"/>
          <w:sz w:val="22"/>
        </w:rPr>
        <w:t> </w:t>
      </w:r>
      <w:r>
        <w:rPr>
          <w:sz w:val="22"/>
        </w:rPr>
        <w:t>of</w:t>
      </w:r>
      <w:r>
        <w:rPr>
          <w:spacing w:val="-5"/>
          <w:sz w:val="22"/>
        </w:rPr>
        <w:t> </w:t>
      </w:r>
      <w:r>
        <w:rPr>
          <w:sz w:val="22"/>
        </w:rPr>
        <w:t>the</w:t>
      </w:r>
      <w:r>
        <w:rPr>
          <w:spacing w:val="-4"/>
          <w:sz w:val="22"/>
        </w:rPr>
        <w:t> </w:t>
      </w:r>
      <w:r>
        <w:rPr>
          <w:sz w:val="22"/>
        </w:rPr>
        <w:t>impact,</w:t>
      </w:r>
      <w:r>
        <w:rPr>
          <w:spacing w:val="-3"/>
          <w:sz w:val="22"/>
        </w:rPr>
        <w:t> </w:t>
      </w:r>
      <w:r>
        <w:rPr>
          <w:sz w:val="22"/>
        </w:rPr>
        <w:t>and</w:t>
      </w:r>
      <w:r>
        <w:rPr>
          <w:spacing w:val="-4"/>
          <w:sz w:val="22"/>
        </w:rPr>
        <w:t> </w:t>
      </w:r>
      <w:r>
        <w:rPr>
          <w:sz w:val="22"/>
        </w:rPr>
        <w:t>the types</w:t>
      </w:r>
      <w:r>
        <w:rPr>
          <w:spacing w:val="-16"/>
          <w:sz w:val="22"/>
        </w:rPr>
        <w:t> </w:t>
      </w:r>
      <w:r>
        <w:rPr>
          <w:sz w:val="22"/>
        </w:rPr>
        <w:t>of</w:t>
      </w:r>
      <w:r>
        <w:rPr>
          <w:spacing w:val="-13"/>
          <w:sz w:val="22"/>
        </w:rPr>
        <w:t> </w:t>
      </w:r>
      <w:r>
        <w:rPr>
          <w:sz w:val="22"/>
        </w:rPr>
        <w:t>compensation/reinstatement</w:t>
      </w:r>
      <w:r>
        <w:rPr>
          <w:spacing w:val="-15"/>
          <w:sz w:val="22"/>
        </w:rPr>
        <w:t> </w:t>
      </w:r>
      <w:r>
        <w:rPr>
          <w:sz w:val="22"/>
        </w:rPr>
        <w:t>due</w:t>
      </w:r>
      <w:r>
        <w:rPr>
          <w:spacing w:val="-18"/>
          <w:sz w:val="22"/>
        </w:rPr>
        <w:t> </w:t>
      </w:r>
      <w:r>
        <w:rPr>
          <w:sz w:val="22"/>
        </w:rPr>
        <w:t>to</w:t>
      </w:r>
      <w:r>
        <w:rPr>
          <w:spacing w:val="-18"/>
          <w:sz w:val="22"/>
        </w:rPr>
        <w:t> </w:t>
      </w:r>
      <w:r>
        <w:rPr>
          <w:sz w:val="22"/>
        </w:rPr>
        <w:t>them.</w:t>
      </w:r>
      <w:r>
        <w:rPr>
          <w:spacing w:val="-17"/>
          <w:sz w:val="22"/>
        </w:rPr>
        <w:t> </w:t>
      </w:r>
      <w:r>
        <w:rPr>
          <w:sz w:val="22"/>
        </w:rPr>
        <w:t>All</w:t>
      </w:r>
      <w:r>
        <w:rPr>
          <w:spacing w:val="-14"/>
          <w:sz w:val="22"/>
        </w:rPr>
        <w:t> </w:t>
      </w:r>
      <w:r>
        <w:rPr>
          <w:sz w:val="22"/>
        </w:rPr>
        <w:t>PAPs</w:t>
      </w:r>
      <w:r>
        <w:rPr>
          <w:spacing w:val="-13"/>
          <w:sz w:val="22"/>
        </w:rPr>
        <w:t> </w:t>
      </w:r>
      <w:r>
        <w:rPr>
          <w:sz w:val="22"/>
        </w:rPr>
        <w:t>will</w:t>
      </w:r>
      <w:r>
        <w:rPr>
          <w:spacing w:val="-17"/>
          <w:sz w:val="22"/>
        </w:rPr>
        <w:t> </w:t>
      </w:r>
      <w:r>
        <w:rPr>
          <w:sz w:val="22"/>
        </w:rPr>
        <w:t>be</w:t>
      </w:r>
      <w:r>
        <w:rPr>
          <w:spacing w:val="-16"/>
          <w:sz w:val="22"/>
        </w:rPr>
        <w:t> </w:t>
      </w:r>
      <w:r>
        <w:rPr>
          <w:sz w:val="22"/>
        </w:rPr>
        <w:t>entitled</w:t>
      </w:r>
      <w:r>
        <w:rPr>
          <w:spacing w:val="-15"/>
          <w:sz w:val="22"/>
        </w:rPr>
        <w:t> </w:t>
      </w:r>
      <w:r>
        <w:rPr>
          <w:sz w:val="22"/>
        </w:rPr>
        <w:t>to</w:t>
      </w:r>
      <w:r>
        <w:rPr>
          <w:spacing w:val="-16"/>
          <w:sz w:val="22"/>
        </w:rPr>
        <w:t> </w:t>
      </w:r>
      <w:r>
        <w:rPr>
          <w:sz w:val="22"/>
        </w:rPr>
        <w:t>a</w:t>
      </w:r>
      <w:r>
        <w:rPr>
          <w:spacing w:val="-16"/>
          <w:sz w:val="22"/>
        </w:rPr>
        <w:t> </w:t>
      </w:r>
      <w:r>
        <w:rPr>
          <w:sz w:val="22"/>
        </w:rPr>
        <w:t>combination of compensation measures and livelihood assistance, depending on the nature of ownership rights of lost assets and scope of the impact, including social and economic vulnerability of the affected persons. In general terms, the affected persons in the project will be entitled to one or more of the following types of compensation and</w:t>
      </w:r>
      <w:r>
        <w:rPr>
          <w:spacing w:val="-25"/>
          <w:sz w:val="22"/>
        </w:rPr>
        <w:t> </w:t>
      </w:r>
      <w:r>
        <w:rPr>
          <w:sz w:val="22"/>
        </w:rPr>
        <w:t>assistance:</w:t>
      </w:r>
    </w:p>
    <w:p>
      <w:pPr>
        <w:pStyle w:val="ListParagraph"/>
        <w:numPr>
          <w:ilvl w:val="0"/>
          <w:numId w:val="28"/>
        </w:numPr>
        <w:tabs>
          <w:tab w:pos="1589" w:val="left" w:leader="none"/>
        </w:tabs>
        <w:spacing w:line="276" w:lineRule="auto" w:before="123" w:after="0"/>
        <w:ind w:left="868" w:right="154" w:firstLine="0"/>
        <w:jc w:val="both"/>
        <w:rPr>
          <w:sz w:val="22"/>
        </w:rPr>
      </w:pPr>
      <w:r>
        <w:rPr>
          <w:sz w:val="22"/>
        </w:rPr>
        <w:t>The eligible PAPs entitled for compensation and rehabilitation assistance are defined</w:t>
      </w:r>
      <w:r>
        <w:rPr>
          <w:spacing w:val="-6"/>
          <w:sz w:val="22"/>
        </w:rPr>
        <w:t> </w:t>
      </w:r>
      <w:r>
        <w:rPr>
          <w:sz w:val="22"/>
        </w:rPr>
        <w:t>below:</w:t>
      </w:r>
    </w:p>
    <w:p>
      <w:pPr>
        <w:pStyle w:val="ListParagraph"/>
        <w:numPr>
          <w:ilvl w:val="1"/>
          <w:numId w:val="28"/>
        </w:numPr>
        <w:tabs>
          <w:tab w:pos="1589" w:val="left" w:leader="none"/>
        </w:tabs>
        <w:spacing w:line="276" w:lineRule="auto" w:before="120" w:after="0"/>
        <w:ind w:left="1588" w:right="237" w:hanging="360"/>
        <w:jc w:val="both"/>
        <w:rPr>
          <w:sz w:val="22"/>
        </w:rPr>
      </w:pPr>
      <w:r>
        <w:rPr>
          <w:sz w:val="22"/>
        </w:rPr>
        <w:t>PAP without formal legal rights or recognizable claims under OP 4.12 and may include all squatters, informal vendors and wage labourers. Although such PAPs will lack legal or recognizable rights to the land but because of lost assets </w:t>
      </w:r>
      <w:r>
        <w:rPr>
          <w:spacing w:val="-3"/>
          <w:sz w:val="22"/>
        </w:rPr>
        <w:t>or </w:t>
      </w:r>
      <w:r>
        <w:rPr>
          <w:sz w:val="22"/>
        </w:rPr>
        <w:t>impacted livelihoods they will be eligible to receive transitional and rehabilitation assistance.</w:t>
      </w:r>
    </w:p>
    <w:p>
      <w:pPr>
        <w:pStyle w:val="BodyText"/>
        <w:spacing w:before="11"/>
        <w:rPr>
          <w:sz w:val="20"/>
        </w:rPr>
      </w:pPr>
    </w:p>
    <w:p>
      <w:pPr>
        <w:pStyle w:val="Heading2"/>
        <w:numPr>
          <w:ilvl w:val="1"/>
          <w:numId w:val="29"/>
        </w:numPr>
        <w:tabs>
          <w:tab w:pos="1445" w:val="left" w:leader="none"/>
        </w:tabs>
        <w:spacing w:line="240" w:lineRule="auto" w:before="0" w:after="0"/>
        <w:ind w:left="1444" w:right="0" w:hanging="576"/>
        <w:jc w:val="both"/>
      </w:pPr>
      <w:bookmarkStart w:name="_bookmark57" w:id="94"/>
      <w:bookmarkEnd w:id="94"/>
      <w:r>
        <w:rPr>
          <w:b w:val="0"/>
        </w:rPr>
      </w:r>
      <w:bookmarkStart w:name="_bookmark57" w:id="95"/>
      <w:bookmarkEnd w:id="95"/>
      <w:r>
        <w:rPr/>
        <w:t>C</w:t>
      </w:r>
      <w:r>
        <w:rPr/>
        <w:t>ompensation-Unit Rates for Rehabilitation Assistance and</w:t>
      </w:r>
      <w:r>
        <w:rPr>
          <w:spacing w:val="-40"/>
        </w:rPr>
        <w:t> </w:t>
      </w:r>
      <w:r>
        <w:rPr/>
        <w:t>Allowances</w:t>
      </w:r>
    </w:p>
    <w:p>
      <w:pPr>
        <w:pStyle w:val="ListParagraph"/>
        <w:numPr>
          <w:ilvl w:val="0"/>
          <w:numId w:val="28"/>
        </w:numPr>
        <w:tabs>
          <w:tab w:pos="1589" w:val="left" w:leader="none"/>
        </w:tabs>
        <w:spacing w:line="278" w:lineRule="auto" w:before="160" w:after="0"/>
        <w:ind w:left="868" w:right="151" w:firstLine="0"/>
        <w:jc w:val="both"/>
        <w:rPr>
          <w:sz w:val="22"/>
        </w:rPr>
      </w:pPr>
      <w:r>
        <w:rPr>
          <w:sz w:val="22"/>
        </w:rPr>
        <w:t>Adequate measures have been put in place in C&amp;LRP to mitigate adverse impacts on the socio-economic conditions and livelihood of</w:t>
      </w:r>
      <w:r>
        <w:rPr>
          <w:spacing w:val="-11"/>
          <w:sz w:val="22"/>
        </w:rPr>
        <w:t> </w:t>
      </w:r>
      <w:r>
        <w:rPr>
          <w:sz w:val="22"/>
        </w:rPr>
        <w:t>PAPs.</w:t>
      </w:r>
    </w:p>
    <w:p>
      <w:pPr>
        <w:pStyle w:val="ListParagraph"/>
        <w:numPr>
          <w:ilvl w:val="0"/>
          <w:numId w:val="28"/>
        </w:numPr>
        <w:tabs>
          <w:tab w:pos="1589" w:val="left" w:leader="none"/>
        </w:tabs>
        <w:spacing w:line="276" w:lineRule="auto" w:before="117" w:after="0"/>
        <w:ind w:left="868" w:right="153" w:firstLine="0"/>
        <w:jc w:val="both"/>
        <w:rPr>
          <w:sz w:val="22"/>
        </w:rPr>
      </w:pPr>
      <w:r>
        <w:rPr>
          <w:sz w:val="22"/>
        </w:rPr>
        <w:t>The amount of rehabilitation assistance to each PAP for transitional period of 12 months has been calculated considering their current monthly income from vending/business.</w:t>
      </w:r>
    </w:p>
    <w:p>
      <w:pPr>
        <w:pStyle w:val="ListParagraph"/>
        <w:numPr>
          <w:ilvl w:val="0"/>
          <w:numId w:val="28"/>
        </w:numPr>
        <w:tabs>
          <w:tab w:pos="1589" w:val="left" w:leader="none"/>
        </w:tabs>
        <w:spacing w:line="276" w:lineRule="auto" w:before="122" w:after="0"/>
        <w:ind w:left="868" w:right="150" w:firstLine="0"/>
        <w:jc w:val="both"/>
        <w:rPr>
          <w:sz w:val="22"/>
        </w:rPr>
      </w:pPr>
      <w:r>
        <w:rPr>
          <w:sz w:val="22"/>
        </w:rPr>
        <w:t>Allowances for employment loss and vulnerable PAPs were calculated based minimum wage criteria of GoS, which is PKR 16,000 per month. This allowance will be provided for three months to offset economic hardship or impoverishment due to project impacts on PAPs, which are less likely to adapt to new circumstances without</w:t>
      </w:r>
      <w:r>
        <w:rPr>
          <w:spacing w:val="-25"/>
          <w:sz w:val="22"/>
        </w:rPr>
        <w:t> </w:t>
      </w:r>
      <w:r>
        <w:rPr>
          <w:sz w:val="22"/>
        </w:rPr>
        <w:t>assistance.</w:t>
      </w:r>
    </w:p>
    <w:p>
      <w:pPr>
        <w:pStyle w:val="Heading3"/>
        <w:spacing w:before="120"/>
        <w:ind w:left="2370"/>
        <w:jc w:val="left"/>
      </w:pPr>
      <w:bookmarkStart w:name="_bookmark58" w:id="96"/>
      <w:bookmarkEnd w:id="96"/>
      <w:r>
        <w:rPr>
          <w:b w:val="0"/>
        </w:rPr>
      </w:r>
      <w:r>
        <w:rPr>
          <w:u w:val="thick"/>
        </w:rPr>
        <w:t>Table 5: Unit Rates of Loss of Business and Allowance</w:t>
      </w:r>
    </w:p>
    <w:p>
      <w:pPr>
        <w:pStyle w:val="BodyText"/>
        <w:spacing w:before="6"/>
        <w:rPr>
          <w:b/>
          <w:sz w:val="10"/>
        </w:rPr>
      </w:pPr>
    </w:p>
    <w:tbl>
      <w:tblPr>
        <w:tblW w:w="0" w:type="auto"/>
        <w:jc w:val="left"/>
        <w:tblInd w:w="9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40"/>
        <w:gridCol w:w="4436"/>
        <w:gridCol w:w="1635"/>
        <w:gridCol w:w="1802"/>
      </w:tblGrid>
      <w:tr>
        <w:trPr>
          <w:trHeight w:val="370" w:hRule="exact"/>
        </w:trPr>
        <w:tc>
          <w:tcPr>
            <w:tcW w:w="840" w:type="dxa"/>
            <w:tcBorders>
              <w:bottom w:val="single" w:sz="4" w:space="0" w:color="000000"/>
              <w:right w:val="single" w:sz="4" w:space="0" w:color="000000"/>
            </w:tcBorders>
            <w:shd w:val="clear" w:color="auto" w:fill="D9D9D9"/>
          </w:tcPr>
          <w:p>
            <w:pPr>
              <w:pStyle w:val="TableParagraph"/>
              <w:ind w:left="62" w:right="74"/>
              <w:jc w:val="center"/>
              <w:rPr>
                <w:b/>
                <w:sz w:val="20"/>
              </w:rPr>
            </w:pPr>
            <w:r>
              <w:rPr>
                <w:b/>
                <w:sz w:val="20"/>
              </w:rPr>
              <w:t>Sr. No.</w:t>
            </w:r>
          </w:p>
        </w:tc>
        <w:tc>
          <w:tcPr>
            <w:tcW w:w="4436" w:type="dxa"/>
            <w:tcBorders>
              <w:left w:val="single" w:sz="4" w:space="0" w:color="000000"/>
              <w:bottom w:val="single" w:sz="4" w:space="0" w:color="000000"/>
              <w:right w:val="single" w:sz="4" w:space="0" w:color="000000"/>
            </w:tcBorders>
            <w:shd w:val="clear" w:color="auto" w:fill="D9D9D9"/>
          </w:tcPr>
          <w:p>
            <w:pPr>
              <w:pStyle w:val="TableParagraph"/>
              <w:ind w:left="1642" w:right="1643"/>
              <w:jc w:val="center"/>
              <w:rPr>
                <w:b/>
                <w:sz w:val="20"/>
              </w:rPr>
            </w:pPr>
            <w:r>
              <w:rPr>
                <w:b/>
                <w:sz w:val="20"/>
              </w:rPr>
              <w:t>Description</w:t>
            </w:r>
          </w:p>
        </w:tc>
        <w:tc>
          <w:tcPr>
            <w:tcW w:w="1635" w:type="dxa"/>
            <w:tcBorders>
              <w:left w:val="single" w:sz="4" w:space="0" w:color="000000"/>
              <w:bottom w:val="single" w:sz="4" w:space="0" w:color="000000"/>
              <w:right w:val="single" w:sz="4" w:space="0" w:color="000000"/>
            </w:tcBorders>
            <w:shd w:val="clear" w:color="auto" w:fill="D9D9D9"/>
          </w:tcPr>
          <w:p>
            <w:pPr>
              <w:pStyle w:val="TableParagraph"/>
              <w:ind w:left="219" w:right="220"/>
              <w:jc w:val="center"/>
              <w:rPr>
                <w:b/>
                <w:sz w:val="20"/>
              </w:rPr>
            </w:pPr>
            <w:r>
              <w:rPr>
                <w:b/>
                <w:sz w:val="20"/>
              </w:rPr>
              <w:t>No. of PAPs</w:t>
            </w:r>
          </w:p>
        </w:tc>
        <w:tc>
          <w:tcPr>
            <w:tcW w:w="1802" w:type="dxa"/>
            <w:tcBorders>
              <w:left w:val="single" w:sz="4" w:space="0" w:color="000000"/>
              <w:bottom w:val="single" w:sz="4" w:space="0" w:color="000000"/>
            </w:tcBorders>
            <w:shd w:val="clear" w:color="auto" w:fill="D9D9D9"/>
          </w:tcPr>
          <w:p>
            <w:pPr>
              <w:pStyle w:val="TableParagraph"/>
              <w:ind w:left="114" w:right="106"/>
              <w:jc w:val="center"/>
              <w:rPr>
                <w:b/>
                <w:sz w:val="20"/>
              </w:rPr>
            </w:pPr>
            <w:r>
              <w:rPr>
                <w:b/>
                <w:sz w:val="20"/>
              </w:rPr>
              <w:t>Rate (PKR)</w:t>
            </w:r>
          </w:p>
        </w:tc>
      </w:tr>
      <w:tr>
        <w:trPr>
          <w:trHeight w:val="821" w:hRule="exact"/>
        </w:trPr>
        <w:tc>
          <w:tcPr>
            <w:tcW w:w="840" w:type="dxa"/>
            <w:tcBorders>
              <w:top w:val="single" w:sz="4" w:space="0" w:color="000000"/>
              <w:bottom w:val="single" w:sz="4" w:space="0" w:color="000000"/>
              <w:right w:val="single" w:sz="4" w:space="0" w:color="000000"/>
            </w:tcBorders>
          </w:tcPr>
          <w:p>
            <w:pPr>
              <w:pStyle w:val="TableParagraph"/>
              <w:ind w:right="7"/>
              <w:jc w:val="center"/>
              <w:rPr>
                <w:sz w:val="20"/>
              </w:rPr>
            </w:pPr>
            <w:r>
              <w:rPr>
                <w:w w:val="99"/>
                <w:sz w:val="20"/>
              </w:rPr>
              <w:t>1</w:t>
            </w:r>
          </w:p>
        </w:tc>
        <w:tc>
          <w:tcPr>
            <w:tcW w:w="443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Rehabilitation Assistance for Loss of Business</w:t>
            </w:r>
          </w:p>
        </w:tc>
        <w:tc>
          <w:tcPr>
            <w:tcW w:w="1635" w:type="dxa"/>
            <w:tcBorders>
              <w:top w:val="single" w:sz="4" w:space="0" w:color="000000"/>
              <w:left w:val="single" w:sz="4" w:space="0" w:color="000000"/>
              <w:bottom w:val="single" w:sz="4" w:space="0" w:color="000000"/>
              <w:right w:val="single" w:sz="4" w:space="0" w:color="000000"/>
            </w:tcBorders>
          </w:tcPr>
          <w:p>
            <w:pPr>
              <w:pStyle w:val="TableParagraph"/>
              <w:ind w:left="219" w:right="220"/>
              <w:jc w:val="center"/>
              <w:rPr>
                <w:sz w:val="20"/>
              </w:rPr>
            </w:pPr>
            <w:r>
              <w:rPr>
                <w:sz w:val="20"/>
              </w:rPr>
              <w:t>82</w:t>
            </w:r>
          </w:p>
        </w:tc>
        <w:tc>
          <w:tcPr>
            <w:tcW w:w="1802" w:type="dxa"/>
            <w:tcBorders>
              <w:top w:val="single" w:sz="4" w:space="0" w:color="000000"/>
              <w:left w:val="single" w:sz="4" w:space="0" w:color="000000"/>
              <w:bottom w:val="single" w:sz="4" w:space="0" w:color="000000"/>
            </w:tcBorders>
          </w:tcPr>
          <w:p>
            <w:pPr>
              <w:pStyle w:val="TableParagraph"/>
              <w:ind w:left="117" w:right="106"/>
              <w:jc w:val="center"/>
              <w:rPr>
                <w:sz w:val="13"/>
              </w:rPr>
            </w:pPr>
            <w:r>
              <w:rPr>
                <w:sz w:val="20"/>
              </w:rPr>
              <w:t>As per Income as reflected in Table 7 and 8</w:t>
            </w:r>
            <w:r>
              <w:rPr>
                <w:position w:val="6"/>
                <w:sz w:val="13"/>
              </w:rPr>
              <w:t>1</w:t>
            </w:r>
          </w:p>
        </w:tc>
      </w:tr>
      <w:tr>
        <w:trPr>
          <w:trHeight w:val="360" w:hRule="exact"/>
        </w:trPr>
        <w:tc>
          <w:tcPr>
            <w:tcW w:w="840" w:type="dxa"/>
            <w:tcBorders>
              <w:top w:val="single" w:sz="4" w:space="0" w:color="000000"/>
              <w:bottom w:val="single" w:sz="4" w:space="0" w:color="000000"/>
              <w:right w:val="single" w:sz="4" w:space="0" w:color="000000"/>
            </w:tcBorders>
          </w:tcPr>
          <w:p>
            <w:pPr>
              <w:pStyle w:val="TableParagraph"/>
              <w:ind w:right="7"/>
              <w:jc w:val="center"/>
              <w:rPr>
                <w:sz w:val="20"/>
              </w:rPr>
            </w:pPr>
            <w:r>
              <w:rPr>
                <w:w w:val="99"/>
                <w:sz w:val="20"/>
              </w:rPr>
              <w:t>2</w:t>
            </w:r>
          </w:p>
        </w:tc>
        <w:tc>
          <w:tcPr>
            <w:tcW w:w="443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Employment Loss</w:t>
            </w:r>
          </w:p>
        </w:tc>
        <w:tc>
          <w:tcPr>
            <w:tcW w:w="1635" w:type="dxa"/>
            <w:tcBorders>
              <w:top w:val="single" w:sz="4" w:space="0" w:color="000000"/>
              <w:left w:val="single" w:sz="4" w:space="0" w:color="000000"/>
              <w:bottom w:val="single" w:sz="4" w:space="0" w:color="000000"/>
              <w:right w:val="single" w:sz="4" w:space="0" w:color="000000"/>
            </w:tcBorders>
          </w:tcPr>
          <w:p>
            <w:pPr>
              <w:pStyle w:val="TableParagraph"/>
              <w:ind w:left="219" w:right="220"/>
              <w:jc w:val="center"/>
              <w:rPr>
                <w:sz w:val="20"/>
              </w:rPr>
            </w:pPr>
            <w:r>
              <w:rPr>
                <w:sz w:val="20"/>
              </w:rPr>
              <w:t>38</w:t>
            </w:r>
          </w:p>
        </w:tc>
        <w:tc>
          <w:tcPr>
            <w:tcW w:w="1802" w:type="dxa"/>
            <w:tcBorders>
              <w:top w:val="single" w:sz="4" w:space="0" w:color="000000"/>
              <w:left w:val="single" w:sz="4" w:space="0" w:color="000000"/>
              <w:bottom w:val="single" w:sz="4" w:space="0" w:color="000000"/>
            </w:tcBorders>
          </w:tcPr>
          <w:p>
            <w:pPr>
              <w:pStyle w:val="TableParagraph"/>
              <w:ind w:left="113" w:right="106"/>
              <w:jc w:val="center"/>
              <w:rPr>
                <w:sz w:val="20"/>
              </w:rPr>
            </w:pPr>
            <w:r>
              <w:rPr>
                <w:sz w:val="20"/>
              </w:rPr>
              <w:t>48,000</w:t>
            </w:r>
          </w:p>
        </w:tc>
      </w:tr>
      <w:tr>
        <w:trPr>
          <w:trHeight w:val="367" w:hRule="exact"/>
        </w:trPr>
        <w:tc>
          <w:tcPr>
            <w:tcW w:w="840" w:type="dxa"/>
            <w:tcBorders>
              <w:top w:val="single" w:sz="4" w:space="0" w:color="000000"/>
              <w:right w:val="single" w:sz="4" w:space="0" w:color="000000"/>
            </w:tcBorders>
          </w:tcPr>
          <w:p>
            <w:pPr>
              <w:pStyle w:val="TableParagraph"/>
              <w:ind w:right="7"/>
              <w:jc w:val="center"/>
              <w:rPr>
                <w:sz w:val="20"/>
              </w:rPr>
            </w:pPr>
            <w:r>
              <w:rPr>
                <w:w w:val="99"/>
                <w:sz w:val="20"/>
              </w:rPr>
              <w:t>3</w:t>
            </w:r>
          </w:p>
        </w:tc>
        <w:tc>
          <w:tcPr>
            <w:tcW w:w="4436" w:type="dxa"/>
            <w:tcBorders>
              <w:top w:val="single" w:sz="4" w:space="0" w:color="000000"/>
              <w:left w:val="single" w:sz="4" w:space="0" w:color="000000"/>
              <w:right w:val="single" w:sz="4" w:space="0" w:color="000000"/>
            </w:tcBorders>
          </w:tcPr>
          <w:p>
            <w:pPr>
              <w:pStyle w:val="TableParagraph"/>
              <w:ind w:left="67"/>
              <w:rPr>
                <w:sz w:val="20"/>
              </w:rPr>
            </w:pPr>
            <w:r>
              <w:rPr>
                <w:sz w:val="20"/>
              </w:rPr>
              <w:t>Vulnerability Allowances</w:t>
            </w:r>
          </w:p>
        </w:tc>
        <w:tc>
          <w:tcPr>
            <w:tcW w:w="1635" w:type="dxa"/>
            <w:tcBorders>
              <w:top w:val="single" w:sz="4" w:space="0" w:color="000000"/>
              <w:left w:val="single" w:sz="4" w:space="0" w:color="000000"/>
              <w:right w:val="single" w:sz="4" w:space="0" w:color="000000"/>
            </w:tcBorders>
          </w:tcPr>
          <w:p>
            <w:pPr>
              <w:pStyle w:val="TableParagraph"/>
              <w:ind w:left="219" w:right="220"/>
              <w:jc w:val="center"/>
              <w:rPr>
                <w:sz w:val="20"/>
              </w:rPr>
            </w:pPr>
            <w:r>
              <w:rPr>
                <w:sz w:val="20"/>
              </w:rPr>
              <w:t>19</w:t>
            </w:r>
          </w:p>
        </w:tc>
        <w:tc>
          <w:tcPr>
            <w:tcW w:w="1802" w:type="dxa"/>
            <w:tcBorders>
              <w:top w:val="single" w:sz="4" w:space="0" w:color="000000"/>
              <w:left w:val="single" w:sz="4" w:space="0" w:color="000000"/>
            </w:tcBorders>
          </w:tcPr>
          <w:p>
            <w:pPr>
              <w:pStyle w:val="TableParagraph"/>
              <w:ind w:left="113" w:right="106"/>
              <w:jc w:val="center"/>
              <w:rPr>
                <w:sz w:val="20"/>
              </w:rPr>
            </w:pPr>
            <w:r>
              <w:rPr>
                <w:sz w:val="20"/>
              </w:rPr>
              <w:t>48,000</w:t>
            </w:r>
          </w:p>
        </w:tc>
      </w:tr>
    </w:tbl>
    <w:p>
      <w:pPr>
        <w:pStyle w:val="BodyText"/>
        <w:spacing w:before="1"/>
        <w:rPr>
          <w:b/>
          <w:sz w:val="21"/>
        </w:rPr>
      </w:pPr>
    </w:p>
    <w:p>
      <w:pPr>
        <w:pStyle w:val="Heading2"/>
        <w:numPr>
          <w:ilvl w:val="1"/>
          <w:numId w:val="29"/>
        </w:numPr>
        <w:tabs>
          <w:tab w:pos="1445" w:val="left" w:leader="none"/>
        </w:tabs>
        <w:spacing w:line="240" w:lineRule="auto" w:before="0" w:after="0"/>
        <w:ind w:left="1444" w:right="0" w:hanging="576"/>
        <w:jc w:val="both"/>
      </w:pPr>
      <w:bookmarkStart w:name="_bookmark59" w:id="97"/>
      <w:bookmarkEnd w:id="97"/>
      <w:r>
        <w:rPr>
          <w:b w:val="0"/>
        </w:rPr>
      </w:r>
      <w:bookmarkStart w:name="_bookmark59" w:id="98"/>
      <w:bookmarkEnd w:id="98"/>
      <w:r>
        <w:rPr/>
        <w:t>E</w:t>
      </w:r>
      <w:r>
        <w:rPr/>
        <w:t>ntitlements</w:t>
      </w:r>
    </w:p>
    <w:p>
      <w:pPr>
        <w:pStyle w:val="ListParagraph"/>
        <w:numPr>
          <w:ilvl w:val="0"/>
          <w:numId w:val="30"/>
        </w:numPr>
        <w:tabs>
          <w:tab w:pos="1589" w:val="left" w:leader="none"/>
        </w:tabs>
        <w:spacing w:line="276" w:lineRule="auto" w:before="163" w:after="0"/>
        <w:ind w:left="868" w:right="154" w:firstLine="0"/>
        <w:jc w:val="both"/>
        <w:rPr>
          <w:sz w:val="22"/>
        </w:rPr>
      </w:pPr>
      <w:r>
        <w:rPr>
          <w:sz w:val="22"/>
        </w:rPr>
        <w:t>All</w:t>
      </w:r>
      <w:r>
        <w:rPr>
          <w:spacing w:val="-7"/>
          <w:sz w:val="22"/>
        </w:rPr>
        <w:t> </w:t>
      </w:r>
      <w:r>
        <w:rPr>
          <w:sz w:val="22"/>
        </w:rPr>
        <w:t>PAPs</w:t>
      </w:r>
      <w:r>
        <w:rPr>
          <w:spacing w:val="-6"/>
          <w:sz w:val="22"/>
        </w:rPr>
        <w:t> </w:t>
      </w:r>
      <w:r>
        <w:rPr>
          <w:sz w:val="22"/>
        </w:rPr>
        <w:t>will</w:t>
      </w:r>
      <w:r>
        <w:rPr>
          <w:spacing w:val="-7"/>
          <w:sz w:val="22"/>
        </w:rPr>
        <w:t> </w:t>
      </w:r>
      <w:r>
        <w:rPr>
          <w:sz w:val="22"/>
        </w:rPr>
        <w:t>be</w:t>
      </w:r>
      <w:r>
        <w:rPr>
          <w:spacing w:val="-7"/>
          <w:sz w:val="22"/>
        </w:rPr>
        <w:t> </w:t>
      </w:r>
      <w:r>
        <w:rPr>
          <w:sz w:val="22"/>
        </w:rPr>
        <w:t>entitled</w:t>
      </w:r>
      <w:r>
        <w:rPr>
          <w:spacing w:val="-9"/>
          <w:sz w:val="22"/>
        </w:rPr>
        <w:t> </w:t>
      </w:r>
      <w:r>
        <w:rPr>
          <w:sz w:val="22"/>
        </w:rPr>
        <w:t>to</w:t>
      </w:r>
      <w:r>
        <w:rPr>
          <w:spacing w:val="-6"/>
          <w:sz w:val="22"/>
        </w:rPr>
        <w:t> </w:t>
      </w:r>
      <w:r>
        <w:rPr>
          <w:sz w:val="22"/>
        </w:rPr>
        <w:t>a</w:t>
      </w:r>
      <w:r>
        <w:rPr>
          <w:spacing w:val="-9"/>
          <w:sz w:val="22"/>
        </w:rPr>
        <w:t> </w:t>
      </w:r>
      <w:r>
        <w:rPr>
          <w:sz w:val="22"/>
        </w:rPr>
        <w:t>combination</w:t>
      </w:r>
      <w:r>
        <w:rPr>
          <w:spacing w:val="-9"/>
          <w:sz w:val="22"/>
        </w:rPr>
        <w:t> </w:t>
      </w:r>
      <w:r>
        <w:rPr>
          <w:sz w:val="22"/>
        </w:rPr>
        <w:t>of</w:t>
      </w:r>
      <w:r>
        <w:rPr>
          <w:spacing w:val="-5"/>
          <w:sz w:val="22"/>
        </w:rPr>
        <w:t> </w:t>
      </w:r>
      <w:r>
        <w:rPr>
          <w:sz w:val="22"/>
        </w:rPr>
        <w:t>compensation</w:t>
      </w:r>
      <w:r>
        <w:rPr>
          <w:spacing w:val="-9"/>
          <w:sz w:val="22"/>
        </w:rPr>
        <w:t> </w:t>
      </w:r>
      <w:r>
        <w:rPr>
          <w:sz w:val="22"/>
        </w:rPr>
        <w:t>measures</w:t>
      </w:r>
      <w:r>
        <w:rPr>
          <w:spacing w:val="-6"/>
          <w:sz w:val="22"/>
        </w:rPr>
        <w:t> </w:t>
      </w:r>
      <w:r>
        <w:rPr>
          <w:sz w:val="22"/>
        </w:rPr>
        <w:t>and</w:t>
      </w:r>
      <w:r>
        <w:rPr>
          <w:spacing w:val="-9"/>
          <w:sz w:val="22"/>
        </w:rPr>
        <w:t> </w:t>
      </w:r>
      <w:r>
        <w:rPr>
          <w:sz w:val="22"/>
        </w:rPr>
        <w:t>livelihood assistance,</w:t>
      </w:r>
      <w:r>
        <w:rPr>
          <w:spacing w:val="-8"/>
          <w:sz w:val="22"/>
        </w:rPr>
        <w:t> </w:t>
      </w:r>
      <w:r>
        <w:rPr>
          <w:sz w:val="22"/>
        </w:rPr>
        <w:t>depending</w:t>
      </w:r>
      <w:r>
        <w:rPr>
          <w:spacing w:val="-4"/>
          <w:sz w:val="22"/>
        </w:rPr>
        <w:t> </w:t>
      </w:r>
      <w:r>
        <w:rPr>
          <w:sz w:val="22"/>
        </w:rPr>
        <w:t>on</w:t>
      </w:r>
      <w:r>
        <w:rPr>
          <w:spacing w:val="-6"/>
          <w:sz w:val="22"/>
        </w:rPr>
        <w:t> </w:t>
      </w:r>
      <w:r>
        <w:rPr>
          <w:sz w:val="22"/>
        </w:rPr>
        <w:t>the</w:t>
      </w:r>
      <w:r>
        <w:rPr>
          <w:spacing w:val="-9"/>
          <w:sz w:val="22"/>
        </w:rPr>
        <w:t> </w:t>
      </w:r>
      <w:r>
        <w:rPr>
          <w:sz w:val="22"/>
        </w:rPr>
        <w:t>nature</w:t>
      </w:r>
      <w:r>
        <w:rPr>
          <w:spacing w:val="-6"/>
          <w:sz w:val="22"/>
        </w:rPr>
        <w:t> </w:t>
      </w:r>
      <w:r>
        <w:rPr>
          <w:sz w:val="22"/>
        </w:rPr>
        <w:t>of</w:t>
      </w:r>
      <w:r>
        <w:rPr>
          <w:spacing w:val="-8"/>
          <w:sz w:val="22"/>
        </w:rPr>
        <w:t> </w:t>
      </w:r>
      <w:r>
        <w:rPr>
          <w:sz w:val="22"/>
        </w:rPr>
        <w:t>scope</w:t>
      </w:r>
      <w:r>
        <w:rPr>
          <w:spacing w:val="-9"/>
          <w:sz w:val="22"/>
        </w:rPr>
        <w:t> </w:t>
      </w:r>
      <w:r>
        <w:rPr>
          <w:sz w:val="22"/>
        </w:rPr>
        <w:t>of</w:t>
      </w:r>
      <w:r>
        <w:rPr>
          <w:spacing w:val="-5"/>
          <w:sz w:val="22"/>
        </w:rPr>
        <w:t> </w:t>
      </w:r>
      <w:r>
        <w:rPr>
          <w:sz w:val="22"/>
        </w:rPr>
        <w:t>the</w:t>
      </w:r>
      <w:r>
        <w:rPr>
          <w:spacing w:val="-7"/>
          <w:sz w:val="22"/>
        </w:rPr>
        <w:t> </w:t>
      </w:r>
      <w:r>
        <w:rPr>
          <w:sz w:val="22"/>
        </w:rPr>
        <w:t>impact,</w:t>
      </w:r>
      <w:r>
        <w:rPr>
          <w:spacing w:val="-7"/>
          <w:sz w:val="22"/>
        </w:rPr>
        <w:t> </w:t>
      </w:r>
      <w:r>
        <w:rPr>
          <w:sz w:val="22"/>
        </w:rPr>
        <w:t>including</w:t>
      </w:r>
      <w:r>
        <w:rPr>
          <w:spacing w:val="-7"/>
          <w:sz w:val="22"/>
        </w:rPr>
        <w:t> </w:t>
      </w:r>
      <w:r>
        <w:rPr>
          <w:sz w:val="22"/>
        </w:rPr>
        <w:t>social</w:t>
      </w:r>
      <w:r>
        <w:rPr>
          <w:spacing w:val="-7"/>
          <w:sz w:val="22"/>
        </w:rPr>
        <w:t> </w:t>
      </w:r>
      <w:r>
        <w:rPr>
          <w:sz w:val="22"/>
        </w:rPr>
        <w:t>and</w:t>
      </w:r>
      <w:r>
        <w:rPr>
          <w:spacing w:val="-6"/>
          <w:sz w:val="22"/>
        </w:rPr>
        <w:t> </w:t>
      </w:r>
      <w:r>
        <w:rPr>
          <w:sz w:val="22"/>
        </w:rPr>
        <w:t>economic</w:t>
      </w:r>
    </w:p>
    <w:p>
      <w:pPr>
        <w:pStyle w:val="BodyText"/>
        <w:rPr>
          <w:sz w:val="20"/>
        </w:rPr>
      </w:pPr>
    </w:p>
    <w:p>
      <w:pPr>
        <w:pStyle w:val="BodyText"/>
        <w:spacing w:before="9"/>
        <w:rPr>
          <w:sz w:val="19"/>
        </w:rPr>
      </w:pPr>
      <w:r>
        <w:rPr/>
        <w:pict>
          <v:line style="position:absolute;mso-position-horizontal-relative:page;mso-position-vertical-relative:paragraph;z-index:1480;mso-wrap-distance-left:0;mso-wrap-distance-right:0" from="50.400002pt,13.667592pt" to="194.450002pt,13.667592pt" stroked="true" strokeweight=".599980pt" strokecolor="#000000">
            <v:stroke dashstyle="solid"/>
            <w10:wrap type="topAndBottom"/>
          </v:line>
        </w:pict>
      </w:r>
    </w:p>
    <w:p>
      <w:pPr>
        <w:spacing w:before="62"/>
        <w:ind w:left="868" w:right="172" w:firstLine="0"/>
        <w:jc w:val="left"/>
        <w:rPr>
          <w:sz w:val="20"/>
        </w:rPr>
      </w:pPr>
      <w:r>
        <w:rPr>
          <w:position w:val="6"/>
          <w:sz w:val="13"/>
        </w:rPr>
        <w:t>1 </w:t>
      </w:r>
      <w:r>
        <w:rPr>
          <w:sz w:val="20"/>
        </w:rPr>
        <w:t>Due to lack of documentation and to avoid future disputes arising from PAPs on compensation amount, each PAP was enquired about their average monthly income. To avoid under-estimation or over-estimation, the monthly income was further probed asking various questions and to check total assets of the business outlet for arriving on a consensus-based figure. The averaging of income for same types of businesses also helped to triangulate the authenticity of the earnings from the PAPs.</w:t>
      </w:r>
    </w:p>
    <w:p>
      <w:pPr>
        <w:spacing w:after="0"/>
        <w:jc w:val="left"/>
        <w:rPr>
          <w:sz w:val="20"/>
        </w:rPr>
        <w:sectPr>
          <w:pgSz w:w="11910" w:h="16840"/>
          <w:pgMar w:header="583" w:footer="575" w:top="840" w:bottom="760" w:left="860" w:right="1280"/>
        </w:sectPr>
      </w:pPr>
    </w:p>
    <w:p>
      <w:pPr>
        <w:pStyle w:val="BodyText"/>
        <w:rPr>
          <w:sz w:val="20"/>
        </w:rPr>
      </w:pPr>
    </w:p>
    <w:p>
      <w:pPr>
        <w:pStyle w:val="BodyText"/>
        <w:rPr>
          <w:sz w:val="20"/>
        </w:rPr>
      </w:pPr>
    </w:p>
    <w:p>
      <w:pPr>
        <w:pStyle w:val="BodyText"/>
        <w:spacing w:before="10"/>
        <w:rPr>
          <w:sz w:val="27"/>
        </w:rPr>
      </w:pPr>
    </w:p>
    <w:p>
      <w:pPr>
        <w:pStyle w:val="BodyText"/>
        <w:spacing w:line="276" w:lineRule="auto" w:before="93"/>
        <w:ind w:left="868" w:right="154"/>
        <w:jc w:val="both"/>
      </w:pPr>
      <w:r>
        <w:rPr/>
        <w:t>vulnerability of the affected persons. In general terms, the PAPs will be entitled to one or more of the following types of compensation and assistance:</w:t>
      </w:r>
    </w:p>
    <w:p>
      <w:pPr>
        <w:pStyle w:val="ListParagraph"/>
        <w:numPr>
          <w:ilvl w:val="1"/>
          <w:numId w:val="30"/>
        </w:numPr>
        <w:tabs>
          <w:tab w:pos="1948" w:val="left" w:leader="none"/>
          <w:tab w:pos="1949" w:val="left" w:leader="none"/>
        </w:tabs>
        <w:spacing w:line="240" w:lineRule="auto" w:before="119" w:after="0"/>
        <w:ind w:left="1948" w:right="0" w:hanging="360"/>
        <w:jc w:val="left"/>
        <w:rPr>
          <w:sz w:val="22"/>
        </w:rPr>
      </w:pPr>
      <w:r>
        <w:rPr>
          <w:sz w:val="22"/>
        </w:rPr>
        <w:t>Assistance for loss of business/wage</w:t>
      </w:r>
      <w:r>
        <w:rPr>
          <w:spacing w:val="-10"/>
          <w:sz w:val="22"/>
        </w:rPr>
        <w:t> </w:t>
      </w:r>
      <w:r>
        <w:rPr>
          <w:sz w:val="22"/>
        </w:rPr>
        <w:t>income;</w:t>
      </w:r>
    </w:p>
    <w:p>
      <w:pPr>
        <w:pStyle w:val="ListParagraph"/>
        <w:numPr>
          <w:ilvl w:val="1"/>
          <w:numId w:val="30"/>
        </w:numPr>
        <w:tabs>
          <w:tab w:pos="1948" w:val="left" w:leader="none"/>
          <w:tab w:pos="1949" w:val="left" w:leader="none"/>
        </w:tabs>
        <w:spacing w:line="271" w:lineRule="auto" w:before="37" w:after="0"/>
        <w:ind w:left="1948" w:right="153" w:hanging="360"/>
        <w:jc w:val="left"/>
        <w:rPr>
          <w:sz w:val="22"/>
        </w:rPr>
      </w:pPr>
      <w:r>
        <w:rPr>
          <w:sz w:val="22"/>
        </w:rPr>
        <w:t>Development assistance such as training and business development support services.</w:t>
      </w:r>
    </w:p>
    <w:p>
      <w:pPr>
        <w:pStyle w:val="ListParagraph"/>
        <w:numPr>
          <w:ilvl w:val="0"/>
          <w:numId w:val="30"/>
        </w:numPr>
        <w:tabs>
          <w:tab w:pos="1589" w:val="left" w:leader="none"/>
        </w:tabs>
        <w:spacing w:line="276" w:lineRule="auto" w:before="5" w:after="0"/>
        <w:ind w:left="868" w:right="151" w:firstLine="0"/>
        <w:jc w:val="both"/>
        <w:rPr>
          <w:sz w:val="22"/>
        </w:rPr>
      </w:pPr>
      <w:r>
        <w:rPr>
          <w:sz w:val="22"/>
        </w:rPr>
        <w:t>The entitlement matrix has been prepared to cover all PAPs regardless of formal legal</w:t>
      </w:r>
      <w:r>
        <w:rPr>
          <w:spacing w:val="-15"/>
          <w:sz w:val="22"/>
        </w:rPr>
        <w:t> </w:t>
      </w:r>
      <w:r>
        <w:rPr>
          <w:sz w:val="22"/>
        </w:rPr>
        <w:t>rights</w:t>
      </w:r>
      <w:r>
        <w:rPr>
          <w:spacing w:val="-15"/>
          <w:sz w:val="22"/>
        </w:rPr>
        <w:t> </w:t>
      </w:r>
      <w:r>
        <w:rPr>
          <w:sz w:val="22"/>
        </w:rPr>
        <w:t>to</w:t>
      </w:r>
      <w:r>
        <w:rPr>
          <w:spacing w:val="-16"/>
          <w:sz w:val="22"/>
        </w:rPr>
        <w:t> </w:t>
      </w:r>
      <w:r>
        <w:rPr>
          <w:sz w:val="22"/>
        </w:rPr>
        <w:t>restore</w:t>
      </w:r>
      <w:r>
        <w:rPr>
          <w:spacing w:val="-15"/>
          <w:sz w:val="22"/>
        </w:rPr>
        <w:t> </w:t>
      </w:r>
      <w:r>
        <w:rPr>
          <w:sz w:val="22"/>
        </w:rPr>
        <w:t>or</w:t>
      </w:r>
      <w:r>
        <w:rPr>
          <w:spacing w:val="-13"/>
          <w:sz w:val="22"/>
        </w:rPr>
        <w:t> </w:t>
      </w:r>
      <w:r>
        <w:rPr>
          <w:sz w:val="22"/>
        </w:rPr>
        <w:t>enhance</w:t>
      </w:r>
      <w:r>
        <w:rPr>
          <w:spacing w:val="-13"/>
          <w:sz w:val="22"/>
        </w:rPr>
        <w:t> </w:t>
      </w:r>
      <w:r>
        <w:rPr>
          <w:sz w:val="22"/>
        </w:rPr>
        <w:t>the</w:t>
      </w:r>
      <w:r>
        <w:rPr>
          <w:spacing w:val="-13"/>
          <w:sz w:val="22"/>
        </w:rPr>
        <w:t> </w:t>
      </w:r>
      <w:r>
        <w:rPr>
          <w:sz w:val="22"/>
        </w:rPr>
        <w:t>livelihoods</w:t>
      </w:r>
      <w:r>
        <w:rPr>
          <w:spacing w:val="-13"/>
          <w:sz w:val="22"/>
        </w:rPr>
        <w:t> </w:t>
      </w:r>
      <w:r>
        <w:rPr>
          <w:sz w:val="22"/>
        </w:rPr>
        <w:t>of</w:t>
      </w:r>
      <w:r>
        <w:rPr>
          <w:spacing w:val="-15"/>
          <w:sz w:val="22"/>
        </w:rPr>
        <w:t> </w:t>
      </w:r>
      <w:r>
        <w:rPr>
          <w:sz w:val="22"/>
        </w:rPr>
        <w:t>all</w:t>
      </w:r>
      <w:r>
        <w:rPr>
          <w:spacing w:val="-14"/>
          <w:sz w:val="22"/>
        </w:rPr>
        <w:t> </w:t>
      </w:r>
      <w:r>
        <w:rPr>
          <w:sz w:val="22"/>
        </w:rPr>
        <w:t>categories</w:t>
      </w:r>
      <w:r>
        <w:rPr>
          <w:spacing w:val="-16"/>
          <w:sz w:val="22"/>
        </w:rPr>
        <w:t> </w:t>
      </w:r>
      <w:r>
        <w:rPr>
          <w:sz w:val="22"/>
        </w:rPr>
        <w:t>of</w:t>
      </w:r>
      <w:r>
        <w:rPr>
          <w:spacing w:val="-9"/>
          <w:sz w:val="22"/>
        </w:rPr>
        <w:t> </w:t>
      </w:r>
      <w:r>
        <w:rPr>
          <w:sz w:val="22"/>
        </w:rPr>
        <w:t>PAPs,</w:t>
      </w:r>
      <w:r>
        <w:rPr>
          <w:spacing w:val="-15"/>
          <w:sz w:val="22"/>
        </w:rPr>
        <w:t> </w:t>
      </w:r>
      <w:r>
        <w:rPr>
          <w:sz w:val="22"/>
        </w:rPr>
        <w:t>particularly</w:t>
      </w:r>
      <w:r>
        <w:rPr>
          <w:spacing w:val="-16"/>
          <w:sz w:val="22"/>
        </w:rPr>
        <w:t> </w:t>
      </w:r>
      <w:r>
        <w:rPr>
          <w:sz w:val="22"/>
        </w:rPr>
        <w:t>those who are non-title holders and vulnerable. The detail of entitlements is given in the Table 6 below:</w:t>
      </w:r>
    </w:p>
    <w:p>
      <w:pPr>
        <w:pStyle w:val="Heading3"/>
        <w:spacing w:before="120"/>
        <w:ind w:left="3837"/>
        <w:jc w:val="left"/>
      </w:pPr>
      <w:bookmarkStart w:name="_bookmark60" w:id="99"/>
      <w:bookmarkEnd w:id="99"/>
      <w:r>
        <w:rPr>
          <w:b w:val="0"/>
        </w:rPr>
      </w:r>
      <w:r>
        <w:rPr>
          <w:u w:val="thick"/>
        </w:rPr>
        <w:t>Table 6: Entitlement Matrix</w:t>
      </w:r>
    </w:p>
    <w:p>
      <w:pPr>
        <w:pStyle w:val="BodyText"/>
        <w:spacing w:before="6"/>
        <w:rPr>
          <w:b/>
          <w:sz w:val="10"/>
        </w:rPr>
      </w:pPr>
    </w:p>
    <w:tbl>
      <w:tblPr>
        <w:tblW w:w="0" w:type="auto"/>
        <w:jc w:val="left"/>
        <w:tblInd w:w="9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69"/>
        <w:gridCol w:w="1237"/>
        <w:gridCol w:w="972"/>
        <w:gridCol w:w="1589"/>
        <w:gridCol w:w="4275"/>
      </w:tblGrid>
      <w:tr>
        <w:trPr>
          <w:trHeight w:val="601" w:hRule="exact"/>
        </w:trPr>
        <w:tc>
          <w:tcPr>
            <w:tcW w:w="569" w:type="dxa"/>
            <w:tcBorders>
              <w:bottom w:val="single" w:sz="4" w:space="0" w:color="000000"/>
              <w:right w:val="single" w:sz="4" w:space="0" w:color="000000"/>
            </w:tcBorders>
            <w:shd w:val="clear" w:color="auto" w:fill="BEBEBE"/>
          </w:tcPr>
          <w:p>
            <w:pPr>
              <w:pStyle w:val="TableParagraph"/>
              <w:ind w:left="57"/>
              <w:rPr>
                <w:b/>
                <w:sz w:val="20"/>
              </w:rPr>
            </w:pPr>
            <w:r>
              <w:rPr>
                <w:b/>
                <w:sz w:val="20"/>
              </w:rPr>
              <w:t>Sr.</w:t>
            </w:r>
          </w:p>
          <w:p>
            <w:pPr>
              <w:pStyle w:val="TableParagraph"/>
              <w:spacing w:before="0"/>
              <w:ind w:left="57"/>
              <w:rPr>
                <w:b/>
                <w:sz w:val="20"/>
              </w:rPr>
            </w:pPr>
            <w:r>
              <w:rPr>
                <w:b/>
                <w:sz w:val="20"/>
              </w:rPr>
              <w:t>No.</w:t>
            </w:r>
          </w:p>
        </w:tc>
        <w:tc>
          <w:tcPr>
            <w:tcW w:w="1237" w:type="dxa"/>
            <w:tcBorders>
              <w:left w:val="single" w:sz="4" w:space="0" w:color="000000"/>
              <w:bottom w:val="single" w:sz="4" w:space="0" w:color="000000"/>
              <w:right w:val="single" w:sz="4" w:space="0" w:color="000000"/>
            </w:tcBorders>
            <w:shd w:val="clear" w:color="auto" w:fill="BEBEBE"/>
          </w:tcPr>
          <w:p>
            <w:pPr>
              <w:pStyle w:val="TableParagraph"/>
              <w:spacing w:before="174"/>
              <w:ind w:left="64"/>
              <w:rPr>
                <w:b/>
                <w:sz w:val="20"/>
              </w:rPr>
            </w:pPr>
            <w:r>
              <w:rPr>
                <w:b/>
                <w:sz w:val="20"/>
              </w:rPr>
              <w:t>Category</w:t>
            </w:r>
          </w:p>
        </w:tc>
        <w:tc>
          <w:tcPr>
            <w:tcW w:w="972" w:type="dxa"/>
            <w:tcBorders>
              <w:left w:val="single" w:sz="4" w:space="0" w:color="000000"/>
              <w:bottom w:val="single" w:sz="4" w:space="0" w:color="000000"/>
              <w:right w:val="single" w:sz="4" w:space="0" w:color="000000"/>
            </w:tcBorders>
            <w:shd w:val="clear" w:color="auto" w:fill="BEBEBE"/>
          </w:tcPr>
          <w:p>
            <w:pPr>
              <w:pStyle w:val="TableParagraph"/>
              <w:ind w:left="64" w:right="167"/>
              <w:rPr>
                <w:b/>
                <w:sz w:val="20"/>
              </w:rPr>
            </w:pPr>
            <w:r>
              <w:rPr>
                <w:b/>
                <w:sz w:val="20"/>
              </w:rPr>
              <w:t>Type of Loss</w:t>
            </w:r>
          </w:p>
        </w:tc>
        <w:tc>
          <w:tcPr>
            <w:tcW w:w="1589" w:type="dxa"/>
            <w:tcBorders>
              <w:left w:val="single" w:sz="4" w:space="0" w:color="000000"/>
              <w:bottom w:val="single" w:sz="4" w:space="0" w:color="000000"/>
              <w:right w:val="single" w:sz="4" w:space="0" w:color="000000"/>
            </w:tcBorders>
            <w:shd w:val="clear" w:color="auto" w:fill="BEBEBE"/>
          </w:tcPr>
          <w:p>
            <w:pPr>
              <w:pStyle w:val="TableParagraph"/>
              <w:spacing w:before="174"/>
              <w:ind w:left="64"/>
              <w:rPr>
                <w:b/>
                <w:sz w:val="20"/>
              </w:rPr>
            </w:pPr>
            <w:r>
              <w:rPr>
                <w:b/>
                <w:sz w:val="20"/>
              </w:rPr>
              <w:t>Entitled PAP</w:t>
            </w:r>
          </w:p>
        </w:tc>
        <w:tc>
          <w:tcPr>
            <w:tcW w:w="4275" w:type="dxa"/>
            <w:tcBorders>
              <w:left w:val="single" w:sz="4" w:space="0" w:color="000000"/>
              <w:bottom w:val="single" w:sz="4" w:space="0" w:color="000000"/>
            </w:tcBorders>
            <w:shd w:val="clear" w:color="auto" w:fill="BEBEBE"/>
          </w:tcPr>
          <w:p>
            <w:pPr>
              <w:pStyle w:val="TableParagraph"/>
              <w:spacing w:before="174"/>
              <w:ind w:left="64"/>
              <w:rPr>
                <w:b/>
                <w:sz w:val="20"/>
              </w:rPr>
            </w:pPr>
            <w:r>
              <w:rPr>
                <w:b/>
                <w:sz w:val="20"/>
              </w:rPr>
              <w:t>Compensation Policy</w:t>
            </w:r>
          </w:p>
        </w:tc>
      </w:tr>
      <w:tr>
        <w:trPr>
          <w:trHeight w:val="1622" w:hRule="exact"/>
        </w:trPr>
        <w:tc>
          <w:tcPr>
            <w:tcW w:w="569" w:type="dxa"/>
            <w:tcBorders>
              <w:top w:val="single" w:sz="4" w:space="0" w:color="000000"/>
              <w:bottom w:val="single" w:sz="4" w:space="0" w:color="000000"/>
              <w:right w:val="single" w:sz="4" w:space="0" w:color="000000"/>
            </w:tcBorders>
          </w:tcPr>
          <w:p>
            <w:pPr>
              <w:pStyle w:val="TableParagraph"/>
              <w:spacing w:line="230" w:lineRule="exact" w:before="0"/>
              <w:ind w:right="9"/>
              <w:jc w:val="center"/>
              <w:rPr>
                <w:sz w:val="20"/>
              </w:rPr>
            </w:pPr>
            <w:r>
              <w:rPr>
                <w:w w:val="99"/>
                <w:sz w:val="20"/>
              </w:rPr>
              <w:t>1</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tabs>
                <w:tab w:pos="988" w:val="left" w:leader="none"/>
              </w:tabs>
              <w:spacing w:line="276" w:lineRule="auto" w:before="0"/>
              <w:ind w:left="64" w:right="70"/>
              <w:rPr>
                <w:sz w:val="20"/>
              </w:rPr>
            </w:pPr>
            <w:r>
              <w:rPr>
                <w:sz w:val="20"/>
              </w:rPr>
              <w:t>Loss</w:t>
              <w:tab/>
              <w:t>of Business</w:t>
            </w:r>
          </w:p>
        </w:tc>
        <w:tc>
          <w:tcPr>
            <w:tcW w:w="972" w:type="dxa"/>
            <w:tcBorders>
              <w:top w:val="single" w:sz="4" w:space="0" w:color="000000"/>
              <w:left w:val="single" w:sz="4" w:space="0" w:color="000000"/>
              <w:bottom w:val="single" w:sz="4" w:space="0" w:color="000000"/>
              <w:right w:val="single" w:sz="4" w:space="0" w:color="000000"/>
            </w:tcBorders>
          </w:tcPr>
          <w:p>
            <w:pPr>
              <w:pStyle w:val="TableParagraph"/>
              <w:spacing w:line="276" w:lineRule="auto" w:before="0"/>
              <w:ind w:left="64" w:right="70"/>
              <w:jc w:val="both"/>
              <w:rPr>
                <w:sz w:val="20"/>
              </w:rPr>
            </w:pPr>
            <w:r>
              <w:rPr>
                <w:sz w:val="20"/>
              </w:rPr>
              <w:t>Loss of business income</w:t>
            </w:r>
          </w:p>
        </w:tc>
        <w:tc>
          <w:tcPr>
            <w:tcW w:w="1589" w:type="dxa"/>
            <w:tcBorders>
              <w:top w:val="single" w:sz="4" w:space="0" w:color="000000"/>
              <w:left w:val="single" w:sz="4" w:space="0" w:color="000000"/>
              <w:bottom w:val="single" w:sz="4" w:space="0" w:color="000000"/>
              <w:right w:val="single" w:sz="4" w:space="0" w:color="000000"/>
            </w:tcBorders>
          </w:tcPr>
          <w:p>
            <w:pPr>
              <w:pStyle w:val="TableParagraph"/>
              <w:tabs>
                <w:tab w:pos="1175" w:val="left" w:leader="none"/>
              </w:tabs>
              <w:spacing w:line="276" w:lineRule="auto" w:before="0"/>
              <w:ind w:left="64" w:right="69" w:firstLine="55"/>
              <w:rPr>
                <w:sz w:val="20"/>
              </w:rPr>
            </w:pPr>
            <w:r>
              <w:rPr>
                <w:sz w:val="20"/>
              </w:rPr>
              <w:t>82 businesses (vendors</w:t>
              <w:tab/>
              <w:t>and</w:t>
            </w:r>
            <w:r>
              <w:rPr>
                <w:w w:val="99"/>
                <w:sz w:val="20"/>
              </w:rPr>
              <w:t> </w:t>
            </w:r>
            <w:r>
              <w:rPr>
                <w:sz w:val="20"/>
              </w:rPr>
              <w:t>Nurseries owner)</w:t>
            </w:r>
          </w:p>
        </w:tc>
        <w:tc>
          <w:tcPr>
            <w:tcW w:w="4275" w:type="dxa"/>
            <w:tcBorders>
              <w:top w:val="single" w:sz="4" w:space="0" w:color="000000"/>
              <w:left w:val="single" w:sz="4" w:space="0" w:color="000000"/>
              <w:bottom w:val="single" w:sz="4" w:space="0" w:color="000000"/>
            </w:tcBorders>
          </w:tcPr>
          <w:p>
            <w:pPr>
              <w:pStyle w:val="TableParagraph"/>
              <w:numPr>
                <w:ilvl w:val="0"/>
                <w:numId w:val="31"/>
              </w:numPr>
              <w:tabs>
                <w:tab w:pos="262" w:val="left" w:leader="none"/>
              </w:tabs>
              <w:spacing w:line="273" w:lineRule="auto" w:before="0" w:after="0"/>
              <w:ind w:left="261" w:right="55" w:hanging="197"/>
              <w:jc w:val="both"/>
              <w:rPr>
                <w:sz w:val="20"/>
              </w:rPr>
            </w:pPr>
            <w:r>
              <w:rPr>
                <w:sz w:val="20"/>
              </w:rPr>
              <w:t>Cash payment for 12 months transitional allowance as per monthly income from the business (lump sum</w:t>
            </w:r>
            <w:r>
              <w:rPr>
                <w:spacing w:val="-10"/>
                <w:sz w:val="20"/>
              </w:rPr>
              <w:t> </w:t>
            </w:r>
            <w:r>
              <w:rPr>
                <w:sz w:val="20"/>
              </w:rPr>
              <w:t>payment).</w:t>
            </w:r>
          </w:p>
          <w:p>
            <w:pPr>
              <w:pStyle w:val="TableParagraph"/>
              <w:numPr>
                <w:ilvl w:val="0"/>
                <w:numId w:val="31"/>
              </w:numPr>
              <w:tabs>
                <w:tab w:pos="262" w:val="left" w:leader="none"/>
              </w:tabs>
              <w:spacing w:line="273" w:lineRule="auto" w:before="3" w:after="0"/>
              <w:ind w:left="261" w:right="62" w:hanging="197"/>
              <w:jc w:val="both"/>
              <w:rPr>
                <w:sz w:val="20"/>
              </w:rPr>
            </w:pPr>
            <w:r>
              <w:rPr>
                <w:sz w:val="20"/>
              </w:rPr>
              <w:t>Temporary and permanent employment to members of PAHs during construction or operation of the project, where</w:t>
            </w:r>
            <w:r>
              <w:rPr>
                <w:spacing w:val="-14"/>
                <w:sz w:val="20"/>
              </w:rPr>
              <w:t> </w:t>
            </w:r>
            <w:r>
              <w:rPr>
                <w:sz w:val="20"/>
              </w:rPr>
              <w:t>feasible.</w:t>
            </w:r>
          </w:p>
        </w:tc>
      </w:tr>
      <w:tr>
        <w:trPr>
          <w:trHeight w:val="2168" w:hRule="exact"/>
        </w:trPr>
        <w:tc>
          <w:tcPr>
            <w:tcW w:w="569" w:type="dxa"/>
            <w:tcBorders>
              <w:top w:val="single" w:sz="4" w:space="0" w:color="000000"/>
              <w:bottom w:val="single" w:sz="4" w:space="0" w:color="000000"/>
              <w:right w:val="single" w:sz="4" w:space="0" w:color="000000"/>
            </w:tcBorders>
          </w:tcPr>
          <w:p>
            <w:pPr>
              <w:pStyle w:val="TableParagraph"/>
              <w:spacing w:before="2"/>
              <w:ind w:right="9"/>
              <w:jc w:val="center"/>
              <w:rPr>
                <w:sz w:val="20"/>
              </w:rPr>
            </w:pPr>
            <w:r>
              <w:rPr>
                <w:w w:val="99"/>
                <w:sz w:val="20"/>
              </w:rPr>
              <w:t>2</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tabs>
                <w:tab w:pos="988" w:val="left" w:leader="none"/>
              </w:tabs>
              <w:spacing w:line="276" w:lineRule="auto" w:before="2"/>
              <w:ind w:left="64" w:right="70"/>
              <w:rPr>
                <w:sz w:val="20"/>
              </w:rPr>
            </w:pPr>
            <w:r>
              <w:rPr>
                <w:sz w:val="20"/>
              </w:rPr>
              <w:t>Loss</w:t>
              <w:tab/>
              <w:t>of employment</w:t>
            </w:r>
          </w:p>
        </w:tc>
        <w:tc>
          <w:tcPr>
            <w:tcW w:w="972" w:type="dxa"/>
            <w:tcBorders>
              <w:top w:val="single" w:sz="4" w:space="0" w:color="000000"/>
              <w:left w:val="single" w:sz="4" w:space="0" w:color="000000"/>
              <w:bottom w:val="single" w:sz="4" w:space="0" w:color="000000"/>
              <w:right w:val="single" w:sz="4" w:space="0" w:color="000000"/>
            </w:tcBorders>
          </w:tcPr>
          <w:p>
            <w:pPr>
              <w:pStyle w:val="TableParagraph"/>
              <w:tabs>
                <w:tab w:pos="724" w:val="left" w:leader="none"/>
              </w:tabs>
              <w:spacing w:line="276" w:lineRule="auto" w:before="2"/>
              <w:ind w:left="64" w:right="70"/>
              <w:rPr>
                <w:sz w:val="20"/>
              </w:rPr>
            </w:pPr>
            <w:r>
              <w:rPr>
                <w:sz w:val="20"/>
              </w:rPr>
              <w:t>Loss</w:t>
              <w:tab/>
              <w:t>of</w:t>
            </w:r>
            <w:r>
              <w:rPr>
                <w:w w:val="99"/>
                <w:sz w:val="20"/>
              </w:rPr>
              <w:t> </w:t>
            </w:r>
            <w:r>
              <w:rPr>
                <w:sz w:val="20"/>
              </w:rPr>
              <w:t>income</w:t>
            </w:r>
          </w:p>
        </w:tc>
        <w:tc>
          <w:tcPr>
            <w:tcW w:w="1589" w:type="dxa"/>
            <w:tcBorders>
              <w:top w:val="single" w:sz="4" w:space="0" w:color="000000"/>
              <w:left w:val="single" w:sz="4" w:space="0" w:color="000000"/>
              <w:bottom w:val="single" w:sz="4" w:space="0" w:color="000000"/>
              <w:right w:val="single" w:sz="4" w:space="0" w:color="000000"/>
            </w:tcBorders>
          </w:tcPr>
          <w:p>
            <w:pPr>
              <w:pStyle w:val="TableParagraph"/>
              <w:spacing w:before="2"/>
              <w:ind w:left="64"/>
              <w:rPr>
                <w:sz w:val="20"/>
              </w:rPr>
            </w:pPr>
            <w:r>
              <w:rPr>
                <w:sz w:val="20"/>
              </w:rPr>
              <w:t>38 employees</w:t>
            </w:r>
          </w:p>
        </w:tc>
        <w:tc>
          <w:tcPr>
            <w:tcW w:w="4275" w:type="dxa"/>
            <w:tcBorders>
              <w:top w:val="single" w:sz="4" w:space="0" w:color="000000"/>
              <w:left w:val="single" w:sz="4" w:space="0" w:color="000000"/>
              <w:bottom w:val="single" w:sz="4" w:space="0" w:color="000000"/>
            </w:tcBorders>
          </w:tcPr>
          <w:p>
            <w:pPr>
              <w:pStyle w:val="TableParagraph"/>
              <w:numPr>
                <w:ilvl w:val="0"/>
                <w:numId w:val="32"/>
              </w:numPr>
              <w:tabs>
                <w:tab w:pos="262" w:val="left" w:leader="none"/>
              </w:tabs>
              <w:spacing w:line="273" w:lineRule="auto" w:before="3" w:after="0"/>
              <w:ind w:left="261" w:right="54" w:hanging="197"/>
              <w:jc w:val="both"/>
              <w:rPr>
                <w:sz w:val="20"/>
              </w:rPr>
            </w:pPr>
            <w:r>
              <w:rPr>
                <w:sz w:val="20"/>
              </w:rPr>
              <w:t>One-time lump sum payment in cash for transition period equivalent to 3 months as per officially announced minimum wage by the GoS</w:t>
            </w:r>
            <w:r>
              <w:rPr>
                <w:spacing w:val="-6"/>
                <w:sz w:val="20"/>
              </w:rPr>
              <w:t> </w:t>
            </w:r>
            <w:r>
              <w:rPr>
                <w:sz w:val="20"/>
              </w:rPr>
              <w:t>(16,000/month).</w:t>
            </w:r>
          </w:p>
          <w:p>
            <w:pPr>
              <w:pStyle w:val="TableParagraph"/>
              <w:numPr>
                <w:ilvl w:val="0"/>
                <w:numId w:val="32"/>
              </w:numPr>
              <w:tabs>
                <w:tab w:pos="262" w:val="left" w:leader="none"/>
              </w:tabs>
              <w:spacing w:line="240" w:lineRule="auto" w:before="3" w:after="0"/>
              <w:ind w:left="261" w:right="0" w:hanging="197"/>
              <w:jc w:val="left"/>
              <w:rPr>
                <w:sz w:val="20"/>
              </w:rPr>
            </w:pPr>
            <w:r>
              <w:rPr>
                <w:sz w:val="20"/>
              </w:rPr>
              <w:t>Notification in one-month</w:t>
            </w:r>
            <w:r>
              <w:rPr>
                <w:spacing w:val="-10"/>
                <w:sz w:val="20"/>
              </w:rPr>
              <w:t> </w:t>
            </w:r>
            <w:r>
              <w:rPr>
                <w:sz w:val="20"/>
              </w:rPr>
              <w:t>advance</w:t>
            </w:r>
          </w:p>
          <w:p>
            <w:pPr>
              <w:pStyle w:val="TableParagraph"/>
              <w:numPr>
                <w:ilvl w:val="0"/>
                <w:numId w:val="32"/>
              </w:numPr>
              <w:tabs>
                <w:tab w:pos="262" w:val="left" w:leader="none"/>
              </w:tabs>
              <w:spacing w:line="273" w:lineRule="auto" w:before="32" w:after="0"/>
              <w:ind w:left="261" w:right="58" w:hanging="197"/>
              <w:jc w:val="both"/>
              <w:rPr>
                <w:sz w:val="20"/>
              </w:rPr>
            </w:pPr>
            <w:r>
              <w:rPr>
                <w:sz w:val="20"/>
              </w:rPr>
              <w:t>Temporary and permanent employment to members of PAHs during construction or operation of the project, where</w:t>
            </w:r>
            <w:r>
              <w:rPr>
                <w:spacing w:val="-14"/>
                <w:sz w:val="20"/>
              </w:rPr>
              <w:t> </w:t>
            </w:r>
            <w:r>
              <w:rPr>
                <w:sz w:val="20"/>
              </w:rPr>
              <w:t>feasible.</w:t>
            </w:r>
          </w:p>
        </w:tc>
      </w:tr>
      <w:tr>
        <w:trPr>
          <w:trHeight w:val="1896" w:hRule="exact"/>
        </w:trPr>
        <w:tc>
          <w:tcPr>
            <w:tcW w:w="569" w:type="dxa"/>
            <w:tcBorders>
              <w:top w:val="single" w:sz="4" w:space="0" w:color="000000"/>
              <w:right w:val="single" w:sz="4" w:space="0" w:color="000000"/>
            </w:tcBorders>
          </w:tcPr>
          <w:p>
            <w:pPr>
              <w:pStyle w:val="TableParagraph"/>
              <w:spacing w:line="230" w:lineRule="exact" w:before="0"/>
              <w:ind w:right="9"/>
              <w:jc w:val="center"/>
              <w:rPr>
                <w:sz w:val="20"/>
              </w:rPr>
            </w:pPr>
            <w:r>
              <w:rPr>
                <w:w w:val="99"/>
                <w:sz w:val="20"/>
              </w:rPr>
              <w:t>3</w:t>
            </w:r>
          </w:p>
        </w:tc>
        <w:tc>
          <w:tcPr>
            <w:tcW w:w="1237" w:type="dxa"/>
            <w:tcBorders>
              <w:top w:val="single" w:sz="4" w:space="0" w:color="000000"/>
              <w:left w:val="single" w:sz="4" w:space="0" w:color="000000"/>
              <w:right w:val="single" w:sz="4" w:space="0" w:color="000000"/>
            </w:tcBorders>
          </w:tcPr>
          <w:p>
            <w:pPr>
              <w:pStyle w:val="TableParagraph"/>
              <w:spacing w:line="276" w:lineRule="auto" w:before="0"/>
              <w:ind w:left="64"/>
              <w:rPr>
                <w:sz w:val="20"/>
              </w:rPr>
            </w:pPr>
            <w:r>
              <w:rPr>
                <w:sz w:val="20"/>
              </w:rPr>
              <w:t>Vulnerable </w:t>
            </w:r>
            <w:r>
              <w:rPr>
                <w:w w:val="95"/>
                <w:sz w:val="20"/>
              </w:rPr>
              <w:t>households</w:t>
            </w:r>
          </w:p>
        </w:tc>
        <w:tc>
          <w:tcPr>
            <w:tcW w:w="972" w:type="dxa"/>
            <w:tcBorders>
              <w:top w:val="single" w:sz="4" w:space="0" w:color="000000"/>
              <w:left w:val="single" w:sz="4" w:space="0" w:color="000000"/>
              <w:right w:val="single" w:sz="4" w:space="0" w:color="000000"/>
            </w:tcBorders>
          </w:tcPr>
          <w:p>
            <w:pPr>
              <w:pStyle w:val="TableParagraph"/>
              <w:spacing w:line="276" w:lineRule="auto" w:before="0"/>
              <w:ind w:left="64" w:right="70"/>
              <w:jc w:val="both"/>
              <w:rPr>
                <w:sz w:val="20"/>
              </w:rPr>
            </w:pPr>
            <w:r>
              <w:rPr>
                <w:sz w:val="20"/>
              </w:rPr>
              <w:t>Poor and vulnerabl e PAHs</w:t>
            </w:r>
          </w:p>
        </w:tc>
        <w:tc>
          <w:tcPr>
            <w:tcW w:w="1589" w:type="dxa"/>
            <w:tcBorders>
              <w:top w:val="single" w:sz="4" w:space="0" w:color="000000"/>
              <w:left w:val="single" w:sz="4" w:space="0" w:color="000000"/>
              <w:right w:val="single" w:sz="4" w:space="0" w:color="000000"/>
            </w:tcBorders>
          </w:tcPr>
          <w:p>
            <w:pPr>
              <w:pStyle w:val="TableParagraph"/>
              <w:spacing w:line="276" w:lineRule="auto" w:before="0"/>
              <w:ind w:left="64" w:right="165"/>
              <w:rPr>
                <w:sz w:val="20"/>
              </w:rPr>
            </w:pPr>
            <w:r>
              <w:rPr>
                <w:sz w:val="20"/>
              </w:rPr>
              <w:t>16 BPL and 3 disabled</w:t>
            </w:r>
          </w:p>
        </w:tc>
        <w:tc>
          <w:tcPr>
            <w:tcW w:w="4275" w:type="dxa"/>
            <w:tcBorders>
              <w:top w:val="single" w:sz="4" w:space="0" w:color="000000"/>
              <w:left w:val="single" w:sz="4" w:space="0" w:color="000000"/>
            </w:tcBorders>
          </w:tcPr>
          <w:p>
            <w:pPr>
              <w:pStyle w:val="TableParagraph"/>
              <w:numPr>
                <w:ilvl w:val="0"/>
                <w:numId w:val="33"/>
              </w:numPr>
              <w:tabs>
                <w:tab w:pos="243" w:val="left" w:leader="none"/>
              </w:tabs>
              <w:spacing w:line="273" w:lineRule="auto" w:before="0" w:after="0"/>
              <w:ind w:left="242" w:right="61" w:hanging="178"/>
              <w:jc w:val="both"/>
              <w:rPr>
                <w:sz w:val="20"/>
              </w:rPr>
            </w:pPr>
            <w:r>
              <w:rPr>
                <w:sz w:val="20"/>
              </w:rPr>
              <w:t>One-time lump sum assistance allowance in cash</w:t>
            </w:r>
            <w:r>
              <w:rPr>
                <w:spacing w:val="-15"/>
                <w:sz w:val="20"/>
              </w:rPr>
              <w:t> </w:t>
            </w:r>
            <w:r>
              <w:rPr>
                <w:sz w:val="20"/>
              </w:rPr>
              <w:t>equivalent</w:t>
            </w:r>
            <w:r>
              <w:rPr>
                <w:spacing w:val="-13"/>
                <w:sz w:val="20"/>
              </w:rPr>
              <w:t> </w:t>
            </w:r>
            <w:r>
              <w:rPr>
                <w:sz w:val="20"/>
              </w:rPr>
              <w:t>to</w:t>
            </w:r>
            <w:r>
              <w:rPr>
                <w:spacing w:val="-13"/>
                <w:sz w:val="20"/>
              </w:rPr>
              <w:t> </w:t>
            </w:r>
            <w:r>
              <w:rPr>
                <w:sz w:val="20"/>
              </w:rPr>
              <w:t>3</w:t>
            </w:r>
            <w:r>
              <w:rPr>
                <w:spacing w:val="-15"/>
                <w:sz w:val="20"/>
              </w:rPr>
              <w:t> </w:t>
            </w:r>
            <w:r>
              <w:rPr>
                <w:sz w:val="20"/>
              </w:rPr>
              <w:t>months’</w:t>
            </w:r>
            <w:r>
              <w:rPr>
                <w:spacing w:val="-16"/>
                <w:sz w:val="20"/>
              </w:rPr>
              <w:t> </w:t>
            </w:r>
            <w:r>
              <w:rPr>
                <w:sz w:val="20"/>
              </w:rPr>
              <w:t>official</w:t>
            </w:r>
            <w:r>
              <w:rPr>
                <w:spacing w:val="-16"/>
                <w:sz w:val="20"/>
              </w:rPr>
              <w:t> </w:t>
            </w:r>
            <w:r>
              <w:rPr>
                <w:sz w:val="20"/>
              </w:rPr>
              <w:t>minimum wage rate to all below the poverty line vulnerable</w:t>
            </w:r>
            <w:r>
              <w:rPr>
                <w:spacing w:val="-13"/>
                <w:sz w:val="20"/>
              </w:rPr>
              <w:t> </w:t>
            </w:r>
            <w:r>
              <w:rPr>
                <w:sz w:val="20"/>
              </w:rPr>
              <w:t>households.</w:t>
            </w:r>
          </w:p>
          <w:p>
            <w:pPr>
              <w:pStyle w:val="TableParagraph"/>
              <w:numPr>
                <w:ilvl w:val="0"/>
                <w:numId w:val="33"/>
              </w:numPr>
              <w:tabs>
                <w:tab w:pos="243" w:val="left" w:leader="none"/>
              </w:tabs>
              <w:spacing w:line="273" w:lineRule="auto" w:before="5" w:after="0"/>
              <w:ind w:left="242" w:right="61" w:hanging="178"/>
              <w:jc w:val="both"/>
              <w:rPr>
                <w:sz w:val="20"/>
              </w:rPr>
            </w:pPr>
            <w:r>
              <w:rPr>
                <w:sz w:val="20"/>
              </w:rPr>
              <w:t>Temporary and permanent employment to members of PAHs during construction or operation of the project, where</w:t>
            </w:r>
            <w:r>
              <w:rPr>
                <w:spacing w:val="-11"/>
                <w:sz w:val="20"/>
              </w:rPr>
              <w:t> </w:t>
            </w:r>
            <w:r>
              <w:rPr>
                <w:sz w:val="20"/>
              </w:rPr>
              <w:t>feasible.</w:t>
            </w:r>
          </w:p>
        </w:tc>
      </w:tr>
    </w:tbl>
    <w:p>
      <w:pPr>
        <w:spacing w:after="0" w:line="273" w:lineRule="auto"/>
        <w:jc w:val="both"/>
        <w:rPr>
          <w:sz w:val="20"/>
        </w:rPr>
        <w:sectPr>
          <w:pgSz w:w="11910" w:h="16840"/>
          <w:pgMar w:header="583" w:footer="575" w:top="840" w:bottom="760" w:left="860" w:right="1280"/>
        </w:sectPr>
      </w:pPr>
    </w:p>
    <w:p>
      <w:pPr>
        <w:pStyle w:val="BodyText"/>
        <w:rPr>
          <w:b/>
          <w:sz w:val="20"/>
        </w:rPr>
      </w:pPr>
    </w:p>
    <w:p>
      <w:pPr>
        <w:pStyle w:val="BodyText"/>
        <w:rPr>
          <w:b/>
          <w:sz w:val="20"/>
        </w:rPr>
      </w:pPr>
    </w:p>
    <w:p>
      <w:pPr>
        <w:pStyle w:val="BodyText"/>
        <w:rPr>
          <w:b/>
          <w:sz w:val="28"/>
        </w:rPr>
      </w:pPr>
    </w:p>
    <w:p>
      <w:pPr>
        <w:pStyle w:val="Heading2"/>
        <w:numPr>
          <w:ilvl w:val="0"/>
          <w:numId w:val="34"/>
        </w:numPr>
        <w:tabs>
          <w:tab w:pos="1301" w:val="left" w:leader="none"/>
        </w:tabs>
        <w:spacing w:line="240" w:lineRule="auto" w:before="92" w:after="0"/>
        <w:ind w:left="1300" w:right="0" w:hanging="432"/>
        <w:jc w:val="both"/>
      </w:pPr>
      <w:bookmarkStart w:name="_bookmark61" w:id="100"/>
      <w:bookmarkEnd w:id="100"/>
      <w:r>
        <w:rPr>
          <w:b w:val="0"/>
        </w:rPr>
      </w:r>
      <w:bookmarkStart w:name="_bookmark61" w:id="101"/>
      <w:bookmarkEnd w:id="101"/>
      <w:r>
        <w:rPr/>
        <w:t>S</w:t>
      </w:r>
      <w:r>
        <w:rPr/>
        <w:t>TAKEHOLDER CONSULTATION AND INFORMATION</w:t>
      </w:r>
      <w:r>
        <w:rPr>
          <w:spacing w:val="-15"/>
        </w:rPr>
        <w:t> </w:t>
      </w:r>
      <w:r>
        <w:rPr/>
        <w:t>DISCLOSURE</w:t>
      </w:r>
    </w:p>
    <w:p>
      <w:pPr>
        <w:pStyle w:val="BodyText"/>
        <w:spacing w:before="3"/>
        <w:rPr>
          <w:b/>
          <w:sz w:val="31"/>
        </w:rPr>
      </w:pPr>
    </w:p>
    <w:p>
      <w:pPr>
        <w:pStyle w:val="Heading2"/>
        <w:numPr>
          <w:ilvl w:val="1"/>
          <w:numId w:val="34"/>
        </w:numPr>
        <w:tabs>
          <w:tab w:pos="1445" w:val="left" w:leader="none"/>
        </w:tabs>
        <w:spacing w:line="240" w:lineRule="auto" w:before="0" w:after="0"/>
        <w:ind w:left="1444" w:right="0" w:hanging="576"/>
        <w:jc w:val="both"/>
      </w:pPr>
      <w:bookmarkStart w:name="_bookmark62" w:id="102"/>
      <w:bookmarkEnd w:id="102"/>
      <w:r>
        <w:rPr>
          <w:b w:val="0"/>
        </w:rPr>
      </w:r>
      <w:bookmarkStart w:name="_bookmark62" w:id="103"/>
      <w:bookmarkEnd w:id="103"/>
      <w:r>
        <w:rPr/>
        <w:t>Intro</w:t>
      </w:r>
      <w:r>
        <w:rPr/>
        <w:t>duction</w:t>
      </w:r>
    </w:p>
    <w:p>
      <w:pPr>
        <w:pStyle w:val="ListParagraph"/>
        <w:numPr>
          <w:ilvl w:val="0"/>
          <w:numId w:val="35"/>
        </w:numPr>
        <w:tabs>
          <w:tab w:pos="1589" w:val="left" w:leader="none"/>
        </w:tabs>
        <w:spacing w:line="276" w:lineRule="auto" w:before="160" w:after="0"/>
        <w:ind w:left="868" w:right="152" w:firstLine="0"/>
        <w:jc w:val="both"/>
        <w:rPr>
          <w:sz w:val="22"/>
        </w:rPr>
      </w:pPr>
      <w:r>
        <w:rPr>
          <w:sz w:val="22"/>
        </w:rPr>
        <w:t>Planning effective and sustainable infrastructure investments requires an understanding of the needs and preferences of a wide range of stakeholders to ensure public ownership and support. Such intervention should proceed after stakeholders including communities have indicated their broad support for it. The purpose of public consultation</w:t>
      </w:r>
      <w:r>
        <w:rPr>
          <w:spacing w:val="-4"/>
          <w:sz w:val="22"/>
        </w:rPr>
        <w:t> </w:t>
      </w:r>
      <w:r>
        <w:rPr>
          <w:sz w:val="22"/>
        </w:rPr>
        <w:t>is</w:t>
      </w:r>
      <w:r>
        <w:rPr>
          <w:spacing w:val="-6"/>
          <w:sz w:val="22"/>
        </w:rPr>
        <w:t> </w:t>
      </w:r>
      <w:r>
        <w:rPr>
          <w:sz w:val="22"/>
        </w:rPr>
        <w:t>to</w:t>
      </w:r>
      <w:r>
        <w:rPr>
          <w:spacing w:val="-4"/>
          <w:sz w:val="22"/>
        </w:rPr>
        <w:t> </w:t>
      </w:r>
      <w:r>
        <w:rPr>
          <w:sz w:val="22"/>
        </w:rPr>
        <w:t>ensure</w:t>
      </w:r>
      <w:r>
        <w:rPr>
          <w:spacing w:val="-6"/>
          <w:sz w:val="22"/>
        </w:rPr>
        <w:t> </w:t>
      </w:r>
      <w:r>
        <w:rPr>
          <w:sz w:val="22"/>
        </w:rPr>
        <w:t>that</w:t>
      </w:r>
      <w:r>
        <w:rPr>
          <w:spacing w:val="-5"/>
          <w:sz w:val="22"/>
        </w:rPr>
        <w:t> </w:t>
      </w:r>
      <w:r>
        <w:rPr>
          <w:sz w:val="22"/>
        </w:rPr>
        <w:t>the</w:t>
      </w:r>
      <w:r>
        <w:rPr>
          <w:spacing w:val="-4"/>
          <w:sz w:val="22"/>
        </w:rPr>
        <w:t> </w:t>
      </w:r>
      <w:r>
        <w:rPr>
          <w:sz w:val="22"/>
        </w:rPr>
        <w:t>views,</w:t>
      </w:r>
      <w:r>
        <w:rPr>
          <w:spacing w:val="-3"/>
          <w:sz w:val="22"/>
        </w:rPr>
        <w:t> </w:t>
      </w:r>
      <w:r>
        <w:rPr>
          <w:sz w:val="22"/>
        </w:rPr>
        <w:t>interests</w:t>
      </w:r>
      <w:r>
        <w:rPr>
          <w:spacing w:val="-6"/>
          <w:sz w:val="22"/>
        </w:rPr>
        <w:t> </w:t>
      </w:r>
      <w:r>
        <w:rPr>
          <w:sz w:val="22"/>
        </w:rPr>
        <w:t>and</w:t>
      </w:r>
      <w:r>
        <w:rPr>
          <w:spacing w:val="-4"/>
          <w:sz w:val="22"/>
        </w:rPr>
        <w:t> </w:t>
      </w:r>
      <w:r>
        <w:rPr>
          <w:sz w:val="22"/>
        </w:rPr>
        <w:t>concerns</w:t>
      </w:r>
      <w:r>
        <w:rPr>
          <w:spacing w:val="-6"/>
          <w:sz w:val="22"/>
        </w:rPr>
        <w:t> </w:t>
      </w:r>
      <w:r>
        <w:rPr>
          <w:sz w:val="22"/>
        </w:rPr>
        <w:t>of</w:t>
      </w:r>
      <w:r>
        <w:rPr>
          <w:spacing w:val="-3"/>
          <w:sz w:val="22"/>
        </w:rPr>
        <w:t> </w:t>
      </w:r>
      <w:r>
        <w:rPr>
          <w:sz w:val="22"/>
        </w:rPr>
        <w:t>project</w:t>
      </w:r>
      <w:r>
        <w:rPr>
          <w:spacing w:val="-3"/>
          <w:sz w:val="22"/>
        </w:rPr>
        <w:t> </w:t>
      </w:r>
      <w:r>
        <w:rPr>
          <w:sz w:val="22"/>
        </w:rPr>
        <w:t>stakeholders</w:t>
      </w:r>
      <w:r>
        <w:rPr>
          <w:spacing w:val="-4"/>
          <w:sz w:val="22"/>
        </w:rPr>
        <w:t> </w:t>
      </w:r>
      <w:r>
        <w:rPr>
          <w:sz w:val="22"/>
        </w:rPr>
        <w:t>are taken into account in the assessment of the potential impacts of the project as well as in project decisions, particularly in the design of mitigation</w:t>
      </w:r>
      <w:r>
        <w:rPr>
          <w:spacing w:val="-23"/>
          <w:sz w:val="22"/>
        </w:rPr>
        <w:t> </w:t>
      </w:r>
      <w:r>
        <w:rPr>
          <w:sz w:val="22"/>
        </w:rPr>
        <w:t>measures.</w:t>
      </w:r>
    </w:p>
    <w:p>
      <w:pPr>
        <w:pStyle w:val="ListParagraph"/>
        <w:numPr>
          <w:ilvl w:val="0"/>
          <w:numId w:val="35"/>
        </w:numPr>
        <w:tabs>
          <w:tab w:pos="1589" w:val="left" w:leader="none"/>
        </w:tabs>
        <w:spacing w:line="240" w:lineRule="auto" w:before="120" w:after="0"/>
        <w:ind w:left="1588" w:right="0" w:hanging="720"/>
        <w:jc w:val="both"/>
        <w:rPr>
          <w:sz w:val="22"/>
        </w:rPr>
      </w:pPr>
      <w:r>
        <w:rPr>
          <w:sz w:val="22"/>
        </w:rPr>
        <w:t>The objectives of consultation</w:t>
      </w:r>
      <w:r>
        <w:rPr>
          <w:spacing w:val="-7"/>
          <w:sz w:val="22"/>
        </w:rPr>
        <w:t> </w:t>
      </w:r>
      <w:r>
        <w:rPr>
          <w:sz w:val="22"/>
        </w:rPr>
        <w:t>were:</w:t>
      </w:r>
    </w:p>
    <w:p>
      <w:pPr>
        <w:pStyle w:val="ListParagraph"/>
        <w:numPr>
          <w:ilvl w:val="1"/>
          <w:numId w:val="35"/>
        </w:numPr>
        <w:tabs>
          <w:tab w:pos="1588" w:val="left" w:leader="none"/>
          <w:tab w:pos="1589" w:val="left" w:leader="none"/>
        </w:tabs>
        <w:spacing w:line="240" w:lineRule="auto" w:before="157" w:after="0"/>
        <w:ind w:left="1588" w:right="0" w:hanging="360"/>
        <w:jc w:val="left"/>
        <w:rPr>
          <w:sz w:val="22"/>
        </w:rPr>
      </w:pPr>
      <w:r>
        <w:rPr>
          <w:sz w:val="22"/>
        </w:rPr>
        <w:t>To fully share key information about the project with the</w:t>
      </w:r>
      <w:r>
        <w:rPr>
          <w:spacing w:val="-12"/>
          <w:sz w:val="22"/>
        </w:rPr>
        <w:t> </w:t>
      </w:r>
      <w:r>
        <w:rPr>
          <w:sz w:val="22"/>
        </w:rPr>
        <w:t>PAPs;</w:t>
      </w:r>
    </w:p>
    <w:p>
      <w:pPr>
        <w:pStyle w:val="ListParagraph"/>
        <w:numPr>
          <w:ilvl w:val="1"/>
          <w:numId w:val="35"/>
        </w:numPr>
        <w:tabs>
          <w:tab w:pos="1589" w:val="left" w:leader="none"/>
        </w:tabs>
        <w:spacing w:line="273" w:lineRule="auto" w:before="35" w:after="0"/>
        <w:ind w:left="1588" w:right="241" w:hanging="360"/>
        <w:jc w:val="both"/>
        <w:rPr>
          <w:sz w:val="22"/>
        </w:rPr>
      </w:pPr>
      <w:r>
        <w:rPr>
          <w:sz w:val="22"/>
        </w:rPr>
        <w:t>To obtain information about the needs and proposed priorities of the affected people, as well as information about their reactions/feedback to activities during implementation of the</w:t>
      </w:r>
      <w:r>
        <w:rPr>
          <w:spacing w:val="-7"/>
          <w:sz w:val="22"/>
        </w:rPr>
        <w:t> </w:t>
      </w:r>
      <w:r>
        <w:rPr>
          <w:sz w:val="22"/>
        </w:rPr>
        <w:t>Project;</w:t>
      </w:r>
    </w:p>
    <w:p>
      <w:pPr>
        <w:pStyle w:val="ListParagraph"/>
        <w:numPr>
          <w:ilvl w:val="1"/>
          <w:numId w:val="35"/>
        </w:numPr>
        <w:tabs>
          <w:tab w:pos="1588" w:val="left" w:leader="none"/>
          <w:tab w:pos="1589" w:val="left" w:leader="none"/>
        </w:tabs>
        <w:spacing w:line="273" w:lineRule="auto" w:before="2" w:after="0"/>
        <w:ind w:left="1588" w:right="242" w:hanging="360"/>
        <w:jc w:val="left"/>
        <w:rPr>
          <w:sz w:val="22"/>
        </w:rPr>
      </w:pPr>
      <w:r>
        <w:rPr>
          <w:sz w:val="22"/>
        </w:rPr>
        <w:t>To ensure transparency in all activities related to rehabilitation/improvement and livelihood restoration for affected</w:t>
      </w:r>
      <w:r>
        <w:rPr>
          <w:spacing w:val="-10"/>
          <w:sz w:val="22"/>
        </w:rPr>
        <w:t> </w:t>
      </w:r>
      <w:r>
        <w:rPr>
          <w:sz w:val="22"/>
        </w:rPr>
        <w:t>communities.</w:t>
      </w:r>
    </w:p>
    <w:p>
      <w:pPr>
        <w:pStyle w:val="BodyText"/>
        <w:spacing w:before="1"/>
        <w:rPr>
          <w:sz w:val="21"/>
        </w:rPr>
      </w:pPr>
    </w:p>
    <w:p>
      <w:pPr>
        <w:pStyle w:val="Heading2"/>
        <w:numPr>
          <w:ilvl w:val="1"/>
          <w:numId w:val="34"/>
        </w:numPr>
        <w:tabs>
          <w:tab w:pos="1445" w:val="left" w:leader="none"/>
        </w:tabs>
        <w:spacing w:line="240" w:lineRule="auto" w:before="0" w:after="0"/>
        <w:ind w:left="1444" w:right="0" w:hanging="576"/>
        <w:jc w:val="both"/>
      </w:pPr>
      <w:bookmarkStart w:name="_bookmark63" w:id="104"/>
      <w:bookmarkEnd w:id="104"/>
      <w:r>
        <w:rPr>
          <w:b w:val="0"/>
        </w:rPr>
      </w:r>
      <w:bookmarkStart w:name="_bookmark63" w:id="105"/>
      <w:bookmarkEnd w:id="105"/>
      <w:r>
        <w:rPr/>
        <w:t>S</w:t>
      </w:r>
      <w:r>
        <w:rPr/>
        <w:t>takeholder Identification and</w:t>
      </w:r>
      <w:r>
        <w:rPr>
          <w:spacing w:val="-12"/>
        </w:rPr>
        <w:t> </w:t>
      </w:r>
      <w:r>
        <w:rPr/>
        <w:t>Analysis</w:t>
      </w:r>
    </w:p>
    <w:p>
      <w:pPr>
        <w:pStyle w:val="ListParagraph"/>
        <w:numPr>
          <w:ilvl w:val="0"/>
          <w:numId w:val="36"/>
        </w:numPr>
        <w:tabs>
          <w:tab w:pos="1589" w:val="left" w:leader="none"/>
        </w:tabs>
        <w:spacing w:line="276" w:lineRule="auto" w:before="160" w:after="0"/>
        <w:ind w:left="868" w:right="151" w:firstLine="0"/>
        <w:jc w:val="both"/>
        <w:rPr>
          <w:sz w:val="22"/>
        </w:rPr>
      </w:pPr>
      <w:r>
        <w:rPr>
          <w:sz w:val="22"/>
        </w:rPr>
        <w:t>The</w:t>
      </w:r>
      <w:r>
        <w:rPr>
          <w:spacing w:val="-12"/>
          <w:sz w:val="22"/>
        </w:rPr>
        <w:t> </w:t>
      </w:r>
      <w:r>
        <w:rPr>
          <w:sz w:val="22"/>
        </w:rPr>
        <w:t>purpose</w:t>
      </w:r>
      <w:r>
        <w:rPr>
          <w:spacing w:val="-12"/>
          <w:sz w:val="22"/>
        </w:rPr>
        <w:t> </w:t>
      </w:r>
      <w:r>
        <w:rPr>
          <w:sz w:val="22"/>
        </w:rPr>
        <w:t>of</w:t>
      </w:r>
      <w:r>
        <w:rPr>
          <w:spacing w:val="-11"/>
          <w:sz w:val="22"/>
        </w:rPr>
        <w:t> </w:t>
      </w:r>
      <w:r>
        <w:rPr>
          <w:sz w:val="22"/>
        </w:rPr>
        <w:t>the</w:t>
      </w:r>
      <w:r>
        <w:rPr>
          <w:spacing w:val="-12"/>
          <w:sz w:val="22"/>
        </w:rPr>
        <w:t> </w:t>
      </w:r>
      <w:r>
        <w:rPr>
          <w:sz w:val="22"/>
        </w:rPr>
        <w:t>stakeholder</w:t>
      </w:r>
      <w:r>
        <w:rPr>
          <w:spacing w:val="-9"/>
          <w:sz w:val="22"/>
        </w:rPr>
        <w:t> </w:t>
      </w:r>
      <w:r>
        <w:rPr>
          <w:sz w:val="22"/>
        </w:rPr>
        <w:t>identification</w:t>
      </w:r>
      <w:r>
        <w:rPr>
          <w:spacing w:val="-12"/>
          <w:sz w:val="22"/>
        </w:rPr>
        <w:t> </w:t>
      </w:r>
      <w:r>
        <w:rPr>
          <w:sz w:val="22"/>
        </w:rPr>
        <w:t>and</w:t>
      </w:r>
      <w:r>
        <w:rPr>
          <w:spacing w:val="-14"/>
          <w:sz w:val="22"/>
        </w:rPr>
        <w:t> </w:t>
      </w:r>
      <w:r>
        <w:rPr>
          <w:sz w:val="22"/>
        </w:rPr>
        <w:t>analysis</w:t>
      </w:r>
      <w:r>
        <w:rPr>
          <w:spacing w:val="-6"/>
          <w:sz w:val="22"/>
        </w:rPr>
        <w:t> </w:t>
      </w:r>
      <w:r>
        <w:rPr>
          <w:sz w:val="22"/>
        </w:rPr>
        <w:t>was</w:t>
      </w:r>
      <w:r>
        <w:rPr>
          <w:spacing w:val="-9"/>
          <w:sz w:val="22"/>
        </w:rPr>
        <w:t> </w:t>
      </w:r>
      <w:r>
        <w:rPr>
          <w:sz w:val="22"/>
        </w:rPr>
        <w:t>to</w:t>
      </w:r>
      <w:r>
        <w:rPr>
          <w:spacing w:val="-10"/>
          <w:sz w:val="22"/>
        </w:rPr>
        <w:t> </w:t>
      </w:r>
      <w:r>
        <w:rPr>
          <w:sz w:val="22"/>
        </w:rPr>
        <w:t>clarify</w:t>
      </w:r>
      <w:r>
        <w:rPr>
          <w:spacing w:val="-12"/>
          <w:sz w:val="22"/>
        </w:rPr>
        <w:t> </w:t>
      </w:r>
      <w:r>
        <w:rPr>
          <w:sz w:val="22"/>
        </w:rPr>
        <w:t>who</w:t>
      </w:r>
      <w:r>
        <w:rPr>
          <w:spacing w:val="-9"/>
          <w:sz w:val="22"/>
        </w:rPr>
        <w:t> </w:t>
      </w:r>
      <w:r>
        <w:rPr>
          <w:sz w:val="22"/>
        </w:rPr>
        <w:t>should be involved in the consultation process and have an interest in or might influence the project. The process of selecting stakeholders was made transparent so that all interested parties may participate and that all stakeholders were provided with equal opportunity to engage and contribute to outcomes. Particular attention was given to include low-income communities, women and other marginalized</w:t>
      </w:r>
      <w:r>
        <w:rPr>
          <w:spacing w:val="-17"/>
          <w:sz w:val="22"/>
        </w:rPr>
        <w:t> </w:t>
      </w:r>
      <w:r>
        <w:rPr>
          <w:sz w:val="22"/>
        </w:rPr>
        <w:t>groups.</w:t>
      </w:r>
    </w:p>
    <w:p>
      <w:pPr>
        <w:pStyle w:val="ListParagraph"/>
        <w:numPr>
          <w:ilvl w:val="0"/>
          <w:numId w:val="36"/>
        </w:numPr>
        <w:tabs>
          <w:tab w:pos="1589" w:val="left" w:leader="none"/>
        </w:tabs>
        <w:spacing w:line="240" w:lineRule="auto" w:before="120" w:after="0"/>
        <w:ind w:left="1588" w:right="0" w:hanging="720"/>
        <w:jc w:val="both"/>
        <w:rPr>
          <w:sz w:val="22"/>
        </w:rPr>
      </w:pPr>
      <w:r>
        <w:rPr>
          <w:sz w:val="22"/>
        </w:rPr>
        <w:t>The range of stakeholders involved in Project consultations included the</w:t>
      </w:r>
      <w:r>
        <w:rPr>
          <w:spacing w:val="-25"/>
          <w:sz w:val="22"/>
        </w:rPr>
        <w:t> </w:t>
      </w:r>
      <w:r>
        <w:rPr>
          <w:sz w:val="22"/>
        </w:rPr>
        <w:t>following.</w:t>
      </w:r>
    </w:p>
    <w:p>
      <w:pPr>
        <w:pStyle w:val="ListParagraph"/>
        <w:numPr>
          <w:ilvl w:val="1"/>
          <w:numId w:val="36"/>
        </w:numPr>
        <w:tabs>
          <w:tab w:pos="1588" w:val="left" w:leader="none"/>
          <w:tab w:pos="1589" w:val="left" w:leader="none"/>
        </w:tabs>
        <w:spacing w:line="240" w:lineRule="auto" w:before="159" w:after="0"/>
        <w:ind w:left="1588" w:right="0" w:hanging="360"/>
        <w:jc w:val="left"/>
        <w:rPr>
          <w:sz w:val="22"/>
        </w:rPr>
      </w:pPr>
      <w:r>
        <w:rPr>
          <w:sz w:val="22"/>
        </w:rPr>
        <w:t>Mobile</w:t>
      </w:r>
      <w:r>
        <w:rPr>
          <w:spacing w:val="-7"/>
          <w:sz w:val="22"/>
        </w:rPr>
        <w:t> </w:t>
      </w:r>
      <w:r>
        <w:rPr>
          <w:sz w:val="22"/>
        </w:rPr>
        <w:t>vendors</w:t>
      </w:r>
    </w:p>
    <w:p>
      <w:pPr>
        <w:pStyle w:val="ListParagraph"/>
        <w:numPr>
          <w:ilvl w:val="1"/>
          <w:numId w:val="36"/>
        </w:numPr>
        <w:tabs>
          <w:tab w:pos="1588" w:val="left" w:leader="none"/>
          <w:tab w:pos="1589" w:val="left" w:leader="none"/>
        </w:tabs>
        <w:spacing w:line="240" w:lineRule="auto" w:before="35" w:after="0"/>
        <w:ind w:left="1588" w:right="0" w:hanging="360"/>
        <w:jc w:val="left"/>
        <w:rPr>
          <w:sz w:val="22"/>
        </w:rPr>
      </w:pPr>
      <w:r>
        <w:rPr>
          <w:sz w:val="22"/>
        </w:rPr>
        <w:t>Nursery</w:t>
      </w:r>
      <w:r>
        <w:rPr>
          <w:spacing w:val="-4"/>
          <w:sz w:val="22"/>
        </w:rPr>
        <w:t> </w:t>
      </w:r>
      <w:r>
        <w:rPr>
          <w:sz w:val="22"/>
        </w:rPr>
        <w:t>owners</w:t>
      </w:r>
    </w:p>
    <w:p>
      <w:pPr>
        <w:pStyle w:val="ListParagraph"/>
        <w:numPr>
          <w:ilvl w:val="1"/>
          <w:numId w:val="36"/>
        </w:numPr>
        <w:tabs>
          <w:tab w:pos="1588" w:val="left" w:leader="none"/>
          <w:tab w:pos="1589" w:val="left" w:leader="none"/>
        </w:tabs>
        <w:spacing w:line="240" w:lineRule="auto" w:before="35" w:after="0"/>
        <w:ind w:left="1588" w:right="0" w:hanging="360"/>
        <w:jc w:val="left"/>
        <w:rPr>
          <w:sz w:val="22"/>
        </w:rPr>
      </w:pPr>
      <w:r>
        <w:rPr>
          <w:sz w:val="22"/>
        </w:rPr>
        <w:t>Employees of affected</w:t>
      </w:r>
      <w:r>
        <w:rPr>
          <w:spacing w:val="-6"/>
          <w:sz w:val="22"/>
        </w:rPr>
        <w:t> </w:t>
      </w:r>
      <w:r>
        <w:rPr>
          <w:sz w:val="22"/>
        </w:rPr>
        <w:t>businesses</w:t>
      </w:r>
    </w:p>
    <w:p>
      <w:pPr>
        <w:pStyle w:val="ListParagraph"/>
        <w:numPr>
          <w:ilvl w:val="1"/>
          <w:numId w:val="36"/>
        </w:numPr>
        <w:tabs>
          <w:tab w:pos="1588" w:val="left" w:leader="none"/>
          <w:tab w:pos="1589" w:val="left" w:leader="none"/>
        </w:tabs>
        <w:spacing w:line="240" w:lineRule="auto" w:before="37" w:after="0"/>
        <w:ind w:left="1588" w:right="0" w:hanging="360"/>
        <w:jc w:val="left"/>
        <w:rPr>
          <w:sz w:val="22"/>
        </w:rPr>
      </w:pPr>
      <w:r>
        <w:rPr>
          <w:sz w:val="22"/>
        </w:rPr>
        <w:t>Vulnerable groups (women, person with disabilities, youth,</w:t>
      </w:r>
      <w:r>
        <w:rPr>
          <w:spacing w:val="-22"/>
          <w:sz w:val="22"/>
        </w:rPr>
        <w:t> </w:t>
      </w:r>
      <w:r>
        <w:rPr>
          <w:sz w:val="22"/>
        </w:rPr>
        <w:t>etc.);</w:t>
      </w:r>
    </w:p>
    <w:p>
      <w:pPr>
        <w:pStyle w:val="BodyText"/>
        <w:spacing w:before="10"/>
        <w:rPr>
          <w:sz w:val="23"/>
        </w:rPr>
      </w:pPr>
    </w:p>
    <w:p>
      <w:pPr>
        <w:pStyle w:val="Heading2"/>
        <w:numPr>
          <w:ilvl w:val="1"/>
          <w:numId w:val="34"/>
        </w:numPr>
        <w:tabs>
          <w:tab w:pos="1445" w:val="left" w:leader="none"/>
        </w:tabs>
        <w:spacing w:line="240" w:lineRule="auto" w:before="1" w:after="0"/>
        <w:ind w:left="1444" w:right="0" w:hanging="576"/>
        <w:jc w:val="both"/>
      </w:pPr>
      <w:bookmarkStart w:name="_bookmark64" w:id="106"/>
      <w:bookmarkEnd w:id="106"/>
      <w:r>
        <w:rPr>
          <w:b w:val="0"/>
        </w:rPr>
      </w:r>
      <w:bookmarkStart w:name="_bookmark64" w:id="107"/>
      <w:bookmarkEnd w:id="107"/>
      <w:r>
        <w:rPr/>
        <w:t>S</w:t>
      </w:r>
      <w:r>
        <w:rPr/>
        <w:t>ummary of Consultation with</w:t>
      </w:r>
      <w:r>
        <w:rPr>
          <w:spacing w:val="-10"/>
        </w:rPr>
        <w:t> </w:t>
      </w:r>
      <w:r>
        <w:rPr/>
        <w:t>PAPs</w:t>
      </w:r>
    </w:p>
    <w:p>
      <w:pPr>
        <w:pStyle w:val="BodyText"/>
        <w:spacing w:line="276" w:lineRule="auto" w:before="160"/>
        <w:ind w:left="868" w:right="155"/>
        <w:jc w:val="both"/>
      </w:pPr>
      <w:r>
        <w:rPr/>
        <w:t>73 Consultations with the PAPs were undertaken during the second week of February 2019 to ensure proper coverage of -their concerns. The key concerns emerged from consultations are summarized below. Photographs of the consultations are included in </w:t>
      </w:r>
      <w:r>
        <w:rPr>
          <w:b/>
        </w:rPr>
        <w:t>Figure 9</w:t>
      </w:r>
      <w:r>
        <w:rPr/>
        <w:t>.</w:t>
      </w:r>
    </w:p>
    <w:p>
      <w:pPr>
        <w:pStyle w:val="BodyText"/>
        <w:spacing w:before="10"/>
        <w:rPr>
          <w:sz w:val="20"/>
        </w:rPr>
      </w:pPr>
    </w:p>
    <w:p>
      <w:pPr>
        <w:pStyle w:val="Heading2"/>
        <w:numPr>
          <w:ilvl w:val="1"/>
          <w:numId w:val="34"/>
        </w:numPr>
        <w:tabs>
          <w:tab w:pos="1445" w:val="left" w:leader="none"/>
        </w:tabs>
        <w:spacing w:line="240" w:lineRule="auto" w:before="0" w:after="0"/>
        <w:ind w:left="1444" w:right="0" w:hanging="576"/>
        <w:jc w:val="both"/>
      </w:pPr>
      <w:bookmarkStart w:name="_bookmark65" w:id="108"/>
      <w:bookmarkEnd w:id="108"/>
      <w:r>
        <w:rPr>
          <w:b w:val="0"/>
        </w:rPr>
      </w:r>
      <w:bookmarkStart w:name="_bookmark65" w:id="109"/>
      <w:bookmarkEnd w:id="109"/>
      <w:r>
        <w:rPr/>
        <w:t>I</w:t>
      </w:r>
      <w:r>
        <w:rPr/>
        <w:t>ssues and Concerns</w:t>
      </w:r>
      <w:r>
        <w:rPr>
          <w:spacing w:val="-8"/>
        </w:rPr>
        <w:t> </w:t>
      </w:r>
      <w:r>
        <w:rPr/>
        <w:t>Expressed</w:t>
      </w:r>
    </w:p>
    <w:p>
      <w:pPr>
        <w:pStyle w:val="ListParagraph"/>
        <w:numPr>
          <w:ilvl w:val="0"/>
          <w:numId w:val="37"/>
        </w:numPr>
        <w:tabs>
          <w:tab w:pos="1589" w:val="left" w:leader="none"/>
        </w:tabs>
        <w:spacing w:line="276" w:lineRule="auto" w:before="162" w:after="0"/>
        <w:ind w:left="868" w:right="153" w:firstLine="0"/>
        <w:jc w:val="both"/>
        <w:rPr>
          <w:sz w:val="22"/>
        </w:rPr>
      </w:pPr>
      <w:r>
        <w:rPr>
          <w:sz w:val="22"/>
        </w:rPr>
        <w:t>. A summary of the key concerns expressed by PAPs during consultation</w:t>
      </w:r>
      <w:r>
        <w:rPr>
          <w:spacing w:val="-41"/>
          <w:sz w:val="22"/>
        </w:rPr>
        <w:t> </w:t>
      </w:r>
      <w:r>
        <w:rPr>
          <w:sz w:val="22"/>
        </w:rPr>
        <w:t>meetings are given</w:t>
      </w:r>
      <w:r>
        <w:rPr>
          <w:spacing w:val="-8"/>
          <w:sz w:val="22"/>
        </w:rPr>
        <w:t> </w:t>
      </w:r>
      <w:r>
        <w:rPr>
          <w:sz w:val="22"/>
        </w:rPr>
        <w:t>below:</w:t>
      </w:r>
    </w:p>
    <w:p>
      <w:pPr>
        <w:pStyle w:val="ListParagraph"/>
        <w:numPr>
          <w:ilvl w:val="1"/>
          <w:numId w:val="37"/>
        </w:numPr>
        <w:tabs>
          <w:tab w:pos="1588" w:val="left" w:leader="none"/>
          <w:tab w:pos="1589" w:val="left" w:leader="none"/>
        </w:tabs>
        <w:spacing w:line="271" w:lineRule="auto" w:before="120" w:after="0"/>
        <w:ind w:left="1588" w:right="242" w:hanging="360"/>
        <w:jc w:val="left"/>
        <w:rPr>
          <w:sz w:val="22"/>
        </w:rPr>
      </w:pPr>
      <w:r>
        <w:rPr>
          <w:sz w:val="22"/>
        </w:rPr>
        <w:t>If anyone is losing their property/assets due to the Project activities, adequate compensation should be provided to</w:t>
      </w:r>
      <w:r>
        <w:rPr>
          <w:spacing w:val="-9"/>
          <w:sz w:val="22"/>
        </w:rPr>
        <w:t> </w:t>
      </w:r>
      <w:r>
        <w:rPr>
          <w:sz w:val="22"/>
        </w:rPr>
        <w:t>them.</w:t>
      </w:r>
    </w:p>
    <w:p>
      <w:pPr>
        <w:spacing w:after="0" w:line="271" w:lineRule="auto"/>
        <w:jc w:val="left"/>
        <w:rPr>
          <w:sz w:val="22"/>
        </w:rPr>
        <w:sectPr>
          <w:pgSz w:w="11910" w:h="16840"/>
          <w:pgMar w:header="583" w:footer="575" w:top="840" w:bottom="760" w:left="860" w:right="1280"/>
        </w:sectPr>
      </w:pPr>
    </w:p>
    <w:p>
      <w:pPr>
        <w:pStyle w:val="BodyText"/>
        <w:rPr>
          <w:sz w:val="20"/>
        </w:rPr>
      </w:pPr>
    </w:p>
    <w:p>
      <w:pPr>
        <w:pStyle w:val="BodyText"/>
        <w:rPr>
          <w:sz w:val="20"/>
        </w:rPr>
      </w:pPr>
    </w:p>
    <w:p>
      <w:pPr>
        <w:pStyle w:val="BodyText"/>
        <w:spacing w:before="2"/>
        <w:rPr>
          <w:sz w:val="27"/>
        </w:rPr>
      </w:pPr>
    </w:p>
    <w:p>
      <w:pPr>
        <w:pStyle w:val="ListParagraph"/>
        <w:numPr>
          <w:ilvl w:val="1"/>
          <w:numId w:val="37"/>
        </w:numPr>
        <w:tabs>
          <w:tab w:pos="1588" w:val="left" w:leader="none"/>
          <w:tab w:pos="1589" w:val="left" w:leader="none"/>
        </w:tabs>
        <w:spacing w:line="240" w:lineRule="auto" w:before="101" w:after="0"/>
        <w:ind w:left="1588" w:right="0" w:hanging="360"/>
        <w:jc w:val="left"/>
        <w:rPr>
          <w:sz w:val="22"/>
        </w:rPr>
      </w:pPr>
      <w:r>
        <w:rPr>
          <w:sz w:val="22"/>
        </w:rPr>
        <w:t>.The locals should be given employment opportunities in the</w:t>
      </w:r>
      <w:r>
        <w:rPr>
          <w:spacing w:val="-20"/>
          <w:sz w:val="22"/>
        </w:rPr>
        <w:t> </w:t>
      </w:r>
      <w:r>
        <w:rPr>
          <w:sz w:val="22"/>
        </w:rPr>
        <w:t>project</w:t>
      </w:r>
    </w:p>
    <w:p>
      <w:pPr>
        <w:pStyle w:val="ListParagraph"/>
        <w:numPr>
          <w:ilvl w:val="1"/>
          <w:numId w:val="37"/>
        </w:numPr>
        <w:tabs>
          <w:tab w:pos="1588" w:val="left" w:leader="none"/>
          <w:tab w:pos="1589" w:val="left" w:leader="none"/>
        </w:tabs>
        <w:spacing w:line="273" w:lineRule="auto" w:before="35" w:after="0"/>
        <w:ind w:left="1588" w:right="340" w:hanging="360"/>
        <w:jc w:val="left"/>
        <w:rPr>
          <w:sz w:val="22"/>
        </w:rPr>
      </w:pPr>
      <w:r>
        <w:rPr>
          <w:sz w:val="22"/>
        </w:rPr>
        <w:t>The</w:t>
      </w:r>
      <w:r>
        <w:rPr>
          <w:spacing w:val="-13"/>
          <w:sz w:val="22"/>
        </w:rPr>
        <w:t> </w:t>
      </w:r>
      <w:r>
        <w:rPr>
          <w:sz w:val="22"/>
        </w:rPr>
        <w:t>Government</w:t>
      </w:r>
      <w:r>
        <w:rPr>
          <w:spacing w:val="-9"/>
          <w:sz w:val="22"/>
        </w:rPr>
        <w:t> </w:t>
      </w:r>
      <w:r>
        <w:rPr>
          <w:sz w:val="22"/>
        </w:rPr>
        <w:t>should</w:t>
      </w:r>
      <w:r>
        <w:rPr>
          <w:spacing w:val="-12"/>
          <w:sz w:val="22"/>
        </w:rPr>
        <w:t> </w:t>
      </w:r>
      <w:r>
        <w:rPr>
          <w:sz w:val="22"/>
        </w:rPr>
        <w:t>ensure</w:t>
      </w:r>
      <w:r>
        <w:rPr>
          <w:spacing w:val="-10"/>
          <w:sz w:val="22"/>
        </w:rPr>
        <w:t> </w:t>
      </w:r>
      <w:r>
        <w:rPr>
          <w:sz w:val="22"/>
        </w:rPr>
        <w:t>that</w:t>
      </w:r>
      <w:r>
        <w:rPr>
          <w:spacing w:val="-11"/>
          <w:sz w:val="22"/>
        </w:rPr>
        <w:t> </w:t>
      </w:r>
      <w:r>
        <w:rPr>
          <w:sz w:val="22"/>
        </w:rPr>
        <w:t>the</w:t>
      </w:r>
      <w:r>
        <w:rPr>
          <w:spacing w:val="-10"/>
          <w:sz w:val="22"/>
        </w:rPr>
        <w:t> </w:t>
      </w:r>
      <w:r>
        <w:rPr>
          <w:sz w:val="22"/>
        </w:rPr>
        <w:t>health</w:t>
      </w:r>
      <w:r>
        <w:rPr>
          <w:spacing w:val="-10"/>
          <w:sz w:val="22"/>
        </w:rPr>
        <w:t> </w:t>
      </w:r>
      <w:r>
        <w:rPr>
          <w:sz w:val="22"/>
        </w:rPr>
        <w:t>and</w:t>
      </w:r>
      <w:r>
        <w:rPr>
          <w:spacing w:val="-10"/>
          <w:sz w:val="22"/>
        </w:rPr>
        <w:t> </w:t>
      </w:r>
      <w:r>
        <w:rPr>
          <w:sz w:val="22"/>
        </w:rPr>
        <w:t>livelihoods</w:t>
      </w:r>
      <w:r>
        <w:rPr>
          <w:spacing w:val="-10"/>
          <w:sz w:val="22"/>
        </w:rPr>
        <w:t> </w:t>
      </w:r>
      <w:r>
        <w:rPr>
          <w:sz w:val="22"/>
        </w:rPr>
        <w:t>of</w:t>
      </w:r>
      <w:r>
        <w:rPr>
          <w:spacing w:val="-8"/>
          <w:sz w:val="22"/>
        </w:rPr>
        <w:t> </w:t>
      </w:r>
      <w:r>
        <w:rPr>
          <w:sz w:val="22"/>
        </w:rPr>
        <w:t>the</w:t>
      </w:r>
      <w:r>
        <w:rPr>
          <w:spacing w:val="-13"/>
          <w:sz w:val="22"/>
        </w:rPr>
        <w:t> </w:t>
      </w:r>
      <w:r>
        <w:rPr>
          <w:sz w:val="22"/>
        </w:rPr>
        <w:t>locals</w:t>
      </w:r>
      <w:r>
        <w:rPr>
          <w:spacing w:val="-10"/>
          <w:sz w:val="22"/>
        </w:rPr>
        <w:t> </w:t>
      </w:r>
      <w:r>
        <w:rPr>
          <w:sz w:val="22"/>
        </w:rPr>
        <w:t>are</w:t>
      </w:r>
      <w:r>
        <w:rPr>
          <w:spacing w:val="-10"/>
          <w:sz w:val="22"/>
        </w:rPr>
        <w:t> </w:t>
      </w:r>
      <w:r>
        <w:rPr>
          <w:sz w:val="22"/>
        </w:rPr>
        <w:t>not affected by the</w:t>
      </w:r>
      <w:r>
        <w:rPr>
          <w:spacing w:val="-8"/>
          <w:sz w:val="22"/>
        </w:rPr>
        <w:t> </w:t>
      </w:r>
      <w:r>
        <w:rPr>
          <w:sz w:val="22"/>
        </w:rPr>
        <w:t>project.</w:t>
      </w:r>
    </w:p>
    <w:p>
      <w:pPr>
        <w:pStyle w:val="ListParagraph"/>
        <w:numPr>
          <w:ilvl w:val="1"/>
          <w:numId w:val="37"/>
        </w:numPr>
        <w:tabs>
          <w:tab w:pos="1588" w:val="left" w:leader="none"/>
          <w:tab w:pos="1589" w:val="left" w:leader="none"/>
        </w:tabs>
        <w:spacing w:line="240" w:lineRule="auto" w:before="2" w:after="0"/>
        <w:ind w:left="1588" w:right="0" w:hanging="360"/>
        <w:jc w:val="left"/>
        <w:rPr>
          <w:sz w:val="22"/>
        </w:rPr>
      </w:pPr>
      <w:r>
        <w:rPr>
          <w:sz w:val="22"/>
        </w:rPr>
        <w:t>Fares should be economical, so poor people can travel</w:t>
      </w:r>
      <w:r>
        <w:rPr>
          <w:spacing w:val="-15"/>
          <w:sz w:val="22"/>
        </w:rPr>
        <w:t> </w:t>
      </w:r>
      <w:r>
        <w:rPr>
          <w:sz w:val="22"/>
        </w:rPr>
        <w:t>easily.</w:t>
      </w:r>
    </w:p>
    <w:p>
      <w:pPr>
        <w:pStyle w:val="ListParagraph"/>
        <w:numPr>
          <w:ilvl w:val="0"/>
          <w:numId w:val="37"/>
        </w:numPr>
        <w:tabs>
          <w:tab w:pos="1588" w:val="left" w:leader="none"/>
          <w:tab w:pos="1589" w:val="left" w:leader="none"/>
        </w:tabs>
        <w:spacing w:line="240" w:lineRule="auto" w:before="155" w:after="0"/>
        <w:ind w:left="1588" w:right="0" w:hanging="720"/>
        <w:jc w:val="left"/>
        <w:rPr>
          <w:sz w:val="22"/>
        </w:rPr>
      </w:pPr>
      <w:r>
        <w:rPr>
          <w:sz w:val="22"/>
        </w:rPr>
        <w:t>Detail of consultation provide as </w:t>
      </w:r>
      <w:r>
        <w:rPr>
          <w:b/>
          <w:sz w:val="22"/>
        </w:rPr>
        <w:t>Annex</w:t>
      </w:r>
      <w:r>
        <w:rPr>
          <w:b/>
          <w:spacing w:val="-9"/>
          <w:sz w:val="22"/>
        </w:rPr>
        <w:t> </w:t>
      </w:r>
      <w:r>
        <w:rPr>
          <w:b/>
          <w:sz w:val="22"/>
        </w:rPr>
        <w:t>III</w:t>
      </w:r>
      <w:r>
        <w:rPr>
          <w:sz w:val="22"/>
        </w:rPr>
        <w:t>.</w:t>
      </w:r>
    </w:p>
    <w:p>
      <w:pPr>
        <w:pStyle w:val="Heading3"/>
        <w:spacing w:before="159"/>
        <w:ind w:left="3228"/>
        <w:jc w:val="left"/>
      </w:pPr>
      <w:bookmarkStart w:name="_bookmark66" w:id="110"/>
      <w:bookmarkEnd w:id="110"/>
      <w:r>
        <w:rPr>
          <w:b w:val="0"/>
        </w:rPr>
      </w:r>
      <w:r>
        <w:rPr>
          <w:u w:val="thick"/>
        </w:rPr>
        <w:t>Figure 9: Photographs of Consultation</w:t>
      </w:r>
    </w:p>
    <w:p>
      <w:pPr>
        <w:pStyle w:val="BodyText"/>
        <w:spacing w:before="2" w:after="1"/>
        <w:rPr>
          <w:b/>
          <w:sz w:val="10"/>
        </w:rPr>
      </w:pPr>
    </w:p>
    <w:tbl>
      <w:tblPr>
        <w:tblW w:w="0" w:type="auto"/>
        <w:jc w:val="left"/>
        <w:tblInd w:w="7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20"/>
        <w:gridCol w:w="4520"/>
      </w:tblGrid>
      <w:tr>
        <w:trPr>
          <w:trHeight w:val="2723" w:hRule="exact"/>
        </w:trPr>
        <w:tc>
          <w:tcPr>
            <w:tcW w:w="4520" w:type="dxa"/>
          </w:tcPr>
          <w:p>
            <w:pPr>
              <w:pStyle w:val="TableParagraph"/>
              <w:spacing w:before="0"/>
              <w:ind w:left="200"/>
              <w:rPr>
                <w:sz w:val="20"/>
              </w:rPr>
            </w:pPr>
            <w:r>
              <w:rPr>
                <w:sz w:val="20"/>
              </w:rPr>
              <w:drawing>
                <wp:inline distT="0" distB="0" distL="0" distR="0">
                  <wp:extent cx="2642868" cy="1714500"/>
                  <wp:effectExtent l="0" t="0" r="0" b="0"/>
                  <wp:docPr id="27" name="image26.jpeg" descr=""/>
                  <wp:cNvGraphicFramePr>
                    <a:graphicFrameLocks noChangeAspect="1"/>
                  </wp:cNvGraphicFramePr>
                  <a:graphic>
                    <a:graphicData uri="http://schemas.openxmlformats.org/drawingml/2006/picture">
                      <pic:pic>
                        <pic:nvPicPr>
                          <pic:cNvPr id="28" name="image26.jpeg"/>
                          <pic:cNvPicPr/>
                        </pic:nvPicPr>
                        <pic:blipFill>
                          <a:blip r:embed="rId33" cstate="print"/>
                          <a:stretch>
                            <a:fillRect/>
                          </a:stretch>
                        </pic:blipFill>
                        <pic:spPr>
                          <a:xfrm>
                            <a:off x="0" y="0"/>
                            <a:ext cx="2642868" cy="1714500"/>
                          </a:xfrm>
                          <a:prstGeom prst="rect">
                            <a:avLst/>
                          </a:prstGeom>
                        </pic:spPr>
                      </pic:pic>
                    </a:graphicData>
                  </a:graphic>
                </wp:inline>
              </w:drawing>
            </w:r>
            <w:r>
              <w:rPr>
                <w:sz w:val="20"/>
              </w:rPr>
            </w:r>
          </w:p>
        </w:tc>
        <w:tc>
          <w:tcPr>
            <w:tcW w:w="4520" w:type="dxa"/>
          </w:tcPr>
          <w:p>
            <w:pPr>
              <w:pStyle w:val="TableParagraph"/>
              <w:spacing w:before="0"/>
              <w:ind w:left="172"/>
              <w:rPr>
                <w:sz w:val="20"/>
              </w:rPr>
            </w:pPr>
            <w:r>
              <w:rPr>
                <w:sz w:val="20"/>
              </w:rPr>
              <w:drawing>
                <wp:inline distT="0" distB="0" distL="0" distR="0">
                  <wp:extent cx="2616733" cy="1697545"/>
                  <wp:effectExtent l="0" t="0" r="0" b="0"/>
                  <wp:docPr id="29" name="image27.jpeg" descr=""/>
                  <wp:cNvGraphicFramePr>
                    <a:graphicFrameLocks noChangeAspect="1"/>
                  </wp:cNvGraphicFramePr>
                  <a:graphic>
                    <a:graphicData uri="http://schemas.openxmlformats.org/drawingml/2006/picture">
                      <pic:pic>
                        <pic:nvPicPr>
                          <pic:cNvPr id="30" name="image27.jpeg"/>
                          <pic:cNvPicPr/>
                        </pic:nvPicPr>
                        <pic:blipFill>
                          <a:blip r:embed="rId34" cstate="print"/>
                          <a:stretch>
                            <a:fillRect/>
                          </a:stretch>
                        </pic:blipFill>
                        <pic:spPr>
                          <a:xfrm>
                            <a:off x="0" y="0"/>
                            <a:ext cx="2616733" cy="1697545"/>
                          </a:xfrm>
                          <a:prstGeom prst="rect">
                            <a:avLst/>
                          </a:prstGeom>
                        </pic:spPr>
                      </pic:pic>
                    </a:graphicData>
                  </a:graphic>
                </wp:inline>
              </w:drawing>
            </w:r>
            <w:r>
              <w:rPr>
                <w:sz w:val="20"/>
              </w:rPr>
            </w:r>
          </w:p>
        </w:tc>
      </w:tr>
      <w:tr>
        <w:trPr>
          <w:trHeight w:val="281" w:hRule="exact"/>
        </w:trPr>
        <w:tc>
          <w:tcPr>
            <w:tcW w:w="4520" w:type="dxa"/>
          </w:tcPr>
          <w:p>
            <w:pPr>
              <w:pStyle w:val="TableParagraph"/>
              <w:spacing w:before="27"/>
              <w:ind w:left="839" w:right="814"/>
              <w:jc w:val="center"/>
              <w:rPr>
                <w:sz w:val="18"/>
              </w:rPr>
            </w:pPr>
            <w:r>
              <w:rPr>
                <w:sz w:val="18"/>
                <w:u w:val="single"/>
              </w:rPr>
              <w:t>Consultation at Numaish</w:t>
            </w:r>
          </w:p>
        </w:tc>
        <w:tc>
          <w:tcPr>
            <w:tcW w:w="4520" w:type="dxa"/>
          </w:tcPr>
          <w:p>
            <w:pPr>
              <w:pStyle w:val="TableParagraph"/>
              <w:spacing w:before="27"/>
              <w:ind w:left="792" w:right="814"/>
              <w:jc w:val="center"/>
              <w:rPr>
                <w:sz w:val="18"/>
              </w:rPr>
            </w:pPr>
            <w:r>
              <w:rPr>
                <w:sz w:val="18"/>
                <w:u w:val="single"/>
              </w:rPr>
              <w:t>Consultation at Kala Pul</w:t>
            </w:r>
            <w:r>
              <w:rPr>
                <w:sz w:val="18"/>
              </w:rPr>
              <w:t>l</w:t>
            </w:r>
          </w:p>
        </w:tc>
      </w:tr>
      <w:tr>
        <w:trPr>
          <w:trHeight w:val="2779" w:hRule="exact"/>
        </w:trPr>
        <w:tc>
          <w:tcPr>
            <w:tcW w:w="4520" w:type="dxa"/>
          </w:tcPr>
          <w:p>
            <w:pPr>
              <w:pStyle w:val="TableParagraph"/>
              <w:spacing w:before="0"/>
              <w:rPr>
                <w:b/>
                <w:sz w:val="4"/>
              </w:rPr>
            </w:pPr>
          </w:p>
          <w:p>
            <w:pPr>
              <w:pStyle w:val="TableParagraph"/>
              <w:spacing w:before="0"/>
              <w:ind w:left="200"/>
              <w:rPr>
                <w:sz w:val="20"/>
              </w:rPr>
            </w:pPr>
            <w:r>
              <w:rPr>
                <w:sz w:val="20"/>
              </w:rPr>
              <w:drawing>
                <wp:inline distT="0" distB="0" distL="0" distR="0">
                  <wp:extent cx="2647227" cy="1723072"/>
                  <wp:effectExtent l="0" t="0" r="0" b="0"/>
                  <wp:docPr id="31" name="image28.jpeg" descr=""/>
                  <wp:cNvGraphicFramePr>
                    <a:graphicFrameLocks noChangeAspect="1"/>
                  </wp:cNvGraphicFramePr>
                  <a:graphic>
                    <a:graphicData uri="http://schemas.openxmlformats.org/drawingml/2006/picture">
                      <pic:pic>
                        <pic:nvPicPr>
                          <pic:cNvPr id="32" name="image28.jpeg"/>
                          <pic:cNvPicPr/>
                        </pic:nvPicPr>
                        <pic:blipFill>
                          <a:blip r:embed="rId35" cstate="print"/>
                          <a:stretch>
                            <a:fillRect/>
                          </a:stretch>
                        </pic:blipFill>
                        <pic:spPr>
                          <a:xfrm>
                            <a:off x="0" y="0"/>
                            <a:ext cx="2647227" cy="1723072"/>
                          </a:xfrm>
                          <a:prstGeom prst="rect">
                            <a:avLst/>
                          </a:prstGeom>
                        </pic:spPr>
                      </pic:pic>
                    </a:graphicData>
                  </a:graphic>
                </wp:inline>
              </w:drawing>
            </w:r>
            <w:r>
              <w:rPr>
                <w:sz w:val="20"/>
              </w:rPr>
            </w:r>
          </w:p>
        </w:tc>
        <w:tc>
          <w:tcPr>
            <w:tcW w:w="4520" w:type="dxa"/>
          </w:tcPr>
          <w:p>
            <w:pPr>
              <w:pStyle w:val="TableParagraph"/>
              <w:spacing w:before="0"/>
              <w:rPr>
                <w:b/>
                <w:sz w:val="4"/>
              </w:rPr>
            </w:pPr>
          </w:p>
          <w:p>
            <w:pPr>
              <w:pStyle w:val="TableParagraph"/>
              <w:spacing w:before="0"/>
              <w:ind w:left="172"/>
              <w:rPr>
                <w:sz w:val="20"/>
              </w:rPr>
            </w:pPr>
            <w:r>
              <w:rPr>
                <w:sz w:val="20"/>
              </w:rPr>
              <w:drawing>
                <wp:inline distT="0" distB="0" distL="0" distR="0">
                  <wp:extent cx="2647423" cy="1723072"/>
                  <wp:effectExtent l="0" t="0" r="0" b="0"/>
                  <wp:docPr id="33" name="image29.jpeg" descr=""/>
                  <wp:cNvGraphicFramePr>
                    <a:graphicFrameLocks noChangeAspect="1"/>
                  </wp:cNvGraphicFramePr>
                  <a:graphic>
                    <a:graphicData uri="http://schemas.openxmlformats.org/drawingml/2006/picture">
                      <pic:pic>
                        <pic:nvPicPr>
                          <pic:cNvPr id="34" name="image29.jpeg"/>
                          <pic:cNvPicPr/>
                        </pic:nvPicPr>
                        <pic:blipFill>
                          <a:blip r:embed="rId36" cstate="print"/>
                          <a:stretch>
                            <a:fillRect/>
                          </a:stretch>
                        </pic:blipFill>
                        <pic:spPr>
                          <a:xfrm>
                            <a:off x="0" y="0"/>
                            <a:ext cx="2647423" cy="1723072"/>
                          </a:xfrm>
                          <a:prstGeom prst="rect">
                            <a:avLst/>
                          </a:prstGeom>
                        </pic:spPr>
                      </pic:pic>
                    </a:graphicData>
                  </a:graphic>
                </wp:inline>
              </w:drawing>
            </w:r>
            <w:r>
              <w:rPr>
                <w:sz w:val="20"/>
              </w:rPr>
            </w:r>
          </w:p>
        </w:tc>
      </w:tr>
      <w:tr>
        <w:trPr>
          <w:trHeight w:val="326" w:hRule="exact"/>
        </w:trPr>
        <w:tc>
          <w:tcPr>
            <w:tcW w:w="4520" w:type="dxa"/>
          </w:tcPr>
          <w:p>
            <w:pPr>
              <w:pStyle w:val="TableParagraph"/>
              <w:spacing w:before="27"/>
              <w:ind w:left="838" w:right="814"/>
              <w:jc w:val="center"/>
              <w:rPr>
                <w:sz w:val="18"/>
              </w:rPr>
            </w:pPr>
            <w:r>
              <w:rPr>
                <w:sz w:val="18"/>
                <w:u w:val="single"/>
              </w:rPr>
              <w:t>Consultation at Nasir Colony 1</w:t>
            </w:r>
          </w:p>
        </w:tc>
        <w:tc>
          <w:tcPr>
            <w:tcW w:w="4520" w:type="dxa"/>
          </w:tcPr>
          <w:p>
            <w:pPr>
              <w:pStyle w:val="TableParagraph"/>
              <w:spacing w:before="27"/>
              <w:ind w:left="789" w:right="814"/>
              <w:jc w:val="center"/>
              <w:rPr>
                <w:sz w:val="18"/>
              </w:rPr>
            </w:pPr>
            <w:r>
              <w:rPr>
                <w:sz w:val="18"/>
                <w:u w:val="single"/>
              </w:rPr>
              <w:t>Consultation at Nasir Colony 2</w:t>
            </w:r>
          </w:p>
        </w:tc>
      </w:tr>
      <w:tr>
        <w:trPr>
          <w:trHeight w:val="2914" w:hRule="exact"/>
        </w:trPr>
        <w:tc>
          <w:tcPr>
            <w:tcW w:w="4520" w:type="dxa"/>
          </w:tcPr>
          <w:p>
            <w:pPr>
              <w:pStyle w:val="TableParagraph"/>
              <w:spacing w:before="11"/>
              <w:rPr>
                <w:b/>
                <w:sz w:val="7"/>
              </w:rPr>
            </w:pPr>
          </w:p>
          <w:p>
            <w:pPr>
              <w:pStyle w:val="TableParagraph"/>
              <w:spacing w:before="0"/>
              <w:ind w:left="200"/>
              <w:rPr>
                <w:sz w:val="20"/>
              </w:rPr>
            </w:pPr>
            <w:r>
              <w:rPr>
                <w:sz w:val="20"/>
              </w:rPr>
              <w:drawing>
                <wp:inline distT="0" distB="0" distL="0" distR="0">
                  <wp:extent cx="2623981" cy="1764506"/>
                  <wp:effectExtent l="0" t="0" r="0" b="0"/>
                  <wp:docPr id="35" name="image30.jpeg" descr=""/>
                  <wp:cNvGraphicFramePr>
                    <a:graphicFrameLocks noChangeAspect="1"/>
                  </wp:cNvGraphicFramePr>
                  <a:graphic>
                    <a:graphicData uri="http://schemas.openxmlformats.org/drawingml/2006/picture">
                      <pic:pic>
                        <pic:nvPicPr>
                          <pic:cNvPr id="36" name="image30.jpeg"/>
                          <pic:cNvPicPr/>
                        </pic:nvPicPr>
                        <pic:blipFill>
                          <a:blip r:embed="rId37" cstate="print"/>
                          <a:stretch>
                            <a:fillRect/>
                          </a:stretch>
                        </pic:blipFill>
                        <pic:spPr>
                          <a:xfrm>
                            <a:off x="0" y="0"/>
                            <a:ext cx="2623981" cy="1764506"/>
                          </a:xfrm>
                          <a:prstGeom prst="rect">
                            <a:avLst/>
                          </a:prstGeom>
                        </pic:spPr>
                      </pic:pic>
                    </a:graphicData>
                  </a:graphic>
                </wp:inline>
              </w:drawing>
            </w:r>
            <w:r>
              <w:rPr>
                <w:sz w:val="20"/>
              </w:rPr>
            </w:r>
          </w:p>
        </w:tc>
        <w:tc>
          <w:tcPr>
            <w:tcW w:w="4520" w:type="dxa"/>
          </w:tcPr>
          <w:p>
            <w:pPr>
              <w:pStyle w:val="TableParagraph"/>
              <w:spacing w:before="11"/>
              <w:rPr>
                <w:b/>
                <w:sz w:val="7"/>
              </w:rPr>
            </w:pPr>
          </w:p>
          <w:p>
            <w:pPr>
              <w:pStyle w:val="TableParagraph"/>
              <w:spacing w:before="0"/>
              <w:ind w:left="172"/>
              <w:rPr>
                <w:sz w:val="20"/>
              </w:rPr>
            </w:pPr>
            <w:r>
              <w:rPr>
                <w:sz w:val="20"/>
              </w:rPr>
              <w:drawing>
                <wp:inline distT="0" distB="0" distL="0" distR="0">
                  <wp:extent cx="2623981" cy="1764506"/>
                  <wp:effectExtent l="0" t="0" r="0" b="0"/>
                  <wp:docPr id="37" name="image31.jpeg" descr=""/>
                  <wp:cNvGraphicFramePr>
                    <a:graphicFrameLocks noChangeAspect="1"/>
                  </wp:cNvGraphicFramePr>
                  <a:graphic>
                    <a:graphicData uri="http://schemas.openxmlformats.org/drawingml/2006/picture">
                      <pic:pic>
                        <pic:nvPicPr>
                          <pic:cNvPr id="38" name="image31.jpeg"/>
                          <pic:cNvPicPr/>
                        </pic:nvPicPr>
                        <pic:blipFill>
                          <a:blip r:embed="rId38" cstate="print"/>
                          <a:stretch>
                            <a:fillRect/>
                          </a:stretch>
                        </pic:blipFill>
                        <pic:spPr>
                          <a:xfrm>
                            <a:off x="0" y="0"/>
                            <a:ext cx="2623981" cy="1764506"/>
                          </a:xfrm>
                          <a:prstGeom prst="rect">
                            <a:avLst/>
                          </a:prstGeom>
                        </pic:spPr>
                      </pic:pic>
                    </a:graphicData>
                  </a:graphic>
                </wp:inline>
              </w:drawing>
            </w:r>
            <w:r>
              <w:rPr>
                <w:sz w:val="20"/>
              </w:rPr>
            </w:r>
          </w:p>
        </w:tc>
      </w:tr>
      <w:tr>
        <w:trPr>
          <w:trHeight w:val="235" w:hRule="exact"/>
        </w:trPr>
        <w:tc>
          <w:tcPr>
            <w:tcW w:w="4520" w:type="dxa"/>
          </w:tcPr>
          <w:p>
            <w:pPr>
              <w:pStyle w:val="TableParagraph"/>
              <w:spacing w:before="27"/>
              <w:ind w:left="844" w:right="814"/>
              <w:jc w:val="center"/>
              <w:rPr>
                <w:sz w:val="18"/>
              </w:rPr>
            </w:pPr>
            <w:r>
              <w:rPr>
                <w:sz w:val="18"/>
                <w:u w:val="single"/>
              </w:rPr>
              <w:t>Consultation at Dawood Chowrang</w:t>
            </w:r>
            <w:r>
              <w:rPr>
                <w:sz w:val="18"/>
              </w:rPr>
              <w:t>i</w:t>
            </w:r>
          </w:p>
        </w:tc>
        <w:tc>
          <w:tcPr>
            <w:tcW w:w="4520" w:type="dxa"/>
          </w:tcPr>
          <w:p>
            <w:pPr>
              <w:pStyle w:val="TableParagraph"/>
              <w:spacing w:before="27"/>
              <w:ind w:left="790" w:right="814"/>
              <w:jc w:val="center"/>
              <w:rPr>
                <w:sz w:val="18"/>
              </w:rPr>
            </w:pPr>
            <w:r>
              <w:rPr>
                <w:sz w:val="18"/>
                <w:u w:val="single"/>
              </w:rPr>
              <w:t>Consultation at Awami Colony</w:t>
            </w:r>
          </w:p>
        </w:tc>
      </w:tr>
    </w:tbl>
    <w:p>
      <w:pPr>
        <w:spacing w:after="0"/>
        <w:jc w:val="center"/>
        <w:rPr>
          <w:sz w:val="18"/>
        </w:rPr>
        <w:sectPr>
          <w:pgSz w:w="11910" w:h="16840"/>
          <w:pgMar w:header="583" w:footer="575" w:top="840" w:bottom="760" w:left="860" w:right="1180"/>
        </w:sectPr>
      </w:pPr>
    </w:p>
    <w:p>
      <w:pPr>
        <w:pStyle w:val="BodyText"/>
        <w:rPr>
          <w:b/>
          <w:sz w:val="20"/>
        </w:rPr>
      </w:pPr>
    </w:p>
    <w:p>
      <w:pPr>
        <w:pStyle w:val="BodyText"/>
        <w:rPr>
          <w:b/>
          <w:sz w:val="20"/>
        </w:rPr>
      </w:pPr>
    </w:p>
    <w:p>
      <w:pPr>
        <w:pStyle w:val="BodyText"/>
        <w:rPr>
          <w:b/>
          <w:sz w:val="20"/>
        </w:rPr>
      </w:pPr>
    </w:p>
    <w:p>
      <w:pPr>
        <w:pStyle w:val="BodyText"/>
        <w:spacing w:before="11"/>
        <w:rPr>
          <w:b/>
          <w:sz w:val="15"/>
        </w:rPr>
      </w:pPr>
    </w:p>
    <w:tbl>
      <w:tblPr>
        <w:tblW w:w="0" w:type="auto"/>
        <w:jc w:val="left"/>
        <w:tblInd w:w="7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20"/>
        <w:gridCol w:w="4520"/>
      </w:tblGrid>
      <w:tr>
        <w:trPr>
          <w:trHeight w:val="2913" w:hRule="exact"/>
        </w:trPr>
        <w:tc>
          <w:tcPr>
            <w:tcW w:w="4520" w:type="dxa"/>
          </w:tcPr>
          <w:p>
            <w:pPr>
              <w:pStyle w:val="TableParagraph"/>
              <w:spacing w:before="0"/>
              <w:ind w:left="200"/>
              <w:rPr>
                <w:sz w:val="20"/>
              </w:rPr>
            </w:pPr>
            <w:r>
              <w:rPr>
                <w:sz w:val="20"/>
              </w:rPr>
              <w:drawing>
                <wp:inline distT="0" distB="0" distL="0" distR="0">
                  <wp:extent cx="2649931" cy="1840229"/>
                  <wp:effectExtent l="0" t="0" r="0" b="0"/>
                  <wp:docPr id="39" name="image32.jpeg" descr=""/>
                  <wp:cNvGraphicFramePr>
                    <a:graphicFrameLocks noChangeAspect="1"/>
                  </wp:cNvGraphicFramePr>
                  <a:graphic>
                    <a:graphicData uri="http://schemas.openxmlformats.org/drawingml/2006/picture">
                      <pic:pic>
                        <pic:nvPicPr>
                          <pic:cNvPr id="40" name="image32.jpeg"/>
                          <pic:cNvPicPr/>
                        </pic:nvPicPr>
                        <pic:blipFill>
                          <a:blip r:embed="rId39" cstate="print"/>
                          <a:stretch>
                            <a:fillRect/>
                          </a:stretch>
                        </pic:blipFill>
                        <pic:spPr>
                          <a:xfrm>
                            <a:off x="0" y="0"/>
                            <a:ext cx="2649931" cy="1840229"/>
                          </a:xfrm>
                          <a:prstGeom prst="rect">
                            <a:avLst/>
                          </a:prstGeom>
                        </pic:spPr>
                      </pic:pic>
                    </a:graphicData>
                  </a:graphic>
                </wp:inline>
              </w:drawing>
            </w:r>
            <w:r>
              <w:rPr>
                <w:sz w:val="20"/>
              </w:rPr>
            </w:r>
          </w:p>
        </w:tc>
        <w:tc>
          <w:tcPr>
            <w:tcW w:w="4520" w:type="dxa"/>
          </w:tcPr>
          <w:p>
            <w:pPr>
              <w:pStyle w:val="TableParagraph"/>
              <w:spacing w:before="0"/>
              <w:ind w:left="172"/>
              <w:rPr>
                <w:sz w:val="20"/>
              </w:rPr>
            </w:pPr>
            <w:r>
              <w:rPr>
                <w:sz w:val="20"/>
              </w:rPr>
              <w:drawing>
                <wp:inline distT="0" distB="0" distL="0" distR="0">
                  <wp:extent cx="2637449" cy="1831562"/>
                  <wp:effectExtent l="0" t="0" r="0" b="0"/>
                  <wp:docPr id="41" name="image33.jpeg" descr=""/>
                  <wp:cNvGraphicFramePr>
                    <a:graphicFrameLocks noChangeAspect="1"/>
                  </wp:cNvGraphicFramePr>
                  <a:graphic>
                    <a:graphicData uri="http://schemas.openxmlformats.org/drawingml/2006/picture">
                      <pic:pic>
                        <pic:nvPicPr>
                          <pic:cNvPr id="42" name="image33.jpeg"/>
                          <pic:cNvPicPr/>
                        </pic:nvPicPr>
                        <pic:blipFill>
                          <a:blip r:embed="rId40" cstate="print"/>
                          <a:stretch>
                            <a:fillRect/>
                          </a:stretch>
                        </pic:blipFill>
                        <pic:spPr>
                          <a:xfrm>
                            <a:off x="0" y="0"/>
                            <a:ext cx="2637449" cy="1831562"/>
                          </a:xfrm>
                          <a:prstGeom prst="rect">
                            <a:avLst/>
                          </a:prstGeom>
                        </pic:spPr>
                      </pic:pic>
                    </a:graphicData>
                  </a:graphic>
                </wp:inline>
              </w:drawing>
            </w:r>
            <w:r>
              <w:rPr>
                <w:sz w:val="20"/>
              </w:rPr>
            </w:r>
          </w:p>
        </w:tc>
      </w:tr>
      <w:tr>
        <w:trPr>
          <w:trHeight w:val="281" w:hRule="exact"/>
        </w:trPr>
        <w:tc>
          <w:tcPr>
            <w:tcW w:w="4520" w:type="dxa"/>
          </w:tcPr>
          <w:p>
            <w:pPr>
              <w:pStyle w:val="TableParagraph"/>
              <w:spacing w:before="27"/>
              <w:ind w:left="838" w:right="814"/>
              <w:jc w:val="center"/>
              <w:rPr>
                <w:sz w:val="18"/>
              </w:rPr>
            </w:pPr>
            <w:r>
              <w:rPr>
                <w:sz w:val="18"/>
                <w:u w:val="single"/>
              </w:rPr>
              <w:t>Consultation at Allah Daad Goth</w:t>
            </w:r>
          </w:p>
        </w:tc>
        <w:tc>
          <w:tcPr>
            <w:tcW w:w="4520" w:type="dxa"/>
          </w:tcPr>
          <w:p>
            <w:pPr>
              <w:pStyle w:val="TableParagraph"/>
              <w:spacing w:before="27"/>
              <w:ind w:left="790" w:right="814"/>
              <w:jc w:val="center"/>
              <w:rPr>
                <w:sz w:val="18"/>
              </w:rPr>
            </w:pPr>
            <w:r>
              <w:rPr>
                <w:sz w:val="18"/>
                <w:u w:val="single"/>
              </w:rPr>
              <w:t>Consultation at Zia Colony</w:t>
            </w:r>
          </w:p>
        </w:tc>
      </w:tr>
      <w:tr>
        <w:trPr>
          <w:trHeight w:val="2869" w:hRule="exact"/>
        </w:trPr>
        <w:tc>
          <w:tcPr>
            <w:tcW w:w="4520" w:type="dxa"/>
          </w:tcPr>
          <w:p>
            <w:pPr>
              <w:pStyle w:val="TableParagraph"/>
              <w:spacing w:before="0"/>
              <w:rPr>
                <w:b/>
                <w:sz w:val="4"/>
              </w:rPr>
            </w:pPr>
          </w:p>
          <w:p>
            <w:pPr>
              <w:pStyle w:val="TableParagraph"/>
              <w:spacing w:before="0"/>
              <w:ind w:left="200"/>
              <w:rPr>
                <w:sz w:val="20"/>
              </w:rPr>
            </w:pPr>
            <w:r>
              <w:rPr>
                <w:sz w:val="20"/>
              </w:rPr>
              <w:drawing>
                <wp:inline distT="0" distB="0" distL="0" distR="0">
                  <wp:extent cx="2622002" cy="1772793"/>
                  <wp:effectExtent l="0" t="0" r="0" b="0"/>
                  <wp:docPr id="43" name="image34.jpeg" descr=""/>
                  <wp:cNvGraphicFramePr>
                    <a:graphicFrameLocks noChangeAspect="1"/>
                  </wp:cNvGraphicFramePr>
                  <a:graphic>
                    <a:graphicData uri="http://schemas.openxmlformats.org/drawingml/2006/picture">
                      <pic:pic>
                        <pic:nvPicPr>
                          <pic:cNvPr id="44" name="image34.jpeg"/>
                          <pic:cNvPicPr/>
                        </pic:nvPicPr>
                        <pic:blipFill>
                          <a:blip r:embed="rId41" cstate="print"/>
                          <a:stretch>
                            <a:fillRect/>
                          </a:stretch>
                        </pic:blipFill>
                        <pic:spPr>
                          <a:xfrm>
                            <a:off x="0" y="0"/>
                            <a:ext cx="2622002" cy="1772793"/>
                          </a:xfrm>
                          <a:prstGeom prst="rect">
                            <a:avLst/>
                          </a:prstGeom>
                        </pic:spPr>
                      </pic:pic>
                    </a:graphicData>
                  </a:graphic>
                </wp:inline>
              </w:drawing>
            </w:r>
            <w:r>
              <w:rPr>
                <w:sz w:val="20"/>
              </w:rPr>
            </w:r>
          </w:p>
        </w:tc>
        <w:tc>
          <w:tcPr>
            <w:tcW w:w="4520" w:type="dxa"/>
          </w:tcPr>
          <w:p>
            <w:pPr>
              <w:pStyle w:val="TableParagraph"/>
              <w:spacing w:before="0"/>
              <w:rPr>
                <w:b/>
                <w:sz w:val="4"/>
              </w:rPr>
            </w:pPr>
          </w:p>
          <w:p>
            <w:pPr>
              <w:pStyle w:val="TableParagraph"/>
              <w:spacing w:before="0"/>
              <w:ind w:left="172"/>
              <w:rPr>
                <w:sz w:val="20"/>
              </w:rPr>
            </w:pPr>
            <w:r>
              <w:rPr>
                <w:sz w:val="20"/>
              </w:rPr>
              <w:drawing>
                <wp:inline distT="0" distB="0" distL="0" distR="0">
                  <wp:extent cx="2636304" cy="1772793"/>
                  <wp:effectExtent l="0" t="0" r="0" b="0"/>
                  <wp:docPr id="45" name="image35.jpeg" descr=""/>
                  <wp:cNvGraphicFramePr>
                    <a:graphicFrameLocks noChangeAspect="1"/>
                  </wp:cNvGraphicFramePr>
                  <a:graphic>
                    <a:graphicData uri="http://schemas.openxmlformats.org/drawingml/2006/picture">
                      <pic:pic>
                        <pic:nvPicPr>
                          <pic:cNvPr id="46" name="image35.jpeg"/>
                          <pic:cNvPicPr/>
                        </pic:nvPicPr>
                        <pic:blipFill>
                          <a:blip r:embed="rId42" cstate="print"/>
                          <a:stretch>
                            <a:fillRect/>
                          </a:stretch>
                        </pic:blipFill>
                        <pic:spPr>
                          <a:xfrm>
                            <a:off x="0" y="0"/>
                            <a:ext cx="2636304" cy="1772793"/>
                          </a:xfrm>
                          <a:prstGeom prst="rect">
                            <a:avLst/>
                          </a:prstGeom>
                        </pic:spPr>
                      </pic:pic>
                    </a:graphicData>
                  </a:graphic>
                </wp:inline>
              </w:drawing>
            </w:r>
            <w:r>
              <w:rPr>
                <w:sz w:val="20"/>
              </w:rPr>
            </w:r>
          </w:p>
        </w:tc>
      </w:tr>
      <w:tr>
        <w:trPr>
          <w:trHeight w:val="281" w:hRule="exact"/>
        </w:trPr>
        <w:tc>
          <w:tcPr>
            <w:tcW w:w="4520" w:type="dxa"/>
          </w:tcPr>
          <w:p>
            <w:pPr>
              <w:pStyle w:val="TableParagraph"/>
              <w:spacing w:before="27"/>
              <w:ind w:left="836" w:right="814"/>
              <w:jc w:val="center"/>
              <w:rPr>
                <w:sz w:val="18"/>
              </w:rPr>
            </w:pPr>
            <w:r>
              <w:rPr>
                <w:sz w:val="18"/>
                <w:u w:val="single"/>
              </w:rPr>
              <w:t>Consultation at Mehran Town</w:t>
            </w:r>
          </w:p>
        </w:tc>
        <w:tc>
          <w:tcPr>
            <w:tcW w:w="4520" w:type="dxa"/>
          </w:tcPr>
          <w:p>
            <w:pPr>
              <w:pStyle w:val="TableParagraph"/>
              <w:spacing w:before="27"/>
              <w:ind w:left="787" w:right="814"/>
              <w:jc w:val="center"/>
              <w:rPr>
                <w:sz w:val="18"/>
              </w:rPr>
            </w:pPr>
            <w:r>
              <w:rPr>
                <w:sz w:val="18"/>
                <w:u w:val="single"/>
              </w:rPr>
              <w:t>Consultation at Azam Town</w:t>
            </w:r>
          </w:p>
        </w:tc>
      </w:tr>
      <w:tr>
        <w:trPr>
          <w:trHeight w:val="2959" w:hRule="exact"/>
        </w:trPr>
        <w:tc>
          <w:tcPr>
            <w:tcW w:w="4520" w:type="dxa"/>
          </w:tcPr>
          <w:p>
            <w:pPr>
              <w:pStyle w:val="TableParagraph"/>
              <w:spacing w:before="1"/>
              <w:rPr>
                <w:b/>
                <w:sz w:val="4"/>
              </w:rPr>
            </w:pPr>
          </w:p>
          <w:p>
            <w:pPr>
              <w:pStyle w:val="TableParagraph"/>
              <w:spacing w:before="0"/>
              <w:ind w:left="200"/>
              <w:rPr>
                <w:sz w:val="20"/>
              </w:rPr>
            </w:pPr>
            <w:r>
              <w:rPr>
                <w:sz w:val="20"/>
              </w:rPr>
              <w:drawing>
                <wp:inline distT="0" distB="0" distL="0" distR="0">
                  <wp:extent cx="2627491" cy="1833657"/>
                  <wp:effectExtent l="0" t="0" r="0" b="0"/>
                  <wp:docPr id="47" name="image36.jpeg" descr=""/>
                  <wp:cNvGraphicFramePr>
                    <a:graphicFrameLocks noChangeAspect="1"/>
                  </wp:cNvGraphicFramePr>
                  <a:graphic>
                    <a:graphicData uri="http://schemas.openxmlformats.org/drawingml/2006/picture">
                      <pic:pic>
                        <pic:nvPicPr>
                          <pic:cNvPr id="48" name="image36.jpeg"/>
                          <pic:cNvPicPr/>
                        </pic:nvPicPr>
                        <pic:blipFill>
                          <a:blip r:embed="rId43" cstate="print"/>
                          <a:stretch>
                            <a:fillRect/>
                          </a:stretch>
                        </pic:blipFill>
                        <pic:spPr>
                          <a:xfrm>
                            <a:off x="0" y="0"/>
                            <a:ext cx="2627491" cy="1833657"/>
                          </a:xfrm>
                          <a:prstGeom prst="rect">
                            <a:avLst/>
                          </a:prstGeom>
                        </pic:spPr>
                      </pic:pic>
                    </a:graphicData>
                  </a:graphic>
                </wp:inline>
              </w:drawing>
            </w:r>
            <w:r>
              <w:rPr>
                <w:sz w:val="20"/>
              </w:rPr>
            </w:r>
          </w:p>
        </w:tc>
        <w:tc>
          <w:tcPr>
            <w:tcW w:w="4520" w:type="dxa"/>
          </w:tcPr>
          <w:p>
            <w:pPr>
              <w:pStyle w:val="TableParagraph"/>
              <w:spacing w:before="1"/>
              <w:rPr>
                <w:b/>
                <w:sz w:val="4"/>
              </w:rPr>
            </w:pPr>
          </w:p>
          <w:p>
            <w:pPr>
              <w:pStyle w:val="TableParagraph"/>
              <w:spacing w:before="0"/>
              <w:ind w:left="172"/>
              <w:rPr>
                <w:sz w:val="20"/>
              </w:rPr>
            </w:pPr>
            <w:r>
              <w:rPr>
                <w:sz w:val="20"/>
              </w:rPr>
              <w:drawing>
                <wp:inline distT="0" distB="0" distL="0" distR="0">
                  <wp:extent cx="2629355" cy="1825180"/>
                  <wp:effectExtent l="0" t="0" r="0" b="0"/>
                  <wp:docPr id="49" name="image37.jpeg" descr=""/>
                  <wp:cNvGraphicFramePr>
                    <a:graphicFrameLocks noChangeAspect="1"/>
                  </wp:cNvGraphicFramePr>
                  <a:graphic>
                    <a:graphicData uri="http://schemas.openxmlformats.org/drawingml/2006/picture">
                      <pic:pic>
                        <pic:nvPicPr>
                          <pic:cNvPr id="50" name="image37.jpeg"/>
                          <pic:cNvPicPr/>
                        </pic:nvPicPr>
                        <pic:blipFill>
                          <a:blip r:embed="rId44" cstate="print"/>
                          <a:stretch>
                            <a:fillRect/>
                          </a:stretch>
                        </pic:blipFill>
                        <pic:spPr>
                          <a:xfrm>
                            <a:off x="0" y="0"/>
                            <a:ext cx="2629355" cy="1825180"/>
                          </a:xfrm>
                          <a:prstGeom prst="rect">
                            <a:avLst/>
                          </a:prstGeom>
                        </pic:spPr>
                      </pic:pic>
                    </a:graphicData>
                  </a:graphic>
                </wp:inline>
              </w:drawing>
            </w:r>
            <w:r>
              <w:rPr>
                <w:sz w:val="20"/>
              </w:rPr>
            </w:r>
          </w:p>
        </w:tc>
      </w:tr>
      <w:tr>
        <w:trPr>
          <w:trHeight w:val="234" w:hRule="exact"/>
        </w:trPr>
        <w:tc>
          <w:tcPr>
            <w:tcW w:w="4520" w:type="dxa"/>
          </w:tcPr>
          <w:p>
            <w:pPr>
              <w:pStyle w:val="TableParagraph"/>
              <w:spacing w:before="27"/>
              <w:ind w:left="843" w:right="814"/>
              <w:jc w:val="center"/>
              <w:rPr>
                <w:sz w:val="18"/>
              </w:rPr>
            </w:pPr>
            <w:r>
              <w:rPr>
                <w:sz w:val="18"/>
                <w:u w:val="single"/>
              </w:rPr>
              <w:t>Consultation at Sharafi Goth</w:t>
            </w:r>
          </w:p>
        </w:tc>
        <w:tc>
          <w:tcPr>
            <w:tcW w:w="4520" w:type="dxa"/>
          </w:tcPr>
          <w:p>
            <w:pPr>
              <w:pStyle w:val="TableParagraph"/>
              <w:spacing w:before="27"/>
              <w:ind w:left="794" w:right="814"/>
              <w:jc w:val="center"/>
              <w:rPr>
                <w:sz w:val="18"/>
              </w:rPr>
            </w:pPr>
            <w:r>
              <w:rPr>
                <w:sz w:val="18"/>
                <w:u w:val="single"/>
              </w:rPr>
              <w:t>Consultation at Future Colony</w:t>
            </w:r>
          </w:p>
        </w:tc>
      </w:tr>
    </w:tbl>
    <w:p>
      <w:pPr>
        <w:pStyle w:val="BodyText"/>
        <w:rPr>
          <w:b/>
          <w:sz w:val="20"/>
        </w:rPr>
      </w:pPr>
    </w:p>
    <w:p>
      <w:pPr>
        <w:pStyle w:val="BodyText"/>
        <w:spacing w:before="6"/>
        <w:rPr>
          <w:b/>
          <w:sz w:val="26"/>
        </w:rPr>
      </w:pPr>
    </w:p>
    <w:p>
      <w:pPr>
        <w:pStyle w:val="Heading2"/>
        <w:numPr>
          <w:ilvl w:val="1"/>
          <w:numId w:val="34"/>
        </w:numPr>
        <w:tabs>
          <w:tab w:pos="1409" w:val="left" w:leader="none"/>
        </w:tabs>
        <w:spacing w:line="240" w:lineRule="auto" w:before="92" w:after="0"/>
        <w:ind w:left="1408" w:right="0" w:hanging="540"/>
        <w:jc w:val="both"/>
      </w:pPr>
      <w:bookmarkStart w:name="_bookmark67" w:id="111"/>
      <w:bookmarkEnd w:id="111"/>
      <w:r>
        <w:rPr>
          <w:b w:val="0"/>
        </w:rPr>
      </w:r>
      <w:bookmarkStart w:name="_bookmark67" w:id="112"/>
      <w:bookmarkEnd w:id="112"/>
      <w:r>
        <w:rPr/>
        <w:t>C</w:t>
      </w:r>
      <w:r>
        <w:rPr/>
        <w:t>&amp;LRP disclosure and</w:t>
      </w:r>
      <w:r>
        <w:rPr>
          <w:spacing w:val="-7"/>
        </w:rPr>
        <w:t> </w:t>
      </w:r>
      <w:r>
        <w:rPr/>
        <w:t>dissemination</w:t>
      </w:r>
    </w:p>
    <w:p>
      <w:pPr>
        <w:pStyle w:val="BodyText"/>
        <w:spacing w:line="276" w:lineRule="auto" w:before="160"/>
        <w:ind w:left="868" w:right="254"/>
        <w:jc w:val="both"/>
      </w:pPr>
      <w:r>
        <w:rPr/>
        <w:t>76 The SMTA will prepare an Information Brochure in  Urdu  Language  including summary</w:t>
      </w:r>
      <w:r>
        <w:rPr>
          <w:spacing w:val="-11"/>
        </w:rPr>
        <w:t> </w:t>
      </w:r>
      <w:r>
        <w:rPr/>
        <w:t>information</w:t>
      </w:r>
      <w:r>
        <w:rPr>
          <w:spacing w:val="-9"/>
        </w:rPr>
        <w:t> </w:t>
      </w:r>
      <w:r>
        <w:rPr/>
        <w:t>on</w:t>
      </w:r>
      <w:r>
        <w:rPr>
          <w:spacing w:val="-14"/>
        </w:rPr>
        <w:t> </w:t>
      </w:r>
      <w:r>
        <w:rPr/>
        <w:t>the</w:t>
      </w:r>
      <w:r>
        <w:rPr>
          <w:spacing w:val="-11"/>
        </w:rPr>
        <w:t> </w:t>
      </w:r>
      <w:r>
        <w:rPr/>
        <w:t>key</w:t>
      </w:r>
      <w:r>
        <w:rPr>
          <w:spacing w:val="-11"/>
        </w:rPr>
        <w:t> </w:t>
      </w:r>
      <w:r>
        <w:rPr/>
        <w:t>aspects</w:t>
      </w:r>
      <w:r>
        <w:rPr>
          <w:spacing w:val="-11"/>
        </w:rPr>
        <w:t> </w:t>
      </w:r>
      <w:r>
        <w:rPr/>
        <w:t>of</w:t>
      </w:r>
      <w:r>
        <w:rPr>
          <w:spacing w:val="-10"/>
        </w:rPr>
        <w:t> </w:t>
      </w:r>
      <w:r>
        <w:rPr/>
        <w:t>the</w:t>
      </w:r>
      <w:r>
        <w:rPr>
          <w:spacing w:val="-8"/>
        </w:rPr>
        <w:t> </w:t>
      </w:r>
      <w:r>
        <w:rPr/>
        <w:t>compensation</w:t>
      </w:r>
      <w:r>
        <w:rPr>
          <w:spacing w:val="-11"/>
        </w:rPr>
        <w:t> </w:t>
      </w:r>
      <w:r>
        <w:rPr/>
        <w:t>and</w:t>
      </w:r>
      <w:r>
        <w:rPr>
          <w:spacing w:val="-11"/>
        </w:rPr>
        <w:t> </w:t>
      </w:r>
      <w:r>
        <w:rPr/>
        <w:t>rehabilitation</w:t>
      </w:r>
      <w:r>
        <w:rPr>
          <w:spacing w:val="-9"/>
        </w:rPr>
        <w:t> </w:t>
      </w:r>
      <w:r>
        <w:rPr/>
        <w:t>assistance process of the Project, grievance redress mechanism with institutional set-up, general eligibility and entitlement provisions. The information brochure translated in Urdu will be disseminated to the PAPs during the detailed design preparation</w:t>
      </w:r>
      <w:r>
        <w:rPr>
          <w:spacing w:val="-15"/>
        </w:rPr>
        <w:t> </w:t>
      </w:r>
      <w:r>
        <w:rPr/>
        <w:t>stage.</w:t>
      </w:r>
    </w:p>
    <w:p>
      <w:pPr>
        <w:pStyle w:val="BodyText"/>
        <w:spacing w:before="10"/>
        <w:rPr>
          <w:sz w:val="20"/>
        </w:rPr>
      </w:pPr>
    </w:p>
    <w:p>
      <w:pPr>
        <w:pStyle w:val="Heading2"/>
        <w:numPr>
          <w:ilvl w:val="1"/>
          <w:numId w:val="34"/>
        </w:numPr>
        <w:tabs>
          <w:tab w:pos="1500" w:val="left" w:leader="none"/>
        </w:tabs>
        <w:spacing w:line="240" w:lineRule="auto" w:before="1" w:after="0"/>
        <w:ind w:left="1499" w:right="0" w:hanging="578"/>
        <w:jc w:val="both"/>
      </w:pPr>
      <w:bookmarkStart w:name="_bookmark68" w:id="113"/>
      <w:bookmarkEnd w:id="113"/>
      <w:r>
        <w:rPr>
          <w:b w:val="0"/>
        </w:rPr>
      </w:r>
      <w:bookmarkStart w:name="_bookmark68" w:id="114"/>
      <w:bookmarkEnd w:id="114"/>
      <w:r>
        <w:rPr/>
        <w:t>S</w:t>
      </w:r>
      <w:r>
        <w:rPr/>
        <w:t>takeholders Consultation during Project Implementation</w:t>
      </w:r>
      <w:r>
        <w:rPr>
          <w:spacing w:val="-7"/>
        </w:rPr>
        <w:t> </w:t>
      </w:r>
      <w:r>
        <w:rPr/>
        <w:t>Phase</w:t>
      </w:r>
    </w:p>
    <w:p>
      <w:pPr>
        <w:pStyle w:val="BodyText"/>
        <w:spacing w:line="276" w:lineRule="auto" w:before="160"/>
        <w:ind w:left="868" w:right="255"/>
        <w:jc w:val="both"/>
      </w:pPr>
      <w:r>
        <w:rPr/>
        <w:t>77   A continued process of consultation and participation of stakeholders particularly   with informal vendors will be followed to ensure transparency in implementation of</w:t>
      </w:r>
      <w:r>
        <w:rPr>
          <w:spacing w:val="-40"/>
        </w:rPr>
        <w:t> </w:t>
      </w:r>
      <w:r>
        <w:rPr/>
        <w:t>C&amp;LRP and to keep the stakeholders informed and receiving and incorporating their feedback  </w:t>
      </w:r>
      <w:r>
        <w:rPr>
          <w:spacing w:val="32"/>
        </w:rPr>
        <w:t> </w:t>
      </w:r>
      <w:r>
        <w:rPr/>
        <w:t>at</w:t>
      </w:r>
    </w:p>
    <w:p>
      <w:pPr>
        <w:spacing w:after="0" w:line="276" w:lineRule="auto"/>
        <w:jc w:val="both"/>
        <w:sectPr>
          <w:pgSz w:w="11910" w:h="16840"/>
          <w:pgMar w:header="583" w:footer="575" w:top="840" w:bottom="760" w:left="860" w:right="1180"/>
        </w:sectPr>
      </w:pPr>
    </w:p>
    <w:p>
      <w:pPr>
        <w:pStyle w:val="BodyText"/>
        <w:rPr>
          <w:sz w:val="20"/>
        </w:rPr>
      </w:pPr>
    </w:p>
    <w:p>
      <w:pPr>
        <w:pStyle w:val="BodyText"/>
        <w:rPr>
          <w:sz w:val="20"/>
        </w:rPr>
      </w:pPr>
    </w:p>
    <w:p>
      <w:pPr>
        <w:pStyle w:val="BodyText"/>
        <w:spacing w:before="10"/>
        <w:rPr>
          <w:sz w:val="27"/>
        </w:rPr>
      </w:pPr>
    </w:p>
    <w:p>
      <w:pPr>
        <w:pStyle w:val="BodyText"/>
        <w:spacing w:line="276" w:lineRule="auto" w:before="93"/>
        <w:ind w:left="868" w:right="153"/>
        <w:jc w:val="both"/>
      </w:pPr>
      <w:r>
        <w:rPr/>
        <w:t>various stages of Project implementation. It will provide a good measure to improve the social acceptability of the project and ensure effective participation of the stakeholders especially PAPs in the process of C&amp;LRP implementation, and the Project. Public consultation will assist obtaining cooperation from informed PAPs and other stakeholders, to</w:t>
      </w:r>
      <w:r>
        <w:rPr>
          <w:spacing w:val="-4"/>
        </w:rPr>
        <w:t> </w:t>
      </w:r>
      <w:r>
        <w:rPr/>
        <w:t>avoid</w:t>
      </w:r>
      <w:r>
        <w:rPr>
          <w:spacing w:val="-4"/>
        </w:rPr>
        <w:t> </w:t>
      </w:r>
      <w:r>
        <w:rPr/>
        <w:t>cost</w:t>
      </w:r>
      <w:r>
        <w:rPr>
          <w:spacing w:val="-5"/>
        </w:rPr>
        <w:t> </w:t>
      </w:r>
      <w:r>
        <w:rPr/>
        <w:t>and</w:t>
      </w:r>
      <w:r>
        <w:rPr>
          <w:spacing w:val="-6"/>
        </w:rPr>
        <w:t> </w:t>
      </w:r>
      <w:r>
        <w:rPr/>
        <w:t>time</w:t>
      </w:r>
      <w:r>
        <w:rPr>
          <w:spacing w:val="-6"/>
        </w:rPr>
        <w:t> </w:t>
      </w:r>
      <w:r>
        <w:rPr/>
        <w:t>in</w:t>
      </w:r>
      <w:r>
        <w:rPr>
          <w:spacing w:val="-9"/>
        </w:rPr>
        <w:t> </w:t>
      </w:r>
      <w:r>
        <w:rPr/>
        <w:t>dealing</w:t>
      </w:r>
      <w:r>
        <w:rPr>
          <w:spacing w:val="-2"/>
        </w:rPr>
        <w:t> </w:t>
      </w:r>
      <w:r>
        <w:rPr/>
        <w:t>with</w:t>
      </w:r>
      <w:r>
        <w:rPr>
          <w:spacing w:val="-4"/>
        </w:rPr>
        <w:t> </w:t>
      </w:r>
      <w:r>
        <w:rPr/>
        <w:t>complaints.</w:t>
      </w:r>
      <w:r>
        <w:rPr>
          <w:spacing w:val="-7"/>
        </w:rPr>
        <w:t> </w:t>
      </w:r>
      <w:r>
        <w:rPr/>
        <w:t>As</w:t>
      </w:r>
      <w:r>
        <w:rPr>
          <w:spacing w:val="-4"/>
        </w:rPr>
        <w:t> </w:t>
      </w:r>
      <w:r>
        <w:rPr/>
        <w:t>per</w:t>
      </w:r>
      <w:r>
        <w:rPr>
          <w:spacing w:val="-8"/>
        </w:rPr>
        <w:t> </w:t>
      </w:r>
      <w:r>
        <w:rPr/>
        <w:t>the</w:t>
      </w:r>
      <w:r>
        <w:rPr>
          <w:spacing w:val="-7"/>
        </w:rPr>
        <w:t> </w:t>
      </w:r>
      <w:r>
        <w:rPr/>
        <w:t>requirement</w:t>
      </w:r>
      <w:r>
        <w:rPr>
          <w:spacing w:val="-5"/>
        </w:rPr>
        <w:t> </w:t>
      </w:r>
      <w:r>
        <w:rPr/>
        <w:t>of</w:t>
      </w:r>
      <w:r>
        <w:rPr>
          <w:spacing w:val="-5"/>
        </w:rPr>
        <w:t> </w:t>
      </w:r>
      <w:r>
        <w:rPr/>
        <w:t>the</w:t>
      </w:r>
      <w:r>
        <w:rPr>
          <w:spacing w:val="-3"/>
        </w:rPr>
        <w:t> </w:t>
      </w:r>
      <w:r>
        <w:rPr/>
        <w:t>OP</w:t>
      </w:r>
      <w:r>
        <w:rPr>
          <w:spacing w:val="-7"/>
        </w:rPr>
        <w:t> </w:t>
      </w:r>
      <w:r>
        <w:rPr/>
        <w:t>4.12,</w:t>
      </w:r>
      <w:r>
        <w:rPr>
          <w:spacing w:val="-5"/>
        </w:rPr>
        <w:t> </w:t>
      </w:r>
      <w:r>
        <w:rPr/>
        <w:t>a strategy</w:t>
      </w:r>
      <w:r>
        <w:rPr>
          <w:spacing w:val="-7"/>
        </w:rPr>
        <w:t> </w:t>
      </w:r>
      <w:r>
        <w:rPr/>
        <w:t>for</w:t>
      </w:r>
      <w:r>
        <w:rPr>
          <w:spacing w:val="-5"/>
        </w:rPr>
        <w:t> </w:t>
      </w:r>
      <w:r>
        <w:rPr/>
        <w:t>public</w:t>
      </w:r>
      <w:r>
        <w:rPr>
          <w:spacing w:val="-3"/>
        </w:rPr>
        <w:t> </w:t>
      </w:r>
      <w:r>
        <w:rPr/>
        <w:t>consultation</w:t>
      </w:r>
      <w:r>
        <w:rPr>
          <w:spacing w:val="-5"/>
        </w:rPr>
        <w:t> </w:t>
      </w:r>
      <w:r>
        <w:rPr/>
        <w:t>to</w:t>
      </w:r>
      <w:r>
        <w:rPr>
          <w:spacing w:val="-3"/>
        </w:rPr>
        <w:t> </w:t>
      </w:r>
      <w:r>
        <w:rPr/>
        <w:t>be</w:t>
      </w:r>
      <w:r>
        <w:rPr>
          <w:spacing w:val="-6"/>
        </w:rPr>
        <w:t> </w:t>
      </w:r>
      <w:r>
        <w:rPr/>
        <w:t>implemented</w:t>
      </w:r>
      <w:r>
        <w:rPr>
          <w:spacing w:val="-6"/>
        </w:rPr>
        <w:t> </w:t>
      </w:r>
      <w:r>
        <w:rPr/>
        <w:t>by</w:t>
      </w:r>
      <w:r>
        <w:rPr>
          <w:spacing w:val="-5"/>
        </w:rPr>
        <w:t> </w:t>
      </w:r>
      <w:r>
        <w:rPr/>
        <w:t>the</w:t>
      </w:r>
      <w:r>
        <w:rPr>
          <w:spacing w:val="-1"/>
        </w:rPr>
        <w:t> </w:t>
      </w:r>
      <w:r>
        <w:rPr/>
        <w:t>SMTA</w:t>
      </w:r>
      <w:r>
        <w:rPr>
          <w:spacing w:val="-3"/>
        </w:rPr>
        <w:t> </w:t>
      </w:r>
      <w:r>
        <w:rPr/>
        <w:t>during</w:t>
      </w:r>
      <w:r>
        <w:rPr>
          <w:spacing w:val="-3"/>
        </w:rPr>
        <w:t> </w:t>
      </w:r>
      <w:r>
        <w:rPr/>
        <w:t>the</w:t>
      </w:r>
      <w:r>
        <w:rPr>
          <w:spacing w:val="-8"/>
        </w:rPr>
        <w:t> </w:t>
      </w:r>
      <w:r>
        <w:rPr/>
        <w:t>implementation of C&amp;LRP,</w:t>
      </w:r>
      <w:r>
        <w:rPr>
          <w:spacing w:val="-5"/>
        </w:rPr>
        <w:t> </w:t>
      </w:r>
      <w:r>
        <w:rPr/>
        <w:t>and</w:t>
      </w:r>
      <w:r>
        <w:rPr>
          <w:spacing w:val="-6"/>
        </w:rPr>
        <w:t> </w:t>
      </w:r>
      <w:r>
        <w:rPr/>
        <w:t>Project</w:t>
      </w:r>
      <w:r>
        <w:rPr>
          <w:spacing w:val="-5"/>
        </w:rPr>
        <w:t> </w:t>
      </w:r>
      <w:r>
        <w:rPr/>
        <w:t>construction</w:t>
      </w:r>
      <w:r>
        <w:rPr>
          <w:spacing w:val="-4"/>
        </w:rPr>
        <w:t> </w:t>
      </w:r>
      <w:r>
        <w:rPr/>
        <w:t>phase</w:t>
      </w:r>
      <w:r>
        <w:rPr>
          <w:spacing w:val="-6"/>
        </w:rPr>
        <w:t> </w:t>
      </w:r>
      <w:r>
        <w:rPr/>
        <w:t>through</w:t>
      </w:r>
      <w:r>
        <w:rPr>
          <w:spacing w:val="-3"/>
        </w:rPr>
        <w:t> </w:t>
      </w:r>
      <w:r>
        <w:rPr/>
        <w:t>Project</w:t>
      </w:r>
      <w:r>
        <w:rPr>
          <w:spacing w:val="-8"/>
        </w:rPr>
        <w:t> </w:t>
      </w:r>
      <w:r>
        <w:rPr/>
        <w:t>Team</w:t>
      </w:r>
      <w:r>
        <w:rPr>
          <w:spacing w:val="-4"/>
        </w:rPr>
        <w:t> </w:t>
      </w:r>
      <w:r>
        <w:rPr/>
        <w:t>with</w:t>
      </w:r>
      <w:r>
        <w:rPr>
          <w:spacing w:val="-4"/>
        </w:rPr>
        <w:t> </w:t>
      </w:r>
      <w:r>
        <w:rPr/>
        <w:t>the</w:t>
      </w:r>
      <w:r>
        <w:rPr>
          <w:spacing w:val="-9"/>
        </w:rPr>
        <w:t> </w:t>
      </w:r>
      <w:r>
        <w:rPr/>
        <w:t>support</w:t>
      </w:r>
      <w:r>
        <w:rPr>
          <w:spacing w:val="-5"/>
        </w:rPr>
        <w:t> </w:t>
      </w:r>
      <w:r>
        <w:rPr/>
        <w:t>of</w:t>
      </w:r>
      <w:r>
        <w:rPr>
          <w:spacing w:val="-5"/>
        </w:rPr>
        <w:t> </w:t>
      </w:r>
      <w:r>
        <w:rPr/>
        <w:t>social and resettlement staff of supervisory</w:t>
      </w:r>
      <w:r>
        <w:rPr>
          <w:spacing w:val="-14"/>
        </w:rPr>
        <w:t> </w:t>
      </w:r>
      <w:r>
        <w:rPr/>
        <w:t>consultants.</w:t>
      </w:r>
    </w:p>
    <w:p>
      <w:pPr>
        <w:pStyle w:val="ListParagraph"/>
        <w:numPr>
          <w:ilvl w:val="0"/>
          <w:numId w:val="38"/>
        </w:numPr>
        <w:tabs>
          <w:tab w:pos="1589" w:val="left" w:leader="none"/>
        </w:tabs>
        <w:spacing w:line="273" w:lineRule="auto" w:before="119" w:after="0"/>
        <w:ind w:left="1588" w:right="240" w:hanging="360"/>
        <w:jc w:val="both"/>
        <w:rPr>
          <w:sz w:val="22"/>
        </w:rPr>
      </w:pPr>
      <w:r>
        <w:rPr>
          <w:sz w:val="22"/>
        </w:rPr>
        <w:t>The</w:t>
      </w:r>
      <w:r>
        <w:rPr>
          <w:spacing w:val="-7"/>
          <w:sz w:val="22"/>
        </w:rPr>
        <w:t> </w:t>
      </w:r>
      <w:r>
        <w:rPr>
          <w:sz w:val="22"/>
        </w:rPr>
        <w:t>Project</w:t>
      </w:r>
      <w:r>
        <w:rPr>
          <w:spacing w:val="-8"/>
          <w:sz w:val="22"/>
        </w:rPr>
        <w:t> </w:t>
      </w:r>
      <w:r>
        <w:rPr>
          <w:sz w:val="22"/>
        </w:rPr>
        <w:t>Team</w:t>
      </w:r>
      <w:r>
        <w:rPr>
          <w:spacing w:val="-5"/>
          <w:sz w:val="22"/>
        </w:rPr>
        <w:t> </w:t>
      </w:r>
      <w:r>
        <w:rPr>
          <w:sz w:val="22"/>
        </w:rPr>
        <w:t>will</w:t>
      </w:r>
      <w:r>
        <w:rPr>
          <w:spacing w:val="-5"/>
          <w:sz w:val="22"/>
        </w:rPr>
        <w:t> </w:t>
      </w:r>
      <w:r>
        <w:rPr>
          <w:sz w:val="22"/>
        </w:rPr>
        <w:t>keep</w:t>
      </w:r>
      <w:r>
        <w:rPr>
          <w:spacing w:val="-6"/>
          <w:sz w:val="22"/>
        </w:rPr>
        <w:t> </w:t>
      </w:r>
      <w:r>
        <w:rPr>
          <w:sz w:val="22"/>
        </w:rPr>
        <w:t>a</w:t>
      </w:r>
      <w:r>
        <w:rPr>
          <w:spacing w:val="-6"/>
          <w:sz w:val="22"/>
        </w:rPr>
        <w:t> </w:t>
      </w:r>
      <w:r>
        <w:rPr>
          <w:sz w:val="22"/>
        </w:rPr>
        <w:t>close</w:t>
      </w:r>
      <w:r>
        <w:rPr>
          <w:spacing w:val="-7"/>
          <w:sz w:val="22"/>
        </w:rPr>
        <w:t> </w:t>
      </w:r>
      <w:r>
        <w:rPr>
          <w:sz w:val="22"/>
        </w:rPr>
        <w:t>liaison</w:t>
      </w:r>
      <w:r>
        <w:rPr>
          <w:spacing w:val="-7"/>
          <w:sz w:val="22"/>
        </w:rPr>
        <w:t> </w:t>
      </w:r>
      <w:r>
        <w:rPr>
          <w:sz w:val="22"/>
        </w:rPr>
        <w:t>with</w:t>
      </w:r>
      <w:r>
        <w:rPr>
          <w:spacing w:val="-6"/>
          <w:sz w:val="22"/>
        </w:rPr>
        <w:t> </w:t>
      </w:r>
      <w:r>
        <w:rPr>
          <w:sz w:val="22"/>
        </w:rPr>
        <w:t>the</w:t>
      </w:r>
      <w:r>
        <w:rPr>
          <w:spacing w:val="-7"/>
          <w:sz w:val="22"/>
        </w:rPr>
        <w:t> </w:t>
      </w:r>
      <w:r>
        <w:rPr>
          <w:sz w:val="22"/>
        </w:rPr>
        <w:t>stakeholders</w:t>
      </w:r>
      <w:r>
        <w:rPr>
          <w:spacing w:val="-8"/>
          <w:sz w:val="22"/>
        </w:rPr>
        <w:t> </w:t>
      </w:r>
      <w:r>
        <w:rPr>
          <w:sz w:val="22"/>
        </w:rPr>
        <w:t>including</w:t>
      </w:r>
      <w:r>
        <w:rPr>
          <w:spacing w:val="-7"/>
          <w:sz w:val="22"/>
        </w:rPr>
        <w:t> </w:t>
      </w:r>
      <w:r>
        <w:rPr>
          <w:sz w:val="22"/>
        </w:rPr>
        <w:t>women, particularly with PAPs; record and address their concerns relating to the implementation of C&amp;LRP and construction related</w:t>
      </w:r>
      <w:r>
        <w:rPr>
          <w:spacing w:val="-16"/>
          <w:sz w:val="22"/>
        </w:rPr>
        <w:t> </w:t>
      </w:r>
      <w:r>
        <w:rPr>
          <w:sz w:val="22"/>
        </w:rPr>
        <w:t>works.</w:t>
      </w:r>
    </w:p>
    <w:p>
      <w:pPr>
        <w:pStyle w:val="ListParagraph"/>
        <w:numPr>
          <w:ilvl w:val="0"/>
          <w:numId w:val="38"/>
        </w:numPr>
        <w:tabs>
          <w:tab w:pos="1589" w:val="left" w:leader="none"/>
        </w:tabs>
        <w:spacing w:line="273" w:lineRule="auto" w:before="4" w:after="0"/>
        <w:ind w:left="1588" w:right="239" w:hanging="360"/>
        <w:jc w:val="both"/>
        <w:rPr>
          <w:sz w:val="22"/>
        </w:rPr>
      </w:pPr>
      <w:r>
        <w:rPr>
          <w:sz w:val="22"/>
        </w:rPr>
        <w:t>Organize</w:t>
      </w:r>
      <w:r>
        <w:rPr>
          <w:spacing w:val="-14"/>
          <w:sz w:val="22"/>
        </w:rPr>
        <w:t> </w:t>
      </w:r>
      <w:r>
        <w:rPr>
          <w:sz w:val="22"/>
        </w:rPr>
        <w:t>public</w:t>
      </w:r>
      <w:r>
        <w:rPr>
          <w:spacing w:val="-14"/>
          <w:sz w:val="22"/>
        </w:rPr>
        <w:t> </w:t>
      </w:r>
      <w:r>
        <w:rPr>
          <w:sz w:val="22"/>
        </w:rPr>
        <w:t>meetings</w:t>
      </w:r>
      <w:r>
        <w:rPr>
          <w:spacing w:val="-14"/>
          <w:sz w:val="22"/>
        </w:rPr>
        <w:t> </w:t>
      </w:r>
      <w:r>
        <w:rPr>
          <w:sz w:val="22"/>
        </w:rPr>
        <w:t>particularly</w:t>
      </w:r>
      <w:r>
        <w:rPr>
          <w:spacing w:val="-17"/>
          <w:sz w:val="22"/>
        </w:rPr>
        <w:t> </w:t>
      </w:r>
      <w:r>
        <w:rPr>
          <w:sz w:val="22"/>
        </w:rPr>
        <w:t>with</w:t>
      </w:r>
      <w:r>
        <w:rPr>
          <w:spacing w:val="-13"/>
          <w:sz w:val="22"/>
        </w:rPr>
        <w:t> </w:t>
      </w:r>
      <w:r>
        <w:rPr>
          <w:sz w:val="22"/>
        </w:rPr>
        <w:t>PAPs</w:t>
      </w:r>
      <w:r>
        <w:rPr>
          <w:spacing w:val="-14"/>
          <w:sz w:val="22"/>
        </w:rPr>
        <w:t> </w:t>
      </w:r>
      <w:r>
        <w:rPr>
          <w:sz w:val="22"/>
        </w:rPr>
        <w:t>and</w:t>
      </w:r>
      <w:r>
        <w:rPr>
          <w:spacing w:val="-14"/>
          <w:sz w:val="22"/>
        </w:rPr>
        <w:t> </w:t>
      </w:r>
      <w:r>
        <w:rPr>
          <w:sz w:val="22"/>
        </w:rPr>
        <w:t>AHs</w:t>
      </w:r>
      <w:r>
        <w:rPr>
          <w:spacing w:val="-14"/>
          <w:sz w:val="22"/>
        </w:rPr>
        <w:t> </w:t>
      </w:r>
      <w:r>
        <w:rPr>
          <w:sz w:val="22"/>
        </w:rPr>
        <w:t>and</w:t>
      </w:r>
      <w:r>
        <w:rPr>
          <w:spacing w:val="-17"/>
          <w:sz w:val="22"/>
        </w:rPr>
        <w:t> </w:t>
      </w:r>
      <w:r>
        <w:rPr>
          <w:sz w:val="22"/>
        </w:rPr>
        <w:t>appraise</w:t>
      </w:r>
      <w:r>
        <w:rPr>
          <w:spacing w:val="-17"/>
          <w:sz w:val="22"/>
        </w:rPr>
        <w:t> </w:t>
      </w:r>
      <w:r>
        <w:rPr>
          <w:sz w:val="22"/>
        </w:rPr>
        <w:t>them</w:t>
      </w:r>
      <w:r>
        <w:rPr>
          <w:spacing w:val="-14"/>
          <w:sz w:val="22"/>
        </w:rPr>
        <w:t> </w:t>
      </w:r>
      <w:r>
        <w:rPr>
          <w:sz w:val="22"/>
        </w:rPr>
        <w:t>about implementation progress of C&amp;LRP, particularly payment of livelihood and rehabilitation assistance, and other social</w:t>
      </w:r>
      <w:r>
        <w:rPr>
          <w:spacing w:val="-18"/>
          <w:sz w:val="22"/>
        </w:rPr>
        <w:t> </w:t>
      </w:r>
      <w:r>
        <w:rPr>
          <w:sz w:val="22"/>
        </w:rPr>
        <w:t>activities;</w:t>
      </w:r>
    </w:p>
    <w:p>
      <w:pPr>
        <w:pStyle w:val="ListParagraph"/>
        <w:numPr>
          <w:ilvl w:val="0"/>
          <w:numId w:val="38"/>
        </w:numPr>
        <w:tabs>
          <w:tab w:pos="1589" w:val="left" w:leader="none"/>
        </w:tabs>
        <w:spacing w:line="273" w:lineRule="auto" w:before="2" w:after="0"/>
        <w:ind w:left="1588" w:right="240" w:hanging="360"/>
        <w:jc w:val="both"/>
        <w:rPr>
          <w:sz w:val="22"/>
        </w:rPr>
      </w:pPr>
      <w:r>
        <w:rPr>
          <w:sz w:val="22"/>
        </w:rPr>
        <w:t>Make extra efforts to ensure that vulnerable PAPs understand the process and their entitlements, and mitigation measure will be taken by the project authorities to</w:t>
      </w:r>
      <w:r>
        <w:rPr>
          <w:spacing w:val="-4"/>
          <w:sz w:val="22"/>
        </w:rPr>
        <w:t> </w:t>
      </w:r>
      <w:r>
        <w:rPr>
          <w:sz w:val="22"/>
        </w:rPr>
        <w:t>address</w:t>
      </w:r>
      <w:r>
        <w:rPr>
          <w:spacing w:val="-4"/>
          <w:sz w:val="22"/>
        </w:rPr>
        <w:t> </w:t>
      </w:r>
      <w:r>
        <w:rPr>
          <w:sz w:val="22"/>
        </w:rPr>
        <w:t>PAPs</w:t>
      </w:r>
      <w:r>
        <w:rPr>
          <w:spacing w:val="-4"/>
          <w:sz w:val="22"/>
        </w:rPr>
        <w:t> </w:t>
      </w:r>
      <w:r>
        <w:rPr>
          <w:sz w:val="22"/>
        </w:rPr>
        <w:t>and</w:t>
      </w:r>
      <w:r>
        <w:rPr>
          <w:spacing w:val="-4"/>
          <w:sz w:val="22"/>
        </w:rPr>
        <w:t> </w:t>
      </w:r>
      <w:r>
        <w:rPr>
          <w:sz w:val="22"/>
        </w:rPr>
        <w:t>other</w:t>
      </w:r>
      <w:r>
        <w:rPr>
          <w:spacing w:val="-3"/>
          <w:sz w:val="22"/>
        </w:rPr>
        <w:t> </w:t>
      </w:r>
      <w:r>
        <w:rPr>
          <w:sz w:val="22"/>
        </w:rPr>
        <w:t>stakeholder</w:t>
      </w:r>
      <w:r>
        <w:rPr>
          <w:spacing w:val="-5"/>
          <w:sz w:val="22"/>
        </w:rPr>
        <w:t> </w:t>
      </w:r>
      <w:r>
        <w:rPr>
          <w:sz w:val="22"/>
        </w:rPr>
        <w:t>concerns</w:t>
      </w:r>
      <w:r>
        <w:rPr>
          <w:spacing w:val="-6"/>
          <w:sz w:val="22"/>
        </w:rPr>
        <w:t> </w:t>
      </w:r>
      <w:r>
        <w:rPr>
          <w:sz w:val="22"/>
        </w:rPr>
        <w:t>in</w:t>
      </w:r>
      <w:r>
        <w:rPr>
          <w:spacing w:val="-4"/>
          <w:sz w:val="22"/>
        </w:rPr>
        <w:t> </w:t>
      </w:r>
      <w:r>
        <w:rPr>
          <w:sz w:val="22"/>
        </w:rPr>
        <w:t>accordance</w:t>
      </w:r>
      <w:r>
        <w:rPr>
          <w:spacing w:val="-4"/>
          <w:sz w:val="22"/>
        </w:rPr>
        <w:t> </w:t>
      </w:r>
      <w:r>
        <w:rPr>
          <w:sz w:val="22"/>
        </w:rPr>
        <w:t>with</w:t>
      </w:r>
      <w:r>
        <w:rPr>
          <w:spacing w:val="-4"/>
          <w:sz w:val="22"/>
        </w:rPr>
        <w:t> </w:t>
      </w:r>
      <w:r>
        <w:rPr>
          <w:sz w:val="22"/>
        </w:rPr>
        <w:t>the</w:t>
      </w:r>
      <w:r>
        <w:rPr>
          <w:spacing w:val="-6"/>
          <w:sz w:val="22"/>
        </w:rPr>
        <w:t> </w:t>
      </w:r>
      <w:r>
        <w:rPr>
          <w:sz w:val="22"/>
        </w:rPr>
        <w:t>OP</w:t>
      </w:r>
      <w:r>
        <w:rPr>
          <w:spacing w:val="-4"/>
          <w:sz w:val="22"/>
        </w:rPr>
        <w:t> </w:t>
      </w:r>
      <w:r>
        <w:rPr>
          <w:sz w:val="22"/>
        </w:rPr>
        <w:t>4.12.</w:t>
      </w:r>
    </w:p>
    <w:p>
      <w:pPr>
        <w:pStyle w:val="ListParagraph"/>
        <w:numPr>
          <w:ilvl w:val="0"/>
          <w:numId w:val="38"/>
        </w:numPr>
        <w:tabs>
          <w:tab w:pos="1589" w:val="left" w:leader="none"/>
        </w:tabs>
        <w:spacing w:line="273" w:lineRule="auto" w:before="2" w:after="0"/>
        <w:ind w:left="1588" w:right="241" w:hanging="360"/>
        <w:jc w:val="both"/>
        <w:rPr>
          <w:sz w:val="22"/>
        </w:rPr>
      </w:pPr>
      <w:r>
        <w:rPr>
          <w:sz w:val="22"/>
        </w:rPr>
        <w:t>Detail and outcome of all consultation activities will be included in the Bi-Annual and final monitoring</w:t>
      </w:r>
      <w:r>
        <w:rPr>
          <w:spacing w:val="-12"/>
          <w:sz w:val="22"/>
        </w:rPr>
        <w:t> </w:t>
      </w:r>
      <w:r>
        <w:rPr>
          <w:sz w:val="22"/>
        </w:rPr>
        <w:t>reports.</w:t>
      </w:r>
    </w:p>
    <w:p>
      <w:pPr>
        <w:pStyle w:val="ListParagraph"/>
        <w:numPr>
          <w:ilvl w:val="0"/>
          <w:numId w:val="38"/>
        </w:numPr>
        <w:tabs>
          <w:tab w:pos="1589" w:val="left" w:leader="none"/>
        </w:tabs>
        <w:spacing w:line="271" w:lineRule="auto" w:before="2" w:after="0"/>
        <w:ind w:left="1588" w:right="239" w:hanging="360"/>
        <w:jc w:val="both"/>
        <w:rPr>
          <w:sz w:val="22"/>
        </w:rPr>
      </w:pPr>
      <w:r>
        <w:rPr>
          <w:sz w:val="22"/>
        </w:rPr>
        <w:t>Disclose all monitoring reports of the C&amp;LRP implementation in the same manner as</w:t>
      </w:r>
      <w:r>
        <w:rPr>
          <w:spacing w:val="-4"/>
          <w:sz w:val="22"/>
        </w:rPr>
        <w:t> </w:t>
      </w:r>
      <w:r>
        <w:rPr>
          <w:sz w:val="22"/>
        </w:rPr>
        <w:t>that</w:t>
      </w:r>
      <w:r>
        <w:rPr>
          <w:spacing w:val="-5"/>
          <w:sz w:val="22"/>
        </w:rPr>
        <w:t> </w:t>
      </w:r>
      <w:r>
        <w:rPr>
          <w:sz w:val="22"/>
        </w:rPr>
        <w:t>of</w:t>
      </w:r>
      <w:r>
        <w:rPr>
          <w:spacing w:val="-3"/>
          <w:sz w:val="22"/>
        </w:rPr>
        <w:t> </w:t>
      </w:r>
      <w:r>
        <w:rPr>
          <w:sz w:val="22"/>
        </w:rPr>
        <w:t>the</w:t>
      </w:r>
      <w:r>
        <w:rPr>
          <w:spacing w:val="-6"/>
          <w:sz w:val="22"/>
        </w:rPr>
        <w:t> </w:t>
      </w:r>
      <w:r>
        <w:rPr>
          <w:sz w:val="22"/>
        </w:rPr>
        <w:t>C&amp;LRP</w:t>
      </w:r>
      <w:r>
        <w:rPr>
          <w:spacing w:val="-4"/>
          <w:sz w:val="22"/>
        </w:rPr>
        <w:t> </w:t>
      </w:r>
      <w:r>
        <w:rPr>
          <w:sz w:val="22"/>
        </w:rPr>
        <w:t>at</w:t>
      </w:r>
      <w:r>
        <w:rPr>
          <w:spacing w:val="-5"/>
          <w:sz w:val="22"/>
        </w:rPr>
        <w:t> </w:t>
      </w:r>
      <w:r>
        <w:rPr>
          <w:sz w:val="22"/>
        </w:rPr>
        <w:t>SMTA</w:t>
      </w:r>
      <w:r>
        <w:rPr>
          <w:spacing w:val="-4"/>
          <w:sz w:val="22"/>
        </w:rPr>
        <w:t> </w:t>
      </w:r>
      <w:r>
        <w:rPr>
          <w:sz w:val="22"/>
        </w:rPr>
        <w:t>websites</w:t>
      </w:r>
      <w:r>
        <w:rPr>
          <w:spacing w:val="-4"/>
          <w:sz w:val="22"/>
        </w:rPr>
        <w:t> </w:t>
      </w:r>
      <w:r>
        <w:rPr>
          <w:sz w:val="22"/>
        </w:rPr>
        <w:t>and</w:t>
      </w:r>
      <w:r>
        <w:rPr>
          <w:spacing w:val="-6"/>
          <w:sz w:val="22"/>
        </w:rPr>
        <w:t> </w:t>
      </w:r>
      <w:r>
        <w:rPr>
          <w:sz w:val="22"/>
        </w:rPr>
        <w:t>to</w:t>
      </w:r>
      <w:r>
        <w:rPr>
          <w:spacing w:val="-6"/>
          <w:sz w:val="22"/>
        </w:rPr>
        <w:t> </w:t>
      </w:r>
      <w:r>
        <w:rPr>
          <w:sz w:val="22"/>
        </w:rPr>
        <w:t>the</w:t>
      </w:r>
      <w:r>
        <w:rPr>
          <w:spacing w:val="-3"/>
          <w:sz w:val="22"/>
        </w:rPr>
        <w:t> </w:t>
      </w:r>
      <w:r>
        <w:rPr>
          <w:sz w:val="22"/>
        </w:rPr>
        <w:t>PAPs,</w:t>
      </w:r>
      <w:r>
        <w:rPr>
          <w:spacing w:val="-5"/>
          <w:sz w:val="22"/>
        </w:rPr>
        <w:t> </w:t>
      </w:r>
      <w:r>
        <w:rPr>
          <w:sz w:val="22"/>
        </w:rPr>
        <w:t>and</w:t>
      </w:r>
      <w:r>
        <w:rPr>
          <w:spacing w:val="-4"/>
          <w:sz w:val="22"/>
        </w:rPr>
        <w:t> </w:t>
      </w:r>
      <w:r>
        <w:rPr>
          <w:sz w:val="22"/>
        </w:rPr>
        <w:t>other</w:t>
      </w:r>
      <w:r>
        <w:rPr>
          <w:spacing w:val="-5"/>
          <w:sz w:val="22"/>
        </w:rPr>
        <w:t> </w:t>
      </w:r>
      <w:r>
        <w:rPr>
          <w:sz w:val="22"/>
        </w:rPr>
        <w:t>stakeholders.</w:t>
      </w:r>
    </w:p>
    <w:p>
      <w:pPr>
        <w:spacing w:after="0" w:line="271" w:lineRule="auto"/>
        <w:jc w:val="both"/>
        <w:rPr>
          <w:sz w:val="22"/>
        </w:rPr>
        <w:sectPr>
          <w:pgSz w:w="11910" w:h="16840"/>
          <w:pgMar w:header="583" w:footer="575" w:top="840" w:bottom="760" w:left="860" w:right="1280"/>
        </w:sectPr>
      </w:pPr>
    </w:p>
    <w:p>
      <w:pPr>
        <w:pStyle w:val="BodyText"/>
        <w:rPr>
          <w:sz w:val="20"/>
        </w:rPr>
      </w:pPr>
    </w:p>
    <w:p>
      <w:pPr>
        <w:pStyle w:val="BodyText"/>
        <w:rPr>
          <w:sz w:val="20"/>
        </w:rPr>
      </w:pPr>
    </w:p>
    <w:p>
      <w:pPr>
        <w:pStyle w:val="BodyText"/>
        <w:rPr>
          <w:sz w:val="28"/>
        </w:rPr>
      </w:pPr>
    </w:p>
    <w:p>
      <w:pPr>
        <w:pStyle w:val="Heading2"/>
        <w:numPr>
          <w:ilvl w:val="0"/>
          <w:numId w:val="39"/>
        </w:numPr>
        <w:tabs>
          <w:tab w:pos="1301" w:val="left" w:leader="none"/>
        </w:tabs>
        <w:spacing w:line="240" w:lineRule="auto" w:before="92" w:after="0"/>
        <w:ind w:left="1300" w:right="0" w:hanging="432"/>
        <w:jc w:val="both"/>
      </w:pPr>
      <w:bookmarkStart w:name="_bookmark69" w:id="115"/>
      <w:bookmarkEnd w:id="115"/>
      <w:r>
        <w:rPr>
          <w:b w:val="0"/>
        </w:rPr>
      </w:r>
      <w:bookmarkStart w:name="_bookmark69" w:id="116"/>
      <w:bookmarkEnd w:id="116"/>
      <w:r>
        <w:rPr/>
        <w:t>INS</w:t>
      </w:r>
      <w:r>
        <w:rPr/>
        <w:t>TITUTIONAL</w:t>
      </w:r>
      <w:r>
        <w:rPr>
          <w:spacing w:val="-12"/>
        </w:rPr>
        <w:t> </w:t>
      </w:r>
      <w:r>
        <w:rPr/>
        <w:t>ARRANGMENTS</w:t>
      </w:r>
    </w:p>
    <w:p>
      <w:pPr>
        <w:pStyle w:val="BodyText"/>
        <w:spacing w:before="3"/>
        <w:rPr>
          <w:b/>
          <w:sz w:val="31"/>
        </w:rPr>
      </w:pPr>
    </w:p>
    <w:p>
      <w:pPr>
        <w:pStyle w:val="Heading2"/>
        <w:numPr>
          <w:ilvl w:val="1"/>
          <w:numId w:val="39"/>
        </w:numPr>
        <w:tabs>
          <w:tab w:pos="1445" w:val="left" w:leader="none"/>
        </w:tabs>
        <w:spacing w:line="240" w:lineRule="auto" w:before="0" w:after="0"/>
        <w:ind w:left="1444" w:right="0" w:hanging="576"/>
        <w:jc w:val="both"/>
      </w:pPr>
      <w:bookmarkStart w:name="_bookmark70" w:id="117"/>
      <w:bookmarkEnd w:id="117"/>
      <w:r>
        <w:rPr>
          <w:b w:val="0"/>
        </w:rPr>
      </w:r>
      <w:bookmarkStart w:name="_bookmark70" w:id="118"/>
      <w:bookmarkEnd w:id="118"/>
      <w:r>
        <w:rPr/>
        <w:t>O</w:t>
      </w:r>
      <w:r>
        <w:rPr/>
        <w:t>verview</w:t>
      </w:r>
    </w:p>
    <w:p>
      <w:pPr>
        <w:pStyle w:val="BodyText"/>
        <w:spacing w:line="276" w:lineRule="auto" w:before="160"/>
        <w:ind w:left="868" w:right="154"/>
        <w:jc w:val="both"/>
      </w:pPr>
      <w:r>
        <w:rPr/>
        <w:t>78 The compensation and rehabilitation activities described in this C&amp;LRP involved various roles, functions, processes as well as various agencies. The role and responsibilities of these agencies involved in livelihood restoration activities at different levels are discussed below.</w:t>
      </w:r>
    </w:p>
    <w:p>
      <w:pPr>
        <w:pStyle w:val="BodyText"/>
        <w:spacing w:before="10"/>
        <w:rPr>
          <w:sz w:val="20"/>
        </w:rPr>
      </w:pPr>
    </w:p>
    <w:p>
      <w:pPr>
        <w:pStyle w:val="Heading2"/>
        <w:numPr>
          <w:ilvl w:val="1"/>
          <w:numId w:val="39"/>
        </w:numPr>
        <w:tabs>
          <w:tab w:pos="1445" w:val="left" w:leader="none"/>
        </w:tabs>
        <w:spacing w:line="240" w:lineRule="auto" w:before="0" w:after="0"/>
        <w:ind w:left="1444" w:right="0" w:hanging="576"/>
        <w:jc w:val="both"/>
      </w:pPr>
      <w:bookmarkStart w:name="_bookmark71" w:id="119"/>
      <w:bookmarkEnd w:id="119"/>
      <w:r>
        <w:rPr>
          <w:b w:val="0"/>
        </w:rPr>
      </w:r>
      <w:bookmarkStart w:name="_bookmark71" w:id="120"/>
      <w:bookmarkEnd w:id="120"/>
      <w:r>
        <w:rPr/>
        <w:t>Insti</w:t>
      </w:r>
      <w:r>
        <w:rPr/>
        <w:t>tutional Roles and</w:t>
      </w:r>
      <w:r>
        <w:rPr>
          <w:spacing w:val="-7"/>
        </w:rPr>
        <w:t> </w:t>
      </w:r>
      <w:r>
        <w:rPr/>
        <w:t>Responsibilities</w:t>
      </w:r>
    </w:p>
    <w:p>
      <w:pPr>
        <w:pStyle w:val="BodyText"/>
        <w:spacing w:before="3"/>
        <w:rPr>
          <w:b/>
          <w:sz w:val="24"/>
        </w:rPr>
      </w:pPr>
    </w:p>
    <w:p>
      <w:pPr>
        <w:pStyle w:val="Heading3"/>
        <w:ind w:left="868"/>
      </w:pPr>
      <w:bookmarkStart w:name="_bookmark72" w:id="121"/>
      <w:bookmarkEnd w:id="121"/>
      <w:r>
        <w:rPr>
          <w:b w:val="0"/>
        </w:rPr>
      </w:r>
      <w:r>
        <w:rPr>
          <w:color w:val="0D0D0D"/>
        </w:rPr>
        <w:t>7.2.1   SMTA</w:t>
      </w:r>
    </w:p>
    <w:p>
      <w:pPr>
        <w:pStyle w:val="ListParagraph"/>
        <w:numPr>
          <w:ilvl w:val="0"/>
          <w:numId w:val="40"/>
        </w:numPr>
        <w:tabs>
          <w:tab w:pos="1589" w:val="left" w:leader="none"/>
        </w:tabs>
        <w:spacing w:line="276" w:lineRule="auto" w:before="159" w:after="0"/>
        <w:ind w:left="868" w:right="154" w:firstLine="0"/>
        <w:jc w:val="both"/>
        <w:rPr>
          <w:sz w:val="22"/>
        </w:rPr>
      </w:pPr>
      <w:r>
        <w:rPr>
          <w:sz w:val="22"/>
        </w:rPr>
        <w:t>SMTA</w:t>
      </w:r>
      <w:r>
        <w:rPr>
          <w:spacing w:val="-3"/>
          <w:sz w:val="22"/>
        </w:rPr>
        <w:t> </w:t>
      </w:r>
      <w:r>
        <w:rPr>
          <w:sz w:val="22"/>
        </w:rPr>
        <w:t>is</w:t>
      </w:r>
      <w:r>
        <w:rPr>
          <w:spacing w:val="-3"/>
          <w:sz w:val="22"/>
        </w:rPr>
        <w:t> </w:t>
      </w:r>
      <w:r>
        <w:rPr>
          <w:sz w:val="22"/>
        </w:rPr>
        <w:t>the</w:t>
      </w:r>
      <w:r>
        <w:rPr>
          <w:spacing w:val="-5"/>
          <w:sz w:val="22"/>
        </w:rPr>
        <w:t> </w:t>
      </w:r>
      <w:r>
        <w:rPr>
          <w:sz w:val="22"/>
        </w:rPr>
        <w:t>Executing</w:t>
      </w:r>
      <w:r>
        <w:rPr>
          <w:spacing w:val="-1"/>
          <w:sz w:val="22"/>
        </w:rPr>
        <w:t> </w:t>
      </w:r>
      <w:r>
        <w:rPr>
          <w:sz w:val="22"/>
        </w:rPr>
        <w:t>Agency</w:t>
      </w:r>
      <w:r>
        <w:rPr>
          <w:spacing w:val="-5"/>
          <w:sz w:val="22"/>
        </w:rPr>
        <w:t> </w:t>
      </w:r>
      <w:r>
        <w:rPr>
          <w:sz w:val="22"/>
        </w:rPr>
        <w:t>of</w:t>
      </w:r>
      <w:r>
        <w:rPr>
          <w:spacing w:val="-2"/>
          <w:sz w:val="22"/>
        </w:rPr>
        <w:t> </w:t>
      </w:r>
      <w:r>
        <w:rPr>
          <w:sz w:val="22"/>
        </w:rPr>
        <w:t>the</w:t>
      </w:r>
      <w:r>
        <w:rPr>
          <w:spacing w:val="-3"/>
          <w:sz w:val="22"/>
        </w:rPr>
        <w:t> </w:t>
      </w:r>
      <w:r>
        <w:rPr>
          <w:sz w:val="22"/>
        </w:rPr>
        <w:t>Project</w:t>
      </w:r>
      <w:r>
        <w:rPr>
          <w:spacing w:val="-2"/>
          <w:sz w:val="22"/>
        </w:rPr>
        <w:t> </w:t>
      </w:r>
      <w:r>
        <w:rPr>
          <w:sz w:val="22"/>
        </w:rPr>
        <w:t>and</w:t>
      </w:r>
      <w:r>
        <w:rPr>
          <w:spacing w:val="-6"/>
          <w:sz w:val="22"/>
        </w:rPr>
        <w:t> </w:t>
      </w:r>
      <w:r>
        <w:rPr>
          <w:sz w:val="22"/>
        </w:rPr>
        <w:t>will</w:t>
      </w:r>
      <w:r>
        <w:rPr>
          <w:spacing w:val="-4"/>
          <w:sz w:val="22"/>
        </w:rPr>
        <w:t> </w:t>
      </w:r>
      <w:r>
        <w:rPr>
          <w:sz w:val="22"/>
        </w:rPr>
        <w:t>be</w:t>
      </w:r>
      <w:r>
        <w:rPr>
          <w:spacing w:val="-3"/>
          <w:sz w:val="22"/>
        </w:rPr>
        <w:t> </w:t>
      </w:r>
      <w:r>
        <w:rPr>
          <w:sz w:val="22"/>
        </w:rPr>
        <w:t>mainly</w:t>
      </w:r>
      <w:r>
        <w:rPr>
          <w:spacing w:val="-5"/>
          <w:sz w:val="22"/>
        </w:rPr>
        <w:t> </w:t>
      </w:r>
      <w:r>
        <w:rPr>
          <w:sz w:val="22"/>
        </w:rPr>
        <w:t>responsible</w:t>
      </w:r>
      <w:r>
        <w:rPr>
          <w:spacing w:val="-5"/>
          <w:sz w:val="22"/>
        </w:rPr>
        <w:t> </w:t>
      </w:r>
      <w:r>
        <w:rPr>
          <w:sz w:val="22"/>
        </w:rPr>
        <w:t>for</w:t>
      </w:r>
      <w:r>
        <w:rPr>
          <w:spacing w:val="-5"/>
          <w:sz w:val="22"/>
        </w:rPr>
        <w:t> </w:t>
      </w:r>
      <w:r>
        <w:rPr>
          <w:sz w:val="22"/>
        </w:rPr>
        <w:t>the Project execution and delivery of C&amp;LRP following provisions in a manner consistent with the</w:t>
      </w:r>
      <w:r>
        <w:rPr>
          <w:spacing w:val="-16"/>
          <w:sz w:val="22"/>
        </w:rPr>
        <w:t> </w:t>
      </w:r>
      <w:r>
        <w:rPr>
          <w:sz w:val="22"/>
        </w:rPr>
        <w:t>World</w:t>
      </w:r>
      <w:r>
        <w:rPr>
          <w:spacing w:val="-11"/>
          <w:sz w:val="22"/>
        </w:rPr>
        <w:t> </w:t>
      </w:r>
      <w:r>
        <w:rPr>
          <w:sz w:val="22"/>
        </w:rPr>
        <w:t>Bank</w:t>
      </w:r>
      <w:r>
        <w:rPr>
          <w:spacing w:val="-7"/>
          <w:sz w:val="22"/>
        </w:rPr>
        <w:t> </w:t>
      </w:r>
      <w:r>
        <w:rPr>
          <w:sz w:val="22"/>
        </w:rPr>
        <w:t>policy</w:t>
      </w:r>
      <w:r>
        <w:rPr>
          <w:spacing w:val="-11"/>
          <w:sz w:val="22"/>
        </w:rPr>
        <w:t> </w:t>
      </w:r>
      <w:r>
        <w:rPr>
          <w:sz w:val="22"/>
        </w:rPr>
        <w:t>principals</w:t>
      </w:r>
      <w:r>
        <w:rPr>
          <w:spacing w:val="-9"/>
          <w:sz w:val="22"/>
        </w:rPr>
        <w:t> </w:t>
      </w:r>
      <w:r>
        <w:rPr>
          <w:sz w:val="22"/>
        </w:rPr>
        <w:t>and</w:t>
      </w:r>
      <w:r>
        <w:rPr>
          <w:spacing w:val="-8"/>
          <w:sz w:val="22"/>
        </w:rPr>
        <w:t> </w:t>
      </w:r>
      <w:r>
        <w:rPr>
          <w:sz w:val="22"/>
        </w:rPr>
        <w:t>National</w:t>
      </w:r>
      <w:r>
        <w:rPr>
          <w:spacing w:val="-9"/>
          <w:sz w:val="22"/>
        </w:rPr>
        <w:t> </w:t>
      </w:r>
      <w:r>
        <w:rPr>
          <w:sz w:val="22"/>
        </w:rPr>
        <w:t>Legal</w:t>
      </w:r>
      <w:r>
        <w:rPr>
          <w:spacing w:val="-9"/>
          <w:sz w:val="22"/>
        </w:rPr>
        <w:t> </w:t>
      </w:r>
      <w:r>
        <w:rPr>
          <w:sz w:val="22"/>
        </w:rPr>
        <w:t>Framework.</w:t>
      </w:r>
      <w:r>
        <w:rPr>
          <w:spacing w:val="-8"/>
          <w:sz w:val="22"/>
        </w:rPr>
        <w:t> </w:t>
      </w:r>
      <w:r>
        <w:rPr>
          <w:sz w:val="22"/>
        </w:rPr>
        <w:t>Besides,</w:t>
      </w:r>
      <w:r>
        <w:rPr>
          <w:spacing w:val="-9"/>
          <w:sz w:val="22"/>
        </w:rPr>
        <w:t> </w:t>
      </w:r>
      <w:r>
        <w:rPr>
          <w:sz w:val="22"/>
        </w:rPr>
        <w:t>it</w:t>
      </w:r>
      <w:r>
        <w:rPr>
          <w:spacing w:val="-10"/>
          <w:sz w:val="22"/>
        </w:rPr>
        <w:t> </w:t>
      </w:r>
      <w:r>
        <w:rPr>
          <w:sz w:val="22"/>
        </w:rPr>
        <w:t>will</w:t>
      </w:r>
      <w:r>
        <w:rPr>
          <w:spacing w:val="-10"/>
          <w:sz w:val="22"/>
        </w:rPr>
        <w:t> </w:t>
      </w:r>
      <w:r>
        <w:rPr>
          <w:sz w:val="22"/>
        </w:rPr>
        <w:t>engage</w:t>
      </w:r>
      <w:r>
        <w:rPr>
          <w:spacing w:val="-11"/>
          <w:sz w:val="22"/>
        </w:rPr>
        <w:t> </w:t>
      </w:r>
      <w:r>
        <w:rPr>
          <w:sz w:val="22"/>
        </w:rPr>
        <w:t>the Project Team for assisting SMTA in implementation and monitoring of the safeguard documents including the C&amp;LRP with World Bank approval. It will ensure that all compensation and rehabilitation activities are carried out satisfactorily before the disbursement of funds for construction work to</w:t>
      </w:r>
      <w:r>
        <w:rPr>
          <w:spacing w:val="-15"/>
          <w:sz w:val="22"/>
        </w:rPr>
        <w:t> </w:t>
      </w:r>
      <w:r>
        <w:rPr>
          <w:sz w:val="22"/>
        </w:rPr>
        <w:t>commence.</w:t>
      </w:r>
    </w:p>
    <w:p>
      <w:pPr>
        <w:pStyle w:val="Heading3"/>
        <w:numPr>
          <w:ilvl w:val="3"/>
          <w:numId w:val="41"/>
        </w:numPr>
        <w:tabs>
          <w:tab w:pos="1680" w:val="left" w:leader="none"/>
        </w:tabs>
        <w:spacing w:line="240" w:lineRule="auto" w:before="120" w:after="0"/>
        <w:ind w:left="1679" w:right="0" w:hanging="811"/>
        <w:jc w:val="both"/>
      </w:pPr>
      <w:r>
        <w:rPr/>
        <w:t>Project</w:t>
      </w:r>
      <w:r>
        <w:rPr>
          <w:spacing w:val="-2"/>
        </w:rPr>
        <w:t> </w:t>
      </w:r>
      <w:r>
        <w:rPr/>
        <w:t>Team</w:t>
      </w:r>
    </w:p>
    <w:p>
      <w:pPr>
        <w:pStyle w:val="ListParagraph"/>
        <w:numPr>
          <w:ilvl w:val="0"/>
          <w:numId w:val="40"/>
        </w:numPr>
        <w:tabs>
          <w:tab w:pos="1589" w:val="left" w:leader="none"/>
        </w:tabs>
        <w:spacing w:line="276" w:lineRule="auto" w:before="121" w:after="0"/>
        <w:ind w:left="868" w:right="153" w:firstLine="0"/>
        <w:jc w:val="both"/>
        <w:rPr>
          <w:sz w:val="22"/>
        </w:rPr>
      </w:pPr>
      <w:r>
        <w:rPr>
          <w:sz w:val="22"/>
        </w:rPr>
        <w:t>At</w:t>
      </w:r>
      <w:r>
        <w:rPr>
          <w:spacing w:val="-15"/>
          <w:sz w:val="22"/>
        </w:rPr>
        <w:t> </w:t>
      </w:r>
      <w:r>
        <w:rPr>
          <w:sz w:val="22"/>
        </w:rPr>
        <w:t>Project</w:t>
      </w:r>
      <w:r>
        <w:rPr>
          <w:spacing w:val="-17"/>
          <w:sz w:val="22"/>
        </w:rPr>
        <w:t> </w:t>
      </w:r>
      <w:r>
        <w:rPr>
          <w:sz w:val="22"/>
        </w:rPr>
        <w:t>level,</w:t>
      </w:r>
      <w:r>
        <w:rPr>
          <w:spacing w:val="-13"/>
          <w:sz w:val="22"/>
        </w:rPr>
        <w:t> </w:t>
      </w:r>
      <w:r>
        <w:rPr>
          <w:sz w:val="22"/>
        </w:rPr>
        <w:t>the</w:t>
      </w:r>
      <w:r>
        <w:rPr>
          <w:spacing w:val="-16"/>
          <w:sz w:val="22"/>
        </w:rPr>
        <w:t> </w:t>
      </w:r>
      <w:r>
        <w:rPr>
          <w:sz w:val="22"/>
        </w:rPr>
        <w:t>SMTA</w:t>
      </w:r>
      <w:r>
        <w:rPr>
          <w:spacing w:val="-17"/>
          <w:sz w:val="22"/>
        </w:rPr>
        <w:t> </w:t>
      </w:r>
      <w:r>
        <w:rPr>
          <w:sz w:val="22"/>
        </w:rPr>
        <w:t>will</w:t>
      </w:r>
      <w:r>
        <w:rPr>
          <w:spacing w:val="-17"/>
          <w:sz w:val="22"/>
        </w:rPr>
        <w:t> </w:t>
      </w:r>
      <w:r>
        <w:rPr>
          <w:sz w:val="22"/>
        </w:rPr>
        <w:t>exercise</w:t>
      </w:r>
      <w:r>
        <w:rPr>
          <w:spacing w:val="-17"/>
          <w:sz w:val="22"/>
        </w:rPr>
        <w:t> </w:t>
      </w:r>
      <w:r>
        <w:rPr>
          <w:sz w:val="22"/>
        </w:rPr>
        <w:t>its</w:t>
      </w:r>
      <w:r>
        <w:rPr>
          <w:spacing w:val="-18"/>
          <w:sz w:val="22"/>
        </w:rPr>
        <w:t> </w:t>
      </w:r>
      <w:r>
        <w:rPr>
          <w:sz w:val="22"/>
        </w:rPr>
        <w:t>functions</w:t>
      </w:r>
      <w:r>
        <w:rPr>
          <w:spacing w:val="-16"/>
          <w:sz w:val="22"/>
        </w:rPr>
        <w:t> </w:t>
      </w:r>
      <w:r>
        <w:rPr>
          <w:sz w:val="22"/>
        </w:rPr>
        <w:t>through</w:t>
      </w:r>
      <w:r>
        <w:rPr>
          <w:spacing w:val="-18"/>
          <w:sz w:val="22"/>
        </w:rPr>
        <w:t> </w:t>
      </w:r>
      <w:r>
        <w:rPr>
          <w:sz w:val="22"/>
        </w:rPr>
        <w:t>the</w:t>
      </w:r>
      <w:r>
        <w:rPr>
          <w:spacing w:val="-16"/>
          <w:sz w:val="22"/>
        </w:rPr>
        <w:t> </w:t>
      </w:r>
      <w:r>
        <w:rPr>
          <w:sz w:val="22"/>
        </w:rPr>
        <w:t>Project</w:t>
      </w:r>
      <w:r>
        <w:rPr>
          <w:spacing w:val="-17"/>
          <w:sz w:val="22"/>
        </w:rPr>
        <w:t> </w:t>
      </w:r>
      <w:r>
        <w:rPr>
          <w:sz w:val="22"/>
        </w:rPr>
        <w:t>Team</w:t>
      </w:r>
      <w:r>
        <w:rPr>
          <w:spacing w:val="-14"/>
          <w:sz w:val="22"/>
        </w:rPr>
        <w:t> </w:t>
      </w:r>
      <w:r>
        <w:rPr>
          <w:sz w:val="22"/>
        </w:rPr>
        <w:t>which will be involved in the implementation of the C&amp;LRP under the Project. The Project Team will</w:t>
      </w:r>
      <w:r>
        <w:rPr>
          <w:spacing w:val="-10"/>
          <w:sz w:val="22"/>
        </w:rPr>
        <w:t> </w:t>
      </w:r>
      <w:r>
        <w:rPr>
          <w:sz w:val="22"/>
        </w:rPr>
        <w:t>be</w:t>
      </w:r>
      <w:r>
        <w:rPr>
          <w:spacing w:val="-9"/>
          <w:sz w:val="22"/>
        </w:rPr>
        <w:t> </w:t>
      </w:r>
      <w:r>
        <w:rPr>
          <w:sz w:val="22"/>
        </w:rPr>
        <w:t>housed</w:t>
      </w:r>
      <w:r>
        <w:rPr>
          <w:spacing w:val="-9"/>
          <w:sz w:val="22"/>
        </w:rPr>
        <w:t> </w:t>
      </w:r>
      <w:r>
        <w:rPr>
          <w:sz w:val="22"/>
        </w:rPr>
        <w:t>in</w:t>
      </w:r>
      <w:r>
        <w:rPr>
          <w:spacing w:val="-9"/>
          <w:sz w:val="22"/>
        </w:rPr>
        <w:t> </w:t>
      </w:r>
      <w:r>
        <w:rPr>
          <w:sz w:val="22"/>
        </w:rPr>
        <w:t>the</w:t>
      </w:r>
      <w:r>
        <w:rPr>
          <w:spacing w:val="-9"/>
          <w:sz w:val="22"/>
        </w:rPr>
        <w:t> </w:t>
      </w:r>
      <w:r>
        <w:rPr>
          <w:sz w:val="22"/>
        </w:rPr>
        <w:t>main</w:t>
      </w:r>
      <w:r>
        <w:rPr>
          <w:spacing w:val="-8"/>
          <w:sz w:val="22"/>
        </w:rPr>
        <w:t> </w:t>
      </w:r>
      <w:r>
        <w:rPr>
          <w:sz w:val="22"/>
        </w:rPr>
        <w:t>SMTA’s</w:t>
      </w:r>
      <w:r>
        <w:rPr>
          <w:spacing w:val="-8"/>
          <w:sz w:val="22"/>
        </w:rPr>
        <w:t> </w:t>
      </w:r>
      <w:r>
        <w:rPr>
          <w:sz w:val="22"/>
        </w:rPr>
        <w:t>Office</w:t>
      </w:r>
      <w:r>
        <w:rPr>
          <w:spacing w:val="-8"/>
          <w:sz w:val="22"/>
        </w:rPr>
        <w:t> </w:t>
      </w:r>
      <w:r>
        <w:rPr>
          <w:sz w:val="22"/>
        </w:rPr>
        <w:t>and</w:t>
      </w:r>
      <w:r>
        <w:rPr>
          <w:spacing w:val="-8"/>
          <w:sz w:val="22"/>
        </w:rPr>
        <w:t> </w:t>
      </w:r>
      <w:r>
        <w:rPr>
          <w:sz w:val="22"/>
        </w:rPr>
        <w:t>will</w:t>
      </w:r>
      <w:r>
        <w:rPr>
          <w:spacing w:val="-7"/>
          <w:sz w:val="22"/>
        </w:rPr>
        <w:t> </w:t>
      </w:r>
      <w:r>
        <w:rPr>
          <w:sz w:val="22"/>
        </w:rPr>
        <w:t>be</w:t>
      </w:r>
      <w:r>
        <w:rPr>
          <w:spacing w:val="-9"/>
          <w:sz w:val="22"/>
        </w:rPr>
        <w:t> </w:t>
      </w:r>
      <w:r>
        <w:rPr>
          <w:sz w:val="22"/>
        </w:rPr>
        <w:t>responsible</w:t>
      </w:r>
      <w:r>
        <w:rPr>
          <w:spacing w:val="-11"/>
          <w:sz w:val="22"/>
        </w:rPr>
        <w:t> </w:t>
      </w:r>
      <w:r>
        <w:rPr>
          <w:sz w:val="22"/>
        </w:rPr>
        <w:t>for</w:t>
      </w:r>
      <w:r>
        <w:rPr>
          <w:spacing w:val="-10"/>
          <w:sz w:val="22"/>
        </w:rPr>
        <w:t> </w:t>
      </w:r>
      <w:r>
        <w:rPr>
          <w:sz w:val="22"/>
        </w:rPr>
        <w:t>execution</w:t>
      </w:r>
      <w:r>
        <w:rPr>
          <w:spacing w:val="-9"/>
          <w:sz w:val="22"/>
        </w:rPr>
        <w:t> </w:t>
      </w:r>
      <w:r>
        <w:rPr>
          <w:sz w:val="22"/>
        </w:rPr>
        <w:t>of</w:t>
      </w:r>
      <w:r>
        <w:rPr>
          <w:spacing w:val="-8"/>
          <w:sz w:val="22"/>
        </w:rPr>
        <w:t> </w:t>
      </w:r>
      <w:r>
        <w:rPr>
          <w:sz w:val="22"/>
        </w:rPr>
        <w:t>the</w:t>
      </w:r>
      <w:r>
        <w:rPr>
          <w:spacing w:val="-7"/>
          <w:sz w:val="22"/>
        </w:rPr>
        <w:t> </w:t>
      </w:r>
      <w:r>
        <w:rPr>
          <w:sz w:val="22"/>
        </w:rPr>
        <w:t>social and environment aspects of the project and streamline the safeguards related tasks of different subproject headed by the Project Director (PD). The PD will be responsible for implementing the compensation and rehabilitation assistance for the Project and for maintaining regular contact with local community and authorities. The proposed composition of the Project Team is provided</w:t>
      </w:r>
      <w:r>
        <w:rPr>
          <w:spacing w:val="-20"/>
          <w:sz w:val="22"/>
        </w:rPr>
        <w:t> </w:t>
      </w:r>
      <w:r>
        <w:rPr>
          <w:sz w:val="22"/>
        </w:rPr>
        <w:t>below:</w:t>
      </w:r>
    </w:p>
    <w:p>
      <w:pPr>
        <w:pStyle w:val="ListParagraph"/>
        <w:numPr>
          <w:ilvl w:val="1"/>
          <w:numId w:val="40"/>
        </w:numPr>
        <w:tabs>
          <w:tab w:pos="1679" w:val="left" w:leader="none"/>
          <w:tab w:pos="1680" w:val="left" w:leader="none"/>
        </w:tabs>
        <w:spacing w:line="240" w:lineRule="auto" w:before="120" w:after="0"/>
        <w:ind w:left="1679" w:right="0" w:hanging="360"/>
        <w:jc w:val="left"/>
        <w:rPr>
          <w:sz w:val="22"/>
        </w:rPr>
      </w:pPr>
      <w:r>
        <w:rPr>
          <w:sz w:val="22"/>
        </w:rPr>
        <w:t>Social Development</w:t>
      </w:r>
      <w:r>
        <w:rPr>
          <w:spacing w:val="-11"/>
          <w:sz w:val="22"/>
        </w:rPr>
        <w:t> </w:t>
      </w:r>
      <w:r>
        <w:rPr>
          <w:sz w:val="22"/>
        </w:rPr>
        <w:t>Specialist</w:t>
      </w:r>
    </w:p>
    <w:p>
      <w:pPr>
        <w:pStyle w:val="ListParagraph"/>
        <w:numPr>
          <w:ilvl w:val="1"/>
          <w:numId w:val="40"/>
        </w:numPr>
        <w:tabs>
          <w:tab w:pos="1679" w:val="left" w:leader="none"/>
          <w:tab w:pos="1680" w:val="left" w:leader="none"/>
        </w:tabs>
        <w:spacing w:line="240" w:lineRule="auto" w:before="37" w:after="0"/>
        <w:ind w:left="1679" w:right="0" w:hanging="360"/>
        <w:jc w:val="left"/>
        <w:rPr>
          <w:sz w:val="22"/>
        </w:rPr>
      </w:pPr>
      <w:r>
        <w:rPr>
          <w:sz w:val="22"/>
        </w:rPr>
        <w:t>Gender Development</w:t>
      </w:r>
      <w:r>
        <w:rPr>
          <w:spacing w:val="-9"/>
          <w:sz w:val="22"/>
        </w:rPr>
        <w:t> </w:t>
      </w:r>
      <w:r>
        <w:rPr>
          <w:sz w:val="22"/>
        </w:rPr>
        <w:t>Specialist</w:t>
      </w:r>
    </w:p>
    <w:p>
      <w:pPr>
        <w:pStyle w:val="ListParagraph"/>
        <w:numPr>
          <w:ilvl w:val="1"/>
          <w:numId w:val="40"/>
        </w:numPr>
        <w:tabs>
          <w:tab w:pos="1679" w:val="left" w:leader="none"/>
          <w:tab w:pos="1680" w:val="left" w:leader="none"/>
        </w:tabs>
        <w:spacing w:line="240" w:lineRule="auto" w:before="35" w:after="0"/>
        <w:ind w:left="1679" w:right="0" w:hanging="360"/>
        <w:jc w:val="left"/>
        <w:rPr>
          <w:sz w:val="22"/>
        </w:rPr>
      </w:pPr>
      <w:r>
        <w:rPr>
          <w:sz w:val="22"/>
        </w:rPr>
        <w:t>Communication</w:t>
      </w:r>
      <w:r>
        <w:rPr>
          <w:spacing w:val="-6"/>
          <w:sz w:val="22"/>
        </w:rPr>
        <w:t> </w:t>
      </w:r>
      <w:r>
        <w:rPr>
          <w:sz w:val="22"/>
        </w:rPr>
        <w:t>Specialist</w:t>
      </w:r>
    </w:p>
    <w:p>
      <w:pPr>
        <w:pStyle w:val="ListParagraph"/>
        <w:numPr>
          <w:ilvl w:val="1"/>
          <w:numId w:val="40"/>
        </w:numPr>
        <w:tabs>
          <w:tab w:pos="1679" w:val="left" w:leader="none"/>
          <w:tab w:pos="1680" w:val="left" w:leader="none"/>
        </w:tabs>
        <w:spacing w:line="240" w:lineRule="auto" w:before="38" w:after="0"/>
        <w:ind w:left="1679" w:right="0" w:hanging="360"/>
        <w:jc w:val="left"/>
        <w:rPr>
          <w:sz w:val="22"/>
        </w:rPr>
      </w:pPr>
      <w:r>
        <w:rPr>
          <w:sz w:val="22"/>
        </w:rPr>
        <w:t>Environment</w:t>
      </w:r>
      <w:r>
        <w:rPr>
          <w:spacing w:val="-6"/>
          <w:sz w:val="22"/>
        </w:rPr>
        <w:t> </w:t>
      </w:r>
      <w:r>
        <w:rPr>
          <w:sz w:val="22"/>
        </w:rPr>
        <w:t>Specialist</w:t>
      </w:r>
    </w:p>
    <w:p>
      <w:pPr>
        <w:pStyle w:val="ListParagraph"/>
        <w:numPr>
          <w:ilvl w:val="0"/>
          <w:numId w:val="40"/>
        </w:numPr>
        <w:tabs>
          <w:tab w:pos="1589" w:val="left" w:leader="none"/>
        </w:tabs>
        <w:spacing w:line="276" w:lineRule="auto" w:before="55" w:after="0"/>
        <w:ind w:left="868" w:right="157" w:firstLine="0"/>
        <w:jc w:val="both"/>
        <w:rPr>
          <w:sz w:val="22"/>
        </w:rPr>
      </w:pPr>
      <w:r>
        <w:rPr>
          <w:sz w:val="22"/>
        </w:rPr>
        <w:t>The</w:t>
      </w:r>
      <w:r>
        <w:rPr>
          <w:spacing w:val="-6"/>
          <w:sz w:val="22"/>
        </w:rPr>
        <w:t> </w:t>
      </w:r>
      <w:r>
        <w:rPr>
          <w:sz w:val="22"/>
        </w:rPr>
        <w:t>TORs</w:t>
      </w:r>
      <w:r>
        <w:rPr>
          <w:spacing w:val="-3"/>
          <w:sz w:val="22"/>
        </w:rPr>
        <w:t> </w:t>
      </w:r>
      <w:r>
        <w:rPr>
          <w:sz w:val="22"/>
        </w:rPr>
        <w:t>of</w:t>
      </w:r>
      <w:r>
        <w:rPr>
          <w:spacing w:val="-4"/>
          <w:sz w:val="22"/>
        </w:rPr>
        <w:t> </w:t>
      </w:r>
      <w:r>
        <w:rPr>
          <w:sz w:val="22"/>
        </w:rPr>
        <w:t>the</w:t>
      </w:r>
      <w:r>
        <w:rPr>
          <w:spacing w:val="-3"/>
          <w:sz w:val="22"/>
        </w:rPr>
        <w:t> </w:t>
      </w:r>
      <w:r>
        <w:rPr>
          <w:sz w:val="22"/>
        </w:rPr>
        <w:t>social</w:t>
      </w:r>
      <w:r>
        <w:rPr>
          <w:spacing w:val="-4"/>
          <w:sz w:val="22"/>
        </w:rPr>
        <w:t> </w:t>
      </w:r>
      <w:r>
        <w:rPr>
          <w:sz w:val="22"/>
        </w:rPr>
        <w:t>and</w:t>
      </w:r>
      <w:r>
        <w:rPr>
          <w:spacing w:val="-3"/>
          <w:sz w:val="22"/>
        </w:rPr>
        <w:t> </w:t>
      </w:r>
      <w:r>
        <w:rPr>
          <w:sz w:val="22"/>
        </w:rPr>
        <w:t>gender</w:t>
      </w:r>
      <w:r>
        <w:rPr>
          <w:spacing w:val="-2"/>
          <w:sz w:val="22"/>
        </w:rPr>
        <w:t> </w:t>
      </w:r>
      <w:r>
        <w:rPr>
          <w:sz w:val="22"/>
        </w:rPr>
        <w:t>development</w:t>
      </w:r>
      <w:r>
        <w:rPr>
          <w:spacing w:val="-6"/>
          <w:sz w:val="22"/>
        </w:rPr>
        <w:t> </w:t>
      </w:r>
      <w:r>
        <w:rPr>
          <w:sz w:val="22"/>
        </w:rPr>
        <w:t>officers</w:t>
      </w:r>
      <w:r>
        <w:rPr>
          <w:spacing w:val="-3"/>
          <w:sz w:val="22"/>
        </w:rPr>
        <w:t> </w:t>
      </w:r>
      <w:r>
        <w:rPr>
          <w:sz w:val="22"/>
        </w:rPr>
        <w:t>are</w:t>
      </w:r>
      <w:r>
        <w:rPr>
          <w:spacing w:val="-5"/>
          <w:sz w:val="22"/>
        </w:rPr>
        <w:t> </w:t>
      </w:r>
      <w:r>
        <w:rPr>
          <w:sz w:val="22"/>
        </w:rPr>
        <w:t>provided</w:t>
      </w:r>
      <w:r>
        <w:rPr>
          <w:spacing w:val="-3"/>
          <w:sz w:val="22"/>
        </w:rPr>
        <w:t> </w:t>
      </w:r>
      <w:r>
        <w:rPr>
          <w:sz w:val="22"/>
        </w:rPr>
        <w:t>as</w:t>
      </w:r>
      <w:r>
        <w:rPr>
          <w:spacing w:val="-4"/>
          <w:sz w:val="22"/>
        </w:rPr>
        <w:t> </w:t>
      </w:r>
      <w:r>
        <w:rPr>
          <w:sz w:val="22"/>
        </w:rPr>
        <w:t>Annex</w:t>
      </w:r>
      <w:r>
        <w:rPr>
          <w:spacing w:val="-5"/>
          <w:sz w:val="22"/>
        </w:rPr>
        <w:t> </w:t>
      </w:r>
      <w:r>
        <w:rPr>
          <w:sz w:val="22"/>
        </w:rPr>
        <w:t>VI and</w:t>
      </w:r>
      <w:r>
        <w:rPr>
          <w:spacing w:val="-1"/>
          <w:sz w:val="22"/>
        </w:rPr>
        <w:t> </w:t>
      </w:r>
      <w:r>
        <w:rPr>
          <w:sz w:val="22"/>
        </w:rPr>
        <w:t>VII.</w:t>
      </w:r>
    </w:p>
    <w:p>
      <w:pPr>
        <w:pStyle w:val="ListParagraph"/>
        <w:numPr>
          <w:ilvl w:val="0"/>
          <w:numId w:val="40"/>
        </w:numPr>
        <w:tabs>
          <w:tab w:pos="1589" w:val="left" w:leader="none"/>
        </w:tabs>
        <w:spacing w:line="276" w:lineRule="auto" w:before="123" w:after="0"/>
        <w:ind w:left="868" w:right="152" w:firstLine="0"/>
        <w:jc w:val="both"/>
        <w:rPr>
          <w:sz w:val="22"/>
        </w:rPr>
      </w:pPr>
      <w:r>
        <w:rPr>
          <w:sz w:val="22"/>
        </w:rPr>
        <w:t>The Project Team is responsible to ensure compliance with the national as well as World</w:t>
      </w:r>
      <w:r>
        <w:rPr>
          <w:spacing w:val="-17"/>
          <w:sz w:val="22"/>
        </w:rPr>
        <w:t> </w:t>
      </w:r>
      <w:r>
        <w:rPr>
          <w:sz w:val="22"/>
        </w:rPr>
        <w:t>Bank’s</w:t>
      </w:r>
      <w:r>
        <w:rPr>
          <w:spacing w:val="-16"/>
          <w:sz w:val="22"/>
        </w:rPr>
        <w:t> </w:t>
      </w:r>
      <w:r>
        <w:rPr>
          <w:sz w:val="22"/>
        </w:rPr>
        <w:t>social</w:t>
      </w:r>
      <w:r>
        <w:rPr>
          <w:spacing w:val="-18"/>
          <w:sz w:val="22"/>
        </w:rPr>
        <w:t> </w:t>
      </w:r>
      <w:r>
        <w:rPr>
          <w:sz w:val="22"/>
        </w:rPr>
        <w:t>safeguard</w:t>
      </w:r>
      <w:r>
        <w:rPr>
          <w:spacing w:val="-17"/>
          <w:sz w:val="22"/>
        </w:rPr>
        <w:t> </w:t>
      </w:r>
      <w:r>
        <w:rPr>
          <w:sz w:val="22"/>
        </w:rPr>
        <w:t>requirements</w:t>
      </w:r>
      <w:r>
        <w:rPr>
          <w:spacing w:val="-17"/>
          <w:sz w:val="22"/>
        </w:rPr>
        <w:t> </w:t>
      </w:r>
      <w:r>
        <w:rPr>
          <w:sz w:val="22"/>
        </w:rPr>
        <w:t>including</w:t>
      </w:r>
      <w:r>
        <w:rPr>
          <w:spacing w:val="-13"/>
          <w:sz w:val="22"/>
        </w:rPr>
        <w:t> </w:t>
      </w:r>
      <w:r>
        <w:rPr>
          <w:sz w:val="22"/>
        </w:rPr>
        <w:t>implementation</w:t>
      </w:r>
      <w:r>
        <w:rPr>
          <w:spacing w:val="-17"/>
          <w:sz w:val="22"/>
        </w:rPr>
        <w:t> </w:t>
      </w:r>
      <w:r>
        <w:rPr>
          <w:sz w:val="22"/>
        </w:rPr>
        <w:t>of</w:t>
      </w:r>
      <w:r>
        <w:rPr>
          <w:spacing w:val="-14"/>
          <w:sz w:val="22"/>
        </w:rPr>
        <w:t> </w:t>
      </w:r>
      <w:r>
        <w:rPr>
          <w:sz w:val="22"/>
        </w:rPr>
        <w:t>C&amp;LRP</w:t>
      </w:r>
      <w:r>
        <w:rPr>
          <w:spacing w:val="-16"/>
          <w:sz w:val="22"/>
        </w:rPr>
        <w:t> </w:t>
      </w:r>
      <w:r>
        <w:rPr>
          <w:sz w:val="22"/>
        </w:rPr>
        <w:t>and</w:t>
      </w:r>
      <w:r>
        <w:rPr>
          <w:spacing w:val="-17"/>
          <w:sz w:val="22"/>
        </w:rPr>
        <w:t> </w:t>
      </w:r>
      <w:r>
        <w:rPr>
          <w:sz w:val="22"/>
        </w:rPr>
        <w:t>social management plans under the guidance of the Project</w:t>
      </w:r>
      <w:r>
        <w:rPr>
          <w:spacing w:val="-11"/>
          <w:sz w:val="22"/>
        </w:rPr>
        <w:t> </w:t>
      </w:r>
      <w:r>
        <w:rPr>
          <w:sz w:val="22"/>
        </w:rPr>
        <w:t>Director.</w:t>
      </w:r>
    </w:p>
    <w:p>
      <w:pPr>
        <w:pStyle w:val="ListParagraph"/>
        <w:numPr>
          <w:ilvl w:val="0"/>
          <w:numId w:val="40"/>
        </w:numPr>
        <w:tabs>
          <w:tab w:pos="1589" w:val="left" w:leader="none"/>
        </w:tabs>
        <w:spacing w:line="276" w:lineRule="auto" w:before="120" w:after="0"/>
        <w:ind w:left="868" w:right="151" w:firstLine="0"/>
        <w:jc w:val="both"/>
        <w:rPr>
          <w:sz w:val="22"/>
        </w:rPr>
      </w:pPr>
      <w:r>
        <w:rPr>
          <w:sz w:val="22"/>
        </w:rPr>
        <w:t>The Project Team will serve as an essential role for providing technical backstopping with regards to safeguards management for all SMTA subprojects and has the overall responsibility for planning, implementation and supervision of safeguard functions described in this C&amp;LRP of the</w:t>
      </w:r>
      <w:r>
        <w:rPr>
          <w:spacing w:val="-12"/>
          <w:sz w:val="22"/>
        </w:rPr>
        <w:t> </w:t>
      </w:r>
      <w:r>
        <w:rPr>
          <w:sz w:val="22"/>
        </w:rPr>
        <w:t>Project.</w:t>
      </w:r>
    </w:p>
    <w:p>
      <w:pPr>
        <w:pStyle w:val="ListParagraph"/>
        <w:numPr>
          <w:ilvl w:val="0"/>
          <w:numId w:val="40"/>
        </w:numPr>
        <w:tabs>
          <w:tab w:pos="1589" w:val="left" w:leader="none"/>
        </w:tabs>
        <w:spacing w:line="276" w:lineRule="auto" w:before="120" w:after="0"/>
        <w:ind w:left="868" w:right="154" w:firstLine="0"/>
        <w:jc w:val="both"/>
        <w:rPr>
          <w:sz w:val="22"/>
        </w:rPr>
      </w:pPr>
      <w:r>
        <w:rPr>
          <w:sz w:val="22"/>
        </w:rPr>
        <w:t>The</w:t>
      </w:r>
      <w:r>
        <w:rPr>
          <w:spacing w:val="-7"/>
          <w:sz w:val="22"/>
        </w:rPr>
        <w:t> </w:t>
      </w:r>
      <w:r>
        <w:rPr>
          <w:sz w:val="22"/>
        </w:rPr>
        <w:t>Project</w:t>
      </w:r>
      <w:r>
        <w:rPr>
          <w:spacing w:val="-8"/>
          <w:sz w:val="22"/>
        </w:rPr>
        <w:t> </w:t>
      </w:r>
      <w:r>
        <w:rPr>
          <w:sz w:val="22"/>
        </w:rPr>
        <w:t>Team</w:t>
      </w:r>
      <w:r>
        <w:rPr>
          <w:spacing w:val="-1"/>
          <w:sz w:val="22"/>
        </w:rPr>
        <w:t> </w:t>
      </w:r>
      <w:r>
        <w:rPr>
          <w:sz w:val="22"/>
        </w:rPr>
        <w:t>will</w:t>
      </w:r>
      <w:r>
        <w:rPr>
          <w:spacing w:val="-5"/>
          <w:sz w:val="22"/>
        </w:rPr>
        <w:t> </w:t>
      </w:r>
      <w:r>
        <w:rPr>
          <w:sz w:val="22"/>
        </w:rPr>
        <w:t>keep</w:t>
      </w:r>
      <w:r>
        <w:rPr>
          <w:spacing w:val="-4"/>
          <w:sz w:val="22"/>
        </w:rPr>
        <w:t> </w:t>
      </w:r>
      <w:r>
        <w:rPr>
          <w:sz w:val="22"/>
        </w:rPr>
        <w:t>a</w:t>
      </w:r>
      <w:r>
        <w:rPr>
          <w:spacing w:val="-4"/>
          <w:sz w:val="22"/>
        </w:rPr>
        <w:t> </w:t>
      </w:r>
      <w:r>
        <w:rPr>
          <w:sz w:val="22"/>
        </w:rPr>
        <w:t>close</w:t>
      </w:r>
      <w:r>
        <w:rPr>
          <w:spacing w:val="-7"/>
          <w:sz w:val="22"/>
        </w:rPr>
        <w:t> </w:t>
      </w:r>
      <w:r>
        <w:rPr>
          <w:sz w:val="22"/>
        </w:rPr>
        <w:t>liaison</w:t>
      </w:r>
      <w:r>
        <w:rPr>
          <w:spacing w:val="-4"/>
          <w:sz w:val="22"/>
        </w:rPr>
        <w:t> </w:t>
      </w:r>
      <w:r>
        <w:rPr>
          <w:sz w:val="22"/>
        </w:rPr>
        <w:t>with</w:t>
      </w:r>
      <w:r>
        <w:rPr>
          <w:spacing w:val="-4"/>
          <w:sz w:val="22"/>
        </w:rPr>
        <w:t> </w:t>
      </w:r>
      <w:r>
        <w:rPr>
          <w:sz w:val="22"/>
        </w:rPr>
        <w:t>the</w:t>
      </w:r>
      <w:r>
        <w:rPr>
          <w:spacing w:val="-9"/>
          <w:sz w:val="22"/>
        </w:rPr>
        <w:t> </w:t>
      </w:r>
      <w:r>
        <w:rPr>
          <w:sz w:val="22"/>
        </w:rPr>
        <w:t>World</w:t>
      </w:r>
      <w:r>
        <w:rPr>
          <w:spacing w:val="-6"/>
          <w:sz w:val="22"/>
        </w:rPr>
        <w:t> </w:t>
      </w:r>
      <w:r>
        <w:rPr>
          <w:sz w:val="22"/>
        </w:rPr>
        <w:t>Bank</w:t>
      </w:r>
      <w:r>
        <w:rPr>
          <w:spacing w:val="-4"/>
          <w:sz w:val="22"/>
        </w:rPr>
        <w:t> </w:t>
      </w:r>
      <w:r>
        <w:rPr>
          <w:sz w:val="22"/>
        </w:rPr>
        <w:t>safeguards</w:t>
      </w:r>
      <w:r>
        <w:rPr>
          <w:spacing w:val="-4"/>
          <w:sz w:val="22"/>
        </w:rPr>
        <w:t> </w:t>
      </w:r>
      <w:r>
        <w:rPr>
          <w:sz w:val="22"/>
        </w:rPr>
        <w:t>team</w:t>
      </w:r>
      <w:r>
        <w:rPr>
          <w:spacing w:val="-5"/>
          <w:sz w:val="22"/>
        </w:rPr>
        <w:t> </w:t>
      </w:r>
      <w:r>
        <w:rPr>
          <w:sz w:val="22"/>
        </w:rPr>
        <w:t>to seek clarity and guidance on livelihood restoration requirements of the Project and will oversee the supervisory consultants for implementation of C&amp;LRP. The Team will </w:t>
      </w:r>
      <w:r>
        <w:rPr>
          <w:spacing w:val="16"/>
          <w:sz w:val="22"/>
        </w:rPr>
        <w:t> </w:t>
      </w:r>
      <w:r>
        <w:rPr>
          <w:sz w:val="22"/>
        </w:rPr>
        <w:t>ensure</w:t>
      </w:r>
    </w:p>
    <w:p>
      <w:pPr>
        <w:spacing w:after="0" w:line="276" w:lineRule="auto"/>
        <w:jc w:val="both"/>
        <w:rPr>
          <w:sz w:val="22"/>
        </w:rPr>
        <w:sectPr>
          <w:pgSz w:w="11910" w:h="16840"/>
          <w:pgMar w:header="583" w:footer="575" w:top="840" w:bottom="760" w:left="860" w:right="1280"/>
        </w:sectPr>
      </w:pPr>
    </w:p>
    <w:p>
      <w:pPr>
        <w:pStyle w:val="BodyText"/>
        <w:rPr>
          <w:sz w:val="20"/>
        </w:rPr>
      </w:pPr>
    </w:p>
    <w:p>
      <w:pPr>
        <w:pStyle w:val="BodyText"/>
        <w:rPr>
          <w:sz w:val="20"/>
        </w:rPr>
      </w:pPr>
    </w:p>
    <w:p>
      <w:pPr>
        <w:pStyle w:val="BodyText"/>
        <w:spacing w:before="10"/>
        <w:rPr>
          <w:sz w:val="27"/>
        </w:rPr>
      </w:pPr>
    </w:p>
    <w:p>
      <w:pPr>
        <w:pStyle w:val="BodyText"/>
        <w:spacing w:line="276" w:lineRule="auto" w:before="93"/>
        <w:ind w:left="868" w:right="152"/>
        <w:jc w:val="both"/>
      </w:pPr>
      <w:r>
        <w:rPr/>
        <w:t>quality of monitoring reports prepared by the consultants and shall endorse all safeguards related documents to World Bank for review, clearance and disclosure. The role of Project Team will include.</w:t>
      </w:r>
    </w:p>
    <w:p>
      <w:pPr>
        <w:pStyle w:val="ListParagraph"/>
        <w:numPr>
          <w:ilvl w:val="1"/>
          <w:numId w:val="40"/>
        </w:numPr>
        <w:tabs>
          <w:tab w:pos="1589" w:val="left" w:leader="none"/>
        </w:tabs>
        <w:spacing w:line="271" w:lineRule="auto" w:before="122" w:after="0"/>
        <w:ind w:left="1588" w:right="240" w:hanging="360"/>
        <w:jc w:val="both"/>
        <w:rPr>
          <w:sz w:val="22"/>
        </w:rPr>
      </w:pPr>
      <w:r>
        <w:rPr>
          <w:sz w:val="22"/>
        </w:rPr>
        <w:t>Coordinate</w:t>
      </w:r>
      <w:r>
        <w:rPr>
          <w:spacing w:val="-9"/>
          <w:sz w:val="22"/>
        </w:rPr>
        <w:t> </w:t>
      </w:r>
      <w:r>
        <w:rPr>
          <w:sz w:val="22"/>
        </w:rPr>
        <w:t>with</w:t>
      </w:r>
      <w:r>
        <w:rPr>
          <w:spacing w:val="-9"/>
          <w:sz w:val="22"/>
        </w:rPr>
        <w:t> </w:t>
      </w:r>
      <w:r>
        <w:rPr>
          <w:sz w:val="22"/>
        </w:rPr>
        <w:t>the</w:t>
      </w:r>
      <w:r>
        <w:rPr>
          <w:spacing w:val="-9"/>
          <w:sz w:val="22"/>
        </w:rPr>
        <w:t> </w:t>
      </w:r>
      <w:r>
        <w:rPr>
          <w:sz w:val="22"/>
        </w:rPr>
        <w:t>provincial</w:t>
      </w:r>
      <w:r>
        <w:rPr>
          <w:spacing w:val="-10"/>
          <w:sz w:val="22"/>
        </w:rPr>
        <w:t> </w:t>
      </w:r>
      <w:r>
        <w:rPr>
          <w:sz w:val="22"/>
        </w:rPr>
        <w:t>government</w:t>
      </w:r>
      <w:r>
        <w:rPr>
          <w:spacing w:val="-8"/>
          <w:sz w:val="22"/>
        </w:rPr>
        <w:t> </w:t>
      </w:r>
      <w:r>
        <w:rPr>
          <w:sz w:val="22"/>
        </w:rPr>
        <w:t>departments</w:t>
      </w:r>
      <w:r>
        <w:rPr>
          <w:spacing w:val="-11"/>
          <w:sz w:val="22"/>
        </w:rPr>
        <w:t> </w:t>
      </w:r>
      <w:r>
        <w:rPr>
          <w:sz w:val="22"/>
        </w:rPr>
        <w:t>including</w:t>
      </w:r>
      <w:r>
        <w:rPr>
          <w:spacing w:val="-7"/>
          <w:sz w:val="22"/>
        </w:rPr>
        <w:t> </w:t>
      </w:r>
      <w:r>
        <w:rPr>
          <w:sz w:val="22"/>
        </w:rPr>
        <w:t>but</w:t>
      </w:r>
      <w:r>
        <w:rPr>
          <w:spacing w:val="-10"/>
          <w:sz w:val="22"/>
        </w:rPr>
        <w:t> </w:t>
      </w:r>
      <w:r>
        <w:rPr>
          <w:sz w:val="22"/>
        </w:rPr>
        <w:t>not</w:t>
      </w:r>
      <w:r>
        <w:rPr>
          <w:spacing w:val="-6"/>
          <w:sz w:val="22"/>
        </w:rPr>
        <w:t> </w:t>
      </w:r>
      <w:r>
        <w:rPr>
          <w:sz w:val="22"/>
        </w:rPr>
        <w:t>limited</w:t>
      </w:r>
      <w:r>
        <w:rPr>
          <w:spacing w:val="-11"/>
          <w:sz w:val="22"/>
        </w:rPr>
        <w:t> </w:t>
      </w:r>
      <w:r>
        <w:rPr>
          <w:sz w:val="22"/>
        </w:rPr>
        <w:t>to Planning &amp; Development</w:t>
      </w:r>
      <w:r>
        <w:rPr>
          <w:spacing w:val="-10"/>
          <w:sz w:val="22"/>
        </w:rPr>
        <w:t> </w:t>
      </w:r>
      <w:r>
        <w:rPr>
          <w:sz w:val="22"/>
        </w:rPr>
        <w:t>Department;</w:t>
      </w:r>
    </w:p>
    <w:p>
      <w:pPr>
        <w:pStyle w:val="ListParagraph"/>
        <w:numPr>
          <w:ilvl w:val="1"/>
          <w:numId w:val="40"/>
        </w:numPr>
        <w:tabs>
          <w:tab w:pos="1589" w:val="left" w:leader="none"/>
        </w:tabs>
        <w:spacing w:line="276" w:lineRule="auto" w:before="5" w:after="0"/>
        <w:ind w:left="1588" w:right="242" w:hanging="360"/>
        <w:jc w:val="both"/>
        <w:rPr>
          <w:sz w:val="22"/>
        </w:rPr>
      </w:pPr>
      <w:r>
        <w:rPr>
          <w:sz w:val="22"/>
        </w:rPr>
        <w:t>Coordinate with the supervisory consultants and keep an oversight to facilitate them during the implementation of C&amp;LRP and mitigation of the social impacts. This is to ensure consistency of approach and avoid variation in information obtained and given and to address issues immediately as they arise on</w:t>
      </w:r>
      <w:r>
        <w:rPr>
          <w:spacing w:val="-20"/>
          <w:sz w:val="22"/>
        </w:rPr>
        <w:t> </w:t>
      </w:r>
      <w:r>
        <w:rPr>
          <w:sz w:val="22"/>
        </w:rPr>
        <w:t>site;</w:t>
      </w:r>
    </w:p>
    <w:p>
      <w:pPr>
        <w:pStyle w:val="ListParagraph"/>
        <w:numPr>
          <w:ilvl w:val="1"/>
          <w:numId w:val="40"/>
        </w:numPr>
        <w:tabs>
          <w:tab w:pos="1589" w:val="left" w:leader="none"/>
        </w:tabs>
        <w:spacing w:line="273" w:lineRule="auto" w:before="0" w:after="0"/>
        <w:ind w:left="1588" w:right="239" w:hanging="360"/>
        <w:jc w:val="both"/>
        <w:rPr>
          <w:sz w:val="22"/>
        </w:rPr>
      </w:pPr>
      <w:r>
        <w:rPr>
          <w:sz w:val="22"/>
        </w:rPr>
        <w:t>Ensure that the consultants should in conformity with the C&amp;LRP provisions and the impacted assets should be accurately</w:t>
      </w:r>
      <w:r>
        <w:rPr>
          <w:spacing w:val="-10"/>
          <w:sz w:val="22"/>
        </w:rPr>
        <w:t> </w:t>
      </w:r>
      <w:r>
        <w:rPr>
          <w:sz w:val="22"/>
        </w:rPr>
        <w:t>compensated.</w:t>
      </w:r>
    </w:p>
    <w:p>
      <w:pPr>
        <w:pStyle w:val="ListParagraph"/>
        <w:numPr>
          <w:ilvl w:val="1"/>
          <w:numId w:val="40"/>
        </w:numPr>
        <w:tabs>
          <w:tab w:pos="1589" w:val="left" w:leader="none"/>
        </w:tabs>
        <w:spacing w:line="276" w:lineRule="auto" w:before="2" w:after="0"/>
        <w:ind w:left="1588" w:right="241" w:hanging="360"/>
        <w:jc w:val="both"/>
        <w:rPr>
          <w:sz w:val="22"/>
        </w:rPr>
      </w:pPr>
      <w:r>
        <w:rPr>
          <w:sz w:val="22"/>
        </w:rPr>
        <w:t>Internally</w:t>
      </w:r>
      <w:r>
        <w:rPr>
          <w:spacing w:val="-9"/>
          <w:sz w:val="22"/>
        </w:rPr>
        <w:t> </w:t>
      </w:r>
      <w:r>
        <w:rPr>
          <w:sz w:val="22"/>
        </w:rPr>
        <w:t>review</w:t>
      </w:r>
      <w:r>
        <w:rPr>
          <w:spacing w:val="-10"/>
          <w:sz w:val="22"/>
        </w:rPr>
        <w:t> </w:t>
      </w:r>
      <w:r>
        <w:rPr>
          <w:sz w:val="22"/>
        </w:rPr>
        <w:t>the</w:t>
      </w:r>
      <w:r>
        <w:rPr>
          <w:spacing w:val="-7"/>
          <w:sz w:val="22"/>
        </w:rPr>
        <w:t> </w:t>
      </w:r>
      <w:r>
        <w:rPr>
          <w:sz w:val="22"/>
        </w:rPr>
        <w:t>C&amp;LRP</w:t>
      </w:r>
      <w:r>
        <w:rPr>
          <w:spacing w:val="-8"/>
          <w:sz w:val="22"/>
        </w:rPr>
        <w:t> </w:t>
      </w:r>
      <w:r>
        <w:rPr>
          <w:sz w:val="22"/>
        </w:rPr>
        <w:t>(draft/updated),</w:t>
      </w:r>
      <w:r>
        <w:rPr>
          <w:spacing w:val="-8"/>
          <w:sz w:val="22"/>
        </w:rPr>
        <w:t> </w:t>
      </w:r>
      <w:r>
        <w:rPr>
          <w:sz w:val="22"/>
        </w:rPr>
        <w:t>coordinate</w:t>
      </w:r>
      <w:r>
        <w:rPr>
          <w:spacing w:val="-7"/>
          <w:sz w:val="22"/>
        </w:rPr>
        <w:t> </w:t>
      </w:r>
      <w:r>
        <w:rPr>
          <w:sz w:val="22"/>
        </w:rPr>
        <w:t>with</w:t>
      </w:r>
      <w:r>
        <w:rPr>
          <w:spacing w:val="-12"/>
          <w:sz w:val="22"/>
        </w:rPr>
        <w:t> </w:t>
      </w:r>
      <w:r>
        <w:rPr>
          <w:sz w:val="22"/>
        </w:rPr>
        <w:t>World</w:t>
      </w:r>
      <w:r>
        <w:rPr>
          <w:spacing w:val="-10"/>
          <w:sz w:val="22"/>
        </w:rPr>
        <w:t> </w:t>
      </w:r>
      <w:r>
        <w:rPr>
          <w:sz w:val="22"/>
        </w:rPr>
        <w:t>Bank</w:t>
      </w:r>
      <w:r>
        <w:rPr>
          <w:spacing w:val="-5"/>
          <w:sz w:val="22"/>
        </w:rPr>
        <w:t> </w:t>
      </w:r>
      <w:r>
        <w:rPr>
          <w:sz w:val="22"/>
        </w:rPr>
        <w:t>in</w:t>
      </w:r>
      <w:r>
        <w:rPr>
          <w:spacing w:val="-7"/>
          <w:sz w:val="22"/>
        </w:rPr>
        <w:t> </w:t>
      </w:r>
      <w:r>
        <w:rPr>
          <w:sz w:val="22"/>
        </w:rPr>
        <w:t>review and</w:t>
      </w:r>
      <w:r>
        <w:rPr>
          <w:spacing w:val="-9"/>
          <w:sz w:val="22"/>
        </w:rPr>
        <w:t> </w:t>
      </w:r>
      <w:r>
        <w:rPr>
          <w:sz w:val="22"/>
        </w:rPr>
        <w:t>approval</w:t>
      </w:r>
      <w:r>
        <w:rPr>
          <w:spacing w:val="-10"/>
          <w:sz w:val="22"/>
        </w:rPr>
        <w:t> </w:t>
      </w:r>
      <w:r>
        <w:rPr>
          <w:sz w:val="22"/>
        </w:rPr>
        <w:t>process,</w:t>
      </w:r>
      <w:r>
        <w:rPr>
          <w:spacing w:val="-8"/>
          <w:sz w:val="22"/>
        </w:rPr>
        <w:t> </w:t>
      </w:r>
      <w:r>
        <w:rPr>
          <w:sz w:val="22"/>
        </w:rPr>
        <w:t>and</w:t>
      </w:r>
      <w:r>
        <w:rPr>
          <w:spacing w:val="-9"/>
          <w:sz w:val="22"/>
        </w:rPr>
        <w:t> </w:t>
      </w:r>
      <w:r>
        <w:rPr>
          <w:sz w:val="22"/>
        </w:rPr>
        <w:t>ensure</w:t>
      </w:r>
      <w:r>
        <w:rPr>
          <w:spacing w:val="-11"/>
          <w:sz w:val="22"/>
        </w:rPr>
        <w:t> </w:t>
      </w:r>
      <w:r>
        <w:rPr>
          <w:sz w:val="22"/>
        </w:rPr>
        <w:t>timely</w:t>
      </w:r>
      <w:r>
        <w:rPr>
          <w:spacing w:val="-11"/>
          <w:sz w:val="22"/>
        </w:rPr>
        <w:t> </w:t>
      </w:r>
      <w:r>
        <w:rPr>
          <w:sz w:val="22"/>
        </w:rPr>
        <w:t>disclosure</w:t>
      </w:r>
      <w:r>
        <w:rPr>
          <w:spacing w:val="-9"/>
          <w:sz w:val="22"/>
        </w:rPr>
        <w:t> </w:t>
      </w:r>
      <w:r>
        <w:rPr>
          <w:sz w:val="22"/>
        </w:rPr>
        <w:t>of</w:t>
      </w:r>
      <w:r>
        <w:rPr>
          <w:spacing w:val="-5"/>
          <w:sz w:val="22"/>
        </w:rPr>
        <w:t> </w:t>
      </w:r>
      <w:r>
        <w:rPr>
          <w:sz w:val="22"/>
        </w:rPr>
        <w:t>approved</w:t>
      </w:r>
      <w:r>
        <w:rPr>
          <w:spacing w:val="-6"/>
          <w:sz w:val="22"/>
        </w:rPr>
        <w:t> </w:t>
      </w:r>
      <w:r>
        <w:rPr>
          <w:sz w:val="22"/>
        </w:rPr>
        <w:t>C&amp;LRP</w:t>
      </w:r>
      <w:r>
        <w:rPr>
          <w:spacing w:val="-9"/>
          <w:sz w:val="22"/>
        </w:rPr>
        <w:t> </w:t>
      </w:r>
      <w:r>
        <w:rPr>
          <w:sz w:val="22"/>
        </w:rPr>
        <w:t>on</w:t>
      </w:r>
      <w:r>
        <w:rPr>
          <w:spacing w:val="-9"/>
          <w:sz w:val="22"/>
        </w:rPr>
        <w:t> </w:t>
      </w:r>
      <w:r>
        <w:rPr>
          <w:sz w:val="22"/>
        </w:rPr>
        <w:t>SMTA Website.</w:t>
      </w:r>
    </w:p>
    <w:p>
      <w:pPr>
        <w:pStyle w:val="ListParagraph"/>
        <w:numPr>
          <w:ilvl w:val="1"/>
          <w:numId w:val="40"/>
        </w:numPr>
        <w:tabs>
          <w:tab w:pos="1589" w:val="left" w:leader="none"/>
        </w:tabs>
        <w:spacing w:line="276" w:lineRule="auto" w:before="0" w:after="0"/>
        <w:ind w:left="1588" w:right="246" w:hanging="360"/>
        <w:jc w:val="both"/>
        <w:rPr>
          <w:sz w:val="22"/>
        </w:rPr>
      </w:pPr>
      <w:r>
        <w:rPr>
          <w:sz w:val="22"/>
        </w:rPr>
        <w:t>Ensure</w:t>
      </w:r>
      <w:r>
        <w:rPr>
          <w:spacing w:val="-10"/>
          <w:sz w:val="22"/>
        </w:rPr>
        <w:t> </w:t>
      </w:r>
      <w:r>
        <w:rPr>
          <w:sz w:val="22"/>
        </w:rPr>
        <w:t>timely</w:t>
      </w:r>
      <w:r>
        <w:rPr>
          <w:spacing w:val="-9"/>
          <w:sz w:val="22"/>
        </w:rPr>
        <w:t> </w:t>
      </w:r>
      <w:r>
        <w:rPr>
          <w:sz w:val="22"/>
        </w:rPr>
        <w:t>preparation</w:t>
      </w:r>
      <w:r>
        <w:rPr>
          <w:spacing w:val="-7"/>
          <w:sz w:val="22"/>
        </w:rPr>
        <w:t> </w:t>
      </w:r>
      <w:r>
        <w:rPr>
          <w:sz w:val="22"/>
        </w:rPr>
        <w:t>of</w:t>
      </w:r>
      <w:r>
        <w:rPr>
          <w:spacing w:val="-9"/>
          <w:sz w:val="22"/>
        </w:rPr>
        <w:t> </w:t>
      </w:r>
      <w:r>
        <w:rPr>
          <w:sz w:val="22"/>
        </w:rPr>
        <w:t>quality</w:t>
      </w:r>
      <w:r>
        <w:rPr>
          <w:spacing w:val="-7"/>
          <w:sz w:val="22"/>
        </w:rPr>
        <w:t> </w:t>
      </w:r>
      <w:r>
        <w:rPr>
          <w:sz w:val="22"/>
        </w:rPr>
        <w:t>monitoring</w:t>
      </w:r>
      <w:r>
        <w:rPr>
          <w:spacing w:val="-8"/>
          <w:sz w:val="22"/>
        </w:rPr>
        <w:t> </w:t>
      </w:r>
      <w:r>
        <w:rPr>
          <w:sz w:val="22"/>
        </w:rPr>
        <w:t>reports.</w:t>
      </w:r>
      <w:r>
        <w:rPr>
          <w:spacing w:val="-9"/>
          <w:sz w:val="22"/>
        </w:rPr>
        <w:t> </w:t>
      </w:r>
      <w:r>
        <w:rPr>
          <w:sz w:val="22"/>
        </w:rPr>
        <w:t>The</w:t>
      </w:r>
      <w:r>
        <w:rPr>
          <w:spacing w:val="-12"/>
          <w:sz w:val="22"/>
        </w:rPr>
        <w:t> </w:t>
      </w:r>
      <w:r>
        <w:rPr>
          <w:sz w:val="22"/>
        </w:rPr>
        <w:t>monitoring</w:t>
      </w:r>
      <w:r>
        <w:rPr>
          <w:spacing w:val="-7"/>
          <w:sz w:val="22"/>
        </w:rPr>
        <w:t> </w:t>
      </w:r>
      <w:r>
        <w:rPr>
          <w:sz w:val="22"/>
        </w:rPr>
        <w:t>reports</w:t>
      </w:r>
      <w:r>
        <w:rPr>
          <w:spacing w:val="-9"/>
          <w:sz w:val="22"/>
        </w:rPr>
        <w:t> </w:t>
      </w:r>
      <w:r>
        <w:rPr>
          <w:sz w:val="22"/>
        </w:rPr>
        <w:t>will be internally reviewed to ensure quality final reports are shared with World Bank for review and acceptance and shall ensure timely disclosure of approved monitoring reports on SMTA</w:t>
      </w:r>
      <w:r>
        <w:rPr>
          <w:spacing w:val="-7"/>
          <w:sz w:val="22"/>
        </w:rPr>
        <w:t> </w:t>
      </w:r>
      <w:r>
        <w:rPr>
          <w:sz w:val="22"/>
        </w:rPr>
        <w:t>Website.</w:t>
      </w:r>
    </w:p>
    <w:p>
      <w:pPr>
        <w:pStyle w:val="Heading3"/>
        <w:numPr>
          <w:ilvl w:val="3"/>
          <w:numId w:val="41"/>
        </w:numPr>
        <w:tabs>
          <w:tab w:pos="1733" w:val="left" w:leader="none"/>
        </w:tabs>
        <w:spacing w:line="240" w:lineRule="auto" w:before="121" w:after="0"/>
        <w:ind w:left="1732" w:right="0" w:hanging="864"/>
        <w:jc w:val="both"/>
      </w:pPr>
      <w:r>
        <w:rPr/>
        <w:t>Grievance Redress</w:t>
      </w:r>
      <w:r>
        <w:rPr>
          <w:spacing w:val="-6"/>
        </w:rPr>
        <w:t> </w:t>
      </w:r>
      <w:r>
        <w:rPr/>
        <w:t>Committee</w:t>
      </w:r>
    </w:p>
    <w:p>
      <w:pPr>
        <w:pStyle w:val="ListParagraph"/>
        <w:numPr>
          <w:ilvl w:val="0"/>
          <w:numId w:val="40"/>
        </w:numPr>
        <w:tabs>
          <w:tab w:pos="1589" w:val="left" w:leader="none"/>
        </w:tabs>
        <w:spacing w:line="276" w:lineRule="auto" w:before="119" w:after="0"/>
        <w:ind w:left="868" w:right="152" w:firstLine="0"/>
        <w:jc w:val="both"/>
        <w:rPr>
          <w:sz w:val="22"/>
        </w:rPr>
      </w:pPr>
      <w:r>
        <w:rPr>
          <w:sz w:val="22"/>
        </w:rPr>
        <w:t>A project vide Grievance Redress Mechanism (GRM) will be set up the Project under</w:t>
      </w:r>
      <w:r>
        <w:rPr>
          <w:spacing w:val="-15"/>
          <w:sz w:val="22"/>
        </w:rPr>
        <w:t> </w:t>
      </w:r>
      <w:r>
        <w:rPr>
          <w:sz w:val="22"/>
        </w:rPr>
        <w:t>the</w:t>
      </w:r>
      <w:r>
        <w:rPr>
          <w:spacing w:val="-14"/>
          <w:sz w:val="22"/>
        </w:rPr>
        <w:t> </w:t>
      </w:r>
      <w:r>
        <w:rPr>
          <w:sz w:val="22"/>
        </w:rPr>
        <w:t>investment</w:t>
      </w:r>
      <w:r>
        <w:rPr>
          <w:spacing w:val="-13"/>
          <w:sz w:val="22"/>
        </w:rPr>
        <w:t> </w:t>
      </w:r>
      <w:r>
        <w:rPr>
          <w:sz w:val="22"/>
        </w:rPr>
        <w:t>to</w:t>
      </w:r>
      <w:r>
        <w:rPr>
          <w:spacing w:val="-16"/>
          <w:sz w:val="22"/>
        </w:rPr>
        <w:t> </w:t>
      </w:r>
      <w:r>
        <w:rPr>
          <w:sz w:val="22"/>
        </w:rPr>
        <w:t>address</w:t>
      </w:r>
      <w:r>
        <w:rPr>
          <w:spacing w:val="-19"/>
          <w:sz w:val="22"/>
        </w:rPr>
        <w:t> </w:t>
      </w:r>
      <w:r>
        <w:rPr>
          <w:sz w:val="22"/>
        </w:rPr>
        <w:t>grievances</w:t>
      </w:r>
      <w:r>
        <w:rPr>
          <w:spacing w:val="-13"/>
          <w:sz w:val="22"/>
        </w:rPr>
        <w:t> </w:t>
      </w:r>
      <w:r>
        <w:rPr>
          <w:sz w:val="22"/>
        </w:rPr>
        <w:t>arising</w:t>
      </w:r>
      <w:r>
        <w:rPr>
          <w:spacing w:val="-16"/>
          <w:sz w:val="22"/>
        </w:rPr>
        <w:t> </w:t>
      </w:r>
      <w:r>
        <w:rPr>
          <w:sz w:val="22"/>
        </w:rPr>
        <w:t>from</w:t>
      </w:r>
      <w:r>
        <w:rPr>
          <w:spacing w:val="-15"/>
          <w:sz w:val="22"/>
        </w:rPr>
        <w:t> </w:t>
      </w:r>
      <w:r>
        <w:rPr>
          <w:sz w:val="22"/>
        </w:rPr>
        <w:t>social</w:t>
      </w:r>
      <w:r>
        <w:rPr>
          <w:spacing w:val="-15"/>
          <w:sz w:val="22"/>
        </w:rPr>
        <w:t> </w:t>
      </w:r>
      <w:r>
        <w:rPr>
          <w:sz w:val="22"/>
        </w:rPr>
        <w:t>impacts.</w:t>
      </w:r>
      <w:r>
        <w:rPr>
          <w:spacing w:val="-17"/>
          <w:sz w:val="22"/>
        </w:rPr>
        <w:t> </w:t>
      </w:r>
      <w:r>
        <w:rPr>
          <w:sz w:val="22"/>
        </w:rPr>
        <w:t>The</w:t>
      </w:r>
      <w:r>
        <w:rPr>
          <w:spacing w:val="-13"/>
          <w:sz w:val="22"/>
        </w:rPr>
        <w:t> </w:t>
      </w:r>
      <w:r>
        <w:rPr>
          <w:sz w:val="22"/>
        </w:rPr>
        <w:t>GRM</w:t>
      </w:r>
      <w:r>
        <w:rPr>
          <w:spacing w:val="-17"/>
          <w:sz w:val="22"/>
        </w:rPr>
        <w:t> </w:t>
      </w:r>
      <w:r>
        <w:rPr>
          <w:sz w:val="22"/>
        </w:rPr>
        <w:t>will</w:t>
      </w:r>
      <w:r>
        <w:rPr>
          <w:spacing w:val="-14"/>
          <w:sz w:val="22"/>
        </w:rPr>
        <w:t> </w:t>
      </w:r>
      <w:r>
        <w:rPr>
          <w:sz w:val="22"/>
        </w:rPr>
        <w:t>have a three-tiered structure enabling immediate grievances not resolved at the local level. At SMTA</w:t>
      </w:r>
      <w:r>
        <w:rPr>
          <w:spacing w:val="-5"/>
          <w:sz w:val="22"/>
        </w:rPr>
        <w:t> </w:t>
      </w:r>
      <w:r>
        <w:rPr>
          <w:sz w:val="22"/>
        </w:rPr>
        <w:t>level,</w:t>
      </w:r>
      <w:r>
        <w:rPr>
          <w:spacing w:val="-4"/>
          <w:sz w:val="22"/>
        </w:rPr>
        <w:t> </w:t>
      </w:r>
      <w:r>
        <w:rPr>
          <w:sz w:val="22"/>
        </w:rPr>
        <w:t>a</w:t>
      </w:r>
      <w:r>
        <w:rPr>
          <w:spacing w:val="-10"/>
          <w:sz w:val="22"/>
        </w:rPr>
        <w:t> </w:t>
      </w:r>
      <w:r>
        <w:rPr>
          <w:sz w:val="22"/>
        </w:rPr>
        <w:t>grievance</w:t>
      </w:r>
      <w:r>
        <w:rPr>
          <w:spacing w:val="-7"/>
          <w:sz w:val="22"/>
        </w:rPr>
        <w:t> </w:t>
      </w:r>
      <w:r>
        <w:rPr>
          <w:sz w:val="22"/>
        </w:rPr>
        <w:t>redress</w:t>
      </w:r>
      <w:r>
        <w:rPr>
          <w:spacing w:val="-7"/>
          <w:sz w:val="22"/>
        </w:rPr>
        <w:t> </w:t>
      </w:r>
      <w:r>
        <w:rPr>
          <w:sz w:val="22"/>
        </w:rPr>
        <w:t>committee</w:t>
      </w:r>
      <w:r>
        <w:rPr>
          <w:spacing w:val="-8"/>
          <w:sz w:val="22"/>
        </w:rPr>
        <w:t> </w:t>
      </w:r>
      <w:r>
        <w:rPr>
          <w:sz w:val="22"/>
        </w:rPr>
        <w:t>will</w:t>
      </w:r>
      <w:r>
        <w:rPr>
          <w:spacing w:val="-6"/>
          <w:sz w:val="22"/>
        </w:rPr>
        <w:t> </w:t>
      </w:r>
      <w:r>
        <w:rPr>
          <w:sz w:val="22"/>
        </w:rPr>
        <w:t>be</w:t>
      </w:r>
      <w:r>
        <w:rPr>
          <w:spacing w:val="-5"/>
          <w:sz w:val="22"/>
        </w:rPr>
        <w:t> </w:t>
      </w:r>
      <w:r>
        <w:rPr>
          <w:sz w:val="22"/>
        </w:rPr>
        <w:t>established</w:t>
      </w:r>
      <w:r>
        <w:rPr>
          <w:spacing w:val="-5"/>
          <w:sz w:val="22"/>
        </w:rPr>
        <w:t> </w:t>
      </w:r>
      <w:r>
        <w:rPr>
          <w:sz w:val="22"/>
        </w:rPr>
        <w:t>to</w:t>
      </w:r>
      <w:r>
        <w:rPr>
          <w:spacing w:val="-5"/>
          <w:sz w:val="22"/>
        </w:rPr>
        <w:t> </w:t>
      </w:r>
      <w:r>
        <w:rPr>
          <w:sz w:val="22"/>
        </w:rPr>
        <w:t>operationalize</w:t>
      </w:r>
      <w:r>
        <w:rPr>
          <w:spacing w:val="-5"/>
          <w:sz w:val="22"/>
        </w:rPr>
        <w:t> </w:t>
      </w:r>
      <w:r>
        <w:rPr>
          <w:sz w:val="22"/>
        </w:rPr>
        <w:t>the</w:t>
      </w:r>
      <w:r>
        <w:rPr>
          <w:spacing w:val="-8"/>
          <w:sz w:val="22"/>
        </w:rPr>
        <w:t> </w:t>
      </w:r>
      <w:r>
        <w:rPr>
          <w:sz w:val="22"/>
        </w:rPr>
        <w:t>GRM. The formation of GRC and its functions will commensurate with the Project needs and requirements.</w:t>
      </w:r>
    </w:p>
    <w:p>
      <w:pPr>
        <w:pStyle w:val="BodyText"/>
        <w:spacing w:before="1"/>
        <w:rPr>
          <w:sz w:val="21"/>
        </w:rPr>
      </w:pPr>
    </w:p>
    <w:p>
      <w:pPr>
        <w:pStyle w:val="Heading3"/>
        <w:numPr>
          <w:ilvl w:val="2"/>
          <w:numId w:val="41"/>
        </w:numPr>
        <w:tabs>
          <w:tab w:pos="1589" w:val="left" w:leader="none"/>
        </w:tabs>
        <w:spacing w:line="240" w:lineRule="auto" w:before="0" w:after="0"/>
        <w:ind w:left="1588" w:right="0" w:hanging="720"/>
        <w:jc w:val="both"/>
        <w:rPr>
          <w:color w:val="0D0D0D"/>
        </w:rPr>
      </w:pPr>
      <w:bookmarkStart w:name="_bookmark73" w:id="122"/>
      <w:bookmarkEnd w:id="122"/>
      <w:r>
        <w:rPr>
          <w:b w:val="0"/>
        </w:rPr>
      </w:r>
      <w:bookmarkStart w:name="_bookmark73" w:id="123"/>
      <w:bookmarkEnd w:id="123"/>
      <w:r>
        <w:rPr>
          <w:color w:val="0D0D0D"/>
        </w:rPr>
        <w:t>R</w:t>
      </w:r>
      <w:r>
        <w:rPr>
          <w:color w:val="0D0D0D"/>
        </w:rPr>
        <w:t>oles of the</w:t>
      </w:r>
      <w:r>
        <w:rPr>
          <w:color w:val="0D0D0D"/>
          <w:spacing w:val="-4"/>
        </w:rPr>
        <w:t> </w:t>
      </w:r>
      <w:r>
        <w:rPr>
          <w:color w:val="0D0D0D"/>
        </w:rPr>
        <w:t>Contractor</w:t>
      </w:r>
    </w:p>
    <w:p>
      <w:pPr>
        <w:pStyle w:val="ListParagraph"/>
        <w:numPr>
          <w:ilvl w:val="0"/>
          <w:numId w:val="40"/>
        </w:numPr>
        <w:tabs>
          <w:tab w:pos="1589" w:val="left" w:leader="none"/>
        </w:tabs>
        <w:spacing w:line="276" w:lineRule="auto" w:before="157" w:after="0"/>
        <w:ind w:left="868" w:right="157" w:firstLine="0"/>
        <w:jc w:val="both"/>
        <w:rPr>
          <w:sz w:val="22"/>
        </w:rPr>
      </w:pPr>
      <w:r>
        <w:rPr>
          <w:sz w:val="22"/>
        </w:rPr>
        <w:t>The contractor(s) to be employed to undertake construction works will also have a role to play in the implementation of the Project. The contractor’s roles will include the following:</w:t>
      </w:r>
    </w:p>
    <w:p>
      <w:pPr>
        <w:pStyle w:val="ListParagraph"/>
        <w:numPr>
          <w:ilvl w:val="1"/>
          <w:numId w:val="40"/>
        </w:numPr>
        <w:tabs>
          <w:tab w:pos="1588" w:val="left" w:leader="none"/>
          <w:tab w:pos="1589" w:val="left" w:leader="none"/>
        </w:tabs>
        <w:spacing w:line="240" w:lineRule="auto" w:before="120" w:after="0"/>
        <w:ind w:left="1588" w:right="0" w:hanging="360"/>
        <w:jc w:val="left"/>
        <w:rPr>
          <w:sz w:val="22"/>
        </w:rPr>
      </w:pPr>
      <w:r>
        <w:rPr>
          <w:sz w:val="22"/>
        </w:rPr>
        <w:t>Develops a work plan based on the Social Management Plan</w:t>
      </w:r>
      <w:r>
        <w:rPr>
          <w:spacing w:val="-12"/>
          <w:sz w:val="22"/>
        </w:rPr>
        <w:t> </w:t>
      </w:r>
      <w:r>
        <w:rPr>
          <w:sz w:val="22"/>
        </w:rPr>
        <w:t>(SMP);</w:t>
      </w:r>
    </w:p>
    <w:p>
      <w:pPr>
        <w:pStyle w:val="ListParagraph"/>
        <w:numPr>
          <w:ilvl w:val="1"/>
          <w:numId w:val="40"/>
        </w:numPr>
        <w:tabs>
          <w:tab w:pos="1588" w:val="left" w:leader="none"/>
          <w:tab w:pos="1589" w:val="left" w:leader="none"/>
        </w:tabs>
        <w:spacing w:line="240" w:lineRule="auto" w:before="37" w:after="0"/>
        <w:ind w:left="1588" w:right="0" w:hanging="360"/>
        <w:jc w:val="left"/>
        <w:rPr>
          <w:sz w:val="22"/>
        </w:rPr>
      </w:pPr>
      <w:r>
        <w:rPr>
          <w:sz w:val="22"/>
        </w:rPr>
        <w:t>Submits the plan of work and schedule to the</w:t>
      </w:r>
      <w:r>
        <w:rPr>
          <w:spacing w:val="-10"/>
          <w:sz w:val="22"/>
        </w:rPr>
        <w:t> </w:t>
      </w:r>
      <w:r>
        <w:rPr>
          <w:sz w:val="22"/>
        </w:rPr>
        <w:t>PD;</w:t>
      </w:r>
    </w:p>
    <w:p>
      <w:pPr>
        <w:pStyle w:val="ListParagraph"/>
        <w:numPr>
          <w:ilvl w:val="1"/>
          <w:numId w:val="40"/>
        </w:numPr>
        <w:tabs>
          <w:tab w:pos="1589" w:val="left" w:leader="none"/>
        </w:tabs>
        <w:spacing w:line="273" w:lineRule="auto" w:before="34" w:after="0"/>
        <w:ind w:left="1588" w:right="156" w:hanging="360"/>
        <w:jc w:val="both"/>
        <w:rPr>
          <w:sz w:val="22"/>
        </w:rPr>
      </w:pPr>
      <w:r>
        <w:rPr>
          <w:sz w:val="22"/>
        </w:rPr>
        <w:t>Train/create awareness for all personnel and community on relevant social safeguards measures;</w:t>
      </w:r>
      <w:r>
        <w:rPr>
          <w:spacing w:val="-7"/>
          <w:sz w:val="22"/>
        </w:rPr>
        <w:t> </w:t>
      </w:r>
      <w:r>
        <w:rPr>
          <w:sz w:val="22"/>
        </w:rPr>
        <w:t>and</w:t>
      </w:r>
    </w:p>
    <w:p>
      <w:pPr>
        <w:pStyle w:val="ListParagraph"/>
        <w:numPr>
          <w:ilvl w:val="1"/>
          <w:numId w:val="40"/>
        </w:numPr>
        <w:tabs>
          <w:tab w:pos="1588" w:val="left" w:leader="none"/>
          <w:tab w:pos="1589" w:val="left" w:leader="none"/>
        </w:tabs>
        <w:spacing w:line="240" w:lineRule="auto" w:before="2" w:after="0"/>
        <w:ind w:left="1588" w:right="0" w:hanging="360"/>
        <w:jc w:val="left"/>
        <w:rPr>
          <w:sz w:val="22"/>
        </w:rPr>
      </w:pPr>
      <w:r>
        <w:rPr>
          <w:sz w:val="22"/>
        </w:rPr>
        <w:t>Submits implementation report on SMP to the</w:t>
      </w:r>
      <w:r>
        <w:rPr>
          <w:spacing w:val="-10"/>
          <w:sz w:val="22"/>
        </w:rPr>
        <w:t> </w:t>
      </w:r>
      <w:r>
        <w:rPr>
          <w:sz w:val="22"/>
        </w:rPr>
        <w:t>PD.</w:t>
      </w:r>
    </w:p>
    <w:p>
      <w:pPr>
        <w:pStyle w:val="BodyText"/>
        <w:rPr>
          <w:sz w:val="24"/>
        </w:rPr>
      </w:pPr>
    </w:p>
    <w:p>
      <w:pPr>
        <w:pStyle w:val="Heading3"/>
        <w:numPr>
          <w:ilvl w:val="2"/>
          <w:numId w:val="41"/>
        </w:numPr>
        <w:tabs>
          <w:tab w:pos="1589" w:val="left" w:leader="none"/>
        </w:tabs>
        <w:spacing w:line="240" w:lineRule="auto" w:before="0" w:after="0"/>
        <w:ind w:left="1588" w:right="0" w:hanging="720"/>
        <w:jc w:val="both"/>
        <w:rPr>
          <w:color w:val="0D0D0D"/>
        </w:rPr>
      </w:pPr>
      <w:bookmarkStart w:name="_bookmark74" w:id="124"/>
      <w:bookmarkEnd w:id="124"/>
      <w:r>
        <w:rPr>
          <w:b w:val="0"/>
        </w:rPr>
      </w:r>
      <w:bookmarkStart w:name="_bookmark74" w:id="125"/>
      <w:bookmarkEnd w:id="125"/>
      <w:r>
        <w:rPr>
          <w:color w:val="0D0D0D"/>
        </w:rPr>
        <w:t>I</w:t>
      </w:r>
      <w:r>
        <w:rPr>
          <w:color w:val="0D0D0D"/>
        </w:rPr>
        <w:t>ndependent Monitoring Agency</w:t>
      </w:r>
      <w:r>
        <w:rPr>
          <w:color w:val="0D0D0D"/>
          <w:spacing w:val="-15"/>
        </w:rPr>
        <w:t> </w:t>
      </w:r>
      <w:r>
        <w:rPr>
          <w:color w:val="0D0D0D"/>
        </w:rPr>
        <w:t>(IMA)</w:t>
      </w:r>
    </w:p>
    <w:p>
      <w:pPr>
        <w:pStyle w:val="ListParagraph"/>
        <w:numPr>
          <w:ilvl w:val="0"/>
          <w:numId w:val="40"/>
        </w:numPr>
        <w:tabs>
          <w:tab w:pos="1589" w:val="left" w:leader="none"/>
        </w:tabs>
        <w:spacing w:line="276" w:lineRule="auto" w:before="157" w:after="0"/>
        <w:ind w:left="868" w:right="153" w:firstLine="0"/>
        <w:jc w:val="both"/>
        <w:rPr>
          <w:sz w:val="22"/>
        </w:rPr>
      </w:pPr>
      <w:r>
        <w:rPr>
          <w:sz w:val="22"/>
        </w:rPr>
        <w:t>SMTA</w:t>
      </w:r>
      <w:r>
        <w:rPr>
          <w:spacing w:val="-11"/>
          <w:sz w:val="22"/>
        </w:rPr>
        <w:t> </w:t>
      </w:r>
      <w:r>
        <w:rPr>
          <w:sz w:val="22"/>
        </w:rPr>
        <w:t>will</w:t>
      </w:r>
      <w:r>
        <w:rPr>
          <w:spacing w:val="-12"/>
          <w:sz w:val="22"/>
        </w:rPr>
        <w:t> </w:t>
      </w:r>
      <w:r>
        <w:rPr>
          <w:sz w:val="22"/>
        </w:rPr>
        <w:t>hire</w:t>
      </w:r>
      <w:r>
        <w:rPr>
          <w:spacing w:val="-11"/>
          <w:sz w:val="22"/>
        </w:rPr>
        <w:t> </w:t>
      </w:r>
      <w:r>
        <w:rPr>
          <w:sz w:val="22"/>
        </w:rPr>
        <w:t>an</w:t>
      </w:r>
      <w:r>
        <w:rPr>
          <w:spacing w:val="-11"/>
          <w:sz w:val="22"/>
        </w:rPr>
        <w:t> </w:t>
      </w:r>
      <w:r>
        <w:rPr>
          <w:sz w:val="22"/>
        </w:rPr>
        <w:t>agency</w:t>
      </w:r>
      <w:r>
        <w:rPr>
          <w:spacing w:val="-13"/>
          <w:sz w:val="22"/>
        </w:rPr>
        <w:t> </w:t>
      </w:r>
      <w:r>
        <w:rPr>
          <w:sz w:val="22"/>
        </w:rPr>
        <w:t>or</w:t>
      </w:r>
      <w:r>
        <w:rPr>
          <w:spacing w:val="-10"/>
          <w:sz w:val="22"/>
        </w:rPr>
        <w:t> </w:t>
      </w:r>
      <w:r>
        <w:rPr>
          <w:sz w:val="22"/>
        </w:rPr>
        <w:t>an</w:t>
      </w:r>
      <w:r>
        <w:rPr>
          <w:spacing w:val="-14"/>
          <w:sz w:val="22"/>
        </w:rPr>
        <w:t> </w:t>
      </w:r>
      <w:r>
        <w:rPr>
          <w:sz w:val="22"/>
        </w:rPr>
        <w:t>individual</w:t>
      </w:r>
      <w:r>
        <w:rPr>
          <w:spacing w:val="-12"/>
          <w:sz w:val="22"/>
        </w:rPr>
        <w:t> </w:t>
      </w:r>
      <w:r>
        <w:rPr>
          <w:sz w:val="22"/>
        </w:rPr>
        <w:t>expert</w:t>
      </w:r>
      <w:r>
        <w:rPr>
          <w:spacing w:val="-10"/>
          <w:sz w:val="22"/>
        </w:rPr>
        <w:t> </w:t>
      </w:r>
      <w:r>
        <w:rPr>
          <w:sz w:val="22"/>
        </w:rPr>
        <w:t>to</w:t>
      </w:r>
      <w:r>
        <w:rPr>
          <w:spacing w:val="-14"/>
          <w:sz w:val="22"/>
        </w:rPr>
        <w:t> </w:t>
      </w:r>
      <w:r>
        <w:rPr>
          <w:sz w:val="22"/>
        </w:rPr>
        <w:t>conduct</w:t>
      </w:r>
      <w:r>
        <w:rPr>
          <w:spacing w:val="-9"/>
          <w:sz w:val="22"/>
        </w:rPr>
        <w:t> </w:t>
      </w:r>
      <w:r>
        <w:rPr>
          <w:sz w:val="22"/>
        </w:rPr>
        <w:t>independent</w:t>
      </w:r>
      <w:r>
        <w:rPr>
          <w:spacing w:val="-12"/>
          <w:sz w:val="22"/>
        </w:rPr>
        <w:t> </w:t>
      </w:r>
      <w:r>
        <w:rPr>
          <w:sz w:val="22"/>
        </w:rPr>
        <w:t>monitoring and evaluation (the IMA) for the implementation of C&amp;LRP. The IMA shall review the implementation progress throughout the C&amp;LRP implementation and evaluate the level of achievement of the C&amp;LRP’s objectives, identify gaps, if any, and propose remedial measures for implementation. The IMA may be a firm hired for all Project under the investment.</w:t>
      </w:r>
    </w:p>
    <w:p>
      <w:pPr>
        <w:spacing w:after="0" w:line="276" w:lineRule="auto"/>
        <w:jc w:val="both"/>
        <w:rPr>
          <w:sz w:val="22"/>
        </w:rPr>
        <w:sectPr>
          <w:pgSz w:w="11910" w:h="16840"/>
          <w:pgMar w:header="583" w:footer="575" w:top="840" w:bottom="760" w:left="860" w:right="1280"/>
        </w:sectPr>
      </w:pPr>
    </w:p>
    <w:p>
      <w:pPr>
        <w:pStyle w:val="BodyText"/>
        <w:rPr>
          <w:sz w:val="20"/>
        </w:rPr>
      </w:pPr>
    </w:p>
    <w:p>
      <w:pPr>
        <w:pStyle w:val="BodyText"/>
        <w:rPr>
          <w:sz w:val="20"/>
        </w:rPr>
      </w:pPr>
    </w:p>
    <w:p>
      <w:pPr>
        <w:pStyle w:val="BodyText"/>
        <w:rPr>
          <w:sz w:val="28"/>
        </w:rPr>
      </w:pPr>
    </w:p>
    <w:p>
      <w:pPr>
        <w:pStyle w:val="Heading2"/>
        <w:numPr>
          <w:ilvl w:val="0"/>
          <w:numId w:val="42"/>
        </w:numPr>
        <w:tabs>
          <w:tab w:pos="1301" w:val="left" w:leader="none"/>
        </w:tabs>
        <w:spacing w:line="240" w:lineRule="auto" w:before="92" w:after="0"/>
        <w:ind w:left="1300" w:right="0" w:hanging="432"/>
        <w:jc w:val="both"/>
      </w:pPr>
      <w:bookmarkStart w:name="_bookmark75" w:id="126"/>
      <w:bookmarkEnd w:id="126"/>
      <w:r>
        <w:rPr>
          <w:b w:val="0"/>
        </w:rPr>
      </w:r>
      <w:bookmarkStart w:name="_bookmark75" w:id="127"/>
      <w:bookmarkEnd w:id="127"/>
      <w:r>
        <w:rPr/>
        <w:t>GRIE</w:t>
      </w:r>
      <w:r>
        <w:rPr/>
        <w:t>VANCE REDRESS MECHANISM</w:t>
      </w:r>
      <w:r>
        <w:rPr>
          <w:spacing w:val="-13"/>
        </w:rPr>
        <w:t> </w:t>
      </w:r>
      <w:r>
        <w:rPr/>
        <w:t>(GRM)</w:t>
      </w:r>
    </w:p>
    <w:p>
      <w:pPr>
        <w:pStyle w:val="BodyText"/>
        <w:spacing w:before="3"/>
        <w:rPr>
          <w:b/>
          <w:sz w:val="31"/>
        </w:rPr>
      </w:pPr>
    </w:p>
    <w:p>
      <w:pPr>
        <w:pStyle w:val="Heading2"/>
        <w:numPr>
          <w:ilvl w:val="1"/>
          <w:numId w:val="42"/>
        </w:numPr>
        <w:tabs>
          <w:tab w:pos="1445" w:val="left" w:leader="none"/>
        </w:tabs>
        <w:spacing w:line="240" w:lineRule="auto" w:before="0" w:after="0"/>
        <w:ind w:left="1444" w:right="0" w:hanging="576"/>
        <w:jc w:val="both"/>
      </w:pPr>
      <w:bookmarkStart w:name="_bookmark76" w:id="128"/>
      <w:bookmarkEnd w:id="128"/>
      <w:r>
        <w:rPr>
          <w:b w:val="0"/>
        </w:rPr>
      </w:r>
      <w:bookmarkStart w:name="_bookmark76" w:id="129"/>
      <w:bookmarkEnd w:id="129"/>
      <w:r>
        <w:rPr/>
        <w:t>O</w:t>
      </w:r>
      <w:r>
        <w:rPr/>
        <w:t>verview</w:t>
      </w:r>
    </w:p>
    <w:p>
      <w:pPr>
        <w:pStyle w:val="ListParagraph"/>
        <w:numPr>
          <w:ilvl w:val="0"/>
          <w:numId w:val="43"/>
        </w:numPr>
        <w:tabs>
          <w:tab w:pos="1589" w:val="left" w:leader="none"/>
        </w:tabs>
        <w:spacing w:line="276" w:lineRule="auto" w:before="160" w:after="0"/>
        <w:ind w:left="868" w:right="154" w:firstLine="0"/>
        <w:jc w:val="both"/>
        <w:rPr>
          <w:sz w:val="22"/>
        </w:rPr>
      </w:pPr>
      <w:r>
        <w:rPr>
          <w:sz w:val="22"/>
        </w:rPr>
        <w:t>The project level Grievance Redress Mechanism (GRM) will be set up for the Project to address grievances arising from stakeholders. This C&amp;LRP determines the structure,</w:t>
      </w:r>
      <w:r>
        <w:rPr>
          <w:spacing w:val="-10"/>
          <w:sz w:val="22"/>
        </w:rPr>
        <w:t> </w:t>
      </w:r>
      <w:r>
        <w:rPr>
          <w:sz w:val="22"/>
        </w:rPr>
        <w:t>roles</w:t>
      </w:r>
      <w:r>
        <w:rPr>
          <w:spacing w:val="-9"/>
          <w:sz w:val="22"/>
        </w:rPr>
        <w:t> </w:t>
      </w:r>
      <w:r>
        <w:rPr>
          <w:sz w:val="22"/>
        </w:rPr>
        <w:t>and</w:t>
      </w:r>
      <w:r>
        <w:rPr>
          <w:spacing w:val="-11"/>
          <w:sz w:val="22"/>
        </w:rPr>
        <w:t> </w:t>
      </w:r>
      <w:r>
        <w:rPr>
          <w:sz w:val="22"/>
        </w:rPr>
        <w:t>functions</w:t>
      </w:r>
      <w:r>
        <w:rPr>
          <w:spacing w:val="-8"/>
          <w:sz w:val="22"/>
        </w:rPr>
        <w:t> </w:t>
      </w:r>
      <w:r>
        <w:rPr>
          <w:sz w:val="22"/>
        </w:rPr>
        <w:t>of</w:t>
      </w:r>
      <w:r>
        <w:rPr>
          <w:spacing w:val="-8"/>
          <w:sz w:val="22"/>
        </w:rPr>
        <w:t> </w:t>
      </w:r>
      <w:r>
        <w:rPr>
          <w:sz w:val="22"/>
        </w:rPr>
        <w:t>the</w:t>
      </w:r>
      <w:r>
        <w:rPr>
          <w:spacing w:val="-11"/>
          <w:sz w:val="22"/>
        </w:rPr>
        <w:t> </w:t>
      </w:r>
      <w:r>
        <w:rPr>
          <w:sz w:val="22"/>
        </w:rPr>
        <w:t>GRM,</w:t>
      </w:r>
      <w:r>
        <w:rPr>
          <w:spacing w:val="-8"/>
          <w:sz w:val="22"/>
        </w:rPr>
        <w:t> </w:t>
      </w:r>
      <w:r>
        <w:rPr>
          <w:sz w:val="22"/>
        </w:rPr>
        <w:t>through</w:t>
      </w:r>
      <w:r>
        <w:rPr>
          <w:spacing w:val="-14"/>
          <w:sz w:val="22"/>
        </w:rPr>
        <w:t> </w:t>
      </w:r>
      <w:r>
        <w:rPr>
          <w:sz w:val="22"/>
        </w:rPr>
        <w:t>grievances</w:t>
      </w:r>
      <w:r>
        <w:rPr>
          <w:spacing w:val="-9"/>
          <w:sz w:val="22"/>
        </w:rPr>
        <w:t> </w:t>
      </w:r>
      <w:r>
        <w:rPr>
          <w:sz w:val="22"/>
        </w:rPr>
        <w:t>arising</w:t>
      </w:r>
      <w:r>
        <w:rPr>
          <w:spacing w:val="-7"/>
          <w:sz w:val="22"/>
        </w:rPr>
        <w:t> </w:t>
      </w:r>
      <w:r>
        <w:rPr>
          <w:sz w:val="22"/>
        </w:rPr>
        <w:t>due</w:t>
      </w:r>
      <w:r>
        <w:rPr>
          <w:spacing w:val="-11"/>
          <w:sz w:val="22"/>
        </w:rPr>
        <w:t> </w:t>
      </w:r>
      <w:r>
        <w:rPr>
          <w:sz w:val="22"/>
        </w:rPr>
        <w:t>to</w:t>
      </w:r>
      <w:r>
        <w:rPr>
          <w:spacing w:val="-11"/>
          <w:sz w:val="22"/>
        </w:rPr>
        <w:t> </w:t>
      </w:r>
      <w:r>
        <w:rPr>
          <w:sz w:val="22"/>
        </w:rPr>
        <w:t>social</w:t>
      </w:r>
      <w:r>
        <w:rPr>
          <w:spacing w:val="-10"/>
          <w:sz w:val="22"/>
        </w:rPr>
        <w:t> </w:t>
      </w:r>
      <w:r>
        <w:rPr>
          <w:sz w:val="22"/>
        </w:rPr>
        <w:t>impacts can be addressed at the Project</w:t>
      </w:r>
      <w:r>
        <w:rPr>
          <w:spacing w:val="-11"/>
          <w:sz w:val="22"/>
        </w:rPr>
        <w:t> </w:t>
      </w:r>
      <w:r>
        <w:rPr>
          <w:sz w:val="22"/>
        </w:rPr>
        <w:t>level.</w:t>
      </w:r>
    </w:p>
    <w:p>
      <w:pPr>
        <w:pStyle w:val="ListParagraph"/>
        <w:numPr>
          <w:ilvl w:val="0"/>
          <w:numId w:val="43"/>
        </w:numPr>
        <w:tabs>
          <w:tab w:pos="1589" w:val="left" w:leader="none"/>
        </w:tabs>
        <w:spacing w:line="276" w:lineRule="auto" w:before="120" w:after="0"/>
        <w:ind w:left="868" w:right="154" w:firstLine="0"/>
        <w:jc w:val="both"/>
        <w:rPr>
          <w:sz w:val="22"/>
        </w:rPr>
      </w:pPr>
      <w:r>
        <w:rPr>
          <w:sz w:val="22"/>
        </w:rPr>
        <w:t>The purpose of the GRM with is to receive, review and resolve grievances from economically displaced persons and thereby, facilitate the fair implementation of this C&amp;LRP. In accordance with the GRM mechanism, adequate grievance mechanism will be available for PAPs having grievances regarding any decision, practice or activity arising from compensation, resettlement or rehabilitation or related</w:t>
      </w:r>
      <w:r>
        <w:rPr>
          <w:spacing w:val="-24"/>
          <w:sz w:val="22"/>
        </w:rPr>
        <w:t> </w:t>
      </w:r>
      <w:r>
        <w:rPr>
          <w:sz w:val="22"/>
        </w:rPr>
        <w:t>issues.</w:t>
      </w:r>
    </w:p>
    <w:p>
      <w:pPr>
        <w:pStyle w:val="ListParagraph"/>
        <w:numPr>
          <w:ilvl w:val="0"/>
          <w:numId w:val="43"/>
        </w:numPr>
        <w:tabs>
          <w:tab w:pos="1589" w:val="left" w:leader="none"/>
        </w:tabs>
        <w:spacing w:line="276" w:lineRule="auto" w:before="121" w:after="0"/>
        <w:ind w:left="868" w:right="153" w:firstLine="0"/>
        <w:jc w:val="both"/>
        <w:rPr>
          <w:sz w:val="22"/>
        </w:rPr>
      </w:pPr>
      <w:r>
        <w:rPr>
          <w:sz w:val="22"/>
        </w:rPr>
        <w:t>The GRM will be set up with a two-tiered structure; one at field level enabling immediate local responses to grievances and another at the Project level for addressing more</w:t>
      </w:r>
      <w:r>
        <w:rPr>
          <w:spacing w:val="-9"/>
          <w:sz w:val="22"/>
        </w:rPr>
        <w:t> </w:t>
      </w:r>
      <w:r>
        <w:rPr>
          <w:sz w:val="22"/>
        </w:rPr>
        <w:t>difficult</w:t>
      </w:r>
      <w:r>
        <w:rPr>
          <w:spacing w:val="-8"/>
          <w:sz w:val="22"/>
        </w:rPr>
        <w:t> </w:t>
      </w:r>
      <w:r>
        <w:rPr>
          <w:sz w:val="22"/>
        </w:rPr>
        <w:t>cases</w:t>
      </w:r>
      <w:r>
        <w:rPr>
          <w:spacing w:val="-8"/>
          <w:sz w:val="22"/>
        </w:rPr>
        <w:t> </w:t>
      </w:r>
      <w:r>
        <w:rPr>
          <w:sz w:val="22"/>
        </w:rPr>
        <w:t>not</w:t>
      </w:r>
      <w:r>
        <w:rPr>
          <w:spacing w:val="-10"/>
          <w:sz w:val="22"/>
        </w:rPr>
        <w:t> </w:t>
      </w:r>
      <w:r>
        <w:rPr>
          <w:sz w:val="22"/>
        </w:rPr>
        <w:t>resolved</w:t>
      </w:r>
      <w:r>
        <w:rPr>
          <w:spacing w:val="-7"/>
          <w:sz w:val="22"/>
        </w:rPr>
        <w:t> </w:t>
      </w:r>
      <w:r>
        <w:rPr>
          <w:sz w:val="22"/>
        </w:rPr>
        <w:t>at</w:t>
      </w:r>
      <w:r>
        <w:rPr>
          <w:spacing w:val="-8"/>
          <w:sz w:val="22"/>
        </w:rPr>
        <w:t> </w:t>
      </w:r>
      <w:r>
        <w:rPr>
          <w:sz w:val="22"/>
        </w:rPr>
        <w:t>the</w:t>
      </w:r>
      <w:r>
        <w:rPr>
          <w:spacing w:val="-9"/>
          <w:sz w:val="22"/>
        </w:rPr>
        <w:t> </w:t>
      </w:r>
      <w:r>
        <w:rPr>
          <w:sz w:val="22"/>
        </w:rPr>
        <w:t>local</w:t>
      </w:r>
      <w:r>
        <w:rPr>
          <w:spacing w:val="-7"/>
          <w:sz w:val="22"/>
        </w:rPr>
        <w:t> </w:t>
      </w:r>
      <w:r>
        <w:rPr>
          <w:sz w:val="22"/>
        </w:rPr>
        <w:t>level.</w:t>
      </w:r>
      <w:r>
        <w:rPr>
          <w:spacing w:val="-5"/>
          <w:sz w:val="22"/>
        </w:rPr>
        <w:t> </w:t>
      </w:r>
      <w:r>
        <w:rPr>
          <w:sz w:val="22"/>
        </w:rPr>
        <w:t>PAPs</w:t>
      </w:r>
      <w:r>
        <w:rPr>
          <w:spacing w:val="-6"/>
          <w:sz w:val="22"/>
        </w:rPr>
        <w:t> </w:t>
      </w:r>
      <w:r>
        <w:rPr>
          <w:sz w:val="22"/>
        </w:rPr>
        <w:t>will</w:t>
      </w:r>
      <w:r>
        <w:rPr>
          <w:spacing w:val="-7"/>
          <w:sz w:val="22"/>
        </w:rPr>
        <w:t> </w:t>
      </w:r>
      <w:r>
        <w:rPr>
          <w:sz w:val="22"/>
        </w:rPr>
        <w:t>be</w:t>
      </w:r>
      <w:r>
        <w:rPr>
          <w:spacing w:val="-9"/>
          <w:sz w:val="22"/>
        </w:rPr>
        <w:t> </w:t>
      </w:r>
      <w:r>
        <w:rPr>
          <w:sz w:val="22"/>
        </w:rPr>
        <w:t>fully</w:t>
      </w:r>
      <w:r>
        <w:rPr>
          <w:spacing w:val="-8"/>
          <w:sz w:val="22"/>
        </w:rPr>
        <w:t> </w:t>
      </w:r>
      <w:r>
        <w:rPr>
          <w:sz w:val="22"/>
        </w:rPr>
        <w:t>informed</w:t>
      </w:r>
      <w:r>
        <w:rPr>
          <w:spacing w:val="-7"/>
          <w:sz w:val="22"/>
        </w:rPr>
        <w:t> </w:t>
      </w:r>
      <w:r>
        <w:rPr>
          <w:sz w:val="22"/>
        </w:rPr>
        <w:t>of</w:t>
      </w:r>
      <w:r>
        <w:rPr>
          <w:spacing w:val="-8"/>
          <w:sz w:val="22"/>
        </w:rPr>
        <w:t> </w:t>
      </w:r>
      <w:r>
        <w:rPr>
          <w:sz w:val="22"/>
        </w:rPr>
        <w:t>their</w:t>
      </w:r>
      <w:r>
        <w:rPr>
          <w:spacing w:val="-8"/>
          <w:sz w:val="22"/>
        </w:rPr>
        <w:t> </w:t>
      </w:r>
      <w:r>
        <w:rPr>
          <w:sz w:val="22"/>
        </w:rPr>
        <w:t>rights and of the procedures for addressing complaints whether verbally or in writing. Care will always be taken to prevent grievances rather than going through a redress process. This can be done through careful C&amp;LRP implementation by ensuring full participation and consultation</w:t>
      </w:r>
      <w:r>
        <w:rPr>
          <w:spacing w:val="-11"/>
          <w:sz w:val="22"/>
        </w:rPr>
        <w:t> </w:t>
      </w:r>
      <w:r>
        <w:rPr>
          <w:sz w:val="22"/>
        </w:rPr>
        <w:t>with</w:t>
      </w:r>
      <w:r>
        <w:rPr>
          <w:spacing w:val="-11"/>
          <w:sz w:val="22"/>
        </w:rPr>
        <w:t> </w:t>
      </w:r>
      <w:r>
        <w:rPr>
          <w:sz w:val="22"/>
        </w:rPr>
        <w:t>the</w:t>
      </w:r>
      <w:r>
        <w:rPr>
          <w:spacing w:val="-11"/>
          <w:sz w:val="22"/>
        </w:rPr>
        <w:t> </w:t>
      </w:r>
      <w:r>
        <w:rPr>
          <w:sz w:val="22"/>
        </w:rPr>
        <w:t>PAPs,</w:t>
      </w:r>
      <w:r>
        <w:rPr>
          <w:spacing w:val="-10"/>
          <w:sz w:val="22"/>
        </w:rPr>
        <w:t> </w:t>
      </w:r>
      <w:r>
        <w:rPr>
          <w:sz w:val="22"/>
        </w:rPr>
        <w:t>and</w:t>
      </w:r>
      <w:r>
        <w:rPr>
          <w:spacing w:val="-11"/>
          <w:sz w:val="22"/>
        </w:rPr>
        <w:t> </w:t>
      </w:r>
      <w:r>
        <w:rPr>
          <w:sz w:val="22"/>
        </w:rPr>
        <w:t>by</w:t>
      </w:r>
      <w:r>
        <w:rPr>
          <w:spacing w:val="-14"/>
          <w:sz w:val="22"/>
        </w:rPr>
        <w:t> </w:t>
      </w:r>
      <w:r>
        <w:rPr>
          <w:sz w:val="22"/>
        </w:rPr>
        <w:t>establishing</w:t>
      </w:r>
      <w:r>
        <w:rPr>
          <w:spacing w:val="-11"/>
          <w:sz w:val="22"/>
        </w:rPr>
        <w:t> </w:t>
      </w:r>
      <w:r>
        <w:rPr>
          <w:sz w:val="22"/>
        </w:rPr>
        <w:t>extensive</w:t>
      </w:r>
      <w:r>
        <w:rPr>
          <w:spacing w:val="-11"/>
          <w:sz w:val="22"/>
        </w:rPr>
        <w:t> </w:t>
      </w:r>
      <w:r>
        <w:rPr>
          <w:sz w:val="22"/>
        </w:rPr>
        <w:t>communication</w:t>
      </w:r>
      <w:r>
        <w:rPr>
          <w:spacing w:val="-13"/>
          <w:sz w:val="22"/>
        </w:rPr>
        <w:t> </w:t>
      </w:r>
      <w:r>
        <w:rPr>
          <w:sz w:val="22"/>
        </w:rPr>
        <w:t>and</w:t>
      </w:r>
      <w:r>
        <w:rPr>
          <w:spacing w:val="-11"/>
          <w:sz w:val="22"/>
        </w:rPr>
        <w:t> </w:t>
      </w:r>
      <w:r>
        <w:rPr>
          <w:sz w:val="22"/>
        </w:rPr>
        <w:t>coordination between the community, the Contractor and the Project</w:t>
      </w:r>
      <w:r>
        <w:rPr>
          <w:spacing w:val="-20"/>
          <w:sz w:val="22"/>
        </w:rPr>
        <w:t> </w:t>
      </w:r>
      <w:r>
        <w:rPr>
          <w:sz w:val="22"/>
        </w:rPr>
        <w:t>Team.</w:t>
      </w:r>
    </w:p>
    <w:p>
      <w:pPr>
        <w:pStyle w:val="ListParagraph"/>
        <w:numPr>
          <w:ilvl w:val="0"/>
          <w:numId w:val="43"/>
        </w:numPr>
        <w:tabs>
          <w:tab w:pos="1589" w:val="left" w:leader="none"/>
        </w:tabs>
        <w:spacing w:line="276" w:lineRule="auto" w:before="120" w:after="0"/>
        <w:ind w:left="868" w:right="152" w:firstLine="0"/>
        <w:jc w:val="both"/>
        <w:rPr>
          <w:sz w:val="22"/>
        </w:rPr>
      </w:pPr>
      <w:r>
        <w:rPr>
          <w:sz w:val="22"/>
        </w:rPr>
        <w:t>A set of procedures for receiving, recording, and handling complaints should be available in the GRM. They should include procedures for recording, registering, and sorting grievances; conducting an initial assessment of grievances; referring grievances</w:t>
      </w:r>
      <w:r>
        <w:rPr>
          <w:spacing w:val="-33"/>
          <w:sz w:val="22"/>
        </w:rPr>
        <w:t> </w:t>
      </w:r>
      <w:r>
        <w:rPr>
          <w:sz w:val="22"/>
        </w:rPr>
        <w:t>to appropriate levels or persons; determining the resolution process; making decisions, including</w:t>
      </w:r>
      <w:r>
        <w:rPr>
          <w:spacing w:val="-5"/>
          <w:sz w:val="22"/>
        </w:rPr>
        <w:t> </w:t>
      </w:r>
      <w:r>
        <w:rPr>
          <w:sz w:val="22"/>
        </w:rPr>
        <w:t>parameters</w:t>
      </w:r>
      <w:r>
        <w:rPr>
          <w:spacing w:val="-9"/>
          <w:sz w:val="22"/>
        </w:rPr>
        <w:t> </w:t>
      </w:r>
      <w:r>
        <w:rPr>
          <w:sz w:val="22"/>
        </w:rPr>
        <w:t>and</w:t>
      </w:r>
      <w:r>
        <w:rPr>
          <w:spacing w:val="-7"/>
          <w:sz w:val="22"/>
        </w:rPr>
        <w:t> </w:t>
      </w:r>
      <w:r>
        <w:rPr>
          <w:sz w:val="22"/>
        </w:rPr>
        <w:t>standards</w:t>
      </w:r>
      <w:r>
        <w:rPr>
          <w:spacing w:val="-11"/>
          <w:sz w:val="22"/>
        </w:rPr>
        <w:t> </w:t>
      </w:r>
      <w:r>
        <w:rPr>
          <w:sz w:val="22"/>
        </w:rPr>
        <w:t>for</w:t>
      </w:r>
      <w:r>
        <w:rPr>
          <w:spacing w:val="-9"/>
          <w:sz w:val="22"/>
        </w:rPr>
        <w:t> </w:t>
      </w:r>
      <w:r>
        <w:rPr>
          <w:sz w:val="22"/>
        </w:rPr>
        <w:t>accurate</w:t>
      </w:r>
      <w:r>
        <w:rPr>
          <w:spacing w:val="-11"/>
          <w:sz w:val="22"/>
        </w:rPr>
        <w:t> </w:t>
      </w:r>
      <w:r>
        <w:rPr>
          <w:sz w:val="22"/>
        </w:rPr>
        <w:t>and</w:t>
      </w:r>
      <w:r>
        <w:rPr>
          <w:spacing w:val="-7"/>
          <w:sz w:val="22"/>
        </w:rPr>
        <w:t> </w:t>
      </w:r>
      <w:r>
        <w:rPr>
          <w:sz w:val="22"/>
        </w:rPr>
        <w:t>consistent</w:t>
      </w:r>
      <w:r>
        <w:rPr>
          <w:spacing w:val="-8"/>
          <w:sz w:val="22"/>
        </w:rPr>
        <w:t> </w:t>
      </w:r>
      <w:r>
        <w:rPr>
          <w:sz w:val="22"/>
        </w:rPr>
        <w:t>decision</w:t>
      </w:r>
      <w:r>
        <w:rPr>
          <w:spacing w:val="-10"/>
          <w:sz w:val="22"/>
        </w:rPr>
        <w:t> </w:t>
      </w:r>
      <w:r>
        <w:rPr>
          <w:sz w:val="22"/>
        </w:rPr>
        <w:t>making;</w:t>
      </w:r>
      <w:r>
        <w:rPr>
          <w:spacing w:val="-8"/>
          <w:sz w:val="22"/>
        </w:rPr>
        <w:t> </w:t>
      </w:r>
      <w:r>
        <w:rPr>
          <w:sz w:val="22"/>
        </w:rPr>
        <w:t>directing relevant</w:t>
      </w:r>
      <w:r>
        <w:rPr>
          <w:spacing w:val="-16"/>
          <w:sz w:val="22"/>
        </w:rPr>
        <w:t> </w:t>
      </w:r>
      <w:r>
        <w:rPr>
          <w:sz w:val="22"/>
        </w:rPr>
        <w:t>agencies</w:t>
      </w:r>
      <w:r>
        <w:rPr>
          <w:spacing w:val="-20"/>
          <w:sz w:val="22"/>
        </w:rPr>
        <w:t> </w:t>
      </w:r>
      <w:r>
        <w:rPr>
          <w:sz w:val="22"/>
        </w:rPr>
        <w:t>responsible</w:t>
      </w:r>
      <w:r>
        <w:rPr>
          <w:spacing w:val="-17"/>
          <w:sz w:val="22"/>
        </w:rPr>
        <w:t> </w:t>
      </w:r>
      <w:r>
        <w:rPr>
          <w:sz w:val="22"/>
        </w:rPr>
        <w:t>for</w:t>
      </w:r>
      <w:r>
        <w:rPr>
          <w:spacing w:val="-16"/>
          <w:sz w:val="22"/>
        </w:rPr>
        <w:t> </w:t>
      </w:r>
      <w:r>
        <w:rPr>
          <w:sz w:val="22"/>
        </w:rPr>
        <w:t>implementing</w:t>
      </w:r>
      <w:r>
        <w:rPr>
          <w:spacing w:val="-15"/>
          <w:sz w:val="22"/>
        </w:rPr>
        <w:t> </w:t>
      </w:r>
      <w:r>
        <w:rPr>
          <w:sz w:val="22"/>
        </w:rPr>
        <w:t>decisions;</w:t>
      </w:r>
      <w:r>
        <w:rPr>
          <w:spacing w:val="-16"/>
          <w:sz w:val="22"/>
        </w:rPr>
        <w:t> </w:t>
      </w:r>
      <w:r>
        <w:rPr>
          <w:sz w:val="22"/>
        </w:rPr>
        <w:t>notifying</w:t>
      </w:r>
      <w:r>
        <w:rPr>
          <w:spacing w:val="-17"/>
          <w:sz w:val="22"/>
        </w:rPr>
        <w:t> </w:t>
      </w:r>
      <w:r>
        <w:rPr>
          <w:sz w:val="22"/>
        </w:rPr>
        <w:t>complainants</w:t>
      </w:r>
      <w:r>
        <w:rPr>
          <w:spacing w:val="-16"/>
          <w:sz w:val="22"/>
        </w:rPr>
        <w:t> </w:t>
      </w:r>
      <w:r>
        <w:rPr>
          <w:sz w:val="22"/>
        </w:rPr>
        <w:t>and</w:t>
      </w:r>
      <w:r>
        <w:rPr>
          <w:spacing w:val="-13"/>
          <w:sz w:val="22"/>
        </w:rPr>
        <w:t> </w:t>
      </w:r>
      <w:r>
        <w:rPr>
          <w:sz w:val="22"/>
        </w:rPr>
        <w:t>other affected parties of eligibility, the resolution process, and outcomes; and tracking, monitoring, documentation, and evaluation. The Social Development and Resettlement Specialist</w:t>
      </w:r>
      <w:r>
        <w:rPr>
          <w:spacing w:val="-9"/>
          <w:sz w:val="22"/>
        </w:rPr>
        <w:t> </w:t>
      </w:r>
      <w:r>
        <w:rPr>
          <w:sz w:val="22"/>
        </w:rPr>
        <w:t>the</w:t>
      </w:r>
      <w:r>
        <w:rPr>
          <w:spacing w:val="-13"/>
          <w:sz w:val="22"/>
        </w:rPr>
        <w:t> </w:t>
      </w:r>
      <w:r>
        <w:rPr>
          <w:sz w:val="22"/>
        </w:rPr>
        <w:t>focal</w:t>
      </w:r>
      <w:r>
        <w:rPr>
          <w:spacing w:val="-11"/>
          <w:sz w:val="22"/>
        </w:rPr>
        <w:t> </w:t>
      </w:r>
      <w:r>
        <w:rPr>
          <w:sz w:val="22"/>
        </w:rPr>
        <w:t>person</w:t>
      </w:r>
      <w:r>
        <w:rPr>
          <w:spacing w:val="-12"/>
          <w:sz w:val="22"/>
        </w:rPr>
        <w:t> </w:t>
      </w:r>
      <w:r>
        <w:rPr>
          <w:sz w:val="22"/>
        </w:rPr>
        <w:t>for</w:t>
      </w:r>
      <w:r>
        <w:rPr>
          <w:spacing w:val="-12"/>
          <w:sz w:val="22"/>
        </w:rPr>
        <w:t> </w:t>
      </w:r>
      <w:r>
        <w:rPr>
          <w:sz w:val="22"/>
        </w:rPr>
        <w:t>the</w:t>
      </w:r>
      <w:r>
        <w:rPr>
          <w:spacing w:val="-10"/>
          <w:sz w:val="22"/>
        </w:rPr>
        <w:t> </w:t>
      </w:r>
      <w:r>
        <w:rPr>
          <w:sz w:val="22"/>
        </w:rPr>
        <w:t>overall</w:t>
      </w:r>
      <w:r>
        <w:rPr>
          <w:spacing w:val="-11"/>
          <w:sz w:val="22"/>
        </w:rPr>
        <w:t> </w:t>
      </w:r>
      <w:r>
        <w:rPr>
          <w:sz w:val="22"/>
        </w:rPr>
        <w:t>project</w:t>
      </w:r>
      <w:r>
        <w:rPr>
          <w:spacing w:val="-11"/>
          <w:sz w:val="22"/>
        </w:rPr>
        <w:t> </w:t>
      </w:r>
      <w:r>
        <w:rPr>
          <w:sz w:val="22"/>
        </w:rPr>
        <w:t>related</w:t>
      </w:r>
      <w:r>
        <w:rPr>
          <w:spacing w:val="-10"/>
          <w:sz w:val="22"/>
        </w:rPr>
        <w:t> </w:t>
      </w:r>
      <w:r>
        <w:rPr>
          <w:sz w:val="22"/>
        </w:rPr>
        <w:t>grievances</w:t>
      </w:r>
      <w:r>
        <w:rPr>
          <w:spacing w:val="-10"/>
          <w:sz w:val="22"/>
        </w:rPr>
        <w:t> </w:t>
      </w:r>
      <w:r>
        <w:rPr>
          <w:sz w:val="22"/>
        </w:rPr>
        <w:t>and</w:t>
      </w:r>
      <w:r>
        <w:rPr>
          <w:spacing w:val="-10"/>
          <w:sz w:val="22"/>
        </w:rPr>
        <w:t> </w:t>
      </w:r>
      <w:r>
        <w:rPr>
          <w:sz w:val="22"/>
        </w:rPr>
        <w:t>Social</w:t>
      </w:r>
      <w:r>
        <w:rPr>
          <w:spacing w:val="-7"/>
          <w:sz w:val="22"/>
        </w:rPr>
        <w:t> </w:t>
      </w:r>
      <w:r>
        <w:rPr>
          <w:sz w:val="22"/>
        </w:rPr>
        <w:t>and</w:t>
      </w:r>
      <w:r>
        <w:rPr>
          <w:spacing w:val="-10"/>
          <w:sz w:val="22"/>
        </w:rPr>
        <w:t> </w:t>
      </w:r>
      <w:r>
        <w:rPr>
          <w:sz w:val="22"/>
        </w:rPr>
        <w:t>Gender Specialist will be focal person for GBV</w:t>
      </w:r>
      <w:r>
        <w:rPr>
          <w:spacing w:val="-12"/>
          <w:sz w:val="22"/>
        </w:rPr>
        <w:t> </w:t>
      </w:r>
      <w:r>
        <w:rPr>
          <w:sz w:val="22"/>
        </w:rPr>
        <w:t>cases.</w:t>
      </w:r>
    </w:p>
    <w:p>
      <w:pPr>
        <w:pStyle w:val="BodyText"/>
        <w:spacing w:before="10"/>
        <w:rPr>
          <w:sz w:val="20"/>
        </w:rPr>
      </w:pPr>
    </w:p>
    <w:p>
      <w:pPr>
        <w:pStyle w:val="Heading2"/>
        <w:numPr>
          <w:ilvl w:val="1"/>
          <w:numId w:val="42"/>
        </w:numPr>
        <w:tabs>
          <w:tab w:pos="1445" w:val="left" w:leader="none"/>
        </w:tabs>
        <w:spacing w:line="240" w:lineRule="auto" w:before="0" w:after="0"/>
        <w:ind w:left="1444" w:right="0" w:hanging="576"/>
        <w:jc w:val="both"/>
      </w:pPr>
      <w:bookmarkStart w:name="_bookmark77" w:id="130"/>
      <w:bookmarkEnd w:id="130"/>
      <w:r>
        <w:rPr>
          <w:b w:val="0"/>
        </w:rPr>
      </w:r>
      <w:bookmarkStart w:name="_bookmark77" w:id="131"/>
      <w:bookmarkEnd w:id="131"/>
      <w:r>
        <w:rPr/>
        <w:t>Gri</w:t>
      </w:r>
      <w:r>
        <w:rPr/>
        <w:t>evance Redress</w:t>
      </w:r>
      <w:r>
        <w:rPr>
          <w:spacing w:val="-12"/>
        </w:rPr>
        <w:t> </w:t>
      </w:r>
      <w:r>
        <w:rPr/>
        <w:t>Committee</w:t>
      </w:r>
    </w:p>
    <w:p>
      <w:pPr>
        <w:pStyle w:val="ListParagraph"/>
        <w:numPr>
          <w:ilvl w:val="0"/>
          <w:numId w:val="44"/>
        </w:numPr>
        <w:tabs>
          <w:tab w:pos="1589" w:val="left" w:leader="none"/>
        </w:tabs>
        <w:spacing w:line="276" w:lineRule="auto" w:before="160" w:after="0"/>
        <w:ind w:left="868" w:right="155" w:firstLine="0"/>
        <w:jc w:val="both"/>
        <w:rPr>
          <w:sz w:val="22"/>
        </w:rPr>
      </w:pPr>
      <w:r>
        <w:rPr>
          <w:sz w:val="22"/>
        </w:rPr>
        <w:t>Efficient Grievance redress mechanism will be developed to assist the PAPs resolve</w:t>
      </w:r>
      <w:r>
        <w:rPr>
          <w:spacing w:val="-6"/>
          <w:sz w:val="22"/>
        </w:rPr>
        <w:t> </w:t>
      </w:r>
      <w:r>
        <w:rPr>
          <w:sz w:val="22"/>
        </w:rPr>
        <w:t>their</w:t>
      </w:r>
      <w:r>
        <w:rPr>
          <w:spacing w:val="-8"/>
          <w:sz w:val="22"/>
        </w:rPr>
        <w:t> </w:t>
      </w:r>
      <w:r>
        <w:rPr>
          <w:sz w:val="22"/>
        </w:rPr>
        <w:t>queries</w:t>
      </w:r>
      <w:r>
        <w:rPr>
          <w:spacing w:val="-6"/>
          <w:sz w:val="22"/>
        </w:rPr>
        <w:t> </w:t>
      </w:r>
      <w:r>
        <w:rPr>
          <w:sz w:val="22"/>
        </w:rPr>
        <w:t>and</w:t>
      </w:r>
      <w:r>
        <w:rPr>
          <w:spacing w:val="-9"/>
          <w:sz w:val="22"/>
        </w:rPr>
        <w:t> </w:t>
      </w:r>
      <w:r>
        <w:rPr>
          <w:sz w:val="22"/>
        </w:rPr>
        <w:t>complaints</w:t>
      </w:r>
      <w:r>
        <w:rPr>
          <w:spacing w:val="-6"/>
          <w:sz w:val="22"/>
        </w:rPr>
        <w:t> </w:t>
      </w:r>
      <w:r>
        <w:rPr>
          <w:sz w:val="22"/>
        </w:rPr>
        <w:t>following</w:t>
      </w:r>
      <w:r>
        <w:rPr>
          <w:spacing w:val="-4"/>
          <w:sz w:val="22"/>
        </w:rPr>
        <w:t> </w:t>
      </w:r>
      <w:r>
        <w:rPr>
          <w:sz w:val="22"/>
        </w:rPr>
        <w:t>the</w:t>
      </w:r>
      <w:r>
        <w:rPr>
          <w:spacing w:val="-9"/>
          <w:sz w:val="22"/>
        </w:rPr>
        <w:t> </w:t>
      </w:r>
      <w:r>
        <w:rPr>
          <w:sz w:val="22"/>
        </w:rPr>
        <w:t>hiring</w:t>
      </w:r>
      <w:r>
        <w:rPr>
          <w:spacing w:val="-4"/>
          <w:sz w:val="22"/>
        </w:rPr>
        <w:t> </w:t>
      </w:r>
      <w:r>
        <w:rPr>
          <w:sz w:val="22"/>
        </w:rPr>
        <w:t>of</w:t>
      </w:r>
      <w:r>
        <w:rPr>
          <w:spacing w:val="-5"/>
          <w:sz w:val="22"/>
        </w:rPr>
        <w:t> </w:t>
      </w:r>
      <w:r>
        <w:rPr>
          <w:sz w:val="22"/>
        </w:rPr>
        <w:t>the</w:t>
      </w:r>
      <w:r>
        <w:rPr>
          <w:spacing w:val="-7"/>
          <w:sz w:val="22"/>
        </w:rPr>
        <w:t> </w:t>
      </w:r>
      <w:r>
        <w:rPr>
          <w:sz w:val="22"/>
        </w:rPr>
        <w:t>Project</w:t>
      </w:r>
      <w:r>
        <w:rPr>
          <w:spacing w:val="-8"/>
          <w:sz w:val="22"/>
        </w:rPr>
        <w:t> </w:t>
      </w:r>
      <w:r>
        <w:rPr>
          <w:sz w:val="22"/>
        </w:rPr>
        <w:t>Team</w:t>
      </w:r>
      <w:r>
        <w:rPr>
          <w:spacing w:val="-5"/>
          <w:sz w:val="22"/>
        </w:rPr>
        <w:t> </w:t>
      </w:r>
      <w:r>
        <w:rPr>
          <w:sz w:val="22"/>
        </w:rPr>
        <w:t>before</w:t>
      </w:r>
      <w:r>
        <w:rPr>
          <w:spacing w:val="-6"/>
          <w:sz w:val="22"/>
        </w:rPr>
        <w:t> </w:t>
      </w:r>
      <w:r>
        <w:rPr>
          <w:sz w:val="22"/>
        </w:rPr>
        <w:t>project implementation. Grievances of PAPs will be first brought to the attention of Project Team. Grievances</w:t>
      </w:r>
      <w:r>
        <w:rPr>
          <w:spacing w:val="-8"/>
          <w:sz w:val="22"/>
        </w:rPr>
        <w:t> </w:t>
      </w:r>
      <w:r>
        <w:rPr>
          <w:sz w:val="22"/>
        </w:rPr>
        <w:t>not</w:t>
      </w:r>
      <w:r>
        <w:rPr>
          <w:spacing w:val="-9"/>
          <w:sz w:val="22"/>
        </w:rPr>
        <w:t> </w:t>
      </w:r>
      <w:r>
        <w:rPr>
          <w:sz w:val="22"/>
        </w:rPr>
        <w:t>redressed</w:t>
      </w:r>
      <w:r>
        <w:rPr>
          <w:spacing w:val="-8"/>
          <w:sz w:val="22"/>
        </w:rPr>
        <w:t> </w:t>
      </w:r>
      <w:r>
        <w:rPr>
          <w:sz w:val="22"/>
        </w:rPr>
        <w:t>by</w:t>
      </w:r>
      <w:r>
        <w:rPr>
          <w:spacing w:val="-10"/>
          <w:sz w:val="22"/>
        </w:rPr>
        <w:t> </w:t>
      </w:r>
      <w:r>
        <w:rPr>
          <w:sz w:val="22"/>
        </w:rPr>
        <w:t>the</w:t>
      </w:r>
      <w:r>
        <w:rPr>
          <w:spacing w:val="-8"/>
          <w:sz w:val="22"/>
        </w:rPr>
        <w:t> </w:t>
      </w:r>
      <w:r>
        <w:rPr>
          <w:sz w:val="22"/>
        </w:rPr>
        <w:t>Project</w:t>
      </w:r>
      <w:r>
        <w:rPr>
          <w:spacing w:val="-9"/>
          <w:sz w:val="22"/>
        </w:rPr>
        <w:t> </w:t>
      </w:r>
      <w:r>
        <w:rPr>
          <w:sz w:val="22"/>
        </w:rPr>
        <w:t>Team</w:t>
      </w:r>
      <w:r>
        <w:rPr>
          <w:spacing w:val="-5"/>
          <w:sz w:val="22"/>
        </w:rPr>
        <w:t> </w:t>
      </w:r>
      <w:r>
        <w:rPr>
          <w:sz w:val="22"/>
        </w:rPr>
        <w:t>(field</w:t>
      </w:r>
      <w:r>
        <w:rPr>
          <w:spacing w:val="-8"/>
          <w:sz w:val="22"/>
        </w:rPr>
        <w:t> </w:t>
      </w:r>
      <w:r>
        <w:rPr>
          <w:sz w:val="22"/>
        </w:rPr>
        <w:t>level)</w:t>
      </w:r>
      <w:r>
        <w:rPr>
          <w:spacing w:val="-7"/>
          <w:sz w:val="22"/>
        </w:rPr>
        <w:t> </w:t>
      </w:r>
      <w:r>
        <w:rPr>
          <w:sz w:val="22"/>
        </w:rPr>
        <w:t>will</w:t>
      </w:r>
      <w:r>
        <w:rPr>
          <w:spacing w:val="-9"/>
          <w:sz w:val="22"/>
        </w:rPr>
        <w:t> </w:t>
      </w:r>
      <w:r>
        <w:rPr>
          <w:sz w:val="22"/>
        </w:rPr>
        <w:t>be</w:t>
      </w:r>
      <w:r>
        <w:rPr>
          <w:spacing w:val="-8"/>
          <w:sz w:val="22"/>
        </w:rPr>
        <w:t> </w:t>
      </w:r>
      <w:r>
        <w:rPr>
          <w:sz w:val="22"/>
        </w:rPr>
        <w:t>brought</w:t>
      </w:r>
      <w:r>
        <w:rPr>
          <w:spacing w:val="-9"/>
          <w:sz w:val="22"/>
        </w:rPr>
        <w:t> </w:t>
      </w:r>
      <w:r>
        <w:rPr>
          <w:sz w:val="22"/>
        </w:rPr>
        <w:t>to</w:t>
      </w:r>
      <w:r>
        <w:rPr>
          <w:spacing w:val="-8"/>
          <w:sz w:val="22"/>
        </w:rPr>
        <w:t> </w:t>
      </w:r>
      <w:r>
        <w:rPr>
          <w:sz w:val="22"/>
        </w:rPr>
        <w:t>the</w:t>
      </w:r>
      <w:r>
        <w:rPr>
          <w:spacing w:val="-10"/>
          <w:sz w:val="22"/>
        </w:rPr>
        <w:t> </w:t>
      </w:r>
      <w:r>
        <w:rPr>
          <w:sz w:val="22"/>
        </w:rPr>
        <w:t>Grievance Redress Committee (GRC). The composition of the proposed GRC will have representatives from PAPs, Project Management Team, and</w:t>
      </w:r>
      <w:r>
        <w:rPr>
          <w:spacing w:val="-15"/>
          <w:sz w:val="22"/>
        </w:rPr>
        <w:t> </w:t>
      </w:r>
      <w:r>
        <w:rPr>
          <w:sz w:val="22"/>
        </w:rPr>
        <w:t>Contractors.</w:t>
      </w:r>
    </w:p>
    <w:p>
      <w:pPr>
        <w:pStyle w:val="ListParagraph"/>
        <w:numPr>
          <w:ilvl w:val="0"/>
          <w:numId w:val="44"/>
        </w:numPr>
        <w:tabs>
          <w:tab w:pos="1649" w:val="left" w:leader="none"/>
        </w:tabs>
        <w:spacing w:line="276" w:lineRule="auto" w:before="120" w:after="0"/>
        <w:ind w:left="868" w:right="154" w:firstLine="0"/>
        <w:jc w:val="both"/>
        <w:rPr>
          <w:sz w:val="22"/>
        </w:rPr>
      </w:pPr>
      <w:r>
        <w:rPr>
          <w:sz w:val="22"/>
        </w:rPr>
        <w:t>The main responsibilities of the GRC are to: (i) provide support to PAPs on problems arising from compensation and rehabilitation assistance. (ii) record DP grievances,</w:t>
      </w:r>
      <w:r>
        <w:rPr>
          <w:spacing w:val="-6"/>
          <w:sz w:val="22"/>
        </w:rPr>
        <w:t> </w:t>
      </w:r>
      <w:r>
        <w:rPr>
          <w:sz w:val="22"/>
        </w:rPr>
        <w:t>categorize,</w:t>
      </w:r>
      <w:r>
        <w:rPr>
          <w:spacing w:val="-6"/>
          <w:sz w:val="22"/>
        </w:rPr>
        <w:t> </w:t>
      </w:r>
      <w:r>
        <w:rPr>
          <w:sz w:val="22"/>
        </w:rPr>
        <w:t>and</w:t>
      </w:r>
      <w:r>
        <w:rPr>
          <w:spacing w:val="-7"/>
          <w:sz w:val="22"/>
        </w:rPr>
        <w:t> </w:t>
      </w:r>
      <w:r>
        <w:rPr>
          <w:sz w:val="22"/>
        </w:rPr>
        <w:t>prioritize</w:t>
      </w:r>
      <w:r>
        <w:rPr>
          <w:spacing w:val="-7"/>
          <w:sz w:val="22"/>
        </w:rPr>
        <w:t> </w:t>
      </w:r>
      <w:r>
        <w:rPr>
          <w:sz w:val="22"/>
        </w:rPr>
        <w:t>grievances</w:t>
      </w:r>
      <w:r>
        <w:rPr>
          <w:spacing w:val="-7"/>
          <w:sz w:val="22"/>
        </w:rPr>
        <w:t> </w:t>
      </w:r>
      <w:r>
        <w:rPr>
          <w:sz w:val="22"/>
        </w:rPr>
        <w:t>and</w:t>
      </w:r>
      <w:r>
        <w:rPr>
          <w:spacing w:val="-7"/>
          <w:sz w:val="22"/>
        </w:rPr>
        <w:t> </w:t>
      </w:r>
      <w:r>
        <w:rPr>
          <w:sz w:val="22"/>
        </w:rPr>
        <w:t>resolve</w:t>
      </w:r>
      <w:r>
        <w:rPr>
          <w:spacing w:val="-6"/>
          <w:sz w:val="22"/>
        </w:rPr>
        <w:t> </w:t>
      </w:r>
      <w:r>
        <w:rPr>
          <w:sz w:val="22"/>
        </w:rPr>
        <w:t>them;</w:t>
      </w:r>
      <w:r>
        <w:rPr>
          <w:spacing w:val="-7"/>
          <w:sz w:val="22"/>
        </w:rPr>
        <w:t> </w:t>
      </w:r>
      <w:r>
        <w:rPr>
          <w:sz w:val="22"/>
        </w:rPr>
        <w:t>(iii)</w:t>
      </w:r>
      <w:r>
        <w:rPr>
          <w:spacing w:val="-6"/>
          <w:sz w:val="22"/>
        </w:rPr>
        <w:t> </w:t>
      </w:r>
      <w:r>
        <w:rPr>
          <w:sz w:val="22"/>
        </w:rPr>
        <w:t>immediately</w:t>
      </w:r>
      <w:r>
        <w:rPr>
          <w:spacing w:val="-8"/>
          <w:sz w:val="22"/>
        </w:rPr>
        <w:t> </w:t>
      </w:r>
      <w:r>
        <w:rPr>
          <w:sz w:val="22"/>
        </w:rPr>
        <w:t>inform the PD of serious cases; and (iv) report to PAPs on developments regarding their grievances and decisions of the GRC. Other than disputes relating to ownership rights under the court of  law,  GRC  will review grievances involving  all resettlement   </w:t>
      </w:r>
      <w:r>
        <w:rPr>
          <w:spacing w:val="5"/>
          <w:sz w:val="22"/>
        </w:rPr>
        <w:t> </w:t>
      </w:r>
      <w:r>
        <w:rPr>
          <w:sz w:val="22"/>
        </w:rPr>
        <w:t>benefits,</w:t>
      </w:r>
    </w:p>
    <w:p>
      <w:pPr>
        <w:spacing w:after="0" w:line="276" w:lineRule="auto"/>
        <w:jc w:val="both"/>
        <w:rPr>
          <w:sz w:val="22"/>
        </w:rPr>
        <w:sectPr>
          <w:pgSz w:w="11910" w:h="16840"/>
          <w:pgMar w:header="583" w:footer="575" w:top="840" w:bottom="760" w:left="860" w:right="1280"/>
        </w:sectPr>
      </w:pPr>
    </w:p>
    <w:p>
      <w:pPr>
        <w:pStyle w:val="BodyText"/>
        <w:rPr>
          <w:sz w:val="20"/>
        </w:rPr>
      </w:pPr>
    </w:p>
    <w:p>
      <w:pPr>
        <w:pStyle w:val="BodyText"/>
        <w:rPr>
          <w:sz w:val="20"/>
        </w:rPr>
      </w:pPr>
    </w:p>
    <w:p>
      <w:pPr>
        <w:pStyle w:val="BodyText"/>
        <w:spacing w:before="10"/>
        <w:rPr>
          <w:sz w:val="27"/>
        </w:rPr>
      </w:pPr>
    </w:p>
    <w:p>
      <w:pPr>
        <w:pStyle w:val="BodyText"/>
        <w:spacing w:line="276" w:lineRule="auto" w:before="93"/>
        <w:ind w:left="868" w:right="156"/>
        <w:jc w:val="both"/>
      </w:pPr>
      <w:r>
        <w:rPr/>
        <w:t>compensation, replacement cost and other assistance. When any grievance is brought to the field level staff, it should be resolved within 15 days from the date of complaint. The GRC will meet every month (if grievances are brought to the Committee), determine the merit of each grievance, and resolve grievances within three weeks (21 days) of receiving the complaint. Records will be kept of all grievances received including: contact details of complainant, date the complaint was received, nature of grievance, agreed corrective actions and the date these were effected, and final outcome. The GRC will continue to function during the life of the Project.</w:t>
      </w:r>
    </w:p>
    <w:p>
      <w:pPr>
        <w:pStyle w:val="ListParagraph"/>
        <w:numPr>
          <w:ilvl w:val="0"/>
          <w:numId w:val="44"/>
        </w:numPr>
        <w:tabs>
          <w:tab w:pos="1589" w:val="left" w:leader="none"/>
        </w:tabs>
        <w:spacing w:line="276" w:lineRule="auto" w:before="120" w:after="0"/>
        <w:ind w:left="868" w:right="151" w:firstLine="0"/>
        <w:jc w:val="both"/>
        <w:rPr>
          <w:sz w:val="22"/>
        </w:rPr>
      </w:pPr>
      <w:r>
        <w:rPr>
          <w:sz w:val="22"/>
        </w:rPr>
        <w:t>The grievance redress committee will include Project Director as convener, the Social Development Officer and Gender Officer, a senior safeguard specialist from and a member</w:t>
      </w:r>
      <w:r>
        <w:rPr>
          <w:spacing w:val="-8"/>
          <w:sz w:val="22"/>
        </w:rPr>
        <w:t> </w:t>
      </w:r>
      <w:r>
        <w:rPr>
          <w:sz w:val="22"/>
        </w:rPr>
        <w:t>nominated</w:t>
      </w:r>
      <w:r>
        <w:rPr>
          <w:spacing w:val="-14"/>
          <w:sz w:val="22"/>
        </w:rPr>
        <w:t> </w:t>
      </w:r>
      <w:r>
        <w:rPr>
          <w:sz w:val="22"/>
        </w:rPr>
        <w:t>from</w:t>
      </w:r>
      <w:r>
        <w:rPr>
          <w:spacing w:val="-11"/>
          <w:sz w:val="22"/>
        </w:rPr>
        <w:t> </w:t>
      </w:r>
      <w:r>
        <w:rPr>
          <w:sz w:val="22"/>
        </w:rPr>
        <w:t>PAPs.</w:t>
      </w:r>
      <w:r>
        <w:rPr>
          <w:spacing w:val="-12"/>
          <w:sz w:val="22"/>
        </w:rPr>
        <w:t> </w:t>
      </w:r>
      <w:r>
        <w:rPr>
          <w:sz w:val="22"/>
        </w:rPr>
        <w:t>While</w:t>
      </w:r>
      <w:r>
        <w:rPr>
          <w:spacing w:val="-9"/>
          <w:sz w:val="22"/>
        </w:rPr>
        <w:t> </w:t>
      </w:r>
      <w:r>
        <w:rPr>
          <w:sz w:val="22"/>
        </w:rPr>
        <w:t>at</w:t>
      </w:r>
      <w:r>
        <w:rPr>
          <w:spacing w:val="-8"/>
          <w:sz w:val="22"/>
        </w:rPr>
        <w:t> </w:t>
      </w:r>
      <w:r>
        <w:rPr>
          <w:sz w:val="22"/>
        </w:rPr>
        <w:t>local</w:t>
      </w:r>
      <w:r>
        <w:rPr>
          <w:spacing w:val="-10"/>
          <w:sz w:val="22"/>
        </w:rPr>
        <w:t> </w:t>
      </w:r>
      <w:r>
        <w:rPr>
          <w:sz w:val="22"/>
        </w:rPr>
        <w:t>level</w:t>
      </w:r>
      <w:r>
        <w:rPr>
          <w:spacing w:val="-8"/>
          <w:sz w:val="22"/>
        </w:rPr>
        <w:t> </w:t>
      </w:r>
      <w:r>
        <w:rPr>
          <w:sz w:val="22"/>
        </w:rPr>
        <w:t>grievances</w:t>
      </w:r>
      <w:r>
        <w:rPr>
          <w:spacing w:val="-11"/>
          <w:sz w:val="22"/>
        </w:rPr>
        <w:t> </w:t>
      </w:r>
      <w:r>
        <w:rPr>
          <w:sz w:val="22"/>
        </w:rPr>
        <w:t>first</w:t>
      </w:r>
      <w:r>
        <w:rPr>
          <w:spacing w:val="-7"/>
          <w:sz w:val="22"/>
        </w:rPr>
        <w:t> </w:t>
      </w:r>
      <w:r>
        <w:rPr>
          <w:sz w:val="22"/>
        </w:rPr>
        <w:t>assisted</w:t>
      </w:r>
      <w:r>
        <w:rPr>
          <w:spacing w:val="-11"/>
          <w:sz w:val="22"/>
        </w:rPr>
        <w:t> </w:t>
      </w:r>
      <w:r>
        <w:rPr>
          <w:sz w:val="22"/>
        </w:rPr>
        <w:t>and</w:t>
      </w:r>
      <w:r>
        <w:rPr>
          <w:spacing w:val="-9"/>
          <w:sz w:val="22"/>
        </w:rPr>
        <w:t> </w:t>
      </w:r>
      <w:r>
        <w:rPr>
          <w:sz w:val="22"/>
        </w:rPr>
        <w:t>supported through staff from contractor before referring to the</w:t>
      </w:r>
      <w:r>
        <w:rPr>
          <w:spacing w:val="-18"/>
          <w:sz w:val="22"/>
        </w:rPr>
        <w:t> </w:t>
      </w:r>
      <w:r>
        <w:rPr>
          <w:sz w:val="22"/>
        </w:rPr>
        <w:t>GRC.</w:t>
      </w:r>
    </w:p>
    <w:p>
      <w:pPr>
        <w:pStyle w:val="ListParagraph"/>
        <w:numPr>
          <w:ilvl w:val="0"/>
          <w:numId w:val="44"/>
        </w:numPr>
        <w:tabs>
          <w:tab w:pos="1589" w:val="left" w:leader="none"/>
        </w:tabs>
        <w:spacing w:line="276" w:lineRule="auto" w:before="123" w:after="0"/>
        <w:ind w:left="868" w:right="152" w:firstLine="0"/>
        <w:jc w:val="both"/>
        <w:rPr>
          <w:sz w:val="22"/>
        </w:rPr>
      </w:pPr>
      <w:r>
        <w:rPr>
          <w:sz w:val="22"/>
        </w:rPr>
        <w:t>Any complaints unresolved at local level by contractor’s field staff and NGO will be forwarded to the Social Development and Resettlement Specialist and also the Secretary/ focal person of GRC. The complaints received will be properly recorded and documented at PD Office by a designated staff in the Complaint Register. The information recorded in the Register will include date of the complaint, particulars of the complainant, description of the grievance, actions/steps taken/to be taken to resolve the complaint at village level, the person responsible to take the action, follow up requirements and the target date for the implementation of the mitigation measure. The register will also record the actual measures</w:t>
      </w:r>
      <w:r>
        <w:rPr>
          <w:spacing w:val="-17"/>
          <w:sz w:val="22"/>
        </w:rPr>
        <w:t> </w:t>
      </w:r>
      <w:r>
        <w:rPr>
          <w:sz w:val="22"/>
        </w:rPr>
        <w:t>taken</w:t>
      </w:r>
      <w:r>
        <w:rPr>
          <w:spacing w:val="-15"/>
          <w:sz w:val="22"/>
        </w:rPr>
        <w:t> </w:t>
      </w:r>
      <w:r>
        <w:rPr>
          <w:sz w:val="22"/>
        </w:rPr>
        <w:t>to</w:t>
      </w:r>
      <w:r>
        <w:rPr>
          <w:spacing w:val="-18"/>
          <w:sz w:val="22"/>
        </w:rPr>
        <w:t> </w:t>
      </w:r>
      <w:r>
        <w:rPr>
          <w:sz w:val="22"/>
        </w:rPr>
        <w:t>mitigate</w:t>
      </w:r>
      <w:r>
        <w:rPr>
          <w:spacing w:val="-15"/>
          <w:sz w:val="22"/>
        </w:rPr>
        <w:t> </w:t>
      </w:r>
      <w:r>
        <w:rPr>
          <w:sz w:val="22"/>
        </w:rPr>
        <w:t>these</w:t>
      </w:r>
      <w:r>
        <w:rPr>
          <w:spacing w:val="-15"/>
          <w:sz w:val="22"/>
        </w:rPr>
        <w:t> </w:t>
      </w:r>
      <w:r>
        <w:rPr>
          <w:sz w:val="22"/>
        </w:rPr>
        <w:t>concerns.</w:t>
      </w:r>
      <w:r>
        <w:rPr>
          <w:spacing w:val="-16"/>
          <w:sz w:val="22"/>
        </w:rPr>
        <w:t> </w:t>
      </w:r>
      <w:r>
        <w:rPr>
          <w:sz w:val="22"/>
        </w:rPr>
        <w:t>The</w:t>
      </w:r>
      <w:r>
        <w:rPr>
          <w:spacing w:val="-15"/>
          <w:sz w:val="22"/>
        </w:rPr>
        <w:t> </w:t>
      </w:r>
      <w:r>
        <w:rPr>
          <w:sz w:val="22"/>
        </w:rPr>
        <w:t>aggrieved</w:t>
      </w:r>
      <w:r>
        <w:rPr>
          <w:spacing w:val="-13"/>
          <w:sz w:val="22"/>
        </w:rPr>
        <w:t> </w:t>
      </w:r>
      <w:r>
        <w:rPr>
          <w:sz w:val="22"/>
        </w:rPr>
        <w:t>PAP</w:t>
      </w:r>
      <w:r>
        <w:rPr>
          <w:spacing w:val="-13"/>
          <w:sz w:val="22"/>
        </w:rPr>
        <w:t> </w:t>
      </w:r>
      <w:r>
        <w:rPr>
          <w:sz w:val="22"/>
        </w:rPr>
        <w:t>will</w:t>
      </w:r>
      <w:r>
        <w:rPr>
          <w:spacing w:val="-13"/>
          <w:sz w:val="22"/>
        </w:rPr>
        <w:t> </w:t>
      </w:r>
      <w:r>
        <w:rPr>
          <w:sz w:val="22"/>
        </w:rPr>
        <w:t>be</w:t>
      </w:r>
      <w:r>
        <w:rPr>
          <w:spacing w:val="-15"/>
          <w:sz w:val="22"/>
        </w:rPr>
        <w:t> </w:t>
      </w:r>
      <w:r>
        <w:rPr>
          <w:sz w:val="22"/>
        </w:rPr>
        <w:t>kept</w:t>
      </w:r>
      <w:r>
        <w:rPr>
          <w:spacing w:val="-14"/>
          <w:sz w:val="22"/>
        </w:rPr>
        <w:t> </w:t>
      </w:r>
      <w:r>
        <w:rPr>
          <w:sz w:val="22"/>
        </w:rPr>
        <w:t>informed</w:t>
      </w:r>
      <w:r>
        <w:rPr>
          <w:spacing w:val="-15"/>
          <w:sz w:val="22"/>
        </w:rPr>
        <w:t> </w:t>
      </w:r>
      <w:r>
        <w:rPr>
          <w:sz w:val="22"/>
        </w:rPr>
        <w:t>about the actions on his</w:t>
      </w:r>
      <w:r>
        <w:rPr>
          <w:spacing w:val="-9"/>
          <w:sz w:val="22"/>
        </w:rPr>
        <w:t> </w:t>
      </w:r>
      <w:r>
        <w:rPr>
          <w:sz w:val="22"/>
        </w:rPr>
        <w:t>complaint.</w:t>
      </w:r>
    </w:p>
    <w:p>
      <w:pPr>
        <w:pStyle w:val="BodyText"/>
        <w:spacing w:before="4"/>
        <w:rPr>
          <w:sz w:val="18"/>
        </w:rPr>
      </w:pPr>
      <w:r>
        <w:rPr/>
        <w:pict>
          <v:group style="position:absolute;margin-left:156.835007pt;margin-top:12.528239pt;width:294.8pt;height:260pt;mso-position-horizontal-relative:page;mso-position-vertical-relative:paragraph;z-index:1768;mso-wrap-distance-left:0;mso-wrap-distance-right:0" coordorigin="3137,251" coordsize="5896,5200">
            <v:shape style="position:absolute;left:5520;top:346;width:1873;height:605" type="#_x0000_t75" stroked="false">
              <v:imagedata r:id="rId45" o:title=""/>
            </v:shape>
            <v:shape style="position:absolute;left:3257;top:1475;width:1575;height:721" type="#_x0000_t75" stroked="false">
              <v:imagedata r:id="rId46" o:title=""/>
            </v:shape>
            <v:shape style="position:absolute;left:3807;top:2189;width:120;height:914" coordorigin="3807,2189" coordsize="120,914" path="m3859,2983l3807,2983,3867,3103,3917,3003,3859,3003,3859,2983xm3874,2189l3859,2189,3859,3003,3874,3003,3874,2189xm3927,2983l3874,2983,3874,3003,3917,3003,3927,2983xe" filled="true" fillcolor="#000000" stroked="false">
              <v:path arrowok="t"/>
              <v:fill type="solid"/>
            </v:shape>
            <v:shape style="position:absolute;left:3257;top:3095;width:1275;height:555" type="#_x0000_t75" stroked="false">
              <v:imagedata r:id="rId47" o:title=""/>
            </v:shape>
            <v:shape style="position:absolute;left:3827;top:636;width:120;height:900" coordorigin="3827,636" coordsize="120,900" path="m3879,1416l3827,1416,3887,1536,3937,1436,3879,1436,3879,1416xm3893,636l3878,636,3879,1436,3894,1436,3893,636xm3947,1416l3894,1416,3894,1436,3937,1436,3947,1416xe" filled="true" fillcolor="#000000" stroked="false">
              <v:path arrowok="t"/>
              <v:fill type="solid"/>
            </v:shape>
            <v:shape style="position:absolute;left:4824;top:1783;width:1322;height:120" coordorigin="4824,1783" coordsize="1322,120" path="m4944,1783l4824,1843,4944,1903,4944,1851,4924,1851,4924,1836,4944,1836,4944,1783xm4944,1836l4924,1836,4924,1851,4944,1851,4944,1836xm6145,1836l4944,1836,4944,1851,6145,1851,6145,1836xe" filled="true" fillcolor="#000000" stroked="false">
              <v:path arrowok="t"/>
              <v:fill type="solid"/>
            </v:shape>
            <v:line style="position:absolute" from="6145,943" to="6145,1843" stroked="true" strokeweight=".75pt" strokecolor="#000000">
              <v:stroke dashstyle="solid"/>
            </v:line>
            <v:shape style="position:absolute;left:3137;top:4895;width:1576;height:555" type="#_x0000_t75" stroked="false">
              <v:imagedata r:id="rId48" o:title=""/>
            </v:shape>
            <v:shape style="position:absolute;left:3805;top:3643;width:120;height:1260" coordorigin="3805,3643" coordsize="120,1260" path="m3858,4783l3805,4783,3865,4903,3915,4803,3858,4803,3858,4783xm3873,3643l3858,3643,3858,4803,3873,4803,3873,3643xm3925,4783l3873,4783,3873,4803,3915,4803,3925,4783xe" filled="true" fillcolor="#000000" stroked="false">
              <v:path arrowok="t"/>
              <v:fill type="solid"/>
            </v:shape>
            <v:shape style="position:absolute;left:4944;top:2037;width:2282;height:331" type="#_x0000_t75" stroked="false">
              <v:imagedata r:id="rId49" o:title=""/>
            </v:shape>
            <v:shape style="position:absolute;left:3984;top:4002;width:2162;height:331" type="#_x0000_t75" stroked="false">
              <v:imagedata r:id="rId50" o:title=""/>
            </v:shape>
            <v:shape style="position:absolute;left:6367;top:1302;width:2162;height:331" type="#_x0000_t75" stroked="false">
              <v:imagedata r:id="rId50" o:title=""/>
            </v:shape>
            <v:shape style="position:absolute;left:3865;top:4502;width:3361;height:120" coordorigin="3865,4502" coordsize="3361,120" path="m3925,4554l3865,4554,3865,4569,3925,4569,3925,4554xm3985,4554l3970,4554,3970,4569,3985,4569,3985,4554xm4090,4554l4030,4554,4030,4569,4090,4569,4090,4554xm4150,4554l4135,4554,4135,4569,4150,4569,4150,4554xm4255,4554l4195,4554,4195,4569,4255,4569,4255,4554xm4315,4554l4300,4554,4300,4569,4315,4569,4315,4554xm4420,4554l4360,4554,4360,4569,4420,4569,4420,4554xm4480,4554l4465,4554,4465,4569,4480,4569,4480,4554xm4585,4554l4525,4554,4525,4569,4585,4569,4585,4554xm4645,4554l4630,4554,4630,4569,4645,4569,4645,4554xm4750,4554l4690,4554,4690,4569,4750,4569,4750,4554xm4810,4554l4795,4554,4795,4569,4810,4569,4810,4554xm4915,4554l4855,4554,4855,4569,4915,4569,4915,4554xm4975,4554l4960,4554,4960,4569,4975,4569,4975,4554xm5080,4554l5020,4554,5020,4569,5080,4569,5080,4554xm5140,4554l5125,4554,5125,4569,5140,4569,5140,4554xm5245,4554l5185,4554,5185,4569,5245,4569,5245,4554xm5305,4554l5290,4554,5290,4569,5305,4569,5305,4554xm5410,4554l5350,4554,5350,4569,5410,4569,5410,4554xm5470,4554l5455,4554,5455,4569,5470,4569,5470,4554xm5575,4554l5515,4554,5515,4569,5575,4569,5575,4554xm5635,4554l5620,4554,5620,4569,5635,4569,5635,4554xm5740,4554l5680,4554,5680,4569,5740,4569,5740,4554xm5800,4554l5785,4554,5785,4569,5800,4569,5800,4554xm5905,4554l5845,4554,5845,4569,5905,4569,5905,4554xm5965,4554l5950,4554,5950,4569,5965,4569,5965,4554xm6070,4554l6010,4554,6010,4569,6070,4569,6070,4554xm6130,4554l6115,4554,6115,4569,6130,4569,6130,4554xm6235,4554l6175,4554,6175,4569,6235,4569,6235,4554xm6295,4554l6280,4554,6280,4569,6295,4569,6295,4554xm6400,4554l6340,4554,6340,4569,6400,4569,6400,4554xm6460,4554l6445,4554,6445,4569,6460,4569,6460,4554xm6565,4554l6505,4554,6505,4569,6565,4569,6565,4554xm6625,4554l6610,4554,6610,4569,6625,4569,6625,4554xm6730,4554l6670,4554,6670,4569,6730,4569,6730,4554xm6790,4554l6775,4554,6775,4569,6790,4569,6790,4554xm6895,4554l6835,4554,6835,4569,6895,4569,6895,4554xm6955,4554l6940,4554,6940,4569,6955,4569,6955,4554xm7060,4554l7000,4554,7000,4569,7060,4569,7060,4554xm7105,4502l7105,4622,7210,4569,7120,4569,7120,4554,7210,4554,7105,4502xm7105,4554l7105,4554,7105,4569,7105,4569,7105,4554xm7210,4554l7120,4554,7120,4569,7210,4569,7225,4562,7210,4554xe" filled="true" fillcolor="#000000" stroked="false">
              <v:path arrowok="t"/>
              <v:fill type="solid"/>
            </v:shape>
            <v:shape style="position:absolute;left:4585;top:3223;width:2641;height:120" coordorigin="4585,3223" coordsize="2641,120" path="m4645,3275l4585,3275,4585,3290,4645,3290,4645,3275xm4750,3275l4690,3275,4690,3290,4750,3290,4750,3275xm4855,3275l4795,3275,4795,3290,4855,3290,4855,3275xm4960,3275l4900,3275,4900,3290,4960,3290,4960,3275xm5065,3275l5005,3275,5005,3290,5065,3290,5065,3275xm5170,3275l5110,3275,5110,3290,5170,3290,5170,3275xm5275,3275l5215,3275,5215,3290,5275,3290,5275,3275xm5380,3275l5320,3275,5320,3290,5380,3290,5380,3275xm5485,3275l5425,3275,5425,3290,5485,3290,5485,3275xm5590,3275l5530,3275,5530,3290,5590,3290,5590,3275xm5695,3275l5635,3275,5635,3290,5695,3290,5695,3275xm5800,3275l5740,3275,5740,3290,5800,3290,5800,3275xm5905,3275l5845,3275,5845,3290,5905,3290,5905,3275xm6010,3275l5950,3275,5950,3290,6010,3290,6010,3275xm6115,3275l6055,3275,6055,3290,6115,3290,6115,3275xm6220,3275l6160,3275,6160,3290,6220,3290,6220,3275xm6325,3275l6265,3275,6265,3290,6325,3290,6325,3275xm6430,3275l6370,3275,6370,3290,6430,3290,6430,3275xm6535,3275l6475,3275,6475,3290,6535,3290,6535,3275xm6640,3275l6580,3275,6580,3290,6640,3290,6640,3275xm6745,3275l6685,3275,6685,3290,6745,3290,6745,3275xm6850,3275l6790,3275,6790,3290,6850,3290,6850,3275xm6955,3275l6895,3275,6895,3290,6955,3290,6955,3275xm7060,3275l7000,3275,7000,3290,7060,3290,7060,3275xm7105,3223l7105,3343,7210,3290,7125,3290,7125,3275,7210,3275,7105,3223xm7105,3275l7105,3275,7105,3290,7105,3290,7105,3275xm7210,3275l7125,3275,7125,3290,7210,3290,7225,3283,7210,3275xe" filled="true" fillcolor="#000000" stroked="false">
              <v:path arrowok="t"/>
              <v:fill type="solid"/>
            </v:shape>
            <v:shape style="position:absolute;left:3886;top:523;width:1680;height:120" coordorigin="3886,523" coordsize="1680,120" path="m3901,574l3886,574,3886,589,3901,589,3901,574xm3931,574l3916,574,3916,589,3931,589,3931,574xm3961,574l3946,574,3946,589,3961,589,3961,574xm3991,574l3976,574,3976,589,3991,589,3991,574xm4021,574l4006,574,4006,589,4021,589,4021,574xm4036,574l4036,589,4051,590,4051,575,4036,574xm4081,575l4066,575,4066,590,4081,590,4081,575xm4111,575l4096,575,4096,590,4111,590,4111,575xm4141,575l4126,575,4126,590,4141,590,4141,575xm4171,575l4156,575,4156,590,4171,590,4171,575xm4201,575l4186,575,4186,590,4201,590,4201,575xm4231,575l4216,575,4216,590,4231,590,4231,575xm4261,575l4246,575,4246,590,4261,590,4261,575xm4291,575l4276,575,4276,590,4291,590,4291,575xm4306,575l4306,590,4321,590,4321,575,4306,575xm4351,575l4336,575,4336,590,4351,590,4351,575xm4381,575l4366,575,4366,590,4381,590,4381,575xm4411,575l4396,575,4396,590,4411,590,4411,575xm4441,575l4426,575,4426,590,4441,590,4441,575xm4471,575l4456,575,4456,590,4471,590,4471,575xm4501,575l4486,575,4486,590,4501,590,4501,575xm4531,575l4516,575,4516,590,4531,590,4531,575xm4561,575l4546,575,4546,590,4561,590,4561,575xm4576,575l4576,590,4591,590,4591,575,4576,575xm4621,575l4606,575,4606,590,4621,590,4621,575xm4651,575l4636,575,4636,590,4651,590,4651,575xm4681,575l4666,575,4666,590,4681,590,4681,575xm4711,575l4696,575,4696,590,4711,590,4711,575xm4741,575l4726,575,4726,590,4741,590,4741,575xm4771,575l4756,575,4756,590,4771,590,4771,575xm4801,575l4786,575,4786,590,4801,590,4801,575xm4831,575l4816,575,4816,590,4831,590,4831,575xm4861,575l4846,575,4846,590,4861,590,4861,575xm4891,575l4876,575,4876,590,4891,590,4891,575xm4921,575l4906,575,4906,590,4921,590,4921,575xm4951,575l4936,575,4936,590,4951,590,4951,575xm4981,575l4966,575,4966,590,4981,590,4981,575xm5011,575l4996,575,4996,590,5011,590,5011,575xm5041,575l5026,575,5026,590,5041,590,5041,575xm5071,575l5056,575,5056,590,5071,590,5071,575xm5101,575l5086,575,5086,590,5101,590,5101,575xm5131,575l5116,575,5116,590,5131,590,5131,575xm5161,575l5146,575,5146,590,5161,590,5161,575xm5191,575l5176,575,5176,590,5191,590,5191,575xm5221,575l5206,575,5206,590,5221,590,5221,575xm5251,575l5236,575,5236,590,5251,590,5251,575xm5281,575l5266,575,5266,590,5281,590,5281,575xm5311,575l5296,575,5296,590,5311,590,5311,575xm5341,575l5326,575,5326,590,5341,590,5341,575xm5371,575l5356,575,5356,590,5371,590,5371,575xm5401,576l5386,576,5386,591,5401,591,5401,576xm5431,576l5416,576,5416,591,5431,591,5431,576xm5446,523l5446,643,5551,591,5461,591,5461,576,5551,576,5446,523xm5446,576l5446,576,5446,591,5446,591,5446,576xm5551,576l5461,576,5461,591,5551,591,5566,583,5551,576xe" filled="true" fillcolor="#000000" stroked="false">
              <v:path arrowok="t"/>
              <v:fill type="solid"/>
            </v:shape>
            <v:shape style="position:absolute;left:7218;top:2901;width:1814;height:749" type="#_x0000_t75" stroked="false">
              <v:imagedata r:id="rId51" o:title=""/>
            </v:shape>
            <v:shape style="position:absolute;left:7218;top:4175;width:1693;height:735" type="#_x0000_t75" stroked="false">
              <v:imagedata r:id="rId52" o:title=""/>
            </v:shape>
            <v:shape style="position:absolute;left:7697;top:251;width:1231;height:665" type="#_x0000_t75" stroked="false">
              <v:imagedata r:id="rId53" o:title=""/>
            </v:shape>
            <v:shape style="position:absolute;left:7448;top:506;width:240;height:120" type="#_x0000_t75" stroked="false">
              <v:imagedata r:id="rId54" o:title=""/>
            </v:shape>
            <v:shape style="position:absolute;left:3303;top:376;width:1275;height:555" type="#_x0000_t75" stroked="false">
              <v:imagedata r:id="rId55" o:title=""/>
            </v:shape>
            <v:shape style="position:absolute;left:3461;top:470;width:518;height:223" type="#_x0000_t202" filled="false" stroked="false">
              <v:textbox inset="0,0,0,0">
                <w:txbxContent>
                  <w:p>
                    <w:pPr>
                      <w:spacing w:line="223" w:lineRule="exact" w:before="0"/>
                      <w:ind w:left="0" w:right="0" w:firstLine="0"/>
                      <w:jc w:val="left"/>
                      <w:rPr>
                        <w:sz w:val="20"/>
                      </w:rPr>
                    </w:pPr>
                    <w:r>
                      <w:rPr>
                        <w:sz w:val="20"/>
                      </w:rPr>
                      <w:t>PAPs</w:t>
                    </w:r>
                  </w:p>
                </w:txbxContent>
              </v:textbox>
              <w10:wrap type="none"/>
            </v:shape>
            <v:shape style="position:absolute;left:5679;top:439;width:1050;height:454" type="#_x0000_t202" filled="false" stroked="false">
              <v:textbox inset="0,0,0,0">
                <w:txbxContent>
                  <w:p>
                    <w:pPr>
                      <w:spacing w:line="240" w:lineRule="auto" w:before="0"/>
                      <w:ind w:left="0" w:right="0" w:firstLine="0"/>
                      <w:jc w:val="left"/>
                      <w:rPr>
                        <w:sz w:val="20"/>
                      </w:rPr>
                    </w:pPr>
                    <w:r>
                      <w:rPr>
                        <w:sz w:val="20"/>
                      </w:rPr>
                      <w:t>Local level/ </w:t>
                    </w:r>
                    <w:r>
                      <w:rPr>
                        <w:w w:val="95"/>
                        <w:sz w:val="20"/>
                      </w:rPr>
                      <w:t>Contractors</w:t>
                    </w:r>
                  </w:p>
                </w:txbxContent>
              </v:textbox>
              <w10:wrap type="none"/>
            </v:shape>
            <v:shape style="position:absolute;left:7857;top:345;width:931;height:454" type="#_x0000_t202" filled="false" stroked="false">
              <v:textbox inset="0,0,0,0">
                <w:txbxContent>
                  <w:p>
                    <w:pPr>
                      <w:spacing w:line="240" w:lineRule="auto" w:before="0"/>
                      <w:ind w:left="0" w:right="0" w:firstLine="0"/>
                      <w:jc w:val="left"/>
                      <w:rPr>
                        <w:sz w:val="20"/>
                      </w:rPr>
                    </w:pPr>
                    <w:r>
                      <w:rPr>
                        <w:w w:val="95"/>
                        <w:sz w:val="20"/>
                      </w:rPr>
                      <w:t>Grievance </w:t>
                    </w:r>
                    <w:r>
                      <w:rPr>
                        <w:sz w:val="20"/>
                      </w:rPr>
                      <w:t>Addresse</w:t>
                    </w:r>
                  </w:p>
                </w:txbxContent>
              </v:textbox>
              <w10:wrap type="none"/>
            </v:shape>
            <v:shape style="position:absolute;left:6541;top:1310;width:1340;height:223" type="#_x0000_t202" filled="false" stroked="false">
              <v:textbox inset="0,0,0,0">
                <w:txbxContent>
                  <w:p>
                    <w:pPr>
                      <w:spacing w:line="223" w:lineRule="exact" w:before="0"/>
                      <w:ind w:left="0" w:right="0" w:firstLine="0"/>
                      <w:jc w:val="left"/>
                      <w:rPr>
                        <w:sz w:val="20"/>
                      </w:rPr>
                    </w:pPr>
                    <w:r>
                      <w:rPr>
                        <w:sz w:val="20"/>
                      </w:rPr>
                      <w:t>Not Addressed</w:t>
                    </w:r>
                  </w:p>
                </w:txbxContent>
              </v:textbox>
              <w10:wrap type="none"/>
            </v:shape>
            <v:shape style="position:absolute;left:3416;top:1570;width:1208;height:453" type="#_x0000_t202" filled="false" stroked="false">
              <v:textbox inset="0,0,0,0">
                <w:txbxContent>
                  <w:p>
                    <w:pPr>
                      <w:spacing w:line="240" w:lineRule="auto" w:before="0"/>
                      <w:ind w:left="0" w:right="-2" w:firstLine="0"/>
                      <w:jc w:val="left"/>
                      <w:rPr>
                        <w:sz w:val="20"/>
                      </w:rPr>
                    </w:pPr>
                    <w:r>
                      <w:rPr>
                        <w:sz w:val="20"/>
                      </w:rPr>
                      <w:t>Project Team NGOs</w:t>
                    </w:r>
                  </w:p>
                </w:txbxContent>
              </v:textbox>
              <w10:wrap type="none"/>
            </v:shape>
            <v:shape style="position:absolute;left:5063;top:2045;width:1340;height:223" type="#_x0000_t202" filled="false" stroked="false">
              <v:textbox inset="0,0,0,0">
                <w:txbxContent>
                  <w:p>
                    <w:pPr>
                      <w:spacing w:line="223" w:lineRule="exact" w:before="0"/>
                      <w:ind w:left="0" w:right="0" w:firstLine="0"/>
                      <w:jc w:val="left"/>
                      <w:rPr>
                        <w:sz w:val="20"/>
                      </w:rPr>
                    </w:pPr>
                    <w:r>
                      <w:rPr>
                        <w:sz w:val="20"/>
                      </w:rPr>
                      <w:t>Not Addressed</w:t>
                    </w:r>
                  </w:p>
                </w:txbxContent>
              </v:textbox>
              <w10:wrap type="none"/>
            </v:shape>
            <v:shape style="position:absolute;left:3416;top:3190;width:464;height:223" type="#_x0000_t202" filled="false" stroked="false">
              <v:textbox inset="0,0,0,0">
                <w:txbxContent>
                  <w:p>
                    <w:pPr>
                      <w:spacing w:line="223" w:lineRule="exact" w:before="0"/>
                      <w:ind w:left="0" w:right="0" w:firstLine="0"/>
                      <w:jc w:val="left"/>
                      <w:rPr>
                        <w:sz w:val="20"/>
                      </w:rPr>
                    </w:pPr>
                    <w:r>
                      <w:rPr>
                        <w:sz w:val="20"/>
                      </w:rPr>
                      <w:t>GRC</w:t>
                    </w:r>
                  </w:p>
                </w:txbxContent>
              </v:textbox>
              <w10:wrap type="none"/>
            </v:shape>
            <v:shape style="position:absolute;left:7350;top:3053;width:973;height:453" type="#_x0000_t202" filled="false" stroked="false">
              <v:textbox inset="0,0,0,0">
                <w:txbxContent>
                  <w:p>
                    <w:pPr>
                      <w:spacing w:line="240" w:lineRule="auto" w:before="0"/>
                      <w:ind w:left="0" w:right="0" w:firstLine="0"/>
                      <w:jc w:val="left"/>
                      <w:rPr>
                        <w:sz w:val="20"/>
                      </w:rPr>
                    </w:pPr>
                    <w:r>
                      <w:rPr>
                        <w:sz w:val="20"/>
                      </w:rPr>
                      <w:t>Grievance </w:t>
                    </w:r>
                    <w:r>
                      <w:rPr>
                        <w:w w:val="95"/>
                        <w:sz w:val="20"/>
                      </w:rPr>
                      <w:t>Addressed</w:t>
                    </w:r>
                  </w:p>
                </w:txbxContent>
              </v:textbox>
              <w10:wrap type="none"/>
            </v:shape>
            <v:shape style="position:absolute;left:4103;top:4010;width:1340;height:223" type="#_x0000_t202" filled="false" stroked="false">
              <v:textbox inset="0,0,0,0">
                <w:txbxContent>
                  <w:p>
                    <w:pPr>
                      <w:spacing w:line="223" w:lineRule="exact" w:before="0"/>
                      <w:ind w:left="0" w:right="0" w:firstLine="0"/>
                      <w:jc w:val="left"/>
                      <w:rPr>
                        <w:sz w:val="20"/>
                      </w:rPr>
                    </w:pPr>
                    <w:r>
                      <w:rPr>
                        <w:sz w:val="20"/>
                      </w:rPr>
                      <w:t>Not Addressed</w:t>
                    </w:r>
                  </w:p>
                </w:txbxContent>
              </v:textbox>
              <w10:wrap type="none"/>
            </v:shape>
            <v:shape style="position:absolute;left:7350;top:4222;width:929;height:453" type="#_x0000_t202" filled="false" stroked="false">
              <v:textbox inset="0,0,0,0">
                <w:txbxContent>
                  <w:p>
                    <w:pPr>
                      <w:spacing w:line="240" w:lineRule="auto" w:before="0"/>
                      <w:ind w:left="0" w:right="0" w:firstLine="0"/>
                      <w:jc w:val="left"/>
                      <w:rPr>
                        <w:sz w:val="20"/>
                      </w:rPr>
                    </w:pPr>
                    <w:r>
                      <w:rPr>
                        <w:w w:val="95"/>
                        <w:sz w:val="20"/>
                      </w:rPr>
                      <w:t>Grievance </w:t>
                    </w:r>
                    <w:r>
                      <w:rPr>
                        <w:sz w:val="20"/>
                      </w:rPr>
                      <w:t>Resolved</w:t>
                    </w:r>
                  </w:p>
                </w:txbxContent>
              </v:textbox>
              <w10:wrap type="none"/>
            </v:shape>
            <v:shape style="position:absolute;left:3296;top:4990;width:1153;height:223" type="#_x0000_t202" filled="false" stroked="false">
              <v:textbox inset="0,0,0,0">
                <w:txbxContent>
                  <w:p>
                    <w:pPr>
                      <w:spacing w:line="223" w:lineRule="exact" w:before="0"/>
                      <w:ind w:left="0" w:right="0" w:firstLine="0"/>
                      <w:jc w:val="left"/>
                      <w:rPr>
                        <w:sz w:val="20"/>
                      </w:rPr>
                    </w:pPr>
                    <w:r>
                      <w:rPr>
                        <w:sz w:val="20"/>
                      </w:rPr>
                      <w:t>Court of Law</w:t>
                    </w:r>
                  </w:p>
                </w:txbxContent>
              </v:textbox>
              <w10:wrap type="none"/>
            </v:shape>
            <w10:wrap type="topAndBottom"/>
          </v:group>
        </w:pict>
      </w:r>
    </w:p>
    <w:p>
      <w:pPr>
        <w:pStyle w:val="Heading3"/>
        <w:spacing w:before="176"/>
        <w:ind w:left="2865"/>
        <w:jc w:val="left"/>
      </w:pPr>
      <w:bookmarkStart w:name="_bookmark78" w:id="132"/>
      <w:bookmarkEnd w:id="132"/>
      <w:r>
        <w:rPr>
          <w:b w:val="0"/>
        </w:rPr>
      </w:r>
      <w:r>
        <w:rPr>
          <w:u w:val="thick"/>
        </w:rPr>
        <w:t>Figure 10: The Process of Grievance Redress</w:t>
      </w:r>
    </w:p>
    <w:p>
      <w:pPr>
        <w:pStyle w:val="ListParagraph"/>
        <w:numPr>
          <w:ilvl w:val="0"/>
          <w:numId w:val="44"/>
        </w:numPr>
        <w:tabs>
          <w:tab w:pos="1589" w:val="left" w:leader="none"/>
        </w:tabs>
        <w:spacing w:line="276" w:lineRule="auto" w:before="119" w:after="0"/>
        <w:ind w:left="868" w:right="158" w:firstLine="0"/>
        <w:jc w:val="both"/>
        <w:rPr>
          <w:b/>
          <w:sz w:val="22"/>
        </w:rPr>
      </w:pPr>
      <w:r>
        <w:rPr>
          <w:sz w:val="22"/>
        </w:rPr>
        <w:t>If the grievance redress mechanism fails to satisfy the aggrieved PAP, he/she can submit the case to the appropriate court of law as set out in sections 18 to 22 of the LAA (1894). The Grievance Redress Process is provided as </w:t>
      </w:r>
      <w:r>
        <w:rPr>
          <w:b/>
          <w:sz w:val="22"/>
        </w:rPr>
        <w:t>Figure</w:t>
      </w:r>
      <w:r>
        <w:rPr>
          <w:b/>
          <w:spacing w:val="-14"/>
          <w:sz w:val="22"/>
        </w:rPr>
        <w:t> </w:t>
      </w:r>
      <w:r>
        <w:rPr>
          <w:b/>
          <w:sz w:val="22"/>
        </w:rPr>
        <w:t>10.</w:t>
      </w:r>
    </w:p>
    <w:p>
      <w:pPr>
        <w:spacing w:after="0" w:line="276" w:lineRule="auto"/>
        <w:jc w:val="both"/>
        <w:rPr>
          <w:sz w:val="22"/>
        </w:rPr>
        <w:sectPr>
          <w:pgSz w:w="11910" w:h="16840"/>
          <w:pgMar w:header="583" w:footer="575" w:top="840" w:bottom="760" w:left="860" w:right="1280"/>
        </w:sectPr>
      </w:pPr>
    </w:p>
    <w:p>
      <w:pPr>
        <w:pStyle w:val="BodyText"/>
        <w:rPr>
          <w:b/>
          <w:sz w:val="20"/>
        </w:rPr>
      </w:pPr>
    </w:p>
    <w:p>
      <w:pPr>
        <w:pStyle w:val="BodyText"/>
        <w:rPr>
          <w:b/>
          <w:sz w:val="20"/>
        </w:rPr>
      </w:pPr>
    </w:p>
    <w:p>
      <w:pPr>
        <w:pStyle w:val="BodyText"/>
        <w:rPr>
          <w:b/>
          <w:sz w:val="28"/>
        </w:rPr>
      </w:pPr>
    </w:p>
    <w:p>
      <w:pPr>
        <w:pStyle w:val="Heading2"/>
        <w:numPr>
          <w:ilvl w:val="0"/>
          <w:numId w:val="45"/>
        </w:numPr>
        <w:tabs>
          <w:tab w:pos="1301" w:val="left" w:leader="none"/>
        </w:tabs>
        <w:spacing w:line="240" w:lineRule="auto" w:before="92" w:after="0"/>
        <w:ind w:left="1300" w:right="0" w:hanging="432"/>
        <w:jc w:val="both"/>
      </w:pPr>
      <w:bookmarkStart w:name="_bookmark79" w:id="133"/>
      <w:bookmarkEnd w:id="133"/>
      <w:r>
        <w:rPr>
          <w:b w:val="0"/>
        </w:rPr>
      </w:r>
      <w:bookmarkStart w:name="_bookmark79" w:id="134"/>
      <w:bookmarkEnd w:id="134"/>
      <w:r>
        <w:rPr/>
        <w:t>CO</w:t>
      </w:r>
      <w:r>
        <w:rPr/>
        <w:t>MPENSATION AND LIVELIHOOD</w:t>
      </w:r>
      <w:r>
        <w:rPr>
          <w:spacing w:val="-10"/>
        </w:rPr>
        <w:t> </w:t>
      </w:r>
      <w:r>
        <w:rPr/>
        <w:t>RESTORATION</w:t>
      </w:r>
    </w:p>
    <w:p>
      <w:pPr>
        <w:pStyle w:val="BodyText"/>
        <w:spacing w:before="3"/>
        <w:rPr>
          <w:b/>
          <w:sz w:val="31"/>
        </w:rPr>
      </w:pPr>
    </w:p>
    <w:p>
      <w:pPr>
        <w:pStyle w:val="Heading2"/>
        <w:numPr>
          <w:ilvl w:val="1"/>
          <w:numId w:val="45"/>
        </w:numPr>
        <w:tabs>
          <w:tab w:pos="1445" w:val="left" w:leader="none"/>
        </w:tabs>
        <w:spacing w:line="240" w:lineRule="auto" w:before="0" w:after="0"/>
        <w:ind w:left="1444" w:right="0" w:hanging="576"/>
        <w:jc w:val="both"/>
      </w:pPr>
      <w:bookmarkStart w:name="_bookmark80" w:id="135"/>
      <w:bookmarkEnd w:id="135"/>
      <w:r>
        <w:rPr>
          <w:b w:val="0"/>
        </w:rPr>
      </w:r>
      <w:bookmarkStart w:name="_bookmark80" w:id="136"/>
      <w:bookmarkEnd w:id="136"/>
      <w:r>
        <w:rPr/>
        <w:t>Inc</w:t>
      </w:r>
      <w:r>
        <w:rPr/>
        <w:t>ome</w:t>
      </w:r>
      <w:r>
        <w:rPr>
          <w:spacing w:val="-4"/>
        </w:rPr>
        <w:t> </w:t>
      </w:r>
      <w:r>
        <w:rPr/>
        <w:t>Restoration</w:t>
      </w:r>
    </w:p>
    <w:p>
      <w:pPr>
        <w:pStyle w:val="BodyText"/>
        <w:spacing w:line="276" w:lineRule="auto" w:before="160"/>
        <w:ind w:left="868" w:right="154"/>
        <w:jc w:val="both"/>
      </w:pPr>
      <w:r>
        <w:rPr/>
        <w:t>97      Livelihood and rehabilitation assistance is expected to restore the living standards of PAPs, if not improve them. Livelihood restoration provides an opportunity to improve PAPs. Consultation is crucial for gaining effected population buy-in for the initiatives and improving chances of success. Training, compensation, and skills development to provide access to employment, are common mitigation measures that are often well received by the PAPs.</w:t>
      </w:r>
    </w:p>
    <w:p>
      <w:pPr>
        <w:pStyle w:val="BodyText"/>
        <w:spacing w:before="1"/>
        <w:rPr>
          <w:sz w:val="21"/>
        </w:rPr>
      </w:pPr>
    </w:p>
    <w:p>
      <w:pPr>
        <w:pStyle w:val="Heading2"/>
        <w:numPr>
          <w:ilvl w:val="1"/>
          <w:numId w:val="45"/>
        </w:numPr>
        <w:tabs>
          <w:tab w:pos="1445" w:val="left" w:leader="none"/>
        </w:tabs>
        <w:spacing w:line="240" w:lineRule="auto" w:before="0" w:after="0"/>
        <w:ind w:left="1444" w:right="0" w:hanging="576"/>
        <w:jc w:val="both"/>
      </w:pPr>
      <w:bookmarkStart w:name="_bookmark81" w:id="137"/>
      <w:bookmarkEnd w:id="137"/>
      <w:r>
        <w:rPr>
          <w:b w:val="0"/>
        </w:rPr>
      </w:r>
      <w:bookmarkStart w:name="_bookmark81" w:id="138"/>
      <w:bookmarkEnd w:id="138"/>
      <w:r>
        <w:rPr/>
        <w:t>Inc</w:t>
      </w:r>
      <w:r>
        <w:rPr/>
        <w:t>ome Restoration</w:t>
      </w:r>
      <w:r>
        <w:rPr>
          <w:spacing w:val="-10"/>
        </w:rPr>
        <w:t> </w:t>
      </w:r>
      <w:r>
        <w:rPr/>
        <w:t>Measures</w:t>
      </w:r>
    </w:p>
    <w:p>
      <w:pPr>
        <w:pStyle w:val="ListParagraph"/>
        <w:numPr>
          <w:ilvl w:val="0"/>
          <w:numId w:val="46"/>
        </w:numPr>
        <w:tabs>
          <w:tab w:pos="1589" w:val="left" w:leader="none"/>
        </w:tabs>
        <w:spacing w:line="276" w:lineRule="auto" w:before="160" w:after="0"/>
        <w:ind w:left="868" w:right="160" w:firstLine="0"/>
        <w:jc w:val="both"/>
        <w:rPr>
          <w:sz w:val="22"/>
        </w:rPr>
      </w:pPr>
      <w:r>
        <w:rPr>
          <w:sz w:val="22"/>
        </w:rPr>
        <w:t>The PAPs facing significant loss of livelihood source will be entitled to the income restoration measures as explained</w:t>
      </w:r>
      <w:r>
        <w:rPr>
          <w:spacing w:val="-15"/>
          <w:sz w:val="22"/>
        </w:rPr>
        <w:t> </w:t>
      </w:r>
      <w:r>
        <w:rPr>
          <w:sz w:val="22"/>
        </w:rPr>
        <w:t>below.</w:t>
      </w:r>
    </w:p>
    <w:p>
      <w:pPr>
        <w:pStyle w:val="BodyText"/>
        <w:spacing w:before="10"/>
        <w:rPr>
          <w:sz w:val="20"/>
        </w:rPr>
      </w:pPr>
    </w:p>
    <w:p>
      <w:pPr>
        <w:pStyle w:val="Heading3"/>
        <w:numPr>
          <w:ilvl w:val="2"/>
          <w:numId w:val="47"/>
        </w:numPr>
        <w:tabs>
          <w:tab w:pos="1589" w:val="left" w:leader="none"/>
        </w:tabs>
        <w:spacing w:line="240" w:lineRule="auto" w:before="0" w:after="0"/>
        <w:ind w:left="1588" w:right="0" w:hanging="720"/>
        <w:jc w:val="both"/>
      </w:pPr>
      <w:bookmarkStart w:name="_bookmark82" w:id="139"/>
      <w:bookmarkEnd w:id="139"/>
      <w:r>
        <w:rPr>
          <w:b w:val="0"/>
        </w:rPr>
      </w:r>
      <w:bookmarkStart w:name="_bookmark82" w:id="140"/>
      <w:bookmarkEnd w:id="140"/>
      <w:r>
        <w:rPr>
          <w:color w:val="0D0D0D"/>
        </w:rPr>
        <w:t>U</w:t>
      </w:r>
      <w:r>
        <w:rPr>
          <w:color w:val="0D0D0D"/>
        </w:rPr>
        <w:t>ninterrupted access to resources and means of</w:t>
      </w:r>
      <w:r>
        <w:rPr>
          <w:color w:val="0D0D0D"/>
          <w:spacing w:val="-12"/>
        </w:rPr>
        <w:t> </w:t>
      </w:r>
      <w:r>
        <w:rPr>
          <w:color w:val="0D0D0D"/>
        </w:rPr>
        <w:t>livelihood</w:t>
      </w:r>
    </w:p>
    <w:p>
      <w:pPr>
        <w:pStyle w:val="ListParagraph"/>
        <w:numPr>
          <w:ilvl w:val="0"/>
          <w:numId w:val="46"/>
        </w:numPr>
        <w:tabs>
          <w:tab w:pos="1589" w:val="left" w:leader="none"/>
        </w:tabs>
        <w:spacing w:line="276" w:lineRule="auto" w:before="156" w:after="0"/>
        <w:ind w:left="868" w:right="152" w:firstLine="0"/>
        <w:jc w:val="both"/>
        <w:rPr>
          <w:sz w:val="22"/>
        </w:rPr>
      </w:pPr>
      <w:r>
        <w:rPr>
          <w:sz w:val="22"/>
        </w:rPr>
        <w:t>SMTA</w:t>
      </w:r>
      <w:r>
        <w:rPr>
          <w:spacing w:val="-10"/>
          <w:sz w:val="22"/>
        </w:rPr>
        <w:t> </w:t>
      </w:r>
      <w:r>
        <w:rPr>
          <w:sz w:val="22"/>
        </w:rPr>
        <w:t>will</w:t>
      </w:r>
      <w:r>
        <w:rPr>
          <w:spacing w:val="-10"/>
          <w:sz w:val="22"/>
        </w:rPr>
        <w:t> </w:t>
      </w:r>
      <w:r>
        <w:rPr>
          <w:sz w:val="22"/>
        </w:rPr>
        <w:t>ensure</w:t>
      </w:r>
      <w:r>
        <w:rPr>
          <w:spacing w:val="-11"/>
          <w:sz w:val="22"/>
        </w:rPr>
        <w:t> </w:t>
      </w:r>
      <w:r>
        <w:rPr>
          <w:sz w:val="22"/>
        </w:rPr>
        <w:t>that</w:t>
      </w:r>
      <w:r>
        <w:rPr>
          <w:spacing w:val="-10"/>
          <w:sz w:val="22"/>
        </w:rPr>
        <w:t> </w:t>
      </w:r>
      <w:r>
        <w:rPr>
          <w:sz w:val="22"/>
        </w:rPr>
        <w:t>access</w:t>
      </w:r>
      <w:r>
        <w:rPr>
          <w:spacing w:val="-9"/>
          <w:sz w:val="22"/>
        </w:rPr>
        <w:t> </w:t>
      </w:r>
      <w:r>
        <w:rPr>
          <w:sz w:val="22"/>
        </w:rPr>
        <w:t>of</w:t>
      </w:r>
      <w:r>
        <w:rPr>
          <w:spacing w:val="-10"/>
          <w:sz w:val="22"/>
        </w:rPr>
        <w:t> </w:t>
      </w:r>
      <w:r>
        <w:rPr>
          <w:sz w:val="22"/>
        </w:rPr>
        <w:t>business</w:t>
      </w:r>
      <w:r>
        <w:rPr>
          <w:spacing w:val="-11"/>
          <w:sz w:val="22"/>
        </w:rPr>
        <w:t> </w:t>
      </w:r>
      <w:r>
        <w:rPr>
          <w:sz w:val="22"/>
        </w:rPr>
        <w:t>community</w:t>
      </w:r>
      <w:r>
        <w:rPr>
          <w:spacing w:val="-10"/>
          <w:sz w:val="22"/>
        </w:rPr>
        <w:t> </w:t>
      </w:r>
      <w:r>
        <w:rPr>
          <w:sz w:val="22"/>
        </w:rPr>
        <w:t>to</w:t>
      </w:r>
      <w:r>
        <w:rPr>
          <w:spacing w:val="-11"/>
          <w:sz w:val="22"/>
        </w:rPr>
        <w:t> </w:t>
      </w:r>
      <w:r>
        <w:rPr>
          <w:sz w:val="22"/>
        </w:rPr>
        <w:t>their</w:t>
      </w:r>
      <w:r>
        <w:rPr>
          <w:spacing w:val="-10"/>
          <w:sz w:val="22"/>
        </w:rPr>
        <w:t> </w:t>
      </w:r>
      <w:r>
        <w:rPr>
          <w:sz w:val="22"/>
        </w:rPr>
        <w:t>livelihood</w:t>
      </w:r>
      <w:r>
        <w:rPr>
          <w:spacing w:val="-10"/>
          <w:sz w:val="22"/>
        </w:rPr>
        <w:t> </w:t>
      </w:r>
      <w:r>
        <w:rPr>
          <w:sz w:val="22"/>
        </w:rPr>
        <w:t>sources</w:t>
      </w:r>
      <w:r>
        <w:rPr>
          <w:spacing w:val="-11"/>
          <w:sz w:val="22"/>
        </w:rPr>
        <w:t> </w:t>
      </w:r>
      <w:r>
        <w:rPr>
          <w:sz w:val="22"/>
        </w:rPr>
        <w:t>like business premises/shops remain open and unrestricted during execution of the project works, where possible. To achieve the objective, either obstruction to any known access route will be avoided or alternate access will be provided in technical design as integral to project</w:t>
      </w:r>
      <w:r>
        <w:rPr>
          <w:spacing w:val="-17"/>
          <w:sz w:val="22"/>
        </w:rPr>
        <w:t> </w:t>
      </w:r>
      <w:r>
        <w:rPr>
          <w:sz w:val="22"/>
        </w:rPr>
        <w:t>facilities.</w:t>
      </w:r>
      <w:r>
        <w:rPr>
          <w:spacing w:val="-17"/>
          <w:sz w:val="22"/>
        </w:rPr>
        <w:t> </w:t>
      </w:r>
      <w:r>
        <w:rPr>
          <w:sz w:val="22"/>
        </w:rPr>
        <w:t>The</w:t>
      </w:r>
      <w:r>
        <w:rPr>
          <w:spacing w:val="-15"/>
          <w:sz w:val="22"/>
        </w:rPr>
        <w:t> </w:t>
      </w:r>
      <w:r>
        <w:rPr>
          <w:sz w:val="22"/>
        </w:rPr>
        <w:t>Project</w:t>
      </w:r>
      <w:r>
        <w:rPr>
          <w:spacing w:val="-17"/>
          <w:sz w:val="22"/>
        </w:rPr>
        <w:t> </w:t>
      </w:r>
      <w:r>
        <w:rPr>
          <w:sz w:val="22"/>
        </w:rPr>
        <w:t>Team</w:t>
      </w:r>
      <w:r>
        <w:rPr>
          <w:spacing w:val="-15"/>
          <w:sz w:val="22"/>
        </w:rPr>
        <w:t> </w:t>
      </w:r>
      <w:r>
        <w:rPr>
          <w:sz w:val="22"/>
        </w:rPr>
        <w:t>will</w:t>
      </w:r>
      <w:r>
        <w:rPr>
          <w:spacing w:val="-17"/>
          <w:sz w:val="22"/>
        </w:rPr>
        <w:t> </w:t>
      </w:r>
      <w:r>
        <w:rPr>
          <w:sz w:val="22"/>
        </w:rPr>
        <w:t>elaborate</w:t>
      </w:r>
      <w:r>
        <w:rPr>
          <w:spacing w:val="-16"/>
          <w:sz w:val="22"/>
        </w:rPr>
        <w:t> </w:t>
      </w:r>
      <w:r>
        <w:rPr>
          <w:sz w:val="22"/>
        </w:rPr>
        <w:t>on</w:t>
      </w:r>
      <w:r>
        <w:rPr>
          <w:spacing w:val="-16"/>
          <w:sz w:val="22"/>
        </w:rPr>
        <w:t> </w:t>
      </w:r>
      <w:r>
        <w:rPr>
          <w:sz w:val="22"/>
        </w:rPr>
        <w:t>specific</w:t>
      </w:r>
      <w:r>
        <w:rPr>
          <w:spacing w:val="-16"/>
          <w:sz w:val="22"/>
        </w:rPr>
        <w:t> </w:t>
      </w:r>
      <w:r>
        <w:rPr>
          <w:sz w:val="22"/>
        </w:rPr>
        <w:t>anticipated</w:t>
      </w:r>
      <w:r>
        <w:rPr>
          <w:spacing w:val="-15"/>
          <w:sz w:val="22"/>
        </w:rPr>
        <w:t> </w:t>
      </w:r>
      <w:r>
        <w:rPr>
          <w:sz w:val="22"/>
        </w:rPr>
        <w:t>impacts</w:t>
      </w:r>
      <w:r>
        <w:rPr>
          <w:spacing w:val="-15"/>
          <w:sz w:val="22"/>
        </w:rPr>
        <w:t> </w:t>
      </w:r>
      <w:r>
        <w:rPr>
          <w:sz w:val="22"/>
        </w:rPr>
        <w:t>and</w:t>
      </w:r>
      <w:r>
        <w:rPr>
          <w:spacing w:val="-16"/>
          <w:sz w:val="22"/>
        </w:rPr>
        <w:t> </w:t>
      </w:r>
      <w:r>
        <w:rPr>
          <w:sz w:val="22"/>
        </w:rPr>
        <w:t>outline measures to ensure</w:t>
      </w:r>
      <w:r>
        <w:rPr>
          <w:spacing w:val="-5"/>
          <w:sz w:val="22"/>
        </w:rPr>
        <w:t> </w:t>
      </w:r>
      <w:r>
        <w:rPr>
          <w:sz w:val="22"/>
        </w:rPr>
        <w:t>access.</w:t>
      </w:r>
    </w:p>
    <w:p>
      <w:pPr>
        <w:pStyle w:val="BodyText"/>
        <w:spacing w:before="9"/>
        <w:rPr>
          <w:sz w:val="20"/>
        </w:rPr>
      </w:pPr>
    </w:p>
    <w:p>
      <w:pPr>
        <w:pStyle w:val="Heading3"/>
        <w:numPr>
          <w:ilvl w:val="2"/>
          <w:numId w:val="47"/>
        </w:numPr>
        <w:tabs>
          <w:tab w:pos="1651" w:val="left" w:leader="none"/>
        </w:tabs>
        <w:spacing w:line="240" w:lineRule="auto" w:before="1" w:after="0"/>
        <w:ind w:left="1650" w:right="0" w:hanging="782"/>
        <w:jc w:val="both"/>
      </w:pPr>
      <w:bookmarkStart w:name="_bookmark83" w:id="141"/>
      <w:bookmarkEnd w:id="141"/>
      <w:r>
        <w:rPr>
          <w:color w:val="0D0D0D"/>
        </w:rPr>
        <w:t>B</w:t>
      </w:r>
      <w:r>
        <w:rPr>
          <w:color w:val="0D0D0D"/>
        </w:rPr>
        <w:t>usiness</w:t>
      </w:r>
      <w:r>
        <w:rPr>
          <w:color w:val="0D0D0D"/>
          <w:spacing w:val="-1"/>
        </w:rPr>
        <w:t> </w:t>
      </w:r>
      <w:r>
        <w:rPr>
          <w:color w:val="0D0D0D"/>
        </w:rPr>
        <w:t>Loss</w:t>
      </w:r>
    </w:p>
    <w:p>
      <w:pPr>
        <w:pStyle w:val="ListParagraph"/>
        <w:numPr>
          <w:ilvl w:val="0"/>
          <w:numId w:val="46"/>
        </w:numPr>
        <w:tabs>
          <w:tab w:pos="1589" w:val="left" w:leader="none"/>
        </w:tabs>
        <w:spacing w:line="276" w:lineRule="auto" w:before="157" w:after="0"/>
        <w:ind w:left="868" w:right="154" w:firstLine="0"/>
        <w:jc w:val="both"/>
        <w:rPr>
          <w:sz w:val="22"/>
        </w:rPr>
      </w:pPr>
      <w:r>
        <w:rPr>
          <w:sz w:val="22"/>
        </w:rPr>
        <w:t>Based</w:t>
      </w:r>
      <w:r>
        <w:rPr>
          <w:spacing w:val="-9"/>
          <w:sz w:val="22"/>
        </w:rPr>
        <w:t> </w:t>
      </w:r>
      <w:r>
        <w:rPr>
          <w:sz w:val="22"/>
        </w:rPr>
        <w:t>on</w:t>
      </w:r>
      <w:r>
        <w:rPr>
          <w:spacing w:val="-9"/>
          <w:sz w:val="22"/>
        </w:rPr>
        <w:t> </w:t>
      </w:r>
      <w:r>
        <w:rPr>
          <w:sz w:val="22"/>
        </w:rPr>
        <w:t>impact</w:t>
      </w:r>
      <w:r>
        <w:rPr>
          <w:spacing w:val="-8"/>
          <w:sz w:val="22"/>
        </w:rPr>
        <w:t> </w:t>
      </w:r>
      <w:r>
        <w:rPr>
          <w:sz w:val="22"/>
        </w:rPr>
        <w:t>assessment</w:t>
      </w:r>
      <w:r>
        <w:rPr>
          <w:spacing w:val="-10"/>
          <w:sz w:val="22"/>
        </w:rPr>
        <w:t> </w:t>
      </w:r>
      <w:r>
        <w:rPr>
          <w:sz w:val="22"/>
        </w:rPr>
        <w:t>survey</w:t>
      </w:r>
      <w:r>
        <w:rPr>
          <w:spacing w:val="-11"/>
          <w:sz w:val="22"/>
        </w:rPr>
        <w:t> </w:t>
      </w:r>
      <w:r>
        <w:rPr>
          <w:sz w:val="22"/>
        </w:rPr>
        <w:t>and</w:t>
      </w:r>
      <w:r>
        <w:rPr>
          <w:spacing w:val="-9"/>
          <w:sz w:val="22"/>
        </w:rPr>
        <w:t> </w:t>
      </w:r>
      <w:r>
        <w:rPr>
          <w:sz w:val="22"/>
        </w:rPr>
        <w:t>consultations,</w:t>
      </w:r>
      <w:r>
        <w:rPr>
          <w:spacing w:val="-10"/>
          <w:sz w:val="22"/>
        </w:rPr>
        <w:t> </w:t>
      </w:r>
      <w:r>
        <w:rPr>
          <w:sz w:val="22"/>
        </w:rPr>
        <w:t>the</w:t>
      </w:r>
      <w:r>
        <w:rPr>
          <w:spacing w:val="-9"/>
          <w:sz w:val="22"/>
        </w:rPr>
        <w:t> </w:t>
      </w:r>
      <w:r>
        <w:rPr>
          <w:sz w:val="22"/>
        </w:rPr>
        <w:t>business</w:t>
      </w:r>
      <w:r>
        <w:rPr>
          <w:spacing w:val="-11"/>
          <w:sz w:val="22"/>
        </w:rPr>
        <w:t> </w:t>
      </w:r>
      <w:r>
        <w:rPr>
          <w:sz w:val="22"/>
        </w:rPr>
        <w:t>impact</w:t>
      </w:r>
      <w:r>
        <w:rPr>
          <w:spacing w:val="-8"/>
          <w:sz w:val="22"/>
        </w:rPr>
        <w:t> </w:t>
      </w:r>
      <w:r>
        <w:rPr>
          <w:sz w:val="22"/>
        </w:rPr>
        <w:t>will</w:t>
      </w:r>
      <w:r>
        <w:rPr>
          <w:spacing w:val="-10"/>
          <w:sz w:val="22"/>
        </w:rPr>
        <w:t> </w:t>
      </w:r>
      <w:r>
        <w:rPr>
          <w:sz w:val="22"/>
        </w:rPr>
        <w:t>be temporary and transitory in nature. Accordingly, a transitional business loss allowance for a period of 12 months will be provided. Such transitional support/allowance will be based on their net monthly income calculated during the census survey to offset the business losses during construction phase of that particular</w:t>
      </w:r>
      <w:r>
        <w:rPr>
          <w:spacing w:val="-17"/>
          <w:sz w:val="22"/>
        </w:rPr>
        <w:t> </w:t>
      </w:r>
      <w:r>
        <w:rPr>
          <w:sz w:val="22"/>
        </w:rPr>
        <w:t>location.</w:t>
      </w:r>
    </w:p>
    <w:p>
      <w:pPr>
        <w:pStyle w:val="ListParagraph"/>
        <w:numPr>
          <w:ilvl w:val="0"/>
          <w:numId w:val="46"/>
        </w:numPr>
        <w:tabs>
          <w:tab w:pos="1589" w:val="left" w:leader="none"/>
        </w:tabs>
        <w:spacing w:line="276" w:lineRule="auto" w:before="120" w:after="0"/>
        <w:ind w:left="868" w:right="152" w:firstLine="0"/>
        <w:jc w:val="both"/>
        <w:rPr>
          <w:sz w:val="22"/>
        </w:rPr>
      </w:pPr>
      <w:r>
        <w:rPr>
          <w:sz w:val="22"/>
        </w:rPr>
        <w:t>For loss of business in addition to compensation, opportunities specified in the bid documents for project-based job or training to alternative livelihood sources with organizational and logistical support to establish the PAP in an alternative income generation activity. For this purpose, relevant governmental and non-governmental organization will be coordinated, and their support will be</w:t>
      </w:r>
      <w:r>
        <w:rPr>
          <w:spacing w:val="-20"/>
          <w:sz w:val="22"/>
        </w:rPr>
        <w:t> </w:t>
      </w:r>
      <w:r>
        <w:rPr>
          <w:sz w:val="22"/>
        </w:rPr>
        <w:t>sought.</w:t>
      </w:r>
    </w:p>
    <w:p>
      <w:pPr>
        <w:pStyle w:val="BodyText"/>
        <w:spacing w:before="10"/>
        <w:rPr>
          <w:sz w:val="20"/>
        </w:rPr>
      </w:pPr>
    </w:p>
    <w:p>
      <w:pPr>
        <w:pStyle w:val="Heading3"/>
        <w:numPr>
          <w:ilvl w:val="2"/>
          <w:numId w:val="47"/>
        </w:numPr>
        <w:tabs>
          <w:tab w:pos="1589" w:val="left" w:leader="none"/>
        </w:tabs>
        <w:spacing w:line="240" w:lineRule="auto" w:before="0" w:after="0"/>
        <w:ind w:left="1588" w:right="0" w:hanging="720"/>
        <w:jc w:val="both"/>
      </w:pPr>
      <w:bookmarkStart w:name="_bookmark84" w:id="142"/>
      <w:bookmarkEnd w:id="142"/>
      <w:r>
        <w:rPr>
          <w:b w:val="0"/>
        </w:rPr>
      </w:r>
      <w:bookmarkStart w:name="_bookmark84" w:id="143"/>
      <w:bookmarkEnd w:id="143"/>
      <w:r>
        <w:rPr>
          <w:color w:val="0D0D0D"/>
        </w:rPr>
        <w:t>E</w:t>
      </w:r>
      <w:r>
        <w:rPr>
          <w:color w:val="0D0D0D"/>
        </w:rPr>
        <w:t>mployment</w:t>
      </w:r>
      <w:r>
        <w:rPr>
          <w:color w:val="0D0D0D"/>
          <w:spacing w:val="-2"/>
        </w:rPr>
        <w:t> </w:t>
      </w:r>
      <w:r>
        <w:rPr>
          <w:color w:val="0D0D0D"/>
        </w:rPr>
        <w:t>Loss</w:t>
      </w:r>
    </w:p>
    <w:p>
      <w:pPr>
        <w:pStyle w:val="ListParagraph"/>
        <w:numPr>
          <w:ilvl w:val="0"/>
          <w:numId w:val="46"/>
        </w:numPr>
        <w:tabs>
          <w:tab w:pos="1589" w:val="left" w:leader="none"/>
        </w:tabs>
        <w:spacing w:line="276" w:lineRule="auto" w:before="157" w:after="0"/>
        <w:ind w:left="868" w:right="156" w:firstLine="0"/>
        <w:jc w:val="both"/>
        <w:rPr>
          <w:sz w:val="22"/>
        </w:rPr>
      </w:pPr>
      <w:r>
        <w:rPr>
          <w:sz w:val="22"/>
        </w:rPr>
        <w:t>The loss of employment due to construction activities among all laid-off employees of affected businesses will be compensated through cash compensation during the period of</w:t>
      </w:r>
      <w:r>
        <w:rPr>
          <w:spacing w:val="-3"/>
          <w:sz w:val="22"/>
        </w:rPr>
        <w:t> </w:t>
      </w:r>
      <w:r>
        <w:rPr>
          <w:sz w:val="22"/>
        </w:rPr>
        <w:t>employment</w:t>
      </w:r>
      <w:r>
        <w:rPr>
          <w:spacing w:val="-5"/>
          <w:sz w:val="22"/>
        </w:rPr>
        <w:t> </w:t>
      </w:r>
      <w:r>
        <w:rPr>
          <w:sz w:val="22"/>
        </w:rPr>
        <w:t>interruption</w:t>
      </w:r>
      <w:r>
        <w:rPr>
          <w:spacing w:val="-7"/>
          <w:sz w:val="22"/>
        </w:rPr>
        <w:t> </w:t>
      </w:r>
      <w:r>
        <w:rPr>
          <w:sz w:val="22"/>
        </w:rPr>
        <w:t>maximum</w:t>
      </w:r>
      <w:r>
        <w:rPr>
          <w:spacing w:val="-8"/>
          <w:sz w:val="22"/>
        </w:rPr>
        <w:t> </w:t>
      </w:r>
      <w:r>
        <w:rPr>
          <w:sz w:val="22"/>
        </w:rPr>
        <w:t>up</w:t>
      </w:r>
      <w:r>
        <w:rPr>
          <w:spacing w:val="-9"/>
          <w:sz w:val="22"/>
        </w:rPr>
        <w:t> </w:t>
      </w:r>
      <w:r>
        <w:rPr>
          <w:sz w:val="22"/>
        </w:rPr>
        <w:t>to</w:t>
      </w:r>
      <w:r>
        <w:rPr>
          <w:spacing w:val="-9"/>
          <w:sz w:val="22"/>
        </w:rPr>
        <w:t> </w:t>
      </w:r>
      <w:r>
        <w:rPr>
          <w:sz w:val="22"/>
        </w:rPr>
        <w:t>three</w:t>
      </w:r>
      <w:r>
        <w:rPr>
          <w:spacing w:val="-9"/>
          <w:sz w:val="22"/>
        </w:rPr>
        <w:t> </w:t>
      </w:r>
      <w:r>
        <w:rPr>
          <w:sz w:val="22"/>
        </w:rPr>
        <w:t>(03)</w:t>
      </w:r>
      <w:r>
        <w:rPr>
          <w:spacing w:val="-8"/>
          <w:sz w:val="22"/>
        </w:rPr>
        <w:t> </w:t>
      </w:r>
      <w:r>
        <w:rPr>
          <w:sz w:val="22"/>
        </w:rPr>
        <w:t>months,</w:t>
      </w:r>
      <w:r>
        <w:rPr>
          <w:spacing w:val="-8"/>
          <w:sz w:val="22"/>
        </w:rPr>
        <w:t> </w:t>
      </w:r>
      <w:r>
        <w:rPr>
          <w:sz w:val="22"/>
        </w:rPr>
        <w:t>based</w:t>
      </w:r>
      <w:r>
        <w:rPr>
          <w:spacing w:val="-9"/>
          <w:sz w:val="22"/>
        </w:rPr>
        <w:t> </w:t>
      </w:r>
      <w:r>
        <w:rPr>
          <w:sz w:val="22"/>
        </w:rPr>
        <w:t>on</w:t>
      </w:r>
      <w:r>
        <w:rPr>
          <w:spacing w:val="-7"/>
          <w:sz w:val="22"/>
        </w:rPr>
        <w:t> </w:t>
      </w:r>
      <w:r>
        <w:rPr>
          <w:sz w:val="22"/>
        </w:rPr>
        <w:t>based</w:t>
      </w:r>
      <w:r>
        <w:rPr>
          <w:spacing w:val="-6"/>
          <w:sz w:val="22"/>
        </w:rPr>
        <w:t> </w:t>
      </w:r>
      <w:r>
        <w:rPr>
          <w:sz w:val="22"/>
        </w:rPr>
        <w:t>on</w:t>
      </w:r>
      <w:r>
        <w:rPr>
          <w:spacing w:val="-7"/>
          <w:sz w:val="22"/>
        </w:rPr>
        <w:t> </w:t>
      </w:r>
      <w:r>
        <w:rPr>
          <w:sz w:val="22"/>
        </w:rPr>
        <w:t>officially designated minimum wage</w:t>
      </w:r>
      <w:r>
        <w:rPr>
          <w:spacing w:val="-10"/>
          <w:sz w:val="22"/>
        </w:rPr>
        <w:t> </w:t>
      </w:r>
      <w:r>
        <w:rPr>
          <w:sz w:val="22"/>
        </w:rPr>
        <w:t>rate.</w:t>
      </w:r>
    </w:p>
    <w:p>
      <w:pPr>
        <w:pStyle w:val="BodyText"/>
        <w:spacing w:before="10"/>
        <w:rPr>
          <w:sz w:val="20"/>
        </w:rPr>
      </w:pPr>
    </w:p>
    <w:p>
      <w:pPr>
        <w:pStyle w:val="Heading3"/>
        <w:numPr>
          <w:ilvl w:val="2"/>
          <w:numId w:val="47"/>
        </w:numPr>
        <w:tabs>
          <w:tab w:pos="1589" w:val="left" w:leader="none"/>
        </w:tabs>
        <w:spacing w:line="240" w:lineRule="auto" w:before="0" w:after="0"/>
        <w:ind w:left="1588" w:right="0" w:hanging="720"/>
        <w:jc w:val="both"/>
      </w:pPr>
      <w:bookmarkStart w:name="_bookmark85" w:id="144"/>
      <w:bookmarkEnd w:id="144"/>
      <w:r>
        <w:rPr>
          <w:b w:val="0"/>
        </w:rPr>
      </w:r>
      <w:bookmarkStart w:name="_bookmark85" w:id="145"/>
      <w:bookmarkEnd w:id="145"/>
      <w:r>
        <w:rPr>
          <w:color w:val="0D0D0D"/>
        </w:rPr>
        <w:t>S</w:t>
      </w:r>
      <w:r>
        <w:rPr>
          <w:color w:val="0D0D0D"/>
        </w:rPr>
        <w:t>pecial Provisions for Vulnerable</w:t>
      </w:r>
      <w:r>
        <w:rPr>
          <w:color w:val="0D0D0D"/>
          <w:spacing w:val="-9"/>
        </w:rPr>
        <w:t> </w:t>
      </w:r>
      <w:r>
        <w:rPr>
          <w:color w:val="0D0D0D"/>
        </w:rPr>
        <w:t>PAPs</w:t>
      </w:r>
    </w:p>
    <w:p>
      <w:pPr>
        <w:pStyle w:val="ListParagraph"/>
        <w:numPr>
          <w:ilvl w:val="0"/>
          <w:numId w:val="46"/>
        </w:numPr>
        <w:tabs>
          <w:tab w:pos="1589" w:val="left" w:leader="none"/>
        </w:tabs>
        <w:spacing w:line="276" w:lineRule="auto" w:before="159" w:after="0"/>
        <w:ind w:left="868" w:right="155" w:firstLine="0"/>
        <w:jc w:val="both"/>
        <w:rPr>
          <w:sz w:val="22"/>
        </w:rPr>
      </w:pPr>
      <w:r>
        <w:rPr>
          <w:sz w:val="22"/>
        </w:rPr>
        <w:t>A total 19 vulnerable PAPs will be paid cash assistance equal to three (03)</w:t>
      </w:r>
      <w:r>
        <w:rPr>
          <w:spacing w:val="-37"/>
          <w:sz w:val="22"/>
        </w:rPr>
        <w:t> </w:t>
      </w:r>
      <w:r>
        <w:rPr>
          <w:sz w:val="22"/>
        </w:rPr>
        <w:t>months officially announced wages of GoS in addition to applicable transitional allowance for income restoration as explained in above</w:t>
      </w:r>
      <w:r>
        <w:rPr>
          <w:spacing w:val="-10"/>
          <w:sz w:val="22"/>
        </w:rPr>
        <w:t> </w:t>
      </w:r>
      <w:r>
        <w:rPr>
          <w:sz w:val="22"/>
        </w:rPr>
        <w:t>sections.</w:t>
      </w:r>
    </w:p>
    <w:p>
      <w:pPr>
        <w:spacing w:after="0" w:line="276" w:lineRule="auto"/>
        <w:jc w:val="both"/>
        <w:rPr>
          <w:sz w:val="22"/>
        </w:rPr>
        <w:sectPr>
          <w:pgSz w:w="11910" w:h="16840"/>
          <w:pgMar w:header="583" w:footer="575" w:top="840" w:bottom="760" w:left="860" w:right="1280"/>
        </w:sectPr>
      </w:pPr>
    </w:p>
    <w:p>
      <w:pPr>
        <w:pStyle w:val="BodyText"/>
        <w:rPr>
          <w:sz w:val="20"/>
        </w:rPr>
      </w:pPr>
    </w:p>
    <w:p>
      <w:pPr>
        <w:pStyle w:val="BodyText"/>
        <w:rPr>
          <w:sz w:val="20"/>
        </w:rPr>
      </w:pPr>
    </w:p>
    <w:p>
      <w:pPr>
        <w:pStyle w:val="BodyText"/>
        <w:spacing w:before="10"/>
        <w:rPr>
          <w:sz w:val="27"/>
        </w:rPr>
      </w:pPr>
    </w:p>
    <w:p>
      <w:pPr>
        <w:pStyle w:val="Heading3"/>
        <w:numPr>
          <w:ilvl w:val="2"/>
          <w:numId w:val="47"/>
        </w:numPr>
        <w:tabs>
          <w:tab w:pos="1589" w:val="left" w:leader="none"/>
        </w:tabs>
        <w:spacing w:line="240" w:lineRule="auto" w:before="93" w:after="0"/>
        <w:ind w:left="1588" w:right="0" w:hanging="720"/>
        <w:jc w:val="both"/>
      </w:pPr>
      <w:bookmarkStart w:name="_bookmark86" w:id="146"/>
      <w:bookmarkEnd w:id="146"/>
      <w:r>
        <w:rPr>
          <w:b w:val="0"/>
        </w:rPr>
      </w:r>
      <w:bookmarkStart w:name="_bookmark86" w:id="147"/>
      <w:bookmarkEnd w:id="147"/>
      <w:r>
        <w:rPr>
          <w:color w:val="0D0D0D"/>
        </w:rPr>
        <w:t>P</w:t>
      </w:r>
      <w:r>
        <w:rPr>
          <w:color w:val="0D0D0D"/>
        </w:rPr>
        <w:t>ublic Services and</w:t>
      </w:r>
      <w:r>
        <w:rPr>
          <w:color w:val="0D0D0D"/>
          <w:spacing w:val="-8"/>
        </w:rPr>
        <w:t> </w:t>
      </w:r>
      <w:r>
        <w:rPr>
          <w:color w:val="0D0D0D"/>
        </w:rPr>
        <w:t>Facilities</w:t>
      </w:r>
    </w:p>
    <w:p>
      <w:pPr>
        <w:pStyle w:val="ListParagraph"/>
        <w:numPr>
          <w:ilvl w:val="0"/>
          <w:numId w:val="46"/>
        </w:numPr>
        <w:tabs>
          <w:tab w:pos="1589" w:val="left" w:leader="none"/>
        </w:tabs>
        <w:spacing w:line="276" w:lineRule="auto" w:before="157" w:after="0"/>
        <w:ind w:left="868" w:right="152" w:firstLine="0"/>
        <w:jc w:val="both"/>
        <w:rPr>
          <w:sz w:val="22"/>
        </w:rPr>
      </w:pPr>
      <w:r>
        <w:rPr>
          <w:sz w:val="22"/>
        </w:rPr>
        <w:t>Public services and facilities interrupted and/or displaced due to project interventions</w:t>
      </w:r>
      <w:r>
        <w:rPr>
          <w:spacing w:val="-13"/>
          <w:sz w:val="22"/>
        </w:rPr>
        <w:t> </w:t>
      </w:r>
      <w:r>
        <w:rPr>
          <w:sz w:val="22"/>
        </w:rPr>
        <w:t>will</w:t>
      </w:r>
      <w:r>
        <w:rPr>
          <w:spacing w:val="-14"/>
          <w:sz w:val="22"/>
        </w:rPr>
        <w:t> </w:t>
      </w:r>
      <w:r>
        <w:rPr>
          <w:sz w:val="22"/>
        </w:rPr>
        <w:t>be</w:t>
      </w:r>
      <w:r>
        <w:rPr>
          <w:spacing w:val="-14"/>
          <w:sz w:val="22"/>
        </w:rPr>
        <w:t> </w:t>
      </w:r>
      <w:r>
        <w:rPr>
          <w:sz w:val="22"/>
        </w:rPr>
        <w:t>fully</w:t>
      </w:r>
      <w:r>
        <w:rPr>
          <w:spacing w:val="-16"/>
          <w:sz w:val="22"/>
        </w:rPr>
        <w:t> </w:t>
      </w:r>
      <w:r>
        <w:rPr>
          <w:sz w:val="22"/>
        </w:rPr>
        <w:t>restored</w:t>
      </w:r>
      <w:r>
        <w:rPr>
          <w:spacing w:val="-14"/>
          <w:sz w:val="22"/>
        </w:rPr>
        <w:t> </w:t>
      </w:r>
      <w:r>
        <w:rPr>
          <w:sz w:val="22"/>
        </w:rPr>
        <w:t>and</w:t>
      </w:r>
      <w:r>
        <w:rPr>
          <w:spacing w:val="-16"/>
          <w:sz w:val="22"/>
        </w:rPr>
        <w:t> </w:t>
      </w:r>
      <w:r>
        <w:rPr>
          <w:sz w:val="22"/>
        </w:rPr>
        <w:t>re-established</w:t>
      </w:r>
      <w:r>
        <w:rPr>
          <w:spacing w:val="-14"/>
          <w:sz w:val="22"/>
        </w:rPr>
        <w:t> </w:t>
      </w:r>
      <w:r>
        <w:rPr>
          <w:sz w:val="22"/>
        </w:rPr>
        <w:t>at</w:t>
      </w:r>
      <w:r>
        <w:rPr>
          <w:spacing w:val="-15"/>
          <w:sz w:val="22"/>
        </w:rPr>
        <w:t> </w:t>
      </w:r>
      <w:r>
        <w:rPr>
          <w:sz w:val="22"/>
        </w:rPr>
        <w:t>their</w:t>
      </w:r>
      <w:r>
        <w:rPr>
          <w:spacing w:val="-13"/>
          <w:sz w:val="22"/>
        </w:rPr>
        <w:t> </w:t>
      </w:r>
      <w:r>
        <w:rPr>
          <w:sz w:val="22"/>
        </w:rPr>
        <w:t>original</w:t>
      </w:r>
      <w:r>
        <w:rPr>
          <w:spacing w:val="-14"/>
          <w:sz w:val="22"/>
        </w:rPr>
        <w:t> </w:t>
      </w:r>
      <w:r>
        <w:rPr>
          <w:sz w:val="22"/>
        </w:rPr>
        <w:t>location</w:t>
      </w:r>
      <w:r>
        <w:rPr>
          <w:spacing w:val="-13"/>
          <w:sz w:val="22"/>
        </w:rPr>
        <w:t> </w:t>
      </w:r>
      <w:r>
        <w:rPr>
          <w:sz w:val="22"/>
        </w:rPr>
        <w:t>or</w:t>
      </w:r>
      <w:r>
        <w:rPr>
          <w:spacing w:val="-13"/>
          <w:sz w:val="22"/>
        </w:rPr>
        <w:t> </w:t>
      </w:r>
      <w:r>
        <w:rPr>
          <w:sz w:val="22"/>
        </w:rPr>
        <w:t>a</w:t>
      </w:r>
      <w:r>
        <w:rPr>
          <w:spacing w:val="-16"/>
          <w:sz w:val="22"/>
        </w:rPr>
        <w:t> </w:t>
      </w:r>
      <w:r>
        <w:rPr>
          <w:sz w:val="22"/>
        </w:rPr>
        <w:t>relocation site.</w:t>
      </w:r>
      <w:r>
        <w:rPr>
          <w:spacing w:val="-16"/>
          <w:sz w:val="22"/>
        </w:rPr>
        <w:t> </w:t>
      </w:r>
      <w:r>
        <w:rPr>
          <w:sz w:val="22"/>
        </w:rPr>
        <w:t>All</w:t>
      </w:r>
      <w:r>
        <w:rPr>
          <w:spacing w:val="-15"/>
          <w:sz w:val="22"/>
        </w:rPr>
        <w:t> </w:t>
      </w:r>
      <w:r>
        <w:rPr>
          <w:sz w:val="22"/>
        </w:rPr>
        <w:t>compensation,</w:t>
      </w:r>
      <w:r>
        <w:rPr>
          <w:spacing w:val="-16"/>
          <w:sz w:val="22"/>
        </w:rPr>
        <w:t> </w:t>
      </w:r>
      <w:r>
        <w:rPr>
          <w:sz w:val="22"/>
        </w:rPr>
        <w:t>relocation</w:t>
      </w:r>
      <w:r>
        <w:rPr>
          <w:spacing w:val="-15"/>
          <w:sz w:val="22"/>
        </w:rPr>
        <w:t> </w:t>
      </w:r>
      <w:r>
        <w:rPr>
          <w:sz w:val="22"/>
        </w:rPr>
        <w:t>and</w:t>
      </w:r>
      <w:r>
        <w:rPr>
          <w:spacing w:val="-17"/>
          <w:sz w:val="22"/>
        </w:rPr>
        <w:t> </w:t>
      </w:r>
      <w:r>
        <w:rPr>
          <w:sz w:val="22"/>
        </w:rPr>
        <w:t>rehabilitation</w:t>
      </w:r>
      <w:r>
        <w:rPr>
          <w:spacing w:val="-14"/>
          <w:sz w:val="22"/>
        </w:rPr>
        <w:t> </w:t>
      </w:r>
      <w:r>
        <w:rPr>
          <w:sz w:val="22"/>
        </w:rPr>
        <w:t>provisions</w:t>
      </w:r>
      <w:r>
        <w:rPr>
          <w:spacing w:val="-14"/>
          <w:sz w:val="22"/>
        </w:rPr>
        <w:t> </w:t>
      </w:r>
      <w:r>
        <w:rPr>
          <w:sz w:val="22"/>
        </w:rPr>
        <w:t>of</w:t>
      </w:r>
      <w:r>
        <w:rPr>
          <w:spacing w:val="-16"/>
          <w:sz w:val="22"/>
        </w:rPr>
        <w:t> </w:t>
      </w:r>
      <w:r>
        <w:rPr>
          <w:sz w:val="22"/>
        </w:rPr>
        <w:t>this</w:t>
      </w:r>
      <w:r>
        <w:rPr>
          <w:spacing w:val="-14"/>
          <w:sz w:val="22"/>
        </w:rPr>
        <w:t> </w:t>
      </w:r>
      <w:r>
        <w:rPr>
          <w:sz w:val="22"/>
        </w:rPr>
        <w:t>C&amp;LRP</w:t>
      </w:r>
      <w:r>
        <w:rPr>
          <w:spacing w:val="-15"/>
          <w:sz w:val="22"/>
        </w:rPr>
        <w:t> </w:t>
      </w:r>
      <w:r>
        <w:rPr>
          <w:sz w:val="22"/>
        </w:rPr>
        <w:t>are</w:t>
      </w:r>
      <w:r>
        <w:rPr>
          <w:spacing w:val="-16"/>
          <w:sz w:val="22"/>
        </w:rPr>
        <w:t> </w:t>
      </w:r>
      <w:r>
        <w:rPr>
          <w:sz w:val="22"/>
        </w:rPr>
        <w:t>applicable to public services and facilities. These include but are not limited to police check posts, community centres, telecommunication, gas and electricity supply lines, water and sewerage lines.</w:t>
      </w:r>
    </w:p>
    <w:p>
      <w:pPr>
        <w:pStyle w:val="BodyText"/>
        <w:spacing w:before="2"/>
        <w:rPr>
          <w:sz w:val="21"/>
        </w:rPr>
      </w:pPr>
    </w:p>
    <w:p>
      <w:pPr>
        <w:pStyle w:val="Heading2"/>
        <w:ind w:left="868" w:firstLine="0"/>
      </w:pPr>
      <w:bookmarkStart w:name="_bookmark87" w:id="148"/>
      <w:bookmarkEnd w:id="148"/>
      <w:r>
        <w:rPr>
          <w:b w:val="0"/>
        </w:rPr>
      </w:r>
      <w:r>
        <w:rPr/>
        <w:t>9.3    Livelihood Restoration and Enhancement Programs</w:t>
      </w:r>
    </w:p>
    <w:p>
      <w:pPr>
        <w:pStyle w:val="ListParagraph"/>
        <w:numPr>
          <w:ilvl w:val="0"/>
          <w:numId w:val="46"/>
        </w:numPr>
        <w:tabs>
          <w:tab w:pos="1589" w:val="left" w:leader="none"/>
        </w:tabs>
        <w:spacing w:line="276" w:lineRule="auto" w:before="160" w:after="0"/>
        <w:ind w:left="868" w:right="151" w:firstLine="0"/>
        <w:jc w:val="both"/>
        <w:rPr>
          <w:sz w:val="22"/>
        </w:rPr>
      </w:pPr>
      <w:r>
        <w:rPr>
          <w:sz w:val="22"/>
        </w:rPr>
        <w:t>Livelihood enhancement initiatives will be provided to help PAPs to re-establish their livelihoods or create new ones. The training programs would be designed based on the experience and lessons learned from similar programs in infrastructure investment in Pakistan</w:t>
      </w:r>
      <w:r>
        <w:rPr>
          <w:spacing w:val="-7"/>
          <w:sz w:val="22"/>
        </w:rPr>
        <w:t> </w:t>
      </w:r>
      <w:r>
        <w:rPr>
          <w:sz w:val="22"/>
        </w:rPr>
        <w:t>in</w:t>
      </w:r>
      <w:r>
        <w:rPr>
          <w:spacing w:val="-4"/>
          <w:sz w:val="22"/>
        </w:rPr>
        <w:t> </w:t>
      </w:r>
      <w:r>
        <w:rPr>
          <w:sz w:val="22"/>
        </w:rPr>
        <w:t>delivering</w:t>
      </w:r>
      <w:r>
        <w:rPr>
          <w:spacing w:val="-2"/>
          <w:sz w:val="22"/>
        </w:rPr>
        <w:t> </w:t>
      </w:r>
      <w:r>
        <w:rPr>
          <w:sz w:val="22"/>
        </w:rPr>
        <w:t>effective</w:t>
      </w:r>
      <w:r>
        <w:rPr>
          <w:spacing w:val="-4"/>
          <w:sz w:val="22"/>
        </w:rPr>
        <w:t> </w:t>
      </w:r>
      <w:r>
        <w:rPr>
          <w:sz w:val="22"/>
        </w:rPr>
        <w:t>best</w:t>
      </w:r>
      <w:r>
        <w:rPr>
          <w:spacing w:val="-3"/>
          <w:sz w:val="22"/>
        </w:rPr>
        <w:t> </w:t>
      </w:r>
      <w:r>
        <w:rPr>
          <w:sz w:val="22"/>
        </w:rPr>
        <w:t>practice</w:t>
      </w:r>
      <w:r>
        <w:rPr>
          <w:spacing w:val="-4"/>
          <w:sz w:val="22"/>
        </w:rPr>
        <w:t> </w:t>
      </w:r>
      <w:r>
        <w:rPr>
          <w:sz w:val="22"/>
        </w:rPr>
        <w:t>livelihood</w:t>
      </w:r>
      <w:r>
        <w:rPr>
          <w:spacing w:val="-4"/>
          <w:sz w:val="22"/>
        </w:rPr>
        <w:t> </w:t>
      </w:r>
      <w:r>
        <w:rPr>
          <w:sz w:val="22"/>
        </w:rPr>
        <w:t>assistance</w:t>
      </w:r>
      <w:r>
        <w:rPr>
          <w:spacing w:val="-9"/>
          <w:sz w:val="22"/>
        </w:rPr>
        <w:t> </w:t>
      </w:r>
      <w:r>
        <w:rPr>
          <w:sz w:val="22"/>
        </w:rPr>
        <w:t>for</w:t>
      </w:r>
      <w:r>
        <w:rPr>
          <w:spacing w:val="-6"/>
          <w:sz w:val="22"/>
        </w:rPr>
        <w:t> </w:t>
      </w:r>
      <w:r>
        <w:rPr>
          <w:sz w:val="22"/>
        </w:rPr>
        <w:t>PAPs.</w:t>
      </w:r>
      <w:r>
        <w:rPr>
          <w:spacing w:val="-5"/>
          <w:sz w:val="22"/>
        </w:rPr>
        <w:t> </w:t>
      </w:r>
      <w:r>
        <w:rPr>
          <w:sz w:val="22"/>
        </w:rPr>
        <w:t>The</w:t>
      </w:r>
      <w:r>
        <w:rPr>
          <w:spacing w:val="-7"/>
          <w:sz w:val="22"/>
        </w:rPr>
        <w:t> </w:t>
      </w:r>
      <w:r>
        <w:rPr>
          <w:sz w:val="22"/>
        </w:rPr>
        <w:t>programs are categorized under the following thematic</w:t>
      </w:r>
      <w:r>
        <w:rPr>
          <w:spacing w:val="-15"/>
          <w:sz w:val="22"/>
        </w:rPr>
        <w:t> </w:t>
      </w:r>
      <w:r>
        <w:rPr>
          <w:sz w:val="22"/>
        </w:rPr>
        <w:t>areas:</w:t>
      </w:r>
    </w:p>
    <w:p>
      <w:pPr>
        <w:pStyle w:val="BodyText"/>
        <w:spacing w:before="10"/>
        <w:rPr>
          <w:sz w:val="20"/>
        </w:rPr>
      </w:pPr>
    </w:p>
    <w:p>
      <w:pPr>
        <w:pStyle w:val="Heading3"/>
        <w:numPr>
          <w:ilvl w:val="2"/>
          <w:numId w:val="48"/>
        </w:numPr>
        <w:tabs>
          <w:tab w:pos="1589" w:val="left" w:leader="none"/>
        </w:tabs>
        <w:spacing w:line="240" w:lineRule="auto" w:before="0" w:after="0"/>
        <w:ind w:left="1588" w:right="0" w:hanging="720"/>
        <w:jc w:val="both"/>
      </w:pPr>
      <w:bookmarkStart w:name="_bookmark88" w:id="149"/>
      <w:bookmarkEnd w:id="149"/>
      <w:r>
        <w:rPr>
          <w:b w:val="0"/>
        </w:rPr>
      </w:r>
      <w:bookmarkStart w:name="_bookmark88" w:id="150"/>
      <w:bookmarkEnd w:id="150"/>
      <w:r>
        <w:rPr>
          <w:color w:val="0D0D0D"/>
        </w:rPr>
        <w:t>Fina</w:t>
      </w:r>
      <w:r>
        <w:rPr>
          <w:color w:val="0D0D0D"/>
        </w:rPr>
        <w:t>ncial Management Training</w:t>
      </w:r>
      <w:r>
        <w:rPr>
          <w:color w:val="0D0D0D"/>
          <w:spacing w:val="-4"/>
        </w:rPr>
        <w:t> </w:t>
      </w:r>
      <w:r>
        <w:rPr>
          <w:color w:val="0D0D0D"/>
        </w:rPr>
        <w:t>Program</w:t>
      </w:r>
    </w:p>
    <w:p>
      <w:pPr>
        <w:pStyle w:val="ListParagraph"/>
        <w:numPr>
          <w:ilvl w:val="0"/>
          <w:numId w:val="46"/>
        </w:numPr>
        <w:tabs>
          <w:tab w:pos="1589" w:val="left" w:leader="none"/>
        </w:tabs>
        <w:spacing w:line="276" w:lineRule="auto" w:before="157" w:after="0"/>
        <w:ind w:left="868" w:right="153" w:firstLine="0"/>
        <w:jc w:val="both"/>
        <w:rPr>
          <w:sz w:val="22"/>
        </w:rPr>
      </w:pPr>
      <w:r>
        <w:rPr>
          <w:sz w:val="22"/>
        </w:rPr>
        <w:t>A</w:t>
      </w:r>
      <w:r>
        <w:rPr>
          <w:spacing w:val="-7"/>
          <w:sz w:val="22"/>
        </w:rPr>
        <w:t> </w:t>
      </w:r>
      <w:r>
        <w:rPr>
          <w:sz w:val="22"/>
        </w:rPr>
        <w:t>training</w:t>
      </w:r>
      <w:r>
        <w:rPr>
          <w:spacing w:val="-7"/>
          <w:sz w:val="22"/>
        </w:rPr>
        <w:t> </w:t>
      </w:r>
      <w:r>
        <w:rPr>
          <w:sz w:val="22"/>
        </w:rPr>
        <w:t>on</w:t>
      </w:r>
      <w:r>
        <w:rPr>
          <w:spacing w:val="-9"/>
          <w:sz w:val="22"/>
        </w:rPr>
        <w:t> </w:t>
      </w:r>
      <w:r>
        <w:rPr>
          <w:sz w:val="22"/>
        </w:rPr>
        <w:t>financial</w:t>
      </w:r>
      <w:r>
        <w:rPr>
          <w:spacing w:val="-7"/>
          <w:sz w:val="22"/>
        </w:rPr>
        <w:t> </w:t>
      </w:r>
      <w:r>
        <w:rPr>
          <w:sz w:val="22"/>
        </w:rPr>
        <w:t>management</w:t>
      </w:r>
      <w:r>
        <w:rPr>
          <w:spacing w:val="-7"/>
          <w:sz w:val="22"/>
        </w:rPr>
        <w:t> </w:t>
      </w:r>
      <w:r>
        <w:rPr>
          <w:sz w:val="22"/>
        </w:rPr>
        <w:t>training</w:t>
      </w:r>
      <w:r>
        <w:rPr>
          <w:spacing w:val="-5"/>
          <w:sz w:val="22"/>
        </w:rPr>
        <w:t> </w:t>
      </w:r>
      <w:r>
        <w:rPr>
          <w:sz w:val="22"/>
        </w:rPr>
        <w:t>will</w:t>
      </w:r>
      <w:r>
        <w:rPr>
          <w:spacing w:val="-7"/>
          <w:sz w:val="22"/>
        </w:rPr>
        <w:t> </w:t>
      </w:r>
      <w:r>
        <w:rPr>
          <w:sz w:val="22"/>
        </w:rPr>
        <w:t>be</w:t>
      </w:r>
      <w:r>
        <w:rPr>
          <w:spacing w:val="-5"/>
          <w:sz w:val="22"/>
        </w:rPr>
        <w:t> </w:t>
      </w:r>
      <w:r>
        <w:rPr>
          <w:sz w:val="22"/>
        </w:rPr>
        <w:t>organized</w:t>
      </w:r>
      <w:r>
        <w:rPr>
          <w:spacing w:val="-9"/>
          <w:sz w:val="22"/>
        </w:rPr>
        <w:t> </w:t>
      </w:r>
      <w:r>
        <w:rPr>
          <w:sz w:val="22"/>
        </w:rPr>
        <w:t>for</w:t>
      </w:r>
      <w:r>
        <w:rPr>
          <w:spacing w:val="-5"/>
          <w:sz w:val="22"/>
        </w:rPr>
        <w:t> </w:t>
      </w:r>
      <w:r>
        <w:rPr>
          <w:sz w:val="22"/>
        </w:rPr>
        <w:t>PAPs.</w:t>
      </w:r>
      <w:r>
        <w:rPr>
          <w:spacing w:val="-6"/>
          <w:sz w:val="22"/>
        </w:rPr>
        <w:t> </w:t>
      </w:r>
      <w:r>
        <w:rPr>
          <w:sz w:val="22"/>
        </w:rPr>
        <w:t>The</w:t>
      </w:r>
      <w:r>
        <w:rPr>
          <w:spacing w:val="-9"/>
          <w:sz w:val="22"/>
        </w:rPr>
        <w:t> </w:t>
      </w:r>
      <w:r>
        <w:rPr>
          <w:sz w:val="22"/>
        </w:rPr>
        <w:t>course should be designed to help impacted persons to utilize compensation payments appropriately</w:t>
      </w:r>
      <w:r>
        <w:rPr>
          <w:spacing w:val="-8"/>
          <w:sz w:val="22"/>
        </w:rPr>
        <w:t> </w:t>
      </w:r>
      <w:r>
        <w:rPr>
          <w:sz w:val="22"/>
        </w:rPr>
        <w:t>in</w:t>
      </w:r>
      <w:r>
        <w:rPr>
          <w:spacing w:val="-6"/>
          <w:sz w:val="22"/>
        </w:rPr>
        <w:t> </w:t>
      </w:r>
      <w:r>
        <w:rPr>
          <w:sz w:val="22"/>
        </w:rPr>
        <w:t>support</w:t>
      </w:r>
      <w:r>
        <w:rPr>
          <w:spacing w:val="-8"/>
          <w:sz w:val="22"/>
        </w:rPr>
        <w:t> </w:t>
      </w:r>
      <w:r>
        <w:rPr>
          <w:sz w:val="22"/>
        </w:rPr>
        <w:t>of</w:t>
      </w:r>
      <w:r>
        <w:rPr>
          <w:spacing w:val="-3"/>
          <w:sz w:val="22"/>
        </w:rPr>
        <w:t> </w:t>
      </w:r>
      <w:r>
        <w:rPr>
          <w:sz w:val="22"/>
        </w:rPr>
        <w:t>sustainable</w:t>
      </w:r>
      <w:r>
        <w:rPr>
          <w:spacing w:val="-6"/>
          <w:sz w:val="22"/>
        </w:rPr>
        <w:t> </w:t>
      </w:r>
      <w:r>
        <w:rPr>
          <w:sz w:val="22"/>
        </w:rPr>
        <w:t>livelihoods.</w:t>
      </w:r>
      <w:r>
        <w:rPr>
          <w:spacing w:val="-5"/>
          <w:sz w:val="22"/>
        </w:rPr>
        <w:t> </w:t>
      </w:r>
      <w:r>
        <w:rPr>
          <w:sz w:val="22"/>
        </w:rPr>
        <w:t>Courses</w:t>
      </w:r>
      <w:r>
        <w:rPr>
          <w:spacing w:val="-9"/>
          <w:sz w:val="22"/>
        </w:rPr>
        <w:t> </w:t>
      </w:r>
      <w:r>
        <w:rPr>
          <w:sz w:val="22"/>
        </w:rPr>
        <w:t>such</w:t>
      </w:r>
      <w:r>
        <w:rPr>
          <w:spacing w:val="-7"/>
          <w:sz w:val="22"/>
        </w:rPr>
        <w:t> </w:t>
      </w:r>
      <w:r>
        <w:rPr>
          <w:sz w:val="22"/>
        </w:rPr>
        <w:t>as</w:t>
      </w:r>
      <w:r>
        <w:rPr>
          <w:spacing w:val="-9"/>
          <w:sz w:val="22"/>
        </w:rPr>
        <w:t> </w:t>
      </w:r>
      <w:r>
        <w:rPr>
          <w:sz w:val="22"/>
        </w:rPr>
        <w:t>financial</w:t>
      </w:r>
      <w:r>
        <w:rPr>
          <w:spacing w:val="-7"/>
          <w:sz w:val="22"/>
        </w:rPr>
        <w:t> </w:t>
      </w:r>
      <w:r>
        <w:rPr>
          <w:sz w:val="22"/>
        </w:rPr>
        <w:t>management and</w:t>
      </w:r>
      <w:r>
        <w:rPr>
          <w:spacing w:val="-6"/>
          <w:sz w:val="22"/>
        </w:rPr>
        <w:t> </w:t>
      </w:r>
      <w:r>
        <w:rPr>
          <w:sz w:val="22"/>
        </w:rPr>
        <w:t>basic</w:t>
      </w:r>
      <w:r>
        <w:rPr>
          <w:spacing w:val="-8"/>
          <w:sz w:val="22"/>
        </w:rPr>
        <w:t> </w:t>
      </w:r>
      <w:r>
        <w:rPr>
          <w:sz w:val="22"/>
        </w:rPr>
        <w:t>marketing</w:t>
      </w:r>
      <w:r>
        <w:rPr>
          <w:spacing w:val="-4"/>
          <w:sz w:val="22"/>
        </w:rPr>
        <w:t> </w:t>
      </w:r>
      <w:r>
        <w:rPr>
          <w:sz w:val="22"/>
        </w:rPr>
        <w:t>strategies</w:t>
      </w:r>
      <w:r>
        <w:rPr>
          <w:spacing w:val="-9"/>
          <w:sz w:val="22"/>
        </w:rPr>
        <w:t> </w:t>
      </w:r>
      <w:r>
        <w:rPr>
          <w:sz w:val="22"/>
        </w:rPr>
        <w:t>should</w:t>
      </w:r>
      <w:r>
        <w:rPr>
          <w:spacing w:val="-6"/>
          <w:sz w:val="22"/>
        </w:rPr>
        <w:t> </w:t>
      </w:r>
      <w:r>
        <w:rPr>
          <w:sz w:val="22"/>
        </w:rPr>
        <w:t>be</w:t>
      </w:r>
      <w:r>
        <w:rPr>
          <w:spacing w:val="-7"/>
          <w:sz w:val="22"/>
        </w:rPr>
        <w:t> </w:t>
      </w:r>
      <w:r>
        <w:rPr>
          <w:sz w:val="22"/>
        </w:rPr>
        <w:t>part</w:t>
      </w:r>
      <w:r>
        <w:rPr>
          <w:spacing w:val="-7"/>
          <w:sz w:val="22"/>
        </w:rPr>
        <w:t> </w:t>
      </w:r>
      <w:r>
        <w:rPr>
          <w:sz w:val="22"/>
        </w:rPr>
        <w:t>of</w:t>
      </w:r>
      <w:r>
        <w:rPr>
          <w:spacing w:val="-8"/>
          <w:sz w:val="22"/>
        </w:rPr>
        <w:t> </w:t>
      </w:r>
      <w:r>
        <w:rPr>
          <w:sz w:val="22"/>
        </w:rPr>
        <w:t>the</w:t>
      </w:r>
      <w:r>
        <w:rPr>
          <w:spacing w:val="-6"/>
          <w:sz w:val="22"/>
        </w:rPr>
        <w:t> </w:t>
      </w:r>
      <w:r>
        <w:rPr>
          <w:sz w:val="22"/>
        </w:rPr>
        <w:t>training</w:t>
      </w:r>
      <w:r>
        <w:rPr>
          <w:spacing w:val="-7"/>
          <w:sz w:val="22"/>
        </w:rPr>
        <w:t> </w:t>
      </w:r>
      <w:r>
        <w:rPr>
          <w:sz w:val="22"/>
        </w:rPr>
        <w:t>program.</w:t>
      </w:r>
      <w:r>
        <w:rPr>
          <w:spacing w:val="-8"/>
          <w:sz w:val="22"/>
        </w:rPr>
        <w:t> </w:t>
      </w:r>
      <w:r>
        <w:rPr>
          <w:sz w:val="22"/>
        </w:rPr>
        <w:t>The</w:t>
      </w:r>
      <w:r>
        <w:rPr>
          <w:spacing w:val="-9"/>
          <w:sz w:val="22"/>
        </w:rPr>
        <w:t> </w:t>
      </w:r>
      <w:r>
        <w:rPr>
          <w:sz w:val="22"/>
        </w:rPr>
        <w:t>program</w:t>
      </w:r>
      <w:r>
        <w:rPr>
          <w:spacing w:val="-5"/>
          <w:sz w:val="22"/>
        </w:rPr>
        <w:t> </w:t>
      </w:r>
      <w:r>
        <w:rPr>
          <w:sz w:val="22"/>
        </w:rPr>
        <w:t>should also</w:t>
      </w:r>
      <w:r>
        <w:rPr>
          <w:spacing w:val="-14"/>
          <w:sz w:val="22"/>
        </w:rPr>
        <w:t> </w:t>
      </w:r>
      <w:r>
        <w:rPr>
          <w:sz w:val="22"/>
        </w:rPr>
        <w:t>provide</w:t>
      </w:r>
      <w:r>
        <w:rPr>
          <w:spacing w:val="-15"/>
          <w:sz w:val="22"/>
        </w:rPr>
        <w:t> </w:t>
      </w:r>
      <w:r>
        <w:rPr>
          <w:sz w:val="22"/>
        </w:rPr>
        <w:t>target</w:t>
      </w:r>
      <w:r>
        <w:rPr>
          <w:spacing w:val="-16"/>
          <w:sz w:val="22"/>
        </w:rPr>
        <w:t> </w:t>
      </w:r>
      <w:r>
        <w:rPr>
          <w:sz w:val="22"/>
        </w:rPr>
        <w:t>beneficiaries</w:t>
      </w:r>
      <w:r>
        <w:rPr>
          <w:spacing w:val="-14"/>
          <w:sz w:val="22"/>
        </w:rPr>
        <w:t> </w:t>
      </w:r>
      <w:r>
        <w:rPr>
          <w:sz w:val="22"/>
        </w:rPr>
        <w:t>with</w:t>
      </w:r>
      <w:r>
        <w:rPr>
          <w:spacing w:val="-14"/>
          <w:sz w:val="22"/>
        </w:rPr>
        <w:t> </w:t>
      </w:r>
      <w:r>
        <w:rPr>
          <w:sz w:val="22"/>
        </w:rPr>
        <w:t>information</w:t>
      </w:r>
      <w:r>
        <w:rPr>
          <w:spacing w:val="-16"/>
          <w:sz w:val="22"/>
        </w:rPr>
        <w:t> </w:t>
      </w:r>
      <w:r>
        <w:rPr>
          <w:sz w:val="22"/>
        </w:rPr>
        <w:t>on</w:t>
      </w:r>
      <w:r>
        <w:rPr>
          <w:spacing w:val="-14"/>
          <w:sz w:val="22"/>
        </w:rPr>
        <w:t> </w:t>
      </w:r>
      <w:r>
        <w:rPr>
          <w:sz w:val="22"/>
        </w:rPr>
        <w:t>business</w:t>
      </w:r>
      <w:r>
        <w:rPr>
          <w:spacing w:val="-16"/>
          <w:sz w:val="22"/>
        </w:rPr>
        <w:t> </w:t>
      </w:r>
      <w:r>
        <w:rPr>
          <w:sz w:val="22"/>
        </w:rPr>
        <w:t>practices.</w:t>
      </w:r>
      <w:r>
        <w:rPr>
          <w:spacing w:val="-17"/>
          <w:sz w:val="22"/>
        </w:rPr>
        <w:t> </w:t>
      </w:r>
      <w:r>
        <w:rPr>
          <w:sz w:val="22"/>
        </w:rPr>
        <w:t>Investment</w:t>
      </w:r>
      <w:r>
        <w:rPr>
          <w:spacing w:val="-16"/>
          <w:sz w:val="22"/>
        </w:rPr>
        <w:t> </w:t>
      </w:r>
      <w:r>
        <w:rPr>
          <w:sz w:val="22"/>
        </w:rPr>
        <w:t>experts should be invited to share about the various investment options and to advise PAPs on prudent cash</w:t>
      </w:r>
      <w:r>
        <w:rPr>
          <w:spacing w:val="-5"/>
          <w:sz w:val="22"/>
        </w:rPr>
        <w:t> </w:t>
      </w:r>
      <w:r>
        <w:rPr>
          <w:sz w:val="22"/>
        </w:rPr>
        <w:t>management.</w:t>
      </w:r>
    </w:p>
    <w:p>
      <w:pPr>
        <w:pStyle w:val="BodyText"/>
        <w:spacing w:before="1"/>
        <w:rPr>
          <w:sz w:val="21"/>
        </w:rPr>
      </w:pPr>
    </w:p>
    <w:p>
      <w:pPr>
        <w:pStyle w:val="Heading3"/>
        <w:numPr>
          <w:ilvl w:val="2"/>
          <w:numId w:val="48"/>
        </w:numPr>
        <w:tabs>
          <w:tab w:pos="1589" w:val="left" w:leader="none"/>
        </w:tabs>
        <w:spacing w:line="240" w:lineRule="auto" w:before="0" w:after="0"/>
        <w:ind w:left="1588" w:right="0" w:hanging="720"/>
        <w:jc w:val="both"/>
      </w:pPr>
      <w:bookmarkStart w:name="_bookmark89" w:id="151"/>
      <w:bookmarkEnd w:id="151"/>
      <w:r>
        <w:rPr>
          <w:b w:val="0"/>
        </w:rPr>
      </w:r>
      <w:bookmarkStart w:name="_bookmark89" w:id="152"/>
      <w:bookmarkEnd w:id="152"/>
      <w:r>
        <w:rPr>
          <w:color w:val="0D0D0D"/>
        </w:rPr>
        <w:t>Li</w:t>
      </w:r>
      <w:r>
        <w:rPr>
          <w:color w:val="0D0D0D"/>
        </w:rPr>
        <w:t>velihood Improvement</w:t>
      </w:r>
      <w:r>
        <w:rPr>
          <w:color w:val="0D0D0D"/>
          <w:spacing w:val="-5"/>
        </w:rPr>
        <w:t> </w:t>
      </w:r>
      <w:r>
        <w:rPr>
          <w:color w:val="0D0D0D"/>
        </w:rPr>
        <w:t>Program</w:t>
      </w:r>
    </w:p>
    <w:p>
      <w:pPr>
        <w:pStyle w:val="ListParagraph"/>
        <w:numPr>
          <w:ilvl w:val="0"/>
          <w:numId w:val="46"/>
        </w:numPr>
        <w:tabs>
          <w:tab w:pos="1589" w:val="left" w:leader="none"/>
        </w:tabs>
        <w:spacing w:line="276" w:lineRule="auto" w:before="157" w:after="0"/>
        <w:ind w:left="868" w:right="154" w:firstLine="0"/>
        <w:jc w:val="both"/>
        <w:rPr>
          <w:sz w:val="22"/>
        </w:rPr>
      </w:pPr>
      <w:r>
        <w:rPr>
          <w:sz w:val="22"/>
        </w:rPr>
        <w:t>All PAPs, in addition to applicable compensation for business interruption, will be entitled to livelihood restoration/improvement support in the form of preference in the project-based</w:t>
      </w:r>
      <w:r>
        <w:rPr>
          <w:spacing w:val="-18"/>
          <w:sz w:val="22"/>
        </w:rPr>
        <w:t> </w:t>
      </w:r>
      <w:r>
        <w:rPr>
          <w:sz w:val="22"/>
        </w:rPr>
        <w:t>employment</w:t>
      </w:r>
      <w:r>
        <w:rPr>
          <w:spacing w:val="-17"/>
          <w:sz w:val="22"/>
        </w:rPr>
        <w:t> </w:t>
      </w:r>
      <w:r>
        <w:rPr>
          <w:sz w:val="22"/>
        </w:rPr>
        <w:t>with</w:t>
      </w:r>
      <w:r>
        <w:rPr>
          <w:spacing w:val="-18"/>
          <w:sz w:val="22"/>
        </w:rPr>
        <w:t> </w:t>
      </w:r>
      <w:r>
        <w:rPr>
          <w:sz w:val="22"/>
        </w:rPr>
        <w:t>and</w:t>
      </w:r>
      <w:r>
        <w:rPr>
          <w:spacing w:val="-18"/>
          <w:sz w:val="22"/>
        </w:rPr>
        <w:t> </w:t>
      </w:r>
      <w:r>
        <w:rPr>
          <w:sz w:val="22"/>
        </w:rPr>
        <w:t>micro-credit</w:t>
      </w:r>
      <w:r>
        <w:rPr>
          <w:spacing w:val="-19"/>
          <w:sz w:val="22"/>
        </w:rPr>
        <w:t> </w:t>
      </w:r>
      <w:r>
        <w:rPr>
          <w:sz w:val="22"/>
        </w:rPr>
        <w:t>facilities</w:t>
      </w:r>
      <w:r>
        <w:rPr>
          <w:spacing w:val="-17"/>
          <w:sz w:val="22"/>
        </w:rPr>
        <w:t> </w:t>
      </w:r>
      <w:r>
        <w:rPr>
          <w:sz w:val="22"/>
        </w:rPr>
        <w:t>through</w:t>
      </w:r>
      <w:r>
        <w:rPr>
          <w:spacing w:val="-18"/>
          <w:sz w:val="22"/>
        </w:rPr>
        <w:t> </w:t>
      </w:r>
      <w:r>
        <w:rPr>
          <w:sz w:val="22"/>
        </w:rPr>
        <w:t>linkage</w:t>
      </w:r>
      <w:r>
        <w:rPr>
          <w:spacing w:val="-18"/>
          <w:sz w:val="22"/>
        </w:rPr>
        <w:t> </w:t>
      </w:r>
      <w:r>
        <w:rPr>
          <w:sz w:val="22"/>
        </w:rPr>
        <w:t>development</w:t>
      </w:r>
      <w:r>
        <w:rPr>
          <w:spacing w:val="-17"/>
          <w:sz w:val="22"/>
        </w:rPr>
        <w:t> </w:t>
      </w:r>
      <w:r>
        <w:rPr>
          <w:sz w:val="22"/>
        </w:rPr>
        <w:t>with micro-finance institutions as well as organizational and logistical support to establish the PAPs in an alternative income generation</w:t>
      </w:r>
      <w:r>
        <w:rPr>
          <w:spacing w:val="-17"/>
          <w:sz w:val="22"/>
        </w:rPr>
        <w:t> </w:t>
      </w:r>
      <w:r>
        <w:rPr>
          <w:sz w:val="22"/>
        </w:rPr>
        <w:t>activity.</w:t>
      </w:r>
    </w:p>
    <w:p>
      <w:pPr>
        <w:pStyle w:val="ListParagraph"/>
        <w:numPr>
          <w:ilvl w:val="0"/>
          <w:numId w:val="46"/>
        </w:numPr>
        <w:tabs>
          <w:tab w:pos="1589" w:val="left" w:leader="none"/>
        </w:tabs>
        <w:spacing w:line="276" w:lineRule="auto" w:before="120" w:after="0"/>
        <w:ind w:left="868" w:right="153" w:firstLine="0"/>
        <w:jc w:val="both"/>
        <w:rPr>
          <w:sz w:val="22"/>
        </w:rPr>
      </w:pPr>
      <w:r>
        <w:rPr>
          <w:sz w:val="22"/>
        </w:rPr>
        <w:t>Apart from support of the government departments, other resources like support from NGOs will be sought to assist PAPs for additional financial support and micro-credit facility</w:t>
      </w:r>
      <w:r>
        <w:rPr>
          <w:spacing w:val="-9"/>
          <w:sz w:val="22"/>
        </w:rPr>
        <w:t> </w:t>
      </w:r>
      <w:r>
        <w:rPr>
          <w:sz w:val="22"/>
        </w:rPr>
        <w:t>and</w:t>
      </w:r>
      <w:r>
        <w:rPr>
          <w:spacing w:val="-7"/>
          <w:sz w:val="22"/>
        </w:rPr>
        <w:t> </w:t>
      </w:r>
      <w:r>
        <w:rPr>
          <w:sz w:val="22"/>
        </w:rPr>
        <w:t>accessing</w:t>
      </w:r>
      <w:r>
        <w:rPr>
          <w:spacing w:val="-7"/>
          <w:sz w:val="22"/>
        </w:rPr>
        <w:t> </w:t>
      </w:r>
      <w:r>
        <w:rPr>
          <w:sz w:val="22"/>
        </w:rPr>
        <w:t>the</w:t>
      </w:r>
      <w:r>
        <w:rPr>
          <w:spacing w:val="-10"/>
          <w:sz w:val="22"/>
        </w:rPr>
        <w:t> </w:t>
      </w:r>
      <w:r>
        <w:rPr>
          <w:sz w:val="22"/>
        </w:rPr>
        <w:t>organizational</w:t>
      </w:r>
      <w:r>
        <w:rPr>
          <w:spacing w:val="-8"/>
          <w:sz w:val="22"/>
        </w:rPr>
        <w:t> </w:t>
      </w:r>
      <w:r>
        <w:rPr>
          <w:sz w:val="22"/>
        </w:rPr>
        <w:t>and</w:t>
      </w:r>
      <w:r>
        <w:rPr>
          <w:spacing w:val="-10"/>
          <w:sz w:val="22"/>
        </w:rPr>
        <w:t> </w:t>
      </w:r>
      <w:r>
        <w:rPr>
          <w:sz w:val="22"/>
        </w:rPr>
        <w:t>logistic</w:t>
      </w:r>
      <w:r>
        <w:rPr>
          <w:spacing w:val="-7"/>
          <w:sz w:val="22"/>
        </w:rPr>
        <w:t> </w:t>
      </w:r>
      <w:r>
        <w:rPr>
          <w:sz w:val="22"/>
        </w:rPr>
        <w:t>support</w:t>
      </w:r>
      <w:r>
        <w:rPr>
          <w:spacing w:val="-8"/>
          <w:sz w:val="22"/>
        </w:rPr>
        <w:t> </w:t>
      </w:r>
      <w:r>
        <w:rPr>
          <w:sz w:val="22"/>
        </w:rPr>
        <w:t>to</w:t>
      </w:r>
      <w:r>
        <w:rPr>
          <w:spacing w:val="-10"/>
          <w:sz w:val="22"/>
        </w:rPr>
        <w:t> </w:t>
      </w:r>
      <w:r>
        <w:rPr>
          <w:sz w:val="22"/>
        </w:rPr>
        <w:t>establish</w:t>
      </w:r>
      <w:r>
        <w:rPr>
          <w:spacing w:val="-10"/>
          <w:sz w:val="22"/>
        </w:rPr>
        <w:t> </w:t>
      </w:r>
      <w:r>
        <w:rPr>
          <w:sz w:val="22"/>
        </w:rPr>
        <w:t>alternative</w:t>
      </w:r>
      <w:r>
        <w:rPr>
          <w:spacing w:val="-7"/>
          <w:sz w:val="22"/>
        </w:rPr>
        <w:t> </w:t>
      </w:r>
      <w:r>
        <w:rPr>
          <w:sz w:val="22"/>
        </w:rPr>
        <w:t>means of</w:t>
      </w:r>
      <w:r>
        <w:rPr>
          <w:spacing w:val="-4"/>
          <w:sz w:val="22"/>
        </w:rPr>
        <w:t> </w:t>
      </w:r>
      <w:r>
        <w:rPr>
          <w:sz w:val="22"/>
        </w:rPr>
        <w:t>livelihood.</w:t>
      </w:r>
      <w:r>
        <w:rPr>
          <w:spacing w:val="-6"/>
          <w:sz w:val="22"/>
        </w:rPr>
        <w:t> </w:t>
      </w:r>
      <w:r>
        <w:rPr>
          <w:sz w:val="22"/>
        </w:rPr>
        <w:t>In</w:t>
      </w:r>
      <w:r>
        <w:rPr>
          <w:spacing w:val="-7"/>
          <w:sz w:val="22"/>
        </w:rPr>
        <w:t> </w:t>
      </w:r>
      <w:r>
        <w:rPr>
          <w:sz w:val="22"/>
        </w:rPr>
        <w:t>addition,</w:t>
      </w:r>
      <w:r>
        <w:rPr>
          <w:spacing w:val="-8"/>
          <w:sz w:val="22"/>
        </w:rPr>
        <w:t> </w:t>
      </w:r>
      <w:r>
        <w:rPr>
          <w:sz w:val="22"/>
        </w:rPr>
        <w:t>provision</w:t>
      </w:r>
      <w:r>
        <w:rPr>
          <w:spacing w:val="-8"/>
          <w:sz w:val="22"/>
        </w:rPr>
        <w:t> </w:t>
      </w:r>
      <w:r>
        <w:rPr>
          <w:sz w:val="22"/>
        </w:rPr>
        <w:t>related</w:t>
      </w:r>
      <w:r>
        <w:rPr>
          <w:spacing w:val="-7"/>
          <w:sz w:val="22"/>
        </w:rPr>
        <w:t> </w:t>
      </w:r>
      <w:r>
        <w:rPr>
          <w:sz w:val="22"/>
        </w:rPr>
        <w:t>to</w:t>
      </w:r>
      <w:r>
        <w:rPr>
          <w:spacing w:val="-7"/>
          <w:sz w:val="22"/>
        </w:rPr>
        <w:t> </w:t>
      </w:r>
      <w:r>
        <w:rPr>
          <w:sz w:val="22"/>
        </w:rPr>
        <w:t>preference</w:t>
      </w:r>
      <w:r>
        <w:rPr>
          <w:spacing w:val="-10"/>
          <w:sz w:val="22"/>
        </w:rPr>
        <w:t> </w:t>
      </w:r>
      <w:r>
        <w:rPr>
          <w:sz w:val="22"/>
        </w:rPr>
        <w:t>for</w:t>
      </w:r>
      <w:r>
        <w:rPr>
          <w:spacing w:val="-7"/>
          <w:sz w:val="22"/>
        </w:rPr>
        <w:t> </w:t>
      </w:r>
      <w:r>
        <w:rPr>
          <w:sz w:val="22"/>
        </w:rPr>
        <w:t>project</w:t>
      </w:r>
      <w:r>
        <w:rPr>
          <w:spacing w:val="-9"/>
          <w:sz w:val="22"/>
        </w:rPr>
        <w:t> </w:t>
      </w:r>
      <w:r>
        <w:rPr>
          <w:sz w:val="22"/>
        </w:rPr>
        <w:t>related</w:t>
      </w:r>
      <w:r>
        <w:rPr>
          <w:spacing w:val="-12"/>
          <w:sz w:val="22"/>
        </w:rPr>
        <w:t> </w:t>
      </w:r>
      <w:r>
        <w:rPr>
          <w:sz w:val="22"/>
        </w:rPr>
        <w:t>employment</w:t>
      </w:r>
      <w:r>
        <w:rPr>
          <w:spacing w:val="-6"/>
          <w:sz w:val="22"/>
        </w:rPr>
        <w:t> </w:t>
      </w:r>
      <w:r>
        <w:rPr>
          <w:sz w:val="22"/>
        </w:rPr>
        <w:t>will be reflected in the civil works contracts as well as the agreements between the project executing agency and the</w:t>
      </w:r>
      <w:r>
        <w:rPr>
          <w:spacing w:val="-5"/>
          <w:sz w:val="22"/>
        </w:rPr>
        <w:t> </w:t>
      </w:r>
      <w:r>
        <w:rPr>
          <w:sz w:val="22"/>
        </w:rPr>
        <w:t>WB.</w:t>
      </w:r>
    </w:p>
    <w:p>
      <w:pPr>
        <w:spacing w:after="0" w:line="276" w:lineRule="auto"/>
        <w:jc w:val="both"/>
        <w:rPr>
          <w:sz w:val="22"/>
        </w:rPr>
        <w:sectPr>
          <w:pgSz w:w="11910" w:h="16840"/>
          <w:pgMar w:header="583" w:footer="575" w:top="840" w:bottom="760" w:left="860" w:right="1280"/>
        </w:sectPr>
      </w:pPr>
    </w:p>
    <w:p>
      <w:pPr>
        <w:pStyle w:val="BodyText"/>
        <w:rPr>
          <w:sz w:val="20"/>
        </w:rPr>
      </w:pPr>
    </w:p>
    <w:p>
      <w:pPr>
        <w:pStyle w:val="BodyText"/>
        <w:rPr>
          <w:sz w:val="20"/>
        </w:rPr>
      </w:pPr>
    </w:p>
    <w:p>
      <w:pPr>
        <w:pStyle w:val="BodyText"/>
        <w:rPr>
          <w:sz w:val="28"/>
        </w:rPr>
      </w:pPr>
    </w:p>
    <w:p>
      <w:pPr>
        <w:pStyle w:val="Heading2"/>
        <w:numPr>
          <w:ilvl w:val="0"/>
          <w:numId w:val="49"/>
        </w:numPr>
        <w:tabs>
          <w:tab w:pos="1301" w:val="left" w:leader="none"/>
        </w:tabs>
        <w:spacing w:line="240" w:lineRule="auto" w:before="92" w:after="0"/>
        <w:ind w:left="1300" w:right="0" w:hanging="432"/>
        <w:jc w:val="both"/>
      </w:pPr>
      <w:bookmarkStart w:name="_bookmark90" w:id="153"/>
      <w:bookmarkEnd w:id="153"/>
      <w:r>
        <w:rPr>
          <w:b w:val="0"/>
        </w:rPr>
      </w:r>
      <w:bookmarkStart w:name="_bookmark90" w:id="154"/>
      <w:bookmarkEnd w:id="154"/>
      <w:r>
        <w:rPr/>
        <w:t>FI</w:t>
      </w:r>
      <w:r>
        <w:rPr/>
        <w:t>NANCING, BUDGET AND</w:t>
      </w:r>
      <w:r>
        <w:rPr>
          <w:spacing w:val="-11"/>
        </w:rPr>
        <w:t> </w:t>
      </w:r>
      <w:r>
        <w:rPr/>
        <w:t>IMPLEMENTATION</w:t>
      </w:r>
    </w:p>
    <w:p>
      <w:pPr>
        <w:pStyle w:val="BodyText"/>
        <w:spacing w:before="3"/>
        <w:rPr>
          <w:b/>
          <w:sz w:val="31"/>
        </w:rPr>
      </w:pPr>
    </w:p>
    <w:p>
      <w:pPr>
        <w:pStyle w:val="Heading2"/>
        <w:numPr>
          <w:ilvl w:val="1"/>
          <w:numId w:val="49"/>
        </w:numPr>
        <w:tabs>
          <w:tab w:pos="1445" w:val="left" w:leader="none"/>
        </w:tabs>
        <w:spacing w:line="240" w:lineRule="auto" w:before="0" w:after="0"/>
        <w:ind w:left="1444" w:right="0" w:hanging="576"/>
        <w:jc w:val="both"/>
      </w:pPr>
      <w:bookmarkStart w:name="_bookmark91" w:id="155"/>
      <w:bookmarkEnd w:id="155"/>
      <w:r>
        <w:rPr>
          <w:b w:val="0"/>
        </w:rPr>
      </w:r>
      <w:bookmarkStart w:name="_bookmark91" w:id="156"/>
      <w:bookmarkEnd w:id="156"/>
      <w:r>
        <w:rPr/>
        <w:t>C</w:t>
      </w:r>
      <w:r>
        <w:rPr/>
        <w:t>&amp;LRP Cost estimation and</w:t>
      </w:r>
      <w:r>
        <w:rPr>
          <w:spacing w:val="-6"/>
        </w:rPr>
        <w:t> </w:t>
      </w:r>
      <w:r>
        <w:rPr/>
        <w:t>Budgeting</w:t>
      </w:r>
    </w:p>
    <w:p>
      <w:pPr>
        <w:pStyle w:val="ListParagraph"/>
        <w:numPr>
          <w:ilvl w:val="0"/>
          <w:numId w:val="50"/>
        </w:numPr>
        <w:tabs>
          <w:tab w:pos="1589" w:val="left" w:leader="none"/>
        </w:tabs>
        <w:spacing w:line="276" w:lineRule="auto" w:before="160" w:after="0"/>
        <w:ind w:left="868" w:right="154" w:firstLine="0"/>
        <w:jc w:val="both"/>
        <w:rPr>
          <w:sz w:val="22"/>
        </w:rPr>
      </w:pPr>
      <w:r>
        <w:rPr>
          <w:sz w:val="22"/>
        </w:rPr>
        <w:t>The compensation, rehabilitation of income and livelihood is considered as an integral component of project costs and will be accordingly estimated and included in the project PC-1 to ensure adequate funds are made available. The implementation </w:t>
      </w:r>
      <w:r>
        <w:rPr>
          <w:spacing w:val="-3"/>
          <w:sz w:val="22"/>
        </w:rPr>
        <w:t>of </w:t>
      </w:r>
      <w:r>
        <w:rPr>
          <w:sz w:val="22"/>
        </w:rPr>
        <w:t>rehabilitation and income restoration measures the SMTA can request World Bank to consider financing rehabilitation and income restoration component of the C&amp;LRP. The allocation and provision of the financial resource is responsibility of the SMTA including freeing </w:t>
      </w:r>
      <w:r>
        <w:rPr>
          <w:spacing w:val="-3"/>
          <w:sz w:val="22"/>
        </w:rPr>
        <w:t>ROW </w:t>
      </w:r>
      <w:r>
        <w:rPr>
          <w:sz w:val="22"/>
        </w:rPr>
        <w:t>from encumbrances, payment of compensation and implementation of income restoration</w:t>
      </w:r>
      <w:r>
        <w:rPr>
          <w:spacing w:val="-6"/>
          <w:sz w:val="22"/>
        </w:rPr>
        <w:t> </w:t>
      </w:r>
      <w:r>
        <w:rPr>
          <w:sz w:val="22"/>
        </w:rPr>
        <w:t>measures.</w:t>
      </w:r>
    </w:p>
    <w:p>
      <w:pPr>
        <w:pStyle w:val="ListParagraph"/>
        <w:numPr>
          <w:ilvl w:val="0"/>
          <w:numId w:val="50"/>
        </w:numPr>
        <w:tabs>
          <w:tab w:pos="1589" w:val="left" w:leader="none"/>
        </w:tabs>
        <w:spacing w:line="276" w:lineRule="auto" w:before="120" w:after="0"/>
        <w:ind w:left="868" w:right="153" w:firstLine="0"/>
        <w:jc w:val="both"/>
        <w:rPr>
          <w:sz w:val="22"/>
        </w:rPr>
      </w:pPr>
      <w:r>
        <w:rPr>
          <w:sz w:val="22"/>
        </w:rPr>
        <w:t>The total compensation and rehabilitation assistance is estimated to be PKR</w:t>
      </w:r>
      <w:r>
        <w:rPr>
          <w:spacing w:val="-35"/>
          <w:sz w:val="22"/>
        </w:rPr>
        <w:t> </w:t>
      </w:r>
      <w:r>
        <w:rPr>
          <w:sz w:val="22"/>
        </w:rPr>
        <w:t>29.80 million (USD 0.21 million). Out of this total amount, PKR 28.90 million is required for the income</w:t>
      </w:r>
      <w:r>
        <w:rPr>
          <w:spacing w:val="-17"/>
          <w:sz w:val="22"/>
        </w:rPr>
        <w:t> </w:t>
      </w:r>
      <w:r>
        <w:rPr>
          <w:sz w:val="22"/>
        </w:rPr>
        <w:t>losses</w:t>
      </w:r>
      <w:r>
        <w:rPr>
          <w:spacing w:val="-18"/>
          <w:sz w:val="22"/>
        </w:rPr>
        <w:t> </w:t>
      </w:r>
      <w:r>
        <w:rPr>
          <w:sz w:val="22"/>
        </w:rPr>
        <w:t>for</w:t>
      </w:r>
      <w:r>
        <w:rPr>
          <w:spacing w:val="-20"/>
          <w:sz w:val="22"/>
        </w:rPr>
        <w:t> </w:t>
      </w:r>
      <w:r>
        <w:rPr>
          <w:sz w:val="22"/>
        </w:rPr>
        <w:t>the</w:t>
      </w:r>
      <w:r>
        <w:rPr>
          <w:spacing w:val="-19"/>
          <w:sz w:val="22"/>
        </w:rPr>
        <w:t> </w:t>
      </w:r>
      <w:r>
        <w:rPr>
          <w:sz w:val="22"/>
        </w:rPr>
        <w:t>transition</w:t>
      </w:r>
      <w:r>
        <w:rPr>
          <w:spacing w:val="-17"/>
          <w:sz w:val="22"/>
        </w:rPr>
        <w:t> </w:t>
      </w:r>
      <w:r>
        <w:rPr>
          <w:sz w:val="22"/>
        </w:rPr>
        <w:t>period</w:t>
      </w:r>
      <w:r>
        <w:rPr>
          <w:spacing w:val="-19"/>
          <w:sz w:val="22"/>
        </w:rPr>
        <w:t> </w:t>
      </w:r>
      <w:r>
        <w:rPr>
          <w:sz w:val="22"/>
        </w:rPr>
        <w:t>of</w:t>
      </w:r>
      <w:r>
        <w:rPr>
          <w:spacing w:val="-14"/>
          <w:sz w:val="22"/>
        </w:rPr>
        <w:t> </w:t>
      </w:r>
      <w:r>
        <w:rPr>
          <w:sz w:val="22"/>
        </w:rPr>
        <w:t>informal</w:t>
      </w:r>
      <w:r>
        <w:rPr>
          <w:spacing w:val="-19"/>
          <w:sz w:val="22"/>
        </w:rPr>
        <w:t> </w:t>
      </w:r>
      <w:r>
        <w:rPr>
          <w:sz w:val="22"/>
        </w:rPr>
        <w:t>vendors/</w:t>
      </w:r>
      <w:r>
        <w:rPr>
          <w:spacing w:val="-16"/>
          <w:sz w:val="22"/>
        </w:rPr>
        <w:t> </w:t>
      </w:r>
      <w:r>
        <w:rPr>
          <w:sz w:val="22"/>
        </w:rPr>
        <w:t>employees</w:t>
      </w:r>
      <w:r>
        <w:rPr>
          <w:spacing w:val="-17"/>
          <w:sz w:val="22"/>
        </w:rPr>
        <w:t> </w:t>
      </w:r>
      <w:r>
        <w:rPr>
          <w:sz w:val="22"/>
        </w:rPr>
        <w:t>and</w:t>
      </w:r>
      <w:r>
        <w:rPr>
          <w:spacing w:val="-20"/>
          <w:sz w:val="22"/>
        </w:rPr>
        <w:t> </w:t>
      </w:r>
      <w:r>
        <w:rPr>
          <w:sz w:val="22"/>
        </w:rPr>
        <w:t>PKR</w:t>
      </w:r>
      <w:r>
        <w:rPr>
          <w:spacing w:val="-17"/>
          <w:sz w:val="22"/>
        </w:rPr>
        <w:t> </w:t>
      </w:r>
      <w:r>
        <w:rPr>
          <w:sz w:val="22"/>
        </w:rPr>
        <w:t>0.90</w:t>
      </w:r>
      <w:r>
        <w:rPr>
          <w:spacing w:val="-18"/>
          <w:sz w:val="22"/>
        </w:rPr>
        <w:t> </w:t>
      </w:r>
      <w:r>
        <w:rPr>
          <w:sz w:val="22"/>
        </w:rPr>
        <w:t>million vulnerability allowance to vulnerable AHs as shown in </w:t>
      </w:r>
      <w:r>
        <w:rPr>
          <w:b/>
          <w:sz w:val="22"/>
        </w:rPr>
        <w:t>Table 7 </w:t>
      </w:r>
      <w:r>
        <w:rPr>
          <w:sz w:val="22"/>
        </w:rPr>
        <w:t>and</w:t>
      </w:r>
      <w:r>
        <w:rPr>
          <w:spacing w:val="-19"/>
          <w:sz w:val="22"/>
        </w:rPr>
        <w:t> </w:t>
      </w:r>
      <w:r>
        <w:rPr>
          <w:b/>
          <w:sz w:val="22"/>
        </w:rPr>
        <w:t>8</w:t>
      </w:r>
      <w:r>
        <w:rPr>
          <w:sz w:val="22"/>
        </w:rPr>
        <w:t>.</w:t>
      </w:r>
    </w:p>
    <w:p>
      <w:pPr>
        <w:pStyle w:val="Heading3"/>
        <w:spacing w:before="120"/>
        <w:ind w:left="2940" w:hanging="32"/>
        <w:jc w:val="left"/>
      </w:pPr>
      <w:bookmarkStart w:name="_bookmark92" w:id="157"/>
      <w:bookmarkEnd w:id="157"/>
      <w:r>
        <w:rPr>
          <w:b w:val="0"/>
        </w:rPr>
      </w:r>
      <w:r>
        <w:rPr>
          <w:u w:val="thick"/>
        </w:rPr>
        <w:t>Table 7: Compensation for Loss of Business</w:t>
      </w:r>
    </w:p>
    <w:p>
      <w:pPr>
        <w:pStyle w:val="BodyText"/>
        <w:spacing w:before="4" w:after="1"/>
        <w:rPr>
          <w:b/>
          <w:sz w:val="10"/>
        </w:rPr>
      </w:pPr>
    </w:p>
    <w:tbl>
      <w:tblPr>
        <w:tblW w:w="0" w:type="auto"/>
        <w:jc w:val="left"/>
        <w:tblInd w:w="9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18"/>
        <w:gridCol w:w="3375"/>
        <w:gridCol w:w="1980"/>
        <w:gridCol w:w="2540"/>
      </w:tblGrid>
      <w:tr>
        <w:trPr>
          <w:trHeight w:val="599" w:hRule="exact"/>
        </w:trPr>
        <w:tc>
          <w:tcPr>
            <w:tcW w:w="818" w:type="dxa"/>
            <w:tcBorders>
              <w:bottom w:val="single" w:sz="4" w:space="0" w:color="000000"/>
              <w:right w:val="single" w:sz="4" w:space="0" w:color="000000"/>
            </w:tcBorders>
            <w:shd w:val="clear" w:color="auto" w:fill="D9D9D9"/>
          </w:tcPr>
          <w:p>
            <w:pPr>
              <w:pStyle w:val="TableParagraph"/>
              <w:spacing w:before="176"/>
              <w:ind w:left="52" w:right="62"/>
              <w:jc w:val="center"/>
              <w:rPr>
                <w:b/>
                <w:sz w:val="20"/>
              </w:rPr>
            </w:pPr>
            <w:r>
              <w:rPr>
                <w:b/>
                <w:sz w:val="20"/>
              </w:rPr>
              <w:t>Sr. No.</w:t>
            </w:r>
          </w:p>
        </w:tc>
        <w:tc>
          <w:tcPr>
            <w:tcW w:w="3375" w:type="dxa"/>
            <w:tcBorders>
              <w:left w:val="single" w:sz="4" w:space="0" w:color="000000"/>
              <w:bottom w:val="single" w:sz="4" w:space="0" w:color="000000"/>
              <w:right w:val="single" w:sz="4" w:space="0" w:color="000000"/>
            </w:tcBorders>
            <w:shd w:val="clear" w:color="auto" w:fill="D9D9D9"/>
          </w:tcPr>
          <w:p>
            <w:pPr>
              <w:pStyle w:val="TableParagraph"/>
              <w:spacing w:before="176"/>
              <w:ind w:left="854"/>
              <w:rPr>
                <w:b/>
                <w:sz w:val="20"/>
              </w:rPr>
            </w:pPr>
            <w:r>
              <w:rPr>
                <w:b/>
                <w:sz w:val="20"/>
              </w:rPr>
              <w:t>Type of Business</w:t>
            </w:r>
          </w:p>
        </w:tc>
        <w:tc>
          <w:tcPr>
            <w:tcW w:w="1980" w:type="dxa"/>
            <w:tcBorders>
              <w:left w:val="single" w:sz="4" w:space="0" w:color="000000"/>
              <w:bottom w:val="single" w:sz="4" w:space="0" w:color="000000"/>
              <w:right w:val="single" w:sz="4" w:space="0" w:color="000000"/>
            </w:tcBorders>
            <w:shd w:val="clear" w:color="auto" w:fill="D9D9D9"/>
          </w:tcPr>
          <w:p>
            <w:pPr>
              <w:pStyle w:val="TableParagraph"/>
              <w:spacing w:before="176"/>
              <w:ind w:left="392" w:right="392"/>
              <w:jc w:val="center"/>
              <w:rPr>
                <w:b/>
                <w:sz w:val="20"/>
              </w:rPr>
            </w:pPr>
            <w:r>
              <w:rPr>
                <w:b/>
                <w:sz w:val="20"/>
              </w:rPr>
              <w:t>No. of PAPs</w:t>
            </w:r>
          </w:p>
        </w:tc>
        <w:tc>
          <w:tcPr>
            <w:tcW w:w="2540" w:type="dxa"/>
            <w:tcBorders>
              <w:left w:val="single" w:sz="4" w:space="0" w:color="000000"/>
              <w:bottom w:val="single" w:sz="4" w:space="0" w:color="000000"/>
            </w:tcBorders>
            <w:shd w:val="clear" w:color="auto" w:fill="D9D9D9"/>
          </w:tcPr>
          <w:p>
            <w:pPr>
              <w:pStyle w:val="TableParagraph"/>
              <w:spacing w:before="61"/>
              <w:ind w:left="987" w:right="276" w:hanging="685"/>
              <w:rPr>
                <w:b/>
                <w:sz w:val="20"/>
              </w:rPr>
            </w:pPr>
            <w:r>
              <w:rPr>
                <w:b/>
                <w:sz w:val="20"/>
              </w:rPr>
              <w:t>Total Compensation (PKR)</w:t>
            </w:r>
          </w:p>
        </w:tc>
      </w:tr>
      <w:tr>
        <w:trPr>
          <w:trHeight w:val="360" w:hRule="exact"/>
        </w:trPr>
        <w:tc>
          <w:tcPr>
            <w:tcW w:w="818" w:type="dxa"/>
            <w:tcBorders>
              <w:top w:val="single" w:sz="4" w:space="0" w:color="000000"/>
              <w:bottom w:val="single" w:sz="4" w:space="0" w:color="000000"/>
              <w:right w:val="single" w:sz="4" w:space="0" w:color="000000"/>
            </w:tcBorders>
          </w:tcPr>
          <w:p>
            <w:pPr>
              <w:pStyle w:val="TableParagraph"/>
              <w:spacing w:before="62"/>
              <w:ind w:right="9"/>
              <w:jc w:val="center"/>
              <w:rPr>
                <w:sz w:val="20"/>
              </w:rPr>
            </w:pPr>
            <w:r>
              <w:rPr>
                <w:w w:val="99"/>
                <w:sz w:val="20"/>
              </w:rPr>
              <w:t>1</w:t>
            </w:r>
          </w:p>
        </w:tc>
        <w:tc>
          <w:tcPr>
            <w:tcW w:w="3375"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Mobile Cart</w:t>
            </w:r>
          </w:p>
        </w:tc>
        <w:tc>
          <w:tcPr>
            <w:tcW w:w="1980" w:type="dxa"/>
            <w:tcBorders>
              <w:top w:val="single" w:sz="4" w:space="0" w:color="000000"/>
              <w:left w:val="single" w:sz="4" w:space="0" w:color="000000"/>
              <w:bottom w:val="single" w:sz="4" w:space="0" w:color="000000"/>
              <w:right w:val="single" w:sz="4" w:space="0" w:color="000000"/>
            </w:tcBorders>
          </w:tcPr>
          <w:p>
            <w:pPr>
              <w:pStyle w:val="TableParagraph"/>
              <w:spacing w:before="62"/>
              <w:ind w:left="392" w:right="392"/>
              <w:jc w:val="center"/>
              <w:rPr>
                <w:sz w:val="20"/>
              </w:rPr>
            </w:pPr>
            <w:r>
              <w:rPr>
                <w:sz w:val="20"/>
              </w:rPr>
              <w:t>27</w:t>
            </w:r>
          </w:p>
        </w:tc>
        <w:tc>
          <w:tcPr>
            <w:tcW w:w="2540" w:type="dxa"/>
            <w:tcBorders>
              <w:top w:val="single" w:sz="4" w:space="0" w:color="000000"/>
              <w:left w:val="single" w:sz="4" w:space="0" w:color="000000"/>
              <w:bottom w:val="single" w:sz="4" w:space="0" w:color="000000"/>
            </w:tcBorders>
          </w:tcPr>
          <w:p>
            <w:pPr>
              <w:pStyle w:val="TableParagraph"/>
              <w:spacing w:before="62"/>
              <w:ind w:right="689"/>
              <w:jc w:val="right"/>
              <w:rPr>
                <w:sz w:val="20"/>
              </w:rPr>
            </w:pPr>
            <w:r>
              <w:rPr>
                <w:w w:val="95"/>
                <w:sz w:val="20"/>
              </w:rPr>
              <w:t>8,100,000</w:t>
            </w:r>
          </w:p>
        </w:tc>
      </w:tr>
      <w:tr>
        <w:trPr>
          <w:trHeight w:val="360" w:hRule="exact"/>
        </w:trPr>
        <w:tc>
          <w:tcPr>
            <w:tcW w:w="818" w:type="dxa"/>
            <w:tcBorders>
              <w:top w:val="single" w:sz="4" w:space="0" w:color="000000"/>
              <w:bottom w:val="single" w:sz="4" w:space="0" w:color="000000"/>
              <w:right w:val="single" w:sz="4" w:space="0" w:color="000000"/>
            </w:tcBorders>
          </w:tcPr>
          <w:p>
            <w:pPr>
              <w:pStyle w:val="TableParagraph"/>
              <w:spacing w:before="62"/>
              <w:ind w:right="9"/>
              <w:jc w:val="center"/>
              <w:rPr>
                <w:sz w:val="20"/>
              </w:rPr>
            </w:pPr>
            <w:r>
              <w:rPr>
                <w:w w:val="99"/>
                <w:sz w:val="20"/>
              </w:rPr>
              <w:t>2</w:t>
            </w:r>
          </w:p>
        </w:tc>
        <w:tc>
          <w:tcPr>
            <w:tcW w:w="3375"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Temporary Kiosks</w:t>
            </w:r>
          </w:p>
        </w:tc>
        <w:tc>
          <w:tcPr>
            <w:tcW w:w="1980" w:type="dxa"/>
            <w:tcBorders>
              <w:top w:val="single" w:sz="4" w:space="0" w:color="000000"/>
              <w:left w:val="single" w:sz="4" w:space="0" w:color="000000"/>
              <w:bottom w:val="single" w:sz="4" w:space="0" w:color="000000"/>
              <w:right w:val="single" w:sz="4" w:space="0" w:color="000000"/>
            </w:tcBorders>
          </w:tcPr>
          <w:p>
            <w:pPr>
              <w:pStyle w:val="TableParagraph"/>
              <w:spacing w:before="62"/>
              <w:ind w:left="392" w:right="392"/>
              <w:jc w:val="center"/>
              <w:rPr>
                <w:sz w:val="20"/>
              </w:rPr>
            </w:pPr>
            <w:r>
              <w:rPr>
                <w:sz w:val="20"/>
              </w:rPr>
              <w:t>23</w:t>
            </w:r>
          </w:p>
        </w:tc>
        <w:tc>
          <w:tcPr>
            <w:tcW w:w="2540" w:type="dxa"/>
            <w:tcBorders>
              <w:top w:val="single" w:sz="4" w:space="0" w:color="000000"/>
              <w:left w:val="single" w:sz="4" w:space="0" w:color="000000"/>
              <w:bottom w:val="single" w:sz="4" w:space="0" w:color="000000"/>
            </w:tcBorders>
          </w:tcPr>
          <w:p>
            <w:pPr>
              <w:pStyle w:val="TableParagraph"/>
              <w:spacing w:before="62"/>
              <w:ind w:right="689"/>
              <w:jc w:val="right"/>
              <w:rPr>
                <w:sz w:val="20"/>
              </w:rPr>
            </w:pPr>
            <w:r>
              <w:rPr>
                <w:w w:val="95"/>
                <w:sz w:val="20"/>
              </w:rPr>
              <w:t>7,632,000</w:t>
            </w:r>
          </w:p>
        </w:tc>
      </w:tr>
      <w:tr>
        <w:trPr>
          <w:trHeight w:val="360" w:hRule="exact"/>
        </w:trPr>
        <w:tc>
          <w:tcPr>
            <w:tcW w:w="818" w:type="dxa"/>
            <w:tcBorders>
              <w:top w:val="single" w:sz="4" w:space="0" w:color="000000"/>
              <w:bottom w:val="single" w:sz="4" w:space="0" w:color="000000"/>
              <w:right w:val="single" w:sz="4" w:space="0" w:color="000000"/>
            </w:tcBorders>
          </w:tcPr>
          <w:p>
            <w:pPr>
              <w:pStyle w:val="TableParagraph"/>
              <w:spacing w:before="62"/>
              <w:ind w:right="9"/>
              <w:jc w:val="center"/>
              <w:rPr>
                <w:sz w:val="20"/>
              </w:rPr>
            </w:pPr>
            <w:r>
              <w:rPr>
                <w:w w:val="99"/>
                <w:sz w:val="20"/>
              </w:rPr>
              <w:t>3</w:t>
            </w:r>
          </w:p>
        </w:tc>
        <w:tc>
          <w:tcPr>
            <w:tcW w:w="3375"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Business on Footpath</w:t>
            </w:r>
          </w:p>
        </w:tc>
        <w:tc>
          <w:tcPr>
            <w:tcW w:w="1980" w:type="dxa"/>
            <w:tcBorders>
              <w:top w:val="single" w:sz="4" w:space="0" w:color="000000"/>
              <w:left w:val="single" w:sz="4" w:space="0" w:color="000000"/>
              <w:bottom w:val="single" w:sz="4" w:space="0" w:color="000000"/>
              <w:right w:val="single" w:sz="4" w:space="0" w:color="000000"/>
            </w:tcBorders>
          </w:tcPr>
          <w:p>
            <w:pPr>
              <w:pStyle w:val="TableParagraph"/>
              <w:spacing w:before="62"/>
              <w:ind w:left="392" w:right="392"/>
              <w:jc w:val="center"/>
              <w:rPr>
                <w:sz w:val="20"/>
              </w:rPr>
            </w:pPr>
            <w:r>
              <w:rPr>
                <w:sz w:val="20"/>
              </w:rPr>
              <w:t>13</w:t>
            </w:r>
          </w:p>
        </w:tc>
        <w:tc>
          <w:tcPr>
            <w:tcW w:w="2540" w:type="dxa"/>
            <w:tcBorders>
              <w:top w:val="single" w:sz="4" w:space="0" w:color="000000"/>
              <w:left w:val="single" w:sz="4" w:space="0" w:color="000000"/>
              <w:bottom w:val="single" w:sz="4" w:space="0" w:color="000000"/>
            </w:tcBorders>
          </w:tcPr>
          <w:p>
            <w:pPr>
              <w:pStyle w:val="TableParagraph"/>
              <w:spacing w:before="62"/>
              <w:ind w:right="689"/>
              <w:jc w:val="right"/>
              <w:rPr>
                <w:sz w:val="20"/>
              </w:rPr>
            </w:pPr>
            <w:r>
              <w:rPr>
                <w:w w:val="95"/>
                <w:sz w:val="20"/>
              </w:rPr>
              <w:t>3,288,000</w:t>
            </w:r>
          </w:p>
        </w:tc>
      </w:tr>
      <w:tr>
        <w:trPr>
          <w:trHeight w:val="591" w:hRule="exact"/>
        </w:trPr>
        <w:tc>
          <w:tcPr>
            <w:tcW w:w="818" w:type="dxa"/>
            <w:tcBorders>
              <w:top w:val="single" w:sz="4" w:space="0" w:color="000000"/>
              <w:bottom w:val="single" w:sz="4" w:space="0" w:color="000000"/>
              <w:right w:val="single" w:sz="4" w:space="0" w:color="000000"/>
            </w:tcBorders>
          </w:tcPr>
          <w:p>
            <w:pPr>
              <w:pStyle w:val="TableParagraph"/>
              <w:spacing w:before="175"/>
              <w:ind w:right="9"/>
              <w:jc w:val="center"/>
              <w:rPr>
                <w:sz w:val="20"/>
              </w:rPr>
            </w:pPr>
            <w:r>
              <w:rPr>
                <w:w w:val="99"/>
                <w:sz w:val="20"/>
              </w:rPr>
              <w:t>4</w:t>
            </w:r>
          </w:p>
        </w:tc>
        <w:tc>
          <w:tcPr>
            <w:tcW w:w="3375"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Shops Display Material within the ROW</w:t>
            </w:r>
          </w:p>
        </w:tc>
        <w:tc>
          <w:tcPr>
            <w:tcW w:w="1980" w:type="dxa"/>
            <w:tcBorders>
              <w:top w:val="single" w:sz="4" w:space="0" w:color="000000"/>
              <w:left w:val="single" w:sz="4" w:space="0" w:color="000000"/>
              <w:bottom w:val="single" w:sz="4" w:space="0" w:color="000000"/>
              <w:right w:val="single" w:sz="4" w:space="0" w:color="000000"/>
            </w:tcBorders>
          </w:tcPr>
          <w:p>
            <w:pPr>
              <w:pStyle w:val="TableParagraph"/>
              <w:spacing w:before="2"/>
              <w:rPr>
                <w:b/>
                <w:sz w:val="25"/>
              </w:rPr>
            </w:pPr>
          </w:p>
          <w:p>
            <w:pPr>
              <w:pStyle w:val="TableParagraph"/>
              <w:spacing w:before="0"/>
              <w:ind w:left="392" w:right="392"/>
              <w:jc w:val="center"/>
              <w:rPr>
                <w:sz w:val="20"/>
              </w:rPr>
            </w:pPr>
            <w:r>
              <w:rPr>
                <w:sz w:val="20"/>
              </w:rPr>
              <w:t>11</w:t>
            </w:r>
          </w:p>
        </w:tc>
        <w:tc>
          <w:tcPr>
            <w:tcW w:w="2540" w:type="dxa"/>
            <w:tcBorders>
              <w:top w:val="single" w:sz="4" w:space="0" w:color="000000"/>
              <w:left w:val="single" w:sz="4" w:space="0" w:color="000000"/>
              <w:bottom w:val="single" w:sz="4" w:space="0" w:color="000000"/>
            </w:tcBorders>
          </w:tcPr>
          <w:p>
            <w:pPr>
              <w:pStyle w:val="TableParagraph"/>
              <w:spacing w:before="2"/>
              <w:rPr>
                <w:b/>
                <w:sz w:val="25"/>
              </w:rPr>
            </w:pPr>
          </w:p>
          <w:p>
            <w:pPr>
              <w:pStyle w:val="TableParagraph"/>
              <w:spacing w:before="0"/>
              <w:ind w:right="689"/>
              <w:jc w:val="right"/>
              <w:rPr>
                <w:sz w:val="20"/>
              </w:rPr>
            </w:pPr>
            <w:r>
              <w:rPr>
                <w:w w:val="95"/>
                <w:sz w:val="20"/>
              </w:rPr>
              <w:t>3,912,000</w:t>
            </w:r>
          </w:p>
        </w:tc>
      </w:tr>
      <w:tr>
        <w:trPr>
          <w:trHeight w:val="360" w:hRule="exact"/>
        </w:trPr>
        <w:tc>
          <w:tcPr>
            <w:tcW w:w="818" w:type="dxa"/>
            <w:tcBorders>
              <w:top w:val="single" w:sz="4" w:space="0" w:color="000000"/>
              <w:bottom w:val="single" w:sz="4" w:space="0" w:color="000000"/>
              <w:right w:val="single" w:sz="4" w:space="0" w:color="000000"/>
            </w:tcBorders>
          </w:tcPr>
          <w:p>
            <w:pPr>
              <w:pStyle w:val="TableParagraph"/>
              <w:ind w:right="9"/>
              <w:jc w:val="center"/>
              <w:rPr>
                <w:sz w:val="20"/>
              </w:rPr>
            </w:pPr>
            <w:r>
              <w:rPr>
                <w:w w:val="99"/>
                <w:sz w:val="20"/>
              </w:rPr>
              <w:t>5</w:t>
            </w:r>
          </w:p>
        </w:tc>
        <w:tc>
          <w:tcPr>
            <w:tcW w:w="3375"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Tuck Shops under overhead bridge</w:t>
            </w:r>
          </w:p>
        </w:tc>
        <w:tc>
          <w:tcPr>
            <w:tcW w:w="1980"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4</w:t>
            </w:r>
          </w:p>
        </w:tc>
        <w:tc>
          <w:tcPr>
            <w:tcW w:w="2540" w:type="dxa"/>
            <w:tcBorders>
              <w:top w:val="single" w:sz="4" w:space="0" w:color="000000"/>
              <w:left w:val="single" w:sz="4" w:space="0" w:color="000000"/>
              <w:bottom w:val="single" w:sz="4" w:space="0" w:color="000000"/>
            </w:tcBorders>
          </w:tcPr>
          <w:p>
            <w:pPr>
              <w:pStyle w:val="TableParagraph"/>
              <w:ind w:right="689"/>
              <w:jc w:val="right"/>
              <w:rPr>
                <w:sz w:val="20"/>
              </w:rPr>
            </w:pPr>
            <w:r>
              <w:rPr>
                <w:w w:val="95"/>
                <w:sz w:val="20"/>
              </w:rPr>
              <w:t>1,020,000</w:t>
            </w:r>
          </w:p>
        </w:tc>
      </w:tr>
      <w:tr>
        <w:trPr>
          <w:trHeight w:val="360" w:hRule="exact"/>
        </w:trPr>
        <w:tc>
          <w:tcPr>
            <w:tcW w:w="818" w:type="dxa"/>
            <w:tcBorders>
              <w:top w:val="single" w:sz="4" w:space="0" w:color="000000"/>
              <w:bottom w:val="single" w:sz="4" w:space="0" w:color="000000"/>
              <w:right w:val="single" w:sz="4" w:space="0" w:color="000000"/>
            </w:tcBorders>
          </w:tcPr>
          <w:p>
            <w:pPr>
              <w:pStyle w:val="TableParagraph"/>
              <w:ind w:right="9"/>
              <w:jc w:val="center"/>
              <w:rPr>
                <w:sz w:val="20"/>
              </w:rPr>
            </w:pPr>
            <w:r>
              <w:rPr>
                <w:w w:val="99"/>
                <w:sz w:val="20"/>
              </w:rPr>
              <w:t>6</w:t>
            </w:r>
          </w:p>
        </w:tc>
        <w:tc>
          <w:tcPr>
            <w:tcW w:w="3375"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Plant Nurseries</w:t>
            </w:r>
          </w:p>
        </w:tc>
        <w:tc>
          <w:tcPr>
            <w:tcW w:w="1980"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4</w:t>
            </w:r>
          </w:p>
        </w:tc>
        <w:tc>
          <w:tcPr>
            <w:tcW w:w="2540" w:type="dxa"/>
            <w:tcBorders>
              <w:top w:val="single" w:sz="4" w:space="0" w:color="000000"/>
              <w:left w:val="single" w:sz="4" w:space="0" w:color="000000"/>
              <w:bottom w:val="single" w:sz="4" w:space="0" w:color="000000"/>
            </w:tcBorders>
          </w:tcPr>
          <w:p>
            <w:pPr>
              <w:pStyle w:val="TableParagraph"/>
              <w:ind w:right="689"/>
              <w:jc w:val="right"/>
              <w:rPr>
                <w:sz w:val="20"/>
              </w:rPr>
            </w:pPr>
            <w:r>
              <w:rPr>
                <w:w w:val="95"/>
                <w:sz w:val="20"/>
              </w:rPr>
              <w:t>3,120,000</w:t>
            </w:r>
          </w:p>
        </w:tc>
      </w:tr>
      <w:tr>
        <w:trPr>
          <w:trHeight w:val="360" w:hRule="exact"/>
        </w:trPr>
        <w:tc>
          <w:tcPr>
            <w:tcW w:w="818" w:type="dxa"/>
            <w:tcBorders>
              <w:top w:val="single" w:sz="4" w:space="0" w:color="000000"/>
              <w:bottom w:val="single" w:sz="4" w:space="0" w:color="000000"/>
              <w:right w:val="single" w:sz="4" w:space="0" w:color="000000"/>
            </w:tcBorders>
          </w:tcPr>
          <w:p>
            <w:pPr/>
          </w:p>
        </w:tc>
        <w:tc>
          <w:tcPr>
            <w:tcW w:w="3375" w:type="dxa"/>
            <w:tcBorders>
              <w:top w:val="single" w:sz="4" w:space="0" w:color="000000"/>
              <w:left w:val="single" w:sz="4" w:space="0" w:color="000000"/>
              <w:bottom w:val="single" w:sz="4" w:space="0" w:color="000000"/>
              <w:right w:val="single" w:sz="4" w:space="0" w:color="000000"/>
            </w:tcBorders>
          </w:tcPr>
          <w:p>
            <w:pPr>
              <w:pStyle w:val="TableParagraph"/>
              <w:ind w:left="67"/>
              <w:rPr>
                <w:b/>
                <w:sz w:val="20"/>
              </w:rPr>
            </w:pPr>
            <w:r>
              <w:rPr>
                <w:b/>
                <w:sz w:val="20"/>
              </w:rPr>
              <w:t>Sub-total</w:t>
            </w:r>
          </w:p>
        </w:tc>
        <w:tc>
          <w:tcPr>
            <w:tcW w:w="1980" w:type="dxa"/>
            <w:tcBorders>
              <w:top w:val="single" w:sz="4" w:space="0" w:color="000000"/>
              <w:left w:val="single" w:sz="4" w:space="0" w:color="000000"/>
              <w:bottom w:val="single" w:sz="4" w:space="0" w:color="000000"/>
              <w:right w:val="single" w:sz="4" w:space="0" w:color="000000"/>
            </w:tcBorders>
          </w:tcPr>
          <w:p>
            <w:pPr>
              <w:pStyle w:val="TableParagraph"/>
              <w:ind w:left="392" w:right="392"/>
              <w:jc w:val="center"/>
              <w:rPr>
                <w:b/>
                <w:sz w:val="20"/>
              </w:rPr>
            </w:pPr>
            <w:r>
              <w:rPr>
                <w:b/>
                <w:sz w:val="20"/>
              </w:rPr>
              <w:t>82</w:t>
            </w:r>
          </w:p>
        </w:tc>
        <w:tc>
          <w:tcPr>
            <w:tcW w:w="2540" w:type="dxa"/>
            <w:tcBorders>
              <w:top w:val="single" w:sz="4" w:space="0" w:color="000000"/>
              <w:left w:val="single" w:sz="4" w:space="0" w:color="000000"/>
              <w:bottom w:val="single" w:sz="4" w:space="0" w:color="000000"/>
            </w:tcBorders>
          </w:tcPr>
          <w:p>
            <w:pPr>
              <w:pStyle w:val="TableParagraph"/>
              <w:ind w:right="689"/>
              <w:jc w:val="right"/>
              <w:rPr>
                <w:b/>
                <w:sz w:val="20"/>
              </w:rPr>
            </w:pPr>
            <w:r>
              <w:rPr>
                <w:b/>
                <w:w w:val="95"/>
                <w:sz w:val="20"/>
              </w:rPr>
              <w:t>27,072,000</w:t>
            </w:r>
          </w:p>
        </w:tc>
      </w:tr>
      <w:tr>
        <w:trPr>
          <w:trHeight w:val="360" w:hRule="exact"/>
        </w:trPr>
        <w:tc>
          <w:tcPr>
            <w:tcW w:w="818" w:type="dxa"/>
            <w:tcBorders>
              <w:top w:val="single" w:sz="4" w:space="0" w:color="000000"/>
              <w:bottom w:val="single" w:sz="4" w:space="0" w:color="000000"/>
              <w:right w:val="single" w:sz="4" w:space="0" w:color="000000"/>
            </w:tcBorders>
          </w:tcPr>
          <w:p>
            <w:pPr>
              <w:pStyle w:val="TableParagraph"/>
              <w:ind w:right="9"/>
              <w:jc w:val="center"/>
              <w:rPr>
                <w:sz w:val="20"/>
              </w:rPr>
            </w:pPr>
            <w:r>
              <w:rPr>
                <w:w w:val="99"/>
                <w:sz w:val="20"/>
              </w:rPr>
              <w:t>7</w:t>
            </w:r>
          </w:p>
        </w:tc>
        <w:tc>
          <w:tcPr>
            <w:tcW w:w="3375"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Employees</w:t>
            </w:r>
          </w:p>
        </w:tc>
        <w:tc>
          <w:tcPr>
            <w:tcW w:w="1980" w:type="dxa"/>
            <w:tcBorders>
              <w:top w:val="single" w:sz="4" w:space="0" w:color="000000"/>
              <w:left w:val="single" w:sz="4" w:space="0" w:color="000000"/>
              <w:bottom w:val="single" w:sz="4" w:space="0" w:color="000000"/>
              <w:right w:val="single" w:sz="4" w:space="0" w:color="000000"/>
            </w:tcBorders>
          </w:tcPr>
          <w:p>
            <w:pPr>
              <w:pStyle w:val="TableParagraph"/>
              <w:ind w:left="392" w:right="392"/>
              <w:jc w:val="center"/>
              <w:rPr>
                <w:sz w:val="20"/>
              </w:rPr>
            </w:pPr>
            <w:r>
              <w:rPr>
                <w:sz w:val="20"/>
              </w:rPr>
              <w:t>38</w:t>
            </w:r>
          </w:p>
        </w:tc>
        <w:tc>
          <w:tcPr>
            <w:tcW w:w="2540" w:type="dxa"/>
            <w:tcBorders>
              <w:top w:val="single" w:sz="4" w:space="0" w:color="000000"/>
              <w:left w:val="single" w:sz="4" w:space="0" w:color="000000"/>
              <w:bottom w:val="single" w:sz="4" w:space="0" w:color="000000"/>
            </w:tcBorders>
          </w:tcPr>
          <w:p>
            <w:pPr>
              <w:pStyle w:val="TableParagraph"/>
              <w:ind w:right="688"/>
              <w:jc w:val="right"/>
              <w:rPr>
                <w:sz w:val="20"/>
              </w:rPr>
            </w:pPr>
            <w:r>
              <w:rPr>
                <w:sz w:val="20"/>
              </w:rPr>
              <w:t>1,824,000</w:t>
            </w:r>
          </w:p>
        </w:tc>
      </w:tr>
      <w:tr>
        <w:trPr>
          <w:trHeight w:val="370" w:hRule="exact"/>
        </w:trPr>
        <w:tc>
          <w:tcPr>
            <w:tcW w:w="818" w:type="dxa"/>
            <w:tcBorders>
              <w:top w:val="single" w:sz="4" w:space="0" w:color="000000"/>
              <w:right w:val="single" w:sz="4" w:space="0" w:color="000000"/>
            </w:tcBorders>
          </w:tcPr>
          <w:p>
            <w:pPr/>
          </w:p>
        </w:tc>
        <w:tc>
          <w:tcPr>
            <w:tcW w:w="3375" w:type="dxa"/>
            <w:tcBorders>
              <w:top w:val="single" w:sz="4" w:space="0" w:color="000000"/>
              <w:left w:val="single" w:sz="4" w:space="0" w:color="000000"/>
              <w:right w:val="single" w:sz="4" w:space="0" w:color="000000"/>
            </w:tcBorders>
          </w:tcPr>
          <w:p>
            <w:pPr>
              <w:pStyle w:val="TableParagraph"/>
              <w:ind w:left="67"/>
              <w:rPr>
                <w:b/>
                <w:sz w:val="20"/>
              </w:rPr>
            </w:pPr>
            <w:r>
              <w:rPr>
                <w:b/>
                <w:sz w:val="20"/>
              </w:rPr>
              <w:t>Grand Total</w:t>
            </w:r>
          </w:p>
        </w:tc>
        <w:tc>
          <w:tcPr>
            <w:tcW w:w="1980" w:type="dxa"/>
            <w:tcBorders>
              <w:top w:val="single" w:sz="4" w:space="0" w:color="000000"/>
              <w:left w:val="single" w:sz="4" w:space="0" w:color="000000"/>
              <w:right w:val="single" w:sz="4" w:space="0" w:color="000000"/>
            </w:tcBorders>
          </w:tcPr>
          <w:p>
            <w:pPr/>
          </w:p>
        </w:tc>
        <w:tc>
          <w:tcPr>
            <w:tcW w:w="2540" w:type="dxa"/>
            <w:tcBorders>
              <w:top w:val="single" w:sz="4" w:space="0" w:color="000000"/>
              <w:left w:val="single" w:sz="4" w:space="0" w:color="000000"/>
            </w:tcBorders>
          </w:tcPr>
          <w:p>
            <w:pPr>
              <w:pStyle w:val="TableParagraph"/>
              <w:ind w:right="688"/>
              <w:jc w:val="right"/>
              <w:rPr>
                <w:b/>
                <w:sz w:val="20"/>
              </w:rPr>
            </w:pPr>
            <w:r>
              <w:rPr>
                <w:b/>
                <w:sz w:val="20"/>
              </w:rPr>
              <w:t>28,896,000</w:t>
            </w:r>
          </w:p>
        </w:tc>
      </w:tr>
    </w:tbl>
    <w:p>
      <w:pPr>
        <w:spacing w:before="122"/>
        <w:ind w:left="2940" w:right="0" w:firstLine="0"/>
        <w:jc w:val="left"/>
        <w:rPr>
          <w:b/>
          <w:sz w:val="22"/>
        </w:rPr>
      </w:pPr>
      <w:bookmarkStart w:name="_bookmark93" w:id="158"/>
      <w:bookmarkEnd w:id="158"/>
      <w:r>
        <w:rPr/>
      </w:r>
      <w:r>
        <w:rPr>
          <w:b/>
          <w:sz w:val="22"/>
        </w:rPr>
        <w:t>Table 8: Compensation for Vulnerable PAPs</w:t>
      </w:r>
    </w:p>
    <w:p>
      <w:pPr>
        <w:pStyle w:val="BodyText"/>
        <w:spacing w:before="4"/>
        <w:rPr>
          <w:b/>
          <w:sz w:val="10"/>
        </w:rPr>
      </w:pPr>
    </w:p>
    <w:tbl>
      <w:tblPr>
        <w:tblW w:w="0" w:type="auto"/>
        <w:jc w:val="left"/>
        <w:tblInd w:w="9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97"/>
        <w:gridCol w:w="3750"/>
        <w:gridCol w:w="2084"/>
        <w:gridCol w:w="2083"/>
      </w:tblGrid>
      <w:tr>
        <w:trPr>
          <w:trHeight w:val="599" w:hRule="exact"/>
        </w:trPr>
        <w:tc>
          <w:tcPr>
            <w:tcW w:w="797" w:type="dxa"/>
            <w:tcBorders>
              <w:bottom w:val="single" w:sz="4" w:space="0" w:color="000000"/>
              <w:right w:val="single" w:sz="4" w:space="0" w:color="000000"/>
            </w:tcBorders>
            <w:shd w:val="clear" w:color="auto" w:fill="D9D9D9"/>
          </w:tcPr>
          <w:p>
            <w:pPr>
              <w:pStyle w:val="TableParagraph"/>
              <w:spacing w:before="173"/>
              <w:ind w:left="40" w:right="52"/>
              <w:jc w:val="center"/>
              <w:rPr>
                <w:b/>
                <w:sz w:val="20"/>
              </w:rPr>
            </w:pPr>
            <w:r>
              <w:rPr>
                <w:b/>
                <w:sz w:val="20"/>
              </w:rPr>
              <w:t>Sr. No.</w:t>
            </w:r>
          </w:p>
        </w:tc>
        <w:tc>
          <w:tcPr>
            <w:tcW w:w="3750" w:type="dxa"/>
            <w:tcBorders>
              <w:left w:val="single" w:sz="4" w:space="0" w:color="000000"/>
              <w:bottom w:val="single" w:sz="4" w:space="0" w:color="000000"/>
              <w:right w:val="single" w:sz="4" w:space="0" w:color="000000"/>
            </w:tcBorders>
            <w:shd w:val="clear" w:color="auto" w:fill="D9D9D9"/>
          </w:tcPr>
          <w:p>
            <w:pPr>
              <w:pStyle w:val="TableParagraph"/>
              <w:spacing w:before="173"/>
              <w:ind w:left="1008"/>
              <w:rPr>
                <w:b/>
                <w:sz w:val="20"/>
              </w:rPr>
            </w:pPr>
            <w:r>
              <w:rPr>
                <w:b/>
                <w:sz w:val="20"/>
              </w:rPr>
              <w:t>Vulnerability Type</w:t>
            </w:r>
          </w:p>
        </w:tc>
        <w:tc>
          <w:tcPr>
            <w:tcW w:w="2084" w:type="dxa"/>
            <w:tcBorders>
              <w:left w:val="single" w:sz="4" w:space="0" w:color="000000"/>
              <w:bottom w:val="single" w:sz="4" w:space="0" w:color="000000"/>
              <w:right w:val="single" w:sz="4" w:space="0" w:color="000000"/>
            </w:tcBorders>
            <w:shd w:val="clear" w:color="auto" w:fill="D9D9D9"/>
          </w:tcPr>
          <w:p>
            <w:pPr>
              <w:pStyle w:val="TableParagraph"/>
              <w:spacing w:before="173"/>
              <w:ind w:left="443" w:right="446"/>
              <w:jc w:val="center"/>
              <w:rPr>
                <w:b/>
                <w:sz w:val="20"/>
              </w:rPr>
            </w:pPr>
            <w:r>
              <w:rPr>
                <w:b/>
                <w:sz w:val="20"/>
              </w:rPr>
              <w:t>No. of PAPs</w:t>
            </w:r>
          </w:p>
        </w:tc>
        <w:tc>
          <w:tcPr>
            <w:tcW w:w="2083" w:type="dxa"/>
            <w:tcBorders>
              <w:left w:val="single" w:sz="4" w:space="0" w:color="000000"/>
              <w:bottom w:val="single" w:sz="4" w:space="0" w:color="000000"/>
            </w:tcBorders>
            <w:shd w:val="clear" w:color="auto" w:fill="D9D9D9"/>
          </w:tcPr>
          <w:p>
            <w:pPr>
              <w:pStyle w:val="TableParagraph"/>
              <w:spacing w:before="58"/>
              <w:ind w:left="758" w:right="47" w:hanging="684"/>
              <w:rPr>
                <w:b/>
                <w:sz w:val="20"/>
              </w:rPr>
            </w:pPr>
            <w:r>
              <w:rPr>
                <w:b/>
                <w:sz w:val="20"/>
              </w:rPr>
              <w:t>Total Compensation (PKR)</w:t>
            </w:r>
          </w:p>
        </w:tc>
      </w:tr>
      <w:tr>
        <w:trPr>
          <w:trHeight w:val="360" w:hRule="exact"/>
        </w:trPr>
        <w:tc>
          <w:tcPr>
            <w:tcW w:w="797" w:type="dxa"/>
            <w:tcBorders>
              <w:top w:val="single" w:sz="4" w:space="0" w:color="000000"/>
              <w:bottom w:val="single" w:sz="4" w:space="0" w:color="000000"/>
              <w:right w:val="single" w:sz="4" w:space="0" w:color="000000"/>
            </w:tcBorders>
          </w:tcPr>
          <w:p>
            <w:pPr>
              <w:pStyle w:val="TableParagraph"/>
              <w:ind w:right="7"/>
              <w:jc w:val="center"/>
              <w:rPr>
                <w:sz w:val="20"/>
              </w:rPr>
            </w:pPr>
            <w:r>
              <w:rPr>
                <w:w w:val="99"/>
                <w:sz w:val="20"/>
              </w:rPr>
              <w:t>1</w:t>
            </w:r>
          </w:p>
        </w:tc>
        <w:tc>
          <w:tcPr>
            <w:tcW w:w="3750"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Below OPL ≤16,000/month</w:t>
            </w:r>
          </w:p>
        </w:tc>
        <w:tc>
          <w:tcPr>
            <w:tcW w:w="2084" w:type="dxa"/>
            <w:tcBorders>
              <w:top w:val="single" w:sz="4" w:space="0" w:color="000000"/>
              <w:left w:val="single" w:sz="4" w:space="0" w:color="000000"/>
              <w:bottom w:val="single" w:sz="4" w:space="0" w:color="000000"/>
              <w:right w:val="single" w:sz="4" w:space="0" w:color="000000"/>
            </w:tcBorders>
          </w:tcPr>
          <w:p>
            <w:pPr>
              <w:pStyle w:val="TableParagraph"/>
              <w:ind w:left="443" w:right="446"/>
              <w:jc w:val="center"/>
              <w:rPr>
                <w:sz w:val="20"/>
              </w:rPr>
            </w:pPr>
            <w:r>
              <w:rPr>
                <w:sz w:val="20"/>
              </w:rPr>
              <w:t>16</w:t>
            </w:r>
          </w:p>
        </w:tc>
        <w:tc>
          <w:tcPr>
            <w:tcW w:w="2083" w:type="dxa"/>
            <w:tcBorders>
              <w:top w:val="single" w:sz="4" w:space="0" w:color="000000"/>
              <w:left w:val="single" w:sz="4" w:space="0" w:color="000000"/>
              <w:bottom w:val="single" w:sz="4" w:space="0" w:color="000000"/>
            </w:tcBorders>
          </w:tcPr>
          <w:p>
            <w:pPr>
              <w:pStyle w:val="TableParagraph"/>
              <w:ind w:right="667"/>
              <w:jc w:val="right"/>
              <w:rPr>
                <w:sz w:val="20"/>
              </w:rPr>
            </w:pPr>
            <w:r>
              <w:rPr>
                <w:sz w:val="20"/>
              </w:rPr>
              <w:t>768,000</w:t>
            </w:r>
          </w:p>
        </w:tc>
      </w:tr>
      <w:tr>
        <w:trPr>
          <w:trHeight w:val="360" w:hRule="exact"/>
        </w:trPr>
        <w:tc>
          <w:tcPr>
            <w:tcW w:w="797" w:type="dxa"/>
            <w:tcBorders>
              <w:top w:val="single" w:sz="4" w:space="0" w:color="000000"/>
              <w:bottom w:val="single" w:sz="4" w:space="0" w:color="000000"/>
              <w:right w:val="single" w:sz="4" w:space="0" w:color="000000"/>
            </w:tcBorders>
          </w:tcPr>
          <w:p>
            <w:pPr>
              <w:pStyle w:val="TableParagraph"/>
              <w:ind w:right="7"/>
              <w:jc w:val="center"/>
              <w:rPr>
                <w:sz w:val="20"/>
              </w:rPr>
            </w:pPr>
            <w:r>
              <w:rPr>
                <w:w w:val="99"/>
                <w:sz w:val="20"/>
              </w:rPr>
              <w:t>2</w:t>
            </w:r>
          </w:p>
        </w:tc>
        <w:tc>
          <w:tcPr>
            <w:tcW w:w="3750"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Disabled</w:t>
            </w:r>
          </w:p>
        </w:tc>
        <w:tc>
          <w:tcPr>
            <w:tcW w:w="2084"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3</w:t>
            </w:r>
          </w:p>
        </w:tc>
        <w:tc>
          <w:tcPr>
            <w:tcW w:w="2083" w:type="dxa"/>
            <w:tcBorders>
              <w:top w:val="single" w:sz="4" w:space="0" w:color="000000"/>
              <w:left w:val="single" w:sz="4" w:space="0" w:color="000000"/>
              <w:bottom w:val="single" w:sz="4" w:space="0" w:color="000000"/>
            </w:tcBorders>
          </w:tcPr>
          <w:p>
            <w:pPr>
              <w:pStyle w:val="TableParagraph"/>
              <w:ind w:right="667"/>
              <w:jc w:val="right"/>
              <w:rPr>
                <w:sz w:val="20"/>
              </w:rPr>
            </w:pPr>
            <w:r>
              <w:rPr>
                <w:sz w:val="20"/>
              </w:rPr>
              <w:t>144,000</w:t>
            </w:r>
          </w:p>
        </w:tc>
      </w:tr>
      <w:tr>
        <w:trPr>
          <w:trHeight w:val="370" w:hRule="exact"/>
        </w:trPr>
        <w:tc>
          <w:tcPr>
            <w:tcW w:w="797" w:type="dxa"/>
            <w:tcBorders>
              <w:top w:val="single" w:sz="4" w:space="0" w:color="000000"/>
              <w:right w:val="single" w:sz="4" w:space="0" w:color="000000"/>
            </w:tcBorders>
          </w:tcPr>
          <w:p>
            <w:pPr/>
          </w:p>
        </w:tc>
        <w:tc>
          <w:tcPr>
            <w:tcW w:w="3750" w:type="dxa"/>
            <w:tcBorders>
              <w:top w:val="single" w:sz="4" w:space="0" w:color="000000"/>
              <w:left w:val="single" w:sz="4" w:space="0" w:color="000000"/>
              <w:right w:val="single" w:sz="4" w:space="0" w:color="000000"/>
            </w:tcBorders>
          </w:tcPr>
          <w:p>
            <w:pPr>
              <w:pStyle w:val="TableParagraph"/>
              <w:ind w:left="67"/>
              <w:rPr>
                <w:b/>
                <w:sz w:val="20"/>
              </w:rPr>
            </w:pPr>
            <w:r>
              <w:rPr>
                <w:b/>
                <w:sz w:val="20"/>
              </w:rPr>
              <w:t>Total</w:t>
            </w:r>
          </w:p>
        </w:tc>
        <w:tc>
          <w:tcPr>
            <w:tcW w:w="2084" w:type="dxa"/>
            <w:tcBorders>
              <w:top w:val="single" w:sz="4" w:space="0" w:color="000000"/>
              <w:left w:val="single" w:sz="4" w:space="0" w:color="000000"/>
              <w:right w:val="single" w:sz="4" w:space="0" w:color="000000"/>
            </w:tcBorders>
          </w:tcPr>
          <w:p>
            <w:pPr>
              <w:pStyle w:val="TableParagraph"/>
              <w:ind w:left="443" w:right="446"/>
              <w:jc w:val="center"/>
              <w:rPr>
                <w:b/>
                <w:sz w:val="20"/>
              </w:rPr>
            </w:pPr>
            <w:r>
              <w:rPr>
                <w:b/>
                <w:sz w:val="20"/>
              </w:rPr>
              <w:t>19</w:t>
            </w:r>
          </w:p>
        </w:tc>
        <w:tc>
          <w:tcPr>
            <w:tcW w:w="2083" w:type="dxa"/>
            <w:tcBorders>
              <w:top w:val="single" w:sz="4" w:space="0" w:color="000000"/>
              <w:left w:val="single" w:sz="4" w:space="0" w:color="000000"/>
            </w:tcBorders>
          </w:tcPr>
          <w:p>
            <w:pPr>
              <w:pStyle w:val="TableParagraph"/>
              <w:ind w:right="667"/>
              <w:jc w:val="right"/>
              <w:rPr>
                <w:b/>
                <w:sz w:val="20"/>
              </w:rPr>
            </w:pPr>
            <w:r>
              <w:rPr>
                <w:b/>
                <w:sz w:val="20"/>
              </w:rPr>
              <w:t>912,000</w:t>
            </w:r>
          </w:p>
        </w:tc>
      </w:tr>
    </w:tbl>
    <w:p>
      <w:pPr>
        <w:pStyle w:val="BodyText"/>
        <w:spacing w:before="10"/>
        <w:rPr>
          <w:b/>
          <w:sz w:val="35"/>
        </w:rPr>
      </w:pPr>
    </w:p>
    <w:p>
      <w:pPr>
        <w:pStyle w:val="ListParagraph"/>
        <w:numPr>
          <w:ilvl w:val="0"/>
          <w:numId w:val="50"/>
        </w:numPr>
        <w:tabs>
          <w:tab w:pos="1589" w:val="left" w:leader="none"/>
        </w:tabs>
        <w:spacing w:line="276" w:lineRule="auto" w:before="0" w:after="0"/>
        <w:ind w:left="868" w:right="156" w:firstLine="0"/>
        <w:jc w:val="both"/>
        <w:rPr>
          <w:sz w:val="22"/>
        </w:rPr>
      </w:pPr>
      <w:r>
        <w:rPr>
          <w:sz w:val="22"/>
        </w:rPr>
        <w:t>The following Table 8 shows the costs of each affected item and summarizes the total budget of this C&amp;LRP. Details of compensation for affected business is provided as Annex-VIII and detail of employees and vulnerable provided as Annex-IX and</w:t>
      </w:r>
      <w:r>
        <w:rPr>
          <w:spacing w:val="-18"/>
          <w:sz w:val="22"/>
        </w:rPr>
        <w:t> </w:t>
      </w:r>
      <w:r>
        <w:rPr>
          <w:sz w:val="22"/>
        </w:rPr>
        <w:t>X.</w:t>
      </w:r>
    </w:p>
    <w:p>
      <w:pPr>
        <w:spacing w:after="0" w:line="276" w:lineRule="auto"/>
        <w:jc w:val="both"/>
        <w:rPr>
          <w:sz w:val="22"/>
        </w:rPr>
        <w:sectPr>
          <w:pgSz w:w="11910" w:h="16840"/>
          <w:pgMar w:header="583" w:footer="575" w:top="840" w:bottom="760" w:left="860" w:right="1280"/>
        </w:sectPr>
      </w:pPr>
    </w:p>
    <w:p>
      <w:pPr>
        <w:pStyle w:val="BodyText"/>
        <w:rPr>
          <w:sz w:val="20"/>
        </w:rPr>
      </w:pPr>
    </w:p>
    <w:p>
      <w:pPr>
        <w:pStyle w:val="BodyText"/>
        <w:rPr>
          <w:sz w:val="20"/>
        </w:rPr>
      </w:pPr>
    </w:p>
    <w:p>
      <w:pPr>
        <w:pStyle w:val="BodyText"/>
        <w:spacing w:before="10"/>
        <w:rPr>
          <w:sz w:val="27"/>
        </w:rPr>
      </w:pPr>
    </w:p>
    <w:p>
      <w:pPr>
        <w:pStyle w:val="Heading3"/>
        <w:spacing w:before="93"/>
        <w:ind w:left="2615"/>
        <w:jc w:val="left"/>
      </w:pPr>
      <w:bookmarkStart w:name="_bookmark94" w:id="159"/>
      <w:bookmarkEnd w:id="159"/>
      <w:r>
        <w:rPr>
          <w:b w:val="0"/>
        </w:rPr>
      </w:r>
      <w:r>
        <w:rPr/>
        <w:t>Table 9: Proposed Indicative Resettlement Budget</w:t>
      </w:r>
    </w:p>
    <w:p>
      <w:pPr>
        <w:pStyle w:val="BodyText"/>
        <w:spacing w:before="4"/>
        <w:rPr>
          <w:b/>
          <w:sz w:val="10"/>
        </w:rPr>
      </w:pPr>
    </w:p>
    <w:tbl>
      <w:tblPr>
        <w:tblW w:w="0" w:type="auto"/>
        <w:jc w:val="left"/>
        <w:tblInd w:w="9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77"/>
        <w:gridCol w:w="2605"/>
        <w:gridCol w:w="912"/>
        <w:gridCol w:w="1718"/>
        <w:gridCol w:w="2429"/>
      </w:tblGrid>
      <w:tr>
        <w:trPr>
          <w:trHeight w:val="371" w:hRule="exact"/>
        </w:trPr>
        <w:tc>
          <w:tcPr>
            <w:tcW w:w="977" w:type="dxa"/>
            <w:tcBorders>
              <w:bottom w:val="single" w:sz="4" w:space="0" w:color="000000"/>
              <w:right w:val="single" w:sz="4" w:space="0" w:color="000000"/>
            </w:tcBorders>
            <w:shd w:val="clear" w:color="auto" w:fill="D9D9D9"/>
          </w:tcPr>
          <w:p>
            <w:pPr>
              <w:pStyle w:val="TableParagraph"/>
              <w:spacing w:before="61"/>
              <w:ind w:left="129" w:right="143"/>
              <w:jc w:val="center"/>
              <w:rPr>
                <w:b/>
                <w:sz w:val="20"/>
              </w:rPr>
            </w:pPr>
            <w:r>
              <w:rPr>
                <w:b/>
                <w:sz w:val="20"/>
              </w:rPr>
              <w:t>Sr. No.</w:t>
            </w:r>
          </w:p>
        </w:tc>
        <w:tc>
          <w:tcPr>
            <w:tcW w:w="2605" w:type="dxa"/>
            <w:tcBorders>
              <w:left w:val="single" w:sz="4" w:space="0" w:color="000000"/>
              <w:bottom w:val="single" w:sz="4" w:space="0" w:color="000000"/>
              <w:right w:val="single" w:sz="4" w:space="0" w:color="000000"/>
            </w:tcBorders>
            <w:shd w:val="clear" w:color="auto" w:fill="D9D9D9"/>
          </w:tcPr>
          <w:p>
            <w:pPr>
              <w:pStyle w:val="TableParagraph"/>
              <w:spacing w:before="60"/>
              <w:ind w:left="799"/>
              <w:rPr>
                <w:b/>
                <w:sz w:val="18"/>
              </w:rPr>
            </w:pPr>
            <w:r>
              <w:rPr>
                <w:b/>
                <w:sz w:val="18"/>
              </w:rPr>
              <w:t>Description</w:t>
            </w:r>
          </w:p>
        </w:tc>
        <w:tc>
          <w:tcPr>
            <w:tcW w:w="912" w:type="dxa"/>
            <w:tcBorders>
              <w:left w:val="single" w:sz="4" w:space="0" w:color="000000"/>
              <w:bottom w:val="single" w:sz="4" w:space="0" w:color="000000"/>
              <w:right w:val="single" w:sz="4" w:space="0" w:color="000000"/>
            </w:tcBorders>
            <w:shd w:val="clear" w:color="auto" w:fill="D9D9D9"/>
          </w:tcPr>
          <w:p>
            <w:pPr>
              <w:pStyle w:val="TableParagraph"/>
              <w:spacing w:before="60"/>
              <w:ind w:left="70" w:right="71"/>
              <w:jc w:val="center"/>
              <w:rPr>
                <w:b/>
                <w:sz w:val="18"/>
              </w:rPr>
            </w:pPr>
            <w:r>
              <w:rPr>
                <w:b/>
                <w:sz w:val="18"/>
              </w:rPr>
              <w:t>Affected</w:t>
            </w:r>
          </w:p>
        </w:tc>
        <w:tc>
          <w:tcPr>
            <w:tcW w:w="1718" w:type="dxa"/>
            <w:tcBorders>
              <w:left w:val="single" w:sz="4" w:space="0" w:color="000000"/>
              <w:bottom w:val="single" w:sz="4" w:space="0" w:color="000000"/>
              <w:right w:val="single" w:sz="4" w:space="0" w:color="000000"/>
            </w:tcBorders>
            <w:shd w:val="clear" w:color="auto" w:fill="D9D9D9"/>
          </w:tcPr>
          <w:p>
            <w:pPr>
              <w:pStyle w:val="TableParagraph"/>
              <w:spacing w:before="60"/>
              <w:ind w:right="381"/>
              <w:jc w:val="right"/>
              <w:rPr>
                <w:b/>
                <w:sz w:val="18"/>
              </w:rPr>
            </w:pPr>
            <w:r>
              <w:rPr>
                <w:b/>
                <w:sz w:val="18"/>
              </w:rPr>
              <w:t>Rate (PKR)</w:t>
            </w:r>
          </w:p>
        </w:tc>
        <w:tc>
          <w:tcPr>
            <w:tcW w:w="2429" w:type="dxa"/>
            <w:tcBorders>
              <w:left w:val="single" w:sz="4" w:space="0" w:color="000000"/>
              <w:bottom w:val="single" w:sz="4" w:space="0" w:color="000000"/>
            </w:tcBorders>
            <w:shd w:val="clear" w:color="auto" w:fill="D9D9D9"/>
          </w:tcPr>
          <w:p>
            <w:pPr>
              <w:pStyle w:val="TableParagraph"/>
              <w:spacing w:before="60"/>
              <w:ind w:left="69"/>
              <w:rPr>
                <w:b/>
                <w:sz w:val="18"/>
              </w:rPr>
            </w:pPr>
            <w:r>
              <w:rPr>
                <w:b/>
                <w:sz w:val="18"/>
              </w:rPr>
              <w:t>Total Compensation (PKR)</w:t>
            </w:r>
          </w:p>
        </w:tc>
      </w:tr>
      <w:tr>
        <w:trPr>
          <w:trHeight w:val="590" w:hRule="exact"/>
        </w:trPr>
        <w:tc>
          <w:tcPr>
            <w:tcW w:w="977" w:type="dxa"/>
            <w:tcBorders>
              <w:top w:val="single" w:sz="4" w:space="0" w:color="000000"/>
              <w:bottom w:val="single" w:sz="4" w:space="0" w:color="000000"/>
              <w:right w:val="single" w:sz="4" w:space="0" w:color="000000"/>
            </w:tcBorders>
          </w:tcPr>
          <w:p>
            <w:pPr>
              <w:pStyle w:val="TableParagraph"/>
              <w:ind w:right="9"/>
              <w:jc w:val="center"/>
              <w:rPr>
                <w:sz w:val="20"/>
              </w:rPr>
            </w:pPr>
            <w:r>
              <w:rPr>
                <w:w w:val="99"/>
                <w:sz w:val="20"/>
              </w:rPr>
              <w:t>1</w:t>
            </w:r>
          </w:p>
        </w:tc>
        <w:tc>
          <w:tcPr>
            <w:tcW w:w="2605" w:type="dxa"/>
            <w:tcBorders>
              <w:top w:val="single" w:sz="4" w:space="0" w:color="000000"/>
              <w:left w:val="single" w:sz="4" w:space="0" w:color="000000"/>
              <w:bottom w:val="single" w:sz="4" w:space="0" w:color="000000"/>
              <w:right w:val="single" w:sz="4" w:space="0" w:color="000000"/>
            </w:tcBorders>
          </w:tcPr>
          <w:p>
            <w:pPr>
              <w:pStyle w:val="TableParagraph"/>
              <w:ind w:left="64" w:right="229"/>
              <w:rPr>
                <w:sz w:val="20"/>
              </w:rPr>
            </w:pPr>
            <w:r>
              <w:rPr>
                <w:sz w:val="20"/>
              </w:rPr>
              <w:t>Rehabilitation Assistance for Loss of Business</w:t>
            </w:r>
          </w:p>
        </w:tc>
        <w:tc>
          <w:tcPr>
            <w:tcW w:w="912" w:type="dxa"/>
            <w:tcBorders>
              <w:top w:val="single" w:sz="4" w:space="0" w:color="000000"/>
              <w:left w:val="single" w:sz="4" w:space="0" w:color="000000"/>
              <w:bottom w:val="single" w:sz="4" w:space="0" w:color="000000"/>
              <w:right w:val="single" w:sz="4" w:space="0" w:color="000000"/>
            </w:tcBorders>
          </w:tcPr>
          <w:p>
            <w:pPr>
              <w:pStyle w:val="TableParagraph"/>
              <w:ind w:left="68" w:right="71"/>
              <w:jc w:val="center"/>
              <w:rPr>
                <w:sz w:val="20"/>
              </w:rPr>
            </w:pPr>
            <w:r>
              <w:rPr>
                <w:sz w:val="20"/>
              </w:rPr>
              <w:t>82</w:t>
            </w:r>
          </w:p>
        </w:tc>
        <w:tc>
          <w:tcPr>
            <w:tcW w:w="1718" w:type="dxa"/>
            <w:tcBorders>
              <w:top w:val="single" w:sz="4" w:space="0" w:color="000000"/>
              <w:left w:val="single" w:sz="4" w:space="0" w:color="000000"/>
              <w:bottom w:val="single" w:sz="4" w:space="0" w:color="000000"/>
              <w:right w:val="single" w:sz="4" w:space="0" w:color="000000"/>
            </w:tcBorders>
          </w:tcPr>
          <w:p>
            <w:pPr>
              <w:pStyle w:val="TableParagraph"/>
              <w:ind w:right="350"/>
              <w:jc w:val="right"/>
              <w:rPr>
                <w:sz w:val="20"/>
              </w:rPr>
            </w:pPr>
            <w:r>
              <w:rPr>
                <w:sz w:val="20"/>
              </w:rPr>
              <w:t>As per Income</w:t>
            </w:r>
          </w:p>
        </w:tc>
        <w:tc>
          <w:tcPr>
            <w:tcW w:w="2429" w:type="dxa"/>
            <w:tcBorders>
              <w:top w:val="single" w:sz="4" w:space="0" w:color="000000"/>
              <w:left w:val="single" w:sz="4" w:space="0" w:color="000000"/>
              <w:bottom w:val="single" w:sz="4" w:space="0" w:color="000000"/>
            </w:tcBorders>
          </w:tcPr>
          <w:p>
            <w:pPr>
              <w:pStyle w:val="TableParagraph"/>
              <w:spacing w:before="175"/>
              <w:ind w:left="1075"/>
              <w:rPr>
                <w:sz w:val="20"/>
              </w:rPr>
            </w:pPr>
            <w:r>
              <w:rPr>
                <w:sz w:val="20"/>
              </w:rPr>
              <w:t>27,024,000</w:t>
            </w:r>
          </w:p>
        </w:tc>
      </w:tr>
      <w:tr>
        <w:trPr>
          <w:trHeight w:val="360" w:hRule="exact"/>
        </w:trPr>
        <w:tc>
          <w:tcPr>
            <w:tcW w:w="977" w:type="dxa"/>
            <w:tcBorders>
              <w:top w:val="single" w:sz="4" w:space="0" w:color="000000"/>
              <w:bottom w:val="single" w:sz="4" w:space="0" w:color="000000"/>
              <w:right w:val="single" w:sz="4" w:space="0" w:color="000000"/>
            </w:tcBorders>
          </w:tcPr>
          <w:p>
            <w:pPr>
              <w:pStyle w:val="TableParagraph"/>
              <w:ind w:right="9"/>
              <w:jc w:val="center"/>
              <w:rPr>
                <w:sz w:val="20"/>
              </w:rPr>
            </w:pPr>
            <w:r>
              <w:rPr>
                <w:w w:val="99"/>
                <w:sz w:val="20"/>
              </w:rPr>
              <w:t>2</w:t>
            </w:r>
          </w:p>
        </w:tc>
        <w:tc>
          <w:tcPr>
            <w:tcW w:w="2605" w:type="dxa"/>
            <w:tcBorders>
              <w:top w:val="single" w:sz="4" w:space="0" w:color="000000"/>
              <w:left w:val="single" w:sz="4" w:space="0" w:color="000000"/>
              <w:bottom w:val="single" w:sz="4" w:space="0" w:color="000000"/>
              <w:right w:val="single" w:sz="4" w:space="0" w:color="000000"/>
            </w:tcBorders>
          </w:tcPr>
          <w:p>
            <w:pPr>
              <w:pStyle w:val="TableParagraph"/>
              <w:ind w:left="64"/>
              <w:rPr>
                <w:sz w:val="20"/>
              </w:rPr>
            </w:pPr>
            <w:r>
              <w:rPr>
                <w:sz w:val="20"/>
              </w:rPr>
              <w:t>Employment Loss</w:t>
            </w:r>
          </w:p>
        </w:tc>
        <w:tc>
          <w:tcPr>
            <w:tcW w:w="912" w:type="dxa"/>
            <w:tcBorders>
              <w:top w:val="single" w:sz="4" w:space="0" w:color="000000"/>
              <w:left w:val="single" w:sz="4" w:space="0" w:color="000000"/>
              <w:bottom w:val="single" w:sz="4" w:space="0" w:color="000000"/>
              <w:right w:val="single" w:sz="4" w:space="0" w:color="000000"/>
            </w:tcBorders>
          </w:tcPr>
          <w:p>
            <w:pPr>
              <w:pStyle w:val="TableParagraph"/>
              <w:ind w:left="68" w:right="71"/>
              <w:jc w:val="center"/>
              <w:rPr>
                <w:sz w:val="20"/>
              </w:rPr>
            </w:pPr>
            <w:r>
              <w:rPr>
                <w:sz w:val="20"/>
              </w:rPr>
              <w:t>38</w:t>
            </w:r>
          </w:p>
        </w:tc>
        <w:tc>
          <w:tcPr>
            <w:tcW w:w="1718" w:type="dxa"/>
            <w:tcBorders>
              <w:top w:val="single" w:sz="4" w:space="0" w:color="000000"/>
              <w:left w:val="single" w:sz="4" w:space="0" w:color="000000"/>
              <w:bottom w:val="single" w:sz="4" w:space="0" w:color="000000"/>
              <w:right w:val="single" w:sz="4" w:space="0" w:color="000000"/>
            </w:tcBorders>
          </w:tcPr>
          <w:p>
            <w:pPr>
              <w:pStyle w:val="TableParagraph"/>
              <w:ind w:right="343"/>
              <w:jc w:val="right"/>
              <w:rPr>
                <w:sz w:val="20"/>
              </w:rPr>
            </w:pPr>
            <w:r>
              <w:rPr>
                <w:w w:val="95"/>
                <w:sz w:val="20"/>
              </w:rPr>
              <w:t>48,000</w:t>
            </w:r>
          </w:p>
        </w:tc>
        <w:tc>
          <w:tcPr>
            <w:tcW w:w="2429" w:type="dxa"/>
            <w:tcBorders>
              <w:top w:val="single" w:sz="4" w:space="0" w:color="000000"/>
              <w:left w:val="single" w:sz="4" w:space="0" w:color="000000"/>
              <w:bottom w:val="single" w:sz="4" w:space="0" w:color="000000"/>
            </w:tcBorders>
          </w:tcPr>
          <w:p>
            <w:pPr>
              <w:pStyle w:val="TableParagraph"/>
              <w:ind w:left="1186"/>
              <w:rPr>
                <w:sz w:val="20"/>
              </w:rPr>
            </w:pPr>
            <w:r>
              <w:rPr>
                <w:sz w:val="20"/>
              </w:rPr>
              <w:t>1,824,000</w:t>
            </w:r>
          </w:p>
        </w:tc>
      </w:tr>
      <w:tr>
        <w:trPr>
          <w:trHeight w:val="360" w:hRule="exact"/>
        </w:trPr>
        <w:tc>
          <w:tcPr>
            <w:tcW w:w="977" w:type="dxa"/>
            <w:tcBorders>
              <w:top w:val="single" w:sz="4" w:space="0" w:color="000000"/>
              <w:bottom w:val="single" w:sz="4" w:space="0" w:color="000000"/>
              <w:right w:val="single" w:sz="4" w:space="0" w:color="000000"/>
            </w:tcBorders>
          </w:tcPr>
          <w:p>
            <w:pPr/>
          </w:p>
        </w:tc>
        <w:tc>
          <w:tcPr>
            <w:tcW w:w="2605" w:type="dxa"/>
            <w:tcBorders>
              <w:top w:val="single" w:sz="4" w:space="0" w:color="000000"/>
              <w:left w:val="single" w:sz="4" w:space="0" w:color="000000"/>
              <w:bottom w:val="single" w:sz="4" w:space="0" w:color="000000"/>
              <w:right w:val="single" w:sz="4" w:space="0" w:color="000000"/>
            </w:tcBorders>
          </w:tcPr>
          <w:p>
            <w:pPr>
              <w:pStyle w:val="TableParagraph"/>
              <w:ind w:left="64"/>
              <w:rPr>
                <w:b/>
                <w:sz w:val="20"/>
              </w:rPr>
            </w:pPr>
            <w:r>
              <w:rPr>
                <w:b/>
                <w:sz w:val="20"/>
              </w:rPr>
              <w:t>Sub-total</w:t>
            </w:r>
          </w:p>
        </w:tc>
        <w:tc>
          <w:tcPr>
            <w:tcW w:w="912" w:type="dxa"/>
            <w:tcBorders>
              <w:top w:val="single" w:sz="4" w:space="0" w:color="000000"/>
              <w:left w:val="single" w:sz="4" w:space="0" w:color="000000"/>
              <w:bottom w:val="single" w:sz="4" w:space="0" w:color="000000"/>
              <w:right w:val="single" w:sz="4" w:space="0" w:color="000000"/>
            </w:tcBorders>
          </w:tcPr>
          <w:p>
            <w:pPr/>
          </w:p>
        </w:tc>
        <w:tc>
          <w:tcPr>
            <w:tcW w:w="1718" w:type="dxa"/>
            <w:tcBorders>
              <w:top w:val="single" w:sz="4" w:space="0" w:color="000000"/>
              <w:left w:val="single" w:sz="4" w:space="0" w:color="000000"/>
              <w:bottom w:val="single" w:sz="4" w:space="0" w:color="000000"/>
              <w:right w:val="single" w:sz="4" w:space="0" w:color="000000"/>
            </w:tcBorders>
          </w:tcPr>
          <w:p>
            <w:pPr/>
          </w:p>
        </w:tc>
        <w:tc>
          <w:tcPr>
            <w:tcW w:w="2429" w:type="dxa"/>
            <w:tcBorders>
              <w:top w:val="single" w:sz="4" w:space="0" w:color="000000"/>
              <w:left w:val="single" w:sz="4" w:space="0" w:color="000000"/>
              <w:bottom w:val="single" w:sz="4" w:space="0" w:color="000000"/>
            </w:tcBorders>
          </w:tcPr>
          <w:p>
            <w:pPr>
              <w:pStyle w:val="TableParagraph"/>
              <w:ind w:left="1075"/>
              <w:rPr>
                <w:b/>
                <w:sz w:val="20"/>
              </w:rPr>
            </w:pPr>
            <w:r>
              <w:rPr>
                <w:b/>
                <w:sz w:val="20"/>
              </w:rPr>
              <w:t>28,848,000</w:t>
            </w:r>
          </w:p>
        </w:tc>
      </w:tr>
      <w:tr>
        <w:trPr>
          <w:trHeight w:val="360" w:hRule="exact"/>
        </w:trPr>
        <w:tc>
          <w:tcPr>
            <w:tcW w:w="977" w:type="dxa"/>
            <w:tcBorders>
              <w:top w:val="single" w:sz="4" w:space="0" w:color="000000"/>
              <w:bottom w:val="single" w:sz="4" w:space="0" w:color="000000"/>
              <w:right w:val="single" w:sz="4" w:space="0" w:color="000000"/>
            </w:tcBorders>
          </w:tcPr>
          <w:p>
            <w:pPr/>
          </w:p>
        </w:tc>
        <w:tc>
          <w:tcPr>
            <w:tcW w:w="2605" w:type="dxa"/>
            <w:tcBorders>
              <w:top w:val="single" w:sz="4" w:space="0" w:color="000000"/>
              <w:left w:val="single" w:sz="4" w:space="0" w:color="000000"/>
              <w:bottom w:val="single" w:sz="4" w:space="0" w:color="000000"/>
              <w:right w:val="single" w:sz="4" w:space="0" w:color="000000"/>
            </w:tcBorders>
          </w:tcPr>
          <w:p>
            <w:pPr>
              <w:pStyle w:val="TableParagraph"/>
              <w:ind w:left="64"/>
              <w:rPr>
                <w:b/>
                <w:sz w:val="20"/>
              </w:rPr>
            </w:pPr>
            <w:r>
              <w:rPr>
                <w:b/>
                <w:sz w:val="20"/>
              </w:rPr>
              <w:t>Vulnerability Allowances</w:t>
            </w:r>
          </w:p>
        </w:tc>
        <w:tc>
          <w:tcPr>
            <w:tcW w:w="912" w:type="dxa"/>
            <w:tcBorders>
              <w:top w:val="single" w:sz="4" w:space="0" w:color="000000"/>
              <w:left w:val="single" w:sz="4" w:space="0" w:color="000000"/>
              <w:bottom w:val="single" w:sz="4" w:space="0" w:color="000000"/>
              <w:right w:val="single" w:sz="4" w:space="0" w:color="000000"/>
            </w:tcBorders>
          </w:tcPr>
          <w:p>
            <w:pPr/>
          </w:p>
        </w:tc>
        <w:tc>
          <w:tcPr>
            <w:tcW w:w="1718" w:type="dxa"/>
            <w:tcBorders>
              <w:top w:val="single" w:sz="4" w:space="0" w:color="000000"/>
              <w:left w:val="single" w:sz="4" w:space="0" w:color="000000"/>
              <w:bottom w:val="single" w:sz="4" w:space="0" w:color="000000"/>
              <w:right w:val="single" w:sz="4" w:space="0" w:color="000000"/>
            </w:tcBorders>
          </w:tcPr>
          <w:p>
            <w:pPr/>
          </w:p>
        </w:tc>
        <w:tc>
          <w:tcPr>
            <w:tcW w:w="2429" w:type="dxa"/>
            <w:tcBorders>
              <w:top w:val="single" w:sz="4" w:space="0" w:color="000000"/>
              <w:left w:val="single" w:sz="4" w:space="0" w:color="000000"/>
              <w:bottom w:val="single" w:sz="4" w:space="0" w:color="000000"/>
            </w:tcBorders>
          </w:tcPr>
          <w:p>
            <w:pPr/>
          </w:p>
        </w:tc>
      </w:tr>
      <w:tr>
        <w:trPr>
          <w:trHeight w:val="360" w:hRule="exact"/>
        </w:trPr>
        <w:tc>
          <w:tcPr>
            <w:tcW w:w="977" w:type="dxa"/>
            <w:tcBorders>
              <w:top w:val="single" w:sz="4" w:space="0" w:color="000000"/>
              <w:bottom w:val="single" w:sz="4" w:space="0" w:color="000000"/>
              <w:right w:val="single" w:sz="4" w:space="0" w:color="000000"/>
            </w:tcBorders>
          </w:tcPr>
          <w:p>
            <w:pPr>
              <w:pStyle w:val="TableParagraph"/>
              <w:ind w:right="9"/>
              <w:jc w:val="center"/>
              <w:rPr>
                <w:sz w:val="20"/>
              </w:rPr>
            </w:pPr>
            <w:r>
              <w:rPr>
                <w:w w:val="99"/>
                <w:sz w:val="20"/>
              </w:rPr>
              <w:t>3</w:t>
            </w:r>
          </w:p>
        </w:tc>
        <w:tc>
          <w:tcPr>
            <w:tcW w:w="2605" w:type="dxa"/>
            <w:tcBorders>
              <w:top w:val="single" w:sz="4" w:space="0" w:color="000000"/>
              <w:left w:val="single" w:sz="4" w:space="0" w:color="000000"/>
              <w:bottom w:val="single" w:sz="4" w:space="0" w:color="000000"/>
              <w:right w:val="single" w:sz="4" w:space="0" w:color="000000"/>
            </w:tcBorders>
          </w:tcPr>
          <w:p>
            <w:pPr>
              <w:pStyle w:val="TableParagraph"/>
              <w:ind w:left="64"/>
              <w:rPr>
                <w:sz w:val="20"/>
              </w:rPr>
            </w:pPr>
            <w:r>
              <w:rPr>
                <w:sz w:val="20"/>
              </w:rPr>
              <w:t>BPL (16,000)</w:t>
            </w:r>
          </w:p>
        </w:tc>
        <w:tc>
          <w:tcPr>
            <w:tcW w:w="912" w:type="dxa"/>
            <w:tcBorders>
              <w:top w:val="single" w:sz="4" w:space="0" w:color="000000"/>
              <w:left w:val="single" w:sz="4" w:space="0" w:color="000000"/>
              <w:bottom w:val="single" w:sz="4" w:space="0" w:color="000000"/>
              <w:right w:val="single" w:sz="4" w:space="0" w:color="000000"/>
            </w:tcBorders>
          </w:tcPr>
          <w:p>
            <w:pPr>
              <w:pStyle w:val="TableParagraph"/>
              <w:ind w:left="68" w:right="71"/>
              <w:jc w:val="center"/>
              <w:rPr>
                <w:sz w:val="20"/>
              </w:rPr>
            </w:pPr>
            <w:r>
              <w:rPr>
                <w:sz w:val="20"/>
              </w:rPr>
              <w:t>16</w:t>
            </w:r>
          </w:p>
        </w:tc>
        <w:tc>
          <w:tcPr>
            <w:tcW w:w="1718" w:type="dxa"/>
            <w:tcBorders>
              <w:top w:val="single" w:sz="4" w:space="0" w:color="000000"/>
              <w:left w:val="single" w:sz="4" w:space="0" w:color="000000"/>
              <w:bottom w:val="single" w:sz="4" w:space="0" w:color="000000"/>
              <w:right w:val="single" w:sz="4" w:space="0" w:color="000000"/>
            </w:tcBorders>
          </w:tcPr>
          <w:p>
            <w:pPr>
              <w:pStyle w:val="TableParagraph"/>
              <w:ind w:right="343"/>
              <w:jc w:val="right"/>
              <w:rPr>
                <w:sz w:val="20"/>
              </w:rPr>
            </w:pPr>
            <w:r>
              <w:rPr>
                <w:w w:val="95"/>
                <w:sz w:val="20"/>
              </w:rPr>
              <w:t>48,000</w:t>
            </w:r>
          </w:p>
        </w:tc>
        <w:tc>
          <w:tcPr>
            <w:tcW w:w="2429" w:type="dxa"/>
            <w:tcBorders>
              <w:top w:val="single" w:sz="4" w:space="0" w:color="000000"/>
              <w:left w:val="single" w:sz="4" w:space="0" w:color="000000"/>
              <w:bottom w:val="single" w:sz="4" w:space="0" w:color="000000"/>
            </w:tcBorders>
          </w:tcPr>
          <w:p>
            <w:pPr>
              <w:pStyle w:val="TableParagraph"/>
              <w:ind w:left="1354"/>
              <w:rPr>
                <w:sz w:val="20"/>
              </w:rPr>
            </w:pPr>
            <w:r>
              <w:rPr>
                <w:sz w:val="20"/>
              </w:rPr>
              <w:t>768,000</w:t>
            </w:r>
          </w:p>
        </w:tc>
      </w:tr>
      <w:tr>
        <w:trPr>
          <w:trHeight w:val="360" w:hRule="exact"/>
        </w:trPr>
        <w:tc>
          <w:tcPr>
            <w:tcW w:w="977" w:type="dxa"/>
            <w:tcBorders>
              <w:top w:val="single" w:sz="4" w:space="0" w:color="000000"/>
              <w:bottom w:val="single" w:sz="4" w:space="0" w:color="000000"/>
              <w:right w:val="single" w:sz="4" w:space="0" w:color="000000"/>
            </w:tcBorders>
          </w:tcPr>
          <w:p>
            <w:pPr>
              <w:pStyle w:val="TableParagraph"/>
              <w:ind w:right="9"/>
              <w:jc w:val="center"/>
              <w:rPr>
                <w:sz w:val="20"/>
              </w:rPr>
            </w:pPr>
            <w:r>
              <w:rPr>
                <w:w w:val="99"/>
                <w:sz w:val="20"/>
              </w:rPr>
              <w:t>4</w:t>
            </w:r>
          </w:p>
        </w:tc>
        <w:tc>
          <w:tcPr>
            <w:tcW w:w="2605" w:type="dxa"/>
            <w:tcBorders>
              <w:top w:val="single" w:sz="4" w:space="0" w:color="000000"/>
              <w:left w:val="single" w:sz="4" w:space="0" w:color="000000"/>
              <w:bottom w:val="single" w:sz="4" w:space="0" w:color="000000"/>
              <w:right w:val="single" w:sz="4" w:space="0" w:color="000000"/>
            </w:tcBorders>
          </w:tcPr>
          <w:p>
            <w:pPr>
              <w:pStyle w:val="TableParagraph"/>
              <w:ind w:left="64"/>
              <w:rPr>
                <w:sz w:val="20"/>
              </w:rPr>
            </w:pPr>
            <w:r>
              <w:rPr>
                <w:sz w:val="20"/>
              </w:rPr>
              <w:t>Disabled</w:t>
            </w:r>
          </w:p>
        </w:tc>
        <w:tc>
          <w:tcPr>
            <w:tcW w:w="912"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3</w:t>
            </w:r>
          </w:p>
        </w:tc>
        <w:tc>
          <w:tcPr>
            <w:tcW w:w="1718" w:type="dxa"/>
            <w:tcBorders>
              <w:top w:val="single" w:sz="4" w:space="0" w:color="000000"/>
              <w:left w:val="single" w:sz="4" w:space="0" w:color="000000"/>
              <w:bottom w:val="single" w:sz="4" w:space="0" w:color="000000"/>
              <w:right w:val="single" w:sz="4" w:space="0" w:color="000000"/>
            </w:tcBorders>
          </w:tcPr>
          <w:p>
            <w:pPr>
              <w:pStyle w:val="TableParagraph"/>
              <w:ind w:right="343"/>
              <w:jc w:val="right"/>
              <w:rPr>
                <w:sz w:val="20"/>
              </w:rPr>
            </w:pPr>
            <w:r>
              <w:rPr>
                <w:w w:val="95"/>
                <w:sz w:val="20"/>
              </w:rPr>
              <w:t>48,000</w:t>
            </w:r>
          </w:p>
        </w:tc>
        <w:tc>
          <w:tcPr>
            <w:tcW w:w="2429" w:type="dxa"/>
            <w:tcBorders>
              <w:top w:val="single" w:sz="4" w:space="0" w:color="000000"/>
              <w:left w:val="single" w:sz="4" w:space="0" w:color="000000"/>
              <w:bottom w:val="single" w:sz="4" w:space="0" w:color="000000"/>
            </w:tcBorders>
          </w:tcPr>
          <w:p>
            <w:pPr>
              <w:pStyle w:val="TableParagraph"/>
              <w:ind w:left="1354"/>
              <w:rPr>
                <w:sz w:val="20"/>
              </w:rPr>
            </w:pPr>
            <w:r>
              <w:rPr>
                <w:sz w:val="20"/>
              </w:rPr>
              <w:t>144,000</w:t>
            </w:r>
          </w:p>
        </w:tc>
      </w:tr>
      <w:tr>
        <w:trPr>
          <w:trHeight w:val="360" w:hRule="exact"/>
        </w:trPr>
        <w:tc>
          <w:tcPr>
            <w:tcW w:w="977" w:type="dxa"/>
            <w:tcBorders>
              <w:top w:val="single" w:sz="4" w:space="0" w:color="000000"/>
              <w:bottom w:val="single" w:sz="4" w:space="0" w:color="000000"/>
              <w:right w:val="single" w:sz="4" w:space="0" w:color="000000"/>
            </w:tcBorders>
          </w:tcPr>
          <w:p>
            <w:pPr/>
          </w:p>
        </w:tc>
        <w:tc>
          <w:tcPr>
            <w:tcW w:w="2605" w:type="dxa"/>
            <w:tcBorders>
              <w:top w:val="single" w:sz="4" w:space="0" w:color="000000"/>
              <w:left w:val="single" w:sz="4" w:space="0" w:color="000000"/>
              <w:bottom w:val="single" w:sz="4" w:space="0" w:color="000000"/>
              <w:right w:val="single" w:sz="4" w:space="0" w:color="000000"/>
            </w:tcBorders>
          </w:tcPr>
          <w:p>
            <w:pPr>
              <w:pStyle w:val="TableParagraph"/>
              <w:ind w:left="64"/>
              <w:rPr>
                <w:b/>
                <w:sz w:val="20"/>
              </w:rPr>
            </w:pPr>
            <w:r>
              <w:rPr>
                <w:b/>
                <w:sz w:val="20"/>
              </w:rPr>
              <w:t>Sub-total</w:t>
            </w:r>
          </w:p>
        </w:tc>
        <w:tc>
          <w:tcPr>
            <w:tcW w:w="912" w:type="dxa"/>
            <w:tcBorders>
              <w:top w:val="single" w:sz="4" w:space="0" w:color="000000"/>
              <w:left w:val="single" w:sz="4" w:space="0" w:color="000000"/>
              <w:bottom w:val="single" w:sz="4" w:space="0" w:color="000000"/>
              <w:right w:val="single" w:sz="4" w:space="0" w:color="000000"/>
            </w:tcBorders>
          </w:tcPr>
          <w:p>
            <w:pPr/>
          </w:p>
        </w:tc>
        <w:tc>
          <w:tcPr>
            <w:tcW w:w="1718" w:type="dxa"/>
            <w:tcBorders>
              <w:top w:val="single" w:sz="4" w:space="0" w:color="000000"/>
              <w:left w:val="single" w:sz="4" w:space="0" w:color="000000"/>
              <w:bottom w:val="single" w:sz="4" w:space="0" w:color="000000"/>
              <w:right w:val="single" w:sz="4" w:space="0" w:color="000000"/>
            </w:tcBorders>
          </w:tcPr>
          <w:p>
            <w:pPr/>
          </w:p>
        </w:tc>
        <w:tc>
          <w:tcPr>
            <w:tcW w:w="2429" w:type="dxa"/>
            <w:tcBorders>
              <w:top w:val="single" w:sz="4" w:space="0" w:color="000000"/>
              <w:left w:val="single" w:sz="4" w:space="0" w:color="000000"/>
              <w:bottom w:val="single" w:sz="4" w:space="0" w:color="000000"/>
            </w:tcBorders>
          </w:tcPr>
          <w:p>
            <w:pPr>
              <w:pStyle w:val="TableParagraph"/>
              <w:ind w:left="1354"/>
              <w:rPr>
                <w:b/>
                <w:sz w:val="20"/>
              </w:rPr>
            </w:pPr>
            <w:r>
              <w:rPr>
                <w:b/>
                <w:sz w:val="20"/>
              </w:rPr>
              <w:t>912,000</w:t>
            </w:r>
          </w:p>
        </w:tc>
      </w:tr>
      <w:tr>
        <w:trPr>
          <w:trHeight w:val="358" w:hRule="exact"/>
        </w:trPr>
        <w:tc>
          <w:tcPr>
            <w:tcW w:w="977" w:type="dxa"/>
            <w:tcBorders>
              <w:top w:val="single" w:sz="4" w:space="0" w:color="000000"/>
              <w:bottom w:val="single" w:sz="4" w:space="0" w:color="000000"/>
              <w:right w:val="single" w:sz="4" w:space="0" w:color="000000"/>
            </w:tcBorders>
          </w:tcPr>
          <w:p>
            <w:pPr>
              <w:pStyle w:val="TableParagraph"/>
              <w:ind w:right="9"/>
              <w:jc w:val="center"/>
              <w:rPr>
                <w:sz w:val="20"/>
              </w:rPr>
            </w:pPr>
            <w:r>
              <w:rPr>
                <w:w w:val="99"/>
                <w:sz w:val="20"/>
              </w:rPr>
              <w:t>5</w:t>
            </w:r>
          </w:p>
        </w:tc>
        <w:tc>
          <w:tcPr>
            <w:tcW w:w="2605" w:type="dxa"/>
            <w:tcBorders>
              <w:top w:val="single" w:sz="4" w:space="0" w:color="000000"/>
              <w:left w:val="single" w:sz="4" w:space="0" w:color="000000"/>
              <w:bottom w:val="single" w:sz="4" w:space="0" w:color="000000"/>
              <w:right w:val="single" w:sz="4" w:space="0" w:color="000000"/>
            </w:tcBorders>
          </w:tcPr>
          <w:p>
            <w:pPr>
              <w:pStyle w:val="TableParagraph"/>
              <w:ind w:left="64"/>
              <w:rPr>
                <w:sz w:val="20"/>
              </w:rPr>
            </w:pPr>
            <w:r>
              <w:rPr>
                <w:sz w:val="20"/>
              </w:rPr>
              <w:t>Training of PAPs</w:t>
            </w:r>
          </w:p>
        </w:tc>
        <w:tc>
          <w:tcPr>
            <w:tcW w:w="912"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2</w:t>
            </w:r>
          </w:p>
        </w:tc>
        <w:tc>
          <w:tcPr>
            <w:tcW w:w="1718" w:type="dxa"/>
            <w:tcBorders>
              <w:top w:val="single" w:sz="4" w:space="0" w:color="000000"/>
              <w:left w:val="single" w:sz="4" w:space="0" w:color="000000"/>
              <w:bottom w:val="single" w:sz="4" w:space="0" w:color="000000"/>
              <w:right w:val="single" w:sz="4" w:space="0" w:color="000000"/>
            </w:tcBorders>
          </w:tcPr>
          <w:p>
            <w:pPr>
              <w:pStyle w:val="TableParagraph"/>
              <w:ind w:right="343"/>
              <w:jc w:val="right"/>
              <w:rPr>
                <w:sz w:val="20"/>
              </w:rPr>
            </w:pPr>
            <w:r>
              <w:rPr>
                <w:sz w:val="20"/>
              </w:rPr>
              <w:t>600,000</w:t>
            </w:r>
          </w:p>
        </w:tc>
        <w:tc>
          <w:tcPr>
            <w:tcW w:w="2429" w:type="dxa"/>
            <w:tcBorders>
              <w:top w:val="single" w:sz="4" w:space="0" w:color="000000"/>
              <w:left w:val="single" w:sz="4" w:space="0" w:color="000000"/>
              <w:bottom w:val="single" w:sz="4" w:space="0" w:color="000000"/>
            </w:tcBorders>
          </w:tcPr>
          <w:p>
            <w:pPr>
              <w:pStyle w:val="TableParagraph"/>
              <w:ind w:left="1186"/>
              <w:rPr>
                <w:sz w:val="20"/>
              </w:rPr>
            </w:pPr>
            <w:r>
              <w:rPr>
                <w:sz w:val="20"/>
              </w:rPr>
              <w:t>1,200,000</w:t>
            </w:r>
          </w:p>
        </w:tc>
      </w:tr>
      <w:tr>
        <w:trPr>
          <w:trHeight w:val="384" w:hRule="exact"/>
        </w:trPr>
        <w:tc>
          <w:tcPr>
            <w:tcW w:w="977" w:type="dxa"/>
            <w:tcBorders>
              <w:top w:val="single" w:sz="4" w:space="0" w:color="000000"/>
              <w:bottom w:val="single" w:sz="4" w:space="0" w:color="000000"/>
              <w:right w:val="single" w:sz="4" w:space="0" w:color="000000"/>
            </w:tcBorders>
          </w:tcPr>
          <w:p>
            <w:pPr/>
          </w:p>
        </w:tc>
        <w:tc>
          <w:tcPr>
            <w:tcW w:w="2605" w:type="dxa"/>
            <w:tcBorders>
              <w:top w:val="single" w:sz="4" w:space="0" w:color="000000"/>
              <w:left w:val="single" w:sz="4" w:space="0" w:color="000000"/>
              <w:bottom w:val="single" w:sz="4" w:space="0" w:color="000000"/>
              <w:right w:val="single" w:sz="4" w:space="0" w:color="000000"/>
            </w:tcBorders>
          </w:tcPr>
          <w:p>
            <w:pPr>
              <w:pStyle w:val="TableParagraph"/>
              <w:spacing w:before="62"/>
              <w:ind w:left="64"/>
              <w:rPr>
                <w:b/>
                <w:sz w:val="20"/>
              </w:rPr>
            </w:pPr>
            <w:r>
              <w:rPr>
                <w:b/>
                <w:sz w:val="20"/>
              </w:rPr>
              <w:t>Total</w:t>
            </w:r>
          </w:p>
        </w:tc>
        <w:tc>
          <w:tcPr>
            <w:tcW w:w="912" w:type="dxa"/>
            <w:tcBorders>
              <w:top w:val="single" w:sz="4" w:space="0" w:color="000000"/>
              <w:left w:val="single" w:sz="4" w:space="0" w:color="000000"/>
              <w:bottom w:val="single" w:sz="4" w:space="0" w:color="000000"/>
              <w:right w:val="single" w:sz="4" w:space="0" w:color="000000"/>
            </w:tcBorders>
          </w:tcPr>
          <w:p>
            <w:pPr/>
          </w:p>
        </w:tc>
        <w:tc>
          <w:tcPr>
            <w:tcW w:w="1718" w:type="dxa"/>
            <w:tcBorders>
              <w:top w:val="single" w:sz="4" w:space="0" w:color="000000"/>
              <w:left w:val="single" w:sz="4" w:space="0" w:color="000000"/>
              <w:bottom w:val="single" w:sz="4" w:space="0" w:color="000000"/>
              <w:right w:val="single" w:sz="4" w:space="0" w:color="000000"/>
            </w:tcBorders>
          </w:tcPr>
          <w:p>
            <w:pPr/>
          </w:p>
        </w:tc>
        <w:tc>
          <w:tcPr>
            <w:tcW w:w="2429" w:type="dxa"/>
            <w:tcBorders>
              <w:top w:val="single" w:sz="4" w:space="0" w:color="000000"/>
              <w:left w:val="single" w:sz="4" w:space="0" w:color="000000"/>
              <w:bottom w:val="single" w:sz="4" w:space="0" w:color="000000"/>
            </w:tcBorders>
          </w:tcPr>
          <w:p>
            <w:pPr>
              <w:pStyle w:val="TableParagraph"/>
              <w:spacing w:before="62"/>
              <w:ind w:left="975"/>
              <w:rPr>
                <w:sz w:val="22"/>
              </w:rPr>
            </w:pPr>
            <w:r>
              <w:rPr>
                <w:sz w:val="22"/>
              </w:rPr>
              <w:t>30,960,000</w:t>
            </w:r>
          </w:p>
        </w:tc>
      </w:tr>
      <w:tr>
        <w:trPr>
          <w:trHeight w:val="384" w:hRule="exact"/>
        </w:trPr>
        <w:tc>
          <w:tcPr>
            <w:tcW w:w="977" w:type="dxa"/>
            <w:tcBorders>
              <w:top w:val="single" w:sz="4" w:space="0" w:color="000000"/>
              <w:bottom w:val="single" w:sz="4" w:space="0" w:color="000000"/>
              <w:right w:val="single" w:sz="4" w:space="0" w:color="000000"/>
            </w:tcBorders>
          </w:tcPr>
          <w:p>
            <w:pPr/>
          </w:p>
        </w:tc>
        <w:tc>
          <w:tcPr>
            <w:tcW w:w="2605" w:type="dxa"/>
            <w:tcBorders>
              <w:top w:val="single" w:sz="4" w:space="0" w:color="000000"/>
              <w:left w:val="single" w:sz="4" w:space="0" w:color="000000"/>
              <w:bottom w:val="single" w:sz="4" w:space="0" w:color="000000"/>
              <w:right w:val="single" w:sz="4" w:space="0" w:color="000000"/>
            </w:tcBorders>
          </w:tcPr>
          <w:p>
            <w:pPr>
              <w:pStyle w:val="TableParagraph"/>
              <w:ind w:left="64"/>
              <w:rPr>
                <w:sz w:val="20"/>
              </w:rPr>
            </w:pPr>
            <w:r>
              <w:rPr>
                <w:sz w:val="20"/>
              </w:rPr>
              <w:t>M&amp;E @ 5% of the total cost</w:t>
            </w:r>
          </w:p>
        </w:tc>
        <w:tc>
          <w:tcPr>
            <w:tcW w:w="912" w:type="dxa"/>
            <w:tcBorders>
              <w:top w:val="single" w:sz="4" w:space="0" w:color="000000"/>
              <w:left w:val="single" w:sz="4" w:space="0" w:color="000000"/>
              <w:bottom w:val="single" w:sz="4" w:space="0" w:color="000000"/>
              <w:right w:val="single" w:sz="4" w:space="0" w:color="000000"/>
            </w:tcBorders>
          </w:tcPr>
          <w:p>
            <w:pPr/>
          </w:p>
        </w:tc>
        <w:tc>
          <w:tcPr>
            <w:tcW w:w="1718" w:type="dxa"/>
            <w:tcBorders>
              <w:top w:val="single" w:sz="4" w:space="0" w:color="000000"/>
              <w:left w:val="single" w:sz="4" w:space="0" w:color="000000"/>
              <w:bottom w:val="single" w:sz="4" w:space="0" w:color="000000"/>
              <w:right w:val="single" w:sz="4" w:space="0" w:color="000000"/>
            </w:tcBorders>
          </w:tcPr>
          <w:p>
            <w:pPr/>
          </w:p>
        </w:tc>
        <w:tc>
          <w:tcPr>
            <w:tcW w:w="2429" w:type="dxa"/>
            <w:tcBorders>
              <w:top w:val="single" w:sz="4" w:space="0" w:color="000000"/>
              <w:left w:val="single" w:sz="4" w:space="0" w:color="000000"/>
              <w:bottom w:val="single" w:sz="4" w:space="0" w:color="000000"/>
            </w:tcBorders>
          </w:tcPr>
          <w:p>
            <w:pPr>
              <w:pStyle w:val="TableParagraph"/>
              <w:spacing w:before="60"/>
              <w:ind w:left="1097"/>
              <w:rPr>
                <w:sz w:val="22"/>
              </w:rPr>
            </w:pPr>
            <w:r>
              <w:rPr>
                <w:sz w:val="22"/>
              </w:rPr>
              <w:t>1,548,000</w:t>
            </w:r>
          </w:p>
        </w:tc>
      </w:tr>
      <w:tr>
        <w:trPr>
          <w:trHeight w:val="602" w:hRule="exact"/>
        </w:trPr>
        <w:tc>
          <w:tcPr>
            <w:tcW w:w="977" w:type="dxa"/>
            <w:tcBorders>
              <w:top w:val="single" w:sz="4" w:space="0" w:color="000000"/>
              <w:bottom w:val="single" w:sz="4" w:space="0" w:color="000000"/>
              <w:right w:val="single" w:sz="4" w:space="0" w:color="000000"/>
            </w:tcBorders>
          </w:tcPr>
          <w:p>
            <w:pPr/>
          </w:p>
        </w:tc>
        <w:tc>
          <w:tcPr>
            <w:tcW w:w="2605" w:type="dxa"/>
            <w:tcBorders>
              <w:top w:val="single" w:sz="4" w:space="0" w:color="000000"/>
              <w:left w:val="single" w:sz="4" w:space="0" w:color="000000"/>
              <w:bottom w:val="single" w:sz="4" w:space="0" w:color="000000"/>
              <w:right w:val="single" w:sz="4" w:space="0" w:color="000000"/>
            </w:tcBorders>
          </w:tcPr>
          <w:p>
            <w:pPr>
              <w:pStyle w:val="TableParagraph"/>
              <w:ind w:left="64" w:right="229"/>
              <w:rPr>
                <w:sz w:val="20"/>
              </w:rPr>
            </w:pPr>
            <w:r>
              <w:rPr>
                <w:sz w:val="20"/>
              </w:rPr>
              <w:t>Administrative charges @ 1% of the total cost</w:t>
            </w:r>
          </w:p>
        </w:tc>
        <w:tc>
          <w:tcPr>
            <w:tcW w:w="912" w:type="dxa"/>
            <w:tcBorders>
              <w:top w:val="single" w:sz="4" w:space="0" w:color="000000"/>
              <w:left w:val="single" w:sz="4" w:space="0" w:color="000000"/>
              <w:bottom w:val="single" w:sz="4" w:space="0" w:color="000000"/>
              <w:right w:val="single" w:sz="4" w:space="0" w:color="000000"/>
            </w:tcBorders>
          </w:tcPr>
          <w:p>
            <w:pPr/>
          </w:p>
        </w:tc>
        <w:tc>
          <w:tcPr>
            <w:tcW w:w="1718" w:type="dxa"/>
            <w:tcBorders>
              <w:top w:val="single" w:sz="4" w:space="0" w:color="000000"/>
              <w:left w:val="single" w:sz="4" w:space="0" w:color="000000"/>
              <w:bottom w:val="single" w:sz="4" w:space="0" w:color="000000"/>
              <w:right w:val="single" w:sz="4" w:space="0" w:color="000000"/>
            </w:tcBorders>
          </w:tcPr>
          <w:p>
            <w:pPr/>
          </w:p>
        </w:tc>
        <w:tc>
          <w:tcPr>
            <w:tcW w:w="2429" w:type="dxa"/>
            <w:tcBorders>
              <w:top w:val="single" w:sz="4" w:space="0" w:color="000000"/>
              <w:left w:val="single" w:sz="4" w:space="0" w:color="000000"/>
              <w:bottom w:val="single" w:sz="4" w:space="0" w:color="000000"/>
            </w:tcBorders>
          </w:tcPr>
          <w:p>
            <w:pPr>
              <w:pStyle w:val="TableParagraph"/>
              <w:spacing w:before="2"/>
              <w:rPr>
                <w:b/>
                <w:sz w:val="24"/>
              </w:rPr>
            </w:pPr>
          </w:p>
          <w:p>
            <w:pPr>
              <w:pStyle w:val="TableParagraph"/>
              <w:spacing w:before="0"/>
              <w:ind w:left="1282"/>
              <w:rPr>
                <w:sz w:val="22"/>
              </w:rPr>
            </w:pPr>
            <w:r>
              <w:rPr>
                <w:sz w:val="22"/>
              </w:rPr>
              <w:t>309,600</w:t>
            </w:r>
          </w:p>
        </w:tc>
      </w:tr>
      <w:tr>
        <w:trPr>
          <w:trHeight w:val="540" w:hRule="exact"/>
        </w:trPr>
        <w:tc>
          <w:tcPr>
            <w:tcW w:w="977" w:type="dxa"/>
            <w:tcBorders>
              <w:top w:val="single" w:sz="4" w:space="0" w:color="000000"/>
              <w:bottom w:val="single" w:sz="4" w:space="0" w:color="000000"/>
              <w:right w:val="single" w:sz="4" w:space="0" w:color="000000"/>
            </w:tcBorders>
          </w:tcPr>
          <w:p>
            <w:pPr/>
          </w:p>
        </w:tc>
        <w:tc>
          <w:tcPr>
            <w:tcW w:w="2605" w:type="dxa"/>
            <w:tcBorders>
              <w:top w:val="single" w:sz="4" w:space="0" w:color="000000"/>
              <w:left w:val="single" w:sz="4" w:space="0" w:color="000000"/>
              <w:bottom w:val="single" w:sz="4" w:space="0" w:color="000000"/>
              <w:right w:val="single" w:sz="4" w:space="0" w:color="000000"/>
            </w:tcBorders>
          </w:tcPr>
          <w:p>
            <w:pPr>
              <w:pStyle w:val="TableParagraph"/>
              <w:ind w:left="64"/>
              <w:rPr>
                <w:b/>
                <w:sz w:val="20"/>
              </w:rPr>
            </w:pPr>
            <w:r>
              <w:rPr>
                <w:b/>
                <w:sz w:val="20"/>
              </w:rPr>
              <w:t>Total</w:t>
            </w:r>
          </w:p>
        </w:tc>
        <w:tc>
          <w:tcPr>
            <w:tcW w:w="912" w:type="dxa"/>
            <w:tcBorders>
              <w:top w:val="single" w:sz="4" w:space="0" w:color="000000"/>
              <w:left w:val="single" w:sz="4" w:space="0" w:color="000000"/>
              <w:bottom w:val="single" w:sz="4" w:space="0" w:color="000000"/>
              <w:right w:val="single" w:sz="4" w:space="0" w:color="000000"/>
            </w:tcBorders>
          </w:tcPr>
          <w:p>
            <w:pPr/>
          </w:p>
        </w:tc>
        <w:tc>
          <w:tcPr>
            <w:tcW w:w="1718" w:type="dxa"/>
            <w:tcBorders>
              <w:top w:val="single" w:sz="4" w:space="0" w:color="000000"/>
              <w:left w:val="single" w:sz="4" w:space="0" w:color="000000"/>
              <w:bottom w:val="single" w:sz="4" w:space="0" w:color="000000"/>
              <w:right w:val="single" w:sz="4" w:space="0" w:color="000000"/>
            </w:tcBorders>
          </w:tcPr>
          <w:p>
            <w:pPr/>
          </w:p>
        </w:tc>
        <w:tc>
          <w:tcPr>
            <w:tcW w:w="2429" w:type="dxa"/>
            <w:tcBorders>
              <w:top w:val="single" w:sz="4" w:space="0" w:color="000000"/>
              <w:left w:val="single" w:sz="4" w:space="0" w:color="000000"/>
              <w:bottom w:val="single" w:sz="4" w:space="0" w:color="000000"/>
            </w:tcBorders>
          </w:tcPr>
          <w:p>
            <w:pPr>
              <w:pStyle w:val="TableParagraph"/>
              <w:spacing w:before="9"/>
              <w:rPr>
                <w:b/>
                <w:sz w:val="18"/>
              </w:rPr>
            </w:pPr>
          </w:p>
          <w:p>
            <w:pPr>
              <w:pStyle w:val="TableParagraph"/>
              <w:spacing w:before="0"/>
              <w:ind w:left="975"/>
              <w:rPr>
                <w:sz w:val="22"/>
              </w:rPr>
            </w:pPr>
            <w:r>
              <w:rPr>
                <w:sz w:val="22"/>
              </w:rPr>
              <w:t>32,817,600</w:t>
            </w:r>
          </w:p>
        </w:tc>
      </w:tr>
      <w:tr>
        <w:trPr>
          <w:trHeight w:val="590" w:hRule="exact"/>
        </w:trPr>
        <w:tc>
          <w:tcPr>
            <w:tcW w:w="977" w:type="dxa"/>
            <w:tcBorders>
              <w:top w:val="single" w:sz="4" w:space="0" w:color="000000"/>
              <w:bottom w:val="single" w:sz="4" w:space="0" w:color="000000"/>
              <w:right w:val="single" w:sz="4" w:space="0" w:color="000000"/>
            </w:tcBorders>
          </w:tcPr>
          <w:p>
            <w:pPr/>
          </w:p>
        </w:tc>
        <w:tc>
          <w:tcPr>
            <w:tcW w:w="2605" w:type="dxa"/>
            <w:tcBorders>
              <w:top w:val="single" w:sz="4" w:space="0" w:color="000000"/>
              <w:left w:val="single" w:sz="4" w:space="0" w:color="000000"/>
              <w:bottom w:val="single" w:sz="4" w:space="0" w:color="000000"/>
              <w:right w:val="single" w:sz="4" w:space="0" w:color="000000"/>
            </w:tcBorders>
          </w:tcPr>
          <w:p>
            <w:pPr>
              <w:pStyle w:val="TableParagraph"/>
              <w:ind w:left="64" w:right="229"/>
              <w:rPr>
                <w:sz w:val="20"/>
              </w:rPr>
            </w:pPr>
            <w:r>
              <w:rPr>
                <w:sz w:val="20"/>
              </w:rPr>
              <w:t>Contingencies @ 15% of the total cost</w:t>
            </w:r>
          </w:p>
        </w:tc>
        <w:tc>
          <w:tcPr>
            <w:tcW w:w="912" w:type="dxa"/>
            <w:tcBorders>
              <w:top w:val="single" w:sz="4" w:space="0" w:color="000000"/>
              <w:left w:val="single" w:sz="4" w:space="0" w:color="000000"/>
              <w:bottom w:val="single" w:sz="4" w:space="0" w:color="000000"/>
              <w:right w:val="single" w:sz="4" w:space="0" w:color="000000"/>
            </w:tcBorders>
          </w:tcPr>
          <w:p>
            <w:pPr/>
          </w:p>
        </w:tc>
        <w:tc>
          <w:tcPr>
            <w:tcW w:w="1718" w:type="dxa"/>
            <w:tcBorders>
              <w:top w:val="single" w:sz="4" w:space="0" w:color="000000"/>
              <w:left w:val="single" w:sz="4" w:space="0" w:color="000000"/>
              <w:bottom w:val="single" w:sz="4" w:space="0" w:color="000000"/>
              <w:right w:val="single" w:sz="4" w:space="0" w:color="000000"/>
            </w:tcBorders>
          </w:tcPr>
          <w:p>
            <w:pPr/>
          </w:p>
        </w:tc>
        <w:tc>
          <w:tcPr>
            <w:tcW w:w="2429" w:type="dxa"/>
            <w:tcBorders>
              <w:top w:val="single" w:sz="4" w:space="0" w:color="000000"/>
              <w:left w:val="single" w:sz="4" w:space="0" w:color="000000"/>
              <w:bottom w:val="single" w:sz="4" w:space="0" w:color="000000"/>
            </w:tcBorders>
          </w:tcPr>
          <w:p>
            <w:pPr>
              <w:pStyle w:val="TableParagraph"/>
              <w:spacing w:before="1"/>
              <w:rPr>
                <w:b/>
                <w:sz w:val="23"/>
              </w:rPr>
            </w:pPr>
          </w:p>
          <w:p>
            <w:pPr>
              <w:pStyle w:val="TableParagraph"/>
              <w:spacing w:before="1"/>
              <w:ind w:left="1097"/>
              <w:rPr>
                <w:sz w:val="22"/>
              </w:rPr>
            </w:pPr>
            <w:r>
              <w:rPr>
                <w:sz w:val="22"/>
              </w:rPr>
              <w:t>4,922,640</w:t>
            </w:r>
          </w:p>
        </w:tc>
      </w:tr>
      <w:tr>
        <w:trPr>
          <w:trHeight w:val="391" w:hRule="exact"/>
        </w:trPr>
        <w:tc>
          <w:tcPr>
            <w:tcW w:w="977" w:type="dxa"/>
            <w:tcBorders>
              <w:top w:val="single" w:sz="4" w:space="0" w:color="000000"/>
              <w:right w:val="single" w:sz="4" w:space="0" w:color="000000"/>
            </w:tcBorders>
          </w:tcPr>
          <w:p>
            <w:pPr/>
          </w:p>
        </w:tc>
        <w:tc>
          <w:tcPr>
            <w:tcW w:w="2605" w:type="dxa"/>
            <w:tcBorders>
              <w:top w:val="single" w:sz="4" w:space="0" w:color="000000"/>
              <w:left w:val="single" w:sz="4" w:space="0" w:color="000000"/>
              <w:right w:val="single" w:sz="4" w:space="0" w:color="000000"/>
            </w:tcBorders>
          </w:tcPr>
          <w:p>
            <w:pPr>
              <w:pStyle w:val="TableParagraph"/>
              <w:ind w:left="64"/>
              <w:rPr>
                <w:b/>
                <w:sz w:val="20"/>
              </w:rPr>
            </w:pPr>
            <w:r>
              <w:rPr>
                <w:b/>
                <w:sz w:val="20"/>
              </w:rPr>
              <w:t>Grand Total</w:t>
            </w:r>
          </w:p>
        </w:tc>
        <w:tc>
          <w:tcPr>
            <w:tcW w:w="912" w:type="dxa"/>
            <w:tcBorders>
              <w:top w:val="single" w:sz="4" w:space="0" w:color="000000"/>
              <w:left w:val="single" w:sz="4" w:space="0" w:color="000000"/>
              <w:right w:val="single" w:sz="4" w:space="0" w:color="000000"/>
            </w:tcBorders>
          </w:tcPr>
          <w:p>
            <w:pPr/>
          </w:p>
        </w:tc>
        <w:tc>
          <w:tcPr>
            <w:tcW w:w="1718" w:type="dxa"/>
            <w:tcBorders>
              <w:top w:val="single" w:sz="4" w:space="0" w:color="000000"/>
              <w:left w:val="single" w:sz="4" w:space="0" w:color="000000"/>
              <w:right w:val="single" w:sz="4" w:space="0" w:color="000000"/>
            </w:tcBorders>
          </w:tcPr>
          <w:p>
            <w:pPr/>
          </w:p>
        </w:tc>
        <w:tc>
          <w:tcPr>
            <w:tcW w:w="2429" w:type="dxa"/>
            <w:tcBorders>
              <w:top w:val="single" w:sz="4" w:space="0" w:color="000000"/>
              <w:left w:val="single" w:sz="4" w:space="0" w:color="000000"/>
            </w:tcBorders>
          </w:tcPr>
          <w:p>
            <w:pPr>
              <w:pStyle w:val="TableParagraph"/>
              <w:spacing w:before="60"/>
              <w:ind w:left="975"/>
              <w:rPr>
                <w:b/>
                <w:sz w:val="22"/>
              </w:rPr>
            </w:pPr>
            <w:r>
              <w:rPr>
                <w:b/>
                <w:sz w:val="22"/>
              </w:rPr>
              <w:t>37,740,240</w:t>
            </w:r>
          </w:p>
        </w:tc>
      </w:tr>
    </w:tbl>
    <w:p>
      <w:pPr>
        <w:pStyle w:val="BodyText"/>
        <w:spacing w:before="10"/>
        <w:rPr>
          <w:b/>
          <w:sz w:val="35"/>
        </w:rPr>
      </w:pPr>
    </w:p>
    <w:p>
      <w:pPr>
        <w:pStyle w:val="ListParagraph"/>
        <w:numPr>
          <w:ilvl w:val="0"/>
          <w:numId w:val="50"/>
        </w:numPr>
        <w:tabs>
          <w:tab w:pos="1589" w:val="left" w:leader="none"/>
        </w:tabs>
        <w:spacing w:line="276" w:lineRule="auto" w:before="0" w:after="0"/>
        <w:ind w:left="868" w:right="153" w:firstLine="0"/>
        <w:jc w:val="both"/>
        <w:rPr>
          <w:sz w:val="22"/>
        </w:rPr>
      </w:pPr>
      <w:r>
        <w:rPr>
          <w:sz w:val="22"/>
        </w:rPr>
        <w:t>SMTA</w:t>
      </w:r>
      <w:r>
        <w:rPr>
          <w:spacing w:val="-6"/>
          <w:sz w:val="22"/>
        </w:rPr>
        <w:t> </w:t>
      </w:r>
      <w:r>
        <w:rPr>
          <w:sz w:val="22"/>
        </w:rPr>
        <w:t>will</w:t>
      </w:r>
      <w:r>
        <w:rPr>
          <w:spacing w:val="-6"/>
          <w:sz w:val="22"/>
        </w:rPr>
        <w:t> </w:t>
      </w:r>
      <w:r>
        <w:rPr>
          <w:sz w:val="22"/>
        </w:rPr>
        <w:t>ensure</w:t>
      </w:r>
      <w:r>
        <w:rPr>
          <w:spacing w:val="-5"/>
          <w:sz w:val="22"/>
        </w:rPr>
        <w:t> </w:t>
      </w:r>
      <w:r>
        <w:rPr>
          <w:sz w:val="22"/>
        </w:rPr>
        <w:t>that</w:t>
      </w:r>
      <w:r>
        <w:rPr>
          <w:spacing w:val="-7"/>
          <w:sz w:val="22"/>
        </w:rPr>
        <w:t> </w:t>
      </w:r>
      <w:r>
        <w:rPr>
          <w:sz w:val="22"/>
        </w:rPr>
        <w:t>(a)</w:t>
      </w:r>
      <w:r>
        <w:rPr>
          <w:spacing w:val="-6"/>
          <w:sz w:val="22"/>
        </w:rPr>
        <w:t> </w:t>
      </w:r>
      <w:r>
        <w:rPr>
          <w:sz w:val="22"/>
        </w:rPr>
        <w:t>the</w:t>
      </w:r>
      <w:r>
        <w:rPr>
          <w:spacing w:val="-6"/>
          <w:sz w:val="22"/>
        </w:rPr>
        <w:t> </w:t>
      </w:r>
      <w:r>
        <w:rPr>
          <w:spacing w:val="-3"/>
          <w:sz w:val="22"/>
        </w:rPr>
        <w:t>ROW </w:t>
      </w:r>
      <w:r>
        <w:rPr>
          <w:sz w:val="22"/>
        </w:rPr>
        <w:t>required</w:t>
      </w:r>
      <w:r>
        <w:rPr>
          <w:spacing w:val="-10"/>
          <w:sz w:val="22"/>
        </w:rPr>
        <w:t> </w:t>
      </w:r>
      <w:r>
        <w:rPr>
          <w:sz w:val="22"/>
        </w:rPr>
        <w:t>for</w:t>
      </w:r>
      <w:r>
        <w:rPr>
          <w:spacing w:val="-3"/>
          <w:sz w:val="22"/>
        </w:rPr>
        <w:t> </w:t>
      </w:r>
      <w:r>
        <w:rPr>
          <w:sz w:val="22"/>
        </w:rPr>
        <w:t>the</w:t>
      </w:r>
      <w:r>
        <w:rPr>
          <w:spacing w:val="-5"/>
          <w:sz w:val="22"/>
        </w:rPr>
        <w:t> </w:t>
      </w:r>
      <w:r>
        <w:rPr>
          <w:sz w:val="22"/>
        </w:rPr>
        <w:t>Project</w:t>
      </w:r>
      <w:r>
        <w:rPr>
          <w:spacing w:val="-4"/>
          <w:sz w:val="22"/>
        </w:rPr>
        <w:t> </w:t>
      </w:r>
      <w:r>
        <w:rPr>
          <w:sz w:val="22"/>
        </w:rPr>
        <w:t>under</w:t>
      </w:r>
      <w:r>
        <w:rPr>
          <w:spacing w:val="-7"/>
          <w:sz w:val="22"/>
        </w:rPr>
        <w:t> </w:t>
      </w:r>
      <w:r>
        <w:rPr>
          <w:sz w:val="22"/>
        </w:rPr>
        <w:t>the</w:t>
      </w:r>
      <w:r>
        <w:rPr>
          <w:spacing w:val="-8"/>
          <w:sz w:val="22"/>
        </w:rPr>
        <w:t> </w:t>
      </w:r>
      <w:r>
        <w:rPr>
          <w:sz w:val="22"/>
        </w:rPr>
        <w:t>Investment</w:t>
      </w:r>
      <w:r>
        <w:rPr>
          <w:spacing w:val="-2"/>
          <w:sz w:val="22"/>
        </w:rPr>
        <w:t> </w:t>
      </w:r>
      <w:r>
        <w:rPr>
          <w:sz w:val="22"/>
        </w:rPr>
        <w:t>is made available in a timely manner; (b) compensation at rehabilitation assistance is provided prior to the award of relevant civil works contracts; and (c) Compensation is carried out in accordance with the C&amp;LRP agreed upon between SMTA and WB, the relevant national and local policies on resettlement and rehabilitation, and </w:t>
      </w:r>
      <w:r>
        <w:rPr>
          <w:spacing w:val="3"/>
          <w:sz w:val="22"/>
        </w:rPr>
        <w:t>WB </w:t>
      </w:r>
      <w:r>
        <w:rPr>
          <w:sz w:val="22"/>
        </w:rPr>
        <w:t>OP 4.12. The C&amp;LRP will be updated in line with the detailed engineering design and prior to the award</w:t>
      </w:r>
      <w:r>
        <w:rPr>
          <w:spacing w:val="-5"/>
          <w:sz w:val="22"/>
        </w:rPr>
        <w:t> </w:t>
      </w:r>
      <w:r>
        <w:rPr>
          <w:sz w:val="22"/>
        </w:rPr>
        <w:t>of</w:t>
      </w:r>
      <w:r>
        <w:rPr>
          <w:spacing w:val="-4"/>
          <w:sz w:val="22"/>
        </w:rPr>
        <w:t> </w:t>
      </w:r>
      <w:r>
        <w:rPr>
          <w:sz w:val="22"/>
        </w:rPr>
        <w:t>civil</w:t>
      </w:r>
      <w:r>
        <w:rPr>
          <w:spacing w:val="-3"/>
          <w:sz w:val="22"/>
        </w:rPr>
        <w:t> </w:t>
      </w:r>
      <w:r>
        <w:rPr>
          <w:sz w:val="22"/>
        </w:rPr>
        <w:t>works</w:t>
      </w:r>
      <w:r>
        <w:rPr>
          <w:spacing w:val="-7"/>
          <w:sz w:val="22"/>
        </w:rPr>
        <w:t> </w:t>
      </w:r>
      <w:r>
        <w:rPr>
          <w:sz w:val="22"/>
        </w:rPr>
        <w:t>contracts.</w:t>
      </w:r>
      <w:r>
        <w:rPr>
          <w:spacing w:val="-5"/>
          <w:sz w:val="22"/>
        </w:rPr>
        <w:t> </w:t>
      </w:r>
      <w:r>
        <w:rPr>
          <w:sz w:val="22"/>
        </w:rPr>
        <w:t>Similarly,</w:t>
      </w:r>
      <w:r>
        <w:rPr>
          <w:spacing w:val="-6"/>
          <w:sz w:val="22"/>
        </w:rPr>
        <w:t> </w:t>
      </w:r>
      <w:r>
        <w:rPr>
          <w:sz w:val="22"/>
        </w:rPr>
        <w:t>revised</w:t>
      </w:r>
      <w:r>
        <w:rPr>
          <w:spacing w:val="-3"/>
          <w:sz w:val="22"/>
        </w:rPr>
        <w:t> </w:t>
      </w:r>
      <w:r>
        <w:rPr>
          <w:sz w:val="22"/>
        </w:rPr>
        <w:t>C&amp;LRP</w:t>
      </w:r>
      <w:r>
        <w:rPr>
          <w:spacing w:val="-5"/>
          <w:sz w:val="22"/>
        </w:rPr>
        <w:t> </w:t>
      </w:r>
      <w:r>
        <w:rPr>
          <w:sz w:val="22"/>
        </w:rPr>
        <w:t>based</w:t>
      </w:r>
      <w:r>
        <w:rPr>
          <w:spacing w:val="-5"/>
          <w:sz w:val="22"/>
        </w:rPr>
        <w:t> </w:t>
      </w:r>
      <w:r>
        <w:rPr>
          <w:sz w:val="22"/>
        </w:rPr>
        <w:t>on</w:t>
      </w:r>
      <w:r>
        <w:rPr>
          <w:spacing w:val="-8"/>
          <w:sz w:val="22"/>
        </w:rPr>
        <w:t> </w:t>
      </w:r>
      <w:r>
        <w:rPr>
          <w:sz w:val="22"/>
        </w:rPr>
        <w:t>detailed</w:t>
      </w:r>
      <w:r>
        <w:rPr>
          <w:spacing w:val="-8"/>
          <w:sz w:val="22"/>
        </w:rPr>
        <w:t> </w:t>
      </w:r>
      <w:r>
        <w:rPr>
          <w:sz w:val="22"/>
        </w:rPr>
        <w:t>design</w:t>
      </w:r>
      <w:r>
        <w:rPr>
          <w:spacing w:val="-7"/>
          <w:sz w:val="22"/>
        </w:rPr>
        <w:t> </w:t>
      </w:r>
      <w:r>
        <w:rPr>
          <w:sz w:val="22"/>
        </w:rPr>
        <w:t>will</w:t>
      </w:r>
      <w:r>
        <w:rPr>
          <w:spacing w:val="-6"/>
          <w:sz w:val="22"/>
        </w:rPr>
        <w:t> </w:t>
      </w:r>
      <w:r>
        <w:rPr>
          <w:sz w:val="22"/>
        </w:rPr>
        <w:t>also be provided for </w:t>
      </w:r>
      <w:r>
        <w:rPr>
          <w:spacing w:val="3"/>
          <w:sz w:val="22"/>
        </w:rPr>
        <w:t>WB </w:t>
      </w:r>
      <w:r>
        <w:rPr>
          <w:sz w:val="22"/>
        </w:rPr>
        <w:t>approval prior to the award of related civil works</w:t>
      </w:r>
      <w:r>
        <w:rPr>
          <w:spacing w:val="-25"/>
          <w:sz w:val="22"/>
        </w:rPr>
        <w:t> </w:t>
      </w:r>
      <w:r>
        <w:rPr>
          <w:sz w:val="22"/>
        </w:rPr>
        <w:t>contracts.</w:t>
      </w:r>
    </w:p>
    <w:p>
      <w:pPr>
        <w:pStyle w:val="BodyText"/>
        <w:spacing w:before="10"/>
        <w:rPr>
          <w:sz w:val="20"/>
        </w:rPr>
      </w:pPr>
    </w:p>
    <w:p>
      <w:pPr>
        <w:pStyle w:val="Heading2"/>
        <w:numPr>
          <w:ilvl w:val="1"/>
          <w:numId w:val="49"/>
        </w:numPr>
        <w:tabs>
          <w:tab w:pos="1445" w:val="left" w:leader="none"/>
        </w:tabs>
        <w:spacing w:line="240" w:lineRule="auto" w:before="0" w:after="0"/>
        <w:ind w:left="1444" w:right="0" w:hanging="576"/>
        <w:jc w:val="both"/>
      </w:pPr>
      <w:bookmarkStart w:name="_bookmark95" w:id="160"/>
      <w:bookmarkEnd w:id="160"/>
      <w:r>
        <w:rPr>
          <w:b w:val="0"/>
        </w:rPr>
      </w:r>
      <w:bookmarkStart w:name="_bookmark95" w:id="161"/>
      <w:bookmarkEnd w:id="161"/>
      <w:r>
        <w:rPr/>
        <w:t>C</w:t>
      </w:r>
      <w:r>
        <w:rPr/>
        <w:t>ompensation</w:t>
      </w:r>
      <w:r>
        <w:rPr>
          <w:spacing w:val="-5"/>
        </w:rPr>
        <w:t> </w:t>
      </w:r>
      <w:r>
        <w:rPr/>
        <w:t>Disbursement</w:t>
      </w:r>
    </w:p>
    <w:p>
      <w:pPr>
        <w:pStyle w:val="ListParagraph"/>
        <w:numPr>
          <w:ilvl w:val="0"/>
          <w:numId w:val="51"/>
        </w:numPr>
        <w:tabs>
          <w:tab w:pos="1589" w:val="left" w:leader="none"/>
        </w:tabs>
        <w:spacing w:line="276" w:lineRule="auto" w:before="159" w:after="0"/>
        <w:ind w:left="868" w:right="153" w:firstLine="0"/>
        <w:jc w:val="both"/>
        <w:rPr>
          <w:sz w:val="22"/>
        </w:rPr>
      </w:pPr>
      <w:r>
        <w:rPr>
          <w:sz w:val="22"/>
        </w:rPr>
        <w:t>The Compensation for and entitled rehabilitation allowances will be paid by issuing crossed cheque in the name of the entitled PAP by the Project Director (PD), which will</w:t>
      </w:r>
      <w:r>
        <w:rPr>
          <w:spacing w:val="-39"/>
          <w:sz w:val="22"/>
        </w:rPr>
        <w:t> </w:t>
      </w:r>
      <w:r>
        <w:rPr>
          <w:sz w:val="22"/>
        </w:rPr>
        <w:t>be charged</w:t>
      </w:r>
      <w:r>
        <w:rPr>
          <w:spacing w:val="-9"/>
          <w:sz w:val="22"/>
        </w:rPr>
        <w:t> </w:t>
      </w:r>
      <w:r>
        <w:rPr>
          <w:sz w:val="22"/>
        </w:rPr>
        <w:t>to</w:t>
      </w:r>
      <w:r>
        <w:rPr>
          <w:spacing w:val="-11"/>
          <w:sz w:val="22"/>
        </w:rPr>
        <w:t> </w:t>
      </w:r>
      <w:r>
        <w:rPr>
          <w:sz w:val="22"/>
        </w:rPr>
        <w:t>the</w:t>
      </w:r>
      <w:r>
        <w:rPr>
          <w:spacing w:val="-9"/>
          <w:sz w:val="22"/>
        </w:rPr>
        <w:t> </w:t>
      </w:r>
      <w:r>
        <w:rPr>
          <w:sz w:val="22"/>
        </w:rPr>
        <w:t>project</w:t>
      </w:r>
      <w:r>
        <w:rPr>
          <w:spacing w:val="-5"/>
          <w:sz w:val="22"/>
        </w:rPr>
        <w:t> </w:t>
      </w:r>
      <w:r>
        <w:rPr>
          <w:sz w:val="22"/>
        </w:rPr>
        <w:t>account.</w:t>
      </w:r>
      <w:r>
        <w:rPr>
          <w:spacing w:val="-9"/>
          <w:sz w:val="22"/>
        </w:rPr>
        <w:t> </w:t>
      </w:r>
      <w:r>
        <w:rPr>
          <w:sz w:val="22"/>
        </w:rPr>
        <w:t>The</w:t>
      </w:r>
      <w:r>
        <w:rPr>
          <w:spacing w:val="-9"/>
          <w:sz w:val="22"/>
        </w:rPr>
        <w:t> </w:t>
      </w:r>
      <w:r>
        <w:rPr>
          <w:sz w:val="22"/>
        </w:rPr>
        <w:t>disbursement</w:t>
      </w:r>
      <w:r>
        <w:rPr>
          <w:spacing w:val="-7"/>
          <w:sz w:val="22"/>
        </w:rPr>
        <w:t> </w:t>
      </w:r>
      <w:r>
        <w:rPr>
          <w:sz w:val="22"/>
        </w:rPr>
        <w:t>process</w:t>
      </w:r>
      <w:r>
        <w:rPr>
          <w:spacing w:val="-9"/>
          <w:sz w:val="22"/>
        </w:rPr>
        <w:t> </w:t>
      </w:r>
      <w:r>
        <w:rPr>
          <w:sz w:val="22"/>
        </w:rPr>
        <w:t>of</w:t>
      </w:r>
      <w:r>
        <w:rPr>
          <w:spacing w:val="-8"/>
          <w:sz w:val="22"/>
        </w:rPr>
        <w:t> </w:t>
      </w:r>
      <w:r>
        <w:rPr>
          <w:sz w:val="22"/>
        </w:rPr>
        <w:t>compensation</w:t>
      </w:r>
      <w:r>
        <w:rPr>
          <w:spacing w:val="-9"/>
          <w:sz w:val="22"/>
        </w:rPr>
        <w:t> </w:t>
      </w:r>
      <w:r>
        <w:rPr>
          <w:sz w:val="22"/>
        </w:rPr>
        <w:t>for</w:t>
      </w:r>
      <w:r>
        <w:rPr>
          <w:spacing w:val="-8"/>
          <w:sz w:val="22"/>
        </w:rPr>
        <w:t> </w:t>
      </w:r>
      <w:r>
        <w:rPr>
          <w:sz w:val="22"/>
        </w:rPr>
        <w:t>entitlement covered under C&amp;LRP could be paid as and when the final implementation ready C&amp;LRP prepared based on detailed design is reviewed and cleared by World Bank. Nonetheless, the disbursement will take place, after due notification of time and place to the PAPs and they will be assisted and mobilized to get the requisite support documents for processing of their claims and delivery of compensation accordingly. For transparency purposes the efforts will be ensured to provide the compensation thorough bank accounts by delivering cross checks, which may be deposited at any designated local</w:t>
      </w:r>
      <w:r>
        <w:rPr>
          <w:spacing w:val="-15"/>
          <w:sz w:val="22"/>
        </w:rPr>
        <w:t> </w:t>
      </w:r>
      <w:r>
        <w:rPr>
          <w:sz w:val="22"/>
        </w:rPr>
        <w:t>bank.</w:t>
      </w:r>
    </w:p>
    <w:p>
      <w:pPr>
        <w:spacing w:after="0" w:line="276" w:lineRule="auto"/>
        <w:jc w:val="both"/>
        <w:rPr>
          <w:sz w:val="22"/>
        </w:rPr>
        <w:sectPr>
          <w:pgSz w:w="11910" w:h="16840"/>
          <w:pgMar w:header="583" w:footer="575" w:top="840" w:bottom="760" w:left="860" w:right="1280"/>
        </w:sectPr>
      </w:pPr>
    </w:p>
    <w:p>
      <w:pPr>
        <w:pStyle w:val="BodyText"/>
        <w:rPr>
          <w:sz w:val="20"/>
        </w:rPr>
      </w:pPr>
    </w:p>
    <w:p>
      <w:pPr>
        <w:pStyle w:val="BodyText"/>
        <w:rPr>
          <w:sz w:val="20"/>
        </w:rPr>
      </w:pPr>
    </w:p>
    <w:p>
      <w:pPr>
        <w:pStyle w:val="BodyText"/>
        <w:spacing w:before="10"/>
        <w:rPr>
          <w:sz w:val="27"/>
        </w:rPr>
      </w:pPr>
    </w:p>
    <w:p>
      <w:pPr>
        <w:pStyle w:val="ListParagraph"/>
        <w:numPr>
          <w:ilvl w:val="0"/>
          <w:numId w:val="51"/>
        </w:numPr>
        <w:tabs>
          <w:tab w:pos="1589" w:val="left" w:leader="none"/>
        </w:tabs>
        <w:spacing w:line="276" w:lineRule="auto" w:before="93" w:after="0"/>
        <w:ind w:left="868" w:right="153" w:firstLine="0"/>
        <w:jc w:val="both"/>
        <w:rPr>
          <w:sz w:val="22"/>
        </w:rPr>
      </w:pPr>
      <w:r>
        <w:rPr>
          <w:sz w:val="22"/>
        </w:rPr>
        <w:t>World Bank OP 4.12 and provisions under this C&amp;LRP requires to ensure that no economic displacement will occur until (i) compensation and entitlements listed in the C&amp;LRP</w:t>
      </w:r>
      <w:r>
        <w:rPr>
          <w:spacing w:val="-9"/>
          <w:sz w:val="22"/>
        </w:rPr>
        <w:t> </w:t>
      </w:r>
      <w:r>
        <w:rPr>
          <w:sz w:val="22"/>
        </w:rPr>
        <w:t>have</w:t>
      </w:r>
      <w:r>
        <w:rPr>
          <w:spacing w:val="-9"/>
          <w:sz w:val="22"/>
        </w:rPr>
        <w:t> </w:t>
      </w:r>
      <w:r>
        <w:rPr>
          <w:sz w:val="22"/>
        </w:rPr>
        <w:t>been</w:t>
      </w:r>
      <w:r>
        <w:rPr>
          <w:spacing w:val="-9"/>
          <w:sz w:val="22"/>
        </w:rPr>
        <w:t> </w:t>
      </w:r>
      <w:r>
        <w:rPr>
          <w:sz w:val="22"/>
        </w:rPr>
        <w:t>provided</w:t>
      </w:r>
      <w:r>
        <w:rPr>
          <w:spacing w:val="-9"/>
          <w:sz w:val="22"/>
        </w:rPr>
        <w:t> </w:t>
      </w:r>
      <w:r>
        <w:rPr>
          <w:sz w:val="22"/>
        </w:rPr>
        <w:t>to</w:t>
      </w:r>
      <w:r>
        <w:rPr>
          <w:spacing w:val="-11"/>
          <w:sz w:val="22"/>
        </w:rPr>
        <w:t> </w:t>
      </w:r>
      <w:r>
        <w:rPr>
          <w:sz w:val="22"/>
        </w:rPr>
        <w:t>each</w:t>
      </w:r>
      <w:r>
        <w:rPr>
          <w:spacing w:val="-9"/>
          <w:sz w:val="22"/>
        </w:rPr>
        <w:t> </w:t>
      </w:r>
      <w:r>
        <w:rPr>
          <w:sz w:val="22"/>
        </w:rPr>
        <w:t>PAP</w:t>
      </w:r>
      <w:r>
        <w:rPr>
          <w:spacing w:val="-14"/>
          <w:sz w:val="22"/>
        </w:rPr>
        <w:t> </w:t>
      </w:r>
      <w:r>
        <w:rPr>
          <w:sz w:val="22"/>
        </w:rPr>
        <w:t>for</w:t>
      </w:r>
      <w:r>
        <w:rPr>
          <w:spacing w:val="-10"/>
          <w:sz w:val="22"/>
        </w:rPr>
        <w:t> </w:t>
      </w:r>
      <w:r>
        <w:rPr>
          <w:sz w:val="22"/>
        </w:rPr>
        <w:t>project</w:t>
      </w:r>
      <w:r>
        <w:rPr>
          <w:spacing w:val="-10"/>
          <w:sz w:val="22"/>
        </w:rPr>
        <w:t> </w:t>
      </w:r>
      <w:r>
        <w:rPr>
          <w:sz w:val="22"/>
        </w:rPr>
        <w:t>components</w:t>
      </w:r>
      <w:r>
        <w:rPr>
          <w:spacing w:val="-11"/>
          <w:sz w:val="22"/>
        </w:rPr>
        <w:t> </w:t>
      </w:r>
      <w:r>
        <w:rPr>
          <w:sz w:val="22"/>
        </w:rPr>
        <w:t>or</w:t>
      </w:r>
      <w:r>
        <w:rPr>
          <w:spacing w:val="-10"/>
          <w:sz w:val="22"/>
        </w:rPr>
        <w:t> </w:t>
      </w:r>
      <w:r>
        <w:rPr>
          <w:sz w:val="22"/>
        </w:rPr>
        <w:t>sections</w:t>
      </w:r>
      <w:r>
        <w:rPr>
          <w:spacing w:val="-11"/>
          <w:sz w:val="22"/>
        </w:rPr>
        <w:t> </w:t>
      </w:r>
      <w:r>
        <w:rPr>
          <w:sz w:val="22"/>
        </w:rPr>
        <w:t>that</w:t>
      </w:r>
      <w:r>
        <w:rPr>
          <w:spacing w:val="-10"/>
          <w:sz w:val="22"/>
        </w:rPr>
        <w:t> </w:t>
      </w:r>
      <w:r>
        <w:rPr>
          <w:sz w:val="22"/>
        </w:rPr>
        <w:t>are</w:t>
      </w:r>
      <w:r>
        <w:rPr>
          <w:spacing w:val="-11"/>
          <w:sz w:val="22"/>
        </w:rPr>
        <w:t> </w:t>
      </w:r>
      <w:r>
        <w:rPr>
          <w:sz w:val="22"/>
        </w:rPr>
        <w:t>ready to be constructed; and (ii) a comprehensive income and livelihood rehabilitation program, supported by an adequate budget, is in place to help PAPs improve, or at least restore, their incomes and</w:t>
      </w:r>
      <w:r>
        <w:rPr>
          <w:spacing w:val="-12"/>
          <w:sz w:val="22"/>
        </w:rPr>
        <w:t> </w:t>
      </w:r>
      <w:r>
        <w:rPr>
          <w:sz w:val="22"/>
        </w:rPr>
        <w:t>livelihoods.</w:t>
      </w:r>
    </w:p>
    <w:p>
      <w:pPr>
        <w:pStyle w:val="ListParagraph"/>
        <w:numPr>
          <w:ilvl w:val="0"/>
          <w:numId w:val="51"/>
        </w:numPr>
        <w:tabs>
          <w:tab w:pos="1589" w:val="left" w:leader="none"/>
        </w:tabs>
        <w:spacing w:line="276" w:lineRule="auto" w:before="120" w:after="0"/>
        <w:ind w:left="868" w:right="153" w:firstLine="0"/>
        <w:jc w:val="both"/>
        <w:rPr>
          <w:sz w:val="22"/>
        </w:rPr>
      </w:pPr>
      <w:r>
        <w:rPr>
          <w:sz w:val="22"/>
        </w:rPr>
        <w:t>The LAA (1894) and World Bank OP 4.12 require that PAPs are compensated before displacement but allow a mechanism for dealing with cases having legal and administrative impediments restricting disbursing compensation payments provided that sufficient good-faith efforts are demonstrated in (a) contacting, notifying and assisting PAPs, and (b) delivering compensation payments. Hence, in cases where compensation payment is restricted due to legal and administrative impediments faced by the PAPs, the SMTA will follow the World Bank’s</w:t>
      </w:r>
      <w:r>
        <w:rPr>
          <w:spacing w:val="-18"/>
          <w:sz w:val="22"/>
        </w:rPr>
        <w:t> </w:t>
      </w:r>
      <w:r>
        <w:rPr>
          <w:sz w:val="22"/>
        </w:rPr>
        <w:t>policy.</w:t>
      </w:r>
    </w:p>
    <w:p>
      <w:pPr>
        <w:pStyle w:val="BodyText"/>
        <w:spacing w:before="11"/>
        <w:rPr>
          <w:sz w:val="20"/>
        </w:rPr>
      </w:pPr>
    </w:p>
    <w:p>
      <w:pPr>
        <w:pStyle w:val="Heading2"/>
        <w:numPr>
          <w:ilvl w:val="1"/>
          <w:numId w:val="49"/>
        </w:numPr>
        <w:tabs>
          <w:tab w:pos="1589" w:val="left" w:leader="none"/>
        </w:tabs>
        <w:spacing w:line="240" w:lineRule="auto" w:before="0" w:after="0"/>
        <w:ind w:left="1588" w:right="0" w:hanging="720"/>
        <w:jc w:val="both"/>
      </w:pPr>
      <w:bookmarkStart w:name="_bookmark96" w:id="162"/>
      <w:bookmarkEnd w:id="162"/>
      <w:r>
        <w:rPr>
          <w:b w:val="0"/>
        </w:rPr>
      </w:r>
      <w:bookmarkStart w:name="_bookmark96" w:id="163"/>
      <w:bookmarkEnd w:id="163"/>
      <w:r>
        <w:rPr/>
        <w:t>C&amp;L</w:t>
      </w:r>
      <w:r>
        <w:rPr/>
        <w:t>RP Implementation Schedule and Commencement of</w:t>
      </w:r>
      <w:r>
        <w:rPr>
          <w:spacing w:val="-15"/>
        </w:rPr>
        <w:t> </w:t>
      </w:r>
      <w:r>
        <w:rPr/>
        <w:t>Works</w:t>
      </w:r>
    </w:p>
    <w:p>
      <w:pPr>
        <w:pStyle w:val="ListParagraph"/>
        <w:numPr>
          <w:ilvl w:val="0"/>
          <w:numId w:val="52"/>
        </w:numPr>
        <w:tabs>
          <w:tab w:pos="1589" w:val="left" w:leader="none"/>
        </w:tabs>
        <w:spacing w:line="276" w:lineRule="auto" w:before="160" w:after="0"/>
        <w:ind w:left="868" w:right="155" w:firstLine="0"/>
        <w:jc w:val="both"/>
        <w:rPr>
          <w:sz w:val="22"/>
        </w:rPr>
      </w:pPr>
      <w:r>
        <w:rPr>
          <w:sz w:val="22"/>
        </w:rPr>
        <w:t>The</w:t>
      </w:r>
      <w:r>
        <w:rPr>
          <w:spacing w:val="-14"/>
          <w:sz w:val="22"/>
        </w:rPr>
        <w:t> </w:t>
      </w:r>
      <w:r>
        <w:rPr>
          <w:sz w:val="22"/>
        </w:rPr>
        <w:t>C&amp;LRP</w:t>
      </w:r>
      <w:r>
        <w:rPr>
          <w:spacing w:val="-13"/>
          <w:sz w:val="22"/>
        </w:rPr>
        <w:t> </w:t>
      </w:r>
      <w:r>
        <w:rPr>
          <w:sz w:val="22"/>
        </w:rPr>
        <w:t>implementation</w:t>
      </w:r>
      <w:r>
        <w:rPr>
          <w:spacing w:val="-14"/>
          <w:sz w:val="22"/>
        </w:rPr>
        <w:t> </w:t>
      </w:r>
      <w:r>
        <w:rPr>
          <w:sz w:val="22"/>
        </w:rPr>
        <w:t>schedule</w:t>
      </w:r>
      <w:r>
        <w:rPr>
          <w:spacing w:val="-13"/>
          <w:sz w:val="22"/>
        </w:rPr>
        <w:t> </w:t>
      </w:r>
      <w:r>
        <w:rPr>
          <w:sz w:val="22"/>
        </w:rPr>
        <w:t>will</w:t>
      </w:r>
      <w:r>
        <w:rPr>
          <w:spacing w:val="-13"/>
          <w:sz w:val="22"/>
        </w:rPr>
        <w:t> </w:t>
      </w:r>
      <w:r>
        <w:rPr>
          <w:sz w:val="22"/>
        </w:rPr>
        <w:t>be</w:t>
      </w:r>
      <w:r>
        <w:rPr>
          <w:spacing w:val="-14"/>
          <w:sz w:val="22"/>
        </w:rPr>
        <w:t> </w:t>
      </w:r>
      <w:r>
        <w:rPr>
          <w:sz w:val="22"/>
        </w:rPr>
        <w:t>based</w:t>
      </w:r>
      <w:r>
        <w:rPr>
          <w:spacing w:val="-14"/>
          <w:sz w:val="22"/>
        </w:rPr>
        <w:t> </w:t>
      </w:r>
      <w:r>
        <w:rPr>
          <w:sz w:val="22"/>
        </w:rPr>
        <w:t>on</w:t>
      </w:r>
      <w:r>
        <w:rPr>
          <w:spacing w:val="-14"/>
          <w:sz w:val="22"/>
        </w:rPr>
        <w:t> </w:t>
      </w:r>
      <w:r>
        <w:rPr>
          <w:sz w:val="22"/>
        </w:rPr>
        <w:t>readiness</w:t>
      </w:r>
      <w:r>
        <w:rPr>
          <w:spacing w:val="-13"/>
          <w:sz w:val="22"/>
        </w:rPr>
        <w:t> </w:t>
      </w:r>
      <w:r>
        <w:rPr>
          <w:sz w:val="22"/>
        </w:rPr>
        <w:t>level</w:t>
      </w:r>
      <w:r>
        <w:rPr>
          <w:spacing w:val="-15"/>
          <w:sz w:val="22"/>
        </w:rPr>
        <w:t> </w:t>
      </w:r>
      <w:r>
        <w:rPr>
          <w:sz w:val="22"/>
        </w:rPr>
        <w:t>of</w:t>
      </w:r>
      <w:r>
        <w:rPr>
          <w:spacing w:val="-9"/>
          <w:sz w:val="22"/>
        </w:rPr>
        <w:t> </w:t>
      </w:r>
      <w:r>
        <w:rPr>
          <w:sz w:val="22"/>
        </w:rPr>
        <w:t>the</w:t>
      </w:r>
      <w:r>
        <w:rPr>
          <w:spacing w:val="-13"/>
          <w:sz w:val="22"/>
        </w:rPr>
        <w:t> </w:t>
      </w:r>
      <w:r>
        <w:rPr>
          <w:sz w:val="22"/>
        </w:rPr>
        <w:t>Yellow BRT</w:t>
      </w:r>
      <w:r>
        <w:rPr>
          <w:spacing w:val="-7"/>
          <w:sz w:val="22"/>
        </w:rPr>
        <w:t> </w:t>
      </w:r>
      <w:r>
        <w:rPr>
          <w:sz w:val="22"/>
        </w:rPr>
        <w:t>Corridor</w:t>
      </w:r>
      <w:r>
        <w:rPr>
          <w:spacing w:val="-7"/>
          <w:sz w:val="22"/>
        </w:rPr>
        <w:t> </w:t>
      </w:r>
      <w:r>
        <w:rPr>
          <w:sz w:val="22"/>
        </w:rPr>
        <w:t>Project</w:t>
      </w:r>
      <w:r>
        <w:rPr>
          <w:spacing w:val="-9"/>
          <w:sz w:val="22"/>
        </w:rPr>
        <w:t> </w:t>
      </w:r>
      <w:r>
        <w:rPr>
          <w:sz w:val="22"/>
        </w:rPr>
        <w:t>final</w:t>
      </w:r>
      <w:r>
        <w:rPr>
          <w:spacing w:val="-7"/>
          <w:sz w:val="22"/>
        </w:rPr>
        <w:t> </w:t>
      </w:r>
      <w:r>
        <w:rPr>
          <w:sz w:val="22"/>
        </w:rPr>
        <w:t>design</w:t>
      </w:r>
      <w:r>
        <w:rPr>
          <w:spacing w:val="-9"/>
          <w:sz w:val="22"/>
        </w:rPr>
        <w:t> </w:t>
      </w:r>
      <w:r>
        <w:rPr>
          <w:sz w:val="22"/>
        </w:rPr>
        <w:t>and</w:t>
      </w:r>
      <w:r>
        <w:rPr>
          <w:spacing w:val="-11"/>
          <w:sz w:val="22"/>
        </w:rPr>
        <w:t> </w:t>
      </w:r>
      <w:r>
        <w:rPr>
          <w:sz w:val="22"/>
        </w:rPr>
        <w:t>commencement</w:t>
      </w:r>
      <w:r>
        <w:rPr>
          <w:spacing w:val="-7"/>
          <w:sz w:val="22"/>
        </w:rPr>
        <w:t> </w:t>
      </w:r>
      <w:r>
        <w:rPr>
          <w:sz w:val="22"/>
        </w:rPr>
        <w:t>of</w:t>
      </w:r>
      <w:r>
        <w:rPr>
          <w:spacing w:val="-8"/>
          <w:sz w:val="22"/>
        </w:rPr>
        <w:t> </w:t>
      </w:r>
      <w:r>
        <w:rPr>
          <w:sz w:val="22"/>
        </w:rPr>
        <w:t>the</w:t>
      </w:r>
      <w:r>
        <w:rPr>
          <w:spacing w:val="-9"/>
          <w:sz w:val="22"/>
        </w:rPr>
        <w:t> </w:t>
      </w:r>
      <w:r>
        <w:rPr>
          <w:sz w:val="22"/>
        </w:rPr>
        <w:t>construction</w:t>
      </w:r>
      <w:r>
        <w:rPr>
          <w:spacing w:val="-11"/>
          <w:sz w:val="22"/>
        </w:rPr>
        <w:t> </w:t>
      </w:r>
      <w:r>
        <w:rPr>
          <w:sz w:val="22"/>
        </w:rPr>
        <w:t>work.</w:t>
      </w:r>
      <w:r>
        <w:rPr>
          <w:spacing w:val="-5"/>
          <w:sz w:val="22"/>
        </w:rPr>
        <w:t> </w:t>
      </w:r>
      <w:r>
        <w:rPr>
          <w:sz w:val="22"/>
        </w:rPr>
        <w:t>In</w:t>
      </w:r>
      <w:r>
        <w:rPr>
          <w:spacing w:val="-9"/>
          <w:sz w:val="22"/>
        </w:rPr>
        <w:t> </w:t>
      </w:r>
      <w:r>
        <w:rPr>
          <w:sz w:val="22"/>
        </w:rPr>
        <w:t>line</w:t>
      </w:r>
      <w:r>
        <w:rPr>
          <w:spacing w:val="-9"/>
          <w:sz w:val="22"/>
        </w:rPr>
        <w:t> </w:t>
      </w:r>
      <w:r>
        <w:rPr>
          <w:sz w:val="22"/>
        </w:rPr>
        <w:t>with the principles laid down in this C&amp;LRP, SMTA with assistance from the Project Team prepare a detailed implementation schedule indicating the sequence and time frame of activities</w:t>
      </w:r>
      <w:r>
        <w:rPr>
          <w:spacing w:val="-13"/>
          <w:sz w:val="22"/>
        </w:rPr>
        <w:t> </w:t>
      </w:r>
      <w:r>
        <w:rPr>
          <w:sz w:val="22"/>
        </w:rPr>
        <w:t>under</w:t>
      </w:r>
      <w:r>
        <w:rPr>
          <w:spacing w:val="-12"/>
          <w:sz w:val="22"/>
        </w:rPr>
        <w:t> </w:t>
      </w:r>
      <w:r>
        <w:rPr>
          <w:sz w:val="22"/>
        </w:rPr>
        <w:t>in</w:t>
      </w:r>
      <w:r>
        <w:rPr>
          <w:spacing w:val="-14"/>
          <w:sz w:val="22"/>
        </w:rPr>
        <w:t> </w:t>
      </w:r>
      <w:r>
        <w:rPr>
          <w:sz w:val="22"/>
        </w:rPr>
        <w:t>different</w:t>
      </w:r>
      <w:r>
        <w:rPr>
          <w:spacing w:val="-12"/>
          <w:sz w:val="22"/>
        </w:rPr>
        <w:t> </w:t>
      </w:r>
      <w:r>
        <w:rPr>
          <w:sz w:val="22"/>
        </w:rPr>
        <w:t>phases</w:t>
      </w:r>
      <w:r>
        <w:rPr>
          <w:spacing w:val="-13"/>
          <w:sz w:val="22"/>
        </w:rPr>
        <w:t> </w:t>
      </w:r>
      <w:r>
        <w:rPr>
          <w:sz w:val="22"/>
        </w:rPr>
        <w:t>and</w:t>
      </w:r>
      <w:r>
        <w:rPr>
          <w:spacing w:val="-13"/>
          <w:sz w:val="22"/>
        </w:rPr>
        <w:t> </w:t>
      </w:r>
      <w:r>
        <w:rPr>
          <w:sz w:val="22"/>
        </w:rPr>
        <w:t>C&amp;LRP</w:t>
      </w:r>
      <w:r>
        <w:rPr>
          <w:spacing w:val="-13"/>
          <w:sz w:val="22"/>
        </w:rPr>
        <w:t> </w:t>
      </w:r>
      <w:r>
        <w:rPr>
          <w:sz w:val="22"/>
        </w:rPr>
        <w:t>implementation</w:t>
      </w:r>
      <w:r>
        <w:rPr>
          <w:spacing w:val="-15"/>
          <w:sz w:val="22"/>
        </w:rPr>
        <w:t> </w:t>
      </w:r>
      <w:r>
        <w:rPr>
          <w:sz w:val="22"/>
        </w:rPr>
        <w:t>timelines</w:t>
      </w:r>
      <w:r>
        <w:rPr>
          <w:spacing w:val="-13"/>
          <w:sz w:val="22"/>
        </w:rPr>
        <w:t> </w:t>
      </w:r>
      <w:r>
        <w:rPr>
          <w:sz w:val="22"/>
        </w:rPr>
        <w:t>synchronized</w:t>
      </w:r>
      <w:r>
        <w:rPr>
          <w:spacing w:val="-13"/>
          <w:sz w:val="22"/>
        </w:rPr>
        <w:t> </w:t>
      </w:r>
      <w:r>
        <w:rPr>
          <w:sz w:val="22"/>
        </w:rPr>
        <w:t>with the construction schedule for the</w:t>
      </w:r>
      <w:r>
        <w:rPr>
          <w:spacing w:val="-10"/>
          <w:sz w:val="22"/>
        </w:rPr>
        <w:t> </w:t>
      </w:r>
      <w:r>
        <w:rPr>
          <w:sz w:val="22"/>
        </w:rPr>
        <w:t>Project.</w:t>
      </w:r>
    </w:p>
    <w:p>
      <w:pPr>
        <w:pStyle w:val="ListParagraph"/>
        <w:numPr>
          <w:ilvl w:val="0"/>
          <w:numId w:val="52"/>
        </w:numPr>
        <w:tabs>
          <w:tab w:pos="1589" w:val="left" w:leader="none"/>
        </w:tabs>
        <w:spacing w:line="276" w:lineRule="auto" w:before="120" w:after="0"/>
        <w:ind w:left="868" w:right="153" w:firstLine="0"/>
        <w:jc w:val="both"/>
        <w:rPr>
          <w:sz w:val="22"/>
        </w:rPr>
      </w:pPr>
      <w:r>
        <w:rPr>
          <w:sz w:val="22"/>
        </w:rPr>
        <w:t>Nonetheless, the commencement of civil works for the Project or any of its section with social impacts will be conditional upon full implementation of the SMTA endorsed</w:t>
      </w:r>
      <w:r>
        <w:rPr>
          <w:spacing w:val="-35"/>
          <w:sz w:val="22"/>
        </w:rPr>
        <w:t> </w:t>
      </w:r>
      <w:r>
        <w:rPr>
          <w:sz w:val="22"/>
        </w:rPr>
        <w:t>and World Bank cleared C&amp;LRP which will be spelled out in the project/ loan covenants to ensure OP 4.12 requirements are fully complied with. Compensation should be paid to</w:t>
      </w:r>
      <w:r>
        <w:rPr>
          <w:spacing w:val="-40"/>
          <w:sz w:val="22"/>
        </w:rPr>
        <w:t> </w:t>
      </w:r>
      <w:r>
        <w:rPr>
          <w:sz w:val="22"/>
        </w:rPr>
        <w:t>the affected vendors before their</w:t>
      </w:r>
      <w:r>
        <w:rPr>
          <w:spacing w:val="-13"/>
          <w:sz w:val="22"/>
        </w:rPr>
        <w:t> </w:t>
      </w:r>
      <w:r>
        <w:rPr>
          <w:sz w:val="22"/>
        </w:rPr>
        <w:t>removal.</w:t>
      </w:r>
    </w:p>
    <w:p>
      <w:pPr>
        <w:spacing w:after="0" w:line="276" w:lineRule="auto"/>
        <w:jc w:val="both"/>
        <w:rPr>
          <w:sz w:val="22"/>
        </w:rPr>
        <w:sectPr>
          <w:pgSz w:w="11910" w:h="16840"/>
          <w:pgMar w:header="583" w:footer="575" w:top="840" w:bottom="760" w:left="860" w:right="1280"/>
        </w:sectPr>
      </w:pPr>
    </w:p>
    <w:p>
      <w:pPr>
        <w:pStyle w:val="BodyText"/>
        <w:rPr>
          <w:sz w:val="20"/>
        </w:rPr>
      </w:pPr>
    </w:p>
    <w:p>
      <w:pPr>
        <w:pStyle w:val="BodyText"/>
        <w:rPr>
          <w:sz w:val="20"/>
        </w:rPr>
      </w:pPr>
    </w:p>
    <w:p>
      <w:pPr>
        <w:pStyle w:val="BodyText"/>
        <w:rPr>
          <w:sz w:val="28"/>
        </w:rPr>
      </w:pPr>
    </w:p>
    <w:p>
      <w:pPr>
        <w:pStyle w:val="Heading2"/>
        <w:numPr>
          <w:ilvl w:val="0"/>
          <w:numId w:val="53"/>
        </w:numPr>
        <w:tabs>
          <w:tab w:pos="1301" w:val="left" w:leader="none"/>
        </w:tabs>
        <w:spacing w:line="240" w:lineRule="auto" w:before="92" w:after="0"/>
        <w:ind w:left="1300" w:right="0" w:hanging="432"/>
        <w:jc w:val="both"/>
      </w:pPr>
      <w:bookmarkStart w:name="_bookmark97" w:id="164"/>
      <w:bookmarkEnd w:id="164"/>
      <w:r>
        <w:rPr>
          <w:b w:val="0"/>
        </w:rPr>
      </w:r>
      <w:bookmarkStart w:name="_bookmark97" w:id="165"/>
      <w:bookmarkEnd w:id="165"/>
      <w:r>
        <w:rPr/>
        <w:t>M</w:t>
      </w:r>
      <w:r>
        <w:rPr/>
        <w:t>ONITORING, EVALUATION AND</w:t>
      </w:r>
      <w:r>
        <w:rPr>
          <w:spacing w:val="-11"/>
        </w:rPr>
        <w:t> </w:t>
      </w:r>
      <w:r>
        <w:rPr/>
        <w:t>REPORTING</w:t>
      </w:r>
    </w:p>
    <w:p>
      <w:pPr>
        <w:pStyle w:val="BodyText"/>
        <w:spacing w:before="3"/>
        <w:rPr>
          <w:b/>
          <w:sz w:val="31"/>
        </w:rPr>
      </w:pPr>
    </w:p>
    <w:p>
      <w:pPr>
        <w:pStyle w:val="Heading2"/>
        <w:numPr>
          <w:ilvl w:val="1"/>
          <w:numId w:val="53"/>
        </w:numPr>
        <w:tabs>
          <w:tab w:pos="1445" w:val="left" w:leader="none"/>
        </w:tabs>
        <w:spacing w:line="240" w:lineRule="auto" w:before="0" w:after="0"/>
        <w:ind w:left="1444" w:right="0" w:hanging="576"/>
        <w:jc w:val="both"/>
      </w:pPr>
      <w:bookmarkStart w:name="_bookmark98" w:id="166"/>
      <w:bookmarkEnd w:id="166"/>
      <w:r>
        <w:rPr>
          <w:b w:val="0"/>
        </w:rPr>
      </w:r>
      <w:bookmarkStart w:name="_bookmark98" w:id="167"/>
      <w:bookmarkEnd w:id="167"/>
      <w:r>
        <w:rPr/>
        <w:t>O</w:t>
      </w:r>
      <w:r>
        <w:rPr/>
        <w:t>verview</w:t>
      </w:r>
    </w:p>
    <w:p>
      <w:pPr>
        <w:pStyle w:val="ListParagraph"/>
        <w:numPr>
          <w:ilvl w:val="0"/>
          <w:numId w:val="54"/>
        </w:numPr>
        <w:tabs>
          <w:tab w:pos="1589" w:val="left" w:leader="none"/>
        </w:tabs>
        <w:spacing w:line="276" w:lineRule="auto" w:before="160" w:after="0"/>
        <w:ind w:left="868" w:right="150" w:firstLine="0"/>
        <w:jc w:val="both"/>
        <w:rPr>
          <w:sz w:val="22"/>
        </w:rPr>
      </w:pPr>
      <w:r>
        <w:rPr>
          <w:sz w:val="22"/>
        </w:rPr>
        <w:t>Successful implementation of a C&amp;LRP depends on good management, close monitoring,</w:t>
      </w:r>
      <w:r>
        <w:rPr>
          <w:spacing w:val="-9"/>
          <w:sz w:val="22"/>
        </w:rPr>
        <w:t> </w:t>
      </w:r>
      <w:r>
        <w:rPr>
          <w:sz w:val="22"/>
        </w:rPr>
        <w:t>and</w:t>
      </w:r>
      <w:r>
        <w:rPr>
          <w:spacing w:val="-10"/>
          <w:sz w:val="22"/>
        </w:rPr>
        <w:t> </w:t>
      </w:r>
      <w:r>
        <w:rPr>
          <w:sz w:val="22"/>
        </w:rPr>
        <w:t>effective</w:t>
      </w:r>
      <w:r>
        <w:rPr>
          <w:spacing w:val="-10"/>
          <w:sz w:val="22"/>
        </w:rPr>
        <w:t> </w:t>
      </w:r>
      <w:r>
        <w:rPr>
          <w:sz w:val="22"/>
        </w:rPr>
        <w:t>supervision.</w:t>
      </w:r>
      <w:r>
        <w:rPr>
          <w:spacing w:val="-9"/>
          <w:sz w:val="22"/>
        </w:rPr>
        <w:t> </w:t>
      </w:r>
      <w:r>
        <w:rPr>
          <w:sz w:val="22"/>
        </w:rPr>
        <w:t>This</w:t>
      </w:r>
      <w:r>
        <w:rPr>
          <w:spacing w:val="-7"/>
          <w:sz w:val="22"/>
        </w:rPr>
        <w:t> </w:t>
      </w:r>
      <w:r>
        <w:rPr>
          <w:sz w:val="22"/>
        </w:rPr>
        <w:t>will</w:t>
      </w:r>
      <w:r>
        <w:rPr>
          <w:spacing w:val="-10"/>
          <w:sz w:val="22"/>
        </w:rPr>
        <w:t> </w:t>
      </w:r>
      <w:r>
        <w:rPr>
          <w:sz w:val="22"/>
        </w:rPr>
        <w:t>enable</w:t>
      </w:r>
      <w:r>
        <w:rPr>
          <w:spacing w:val="-10"/>
          <w:sz w:val="22"/>
        </w:rPr>
        <w:t> </w:t>
      </w:r>
      <w:r>
        <w:rPr>
          <w:sz w:val="22"/>
        </w:rPr>
        <w:t>the</w:t>
      </w:r>
      <w:r>
        <w:rPr>
          <w:spacing w:val="-10"/>
          <w:sz w:val="22"/>
        </w:rPr>
        <w:t> </w:t>
      </w:r>
      <w:r>
        <w:rPr>
          <w:sz w:val="22"/>
        </w:rPr>
        <w:t>executing</w:t>
      </w:r>
      <w:r>
        <w:rPr>
          <w:spacing w:val="-8"/>
          <w:sz w:val="22"/>
        </w:rPr>
        <w:t> </w:t>
      </w:r>
      <w:r>
        <w:rPr>
          <w:sz w:val="22"/>
        </w:rPr>
        <w:t>agency</w:t>
      </w:r>
      <w:r>
        <w:rPr>
          <w:spacing w:val="-13"/>
          <w:sz w:val="22"/>
        </w:rPr>
        <w:t> </w:t>
      </w:r>
      <w:r>
        <w:rPr>
          <w:sz w:val="22"/>
        </w:rPr>
        <w:t>to</w:t>
      </w:r>
      <w:r>
        <w:rPr>
          <w:spacing w:val="-11"/>
          <w:sz w:val="22"/>
        </w:rPr>
        <w:t> </w:t>
      </w:r>
      <w:r>
        <w:rPr>
          <w:sz w:val="22"/>
        </w:rPr>
        <w:t>make</w:t>
      </w:r>
      <w:r>
        <w:rPr>
          <w:spacing w:val="-10"/>
          <w:sz w:val="22"/>
        </w:rPr>
        <w:t> </w:t>
      </w:r>
      <w:r>
        <w:rPr>
          <w:sz w:val="22"/>
        </w:rPr>
        <w:t>timely adjustments in implementation arrangements and take appropriate corrective measures during project implementation. It is therefore important that the adequate resources (finances and qualified human resources) are made available and monitoring of C&amp;LRP is integrated into the project’s planning and management</w:t>
      </w:r>
      <w:r>
        <w:rPr>
          <w:spacing w:val="-13"/>
          <w:sz w:val="22"/>
        </w:rPr>
        <w:t> </w:t>
      </w:r>
      <w:r>
        <w:rPr>
          <w:sz w:val="22"/>
        </w:rPr>
        <w:t>processes.</w:t>
      </w:r>
    </w:p>
    <w:p>
      <w:pPr>
        <w:pStyle w:val="ListParagraph"/>
        <w:numPr>
          <w:ilvl w:val="0"/>
          <w:numId w:val="54"/>
        </w:numPr>
        <w:tabs>
          <w:tab w:pos="1589" w:val="left" w:leader="none"/>
        </w:tabs>
        <w:spacing w:line="276" w:lineRule="auto" w:before="122" w:after="0"/>
        <w:ind w:left="868" w:right="157" w:firstLine="0"/>
        <w:jc w:val="both"/>
        <w:rPr>
          <w:sz w:val="22"/>
        </w:rPr>
      </w:pPr>
      <w:r>
        <w:rPr>
          <w:sz w:val="22"/>
        </w:rPr>
        <w:t>The major objectives of monitoring and evaluation are to:(i) ascertain whether activities are progressing as per schedule and the specified timelines are being met; (ii) assess if compensation, rehabilitation measures are sufficient; (iii) identify problems </w:t>
      </w:r>
      <w:r>
        <w:rPr>
          <w:spacing w:val="-3"/>
          <w:sz w:val="22"/>
        </w:rPr>
        <w:t>or </w:t>
      </w:r>
      <w:r>
        <w:rPr>
          <w:sz w:val="22"/>
        </w:rPr>
        <w:t>potential issues; (iv) identify methods and corrective actions to rapidly mitigate any problems</w:t>
      </w:r>
      <w:r>
        <w:rPr>
          <w:spacing w:val="-6"/>
          <w:sz w:val="22"/>
        </w:rPr>
        <w:t> </w:t>
      </w:r>
      <w:r>
        <w:rPr>
          <w:sz w:val="22"/>
        </w:rPr>
        <w:t>and</w:t>
      </w:r>
      <w:r>
        <w:rPr>
          <w:spacing w:val="-6"/>
          <w:sz w:val="22"/>
        </w:rPr>
        <w:t> </w:t>
      </w:r>
      <w:r>
        <w:rPr>
          <w:sz w:val="22"/>
        </w:rPr>
        <w:t>(v)</w:t>
      </w:r>
      <w:r>
        <w:rPr>
          <w:spacing w:val="-3"/>
          <w:sz w:val="22"/>
        </w:rPr>
        <w:t> </w:t>
      </w:r>
      <w:r>
        <w:rPr>
          <w:sz w:val="22"/>
        </w:rPr>
        <w:t>ensure</w:t>
      </w:r>
      <w:r>
        <w:rPr>
          <w:spacing w:val="-6"/>
          <w:sz w:val="22"/>
        </w:rPr>
        <w:t> </w:t>
      </w:r>
      <w:r>
        <w:rPr>
          <w:sz w:val="22"/>
        </w:rPr>
        <w:t>that</w:t>
      </w:r>
      <w:r>
        <w:rPr>
          <w:spacing w:val="-4"/>
          <w:sz w:val="22"/>
        </w:rPr>
        <w:t> </w:t>
      </w:r>
      <w:r>
        <w:rPr>
          <w:sz w:val="22"/>
        </w:rPr>
        <w:t>C&amp;LRP</w:t>
      </w:r>
      <w:r>
        <w:rPr>
          <w:spacing w:val="-4"/>
          <w:sz w:val="22"/>
        </w:rPr>
        <w:t> </w:t>
      </w:r>
      <w:r>
        <w:rPr>
          <w:sz w:val="22"/>
        </w:rPr>
        <w:t>objectives</w:t>
      </w:r>
      <w:r>
        <w:rPr>
          <w:spacing w:val="-4"/>
          <w:sz w:val="22"/>
        </w:rPr>
        <w:t> </w:t>
      </w:r>
      <w:r>
        <w:rPr>
          <w:sz w:val="22"/>
        </w:rPr>
        <w:t>are</w:t>
      </w:r>
      <w:r>
        <w:rPr>
          <w:spacing w:val="-4"/>
          <w:sz w:val="22"/>
        </w:rPr>
        <w:t> </w:t>
      </w:r>
      <w:r>
        <w:rPr>
          <w:sz w:val="22"/>
        </w:rPr>
        <w:t>met</w:t>
      </w:r>
      <w:r>
        <w:rPr>
          <w:spacing w:val="-3"/>
          <w:sz w:val="22"/>
        </w:rPr>
        <w:t> </w:t>
      </w:r>
      <w:r>
        <w:rPr>
          <w:sz w:val="22"/>
        </w:rPr>
        <w:t>with</w:t>
      </w:r>
      <w:r>
        <w:rPr>
          <w:spacing w:val="-4"/>
          <w:sz w:val="22"/>
        </w:rPr>
        <w:t> </w:t>
      </w:r>
      <w:r>
        <w:rPr>
          <w:sz w:val="22"/>
        </w:rPr>
        <w:t>and</w:t>
      </w:r>
      <w:r>
        <w:rPr>
          <w:spacing w:val="-6"/>
          <w:sz w:val="22"/>
        </w:rPr>
        <w:t> </w:t>
      </w:r>
      <w:r>
        <w:rPr>
          <w:sz w:val="22"/>
        </w:rPr>
        <w:t>the</w:t>
      </w:r>
      <w:r>
        <w:rPr>
          <w:spacing w:val="-7"/>
          <w:sz w:val="22"/>
        </w:rPr>
        <w:t> </w:t>
      </w:r>
      <w:r>
        <w:rPr>
          <w:sz w:val="22"/>
        </w:rPr>
        <w:t>standards</w:t>
      </w:r>
      <w:r>
        <w:rPr>
          <w:spacing w:val="-4"/>
          <w:sz w:val="22"/>
        </w:rPr>
        <w:t> </w:t>
      </w:r>
      <w:r>
        <w:rPr>
          <w:sz w:val="22"/>
        </w:rPr>
        <w:t>of</w:t>
      </w:r>
      <w:r>
        <w:rPr>
          <w:spacing w:val="-3"/>
          <w:sz w:val="22"/>
        </w:rPr>
        <w:t> </w:t>
      </w:r>
      <w:r>
        <w:rPr>
          <w:sz w:val="22"/>
        </w:rPr>
        <w:t>living</w:t>
      </w:r>
      <w:r>
        <w:rPr>
          <w:spacing w:val="-3"/>
          <w:sz w:val="22"/>
        </w:rPr>
        <w:t> </w:t>
      </w:r>
      <w:r>
        <w:rPr>
          <w:sz w:val="22"/>
        </w:rPr>
        <w:t>of PAPs are restored or improved; (vi) collect gender disaggregated information to monitor the day-to-day resettlement activities of the project through the following (a) Review of project</w:t>
      </w:r>
      <w:r>
        <w:rPr>
          <w:spacing w:val="-12"/>
          <w:sz w:val="22"/>
        </w:rPr>
        <w:t> </w:t>
      </w:r>
      <w:r>
        <w:rPr>
          <w:sz w:val="22"/>
        </w:rPr>
        <w:t>information</w:t>
      </w:r>
      <w:r>
        <w:rPr>
          <w:spacing w:val="-16"/>
          <w:sz w:val="22"/>
        </w:rPr>
        <w:t> </w:t>
      </w:r>
      <w:r>
        <w:rPr>
          <w:sz w:val="22"/>
        </w:rPr>
        <w:t>for</w:t>
      </w:r>
      <w:r>
        <w:rPr>
          <w:spacing w:val="-13"/>
          <w:sz w:val="22"/>
        </w:rPr>
        <w:t> </w:t>
      </w:r>
      <w:r>
        <w:rPr>
          <w:sz w:val="22"/>
        </w:rPr>
        <w:t>all</w:t>
      </w:r>
      <w:r>
        <w:rPr>
          <w:spacing w:val="-17"/>
          <w:sz w:val="22"/>
        </w:rPr>
        <w:t> </w:t>
      </w:r>
      <w:r>
        <w:rPr>
          <w:sz w:val="22"/>
        </w:rPr>
        <w:t>PAPs;</w:t>
      </w:r>
      <w:r>
        <w:rPr>
          <w:spacing w:val="-12"/>
          <w:sz w:val="22"/>
        </w:rPr>
        <w:t> </w:t>
      </w:r>
      <w:r>
        <w:rPr>
          <w:sz w:val="22"/>
        </w:rPr>
        <w:t>(b)</w:t>
      </w:r>
      <w:r>
        <w:rPr>
          <w:spacing w:val="-15"/>
          <w:sz w:val="22"/>
        </w:rPr>
        <w:t> </w:t>
      </w:r>
      <w:r>
        <w:rPr>
          <w:sz w:val="22"/>
        </w:rPr>
        <w:t>Consultation</w:t>
      </w:r>
      <w:r>
        <w:rPr>
          <w:spacing w:val="-13"/>
          <w:sz w:val="22"/>
        </w:rPr>
        <w:t> </w:t>
      </w:r>
      <w:r>
        <w:rPr>
          <w:sz w:val="22"/>
        </w:rPr>
        <w:t>and</w:t>
      </w:r>
      <w:r>
        <w:rPr>
          <w:spacing w:val="-14"/>
          <w:sz w:val="22"/>
        </w:rPr>
        <w:t> </w:t>
      </w:r>
      <w:r>
        <w:rPr>
          <w:sz w:val="22"/>
        </w:rPr>
        <w:t>informal</w:t>
      </w:r>
      <w:r>
        <w:rPr>
          <w:spacing w:val="-15"/>
          <w:sz w:val="22"/>
        </w:rPr>
        <w:t> </w:t>
      </w:r>
      <w:r>
        <w:rPr>
          <w:sz w:val="22"/>
        </w:rPr>
        <w:t>interviews</w:t>
      </w:r>
      <w:r>
        <w:rPr>
          <w:spacing w:val="-11"/>
          <w:sz w:val="22"/>
        </w:rPr>
        <w:t> </w:t>
      </w:r>
      <w:r>
        <w:rPr>
          <w:sz w:val="22"/>
        </w:rPr>
        <w:t>with</w:t>
      </w:r>
      <w:r>
        <w:rPr>
          <w:spacing w:val="-13"/>
          <w:sz w:val="22"/>
        </w:rPr>
        <w:t> </w:t>
      </w:r>
      <w:r>
        <w:rPr>
          <w:sz w:val="22"/>
        </w:rPr>
        <w:t>PAPs;</w:t>
      </w:r>
      <w:r>
        <w:rPr>
          <w:spacing w:val="-12"/>
          <w:sz w:val="22"/>
        </w:rPr>
        <w:t> </w:t>
      </w:r>
      <w:r>
        <w:rPr>
          <w:sz w:val="22"/>
        </w:rPr>
        <w:t>(c)</w:t>
      </w:r>
      <w:r>
        <w:rPr>
          <w:spacing w:val="-13"/>
          <w:sz w:val="22"/>
        </w:rPr>
        <w:t> </w:t>
      </w:r>
      <w:r>
        <w:rPr>
          <w:sz w:val="22"/>
        </w:rPr>
        <w:t>Key informant interviews; and, (d) Community public</w:t>
      </w:r>
      <w:r>
        <w:rPr>
          <w:spacing w:val="-19"/>
          <w:sz w:val="22"/>
        </w:rPr>
        <w:t> </w:t>
      </w:r>
      <w:r>
        <w:rPr>
          <w:sz w:val="22"/>
        </w:rPr>
        <w:t>meetings.</w:t>
      </w:r>
    </w:p>
    <w:p>
      <w:pPr>
        <w:pStyle w:val="ListParagraph"/>
        <w:numPr>
          <w:ilvl w:val="0"/>
          <w:numId w:val="54"/>
        </w:numPr>
        <w:tabs>
          <w:tab w:pos="1589" w:val="left" w:leader="none"/>
        </w:tabs>
        <w:spacing w:line="276" w:lineRule="auto" w:before="122" w:after="0"/>
        <w:ind w:left="868" w:right="152" w:firstLine="0"/>
        <w:jc w:val="both"/>
        <w:rPr>
          <w:sz w:val="22"/>
        </w:rPr>
      </w:pPr>
      <w:r>
        <w:rPr>
          <w:sz w:val="22"/>
        </w:rPr>
        <w:t>Monitoring will involve (i) compliance monitoring through internal and external monitoring to ensure that implementation is on schedule and problems are dealt with on a timely</w:t>
      </w:r>
      <w:r>
        <w:rPr>
          <w:spacing w:val="-8"/>
          <w:sz w:val="22"/>
        </w:rPr>
        <w:t> </w:t>
      </w:r>
      <w:r>
        <w:rPr>
          <w:sz w:val="22"/>
        </w:rPr>
        <w:t>basis;</w:t>
      </w:r>
      <w:r>
        <w:rPr>
          <w:spacing w:val="-5"/>
          <w:sz w:val="22"/>
        </w:rPr>
        <w:t> </w:t>
      </w:r>
      <w:r>
        <w:rPr>
          <w:sz w:val="22"/>
        </w:rPr>
        <w:t>(ii)</w:t>
      </w:r>
      <w:r>
        <w:rPr>
          <w:spacing w:val="-8"/>
          <w:sz w:val="22"/>
        </w:rPr>
        <w:t> </w:t>
      </w:r>
      <w:r>
        <w:rPr>
          <w:sz w:val="22"/>
        </w:rPr>
        <w:t>The</w:t>
      </w:r>
      <w:r>
        <w:rPr>
          <w:spacing w:val="-9"/>
          <w:sz w:val="22"/>
        </w:rPr>
        <w:t> </w:t>
      </w:r>
      <w:r>
        <w:rPr>
          <w:sz w:val="22"/>
        </w:rPr>
        <w:t>social</w:t>
      </w:r>
      <w:r>
        <w:rPr>
          <w:spacing w:val="-7"/>
          <w:sz w:val="22"/>
        </w:rPr>
        <w:t> </w:t>
      </w:r>
      <w:r>
        <w:rPr>
          <w:sz w:val="22"/>
        </w:rPr>
        <w:t>impacts</w:t>
      </w:r>
      <w:r>
        <w:rPr>
          <w:spacing w:val="-8"/>
          <w:sz w:val="22"/>
        </w:rPr>
        <w:t> </w:t>
      </w:r>
      <w:r>
        <w:rPr>
          <w:sz w:val="22"/>
        </w:rPr>
        <w:t>monitoring</w:t>
      </w:r>
      <w:r>
        <w:rPr>
          <w:spacing w:val="-7"/>
          <w:sz w:val="22"/>
        </w:rPr>
        <w:t> </w:t>
      </w:r>
      <w:r>
        <w:rPr>
          <w:sz w:val="22"/>
        </w:rPr>
        <w:t>of</w:t>
      </w:r>
      <w:r>
        <w:rPr>
          <w:spacing w:val="-5"/>
          <w:sz w:val="22"/>
        </w:rPr>
        <w:t> </w:t>
      </w:r>
      <w:r>
        <w:rPr>
          <w:sz w:val="22"/>
        </w:rPr>
        <w:t>the</w:t>
      </w:r>
      <w:r>
        <w:rPr>
          <w:spacing w:val="-7"/>
          <w:sz w:val="22"/>
        </w:rPr>
        <w:t> </w:t>
      </w:r>
      <w:r>
        <w:rPr>
          <w:sz w:val="22"/>
        </w:rPr>
        <w:t>project</w:t>
      </w:r>
      <w:r>
        <w:rPr>
          <w:spacing w:val="-5"/>
          <w:sz w:val="22"/>
        </w:rPr>
        <w:t> </w:t>
      </w:r>
      <w:r>
        <w:rPr>
          <w:sz w:val="22"/>
        </w:rPr>
        <w:t>and</w:t>
      </w:r>
      <w:r>
        <w:rPr>
          <w:spacing w:val="-9"/>
          <w:sz w:val="22"/>
        </w:rPr>
        <w:t> </w:t>
      </w:r>
      <w:r>
        <w:rPr>
          <w:sz w:val="22"/>
        </w:rPr>
        <w:t>whether</w:t>
      </w:r>
      <w:r>
        <w:rPr>
          <w:spacing w:val="-5"/>
          <w:sz w:val="22"/>
        </w:rPr>
        <w:t> </w:t>
      </w:r>
      <w:r>
        <w:rPr>
          <w:sz w:val="22"/>
        </w:rPr>
        <w:t>PAPs</w:t>
      </w:r>
      <w:r>
        <w:rPr>
          <w:spacing w:val="-6"/>
          <w:sz w:val="22"/>
        </w:rPr>
        <w:t> </w:t>
      </w:r>
      <w:r>
        <w:rPr>
          <w:sz w:val="22"/>
        </w:rPr>
        <w:t>are</w:t>
      </w:r>
      <w:r>
        <w:rPr>
          <w:spacing w:val="-6"/>
          <w:sz w:val="22"/>
        </w:rPr>
        <w:t> </w:t>
      </w:r>
      <w:r>
        <w:rPr>
          <w:sz w:val="22"/>
        </w:rPr>
        <w:t>able</w:t>
      </w:r>
      <w:r>
        <w:rPr>
          <w:spacing w:val="-6"/>
          <w:sz w:val="22"/>
        </w:rPr>
        <w:t> </w:t>
      </w:r>
      <w:r>
        <w:rPr>
          <w:sz w:val="22"/>
        </w:rPr>
        <w:t>to restore and preferably improve their pre-project living standards, incomes, and productive capacity utilizing baseline information established through the socio-economic survey undertaken</w:t>
      </w:r>
      <w:r>
        <w:rPr>
          <w:spacing w:val="-15"/>
          <w:sz w:val="22"/>
        </w:rPr>
        <w:t> </w:t>
      </w:r>
      <w:r>
        <w:rPr>
          <w:sz w:val="22"/>
        </w:rPr>
        <w:t>during</w:t>
      </w:r>
      <w:r>
        <w:rPr>
          <w:spacing w:val="-12"/>
          <w:sz w:val="22"/>
        </w:rPr>
        <w:t> </w:t>
      </w:r>
      <w:r>
        <w:rPr>
          <w:sz w:val="22"/>
        </w:rPr>
        <w:t>project</w:t>
      </w:r>
      <w:r>
        <w:rPr>
          <w:spacing w:val="-11"/>
          <w:sz w:val="22"/>
        </w:rPr>
        <w:t> </w:t>
      </w:r>
      <w:r>
        <w:rPr>
          <w:sz w:val="22"/>
        </w:rPr>
        <w:t>preparation;</w:t>
      </w:r>
      <w:r>
        <w:rPr>
          <w:spacing w:val="-13"/>
          <w:sz w:val="22"/>
        </w:rPr>
        <w:t> </w:t>
      </w:r>
      <w:r>
        <w:rPr>
          <w:sz w:val="22"/>
        </w:rPr>
        <w:t>and</w:t>
      </w:r>
      <w:r>
        <w:rPr>
          <w:spacing w:val="-12"/>
          <w:sz w:val="22"/>
        </w:rPr>
        <w:t> </w:t>
      </w:r>
      <w:r>
        <w:rPr>
          <w:sz w:val="22"/>
        </w:rPr>
        <w:t>(iii)</w:t>
      </w:r>
      <w:r>
        <w:rPr>
          <w:spacing w:val="-13"/>
          <w:sz w:val="22"/>
        </w:rPr>
        <w:t> </w:t>
      </w:r>
      <w:r>
        <w:rPr>
          <w:sz w:val="22"/>
        </w:rPr>
        <w:t>overall</w:t>
      </w:r>
      <w:r>
        <w:rPr>
          <w:spacing w:val="-13"/>
          <w:sz w:val="22"/>
        </w:rPr>
        <w:t> </w:t>
      </w:r>
      <w:r>
        <w:rPr>
          <w:sz w:val="22"/>
        </w:rPr>
        <w:t>monitoring</w:t>
      </w:r>
      <w:r>
        <w:rPr>
          <w:spacing w:val="-12"/>
          <w:sz w:val="22"/>
        </w:rPr>
        <w:t> </w:t>
      </w:r>
      <w:r>
        <w:rPr>
          <w:sz w:val="22"/>
        </w:rPr>
        <w:t>to</w:t>
      </w:r>
      <w:r>
        <w:rPr>
          <w:spacing w:val="-15"/>
          <w:sz w:val="22"/>
        </w:rPr>
        <w:t> </w:t>
      </w:r>
      <w:r>
        <w:rPr>
          <w:sz w:val="22"/>
        </w:rPr>
        <w:t>assess</w:t>
      </w:r>
      <w:r>
        <w:rPr>
          <w:spacing w:val="-14"/>
          <w:sz w:val="22"/>
        </w:rPr>
        <w:t> </w:t>
      </w:r>
      <w:r>
        <w:rPr>
          <w:sz w:val="22"/>
        </w:rPr>
        <w:t>status</w:t>
      </w:r>
      <w:r>
        <w:rPr>
          <w:spacing w:val="-14"/>
          <w:sz w:val="22"/>
        </w:rPr>
        <w:t> </w:t>
      </w:r>
      <w:r>
        <w:rPr>
          <w:sz w:val="22"/>
        </w:rPr>
        <w:t>of</w:t>
      </w:r>
      <w:r>
        <w:rPr>
          <w:spacing w:val="-13"/>
          <w:sz w:val="22"/>
        </w:rPr>
        <w:t> </w:t>
      </w:r>
      <w:r>
        <w:rPr>
          <w:sz w:val="22"/>
        </w:rPr>
        <w:t>PAPs.</w:t>
      </w:r>
    </w:p>
    <w:p>
      <w:pPr>
        <w:pStyle w:val="ListParagraph"/>
        <w:numPr>
          <w:ilvl w:val="0"/>
          <w:numId w:val="54"/>
        </w:numPr>
        <w:tabs>
          <w:tab w:pos="1589" w:val="left" w:leader="none"/>
        </w:tabs>
        <w:spacing w:line="276" w:lineRule="auto" w:before="120" w:after="0"/>
        <w:ind w:left="868" w:right="153" w:firstLine="0"/>
        <w:jc w:val="both"/>
        <w:rPr>
          <w:sz w:val="22"/>
        </w:rPr>
      </w:pPr>
      <w:r>
        <w:rPr>
          <w:sz w:val="22"/>
        </w:rPr>
        <w:t>The</w:t>
      </w:r>
      <w:r>
        <w:rPr>
          <w:spacing w:val="-8"/>
          <w:sz w:val="22"/>
        </w:rPr>
        <w:t> </w:t>
      </w:r>
      <w:r>
        <w:rPr>
          <w:sz w:val="22"/>
        </w:rPr>
        <w:t>C&amp;LRP</w:t>
      </w:r>
      <w:r>
        <w:rPr>
          <w:spacing w:val="-7"/>
          <w:sz w:val="22"/>
        </w:rPr>
        <w:t> </w:t>
      </w:r>
      <w:r>
        <w:rPr>
          <w:sz w:val="22"/>
        </w:rPr>
        <w:t>tasks</w:t>
      </w:r>
      <w:r>
        <w:rPr>
          <w:spacing w:val="-7"/>
          <w:sz w:val="22"/>
        </w:rPr>
        <w:t> </w:t>
      </w:r>
      <w:r>
        <w:rPr>
          <w:sz w:val="22"/>
        </w:rPr>
        <w:t>will</w:t>
      </w:r>
      <w:r>
        <w:rPr>
          <w:spacing w:val="-6"/>
          <w:sz w:val="22"/>
        </w:rPr>
        <w:t> </w:t>
      </w:r>
      <w:r>
        <w:rPr>
          <w:sz w:val="22"/>
        </w:rPr>
        <w:t>be</w:t>
      </w:r>
      <w:r>
        <w:rPr>
          <w:spacing w:val="-8"/>
          <w:sz w:val="22"/>
        </w:rPr>
        <w:t> </w:t>
      </w:r>
      <w:r>
        <w:rPr>
          <w:sz w:val="22"/>
        </w:rPr>
        <w:t>monitored</w:t>
      </w:r>
      <w:r>
        <w:rPr>
          <w:spacing w:val="-7"/>
          <w:sz w:val="22"/>
        </w:rPr>
        <w:t> </w:t>
      </w:r>
      <w:r>
        <w:rPr>
          <w:sz w:val="22"/>
        </w:rPr>
        <w:t>internally</w:t>
      </w:r>
      <w:r>
        <w:rPr>
          <w:spacing w:val="-7"/>
          <w:sz w:val="22"/>
        </w:rPr>
        <w:t> </w:t>
      </w:r>
      <w:r>
        <w:rPr>
          <w:sz w:val="22"/>
        </w:rPr>
        <w:t>and</w:t>
      </w:r>
      <w:r>
        <w:rPr>
          <w:spacing w:val="-5"/>
          <w:sz w:val="22"/>
        </w:rPr>
        <w:t> </w:t>
      </w:r>
      <w:r>
        <w:rPr>
          <w:sz w:val="22"/>
        </w:rPr>
        <w:t>externally.</w:t>
      </w:r>
      <w:r>
        <w:rPr>
          <w:spacing w:val="-4"/>
          <w:sz w:val="22"/>
        </w:rPr>
        <w:t> </w:t>
      </w:r>
      <w:r>
        <w:rPr>
          <w:sz w:val="22"/>
        </w:rPr>
        <w:t>Regular</w:t>
      </w:r>
      <w:r>
        <w:rPr>
          <w:spacing w:val="-9"/>
          <w:sz w:val="22"/>
        </w:rPr>
        <w:t> </w:t>
      </w:r>
      <w:r>
        <w:rPr>
          <w:sz w:val="22"/>
        </w:rPr>
        <w:t>monitoring</w:t>
      </w:r>
      <w:r>
        <w:rPr>
          <w:spacing w:val="-5"/>
          <w:sz w:val="22"/>
        </w:rPr>
        <w:t> </w:t>
      </w:r>
      <w:r>
        <w:rPr>
          <w:sz w:val="22"/>
        </w:rPr>
        <w:t>of C&amp;LRP implementation activities will be carried out internally by the Project Team. The Project Team will provide World Bank with an effective basis for assessing rehabilitation progress and identifying potential difficulties and problems related to scope, the Project’s risks and</w:t>
      </w:r>
      <w:r>
        <w:rPr>
          <w:spacing w:val="-5"/>
          <w:sz w:val="22"/>
        </w:rPr>
        <w:t> </w:t>
      </w:r>
      <w:r>
        <w:rPr>
          <w:sz w:val="22"/>
        </w:rPr>
        <w:t>impacts.</w:t>
      </w:r>
    </w:p>
    <w:p>
      <w:pPr>
        <w:pStyle w:val="BodyText"/>
        <w:spacing w:before="10"/>
        <w:rPr>
          <w:sz w:val="20"/>
        </w:rPr>
      </w:pPr>
    </w:p>
    <w:p>
      <w:pPr>
        <w:pStyle w:val="Heading2"/>
        <w:numPr>
          <w:ilvl w:val="1"/>
          <w:numId w:val="53"/>
        </w:numPr>
        <w:tabs>
          <w:tab w:pos="1445" w:val="left" w:leader="none"/>
        </w:tabs>
        <w:spacing w:line="240" w:lineRule="auto" w:before="0" w:after="0"/>
        <w:ind w:left="1444" w:right="0" w:hanging="576"/>
        <w:jc w:val="both"/>
      </w:pPr>
      <w:bookmarkStart w:name="_bookmark99" w:id="168"/>
      <w:bookmarkEnd w:id="168"/>
      <w:r>
        <w:rPr>
          <w:b w:val="0"/>
        </w:rPr>
      </w:r>
      <w:bookmarkStart w:name="_bookmark99" w:id="169"/>
      <w:bookmarkEnd w:id="169"/>
      <w:r>
        <w:rPr/>
        <w:t>Interna</w:t>
      </w:r>
      <w:r>
        <w:rPr/>
        <w:t>l</w:t>
      </w:r>
      <w:r>
        <w:rPr>
          <w:spacing w:val="-2"/>
        </w:rPr>
        <w:t> </w:t>
      </w:r>
      <w:r>
        <w:rPr/>
        <w:t>Monitoring</w:t>
      </w:r>
    </w:p>
    <w:p>
      <w:pPr>
        <w:pStyle w:val="ListParagraph"/>
        <w:numPr>
          <w:ilvl w:val="0"/>
          <w:numId w:val="55"/>
        </w:numPr>
        <w:tabs>
          <w:tab w:pos="1589" w:val="left" w:leader="none"/>
        </w:tabs>
        <w:spacing w:line="276" w:lineRule="auto" w:before="160" w:after="0"/>
        <w:ind w:left="868" w:right="151" w:firstLine="0"/>
        <w:jc w:val="both"/>
        <w:rPr>
          <w:sz w:val="22"/>
        </w:rPr>
      </w:pPr>
      <w:r>
        <w:rPr>
          <w:sz w:val="22"/>
        </w:rPr>
        <w:t>C&amp;LRP</w:t>
      </w:r>
      <w:r>
        <w:rPr>
          <w:spacing w:val="-7"/>
          <w:sz w:val="22"/>
        </w:rPr>
        <w:t> </w:t>
      </w:r>
      <w:r>
        <w:rPr>
          <w:sz w:val="22"/>
        </w:rPr>
        <w:t>implementation</w:t>
      </w:r>
      <w:r>
        <w:rPr>
          <w:spacing w:val="-9"/>
          <w:sz w:val="22"/>
        </w:rPr>
        <w:t> </w:t>
      </w:r>
      <w:r>
        <w:rPr>
          <w:sz w:val="22"/>
        </w:rPr>
        <w:t>and</w:t>
      </w:r>
      <w:r>
        <w:rPr>
          <w:spacing w:val="-6"/>
          <w:sz w:val="22"/>
        </w:rPr>
        <w:t> </w:t>
      </w:r>
      <w:r>
        <w:rPr>
          <w:sz w:val="22"/>
        </w:rPr>
        <w:t>management</w:t>
      </w:r>
      <w:r>
        <w:rPr>
          <w:spacing w:val="-7"/>
          <w:sz w:val="22"/>
        </w:rPr>
        <w:t> </w:t>
      </w:r>
      <w:r>
        <w:rPr>
          <w:sz w:val="22"/>
        </w:rPr>
        <w:t>activities</w:t>
      </w:r>
      <w:r>
        <w:rPr>
          <w:spacing w:val="-9"/>
          <w:sz w:val="22"/>
        </w:rPr>
        <w:t> </w:t>
      </w:r>
      <w:r>
        <w:rPr>
          <w:sz w:val="22"/>
        </w:rPr>
        <w:t>for</w:t>
      </w:r>
      <w:r>
        <w:rPr>
          <w:spacing w:val="-5"/>
          <w:sz w:val="22"/>
        </w:rPr>
        <w:t> </w:t>
      </w:r>
      <w:r>
        <w:rPr>
          <w:sz w:val="22"/>
        </w:rPr>
        <w:t>the</w:t>
      </w:r>
      <w:r>
        <w:rPr>
          <w:spacing w:val="-7"/>
          <w:sz w:val="22"/>
        </w:rPr>
        <w:t> </w:t>
      </w:r>
      <w:r>
        <w:rPr>
          <w:sz w:val="22"/>
        </w:rPr>
        <w:t>Project</w:t>
      </w:r>
      <w:r>
        <w:rPr>
          <w:spacing w:val="-5"/>
          <w:sz w:val="22"/>
        </w:rPr>
        <w:t> </w:t>
      </w:r>
      <w:r>
        <w:rPr>
          <w:sz w:val="22"/>
        </w:rPr>
        <w:t>will</w:t>
      </w:r>
      <w:r>
        <w:rPr>
          <w:spacing w:val="-6"/>
          <w:sz w:val="22"/>
        </w:rPr>
        <w:t> </w:t>
      </w:r>
      <w:r>
        <w:rPr>
          <w:sz w:val="22"/>
        </w:rPr>
        <w:t>be</w:t>
      </w:r>
      <w:r>
        <w:rPr>
          <w:spacing w:val="-7"/>
          <w:sz w:val="22"/>
        </w:rPr>
        <w:t> </w:t>
      </w:r>
      <w:r>
        <w:rPr>
          <w:sz w:val="22"/>
        </w:rPr>
        <w:t>subject</w:t>
      </w:r>
      <w:r>
        <w:rPr>
          <w:spacing w:val="-5"/>
          <w:sz w:val="22"/>
        </w:rPr>
        <w:t> </w:t>
      </w:r>
      <w:r>
        <w:rPr>
          <w:sz w:val="22"/>
        </w:rPr>
        <w:t>to internal monitoring. Internal monitoring will include day to day tracking progress about C&amp;LRP planning and implementation activities including compensation payment</w:t>
      </w:r>
      <w:r>
        <w:rPr>
          <w:spacing w:val="-38"/>
          <w:sz w:val="22"/>
        </w:rPr>
        <w:t> </w:t>
      </w:r>
      <w:r>
        <w:rPr>
          <w:sz w:val="22"/>
        </w:rPr>
        <w:t>progress, consultation and community feedback campaigns launched, rehabilitation and income restoration measures implemented, community concerns and grievances recorded and resolved,</w:t>
      </w:r>
      <w:r>
        <w:rPr>
          <w:spacing w:val="-7"/>
          <w:sz w:val="22"/>
        </w:rPr>
        <w:t> </w:t>
      </w:r>
      <w:r>
        <w:rPr>
          <w:sz w:val="22"/>
        </w:rPr>
        <w:t>and</w:t>
      </w:r>
      <w:r>
        <w:rPr>
          <w:spacing w:val="-8"/>
          <w:sz w:val="22"/>
        </w:rPr>
        <w:t> </w:t>
      </w:r>
      <w:r>
        <w:rPr>
          <w:sz w:val="22"/>
        </w:rPr>
        <w:t>corrective</w:t>
      </w:r>
      <w:r>
        <w:rPr>
          <w:spacing w:val="-8"/>
          <w:sz w:val="22"/>
        </w:rPr>
        <w:t> </w:t>
      </w:r>
      <w:r>
        <w:rPr>
          <w:sz w:val="22"/>
        </w:rPr>
        <w:t>actions</w:t>
      </w:r>
      <w:r>
        <w:rPr>
          <w:spacing w:val="-8"/>
          <w:sz w:val="22"/>
        </w:rPr>
        <w:t> </w:t>
      </w:r>
      <w:r>
        <w:rPr>
          <w:sz w:val="22"/>
        </w:rPr>
        <w:t>implemented.</w:t>
      </w:r>
      <w:r>
        <w:rPr>
          <w:spacing w:val="-7"/>
          <w:sz w:val="22"/>
        </w:rPr>
        <w:t> </w:t>
      </w:r>
      <w:r>
        <w:rPr>
          <w:sz w:val="22"/>
        </w:rPr>
        <w:t>Close</w:t>
      </w:r>
      <w:r>
        <w:rPr>
          <w:spacing w:val="-8"/>
          <w:sz w:val="22"/>
        </w:rPr>
        <w:t> </w:t>
      </w:r>
      <w:r>
        <w:rPr>
          <w:sz w:val="22"/>
        </w:rPr>
        <w:t>monitoring</w:t>
      </w:r>
      <w:r>
        <w:rPr>
          <w:spacing w:val="-8"/>
          <w:sz w:val="22"/>
        </w:rPr>
        <w:t> </w:t>
      </w:r>
      <w:r>
        <w:rPr>
          <w:sz w:val="22"/>
        </w:rPr>
        <w:t>of</w:t>
      </w:r>
      <w:r>
        <w:rPr>
          <w:spacing w:val="-6"/>
          <w:sz w:val="22"/>
        </w:rPr>
        <w:t> </w:t>
      </w:r>
      <w:r>
        <w:rPr>
          <w:sz w:val="22"/>
        </w:rPr>
        <w:t>C&amp;LRP</w:t>
      </w:r>
      <w:r>
        <w:rPr>
          <w:spacing w:val="-8"/>
          <w:sz w:val="22"/>
        </w:rPr>
        <w:t> </w:t>
      </w:r>
      <w:r>
        <w:rPr>
          <w:sz w:val="22"/>
        </w:rPr>
        <w:t>implementation progress will assist to identify and resolve the impediments and ensure timely delivery of compensation and resolution of matter of concerns for PAPs and other stakeholders. The scope</w:t>
      </w:r>
      <w:r>
        <w:rPr>
          <w:spacing w:val="-7"/>
          <w:sz w:val="22"/>
        </w:rPr>
        <w:t> </w:t>
      </w:r>
      <w:r>
        <w:rPr>
          <w:sz w:val="22"/>
        </w:rPr>
        <w:t>of</w:t>
      </w:r>
      <w:r>
        <w:rPr>
          <w:spacing w:val="-8"/>
          <w:sz w:val="22"/>
        </w:rPr>
        <w:t> </w:t>
      </w:r>
      <w:r>
        <w:rPr>
          <w:sz w:val="22"/>
        </w:rPr>
        <w:t>monitoring</w:t>
      </w:r>
      <w:r>
        <w:rPr>
          <w:spacing w:val="-7"/>
          <w:sz w:val="22"/>
        </w:rPr>
        <w:t> </w:t>
      </w:r>
      <w:r>
        <w:rPr>
          <w:sz w:val="22"/>
        </w:rPr>
        <w:t>will</w:t>
      </w:r>
      <w:r>
        <w:rPr>
          <w:spacing w:val="-6"/>
          <w:sz w:val="22"/>
        </w:rPr>
        <w:t> </w:t>
      </w:r>
      <w:r>
        <w:rPr>
          <w:sz w:val="22"/>
        </w:rPr>
        <w:t>include:</w:t>
      </w:r>
      <w:r>
        <w:rPr>
          <w:spacing w:val="-6"/>
          <w:sz w:val="22"/>
        </w:rPr>
        <w:t> </w:t>
      </w:r>
      <w:r>
        <w:rPr>
          <w:sz w:val="22"/>
        </w:rPr>
        <w:t>(i)</w:t>
      </w:r>
      <w:r>
        <w:rPr>
          <w:spacing w:val="-6"/>
          <w:sz w:val="22"/>
        </w:rPr>
        <w:t> </w:t>
      </w:r>
      <w:r>
        <w:rPr>
          <w:sz w:val="22"/>
        </w:rPr>
        <w:t>compliance</w:t>
      </w:r>
      <w:r>
        <w:rPr>
          <w:spacing w:val="-7"/>
          <w:sz w:val="22"/>
        </w:rPr>
        <w:t> </w:t>
      </w:r>
      <w:r>
        <w:rPr>
          <w:sz w:val="22"/>
        </w:rPr>
        <w:t>with</w:t>
      </w:r>
      <w:r>
        <w:rPr>
          <w:spacing w:val="-7"/>
          <w:sz w:val="22"/>
        </w:rPr>
        <w:t> </w:t>
      </w:r>
      <w:r>
        <w:rPr>
          <w:sz w:val="22"/>
        </w:rPr>
        <w:t>the</w:t>
      </w:r>
      <w:r>
        <w:rPr>
          <w:spacing w:val="-9"/>
          <w:sz w:val="22"/>
        </w:rPr>
        <w:t> </w:t>
      </w:r>
      <w:r>
        <w:rPr>
          <w:sz w:val="22"/>
        </w:rPr>
        <w:t>agreed</w:t>
      </w:r>
      <w:r>
        <w:rPr>
          <w:spacing w:val="-9"/>
          <w:sz w:val="22"/>
        </w:rPr>
        <w:t> </w:t>
      </w:r>
      <w:r>
        <w:rPr>
          <w:sz w:val="22"/>
        </w:rPr>
        <w:t>policies</w:t>
      </w:r>
      <w:r>
        <w:rPr>
          <w:spacing w:val="-7"/>
          <w:sz w:val="22"/>
        </w:rPr>
        <w:t> </w:t>
      </w:r>
      <w:r>
        <w:rPr>
          <w:sz w:val="22"/>
        </w:rPr>
        <w:t>and</w:t>
      </w:r>
      <w:r>
        <w:rPr>
          <w:spacing w:val="-9"/>
          <w:sz w:val="22"/>
        </w:rPr>
        <w:t> </w:t>
      </w:r>
      <w:r>
        <w:rPr>
          <w:sz w:val="22"/>
        </w:rPr>
        <w:t>procedures</w:t>
      </w:r>
      <w:r>
        <w:rPr>
          <w:spacing w:val="-9"/>
          <w:sz w:val="22"/>
        </w:rPr>
        <w:t> </w:t>
      </w:r>
      <w:r>
        <w:rPr>
          <w:sz w:val="22"/>
        </w:rPr>
        <w:t>for livelihood and rehabilitation assistance; (ii) prompt approval, allocation and disbursement of compensation payments to PAPs, including if necessary, supplemental compensation for additional and/or unforeseen losses; and, (iii) remedial actions, as</w:t>
      </w:r>
      <w:r>
        <w:rPr>
          <w:spacing w:val="-25"/>
          <w:sz w:val="22"/>
        </w:rPr>
        <w:t> </w:t>
      </w:r>
      <w:r>
        <w:rPr>
          <w:sz w:val="22"/>
        </w:rPr>
        <w:t>required.</w:t>
      </w:r>
    </w:p>
    <w:p>
      <w:pPr>
        <w:spacing w:after="0" w:line="276" w:lineRule="auto"/>
        <w:jc w:val="both"/>
        <w:rPr>
          <w:sz w:val="22"/>
        </w:rPr>
        <w:sectPr>
          <w:pgSz w:w="11910" w:h="16840"/>
          <w:pgMar w:header="583" w:footer="575" w:top="840" w:bottom="760" w:left="860" w:right="1280"/>
        </w:sectPr>
      </w:pPr>
    </w:p>
    <w:p>
      <w:pPr>
        <w:pStyle w:val="BodyText"/>
        <w:rPr>
          <w:sz w:val="20"/>
        </w:rPr>
      </w:pPr>
    </w:p>
    <w:p>
      <w:pPr>
        <w:pStyle w:val="BodyText"/>
        <w:rPr>
          <w:sz w:val="20"/>
        </w:rPr>
      </w:pPr>
    </w:p>
    <w:p>
      <w:pPr>
        <w:pStyle w:val="BodyText"/>
        <w:spacing w:before="10"/>
        <w:rPr>
          <w:sz w:val="27"/>
        </w:rPr>
      </w:pPr>
    </w:p>
    <w:p>
      <w:pPr>
        <w:pStyle w:val="ListParagraph"/>
        <w:numPr>
          <w:ilvl w:val="0"/>
          <w:numId w:val="55"/>
        </w:numPr>
        <w:tabs>
          <w:tab w:pos="1589" w:val="left" w:leader="none"/>
        </w:tabs>
        <w:spacing w:line="276" w:lineRule="auto" w:before="93" w:after="0"/>
        <w:ind w:left="868" w:right="153" w:firstLine="0"/>
        <w:jc w:val="both"/>
        <w:rPr>
          <w:sz w:val="22"/>
        </w:rPr>
      </w:pPr>
      <w:r>
        <w:rPr>
          <w:sz w:val="22"/>
        </w:rPr>
        <w:t>The Project Team will be responsible for internal monitoring and share C&amp;LRP implementation</w:t>
      </w:r>
      <w:r>
        <w:rPr>
          <w:spacing w:val="-9"/>
          <w:sz w:val="22"/>
        </w:rPr>
        <w:t> </w:t>
      </w:r>
      <w:r>
        <w:rPr>
          <w:sz w:val="22"/>
        </w:rPr>
        <w:t>progress</w:t>
      </w:r>
      <w:r>
        <w:rPr>
          <w:spacing w:val="-13"/>
          <w:sz w:val="22"/>
        </w:rPr>
        <w:t> </w:t>
      </w:r>
      <w:r>
        <w:rPr>
          <w:sz w:val="22"/>
        </w:rPr>
        <w:t>and</w:t>
      </w:r>
      <w:r>
        <w:rPr>
          <w:spacing w:val="-9"/>
          <w:sz w:val="22"/>
        </w:rPr>
        <w:t> </w:t>
      </w:r>
      <w:r>
        <w:rPr>
          <w:sz w:val="22"/>
        </w:rPr>
        <w:t>periodic</w:t>
      </w:r>
      <w:r>
        <w:rPr>
          <w:spacing w:val="-11"/>
          <w:sz w:val="22"/>
        </w:rPr>
        <w:t> </w:t>
      </w:r>
      <w:r>
        <w:rPr>
          <w:sz w:val="22"/>
        </w:rPr>
        <w:t>monitoring</w:t>
      </w:r>
      <w:r>
        <w:rPr>
          <w:spacing w:val="-9"/>
          <w:sz w:val="22"/>
        </w:rPr>
        <w:t> </w:t>
      </w:r>
      <w:r>
        <w:rPr>
          <w:sz w:val="22"/>
        </w:rPr>
        <w:t>reports</w:t>
      </w:r>
      <w:r>
        <w:rPr>
          <w:spacing w:val="-10"/>
          <w:sz w:val="22"/>
        </w:rPr>
        <w:t> </w:t>
      </w:r>
      <w:r>
        <w:rPr>
          <w:sz w:val="22"/>
        </w:rPr>
        <w:t>to</w:t>
      </w:r>
      <w:r>
        <w:rPr>
          <w:spacing w:val="-11"/>
          <w:sz w:val="22"/>
        </w:rPr>
        <w:t> </w:t>
      </w:r>
      <w:r>
        <w:rPr>
          <w:sz w:val="22"/>
        </w:rPr>
        <w:t>the</w:t>
      </w:r>
      <w:r>
        <w:rPr>
          <w:spacing w:val="-11"/>
          <w:sz w:val="22"/>
        </w:rPr>
        <w:t> </w:t>
      </w:r>
      <w:r>
        <w:rPr>
          <w:sz w:val="22"/>
        </w:rPr>
        <w:t>SMTA</w:t>
      </w:r>
      <w:r>
        <w:rPr>
          <w:spacing w:val="-11"/>
          <w:sz w:val="22"/>
        </w:rPr>
        <w:t> </w:t>
      </w:r>
      <w:r>
        <w:rPr>
          <w:sz w:val="22"/>
        </w:rPr>
        <w:t>and</w:t>
      </w:r>
      <w:r>
        <w:rPr>
          <w:spacing w:val="-11"/>
          <w:sz w:val="22"/>
        </w:rPr>
        <w:t> </w:t>
      </w:r>
      <w:r>
        <w:rPr>
          <w:sz w:val="22"/>
        </w:rPr>
        <w:t>the</w:t>
      </w:r>
      <w:r>
        <w:rPr>
          <w:spacing w:val="-16"/>
          <w:sz w:val="22"/>
        </w:rPr>
        <w:t> </w:t>
      </w:r>
      <w:r>
        <w:rPr>
          <w:sz w:val="22"/>
        </w:rPr>
        <w:t>World</w:t>
      </w:r>
      <w:r>
        <w:rPr>
          <w:spacing w:val="-11"/>
          <w:sz w:val="22"/>
        </w:rPr>
        <w:t> </w:t>
      </w:r>
      <w:r>
        <w:rPr>
          <w:sz w:val="22"/>
        </w:rPr>
        <w:t>Bank. The Project Team manage and maintain updated LAR databases including census details of the PAPs and compensation entitlements with payment progress against the entitlements and payable costs to each PAP. Potential monitoring indicators from which specific indicators can be developed and refined according to the requirement of the C&amp;LRP.</w:t>
      </w:r>
    </w:p>
    <w:p>
      <w:pPr>
        <w:pStyle w:val="BodyText"/>
        <w:spacing w:before="1"/>
        <w:rPr>
          <w:sz w:val="21"/>
        </w:rPr>
      </w:pPr>
    </w:p>
    <w:p>
      <w:pPr>
        <w:pStyle w:val="Heading2"/>
        <w:numPr>
          <w:ilvl w:val="1"/>
          <w:numId w:val="53"/>
        </w:numPr>
        <w:tabs>
          <w:tab w:pos="1445" w:val="left" w:leader="none"/>
        </w:tabs>
        <w:spacing w:line="240" w:lineRule="auto" w:before="0" w:after="0"/>
        <w:ind w:left="1444" w:right="0" w:hanging="576"/>
        <w:jc w:val="both"/>
      </w:pPr>
      <w:bookmarkStart w:name="_bookmark100" w:id="170"/>
      <w:bookmarkEnd w:id="170"/>
      <w:r>
        <w:rPr>
          <w:b w:val="0"/>
        </w:rPr>
      </w:r>
      <w:bookmarkStart w:name="_bookmark100" w:id="171"/>
      <w:bookmarkEnd w:id="171"/>
      <w:r>
        <w:rPr/>
        <w:t>E</w:t>
      </w:r>
      <w:r>
        <w:rPr/>
        <w:t>xternal</w:t>
      </w:r>
      <w:r>
        <w:rPr>
          <w:spacing w:val="-3"/>
        </w:rPr>
        <w:t> </w:t>
      </w:r>
      <w:r>
        <w:rPr/>
        <w:t>Monitoring</w:t>
      </w:r>
    </w:p>
    <w:p>
      <w:pPr>
        <w:pStyle w:val="ListParagraph"/>
        <w:numPr>
          <w:ilvl w:val="0"/>
          <w:numId w:val="56"/>
        </w:numPr>
        <w:tabs>
          <w:tab w:pos="1589" w:val="left" w:leader="none"/>
        </w:tabs>
        <w:spacing w:line="276" w:lineRule="auto" w:before="160" w:after="0"/>
        <w:ind w:left="868" w:right="153" w:firstLine="0"/>
        <w:jc w:val="both"/>
        <w:rPr>
          <w:sz w:val="22"/>
        </w:rPr>
      </w:pPr>
      <w:r>
        <w:rPr>
          <w:sz w:val="22"/>
        </w:rPr>
        <w:t>SMTA will procure the services of an Independent Monitoring Specialist (IMS) to check</w:t>
      </w:r>
      <w:r>
        <w:rPr>
          <w:spacing w:val="-4"/>
          <w:sz w:val="22"/>
        </w:rPr>
        <w:t> </w:t>
      </w:r>
      <w:r>
        <w:rPr>
          <w:sz w:val="22"/>
        </w:rPr>
        <w:t>whether</w:t>
      </w:r>
      <w:r>
        <w:rPr>
          <w:spacing w:val="-5"/>
          <w:sz w:val="22"/>
        </w:rPr>
        <w:t> </w:t>
      </w:r>
      <w:r>
        <w:rPr>
          <w:sz w:val="22"/>
        </w:rPr>
        <w:t>the</w:t>
      </w:r>
      <w:r>
        <w:rPr>
          <w:spacing w:val="-7"/>
          <w:sz w:val="22"/>
        </w:rPr>
        <w:t> </w:t>
      </w:r>
      <w:r>
        <w:rPr>
          <w:sz w:val="22"/>
        </w:rPr>
        <w:t>implementation</w:t>
      </w:r>
      <w:r>
        <w:rPr>
          <w:spacing w:val="-7"/>
          <w:sz w:val="22"/>
        </w:rPr>
        <w:t> </w:t>
      </w:r>
      <w:r>
        <w:rPr>
          <w:sz w:val="22"/>
        </w:rPr>
        <w:t>of</w:t>
      </w:r>
      <w:r>
        <w:rPr>
          <w:spacing w:val="-5"/>
          <w:sz w:val="22"/>
        </w:rPr>
        <w:t> </w:t>
      </w:r>
      <w:r>
        <w:rPr>
          <w:sz w:val="22"/>
        </w:rPr>
        <w:t>the</w:t>
      </w:r>
      <w:r>
        <w:rPr>
          <w:spacing w:val="-7"/>
          <w:sz w:val="22"/>
        </w:rPr>
        <w:t> </w:t>
      </w:r>
      <w:r>
        <w:rPr>
          <w:sz w:val="22"/>
        </w:rPr>
        <w:t>C&amp;LRP</w:t>
      </w:r>
      <w:r>
        <w:rPr>
          <w:spacing w:val="-7"/>
          <w:sz w:val="22"/>
        </w:rPr>
        <w:t> </w:t>
      </w:r>
      <w:r>
        <w:rPr>
          <w:sz w:val="22"/>
        </w:rPr>
        <w:t>complies</w:t>
      </w:r>
      <w:r>
        <w:rPr>
          <w:spacing w:val="-6"/>
          <w:sz w:val="22"/>
        </w:rPr>
        <w:t> </w:t>
      </w:r>
      <w:r>
        <w:rPr>
          <w:sz w:val="22"/>
        </w:rPr>
        <w:t>with</w:t>
      </w:r>
      <w:r>
        <w:rPr>
          <w:spacing w:val="-6"/>
          <w:sz w:val="22"/>
        </w:rPr>
        <w:t> </w:t>
      </w:r>
      <w:r>
        <w:rPr>
          <w:sz w:val="22"/>
        </w:rPr>
        <w:t>this</w:t>
      </w:r>
      <w:r>
        <w:rPr>
          <w:spacing w:val="-8"/>
          <w:sz w:val="22"/>
        </w:rPr>
        <w:t> </w:t>
      </w:r>
      <w:r>
        <w:rPr>
          <w:sz w:val="22"/>
        </w:rPr>
        <w:t>framework</w:t>
      </w:r>
      <w:r>
        <w:rPr>
          <w:spacing w:val="-3"/>
          <w:sz w:val="22"/>
        </w:rPr>
        <w:t> </w:t>
      </w:r>
      <w:r>
        <w:rPr>
          <w:sz w:val="22"/>
        </w:rPr>
        <w:t>of</w:t>
      </w:r>
      <w:r>
        <w:rPr>
          <w:spacing w:val="-5"/>
          <w:sz w:val="22"/>
        </w:rPr>
        <w:t> </w:t>
      </w:r>
      <w:r>
        <w:rPr>
          <w:sz w:val="22"/>
        </w:rPr>
        <w:t>OP</w:t>
      </w:r>
      <w:r>
        <w:rPr>
          <w:spacing w:val="-7"/>
          <w:sz w:val="22"/>
        </w:rPr>
        <w:t> </w:t>
      </w:r>
      <w:r>
        <w:rPr>
          <w:sz w:val="22"/>
        </w:rPr>
        <w:t>4.12. The scope of work of the IMS will include the following</w:t>
      </w:r>
      <w:r>
        <w:rPr>
          <w:spacing w:val="-15"/>
          <w:sz w:val="22"/>
        </w:rPr>
        <w:t> </w:t>
      </w:r>
      <w:r>
        <w:rPr>
          <w:sz w:val="22"/>
        </w:rPr>
        <w:t>task:</w:t>
      </w:r>
    </w:p>
    <w:p>
      <w:pPr>
        <w:pStyle w:val="ListParagraph"/>
        <w:numPr>
          <w:ilvl w:val="1"/>
          <w:numId w:val="56"/>
        </w:numPr>
        <w:tabs>
          <w:tab w:pos="1588" w:val="left" w:leader="none"/>
          <w:tab w:pos="1589" w:val="left" w:leader="none"/>
        </w:tabs>
        <w:spacing w:line="240" w:lineRule="auto" w:before="120" w:after="0"/>
        <w:ind w:left="1588" w:right="0" w:hanging="360"/>
        <w:jc w:val="left"/>
        <w:rPr>
          <w:sz w:val="22"/>
        </w:rPr>
      </w:pPr>
      <w:r>
        <w:rPr>
          <w:sz w:val="22"/>
        </w:rPr>
        <w:t>Assess overall compliance with C&amp;LRP commitments and OP</w:t>
      </w:r>
      <w:r>
        <w:rPr>
          <w:spacing w:val="-10"/>
          <w:sz w:val="22"/>
        </w:rPr>
        <w:t> </w:t>
      </w:r>
      <w:r>
        <w:rPr>
          <w:sz w:val="22"/>
        </w:rPr>
        <w:t>4.12;</w:t>
      </w:r>
    </w:p>
    <w:p>
      <w:pPr>
        <w:pStyle w:val="ListParagraph"/>
        <w:numPr>
          <w:ilvl w:val="1"/>
          <w:numId w:val="56"/>
        </w:numPr>
        <w:tabs>
          <w:tab w:pos="1589" w:val="left" w:leader="none"/>
        </w:tabs>
        <w:spacing w:line="271" w:lineRule="auto" w:before="37" w:after="0"/>
        <w:ind w:left="1588" w:right="247" w:hanging="360"/>
        <w:jc w:val="both"/>
        <w:rPr>
          <w:sz w:val="22"/>
        </w:rPr>
      </w:pPr>
      <w:r>
        <w:rPr>
          <w:sz w:val="22"/>
        </w:rPr>
        <w:t>To measure the extent to which Project affected people's livelihood are being restored or</w:t>
      </w:r>
      <w:r>
        <w:rPr>
          <w:spacing w:val="-4"/>
          <w:sz w:val="22"/>
        </w:rPr>
        <w:t> </w:t>
      </w:r>
      <w:r>
        <w:rPr>
          <w:sz w:val="22"/>
        </w:rPr>
        <w:t>enhanced;</w:t>
      </w:r>
    </w:p>
    <w:p>
      <w:pPr>
        <w:pStyle w:val="ListParagraph"/>
        <w:numPr>
          <w:ilvl w:val="1"/>
          <w:numId w:val="56"/>
        </w:numPr>
        <w:tabs>
          <w:tab w:pos="1589" w:val="left" w:leader="none"/>
        </w:tabs>
        <w:spacing w:line="273" w:lineRule="auto" w:before="5" w:after="0"/>
        <w:ind w:left="1588" w:right="239" w:hanging="360"/>
        <w:jc w:val="both"/>
        <w:rPr>
          <w:sz w:val="22"/>
        </w:rPr>
      </w:pPr>
      <w:r>
        <w:rPr>
          <w:sz w:val="22"/>
        </w:rPr>
        <w:t>To gather their opinions on compensation and rehabilitation assistance process and grievance</w:t>
      </w:r>
      <w:r>
        <w:rPr>
          <w:spacing w:val="-7"/>
          <w:sz w:val="22"/>
        </w:rPr>
        <w:t> </w:t>
      </w:r>
      <w:r>
        <w:rPr>
          <w:sz w:val="22"/>
        </w:rPr>
        <w:t>management;</w:t>
      </w:r>
    </w:p>
    <w:p>
      <w:pPr>
        <w:pStyle w:val="ListParagraph"/>
        <w:numPr>
          <w:ilvl w:val="1"/>
          <w:numId w:val="56"/>
        </w:numPr>
        <w:tabs>
          <w:tab w:pos="1589" w:val="left" w:leader="none"/>
        </w:tabs>
        <w:spacing w:line="273" w:lineRule="auto" w:before="2" w:after="0"/>
        <w:ind w:left="1588" w:right="241" w:hanging="360"/>
        <w:jc w:val="both"/>
        <w:rPr>
          <w:sz w:val="22"/>
        </w:rPr>
      </w:pPr>
      <w:r>
        <w:rPr>
          <w:sz w:val="22"/>
        </w:rPr>
        <w:t>Review if entitlements are delivered in time and, if not, whether delays are justifiable; for affected households to help offset the impacts of temporary income losses;</w:t>
      </w:r>
    </w:p>
    <w:p>
      <w:pPr>
        <w:pStyle w:val="ListParagraph"/>
        <w:numPr>
          <w:ilvl w:val="1"/>
          <w:numId w:val="56"/>
        </w:numPr>
        <w:tabs>
          <w:tab w:pos="1589" w:val="left" w:leader="none"/>
        </w:tabs>
        <w:spacing w:line="273" w:lineRule="auto" w:before="2" w:after="0"/>
        <w:ind w:left="1588" w:right="242" w:hanging="360"/>
        <w:jc w:val="both"/>
        <w:rPr>
          <w:sz w:val="22"/>
        </w:rPr>
      </w:pPr>
      <w:r>
        <w:rPr>
          <w:sz w:val="22"/>
        </w:rPr>
        <w:t>Review</w:t>
      </w:r>
      <w:r>
        <w:rPr>
          <w:spacing w:val="-7"/>
          <w:sz w:val="22"/>
        </w:rPr>
        <w:t> </w:t>
      </w:r>
      <w:r>
        <w:rPr>
          <w:sz w:val="22"/>
        </w:rPr>
        <w:t>internal</w:t>
      </w:r>
      <w:r>
        <w:rPr>
          <w:spacing w:val="-5"/>
          <w:sz w:val="22"/>
        </w:rPr>
        <w:t> </w:t>
      </w:r>
      <w:r>
        <w:rPr>
          <w:sz w:val="22"/>
        </w:rPr>
        <w:t>monitoring</w:t>
      </w:r>
      <w:r>
        <w:rPr>
          <w:spacing w:val="-4"/>
          <w:sz w:val="22"/>
        </w:rPr>
        <w:t> </w:t>
      </w:r>
      <w:r>
        <w:rPr>
          <w:sz w:val="22"/>
        </w:rPr>
        <w:t>records</w:t>
      </w:r>
      <w:r>
        <w:rPr>
          <w:spacing w:val="-6"/>
          <w:sz w:val="22"/>
        </w:rPr>
        <w:t> </w:t>
      </w:r>
      <w:r>
        <w:rPr>
          <w:sz w:val="22"/>
        </w:rPr>
        <w:t>as</w:t>
      </w:r>
      <w:r>
        <w:rPr>
          <w:spacing w:val="-6"/>
          <w:sz w:val="22"/>
        </w:rPr>
        <w:t> </w:t>
      </w:r>
      <w:r>
        <w:rPr>
          <w:sz w:val="22"/>
        </w:rPr>
        <w:t>a</w:t>
      </w:r>
      <w:r>
        <w:rPr>
          <w:spacing w:val="-6"/>
          <w:sz w:val="22"/>
        </w:rPr>
        <w:t> </w:t>
      </w:r>
      <w:r>
        <w:rPr>
          <w:sz w:val="22"/>
        </w:rPr>
        <w:t>basis</w:t>
      </w:r>
      <w:r>
        <w:rPr>
          <w:spacing w:val="-8"/>
          <w:sz w:val="22"/>
        </w:rPr>
        <w:t> </w:t>
      </w:r>
      <w:r>
        <w:rPr>
          <w:sz w:val="22"/>
        </w:rPr>
        <w:t>for</w:t>
      </w:r>
      <w:r>
        <w:rPr>
          <w:spacing w:val="-8"/>
          <w:sz w:val="22"/>
        </w:rPr>
        <w:t> </w:t>
      </w:r>
      <w:r>
        <w:rPr>
          <w:sz w:val="22"/>
        </w:rPr>
        <w:t>identifying</w:t>
      </w:r>
      <w:r>
        <w:rPr>
          <w:spacing w:val="-4"/>
          <w:sz w:val="22"/>
        </w:rPr>
        <w:t> </w:t>
      </w:r>
      <w:r>
        <w:rPr>
          <w:sz w:val="22"/>
        </w:rPr>
        <w:t>any</w:t>
      </w:r>
      <w:r>
        <w:rPr>
          <w:spacing w:val="-6"/>
          <w:sz w:val="22"/>
        </w:rPr>
        <w:t> </w:t>
      </w:r>
      <w:r>
        <w:rPr>
          <w:sz w:val="22"/>
        </w:rPr>
        <w:t>potential</w:t>
      </w:r>
      <w:r>
        <w:rPr>
          <w:spacing w:val="-7"/>
          <w:sz w:val="22"/>
        </w:rPr>
        <w:t> </w:t>
      </w:r>
      <w:r>
        <w:rPr>
          <w:sz w:val="22"/>
        </w:rPr>
        <w:t>areas</w:t>
      </w:r>
      <w:r>
        <w:rPr>
          <w:spacing w:val="-6"/>
          <w:sz w:val="22"/>
        </w:rPr>
        <w:t> </w:t>
      </w:r>
      <w:r>
        <w:rPr>
          <w:sz w:val="22"/>
        </w:rPr>
        <w:t>of non-compliance, any recurrent problems, or potentially disadvantaged groups or households;</w:t>
      </w:r>
    </w:p>
    <w:p>
      <w:pPr>
        <w:pStyle w:val="ListParagraph"/>
        <w:numPr>
          <w:ilvl w:val="1"/>
          <w:numId w:val="56"/>
        </w:numPr>
        <w:tabs>
          <w:tab w:pos="1589" w:val="left" w:leader="none"/>
        </w:tabs>
        <w:spacing w:line="271" w:lineRule="auto" w:before="2" w:after="0"/>
        <w:ind w:left="1588" w:right="241" w:hanging="360"/>
        <w:jc w:val="both"/>
        <w:rPr>
          <w:sz w:val="22"/>
        </w:rPr>
      </w:pPr>
      <w:r>
        <w:rPr>
          <w:sz w:val="22"/>
        </w:rPr>
        <w:t>Review grievance records for evidence of significant non-compliance or recurrent poor performance in resettlement implementation or grievance</w:t>
      </w:r>
      <w:r>
        <w:rPr>
          <w:spacing w:val="-23"/>
          <w:sz w:val="22"/>
        </w:rPr>
        <w:t> </w:t>
      </w:r>
      <w:r>
        <w:rPr>
          <w:sz w:val="22"/>
        </w:rPr>
        <w:t>management;</w:t>
      </w:r>
    </w:p>
    <w:p>
      <w:pPr>
        <w:pStyle w:val="ListParagraph"/>
        <w:numPr>
          <w:ilvl w:val="1"/>
          <w:numId w:val="56"/>
        </w:numPr>
        <w:tabs>
          <w:tab w:pos="1589" w:val="left" w:leader="none"/>
        </w:tabs>
        <w:spacing w:line="273" w:lineRule="auto" w:before="4" w:after="0"/>
        <w:ind w:left="1588" w:right="240" w:hanging="360"/>
        <w:jc w:val="both"/>
        <w:rPr>
          <w:sz w:val="22"/>
        </w:rPr>
      </w:pPr>
      <w:r>
        <w:rPr>
          <w:sz w:val="22"/>
        </w:rPr>
        <w:t>Assess</w:t>
      </w:r>
      <w:r>
        <w:rPr>
          <w:spacing w:val="-5"/>
          <w:sz w:val="22"/>
        </w:rPr>
        <w:t> </w:t>
      </w:r>
      <w:r>
        <w:rPr>
          <w:sz w:val="22"/>
        </w:rPr>
        <w:t>the</w:t>
      </w:r>
      <w:r>
        <w:rPr>
          <w:spacing w:val="-8"/>
          <w:sz w:val="22"/>
        </w:rPr>
        <w:t> </w:t>
      </w:r>
      <w:r>
        <w:rPr>
          <w:sz w:val="22"/>
        </w:rPr>
        <w:t>vulnerable</w:t>
      </w:r>
      <w:r>
        <w:rPr>
          <w:spacing w:val="-5"/>
          <w:sz w:val="22"/>
        </w:rPr>
        <w:t> </w:t>
      </w:r>
      <w:r>
        <w:rPr>
          <w:sz w:val="22"/>
        </w:rPr>
        <w:t>people</w:t>
      </w:r>
      <w:r>
        <w:rPr>
          <w:spacing w:val="-5"/>
          <w:sz w:val="22"/>
        </w:rPr>
        <w:t> </w:t>
      </w:r>
      <w:r>
        <w:rPr>
          <w:sz w:val="22"/>
        </w:rPr>
        <w:t>screening,</w:t>
      </w:r>
      <w:r>
        <w:rPr>
          <w:spacing w:val="-7"/>
          <w:sz w:val="22"/>
        </w:rPr>
        <w:t> </w:t>
      </w:r>
      <w:r>
        <w:rPr>
          <w:sz w:val="22"/>
        </w:rPr>
        <w:t>tracking</w:t>
      </w:r>
      <w:r>
        <w:rPr>
          <w:spacing w:val="-8"/>
          <w:sz w:val="22"/>
        </w:rPr>
        <w:t> </w:t>
      </w:r>
      <w:r>
        <w:rPr>
          <w:sz w:val="22"/>
        </w:rPr>
        <w:t>and</w:t>
      </w:r>
      <w:r>
        <w:rPr>
          <w:spacing w:val="-5"/>
          <w:sz w:val="22"/>
        </w:rPr>
        <w:t> </w:t>
      </w:r>
      <w:r>
        <w:rPr>
          <w:sz w:val="22"/>
        </w:rPr>
        <w:t>assistance</w:t>
      </w:r>
      <w:r>
        <w:rPr>
          <w:spacing w:val="-8"/>
          <w:sz w:val="22"/>
        </w:rPr>
        <w:t> </w:t>
      </w:r>
      <w:r>
        <w:rPr>
          <w:sz w:val="22"/>
        </w:rPr>
        <w:t>systems,</w:t>
      </w:r>
      <w:r>
        <w:rPr>
          <w:spacing w:val="-7"/>
          <w:sz w:val="22"/>
        </w:rPr>
        <w:t> </w:t>
      </w:r>
      <w:r>
        <w:rPr>
          <w:sz w:val="22"/>
        </w:rPr>
        <w:t>related records, and performance to determine compliance with this</w:t>
      </w:r>
      <w:r>
        <w:rPr>
          <w:spacing w:val="-16"/>
          <w:sz w:val="22"/>
        </w:rPr>
        <w:t> </w:t>
      </w:r>
      <w:r>
        <w:rPr>
          <w:sz w:val="22"/>
        </w:rPr>
        <w:t>C&amp;LRP;</w:t>
      </w:r>
    </w:p>
    <w:p>
      <w:pPr>
        <w:pStyle w:val="ListParagraph"/>
        <w:numPr>
          <w:ilvl w:val="1"/>
          <w:numId w:val="56"/>
        </w:numPr>
        <w:tabs>
          <w:tab w:pos="1588" w:val="left" w:leader="none"/>
          <w:tab w:pos="1589" w:val="left" w:leader="none"/>
        </w:tabs>
        <w:spacing w:line="240" w:lineRule="auto" w:before="2" w:after="0"/>
        <w:ind w:left="1588" w:right="0" w:hanging="360"/>
        <w:jc w:val="left"/>
        <w:rPr>
          <w:sz w:val="22"/>
        </w:rPr>
      </w:pPr>
      <w:r>
        <w:rPr>
          <w:sz w:val="22"/>
        </w:rPr>
        <w:t>Compare actual progress with initial</w:t>
      </w:r>
      <w:r>
        <w:rPr>
          <w:spacing w:val="-12"/>
          <w:sz w:val="22"/>
        </w:rPr>
        <w:t> </w:t>
      </w:r>
      <w:r>
        <w:rPr>
          <w:sz w:val="22"/>
        </w:rPr>
        <w:t>schedule.</w:t>
      </w:r>
    </w:p>
    <w:p>
      <w:pPr>
        <w:pStyle w:val="ListParagraph"/>
        <w:numPr>
          <w:ilvl w:val="0"/>
          <w:numId w:val="56"/>
        </w:numPr>
        <w:tabs>
          <w:tab w:pos="1589" w:val="left" w:leader="none"/>
        </w:tabs>
        <w:spacing w:line="276" w:lineRule="auto" w:before="155" w:after="0"/>
        <w:ind w:left="868" w:right="155" w:firstLine="0"/>
        <w:jc w:val="both"/>
        <w:rPr>
          <w:sz w:val="22"/>
        </w:rPr>
      </w:pPr>
      <w:r>
        <w:rPr>
          <w:sz w:val="22"/>
        </w:rPr>
        <w:t>SMTA through Project Team will engage the services of an independent agency</w:t>
      </w:r>
      <w:r>
        <w:rPr>
          <w:spacing w:val="-34"/>
          <w:sz w:val="22"/>
        </w:rPr>
        <w:t> </w:t>
      </w:r>
      <w:r>
        <w:rPr>
          <w:sz w:val="22"/>
        </w:rPr>
        <w:t>or consultant, not associated with project implementation, to undertake external monitoring and evaluation of the C&amp;LRP. The IMA will carry out external monitoring and report monitoring</w:t>
      </w:r>
      <w:r>
        <w:rPr>
          <w:spacing w:val="-13"/>
          <w:sz w:val="22"/>
        </w:rPr>
        <w:t> </w:t>
      </w:r>
      <w:r>
        <w:rPr>
          <w:sz w:val="22"/>
        </w:rPr>
        <w:t>results</w:t>
      </w:r>
      <w:r>
        <w:rPr>
          <w:spacing w:val="-16"/>
          <w:sz w:val="22"/>
        </w:rPr>
        <w:t> </w:t>
      </w:r>
      <w:r>
        <w:rPr>
          <w:sz w:val="22"/>
        </w:rPr>
        <w:t>to</w:t>
      </w:r>
      <w:r>
        <w:rPr>
          <w:spacing w:val="-15"/>
          <w:sz w:val="22"/>
        </w:rPr>
        <w:t> </w:t>
      </w:r>
      <w:r>
        <w:rPr>
          <w:sz w:val="22"/>
        </w:rPr>
        <w:t>SMTA</w:t>
      </w:r>
      <w:r>
        <w:rPr>
          <w:spacing w:val="-16"/>
          <w:sz w:val="22"/>
        </w:rPr>
        <w:t> </w:t>
      </w:r>
      <w:r>
        <w:rPr>
          <w:sz w:val="22"/>
        </w:rPr>
        <w:t>and</w:t>
      </w:r>
      <w:r>
        <w:rPr>
          <w:spacing w:val="-21"/>
          <w:sz w:val="22"/>
        </w:rPr>
        <w:t> </w:t>
      </w:r>
      <w:r>
        <w:rPr>
          <w:sz w:val="22"/>
        </w:rPr>
        <w:t>World</w:t>
      </w:r>
      <w:r>
        <w:rPr>
          <w:spacing w:val="-16"/>
          <w:sz w:val="22"/>
        </w:rPr>
        <w:t> </w:t>
      </w:r>
      <w:r>
        <w:rPr>
          <w:sz w:val="22"/>
        </w:rPr>
        <w:t>Bank</w:t>
      </w:r>
      <w:r>
        <w:rPr>
          <w:spacing w:val="-13"/>
          <w:sz w:val="22"/>
        </w:rPr>
        <w:t> </w:t>
      </w:r>
      <w:r>
        <w:rPr>
          <w:sz w:val="22"/>
        </w:rPr>
        <w:t>through</w:t>
      </w:r>
      <w:r>
        <w:rPr>
          <w:spacing w:val="-16"/>
          <w:sz w:val="22"/>
        </w:rPr>
        <w:t> </w:t>
      </w:r>
      <w:r>
        <w:rPr>
          <w:sz w:val="22"/>
        </w:rPr>
        <w:t>semi-annual</w:t>
      </w:r>
      <w:r>
        <w:rPr>
          <w:spacing w:val="-17"/>
          <w:sz w:val="22"/>
        </w:rPr>
        <w:t> </w:t>
      </w:r>
      <w:r>
        <w:rPr>
          <w:sz w:val="22"/>
        </w:rPr>
        <w:t>monitoring</w:t>
      </w:r>
      <w:r>
        <w:rPr>
          <w:spacing w:val="-13"/>
          <w:sz w:val="22"/>
        </w:rPr>
        <w:t> </w:t>
      </w:r>
      <w:r>
        <w:rPr>
          <w:sz w:val="22"/>
        </w:rPr>
        <w:t>reports</w:t>
      </w:r>
      <w:r>
        <w:rPr>
          <w:spacing w:val="-16"/>
          <w:sz w:val="22"/>
        </w:rPr>
        <w:t> </w:t>
      </w:r>
      <w:r>
        <w:rPr>
          <w:sz w:val="22"/>
        </w:rPr>
        <w:t>or</w:t>
      </w:r>
      <w:r>
        <w:rPr>
          <w:spacing w:val="-13"/>
          <w:sz w:val="22"/>
        </w:rPr>
        <w:t> </w:t>
      </w:r>
      <w:r>
        <w:rPr>
          <w:sz w:val="22"/>
        </w:rPr>
        <w:t>with a frequency as agreed with WB. The external monitor will monitor and verify C&amp;LRP implementation progress and assess the achievement of objectives and compliance with World</w:t>
      </w:r>
      <w:r>
        <w:rPr>
          <w:spacing w:val="-14"/>
          <w:sz w:val="22"/>
        </w:rPr>
        <w:t> </w:t>
      </w:r>
      <w:r>
        <w:rPr>
          <w:sz w:val="22"/>
        </w:rPr>
        <w:t>Bank’s</w:t>
      </w:r>
      <w:r>
        <w:rPr>
          <w:spacing w:val="-17"/>
          <w:sz w:val="22"/>
        </w:rPr>
        <w:t> </w:t>
      </w:r>
      <w:r>
        <w:rPr>
          <w:sz w:val="22"/>
        </w:rPr>
        <w:t>safeguards</w:t>
      </w:r>
      <w:r>
        <w:rPr>
          <w:spacing w:val="-17"/>
          <w:sz w:val="22"/>
        </w:rPr>
        <w:t> </w:t>
      </w:r>
      <w:r>
        <w:rPr>
          <w:sz w:val="22"/>
        </w:rPr>
        <w:t>requirement’s</w:t>
      </w:r>
      <w:r>
        <w:rPr>
          <w:spacing w:val="-17"/>
          <w:sz w:val="22"/>
        </w:rPr>
        <w:t> </w:t>
      </w:r>
      <w:r>
        <w:rPr>
          <w:sz w:val="22"/>
        </w:rPr>
        <w:t>through</w:t>
      </w:r>
      <w:r>
        <w:rPr>
          <w:spacing w:val="-17"/>
          <w:sz w:val="22"/>
        </w:rPr>
        <w:t> </w:t>
      </w:r>
      <w:r>
        <w:rPr>
          <w:sz w:val="22"/>
        </w:rPr>
        <w:t>review</w:t>
      </w:r>
      <w:r>
        <w:rPr>
          <w:spacing w:val="-18"/>
          <w:sz w:val="22"/>
        </w:rPr>
        <w:t> </w:t>
      </w:r>
      <w:r>
        <w:rPr>
          <w:sz w:val="22"/>
        </w:rPr>
        <w:t>of</w:t>
      </w:r>
      <w:r>
        <w:rPr>
          <w:spacing w:val="-12"/>
          <w:sz w:val="22"/>
        </w:rPr>
        <w:t> </w:t>
      </w:r>
      <w:r>
        <w:rPr>
          <w:sz w:val="22"/>
        </w:rPr>
        <w:t>C&amp;LRP</w:t>
      </w:r>
      <w:r>
        <w:rPr>
          <w:spacing w:val="-15"/>
          <w:sz w:val="22"/>
        </w:rPr>
        <w:t> </w:t>
      </w:r>
      <w:r>
        <w:rPr>
          <w:sz w:val="22"/>
        </w:rPr>
        <w:t>implementation</w:t>
      </w:r>
      <w:r>
        <w:rPr>
          <w:spacing w:val="-15"/>
          <w:sz w:val="22"/>
        </w:rPr>
        <w:t> </w:t>
      </w:r>
      <w:r>
        <w:rPr>
          <w:sz w:val="22"/>
        </w:rPr>
        <w:t>progress reports, periodic internal monitoring reports and through, consultations with the PAPs and other stakeholders and impact assessment based on filed surveys. The key tasks of the external monitor will</w:t>
      </w:r>
      <w:r>
        <w:rPr>
          <w:spacing w:val="-10"/>
          <w:sz w:val="22"/>
        </w:rPr>
        <w:t> </w:t>
      </w:r>
      <w:r>
        <w:rPr>
          <w:sz w:val="22"/>
        </w:rPr>
        <w:t>include:</w:t>
      </w:r>
    </w:p>
    <w:p>
      <w:pPr>
        <w:pStyle w:val="ListParagraph"/>
        <w:numPr>
          <w:ilvl w:val="0"/>
          <w:numId w:val="56"/>
        </w:numPr>
        <w:tabs>
          <w:tab w:pos="1589" w:val="left" w:leader="none"/>
        </w:tabs>
        <w:spacing w:line="276" w:lineRule="auto" w:before="122" w:after="0"/>
        <w:ind w:left="868" w:right="153" w:firstLine="0"/>
        <w:jc w:val="both"/>
        <w:rPr>
          <w:sz w:val="22"/>
        </w:rPr>
      </w:pPr>
      <w:r>
        <w:rPr>
          <w:sz w:val="22"/>
        </w:rPr>
        <w:t>Based on the independent monitor’s report, if significant issues are identified, a corrective action plan will be prepared, reviewed and approved by World Bank and disclosed</w:t>
      </w:r>
      <w:r>
        <w:rPr>
          <w:spacing w:val="-10"/>
          <w:sz w:val="22"/>
        </w:rPr>
        <w:t> </w:t>
      </w:r>
      <w:r>
        <w:rPr>
          <w:sz w:val="22"/>
        </w:rPr>
        <w:t>to</w:t>
      </w:r>
      <w:r>
        <w:rPr>
          <w:spacing w:val="-11"/>
          <w:sz w:val="22"/>
        </w:rPr>
        <w:t> </w:t>
      </w:r>
      <w:r>
        <w:rPr>
          <w:sz w:val="22"/>
        </w:rPr>
        <w:t>affected</w:t>
      </w:r>
      <w:r>
        <w:rPr>
          <w:spacing w:val="-11"/>
          <w:sz w:val="22"/>
        </w:rPr>
        <w:t> </w:t>
      </w:r>
      <w:r>
        <w:rPr>
          <w:sz w:val="22"/>
        </w:rPr>
        <w:t>persons.</w:t>
      </w:r>
      <w:r>
        <w:rPr>
          <w:spacing w:val="-12"/>
          <w:sz w:val="22"/>
        </w:rPr>
        <w:t> </w:t>
      </w:r>
      <w:r>
        <w:rPr>
          <w:sz w:val="22"/>
        </w:rPr>
        <w:t>The</w:t>
      </w:r>
      <w:r>
        <w:rPr>
          <w:spacing w:val="-11"/>
          <w:sz w:val="22"/>
        </w:rPr>
        <w:t> </w:t>
      </w:r>
      <w:r>
        <w:rPr>
          <w:sz w:val="22"/>
        </w:rPr>
        <w:t>CAP</w:t>
      </w:r>
      <w:r>
        <w:rPr>
          <w:spacing w:val="-10"/>
          <w:sz w:val="22"/>
        </w:rPr>
        <w:t> </w:t>
      </w:r>
      <w:r>
        <w:rPr>
          <w:sz w:val="22"/>
        </w:rPr>
        <w:t>implementation</w:t>
      </w:r>
      <w:r>
        <w:rPr>
          <w:spacing w:val="-11"/>
          <w:sz w:val="22"/>
        </w:rPr>
        <w:t> </w:t>
      </w:r>
      <w:r>
        <w:rPr>
          <w:sz w:val="22"/>
        </w:rPr>
        <w:t>progress</w:t>
      </w:r>
      <w:r>
        <w:rPr>
          <w:spacing w:val="-11"/>
          <w:sz w:val="22"/>
        </w:rPr>
        <w:t> </w:t>
      </w:r>
      <w:r>
        <w:rPr>
          <w:sz w:val="22"/>
        </w:rPr>
        <w:t>will</w:t>
      </w:r>
      <w:r>
        <w:rPr>
          <w:spacing w:val="-11"/>
          <w:sz w:val="22"/>
        </w:rPr>
        <w:t> </w:t>
      </w:r>
      <w:r>
        <w:rPr>
          <w:sz w:val="22"/>
        </w:rPr>
        <w:t>also</w:t>
      </w:r>
      <w:r>
        <w:rPr>
          <w:spacing w:val="-11"/>
          <w:sz w:val="22"/>
        </w:rPr>
        <w:t> </w:t>
      </w:r>
      <w:r>
        <w:rPr>
          <w:sz w:val="22"/>
        </w:rPr>
        <w:t>be</w:t>
      </w:r>
      <w:r>
        <w:rPr>
          <w:spacing w:val="-11"/>
          <w:sz w:val="22"/>
        </w:rPr>
        <w:t> </w:t>
      </w:r>
      <w:r>
        <w:rPr>
          <w:sz w:val="22"/>
        </w:rPr>
        <w:t>reviewed</w:t>
      </w:r>
      <w:r>
        <w:rPr>
          <w:spacing w:val="-7"/>
          <w:sz w:val="22"/>
        </w:rPr>
        <w:t> </w:t>
      </w:r>
      <w:r>
        <w:rPr>
          <w:sz w:val="22"/>
        </w:rPr>
        <w:t>and monitored by the IMA and will be made part of the subsequent monitoring reports. Internal and external monitoring and reporting will continue until all C&amp;LRP activities have been completed.</w:t>
      </w:r>
    </w:p>
    <w:p>
      <w:pPr>
        <w:spacing w:after="0" w:line="276" w:lineRule="auto"/>
        <w:jc w:val="both"/>
        <w:rPr>
          <w:sz w:val="22"/>
        </w:rPr>
        <w:sectPr>
          <w:pgSz w:w="11910" w:h="16840"/>
          <w:pgMar w:header="583" w:footer="575" w:top="840" w:bottom="760" w:left="860" w:right="1280"/>
        </w:sectPr>
      </w:pPr>
    </w:p>
    <w:p>
      <w:pPr>
        <w:pStyle w:val="BodyText"/>
        <w:rPr>
          <w:sz w:val="20"/>
        </w:rPr>
      </w:pPr>
    </w:p>
    <w:p>
      <w:pPr>
        <w:pStyle w:val="BodyText"/>
        <w:rPr>
          <w:sz w:val="20"/>
        </w:rPr>
      </w:pPr>
    </w:p>
    <w:p>
      <w:pPr>
        <w:pStyle w:val="BodyText"/>
        <w:spacing w:before="10"/>
        <w:rPr>
          <w:sz w:val="27"/>
        </w:rPr>
      </w:pPr>
    </w:p>
    <w:p>
      <w:pPr>
        <w:pStyle w:val="ListParagraph"/>
        <w:numPr>
          <w:ilvl w:val="0"/>
          <w:numId w:val="56"/>
        </w:numPr>
        <w:tabs>
          <w:tab w:pos="1589" w:val="left" w:leader="none"/>
        </w:tabs>
        <w:spacing w:line="276" w:lineRule="auto" w:before="93" w:after="0"/>
        <w:ind w:left="868" w:right="153" w:firstLine="0"/>
        <w:jc w:val="both"/>
        <w:rPr>
          <w:sz w:val="22"/>
        </w:rPr>
      </w:pPr>
      <w:r>
        <w:rPr>
          <w:sz w:val="22"/>
        </w:rPr>
        <w:t>In addition to the above defined monitoring mechanism, the World Bank will also keep a close oversight on the subproject implemented under the facility and will keep monitoring subproject on an ongoing basis by launching safeguards review missions until a subproject completion report is</w:t>
      </w:r>
      <w:r>
        <w:rPr>
          <w:spacing w:val="-7"/>
          <w:sz w:val="22"/>
        </w:rPr>
        <w:t> </w:t>
      </w:r>
      <w:r>
        <w:rPr>
          <w:sz w:val="22"/>
        </w:rPr>
        <w:t>issued.</w:t>
      </w:r>
    </w:p>
    <w:p>
      <w:pPr>
        <w:pStyle w:val="BodyText"/>
        <w:spacing w:before="10"/>
        <w:rPr>
          <w:sz w:val="20"/>
        </w:rPr>
      </w:pPr>
    </w:p>
    <w:p>
      <w:pPr>
        <w:pStyle w:val="Heading2"/>
        <w:numPr>
          <w:ilvl w:val="1"/>
          <w:numId w:val="53"/>
        </w:numPr>
        <w:tabs>
          <w:tab w:pos="1445" w:val="left" w:leader="none"/>
        </w:tabs>
        <w:spacing w:line="240" w:lineRule="auto" w:before="0" w:after="0"/>
        <w:ind w:left="1444" w:right="0" w:hanging="576"/>
        <w:jc w:val="both"/>
      </w:pPr>
      <w:bookmarkStart w:name="_bookmark101" w:id="172"/>
      <w:bookmarkEnd w:id="172"/>
      <w:r>
        <w:rPr>
          <w:b w:val="0"/>
        </w:rPr>
      </w:r>
      <w:bookmarkStart w:name="_bookmark101" w:id="173"/>
      <w:bookmarkEnd w:id="173"/>
      <w:r>
        <w:rPr/>
        <w:t>Reporting</w:t>
      </w:r>
      <w:r>
        <w:rPr/>
        <w:t> Requirements and Disclosure of Monitoring</w:t>
      </w:r>
      <w:r>
        <w:rPr>
          <w:spacing w:val="-8"/>
        </w:rPr>
        <w:t> </w:t>
      </w:r>
      <w:r>
        <w:rPr/>
        <w:t>Reports</w:t>
      </w:r>
    </w:p>
    <w:p>
      <w:pPr>
        <w:pStyle w:val="BodyText"/>
        <w:spacing w:line="276" w:lineRule="auto" w:before="160"/>
        <w:ind w:left="868" w:right="151"/>
        <w:jc w:val="both"/>
      </w:pPr>
      <w:r>
        <w:rPr/>
        <w:t>129   The Project Team will prepare and submit semi-annual) C&amp;LRP monitoring reports to World Bank as part of project implementation performance monitoring. Such periodic monitoring reports documenting progress on compensation and livelihood rehabilitation assistance and implementation of compensation plan reports will be provided through Project Team to World Bank for review and disclosure. SMTA will also submit project completion reports to World Bank for each site when compensation has been paid. All monitoring</w:t>
      </w:r>
      <w:r>
        <w:rPr>
          <w:spacing w:val="-10"/>
        </w:rPr>
        <w:t> </w:t>
      </w:r>
      <w:r>
        <w:rPr/>
        <w:t>reports</w:t>
      </w:r>
      <w:r>
        <w:rPr>
          <w:spacing w:val="-12"/>
        </w:rPr>
        <w:t> </w:t>
      </w:r>
      <w:r>
        <w:rPr/>
        <w:t>will</w:t>
      </w:r>
      <w:r>
        <w:rPr>
          <w:spacing w:val="-11"/>
        </w:rPr>
        <w:t> </w:t>
      </w:r>
      <w:r>
        <w:rPr/>
        <w:t>subject</w:t>
      </w:r>
      <w:r>
        <w:rPr>
          <w:spacing w:val="-12"/>
        </w:rPr>
        <w:t> </w:t>
      </w:r>
      <w:r>
        <w:rPr/>
        <w:t>to</w:t>
      </w:r>
      <w:r>
        <w:rPr>
          <w:spacing w:val="-13"/>
        </w:rPr>
        <w:t> </w:t>
      </w:r>
      <w:r>
        <w:rPr/>
        <w:t>disclosure</w:t>
      </w:r>
      <w:r>
        <w:rPr>
          <w:spacing w:val="-13"/>
        </w:rPr>
        <w:t> </w:t>
      </w:r>
      <w:r>
        <w:rPr/>
        <w:t>and</w:t>
      </w:r>
      <w:r>
        <w:rPr>
          <w:spacing w:val="-13"/>
        </w:rPr>
        <w:t> </w:t>
      </w:r>
      <w:r>
        <w:rPr/>
        <w:t>will</w:t>
      </w:r>
      <w:r>
        <w:rPr>
          <w:spacing w:val="-11"/>
        </w:rPr>
        <w:t> </w:t>
      </w:r>
      <w:r>
        <w:rPr/>
        <w:t>be</w:t>
      </w:r>
      <w:r>
        <w:rPr>
          <w:spacing w:val="-10"/>
        </w:rPr>
        <w:t> </w:t>
      </w:r>
      <w:r>
        <w:rPr/>
        <w:t>disclosed</w:t>
      </w:r>
      <w:r>
        <w:rPr>
          <w:spacing w:val="-10"/>
        </w:rPr>
        <w:t> </w:t>
      </w:r>
      <w:r>
        <w:rPr/>
        <w:t>on</w:t>
      </w:r>
      <w:r>
        <w:rPr>
          <w:spacing w:val="-14"/>
        </w:rPr>
        <w:t> </w:t>
      </w:r>
      <w:r>
        <w:rPr/>
        <w:t>World</w:t>
      </w:r>
      <w:r>
        <w:rPr>
          <w:spacing w:val="-15"/>
        </w:rPr>
        <w:t> </w:t>
      </w:r>
      <w:r>
        <w:rPr/>
        <w:t>Bank</w:t>
      </w:r>
      <w:r>
        <w:rPr>
          <w:spacing w:val="-10"/>
        </w:rPr>
        <w:t> </w:t>
      </w:r>
      <w:r>
        <w:rPr/>
        <w:t>and</w:t>
      </w:r>
      <w:r>
        <w:rPr>
          <w:spacing w:val="-9"/>
        </w:rPr>
        <w:t> </w:t>
      </w:r>
      <w:r>
        <w:rPr/>
        <w:t>SMTA websites as and when cleared by World</w:t>
      </w:r>
      <w:r>
        <w:rPr>
          <w:spacing w:val="-8"/>
        </w:rPr>
        <w:t> </w:t>
      </w:r>
      <w:r>
        <w:rPr/>
        <w:t>Bank.</w:t>
      </w:r>
    </w:p>
    <w:p>
      <w:pPr>
        <w:pStyle w:val="BodyText"/>
        <w:spacing w:before="11"/>
        <w:rPr>
          <w:sz w:val="20"/>
        </w:rPr>
      </w:pPr>
    </w:p>
    <w:p>
      <w:pPr>
        <w:pStyle w:val="Heading2"/>
        <w:numPr>
          <w:ilvl w:val="1"/>
          <w:numId w:val="53"/>
        </w:numPr>
        <w:tabs>
          <w:tab w:pos="1445" w:val="left" w:leader="none"/>
        </w:tabs>
        <w:spacing w:line="240" w:lineRule="auto" w:before="0" w:after="0"/>
        <w:ind w:left="1444" w:right="0" w:hanging="576"/>
        <w:jc w:val="both"/>
      </w:pPr>
      <w:bookmarkStart w:name="_bookmark102" w:id="174"/>
      <w:bookmarkEnd w:id="174"/>
      <w:r>
        <w:rPr>
          <w:b w:val="0"/>
        </w:rPr>
      </w:r>
      <w:bookmarkStart w:name="_bookmark102" w:id="175"/>
      <w:bookmarkEnd w:id="175"/>
      <w:r>
        <w:rPr/>
        <w:t>Deta</w:t>
      </w:r>
      <w:r>
        <w:rPr/>
        <w:t>iled M&amp;E</w:t>
      </w:r>
      <w:r>
        <w:rPr>
          <w:spacing w:val="-3"/>
        </w:rPr>
        <w:t> </w:t>
      </w:r>
      <w:r>
        <w:rPr/>
        <w:t>Plan</w:t>
      </w:r>
    </w:p>
    <w:p>
      <w:pPr>
        <w:pStyle w:val="BodyText"/>
        <w:spacing w:line="276" w:lineRule="auto" w:before="160"/>
        <w:ind w:left="868" w:right="152"/>
        <w:jc w:val="both"/>
      </w:pPr>
      <w:r>
        <w:rPr/>
        <w:t>130   A detailed, implementation ready monitoring and evaluation plan will be developed by the Project Team to ensure that the necessary monitoring system is operational and implemented, and that staff have the requisite skills and tools for its operationalization. It will explore the feasibility of involving Project stakeholders in Project monitoring and evaluation and make recommendations on how this can best be achieved.</w:t>
      </w:r>
    </w:p>
    <w:p>
      <w:pPr>
        <w:spacing w:after="0" w:line="276" w:lineRule="auto"/>
        <w:jc w:val="both"/>
        <w:sectPr>
          <w:pgSz w:w="11910" w:h="16840"/>
          <w:pgMar w:header="583" w:footer="575" w:top="840" w:bottom="760" w:left="860" w:right="1280"/>
        </w:sectPr>
      </w:pPr>
    </w:p>
    <w:p>
      <w:pPr>
        <w:pStyle w:val="BodyText"/>
        <w:rPr>
          <w:sz w:val="20"/>
        </w:rPr>
      </w:pPr>
    </w:p>
    <w:p>
      <w:pPr>
        <w:pStyle w:val="BodyText"/>
        <w:rPr>
          <w:sz w:val="20"/>
        </w:rPr>
      </w:pPr>
    </w:p>
    <w:p>
      <w:pPr>
        <w:pStyle w:val="BodyText"/>
        <w:rPr>
          <w:sz w:val="28"/>
        </w:rPr>
      </w:pPr>
    </w:p>
    <w:p>
      <w:pPr>
        <w:pStyle w:val="Heading2"/>
        <w:spacing w:before="92"/>
        <w:ind w:left="868" w:firstLine="0"/>
        <w:jc w:val="left"/>
      </w:pPr>
      <w:bookmarkStart w:name="_bookmark103" w:id="176"/>
      <w:bookmarkEnd w:id="176"/>
      <w:r>
        <w:rPr>
          <w:b w:val="0"/>
        </w:rPr>
      </w:r>
      <w:r>
        <w:rPr/>
        <w:t>12  BIBLIOGRAPHY</w:t>
      </w:r>
    </w:p>
    <w:p>
      <w:pPr>
        <w:pStyle w:val="BodyText"/>
        <w:spacing w:before="2"/>
        <w:rPr>
          <w:b/>
          <w:sz w:val="31"/>
        </w:rPr>
      </w:pPr>
    </w:p>
    <w:p>
      <w:pPr>
        <w:pStyle w:val="ListParagraph"/>
        <w:numPr>
          <w:ilvl w:val="0"/>
          <w:numId w:val="57"/>
        </w:numPr>
        <w:tabs>
          <w:tab w:pos="1589" w:val="left" w:leader="none"/>
        </w:tabs>
        <w:spacing w:line="276" w:lineRule="auto" w:before="0" w:after="0"/>
        <w:ind w:left="1588" w:right="245" w:hanging="360"/>
        <w:jc w:val="both"/>
        <w:rPr>
          <w:sz w:val="22"/>
        </w:rPr>
      </w:pPr>
      <w:r>
        <w:rPr>
          <w:sz w:val="22"/>
        </w:rPr>
        <w:t>Bus Rapid Transit System (BRTS) – Yellow BRT Corridor – from Dawood Chowrangi &amp; Regal Chowk via 8000 Road, Korangi Road and FTC. (June 2014). </w:t>
      </w:r>
      <w:r>
        <w:rPr>
          <w:i/>
          <w:sz w:val="22"/>
        </w:rPr>
        <w:t>Project Brief</w:t>
      </w:r>
      <w:r>
        <w:rPr>
          <w:sz w:val="22"/>
        </w:rPr>
        <w:t>. (Mass Transit Cell, Transport Department GoS &amp; PPP Unit Finance Department</w:t>
      </w:r>
      <w:r>
        <w:rPr>
          <w:spacing w:val="-5"/>
          <w:sz w:val="22"/>
        </w:rPr>
        <w:t> </w:t>
      </w:r>
      <w:r>
        <w:rPr>
          <w:sz w:val="22"/>
        </w:rPr>
        <w:t>GoS)</w:t>
      </w:r>
    </w:p>
    <w:p>
      <w:pPr>
        <w:pStyle w:val="ListParagraph"/>
        <w:numPr>
          <w:ilvl w:val="0"/>
          <w:numId w:val="57"/>
        </w:numPr>
        <w:tabs>
          <w:tab w:pos="1589" w:val="left" w:leader="none"/>
        </w:tabs>
        <w:spacing w:line="276" w:lineRule="auto" w:before="0" w:after="0"/>
        <w:ind w:left="1588" w:right="242" w:hanging="360"/>
        <w:jc w:val="both"/>
        <w:rPr>
          <w:sz w:val="22"/>
        </w:rPr>
      </w:pPr>
      <w:r>
        <w:rPr>
          <w:sz w:val="22"/>
        </w:rPr>
        <w:t>Bus Rapid Transit System (BRTS) – Yellow BRT Corridor – from Dawood Chowrangi &amp; Regal Chowk via 8000 Road, Korangi Road and FTC. (June 2014). </w:t>
      </w:r>
      <w:r>
        <w:rPr>
          <w:i/>
          <w:sz w:val="22"/>
        </w:rPr>
        <w:t>Project Feasibility Report</w:t>
      </w:r>
      <w:r>
        <w:rPr>
          <w:sz w:val="22"/>
        </w:rPr>
        <w:t>. (Mass Transit Cell, Transport Department GoS &amp; PPP Unit Finance Department</w:t>
      </w:r>
      <w:r>
        <w:rPr>
          <w:spacing w:val="-9"/>
          <w:sz w:val="22"/>
        </w:rPr>
        <w:t> </w:t>
      </w:r>
      <w:r>
        <w:rPr>
          <w:sz w:val="22"/>
        </w:rPr>
        <w:t>GoS)</w:t>
      </w:r>
    </w:p>
    <w:p>
      <w:pPr>
        <w:pStyle w:val="ListParagraph"/>
        <w:numPr>
          <w:ilvl w:val="0"/>
          <w:numId w:val="57"/>
        </w:numPr>
        <w:tabs>
          <w:tab w:pos="1589" w:val="left" w:leader="none"/>
        </w:tabs>
        <w:spacing w:line="276" w:lineRule="auto" w:before="0" w:after="0"/>
        <w:ind w:left="1588" w:right="240" w:hanging="360"/>
        <w:jc w:val="both"/>
        <w:rPr>
          <w:sz w:val="22"/>
        </w:rPr>
      </w:pPr>
      <w:r>
        <w:rPr>
          <w:sz w:val="22"/>
        </w:rPr>
        <w:t>Bus Rapid Transit System (BRTS) – Yellow BRT Corridor – from Dawood Chowrangi &amp; Regal Chowk via 8000 Road, Korangi Road and FTC. (June 2014). </w:t>
      </w:r>
      <w:r>
        <w:rPr>
          <w:i/>
          <w:sz w:val="22"/>
        </w:rPr>
        <w:t>Field Surveys (Topographic and Traffic Surveys)</w:t>
      </w:r>
      <w:r>
        <w:rPr>
          <w:sz w:val="22"/>
        </w:rPr>
        <w:t>. (Mass Transit Cell, Transport Department GoS &amp; PPP Unit Finance Department</w:t>
      </w:r>
      <w:r>
        <w:rPr>
          <w:spacing w:val="-15"/>
          <w:sz w:val="22"/>
        </w:rPr>
        <w:t> </w:t>
      </w:r>
      <w:r>
        <w:rPr>
          <w:sz w:val="22"/>
        </w:rPr>
        <w:t>GoS)</w:t>
      </w:r>
    </w:p>
    <w:p>
      <w:pPr>
        <w:pStyle w:val="ListParagraph"/>
        <w:numPr>
          <w:ilvl w:val="0"/>
          <w:numId w:val="57"/>
        </w:numPr>
        <w:tabs>
          <w:tab w:pos="1589" w:val="left" w:leader="none"/>
        </w:tabs>
        <w:spacing w:line="276" w:lineRule="auto" w:before="0" w:after="0"/>
        <w:ind w:left="1588" w:right="240" w:hanging="360"/>
        <w:jc w:val="both"/>
        <w:rPr>
          <w:sz w:val="22"/>
        </w:rPr>
      </w:pPr>
      <w:r>
        <w:rPr>
          <w:sz w:val="22"/>
        </w:rPr>
        <w:t>Bus Rapid Transit System (BRTS) – Yellow BRT Corridor – from Dawood Chowrangi &amp; Regal Chowk via 8000 Road, Korangi Road and FTC. (June 2014). </w:t>
      </w:r>
      <w:r>
        <w:rPr>
          <w:i/>
          <w:sz w:val="22"/>
        </w:rPr>
        <w:t>Initial</w:t>
      </w:r>
      <w:r>
        <w:rPr>
          <w:i/>
          <w:spacing w:val="-18"/>
          <w:sz w:val="22"/>
        </w:rPr>
        <w:t> </w:t>
      </w:r>
      <w:r>
        <w:rPr>
          <w:i/>
          <w:sz w:val="22"/>
        </w:rPr>
        <w:t>Environmental</w:t>
      </w:r>
      <w:r>
        <w:rPr>
          <w:i/>
          <w:spacing w:val="-18"/>
          <w:sz w:val="22"/>
        </w:rPr>
        <w:t> </w:t>
      </w:r>
      <w:r>
        <w:rPr>
          <w:i/>
          <w:sz w:val="22"/>
        </w:rPr>
        <w:t>Examination</w:t>
      </w:r>
      <w:r>
        <w:rPr>
          <w:i/>
          <w:spacing w:val="-17"/>
          <w:sz w:val="22"/>
        </w:rPr>
        <w:t> </w:t>
      </w:r>
      <w:r>
        <w:rPr>
          <w:i/>
          <w:sz w:val="22"/>
        </w:rPr>
        <w:t>(IEE)</w:t>
      </w:r>
      <w:r>
        <w:rPr>
          <w:i/>
          <w:spacing w:val="-16"/>
          <w:sz w:val="22"/>
        </w:rPr>
        <w:t> </w:t>
      </w:r>
      <w:r>
        <w:rPr>
          <w:i/>
          <w:sz w:val="22"/>
        </w:rPr>
        <w:t>Study</w:t>
      </w:r>
      <w:r>
        <w:rPr>
          <w:i/>
          <w:spacing w:val="-17"/>
          <w:sz w:val="22"/>
        </w:rPr>
        <w:t> </w:t>
      </w:r>
      <w:r>
        <w:rPr>
          <w:i/>
          <w:sz w:val="22"/>
        </w:rPr>
        <w:t>Report</w:t>
      </w:r>
      <w:r>
        <w:rPr>
          <w:i/>
          <w:spacing w:val="-15"/>
          <w:sz w:val="22"/>
        </w:rPr>
        <w:t> </w:t>
      </w:r>
      <w:r>
        <w:rPr>
          <w:sz w:val="22"/>
        </w:rPr>
        <w:t>(Mass</w:t>
      </w:r>
      <w:r>
        <w:rPr>
          <w:spacing w:val="-17"/>
          <w:sz w:val="22"/>
        </w:rPr>
        <w:t> </w:t>
      </w:r>
      <w:r>
        <w:rPr>
          <w:sz w:val="22"/>
        </w:rPr>
        <w:t>Transit</w:t>
      </w:r>
      <w:r>
        <w:rPr>
          <w:spacing w:val="-16"/>
          <w:sz w:val="22"/>
        </w:rPr>
        <w:t> </w:t>
      </w:r>
      <w:r>
        <w:rPr>
          <w:sz w:val="22"/>
        </w:rPr>
        <w:t>Cell,</w:t>
      </w:r>
      <w:r>
        <w:rPr>
          <w:spacing w:val="-18"/>
          <w:sz w:val="22"/>
        </w:rPr>
        <w:t> </w:t>
      </w:r>
      <w:r>
        <w:rPr>
          <w:sz w:val="22"/>
        </w:rPr>
        <w:t>Transport Department GoS &amp; PPP Unit Finance Department</w:t>
      </w:r>
      <w:r>
        <w:rPr>
          <w:spacing w:val="-13"/>
          <w:sz w:val="22"/>
        </w:rPr>
        <w:t> </w:t>
      </w:r>
      <w:r>
        <w:rPr>
          <w:sz w:val="22"/>
        </w:rPr>
        <w:t>GoS)</w:t>
      </w:r>
    </w:p>
    <w:p>
      <w:pPr>
        <w:pStyle w:val="ListParagraph"/>
        <w:numPr>
          <w:ilvl w:val="0"/>
          <w:numId w:val="57"/>
        </w:numPr>
        <w:tabs>
          <w:tab w:pos="1589" w:val="left" w:leader="none"/>
        </w:tabs>
        <w:spacing w:line="276" w:lineRule="auto" w:before="0" w:after="0"/>
        <w:ind w:left="1588" w:right="241" w:hanging="360"/>
        <w:jc w:val="both"/>
        <w:rPr>
          <w:sz w:val="22"/>
        </w:rPr>
      </w:pPr>
      <w:r>
        <w:rPr>
          <w:sz w:val="22"/>
        </w:rPr>
        <w:t>Bus Rapid Transit System (BRTS) – Yellow BRT Corridor – from Dawood Chowrangi &amp; Regal Chowk via 8000 Road, Korangi Road and FTC. (June 2014). </w:t>
      </w:r>
      <w:r>
        <w:rPr>
          <w:i/>
          <w:sz w:val="22"/>
        </w:rPr>
        <w:t>Preliminary</w:t>
      </w:r>
      <w:r>
        <w:rPr>
          <w:i/>
          <w:spacing w:val="-9"/>
          <w:sz w:val="22"/>
        </w:rPr>
        <w:t> </w:t>
      </w:r>
      <w:r>
        <w:rPr>
          <w:i/>
          <w:sz w:val="22"/>
        </w:rPr>
        <w:t>Design</w:t>
      </w:r>
      <w:r>
        <w:rPr>
          <w:i/>
          <w:spacing w:val="-12"/>
          <w:sz w:val="22"/>
        </w:rPr>
        <w:t> </w:t>
      </w:r>
      <w:r>
        <w:rPr>
          <w:i/>
          <w:sz w:val="22"/>
        </w:rPr>
        <w:t>Drawings</w:t>
      </w:r>
      <w:r>
        <w:rPr>
          <w:i/>
          <w:spacing w:val="-12"/>
          <w:sz w:val="22"/>
        </w:rPr>
        <w:t> </w:t>
      </w:r>
      <w:r>
        <w:rPr>
          <w:i/>
          <w:sz w:val="22"/>
        </w:rPr>
        <w:t>(Annex</w:t>
      </w:r>
      <w:r>
        <w:rPr>
          <w:i/>
          <w:spacing w:val="-12"/>
          <w:sz w:val="22"/>
        </w:rPr>
        <w:t> </w:t>
      </w:r>
      <w:r>
        <w:rPr>
          <w:i/>
          <w:sz w:val="22"/>
        </w:rPr>
        <w:t>1)</w:t>
      </w:r>
      <w:r>
        <w:rPr>
          <w:sz w:val="22"/>
        </w:rPr>
        <w:t>.</w:t>
      </w:r>
      <w:r>
        <w:rPr>
          <w:spacing w:val="-11"/>
          <w:sz w:val="22"/>
        </w:rPr>
        <w:t> </w:t>
      </w:r>
      <w:r>
        <w:rPr>
          <w:sz w:val="22"/>
        </w:rPr>
        <w:t>(Mass</w:t>
      </w:r>
      <w:r>
        <w:rPr>
          <w:spacing w:val="-12"/>
          <w:sz w:val="22"/>
        </w:rPr>
        <w:t> </w:t>
      </w:r>
      <w:r>
        <w:rPr>
          <w:sz w:val="22"/>
        </w:rPr>
        <w:t>Transit</w:t>
      </w:r>
      <w:r>
        <w:rPr>
          <w:spacing w:val="-9"/>
          <w:sz w:val="22"/>
        </w:rPr>
        <w:t> </w:t>
      </w:r>
      <w:r>
        <w:rPr>
          <w:sz w:val="22"/>
        </w:rPr>
        <w:t>Cell,</w:t>
      </w:r>
      <w:r>
        <w:rPr>
          <w:spacing w:val="-13"/>
          <w:sz w:val="22"/>
        </w:rPr>
        <w:t> </w:t>
      </w:r>
      <w:r>
        <w:rPr>
          <w:sz w:val="22"/>
        </w:rPr>
        <w:t>Transport</w:t>
      </w:r>
      <w:r>
        <w:rPr>
          <w:spacing w:val="-11"/>
          <w:sz w:val="22"/>
        </w:rPr>
        <w:t> </w:t>
      </w:r>
      <w:r>
        <w:rPr>
          <w:sz w:val="22"/>
        </w:rPr>
        <w:t>Department GoS &amp; PPP Unit Finance Department</w:t>
      </w:r>
      <w:r>
        <w:rPr>
          <w:spacing w:val="-10"/>
          <w:sz w:val="22"/>
        </w:rPr>
        <w:t> </w:t>
      </w:r>
      <w:r>
        <w:rPr>
          <w:sz w:val="22"/>
        </w:rPr>
        <w:t>GoS)</w:t>
      </w:r>
    </w:p>
    <w:p>
      <w:pPr>
        <w:pStyle w:val="ListParagraph"/>
        <w:numPr>
          <w:ilvl w:val="0"/>
          <w:numId w:val="57"/>
        </w:numPr>
        <w:tabs>
          <w:tab w:pos="1589" w:val="left" w:leader="none"/>
        </w:tabs>
        <w:spacing w:line="273" w:lineRule="auto" w:before="0" w:after="0"/>
        <w:ind w:left="1588" w:right="240" w:hanging="360"/>
        <w:jc w:val="both"/>
        <w:rPr>
          <w:sz w:val="22"/>
        </w:rPr>
      </w:pPr>
      <w:r>
        <w:rPr>
          <w:sz w:val="22"/>
        </w:rPr>
        <w:t>Institute</w:t>
      </w:r>
      <w:r>
        <w:rPr>
          <w:spacing w:val="-19"/>
          <w:sz w:val="22"/>
        </w:rPr>
        <w:t> </w:t>
      </w:r>
      <w:r>
        <w:rPr>
          <w:sz w:val="22"/>
        </w:rPr>
        <w:t>for</w:t>
      </w:r>
      <w:r>
        <w:rPr>
          <w:spacing w:val="-15"/>
          <w:sz w:val="22"/>
        </w:rPr>
        <w:t> </w:t>
      </w:r>
      <w:r>
        <w:rPr>
          <w:sz w:val="22"/>
        </w:rPr>
        <w:t>Transportation</w:t>
      </w:r>
      <w:r>
        <w:rPr>
          <w:spacing w:val="-14"/>
          <w:sz w:val="22"/>
        </w:rPr>
        <w:t> </w:t>
      </w:r>
      <w:r>
        <w:rPr>
          <w:sz w:val="22"/>
        </w:rPr>
        <w:t>and</w:t>
      </w:r>
      <w:r>
        <w:rPr>
          <w:spacing w:val="-13"/>
          <w:sz w:val="22"/>
        </w:rPr>
        <w:t> </w:t>
      </w:r>
      <w:r>
        <w:rPr>
          <w:sz w:val="22"/>
        </w:rPr>
        <w:t>Development</w:t>
      </w:r>
      <w:r>
        <w:rPr>
          <w:spacing w:val="-15"/>
          <w:sz w:val="22"/>
        </w:rPr>
        <w:t> </w:t>
      </w:r>
      <w:r>
        <w:rPr>
          <w:sz w:val="22"/>
        </w:rPr>
        <w:t>Policy.</w:t>
      </w:r>
      <w:r>
        <w:rPr>
          <w:spacing w:val="-12"/>
          <w:sz w:val="22"/>
        </w:rPr>
        <w:t> </w:t>
      </w:r>
      <w:r>
        <w:rPr>
          <w:i/>
          <w:sz w:val="22"/>
        </w:rPr>
        <w:t>Karachi</w:t>
      </w:r>
      <w:r>
        <w:rPr>
          <w:i/>
          <w:spacing w:val="-15"/>
          <w:sz w:val="22"/>
        </w:rPr>
        <w:t> </w:t>
      </w:r>
      <w:r>
        <w:rPr>
          <w:i/>
          <w:sz w:val="22"/>
        </w:rPr>
        <w:t>BRT</w:t>
      </w:r>
      <w:r>
        <w:rPr>
          <w:i/>
          <w:spacing w:val="-16"/>
          <w:sz w:val="22"/>
        </w:rPr>
        <w:t> </w:t>
      </w:r>
      <w:r>
        <w:rPr>
          <w:i/>
          <w:sz w:val="22"/>
        </w:rPr>
        <w:t>Conceptual</w:t>
      </w:r>
      <w:r>
        <w:rPr>
          <w:i/>
          <w:spacing w:val="-15"/>
          <w:sz w:val="22"/>
        </w:rPr>
        <w:t> </w:t>
      </w:r>
      <w:r>
        <w:rPr>
          <w:i/>
          <w:sz w:val="22"/>
        </w:rPr>
        <w:t>Plan </w:t>
      </w:r>
      <w:r>
        <w:rPr>
          <w:i/>
          <w:sz w:val="22"/>
        </w:rPr>
        <w:t>and Design </w:t>
      </w:r>
      <w:r>
        <w:rPr>
          <w:sz w:val="22"/>
        </w:rPr>
        <w:t>(April</w:t>
      </w:r>
      <w:r>
        <w:rPr>
          <w:spacing w:val="-4"/>
          <w:sz w:val="22"/>
        </w:rPr>
        <w:t> </w:t>
      </w:r>
      <w:r>
        <w:rPr>
          <w:sz w:val="22"/>
        </w:rPr>
        <w:t>2015)</w:t>
      </w:r>
    </w:p>
    <w:p>
      <w:pPr>
        <w:pStyle w:val="ListParagraph"/>
        <w:numPr>
          <w:ilvl w:val="0"/>
          <w:numId w:val="57"/>
        </w:numPr>
        <w:tabs>
          <w:tab w:pos="1589" w:val="left" w:leader="none"/>
        </w:tabs>
        <w:spacing w:line="276" w:lineRule="auto" w:before="2" w:after="0"/>
        <w:ind w:left="1588" w:right="239" w:hanging="360"/>
        <w:jc w:val="both"/>
        <w:rPr>
          <w:sz w:val="22"/>
        </w:rPr>
      </w:pPr>
      <w:r>
        <w:rPr>
          <w:sz w:val="22"/>
        </w:rPr>
        <w:t>ITP 2016c, Karachi Bus Rapid Transit (BRT) Project: Red Corridor Initial Environmental Assessment, TA-8189 </w:t>
      </w:r>
      <w:r>
        <w:rPr>
          <w:spacing w:val="-2"/>
          <w:sz w:val="22"/>
        </w:rPr>
        <w:t>REG </w:t>
      </w:r>
      <w:r>
        <w:rPr>
          <w:sz w:val="22"/>
        </w:rPr>
        <w:t>Subproject 5, Integrated Transport Planning Ltd., June</w:t>
      </w:r>
      <w:r>
        <w:rPr>
          <w:spacing w:val="-8"/>
          <w:sz w:val="22"/>
        </w:rPr>
        <w:t> </w:t>
      </w:r>
      <w:r>
        <w:rPr>
          <w:sz w:val="22"/>
        </w:rPr>
        <w:t>2016.</w:t>
      </w:r>
    </w:p>
    <w:p>
      <w:pPr>
        <w:pStyle w:val="ListParagraph"/>
        <w:numPr>
          <w:ilvl w:val="0"/>
          <w:numId w:val="57"/>
        </w:numPr>
        <w:tabs>
          <w:tab w:pos="1589" w:val="left" w:leader="none"/>
        </w:tabs>
        <w:spacing w:line="271" w:lineRule="auto" w:before="0" w:after="0"/>
        <w:ind w:left="1588" w:right="245" w:hanging="360"/>
        <w:jc w:val="both"/>
        <w:rPr>
          <w:sz w:val="22"/>
        </w:rPr>
      </w:pPr>
      <w:r>
        <w:rPr>
          <w:sz w:val="22"/>
        </w:rPr>
        <w:t>JICA. (June 2011) Karachi Transportation Improvement Project: Study on Social Environment (SOSE). (Environmental Management</w:t>
      </w:r>
      <w:r>
        <w:rPr>
          <w:spacing w:val="-16"/>
          <w:sz w:val="22"/>
        </w:rPr>
        <w:t> </w:t>
      </w:r>
      <w:r>
        <w:rPr>
          <w:sz w:val="22"/>
        </w:rPr>
        <w:t>Consultants)</w:t>
      </w:r>
    </w:p>
    <w:p>
      <w:pPr>
        <w:pStyle w:val="ListParagraph"/>
        <w:numPr>
          <w:ilvl w:val="0"/>
          <w:numId w:val="57"/>
        </w:numPr>
        <w:tabs>
          <w:tab w:pos="1589" w:val="left" w:leader="none"/>
        </w:tabs>
        <w:spacing w:line="273" w:lineRule="auto" w:before="5" w:after="0"/>
        <w:ind w:left="1588" w:right="247" w:hanging="360"/>
        <w:jc w:val="both"/>
        <w:rPr>
          <w:sz w:val="22"/>
        </w:rPr>
      </w:pPr>
      <w:r>
        <w:rPr>
          <w:sz w:val="22"/>
        </w:rPr>
        <w:t>JICA. (June 2012). The Study for Karachi Improvement Project in the Islamic Republic of Pakistan. Vol 1 (Master</w:t>
      </w:r>
      <w:r>
        <w:rPr>
          <w:spacing w:val="-10"/>
          <w:sz w:val="22"/>
        </w:rPr>
        <w:t> </w:t>
      </w:r>
      <w:r>
        <w:rPr>
          <w:sz w:val="22"/>
        </w:rPr>
        <w:t>Plan).</w:t>
      </w:r>
    </w:p>
    <w:p>
      <w:pPr>
        <w:pStyle w:val="ListParagraph"/>
        <w:numPr>
          <w:ilvl w:val="0"/>
          <w:numId w:val="57"/>
        </w:numPr>
        <w:tabs>
          <w:tab w:pos="1589" w:val="left" w:leader="none"/>
        </w:tabs>
        <w:spacing w:line="271" w:lineRule="auto" w:before="2" w:after="0"/>
        <w:ind w:left="1588" w:right="245" w:hanging="360"/>
        <w:jc w:val="both"/>
        <w:rPr>
          <w:sz w:val="22"/>
        </w:rPr>
      </w:pPr>
      <w:r>
        <w:rPr>
          <w:sz w:val="22"/>
        </w:rPr>
        <w:t>Karachi BRT – Yellow Corridor Concept Design and Project Information Update (January 2018) (World Bank</w:t>
      </w:r>
      <w:r>
        <w:rPr>
          <w:spacing w:val="-9"/>
          <w:sz w:val="22"/>
        </w:rPr>
        <w:t> </w:t>
      </w:r>
      <w:r>
        <w:rPr>
          <w:sz w:val="22"/>
        </w:rPr>
        <w:t>Team)</w:t>
      </w:r>
    </w:p>
    <w:p>
      <w:pPr>
        <w:pStyle w:val="ListParagraph"/>
        <w:numPr>
          <w:ilvl w:val="0"/>
          <w:numId w:val="57"/>
        </w:numPr>
        <w:tabs>
          <w:tab w:pos="1589" w:val="left" w:leader="none"/>
        </w:tabs>
        <w:spacing w:line="271" w:lineRule="auto" w:before="7" w:after="0"/>
        <w:ind w:left="1588" w:right="243" w:hanging="360"/>
        <w:jc w:val="both"/>
        <w:rPr>
          <w:sz w:val="22"/>
        </w:rPr>
      </w:pPr>
      <w:r>
        <w:rPr>
          <w:i/>
          <w:sz w:val="22"/>
        </w:rPr>
        <w:t>Karachi Mass Transit Program</w:t>
      </w:r>
      <w:r>
        <w:rPr>
          <w:b/>
          <w:i/>
          <w:sz w:val="22"/>
        </w:rPr>
        <w:t>: </w:t>
      </w:r>
      <w:r>
        <w:rPr>
          <w:i/>
          <w:sz w:val="22"/>
        </w:rPr>
        <w:t>Investment Opportunities</w:t>
      </w:r>
      <w:r>
        <w:rPr>
          <w:sz w:val="22"/>
        </w:rPr>
        <w:t>. (2012) (Karachi Mass Transit Cell, Karachi Metropolitan</w:t>
      </w:r>
      <w:r>
        <w:rPr>
          <w:spacing w:val="-9"/>
          <w:sz w:val="22"/>
        </w:rPr>
        <w:t> </w:t>
      </w:r>
      <w:r>
        <w:rPr>
          <w:sz w:val="22"/>
        </w:rPr>
        <w:t>Corporation)</w:t>
      </w:r>
    </w:p>
    <w:p>
      <w:pPr>
        <w:pStyle w:val="ListParagraph"/>
        <w:numPr>
          <w:ilvl w:val="0"/>
          <w:numId w:val="57"/>
        </w:numPr>
        <w:tabs>
          <w:tab w:pos="1589" w:val="left" w:leader="none"/>
        </w:tabs>
        <w:spacing w:line="276" w:lineRule="auto" w:before="4" w:after="0"/>
        <w:ind w:left="1588" w:right="239" w:hanging="360"/>
        <w:jc w:val="both"/>
        <w:rPr>
          <w:sz w:val="22"/>
        </w:rPr>
      </w:pPr>
      <w:r>
        <w:rPr>
          <w:sz w:val="22"/>
        </w:rPr>
        <w:t>Karachi Transportation Improvement Karachi Bus Rapid Transport. </w:t>
      </w:r>
      <w:r>
        <w:rPr>
          <w:i/>
          <w:sz w:val="22"/>
        </w:rPr>
        <w:t>Inception </w:t>
      </w:r>
      <w:r>
        <w:rPr>
          <w:i/>
          <w:sz w:val="22"/>
        </w:rPr>
        <w:t>Report of Operational and Business Plan of Red and Yellow Lines – Draft</w:t>
      </w:r>
      <w:r>
        <w:rPr>
          <w:i/>
          <w:spacing w:val="-29"/>
          <w:sz w:val="22"/>
        </w:rPr>
        <w:t> </w:t>
      </w:r>
      <w:r>
        <w:rPr>
          <w:i/>
          <w:sz w:val="22"/>
        </w:rPr>
        <w:t>Version Sept 2017 </w:t>
      </w:r>
      <w:r>
        <w:rPr>
          <w:sz w:val="22"/>
        </w:rPr>
        <w:t>(Logit, Rebel, Exponent</w:t>
      </w:r>
      <w:r>
        <w:rPr>
          <w:spacing w:val="-14"/>
          <w:sz w:val="22"/>
        </w:rPr>
        <w:t> </w:t>
      </w:r>
      <w:r>
        <w:rPr>
          <w:sz w:val="22"/>
        </w:rPr>
        <w:t>Engineers)</w:t>
      </w:r>
    </w:p>
    <w:p>
      <w:pPr>
        <w:pStyle w:val="ListParagraph"/>
        <w:numPr>
          <w:ilvl w:val="0"/>
          <w:numId w:val="57"/>
        </w:numPr>
        <w:tabs>
          <w:tab w:pos="1589" w:val="left" w:leader="none"/>
        </w:tabs>
        <w:spacing w:line="271" w:lineRule="auto" w:before="0" w:after="0"/>
        <w:ind w:left="1588" w:right="246" w:hanging="360"/>
        <w:jc w:val="both"/>
        <w:rPr>
          <w:sz w:val="22"/>
        </w:rPr>
      </w:pPr>
      <w:r>
        <w:rPr>
          <w:sz w:val="22"/>
        </w:rPr>
        <w:t>Raza, M. (2016) “Exploring Karachi’s transport system problems: A diversity of stakeholder perspectives”. IIED, London.</w:t>
      </w:r>
      <w:r>
        <w:rPr>
          <w:spacing w:val="-19"/>
          <w:sz w:val="22"/>
        </w:rPr>
        <w:t> </w:t>
      </w:r>
      <w:hyperlink r:id="rId56">
        <w:r>
          <w:rPr>
            <w:color w:val="0462C1"/>
            <w:sz w:val="22"/>
            <w:u w:val="single" w:color="0462C1"/>
          </w:rPr>
          <w:t>http://pubs.iied.org/10773IIED</w:t>
        </w:r>
      </w:hyperlink>
    </w:p>
    <w:p>
      <w:pPr>
        <w:pStyle w:val="ListParagraph"/>
        <w:numPr>
          <w:ilvl w:val="0"/>
          <w:numId w:val="57"/>
        </w:numPr>
        <w:tabs>
          <w:tab w:pos="1589" w:val="left" w:leader="none"/>
        </w:tabs>
        <w:spacing w:line="273" w:lineRule="auto" w:before="8" w:after="0"/>
        <w:ind w:left="1588" w:right="241" w:hanging="360"/>
        <w:jc w:val="both"/>
        <w:rPr>
          <w:sz w:val="22"/>
        </w:rPr>
      </w:pPr>
      <w:r>
        <w:rPr>
          <w:sz w:val="22"/>
        </w:rPr>
        <w:t>Report</w:t>
      </w:r>
      <w:r>
        <w:rPr>
          <w:spacing w:val="-12"/>
          <w:sz w:val="22"/>
        </w:rPr>
        <w:t> </w:t>
      </w:r>
      <w:r>
        <w:rPr>
          <w:sz w:val="22"/>
        </w:rPr>
        <w:t>of</w:t>
      </w:r>
      <w:r>
        <w:rPr>
          <w:spacing w:val="-12"/>
          <w:sz w:val="22"/>
        </w:rPr>
        <w:t> </w:t>
      </w:r>
      <w:r>
        <w:rPr>
          <w:sz w:val="22"/>
        </w:rPr>
        <w:t>the</w:t>
      </w:r>
      <w:r>
        <w:rPr>
          <w:spacing w:val="-16"/>
          <w:sz w:val="22"/>
        </w:rPr>
        <w:t> </w:t>
      </w:r>
      <w:r>
        <w:rPr>
          <w:sz w:val="22"/>
        </w:rPr>
        <w:t>Global</w:t>
      </w:r>
      <w:r>
        <w:rPr>
          <w:spacing w:val="-15"/>
          <w:sz w:val="22"/>
        </w:rPr>
        <w:t> </w:t>
      </w:r>
      <w:r>
        <w:rPr>
          <w:sz w:val="22"/>
        </w:rPr>
        <w:t>Gender-Based</w:t>
      </w:r>
      <w:r>
        <w:rPr>
          <w:spacing w:val="-13"/>
          <w:sz w:val="22"/>
        </w:rPr>
        <w:t> </w:t>
      </w:r>
      <w:r>
        <w:rPr>
          <w:sz w:val="22"/>
        </w:rPr>
        <w:t>Violence</w:t>
      </w:r>
      <w:r>
        <w:rPr>
          <w:spacing w:val="-16"/>
          <w:sz w:val="22"/>
        </w:rPr>
        <w:t> </w:t>
      </w:r>
      <w:r>
        <w:rPr>
          <w:sz w:val="22"/>
        </w:rPr>
        <w:t>Taskforce</w:t>
      </w:r>
      <w:r>
        <w:rPr>
          <w:spacing w:val="-15"/>
          <w:sz w:val="22"/>
        </w:rPr>
        <w:t> </w:t>
      </w:r>
      <w:r>
        <w:rPr>
          <w:sz w:val="22"/>
        </w:rPr>
        <w:t>(2017).</w:t>
      </w:r>
      <w:r>
        <w:rPr>
          <w:spacing w:val="-12"/>
          <w:sz w:val="22"/>
        </w:rPr>
        <w:t> </w:t>
      </w:r>
      <w:r>
        <w:rPr>
          <w:sz w:val="22"/>
        </w:rPr>
        <w:t>“Working</w:t>
      </w:r>
      <w:r>
        <w:rPr>
          <w:spacing w:val="-14"/>
          <w:sz w:val="22"/>
        </w:rPr>
        <w:t> </w:t>
      </w:r>
      <w:r>
        <w:rPr>
          <w:sz w:val="22"/>
        </w:rPr>
        <w:t>Together to Prevent Sexual Exploitation and Abuse: Recommendations for World Bank Investment Projects” </w:t>
      </w:r>
      <w:hyperlink r:id="rId57">
        <w:r>
          <w:rPr>
            <w:color w:val="0000FF"/>
            <w:sz w:val="22"/>
            <w:u w:val="single" w:color="0000FF"/>
          </w:rPr>
          <w:t>http://documents.worldbank.org/curated/en/4822515020 </w:t>
        </w:r>
      </w:hyperlink>
      <w:hyperlink r:id="rId57">
        <w:r>
          <w:rPr>
            <w:color w:val="0000FF"/>
            <w:sz w:val="22"/>
            <w:u w:val="single" w:color="0000FF"/>
          </w:rPr>
          <w:t>95751999/pdf/117972-WP-PUBLIC-recommendations.pdf</w:t>
        </w:r>
      </w:hyperlink>
    </w:p>
    <w:p>
      <w:pPr>
        <w:spacing w:after="0" w:line="273" w:lineRule="auto"/>
        <w:jc w:val="both"/>
        <w:rPr>
          <w:sz w:val="22"/>
        </w:rPr>
        <w:sectPr>
          <w:pgSz w:w="11910" w:h="16840"/>
          <w:pgMar w:header="583" w:footer="575" w:top="840" w:bottom="760" w:left="860" w:right="1280"/>
        </w:sectPr>
      </w:pPr>
    </w:p>
    <w:p>
      <w:pPr>
        <w:pStyle w:val="BodyText"/>
        <w:rPr>
          <w:sz w:val="20"/>
        </w:rPr>
      </w:pPr>
    </w:p>
    <w:p>
      <w:pPr>
        <w:pStyle w:val="BodyText"/>
        <w:rPr>
          <w:sz w:val="20"/>
        </w:rPr>
      </w:pPr>
    </w:p>
    <w:p>
      <w:pPr>
        <w:pStyle w:val="BodyText"/>
        <w:spacing w:before="2"/>
        <w:rPr>
          <w:sz w:val="27"/>
        </w:rPr>
      </w:pPr>
    </w:p>
    <w:p>
      <w:pPr>
        <w:pStyle w:val="ListParagraph"/>
        <w:numPr>
          <w:ilvl w:val="0"/>
          <w:numId w:val="57"/>
        </w:numPr>
        <w:tabs>
          <w:tab w:pos="1589" w:val="left" w:leader="none"/>
        </w:tabs>
        <w:spacing w:line="273" w:lineRule="auto" w:before="101" w:after="0"/>
        <w:ind w:left="1588" w:right="238" w:hanging="360"/>
        <w:jc w:val="both"/>
        <w:rPr>
          <w:sz w:val="22"/>
        </w:rPr>
      </w:pPr>
      <w:r>
        <w:rPr>
          <w:sz w:val="22"/>
        </w:rPr>
        <w:t>Report on the Transport Sector: Karachi Strategic Development Plan-2020; prepared by the Master Plan Group of Offices, City District Government Karachi (CDGK); February</w:t>
      </w:r>
      <w:r>
        <w:rPr>
          <w:spacing w:val="-6"/>
          <w:sz w:val="22"/>
        </w:rPr>
        <w:t> </w:t>
      </w:r>
      <w:r>
        <w:rPr>
          <w:sz w:val="22"/>
        </w:rPr>
        <w:t>2007</w:t>
      </w:r>
    </w:p>
    <w:p>
      <w:pPr>
        <w:pStyle w:val="ListParagraph"/>
        <w:numPr>
          <w:ilvl w:val="0"/>
          <w:numId w:val="57"/>
        </w:numPr>
        <w:tabs>
          <w:tab w:pos="1589" w:val="left" w:leader="none"/>
        </w:tabs>
        <w:spacing w:line="276" w:lineRule="auto" w:before="2" w:after="0"/>
        <w:ind w:left="1588" w:right="238" w:hanging="360"/>
        <w:jc w:val="both"/>
        <w:rPr>
          <w:sz w:val="22"/>
        </w:rPr>
      </w:pPr>
      <w:r>
        <w:rPr>
          <w:sz w:val="22"/>
        </w:rPr>
        <w:t>Social</w:t>
      </w:r>
      <w:r>
        <w:rPr>
          <w:spacing w:val="-16"/>
          <w:sz w:val="22"/>
        </w:rPr>
        <w:t> </w:t>
      </w:r>
      <w:r>
        <w:rPr>
          <w:sz w:val="22"/>
        </w:rPr>
        <w:t>Policy</w:t>
      </w:r>
      <w:r>
        <w:rPr>
          <w:spacing w:val="-17"/>
          <w:sz w:val="22"/>
        </w:rPr>
        <w:t> </w:t>
      </w:r>
      <w:r>
        <w:rPr>
          <w:sz w:val="22"/>
        </w:rPr>
        <w:t>and</w:t>
      </w:r>
      <w:r>
        <w:rPr>
          <w:spacing w:val="-14"/>
          <w:sz w:val="22"/>
        </w:rPr>
        <w:t> </w:t>
      </w:r>
      <w:r>
        <w:rPr>
          <w:sz w:val="22"/>
        </w:rPr>
        <w:t>Development</w:t>
      </w:r>
      <w:r>
        <w:rPr>
          <w:spacing w:val="-16"/>
          <w:sz w:val="22"/>
        </w:rPr>
        <w:t> </w:t>
      </w:r>
      <w:r>
        <w:rPr>
          <w:sz w:val="22"/>
        </w:rPr>
        <w:t>Centre</w:t>
      </w:r>
      <w:r>
        <w:rPr>
          <w:spacing w:val="-17"/>
          <w:sz w:val="22"/>
        </w:rPr>
        <w:t> </w:t>
      </w:r>
      <w:r>
        <w:rPr>
          <w:sz w:val="22"/>
        </w:rPr>
        <w:t>(SPDC)</w:t>
      </w:r>
      <w:r>
        <w:rPr>
          <w:spacing w:val="-14"/>
          <w:sz w:val="22"/>
        </w:rPr>
        <w:t> </w:t>
      </w:r>
      <w:r>
        <w:rPr>
          <w:sz w:val="22"/>
        </w:rPr>
        <w:t>2014,</w:t>
      </w:r>
      <w:r>
        <w:rPr>
          <w:spacing w:val="-13"/>
          <w:sz w:val="22"/>
        </w:rPr>
        <w:t> </w:t>
      </w:r>
      <w:r>
        <w:rPr>
          <w:sz w:val="22"/>
        </w:rPr>
        <w:t>Rapid</w:t>
      </w:r>
      <w:r>
        <w:rPr>
          <w:spacing w:val="-14"/>
          <w:sz w:val="22"/>
        </w:rPr>
        <w:t> </w:t>
      </w:r>
      <w:r>
        <w:rPr>
          <w:sz w:val="22"/>
        </w:rPr>
        <w:t>Assessment</w:t>
      </w:r>
      <w:r>
        <w:rPr>
          <w:spacing w:val="-16"/>
          <w:sz w:val="22"/>
        </w:rPr>
        <w:t> </w:t>
      </w:r>
      <w:r>
        <w:rPr>
          <w:sz w:val="22"/>
        </w:rPr>
        <w:t>of</w:t>
      </w:r>
      <w:r>
        <w:rPr>
          <w:spacing w:val="-13"/>
          <w:sz w:val="22"/>
        </w:rPr>
        <w:t> </w:t>
      </w:r>
      <w:r>
        <w:rPr>
          <w:sz w:val="22"/>
        </w:rPr>
        <w:t>Sexual Harassment in Public Transport and Connected Spaces in Karachi, Pilot Project Final Report, Project Number 44067, Prepared for ADB RETA 7563: Promoting Gender</w:t>
      </w:r>
      <w:r>
        <w:rPr>
          <w:spacing w:val="-9"/>
          <w:sz w:val="22"/>
        </w:rPr>
        <w:t> </w:t>
      </w:r>
      <w:r>
        <w:rPr>
          <w:sz w:val="22"/>
        </w:rPr>
        <w:t>Inclusive</w:t>
      </w:r>
      <w:r>
        <w:rPr>
          <w:spacing w:val="-8"/>
          <w:sz w:val="22"/>
        </w:rPr>
        <w:t> </w:t>
      </w:r>
      <w:r>
        <w:rPr>
          <w:sz w:val="22"/>
        </w:rPr>
        <w:t>Growth</w:t>
      </w:r>
      <w:r>
        <w:rPr>
          <w:spacing w:val="-8"/>
          <w:sz w:val="22"/>
        </w:rPr>
        <w:t> </w:t>
      </w:r>
      <w:r>
        <w:rPr>
          <w:sz w:val="22"/>
        </w:rPr>
        <w:t>in</w:t>
      </w:r>
      <w:r>
        <w:rPr>
          <w:spacing w:val="-8"/>
          <w:sz w:val="22"/>
        </w:rPr>
        <w:t> </w:t>
      </w:r>
      <w:r>
        <w:rPr>
          <w:sz w:val="22"/>
        </w:rPr>
        <w:t>Central</w:t>
      </w:r>
      <w:r>
        <w:rPr>
          <w:spacing w:val="-9"/>
          <w:sz w:val="22"/>
        </w:rPr>
        <w:t> </w:t>
      </w:r>
      <w:r>
        <w:rPr>
          <w:sz w:val="22"/>
        </w:rPr>
        <w:t>and</w:t>
      </w:r>
      <w:r>
        <w:rPr>
          <w:spacing w:val="-12"/>
          <w:sz w:val="22"/>
        </w:rPr>
        <w:t> </w:t>
      </w:r>
      <w:r>
        <w:rPr>
          <w:sz w:val="22"/>
        </w:rPr>
        <w:t>West</w:t>
      </w:r>
      <w:r>
        <w:rPr>
          <w:spacing w:val="-7"/>
          <w:sz w:val="22"/>
        </w:rPr>
        <w:t> </w:t>
      </w:r>
      <w:r>
        <w:rPr>
          <w:sz w:val="22"/>
        </w:rPr>
        <w:t>Asia</w:t>
      </w:r>
      <w:r>
        <w:rPr>
          <w:spacing w:val="-10"/>
          <w:sz w:val="22"/>
        </w:rPr>
        <w:t> </w:t>
      </w:r>
      <w:r>
        <w:rPr>
          <w:sz w:val="22"/>
        </w:rPr>
        <w:t>Developing</w:t>
      </w:r>
      <w:r>
        <w:rPr>
          <w:spacing w:val="-6"/>
          <w:sz w:val="22"/>
        </w:rPr>
        <w:t> </w:t>
      </w:r>
      <w:r>
        <w:rPr>
          <w:sz w:val="22"/>
        </w:rPr>
        <w:t>Member</w:t>
      </w:r>
      <w:r>
        <w:rPr>
          <w:spacing w:val="-7"/>
          <w:sz w:val="22"/>
        </w:rPr>
        <w:t> </w:t>
      </w:r>
      <w:r>
        <w:rPr>
          <w:sz w:val="22"/>
        </w:rPr>
        <w:t>Countries, December, Asian Development</w:t>
      </w:r>
      <w:r>
        <w:rPr>
          <w:spacing w:val="-8"/>
          <w:sz w:val="22"/>
        </w:rPr>
        <w:t> </w:t>
      </w:r>
      <w:r>
        <w:rPr>
          <w:sz w:val="22"/>
        </w:rPr>
        <w:t>Bank.</w:t>
      </w:r>
    </w:p>
    <w:p>
      <w:pPr>
        <w:pStyle w:val="ListParagraph"/>
        <w:numPr>
          <w:ilvl w:val="0"/>
          <w:numId w:val="57"/>
        </w:numPr>
        <w:tabs>
          <w:tab w:pos="1589" w:val="left" w:leader="none"/>
        </w:tabs>
        <w:spacing w:line="276" w:lineRule="auto" w:before="0" w:after="0"/>
        <w:ind w:left="1588" w:right="238" w:hanging="360"/>
        <w:jc w:val="both"/>
        <w:rPr>
          <w:sz w:val="22"/>
        </w:rPr>
      </w:pPr>
      <w:r>
        <w:rPr>
          <w:sz w:val="22"/>
        </w:rPr>
        <w:t>The World Bank’s Operations and Policy and Country Services (2016) “Managing the Risks of Adverse Impacts on Communities from temporary project induced labour influx” </w:t>
      </w:r>
      <w:hyperlink r:id="rId58">
        <w:r>
          <w:rPr>
            <w:color w:val="0462C1"/>
            <w:sz w:val="22"/>
            <w:u w:val="single" w:color="0462C1"/>
          </w:rPr>
          <w:t>http://pubdocs.worldbank.org/en/497851495202591233/Managing- </w:t>
        </w:r>
      </w:hyperlink>
      <w:hyperlink r:id="rId58">
        <w:r>
          <w:rPr>
            <w:color w:val="0462C1"/>
            <w:sz w:val="22"/>
            <w:u w:val="single" w:color="0462C1"/>
          </w:rPr>
          <w:t>Risk-of-Adverse-impact-from-project-labor-influx.pdf</w:t>
        </w:r>
      </w:hyperlink>
    </w:p>
    <w:p>
      <w:pPr>
        <w:pStyle w:val="ListParagraph"/>
        <w:numPr>
          <w:ilvl w:val="0"/>
          <w:numId w:val="57"/>
        </w:numPr>
        <w:tabs>
          <w:tab w:pos="1589" w:val="left" w:leader="none"/>
        </w:tabs>
        <w:spacing w:line="276" w:lineRule="auto" w:before="0" w:after="0"/>
        <w:ind w:left="1588" w:right="242" w:hanging="360"/>
        <w:jc w:val="both"/>
        <w:rPr>
          <w:sz w:val="22"/>
        </w:rPr>
      </w:pPr>
      <w:r>
        <w:rPr>
          <w:sz w:val="22"/>
        </w:rPr>
        <w:t>Urban Resource Centre, Karachi with Arif Hasan and Mansoor Raza (2015). “Responding to the transport crisis in Karachi”. IIED, London. </w:t>
      </w:r>
      <w:hyperlink r:id="rId59">
        <w:r>
          <w:rPr>
            <w:color w:val="0462C1"/>
            <w:sz w:val="22"/>
            <w:u w:val="single" w:color="0462C1"/>
          </w:rPr>
          <w:t>http://pubs.iied.org/10733IIED</w:t>
        </w:r>
      </w:hyperlink>
    </w:p>
    <w:p>
      <w:pPr>
        <w:pStyle w:val="ListParagraph"/>
        <w:numPr>
          <w:ilvl w:val="0"/>
          <w:numId w:val="57"/>
        </w:numPr>
        <w:tabs>
          <w:tab w:pos="1589" w:val="left" w:leader="none"/>
        </w:tabs>
        <w:spacing w:line="271" w:lineRule="auto" w:before="0" w:after="0"/>
        <w:ind w:left="1588" w:right="245" w:hanging="360"/>
        <w:jc w:val="both"/>
        <w:rPr>
          <w:sz w:val="22"/>
        </w:rPr>
      </w:pPr>
      <w:r>
        <w:rPr>
          <w:sz w:val="22"/>
        </w:rPr>
        <w:t>World Bank 2007, Environmental, Health, and Safety General Guidelines, published by the World Bank Group, 30 Apr</w:t>
      </w:r>
      <w:r>
        <w:rPr>
          <w:spacing w:val="-12"/>
          <w:sz w:val="22"/>
        </w:rPr>
        <w:t> </w:t>
      </w:r>
      <w:r>
        <w:rPr>
          <w:sz w:val="22"/>
        </w:rPr>
        <w:t>2007.</w:t>
      </w:r>
    </w:p>
    <w:p>
      <w:pPr>
        <w:pStyle w:val="ListParagraph"/>
        <w:numPr>
          <w:ilvl w:val="0"/>
          <w:numId w:val="57"/>
        </w:numPr>
        <w:tabs>
          <w:tab w:pos="1588" w:val="left" w:leader="none"/>
          <w:tab w:pos="1589" w:val="left" w:leader="none"/>
          <w:tab w:pos="2982" w:val="left" w:leader="none"/>
          <w:tab w:pos="3979" w:val="left" w:leader="none"/>
          <w:tab w:pos="5251" w:val="left" w:leader="none"/>
          <w:tab w:pos="6421" w:val="left" w:leader="none"/>
          <w:tab w:pos="7287" w:val="left" w:leader="none"/>
          <w:tab w:pos="8011" w:val="left" w:leader="none"/>
          <w:tab w:pos="9031" w:val="left" w:leader="none"/>
        </w:tabs>
        <w:spacing w:line="273" w:lineRule="auto" w:before="7" w:after="0"/>
        <w:ind w:left="1588" w:right="240" w:hanging="360"/>
        <w:jc w:val="left"/>
        <w:rPr>
          <w:sz w:val="22"/>
        </w:rPr>
      </w:pPr>
      <w:r>
        <w:rPr>
          <w:sz w:val="22"/>
        </w:rPr>
        <w:t>World Bank, “Good Practice Note: Addressing Gender-Based Violence in Investment</w:t>
        <w:tab/>
        <w:t>Project</w:t>
        <w:tab/>
        <w:t>Financing</w:t>
        <w:tab/>
        <w:t>involving</w:t>
        <w:tab/>
        <w:t>Major</w:t>
        <w:tab/>
        <w:t>Civil</w:t>
        <w:tab/>
        <w:t>Works”</w:t>
        <w:tab/>
        <w:t>2018 </w:t>
      </w:r>
      <w:hyperlink r:id="rId60">
        <w:r>
          <w:rPr>
            <w:sz w:val="22"/>
          </w:rPr>
          <w:t>http://pubdocs.worldbank.org/en/399881538336159607/Good-Practice-Note-</w:t>
        </w:r>
      </w:hyperlink>
      <w:r>
        <w:rPr>
          <w:sz w:val="22"/>
        </w:rPr>
        <w:t> </w:t>
      </w:r>
      <w:hyperlink r:id="rId60">
        <w:r>
          <w:rPr>
            <w:sz w:val="22"/>
          </w:rPr>
          <w:t>Addressing-Gender-Based-Violence.pdf</w:t>
        </w:r>
      </w:hyperlink>
    </w:p>
    <w:p>
      <w:pPr>
        <w:pStyle w:val="ListParagraph"/>
        <w:numPr>
          <w:ilvl w:val="0"/>
          <w:numId w:val="57"/>
        </w:numPr>
        <w:tabs>
          <w:tab w:pos="1588" w:val="left" w:leader="none"/>
          <w:tab w:pos="1589" w:val="left" w:leader="none"/>
        </w:tabs>
        <w:spacing w:line="273" w:lineRule="auto" w:before="4" w:after="0"/>
        <w:ind w:left="1588" w:right="356" w:hanging="360"/>
        <w:jc w:val="left"/>
        <w:rPr>
          <w:sz w:val="22"/>
        </w:rPr>
      </w:pPr>
      <w:r>
        <w:rPr>
          <w:sz w:val="22"/>
        </w:rPr>
        <w:t>Yellow BRT Corridor presentation at </w:t>
      </w:r>
      <w:hyperlink r:id="rId61">
        <w:r>
          <w:rPr>
            <w:color w:val="0000FF"/>
            <w:spacing w:val="-1"/>
            <w:sz w:val="22"/>
            <w:u w:val="single" w:color="0000FF"/>
          </w:rPr>
          <w:t>http://www.sbi.gos.pk/pdf/ROADSHOW2013_PRESENTATIONS/pdf/BRT%20Pr </w:t>
        </w:r>
      </w:hyperlink>
      <w:hyperlink r:id="rId61">
        <w:r>
          <w:rPr>
            <w:color w:val="0000FF"/>
            <w:sz w:val="22"/>
            <w:u w:val="single" w:color="0000FF"/>
          </w:rPr>
          <w:t>esentation.pdf</w:t>
        </w:r>
      </w:hyperlink>
    </w:p>
    <w:p>
      <w:pPr>
        <w:spacing w:after="0" w:line="273" w:lineRule="auto"/>
        <w:jc w:val="left"/>
        <w:rPr>
          <w:sz w:val="22"/>
        </w:rPr>
        <w:sectPr>
          <w:pgSz w:w="11910" w:h="16840"/>
          <w:pgMar w:header="583" w:footer="575" w:top="840" w:bottom="760" w:left="860" w:right="1280"/>
        </w:sectPr>
      </w:pPr>
    </w:p>
    <w:p>
      <w:pPr>
        <w:pStyle w:val="BodyText"/>
        <w:rPr>
          <w:sz w:val="20"/>
        </w:rPr>
      </w:pPr>
    </w:p>
    <w:p>
      <w:pPr>
        <w:pStyle w:val="BodyText"/>
        <w:rPr>
          <w:sz w:val="20"/>
        </w:rPr>
      </w:pPr>
    </w:p>
    <w:p>
      <w:pPr>
        <w:pStyle w:val="BodyText"/>
        <w:spacing w:before="10"/>
        <w:rPr>
          <w:sz w:val="27"/>
        </w:rPr>
      </w:pPr>
    </w:p>
    <w:p>
      <w:pPr>
        <w:pStyle w:val="Heading1"/>
        <w:rPr>
          <w:u w:val="none"/>
        </w:rPr>
      </w:pPr>
      <w:bookmarkStart w:name="_bookmark104" w:id="177"/>
      <w:bookmarkEnd w:id="177"/>
      <w:r>
        <w:rPr>
          <w:b w:val="0"/>
          <w:u w:val="none"/>
        </w:rPr>
      </w:r>
      <w:r>
        <w:rPr>
          <w:u w:val="none"/>
        </w:rPr>
        <w:t>Annex-I: SIA- Census Survey of the Project Impacted Persons</w:t>
      </w:r>
    </w:p>
    <w:p>
      <w:pPr>
        <w:pStyle w:val="BodyText"/>
        <w:rPr>
          <w:b/>
          <w:sz w:val="30"/>
        </w:rPr>
      </w:pPr>
    </w:p>
    <w:p>
      <w:pPr>
        <w:pStyle w:val="Heading3"/>
        <w:spacing w:before="209"/>
        <w:ind w:left="3454" w:right="2823"/>
        <w:jc w:val="center"/>
      </w:pPr>
      <w:r>
        <w:rPr/>
        <w:t>BRT Yellow BRT Corridor Karachi</w:t>
      </w:r>
    </w:p>
    <w:p>
      <w:pPr>
        <w:pStyle w:val="BodyText"/>
        <w:rPr>
          <w:b/>
          <w:sz w:val="24"/>
        </w:rPr>
      </w:pPr>
    </w:p>
    <w:p>
      <w:pPr>
        <w:pStyle w:val="BodyText"/>
        <w:spacing w:before="8"/>
        <w:rPr>
          <w:b/>
          <w:sz w:val="20"/>
        </w:rPr>
      </w:pPr>
    </w:p>
    <w:p>
      <w:pPr>
        <w:pStyle w:val="BodyText"/>
        <w:ind w:left="5655"/>
      </w:pPr>
      <w:r>
        <w:rPr/>
        <w:pict>
          <v:shape style="position:absolute;margin-left:429.820007pt;margin-top:-.482149pt;width:99.6pt;height:13.7pt;mso-position-horizontal-relative:page;mso-position-vertical-relative:paragraph;z-index:1816"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0"/>
                    <w:gridCol w:w="658"/>
                    <w:gridCol w:w="660"/>
                  </w:tblGrid>
                  <w:tr>
                    <w:trPr>
                      <w:trHeight w:val="264" w:hRule="exact"/>
                    </w:trPr>
                    <w:tc>
                      <w:tcPr>
                        <w:tcW w:w="660" w:type="dxa"/>
                      </w:tcPr>
                      <w:p>
                        <w:pPr/>
                      </w:p>
                    </w:tc>
                    <w:tc>
                      <w:tcPr>
                        <w:tcW w:w="658" w:type="dxa"/>
                      </w:tcPr>
                      <w:p>
                        <w:pPr/>
                      </w:p>
                    </w:tc>
                    <w:tc>
                      <w:tcPr>
                        <w:tcW w:w="660" w:type="dxa"/>
                      </w:tcPr>
                      <w:p>
                        <w:pPr/>
                      </w:p>
                    </w:tc>
                  </w:tr>
                </w:tbl>
                <w:p>
                  <w:pPr>
                    <w:pStyle w:val="BodyText"/>
                  </w:pPr>
                </w:p>
              </w:txbxContent>
            </v:textbox>
            <w10:wrap type="none"/>
          </v:shape>
        </w:pict>
      </w:r>
      <w:r>
        <w:rPr/>
        <w:t>ID Number</w:t>
      </w:r>
    </w:p>
    <w:p>
      <w:pPr>
        <w:pStyle w:val="BodyText"/>
        <w:spacing w:before="7"/>
        <w:rPr>
          <w:sz w:val="23"/>
        </w:rPr>
      </w:pPr>
    </w:p>
    <w:p>
      <w:pPr>
        <w:pStyle w:val="BodyText"/>
        <w:ind w:left="5609"/>
      </w:pPr>
      <w:r>
        <w:rPr/>
        <w:pict>
          <v:shape style="position:absolute;margin-left:427.540009pt;margin-top:-.482117pt;width:102pt;height:13.7pt;mso-position-horizontal-relative:page;mso-position-vertical-relative:paragraph;z-index:184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0"/>
                    <w:gridCol w:w="658"/>
                    <w:gridCol w:w="708"/>
                  </w:tblGrid>
                  <w:tr>
                    <w:trPr>
                      <w:trHeight w:val="264" w:hRule="exact"/>
                    </w:trPr>
                    <w:tc>
                      <w:tcPr>
                        <w:tcW w:w="660" w:type="dxa"/>
                      </w:tcPr>
                      <w:p>
                        <w:pPr/>
                      </w:p>
                    </w:tc>
                    <w:tc>
                      <w:tcPr>
                        <w:tcW w:w="658" w:type="dxa"/>
                      </w:tcPr>
                      <w:p>
                        <w:pPr>
                          <w:pStyle w:val="TableParagraph"/>
                          <w:spacing w:before="0"/>
                          <w:ind w:left="100"/>
                          <w:rPr>
                            <w:sz w:val="22"/>
                          </w:rPr>
                        </w:pPr>
                        <w:r>
                          <w:rPr>
                            <w:sz w:val="22"/>
                          </w:rPr>
                          <w:t>02</w:t>
                        </w:r>
                      </w:p>
                    </w:tc>
                    <w:tc>
                      <w:tcPr>
                        <w:tcW w:w="708" w:type="dxa"/>
                      </w:tcPr>
                      <w:p>
                        <w:pPr>
                          <w:pStyle w:val="TableParagraph"/>
                          <w:spacing w:before="0"/>
                          <w:ind w:left="103"/>
                          <w:rPr>
                            <w:sz w:val="22"/>
                          </w:rPr>
                        </w:pPr>
                        <w:r>
                          <w:rPr>
                            <w:sz w:val="22"/>
                          </w:rPr>
                          <w:t>2019</w:t>
                        </w:r>
                      </w:p>
                    </w:tc>
                  </w:tr>
                </w:tbl>
                <w:p>
                  <w:pPr>
                    <w:pStyle w:val="BodyText"/>
                  </w:pPr>
                </w:p>
              </w:txbxContent>
            </v:textbox>
            <w10:wrap type="none"/>
          </v:shape>
        </w:pict>
      </w:r>
      <w:r>
        <w:rPr/>
        <w:t>Date of Interview</w:t>
      </w:r>
    </w:p>
    <w:p>
      <w:pPr>
        <w:pStyle w:val="BodyText"/>
        <w:rPr>
          <w:sz w:val="24"/>
        </w:rPr>
      </w:pPr>
    </w:p>
    <w:p>
      <w:pPr>
        <w:pStyle w:val="BodyText"/>
        <w:rPr>
          <w:sz w:val="24"/>
        </w:rPr>
      </w:pPr>
    </w:p>
    <w:p>
      <w:pPr>
        <w:pStyle w:val="BodyText"/>
        <w:rPr>
          <w:sz w:val="19"/>
        </w:rPr>
      </w:pPr>
    </w:p>
    <w:p>
      <w:pPr>
        <w:pStyle w:val="ListParagraph"/>
        <w:numPr>
          <w:ilvl w:val="0"/>
          <w:numId w:val="58"/>
        </w:numPr>
        <w:tabs>
          <w:tab w:pos="1589" w:val="left" w:leader="none"/>
          <w:tab w:pos="7004" w:val="left" w:leader="none"/>
        </w:tabs>
        <w:spacing w:line="240" w:lineRule="auto" w:before="0" w:after="0"/>
        <w:ind w:left="1588" w:right="0" w:hanging="360"/>
        <w:jc w:val="left"/>
        <w:rPr>
          <w:sz w:val="22"/>
        </w:rPr>
      </w:pPr>
      <w:r>
        <w:rPr>
          <w:sz w:val="22"/>
        </w:rPr>
        <w:t>Name of Respondent</w:t>
      </w:r>
      <w:r>
        <w:rPr>
          <w:spacing w:val="-3"/>
          <w:sz w:val="22"/>
        </w:rPr>
        <w:t> </w:t>
      </w:r>
      <w:r>
        <w:rPr>
          <w:sz w:val="22"/>
        </w:rPr>
        <w:t>Vendor:</w:t>
      </w:r>
      <w:r>
        <w:rPr>
          <w:sz w:val="22"/>
          <w:u w:val="single"/>
        </w:rPr>
        <w:t> </w:t>
        <w:tab/>
      </w:r>
    </w:p>
    <w:p>
      <w:pPr>
        <w:pStyle w:val="BodyText"/>
        <w:spacing w:before="10"/>
        <w:rPr>
          <w:sz w:val="13"/>
        </w:rPr>
      </w:pPr>
    </w:p>
    <w:p>
      <w:pPr>
        <w:pStyle w:val="ListParagraph"/>
        <w:numPr>
          <w:ilvl w:val="0"/>
          <w:numId w:val="58"/>
        </w:numPr>
        <w:tabs>
          <w:tab w:pos="1589" w:val="left" w:leader="none"/>
          <w:tab w:pos="8899" w:val="left" w:leader="none"/>
        </w:tabs>
        <w:spacing w:line="240" w:lineRule="auto" w:before="94" w:after="0"/>
        <w:ind w:left="1588" w:right="0" w:hanging="360"/>
        <w:jc w:val="left"/>
        <w:rPr>
          <w:sz w:val="22"/>
        </w:rPr>
      </w:pPr>
      <w:r>
        <w:rPr>
          <w:sz w:val="22"/>
        </w:rPr>
        <w:t>Father’s /Husband’s</w:t>
      </w:r>
      <w:r>
        <w:rPr>
          <w:spacing w:val="-7"/>
          <w:sz w:val="22"/>
        </w:rPr>
        <w:t> </w:t>
      </w:r>
      <w:r>
        <w:rPr>
          <w:sz w:val="22"/>
        </w:rPr>
        <w:t>Name:</w:t>
      </w:r>
      <w:r>
        <w:rPr>
          <w:spacing w:val="-1"/>
          <w:sz w:val="22"/>
        </w:rPr>
        <w:t> </w:t>
      </w:r>
      <w:r>
        <w:rPr>
          <w:w w:val="100"/>
          <w:sz w:val="22"/>
          <w:u w:val="single"/>
        </w:rPr>
        <w:t> </w:t>
      </w:r>
      <w:r>
        <w:rPr>
          <w:sz w:val="22"/>
          <w:u w:val="single"/>
        </w:rPr>
        <w:tab/>
      </w:r>
    </w:p>
    <w:p>
      <w:pPr>
        <w:pStyle w:val="BodyText"/>
        <w:spacing w:before="10"/>
        <w:rPr>
          <w:sz w:val="13"/>
        </w:rPr>
      </w:pPr>
    </w:p>
    <w:p>
      <w:pPr>
        <w:pStyle w:val="ListParagraph"/>
        <w:numPr>
          <w:ilvl w:val="0"/>
          <w:numId w:val="58"/>
        </w:numPr>
        <w:tabs>
          <w:tab w:pos="1589" w:val="left" w:leader="none"/>
          <w:tab w:pos="9424" w:val="left" w:leader="none"/>
        </w:tabs>
        <w:spacing w:line="240" w:lineRule="auto" w:before="94" w:after="0"/>
        <w:ind w:left="1588" w:right="0" w:hanging="360"/>
        <w:jc w:val="left"/>
        <w:rPr>
          <w:sz w:val="22"/>
        </w:rPr>
      </w:pPr>
      <w:r>
        <w:rPr>
          <w:sz w:val="22"/>
        </w:rPr>
        <w:t>What is your residential address in</w:t>
      </w:r>
      <w:r>
        <w:rPr>
          <w:spacing w:val="-10"/>
          <w:sz w:val="22"/>
        </w:rPr>
        <w:t> </w:t>
      </w:r>
      <w:r>
        <w:rPr>
          <w:sz w:val="22"/>
        </w:rPr>
        <w:t>Karachi? </w:t>
      </w:r>
      <w:r>
        <w:rPr>
          <w:w w:val="100"/>
          <w:sz w:val="22"/>
          <w:u w:val="single"/>
        </w:rPr>
        <w:t> </w:t>
      </w:r>
      <w:r>
        <w:rPr>
          <w:sz w:val="22"/>
          <w:u w:val="single"/>
        </w:rPr>
        <w:tab/>
      </w:r>
    </w:p>
    <w:p>
      <w:pPr>
        <w:pStyle w:val="BodyText"/>
        <w:rPr>
          <w:sz w:val="20"/>
        </w:rPr>
      </w:pPr>
    </w:p>
    <w:p>
      <w:pPr>
        <w:pStyle w:val="BodyText"/>
        <w:spacing w:before="11"/>
        <w:rPr>
          <w:sz w:val="18"/>
        </w:rPr>
      </w:pPr>
      <w:r>
        <w:rPr/>
        <w:pict>
          <v:line style="position:absolute;mso-position-horizontal-relative:page;mso-position-vertical-relative:paragraph;z-index:1792;mso-wrap-distance-left:0;mso-wrap-distance-right:0" from="122.419998pt,13.213925pt" to="514.102577pt,13.213925pt" stroked="true" strokeweight=".69552pt" strokecolor="#000000">
            <v:stroke dashstyle="solid"/>
            <w10:wrap type="topAndBottom"/>
          </v:line>
        </w:pict>
      </w:r>
    </w:p>
    <w:p>
      <w:pPr>
        <w:pStyle w:val="BodyText"/>
        <w:spacing w:before="7"/>
        <w:rPr>
          <w:sz w:val="11"/>
        </w:rPr>
      </w:pPr>
    </w:p>
    <w:p>
      <w:pPr>
        <w:pStyle w:val="ListParagraph"/>
        <w:numPr>
          <w:ilvl w:val="0"/>
          <w:numId w:val="58"/>
        </w:numPr>
        <w:tabs>
          <w:tab w:pos="1589" w:val="left" w:leader="none"/>
          <w:tab w:pos="6600" w:val="left" w:leader="none"/>
        </w:tabs>
        <w:spacing w:line="240" w:lineRule="auto" w:before="93" w:after="0"/>
        <w:ind w:left="1588" w:right="0" w:hanging="360"/>
        <w:jc w:val="left"/>
        <w:rPr>
          <w:sz w:val="22"/>
        </w:rPr>
      </w:pPr>
      <w:r>
        <w:rPr>
          <w:sz w:val="22"/>
        </w:rPr>
        <w:t>Vending</w:t>
      </w:r>
      <w:r>
        <w:rPr>
          <w:spacing w:val="-1"/>
          <w:sz w:val="22"/>
        </w:rPr>
        <w:t> </w:t>
      </w:r>
      <w:r>
        <w:rPr>
          <w:sz w:val="22"/>
        </w:rPr>
        <w:t>address: </w:t>
      </w:r>
      <w:r>
        <w:rPr>
          <w:w w:val="100"/>
          <w:sz w:val="22"/>
          <w:u w:val="single"/>
        </w:rPr>
        <w:t> </w:t>
      </w:r>
      <w:r>
        <w:rPr>
          <w:sz w:val="22"/>
          <w:u w:val="single"/>
        </w:rPr>
        <w:tab/>
      </w:r>
    </w:p>
    <w:p>
      <w:pPr>
        <w:pStyle w:val="BodyText"/>
        <w:spacing w:before="9"/>
        <w:rPr>
          <w:sz w:val="13"/>
        </w:rPr>
      </w:pPr>
    </w:p>
    <w:p>
      <w:pPr>
        <w:pStyle w:val="ListParagraph"/>
        <w:numPr>
          <w:ilvl w:val="0"/>
          <w:numId w:val="58"/>
        </w:numPr>
        <w:tabs>
          <w:tab w:pos="1589" w:val="left" w:leader="none"/>
          <w:tab w:pos="6343" w:val="left" w:leader="none"/>
        </w:tabs>
        <w:spacing w:line="240" w:lineRule="auto" w:before="94" w:after="0"/>
        <w:ind w:left="1588" w:right="0" w:hanging="360"/>
        <w:jc w:val="left"/>
        <w:rPr>
          <w:sz w:val="22"/>
        </w:rPr>
      </w:pPr>
      <w:r>
        <w:rPr>
          <w:sz w:val="22"/>
        </w:rPr>
        <w:t>Mobile Phone</w:t>
      </w:r>
      <w:r>
        <w:rPr>
          <w:spacing w:val="-2"/>
          <w:sz w:val="22"/>
        </w:rPr>
        <w:t> </w:t>
      </w:r>
      <w:r>
        <w:rPr>
          <w:sz w:val="22"/>
        </w:rPr>
        <w:t>Number:</w:t>
      </w:r>
      <w:r>
        <w:rPr>
          <w:w w:val="100"/>
          <w:sz w:val="22"/>
          <w:u w:val="single"/>
        </w:rPr>
        <w:t> </w:t>
      </w:r>
      <w:r>
        <w:rPr>
          <w:sz w:val="22"/>
          <w:u w:val="single"/>
        </w:rPr>
        <w:tab/>
      </w:r>
    </w:p>
    <w:p>
      <w:pPr>
        <w:pStyle w:val="BodyText"/>
        <w:spacing w:before="10"/>
        <w:rPr>
          <w:sz w:val="13"/>
        </w:rPr>
      </w:pPr>
    </w:p>
    <w:p>
      <w:pPr>
        <w:pStyle w:val="ListParagraph"/>
        <w:numPr>
          <w:ilvl w:val="0"/>
          <w:numId w:val="58"/>
        </w:numPr>
        <w:tabs>
          <w:tab w:pos="1589" w:val="left" w:leader="none"/>
          <w:tab w:pos="6441" w:val="left" w:leader="none"/>
        </w:tabs>
        <w:spacing w:line="240" w:lineRule="auto" w:before="93" w:after="0"/>
        <w:ind w:left="1588" w:right="0" w:hanging="360"/>
        <w:jc w:val="left"/>
        <w:rPr>
          <w:i/>
          <w:sz w:val="22"/>
        </w:rPr>
      </w:pPr>
      <w:r>
        <w:rPr>
          <w:sz w:val="22"/>
        </w:rPr>
        <w:t>Ethnicity / tribe/</w:t>
      </w:r>
      <w:r>
        <w:rPr>
          <w:spacing w:val="-7"/>
          <w:sz w:val="22"/>
        </w:rPr>
        <w:t> </w:t>
      </w:r>
      <w:r>
        <w:rPr>
          <w:i/>
          <w:sz w:val="22"/>
        </w:rPr>
        <w:t>Quom</w:t>
      </w:r>
      <w:r>
        <w:rPr>
          <w:i/>
          <w:spacing w:val="-1"/>
          <w:sz w:val="22"/>
        </w:rPr>
        <w:t> </w:t>
      </w:r>
      <w:r>
        <w:rPr>
          <w:i/>
          <w:w w:val="100"/>
          <w:sz w:val="22"/>
          <w:u w:val="single"/>
        </w:rPr>
        <w:t> </w:t>
      </w:r>
      <w:r>
        <w:rPr>
          <w:i/>
          <w:sz w:val="22"/>
          <w:u w:val="single"/>
        </w:rPr>
        <w:tab/>
      </w:r>
    </w:p>
    <w:p>
      <w:pPr>
        <w:pStyle w:val="BodyText"/>
        <w:spacing w:before="3"/>
        <w:rPr>
          <w:i/>
          <w:sz w:val="20"/>
        </w:rPr>
      </w:pPr>
    </w:p>
    <w:p>
      <w:pPr>
        <w:pStyle w:val="ListParagraph"/>
        <w:numPr>
          <w:ilvl w:val="0"/>
          <w:numId w:val="58"/>
        </w:numPr>
        <w:tabs>
          <w:tab w:pos="1589" w:val="left" w:leader="none"/>
          <w:tab w:pos="3028" w:val="left" w:leader="none"/>
          <w:tab w:pos="5909" w:val="left" w:leader="none"/>
          <w:tab w:pos="8261" w:val="left" w:leader="none"/>
        </w:tabs>
        <w:spacing w:line="240" w:lineRule="auto" w:before="1" w:after="0"/>
        <w:ind w:left="1588" w:right="0" w:hanging="360"/>
        <w:jc w:val="left"/>
        <w:rPr>
          <w:sz w:val="22"/>
        </w:rPr>
      </w:pPr>
      <w:r>
        <w:rPr>
          <w:sz w:val="22"/>
        </w:rPr>
        <w:t>Religion?</w:t>
        <w:tab/>
        <w:t>Islam  </w:t>
      </w:r>
      <w:r>
        <w:rPr>
          <w:spacing w:val="38"/>
          <w:sz w:val="22"/>
        </w:rPr>
        <w:t> </w:t>
      </w:r>
      <w:r>
        <w:rPr>
          <w:rFonts w:ascii="Segoe UI Emoji" w:hAnsi="Segoe UI Emoji"/>
          <w:spacing w:val="-5"/>
          <w:sz w:val="22"/>
        </w:rPr>
        <w:t>▢</w:t>
      </w:r>
      <w:r>
        <w:rPr>
          <w:spacing w:val="-5"/>
          <w:sz w:val="22"/>
        </w:rPr>
        <w:t>Christianity  </w:t>
      </w:r>
      <w:r>
        <w:rPr>
          <w:spacing w:val="30"/>
          <w:sz w:val="22"/>
        </w:rPr>
        <w:t> </w:t>
      </w:r>
      <w:r>
        <w:rPr>
          <w:rFonts w:ascii="Segoe UI Emoji" w:hAnsi="Segoe UI Emoji"/>
          <w:sz w:val="22"/>
        </w:rPr>
        <w:t>▢</w:t>
        <w:tab/>
      </w:r>
      <w:r>
        <w:rPr>
          <w:sz w:val="22"/>
        </w:rPr>
        <w:t>other</w:t>
      </w:r>
      <w:r>
        <w:rPr>
          <w:spacing w:val="-2"/>
          <w:sz w:val="22"/>
        </w:rPr>
        <w:t> </w:t>
      </w:r>
      <w:r>
        <w:rPr>
          <w:sz w:val="22"/>
        </w:rPr>
        <w:t>(specify)</w:t>
      </w:r>
      <w:r>
        <w:rPr>
          <w:spacing w:val="-17"/>
          <w:sz w:val="22"/>
        </w:rPr>
        <w:t> </w:t>
      </w:r>
      <w:r>
        <w:rPr>
          <w:w w:val="100"/>
          <w:sz w:val="22"/>
          <w:u w:val="single"/>
        </w:rPr>
        <w:t> </w:t>
      </w:r>
      <w:r>
        <w:rPr>
          <w:sz w:val="22"/>
          <w:u w:val="single"/>
        </w:rPr>
        <w:tab/>
      </w:r>
    </w:p>
    <w:p>
      <w:pPr>
        <w:pStyle w:val="BodyText"/>
        <w:spacing w:before="3"/>
        <w:rPr>
          <w:sz w:val="24"/>
        </w:rPr>
      </w:pPr>
    </w:p>
    <w:p>
      <w:pPr>
        <w:pStyle w:val="ListParagraph"/>
        <w:numPr>
          <w:ilvl w:val="0"/>
          <w:numId w:val="58"/>
        </w:numPr>
        <w:tabs>
          <w:tab w:pos="1589" w:val="left" w:leader="none"/>
        </w:tabs>
        <w:spacing w:line="240" w:lineRule="auto" w:before="0" w:after="0"/>
        <w:ind w:left="1588" w:right="0" w:hanging="360"/>
        <w:jc w:val="left"/>
        <w:rPr>
          <w:rFonts w:ascii="Segoe UI Emoji" w:hAnsi="Segoe UI Emoji"/>
          <w:sz w:val="22"/>
        </w:rPr>
      </w:pPr>
      <w:r>
        <w:rPr>
          <w:sz w:val="22"/>
        </w:rPr>
        <w:t>Marital status:  Married </w:t>
      </w:r>
      <w:r>
        <w:rPr>
          <w:rFonts w:ascii="Segoe UI Emoji" w:hAnsi="Segoe UI Emoji"/>
          <w:spacing w:val="-6"/>
          <w:sz w:val="22"/>
        </w:rPr>
        <w:t>▢</w:t>
      </w:r>
      <w:r>
        <w:rPr>
          <w:spacing w:val="-6"/>
          <w:sz w:val="22"/>
        </w:rPr>
        <w:t>Unmarried    </w:t>
      </w:r>
      <w:r>
        <w:rPr>
          <w:rFonts w:ascii="Segoe UI Emoji" w:hAnsi="Segoe UI Emoji"/>
          <w:spacing w:val="-4"/>
          <w:sz w:val="22"/>
        </w:rPr>
        <w:t>▢</w:t>
      </w:r>
      <w:r>
        <w:rPr>
          <w:spacing w:val="-4"/>
          <w:sz w:val="22"/>
        </w:rPr>
        <w:t>Widow(er)/Divorced </w:t>
      </w:r>
      <w:r>
        <w:rPr>
          <w:rFonts w:ascii="Segoe UI Emoji" w:hAnsi="Segoe UI Emoji"/>
          <w:spacing w:val="-11"/>
          <w:sz w:val="22"/>
        </w:rPr>
        <w:t>▢</w:t>
      </w:r>
      <w:r>
        <w:rPr>
          <w:spacing w:val="-11"/>
          <w:sz w:val="22"/>
        </w:rPr>
        <w:t>Other </w:t>
      </w:r>
      <w:r>
        <w:rPr>
          <w:spacing w:val="-10"/>
          <w:sz w:val="22"/>
        </w:rPr>
        <w:t> </w:t>
      </w:r>
      <w:r>
        <w:rPr>
          <w:rFonts w:ascii="Segoe UI Emoji" w:hAnsi="Segoe UI Emoji"/>
          <w:sz w:val="22"/>
        </w:rPr>
        <w:t>▢</w:t>
      </w:r>
    </w:p>
    <w:p>
      <w:pPr>
        <w:pStyle w:val="BodyText"/>
        <w:spacing w:before="12"/>
        <w:rPr>
          <w:rFonts w:ascii="Segoe UI Emoji"/>
          <w:sz w:val="20"/>
        </w:rPr>
      </w:pPr>
    </w:p>
    <w:p>
      <w:pPr>
        <w:pStyle w:val="ListParagraph"/>
        <w:numPr>
          <w:ilvl w:val="0"/>
          <w:numId w:val="58"/>
        </w:numPr>
        <w:tabs>
          <w:tab w:pos="1589" w:val="left" w:leader="none"/>
          <w:tab w:pos="7349" w:val="left" w:leader="none"/>
          <w:tab w:pos="8069" w:val="left" w:leader="none"/>
          <w:tab w:pos="8789" w:val="left" w:leader="none"/>
        </w:tabs>
        <w:spacing w:line="240" w:lineRule="auto" w:before="0" w:after="0"/>
        <w:ind w:left="1588" w:right="0" w:hanging="360"/>
        <w:jc w:val="left"/>
        <w:rPr>
          <w:rFonts w:ascii="Segoe UI Emoji" w:hAnsi="Segoe UI Emoji"/>
          <w:sz w:val="22"/>
        </w:rPr>
      </w:pPr>
      <w:r>
        <w:rPr>
          <w:sz w:val="22"/>
        </w:rPr>
        <w:t>Have you employed any other person to assist</w:t>
      </w:r>
      <w:r>
        <w:rPr>
          <w:spacing w:val="-8"/>
          <w:sz w:val="22"/>
        </w:rPr>
        <w:t> </w:t>
      </w:r>
      <w:r>
        <w:rPr>
          <w:sz w:val="22"/>
        </w:rPr>
        <w:t>you?</w:t>
      </w:r>
      <w:r>
        <w:rPr>
          <w:spacing w:val="1"/>
          <w:sz w:val="22"/>
        </w:rPr>
        <w:t> </w:t>
      </w:r>
      <w:r>
        <w:rPr>
          <w:sz w:val="22"/>
        </w:rPr>
        <w:t>Yes</w:t>
        <w:tab/>
      </w:r>
      <w:r>
        <w:rPr>
          <w:rFonts w:ascii="Segoe UI Emoji" w:hAnsi="Segoe UI Emoji"/>
          <w:sz w:val="22"/>
        </w:rPr>
        <w:t>▢</w:t>
        <w:tab/>
      </w:r>
      <w:r>
        <w:rPr>
          <w:sz w:val="22"/>
        </w:rPr>
        <w:t>No</w:t>
        <w:tab/>
      </w:r>
      <w:r>
        <w:rPr>
          <w:rFonts w:ascii="Segoe UI Emoji" w:hAnsi="Segoe UI Emoji"/>
          <w:sz w:val="22"/>
        </w:rPr>
        <w:t>▢</w:t>
      </w:r>
    </w:p>
    <w:p>
      <w:pPr>
        <w:pStyle w:val="BodyText"/>
        <w:spacing w:before="7"/>
        <w:rPr>
          <w:rFonts w:ascii="Segoe UI Emoji"/>
        </w:rPr>
      </w:pPr>
    </w:p>
    <w:p>
      <w:pPr>
        <w:pStyle w:val="ListParagraph"/>
        <w:numPr>
          <w:ilvl w:val="0"/>
          <w:numId w:val="58"/>
        </w:numPr>
        <w:tabs>
          <w:tab w:pos="1589" w:val="left" w:leader="none"/>
          <w:tab w:pos="7820" w:val="left" w:leader="none"/>
        </w:tabs>
        <w:spacing w:line="240" w:lineRule="auto" w:before="0" w:after="0"/>
        <w:ind w:left="1588" w:right="0" w:hanging="360"/>
        <w:jc w:val="left"/>
        <w:rPr>
          <w:sz w:val="22"/>
        </w:rPr>
      </w:pPr>
      <w:r>
        <w:rPr>
          <w:sz w:val="22"/>
        </w:rPr>
        <w:t>If yes, what is the monthly salary of this person?</w:t>
      </w:r>
      <w:r>
        <w:rPr>
          <w:spacing w:val="-17"/>
          <w:sz w:val="22"/>
        </w:rPr>
        <w:t> </w:t>
      </w:r>
      <w:r>
        <w:rPr>
          <w:sz w:val="22"/>
        </w:rPr>
        <w:t>Rs.</w:t>
      </w:r>
      <w:r>
        <w:rPr>
          <w:w w:val="100"/>
          <w:sz w:val="22"/>
          <w:u w:val="single"/>
        </w:rPr>
        <w:t> </w:t>
      </w:r>
      <w:r>
        <w:rPr>
          <w:sz w:val="22"/>
          <w:u w:val="single"/>
        </w:rPr>
        <w:tab/>
      </w:r>
    </w:p>
    <w:p>
      <w:pPr>
        <w:pStyle w:val="BodyText"/>
        <w:spacing w:before="8"/>
        <w:rPr>
          <w:sz w:val="13"/>
        </w:rPr>
      </w:pPr>
    </w:p>
    <w:p>
      <w:pPr>
        <w:pStyle w:val="ListParagraph"/>
        <w:numPr>
          <w:ilvl w:val="0"/>
          <w:numId w:val="58"/>
        </w:numPr>
        <w:tabs>
          <w:tab w:pos="1589" w:val="left" w:leader="none"/>
          <w:tab w:pos="8859" w:val="left" w:leader="none"/>
        </w:tabs>
        <w:spacing w:line="240" w:lineRule="auto" w:before="93" w:after="0"/>
        <w:ind w:left="1588" w:right="0" w:hanging="360"/>
        <w:jc w:val="left"/>
        <w:rPr>
          <w:sz w:val="22"/>
        </w:rPr>
      </w:pPr>
      <w:r>
        <w:rPr>
          <w:sz w:val="22"/>
        </w:rPr>
        <w:t>What kind of goods is sold or serviced provided by</w:t>
      </w:r>
      <w:r>
        <w:rPr>
          <w:spacing w:val="-18"/>
          <w:sz w:val="22"/>
        </w:rPr>
        <w:t> </w:t>
      </w:r>
      <w:r>
        <w:rPr>
          <w:sz w:val="22"/>
        </w:rPr>
        <w:t>you? </w:t>
      </w:r>
      <w:r>
        <w:rPr>
          <w:w w:val="100"/>
          <w:sz w:val="22"/>
          <w:u w:val="single"/>
        </w:rPr>
        <w:t> </w:t>
      </w:r>
      <w:r>
        <w:rPr>
          <w:sz w:val="22"/>
          <w:u w:val="single"/>
        </w:rPr>
        <w:tab/>
      </w:r>
    </w:p>
    <w:p>
      <w:pPr>
        <w:pStyle w:val="BodyText"/>
        <w:spacing w:before="9"/>
        <w:rPr>
          <w:sz w:val="13"/>
        </w:rPr>
      </w:pPr>
    </w:p>
    <w:p>
      <w:pPr>
        <w:pStyle w:val="ListParagraph"/>
        <w:numPr>
          <w:ilvl w:val="0"/>
          <w:numId w:val="58"/>
        </w:numPr>
        <w:tabs>
          <w:tab w:pos="1589" w:val="left" w:leader="none"/>
        </w:tabs>
        <w:spacing w:line="240" w:lineRule="auto" w:before="94" w:after="0"/>
        <w:ind w:left="1588" w:right="0" w:hanging="360"/>
        <w:jc w:val="left"/>
        <w:rPr>
          <w:sz w:val="22"/>
        </w:rPr>
      </w:pPr>
      <w:r>
        <w:rPr>
          <w:sz w:val="22"/>
        </w:rPr>
        <w:t>What is the estimated total worth of merchandise in this this place</w:t>
      </w:r>
      <w:r>
        <w:rPr>
          <w:spacing w:val="-23"/>
          <w:sz w:val="22"/>
        </w:rPr>
        <w:t> </w:t>
      </w:r>
      <w:r>
        <w:rPr>
          <w:sz w:val="22"/>
        </w:rPr>
        <w:t>today?</w:t>
      </w:r>
    </w:p>
    <w:p>
      <w:pPr>
        <w:pStyle w:val="BodyText"/>
      </w:pPr>
    </w:p>
    <w:p>
      <w:pPr>
        <w:pStyle w:val="BodyText"/>
        <w:tabs>
          <w:tab w:pos="2955" w:val="left" w:leader="none"/>
        </w:tabs>
        <w:ind w:left="1588"/>
      </w:pPr>
      <w:r>
        <w:rPr/>
        <w:t>Rs.</w:t>
      </w:r>
      <w:r>
        <w:rPr>
          <w:w w:val="100"/>
          <w:u w:val="single"/>
        </w:rPr>
        <w:t> </w:t>
      </w:r>
      <w:r>
        <w:rPr>
          <w:u w:val="single"/>
        </w:rPr>
        <w:tab/>
      </w:r>
    </w:p>
    <w:p>
      <w:pPr>
        <w:pStyle w:val="BodyText"/>
        <w:spacing w:before="10"/>
        <w:rPr>
          <w:sz w:val="13"/>
        </w:rPr>
      </w:pPr>
    </w:p>
    <w:p>
      <w:pPr>
        <w:pStyle w:val="ListParagraph"/>
        <w:numPr>
          <w:ilvl w:val="0"/>
          <w:numId w:val="58"/>
        </w:numPr>
        <w:tabs>
          <w:tab w:pos="1589" w:val="left" w:leader="none"/>
          <w:tab w:pos="9165" w:val="left" w:leader="none"/>
        </w:tabs>
        <w:spacing w:line="240" w:lineRule="auto" w:before="94" w:after="0"/>
        <w:ind w:left="1588" w:right="0" w:hanging="360"/>
        <w:jc w:val="left"/>
        <w:rPr>
          <w:sz w:val="22"/>
        </w:rPr>
      </w:pPr>
      <w:r>
        <w:rPr>
          <w:sz w:val="22"/>
        </w:rPr>
        <w:t>What is your average monthly income from this vending?</w:t>
      </w:r>
      <w:r>
        <w:rPr>
          <w:spacing w:val="-18"/>
          <w:sz w:val="22"/>
        </w:rPr>
        <w:t> </w:t>
      </w:r>
      <w:r>
        <w:rPr>
          <w:sz w:val="22"/>
        </w:rPr>
        <w:t>Rs.</w:t>
      </w:r>
      <w:r>
        <w:rPr>
          <w:sz w:val="22"/>
          <w:u w:val="single"/>
        </w:rPr>
        <w:t> </w:t>
        <w:tab/>
      </w:r>
    </w:p>
    <w:p>
      <w:pPr>
        <w:pStyle w:val="BodyText"/>
        <w:spacing w:before="5"/>
        <w:rPr>
          <w:sz w:val="20"/>
        </w:rPr>
      </w:pPr>
    </w:p>
    <w:p>
      <w:pPr>
        <w:pStyle w:val="ListParagraph"/>
        <w:numPr>
          <w:ilvl w:val="0"/>
          <w:numId w:val="58"/>
        </w:numPr>
        <w:tabs>
          <w:tab w:pos="1589" w:val="left" w:leader="none"/>
          <w:tab w:pos="5909" w:val="left" w:leader="none"/>
          <w:tab w:pos="6629" w:val="left" w:leader="none"/>
          <w:tab w:pos="7349" w:val="left" w:leader="none"/>
          <w:tab w:pos="8069" w:val="left" w:leader="none"/>
        </w:tabs>
        <w:spacing w:line="240" w:lineRule="auto" w:before="0" w:after="0"/>
        <w:ind w:left="1588" w:right="0" w:hanging="360"/>
        <w:jc w:val="left"/>
        <w:rPr>
          <w:rFonts w:ascii="Segoe UI Emoji" w:hAnsi="Segoe UI Emoji"/>
          <w:sz w:val="22"/>
        </w:rPr>
      </w:pPr>
      <w:r>
        <w:rPr>
          <w:sz w:val="22"/>
        </w:rPr>
        <w:t>Do you have a second source</w:t>
      </w:r>
      <w:r>
        <w:rPr>
          <w:spacing w:val="-5"/>
          <w:sz w:val="22"/>
        </w:rPr>
        <w:t> </w:t>
      </w:r>
      <w:r>
        <w:rPr>
          <w:sz w:val="22"/>
        </w:rPr>
        <w:t>of income?</w:t>
        <w:tab/>
        <w:t>Yes</w:t>
        <w:tab/>
      </w:r>
      <w:r>
        <w:rPr>
          <w:rFonts w:ascii="Segoe UI Emoji" w:hAnsi="Segoe UI Emoji"/>
          <w:sz w:val="22"/>
        </w:rPr>
        <w:t>▢</w:t>
        <w:tab/>
      </w:r>
      <w:r>
        <w:rPr>
          <w:sz w:val="22"/>
        </w:rPr>
        <w:t>No</w:t>
        <w:tab/>
      </w:r>
      <w:r>
        <w:rPr>
          <w:rFonts w:ascii="Segoe UI Emoji" w:hAnsi="Segoe UI Emoji"/>
          <w:sz w:val="22"/>
        </w:rPr>
        <w:t>▢</w:t>
      </w:r>
    </w:p>
    <w:p>
      <w:pPr>
        <w:pStyle w:val="BodyText"/>
        <w:spacing w:before="4"/>
        <w:rPr>
          <w:rFonts w:ascii="Segoe UI Emoji"/>
        </w:rPr>
      </w:pPr>
    </w:p>
    <w:p>
      <w:pPr>
        <w:pStyle w:val="ListParagraph"/>
        <w:numPr>
          <w:ilvl w:val="0"/>
          <w:numId w:val="58"/>
        </w:numPr>
        <w:tabs>
          <w:tab w:pos="1589" w:val="left" w:leader="none"/>
          <w:tab w:pos="9408" w:val="left" w:leader="none"/>
        </w:tabs>
        <w:spacing w:line="240" w:lineRule="auto" w:before="1" w:after="0"/>
        <w:ind w:left="1588" w:right="0" w:hanging="360"/>
        <w:jc w:val="left"/>
        <w:rPr>
          <w:sz w:val="22"/>
        </w:rPr>
      </w:pPr>
      <w:r>
        <w:rPr>
          <w:sz w:val="22"/>
        </w:rPr>
        <w:t>If yes, what is the average monthly income from this source?</w:t>
      </w:r>
      <w:r>
        <w:rPr>
          <w:spacing w:val="-20"/>
          <w:sz w:val="22"/>
        </w:rPr>
        <w:t> </w:t>
      </w:r>
      <w:r>
        <w:rPr>
          <w:sz w:val="22"/>
        </w:rPr>
        <w:t>Rs.</w:t>
      </w:r>
      <w:r>
        <w:rPr>
          <w:w w:val="100"/>
          <w:sz w:val="22"/>
          <w:u w:val="single"/>
        </w:rPr>
        <w:t> </w:t>
      </w:r>
      <w:r>
        <w:rPr>
          <w:sz w:val="22"/>
          <w:u w:val="single"/>
        </w:rPr>
        <w:tab/>
      </w:r>
    </w:p>
    <w:p>
      <w:pPr>
        <w:spacing w:after="0" w:line="240" w:lineRule="auto"/>
        <w:jc w:val="left"/>
        <w:rPr>
          <w:sz w:val="22"/>
        </w:rPr>
        <w:sectPr>
          <w:pgSz w:w="11910" w:h="16840"/>
          <w:pgMar w:header="583" w:footer="575" w:top="840" w:bottom="760" w:left="860" w:right="1200"/>
        </w:sectPr>
      </w:pPr>
    </w:p>
    <w:p>
      <w:pPr>
        <w:pStyle w:val="BodyText"/>
        <w:rPr>
          <w:sz w:val="20"/>
        </w:rPr>
      </w:pPr>
    </w:p>
    <w:p>
      <w:pPr>
        <w:pStyle w:val="BodyText"/>
        <w:rPr>
          <w:sz w:val="20"/>
        </w:rPr>
      </w:pPr>
    </w:p>
    <w:p>
      <w:pPr>
        <w:pStyle w:val="BodyText"/>
        <w:spacing w:before="1"/>
        <w:rPr>
          <w:sz w:val="28"/>
        </w:rPr>
      </w:pPr>
    </w:p>
    <w:p>
      <w:pPr>
        <w:pStyle w:val="ListParagraph"/>
        <w:numPr>
          <w:ilvl w:val="0"/>
          <w:numId w:val="58"/>
        </w:numPr>
        <w:tabs>
          <w:tab w:pos="1589" w:val="left" w:leader="none"/>
        </w:tabs>
        <w:spacing w:line="240" w:lineRule="auto" w:before="93" w:after="18"/>
        <w:ind w:left="1588" w:right="0" w:hanging="360"/>
        <w:jc w:val="left"/>
        <w:rPr>
          <w:sz w:val="22"/>
        </w:rPr>
      </w:pPr>
      <w:r>
        <w:rPr>
          <w:sz w:val="22"/>
        </w:rPr>
        <w:t>Please provide details of your household</w:t>
      </w:r>
      <w:r>
        <w:rPr>
          <w:spacing w:val="-13"/>
          <w:sz w:val="22"/>
        </w:rPr>
        <w:t> </w:t>
      </w:r>
      <w:r>
        <w:rPr>
          <w:sz w:val="22"/>
        </w:rPr>
        <w:t>members.</w:t>
      </w:r>
    </w:p>
    <w:tbl>
      <w:tblPr>
        <w:tblW w:w="0" w:type="auto"/>
        <w:jc w:val="left"/>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9"/>
        <w:gridCol w:w="2069"/>
        <w:gridCol w:w="943"/>
        <w:gridCol w:w="1071"/>
        <w:gridCol w:w="1582"/>
        <w:gridCol w:w="1328"/>
        <w:gridCol w:w="1241"/>
      </w:tblGrid>
      <w:tr>
        <w:trPr>
          <w:trHeight w:val="516" w:hRule="exact"/>
        </w:trPr>
        <w:tc>
          <w:tcPr>
            <w:tcW w:w="499" w:type="dxa"/>
          </w:tcPr>
          <w:p>
            <w:pPr>
              <w:pStyle w:val="TableParagraph"/>
              <w:spacing w:before="0"/>
              <w:ind w:left="103"/>
              <w:rPr>
                <w:sz w:val="22"/>
              </w:rPr>
            </w:pPr>
            <w:r>
              <w:rPr>
                <w:sz w:val="22"/>
              </w:rPr>
              <w:t>No</w:t>
            </w:r>
          </w:p>
        </w:tc>
        <w:tc>
          <w:tcPr>
            <w:tcW w:w="2069" w:type="dxa"/>
          </w:tcPr>
          <w:p>
            <w:pPr>
              <w:pStyle w:val="TableParagraph"/>
              <w:spacing w:before="0"/>
              <w:ind w:left="103"/>
              <w:rPr>
                <w:sz w:val="22"/>
              </w:rPr>
            </w:pPr>
            <w:r>
              <w:rPr>
                <w:sz w:val="22"/>
              </w:rPr>
              <w:t>Relation with HHH</w:t>
            </w:r>
          </w:p>
        </w:tc>
        <w:tc>
          <w:tcPr>
            <w:tcW w:w="943" w:type="dxa"/>
          </w:tcPr>
          <w:p>
            <w:pPr>
              <w:pStyle w:val="TableParagraph"/>
              <w:spacing w:before="0"/>
              <w:ind w:left="103"/>
              <w:rPr>
                <w:sz w:val="22"/>
              </w:rPr>
            </w:pPr>
            <w:r>
              <w:rPr>
                <w:sz w:val="22"/>
              </w:rPr>
              <w:t>Sex</w:t>
            </w:r>
          </w:p>
        </w:tc>
        <w:tc>
          <w:tcPr>
            <w:tcW w:w="1071" w:type="dxa"/>
          </w:tcPr>
          <w:p>
            <w:pPr>
              <w:pStyle w:val="TableParagraph"/>
              <w:spacing w:before="0"/>
              <w:ind w:left="103"/>
              <w:rPr>
                <w:sz w:val="22"/>
              </w:rPr>
            </w:pPr>
            <w:r>
              <w:rPr>
                <w:sz w:val="22"/>
              </w:rPr>
              <w:t>Age</w:t>
            </w:r>
          </w:p>
        </w:tc>
        <w:tc>
          <w:tcPr>
            <w:tcW w:w="1582" w:type="dxa"/>
          </w:tcPr>
          <w:p>
            <w:pPr>
              <w:pStyle w:val="TableParagraph"/>
              <w:spacing w:before="0"/>
              <w:ind w:left="103"/>
              <w:rPr>
                <w:sz w:val="22"/>
              </w:rPr>
            </w:pPr>
            <w:r>
              <w:rPr>
                <w:sz w:val="22"/>
              </w:rPr>
              <w:t>Education</w:t>
            </w:r>
          </w:p>
        </w:tc>
        <w:tc>
          <w:tcPr>
            <w:tcW w:w="1328" w:type="dxa"/>
          </w:tcPr>
          <w:p>
            <w:pPr>
              <w:pStyle w:val="TableParagraph"/>
              <w:spacing w:before="0"/>
              <w:ind w:left="103"/>
              <w:rPr>
                <w:sz w:val="22"/>
              </w:rPr>
            </w:pPr>
            <w:r>
              <w:rPr>
                <w:sz w:val="22"/>
              </w:rPr>
              <w:t>Occupation</w:t>
            </w:r>
          </w:p>
        </w:tc>
        <w:tc>
          <w:tcPr>
            <w:tcW w:w="1241" w:type="dxa"/>
          </w:tcPr>
          <w:p>
            <w:pPr>
              <w:pStyle w:val="TableParagraph"/>
              <w:spacing w:before="0"/>
              <w:ind w:left="103"/>
              <w:rPr>
                <w:sz w:val="22"/>
              </w:rPr>
            </w:pPr>
            <w:r>
              <w:rPr>
                <w:sz w:val="22"/>
              </w:rPr>
              <w:t>Income (if any)</w:t>
            </w:r>
          </w:p>
        </w:tc>
      </w:tr>
      <w:tr>
        <w:trPr>
          <w:trHeight w:val="641" w:hRule="exact"/>
        </w:trPr>
        <w:tc>
          <w:tcPr>
            <w:tcW w:w="499" w:type="dxa"/>
          </w:tcPr>
          <w:p>
            <w:pPr>
              <w:pStyle w:val="TableParagraph"/>
              <w:spacing w:before="2"/>
              <w:ind w:left="103"/>
              <w:rPr>
                <w:sz w:val="22"/>
              </w:rPr>
            </w:pPr>
            <w:r>
              <w:rPr>
                <w:w w:val="100"/>
                <w:sz w:val="22"/>
              </w:rPr>
              <w:t>1</w:t>
            </w:r>
          </w:p>
        </w:tc>
        <w:tc>
          <w:tcPr>
            <w:tcW w:w="2069" w:type="dxa"/>
          </w:tcPr>
          <w:p>
            <w:pPr>
              <w:pStyle w:val="TableParagraph"/>
              <w:spacing w:before="2"/>
              <w:ind w:left="103"/>
              <w:rPr>
                <w:sz w:val="22"/>
              </w:rPr>
            </w:pPr>
            <w:r>
              <w:rPr>
                <w:sz w:val="22"/>
              </w:rPr>
              <w:t>Self</w:t>
            </w:r>
          </w:p>
        </w:tc>
        <w:tc>
          <w:tcPr>
            <w:tcW w:w="943" w:type="dxa"/>
          </w:tcPr>
          <w:p>
            <w:pPr/>
          </w:p>
        </w:tc>
        <w:tc>
          <w:tcPr>
            <w:tcW w:w="1071" w:type="dxa"/>
          </w:tcPr>
          <w:p>
            <w:pPr/>
          </w:p>
        </w:tc>
        <w:tc>
          <w:tcPr>
            <w:tcW w:w="1582" w:type="dxa"/>
          </w:tcPr>
          <w:p>
            <w:pPr/>
          </w:p>
        </w:tc>
        <w:tc>
          <w:tcPr>
            <w:tcW w:w="1328" w:type="dxa"/>
          </w:tcPr>
          <w:p>
            <w:pPr/>
          </w:p>
        </w:tc>
        <w:tc>
          <w:tcPr>
            <w:tcW w:w="1241" w:type="dxa"/>
          </w:tcPr>
          <w:p>
            <w:pPr/>
          </w:p>
        </w:tc>
      </w:tr>
      <w:tr>
        <w:trPr>
          <w:trHeight w:val="643" w:hRule="exact"/>
        </w:trPr>
        <w:tc>
          <w:tcPr>
            <w:tcW w:w="499" w:type="dxa"/>
          </w:tcPr>
          <w:p>
            <w:pPr>
              <w:pStyle w:val="TableParagraph"/>
              <w:spacing w:before="5"/>
              <w:ind w:left="103"/>
              <w:rPr>
                <w:sz w:val="22"/>
              </w:rPr>
            </w:pPr>
            <w:r>
              <w:rPr>
                <w:w w:val="100"/>
                <w:sz w:val="22"/>
              </w:rPr>
              <w:t>2</w:t>
            </w:r>
          </w:p>
        </w:tc>
        <w:tc>
          <w:tcPr>
            <w:tcW w:w="2069" w:type="dxa"/>
          </w:tcPr>
          <w:p>
            <w:pPr/>
          </w:p>
        </w:tc>
        <w:tc>
          <w:tcPr>
            <w:tcW w:w="943" w:type="dxa"/>
          </w:tcPr>
          <w:p>
            <w:pPr/>
          </w:p>
        </w:tc>
        <w:tc>
          <w:tcPr>
            <w:tcW w:w="1071" w:type="dxa"/>
          </w:tcPr>
          <w:p>
            <w:pPr/>
          </w:p>
        </w:tc>
        <w:tc>
          <w:tcPr>
            <w:tcW w:w="1582" w:type="dxa"/>
          </w:tcPr>
          <w:p>
            <w:pPr/>
          </w:p>
        </w:tc>
        <w:tc>
          <w:tcPr>
            <w:tcW w:w="1328" w:type="dxa"/>
          </w:tcPr>
          <w:p>
            <w:pPr/>
          </w:p>
        </w:tc>
        <w:tc>
          <w:tcPr>
            <w:tcW w:w="1241" w:type="dxa"/>
          </w:tcPr>
          <w:p>
            <w:pPr/>
          </w:p>
        </w:tc>
      </w:tr>
      <w:tr>
        <w:trPr>
          <w:trHeight w:val="643" w:hRule="exact"/>
        </w:trPr>
        <w:tc>
          <w:tcPr>
            <w:tcW w:w="499" w:type="dxa"/>
          </w:tcPr>
          <w:p>
            <w:pPr>
              <w:pStyle w:val="TableParagraph"/>
              <w:spacing w:before="2"/>
              <w:ind w:left="103"/>
              <w:rPr>
                <w:sz w:val="22"/>
              </w:rPr>
            </w:pPr>
            <w:r>
              <w:rPr>
                <w:w w:val="100"/>
                <w:sz w:val="22"/>
              </w:rPr>
              <w:t>3</w:t>
            </w:r>
          </w:p>
        </w:tc>
        <w:tc>
          <w:tcPr>
            <w:tcW w:w="2069" w:type="dxa"/>
          </w:tcPr>
          <w:p>
            <w:pPr/>
          </w:p>
        </w:tc>
        <w:tc>
          <w:tcPr>
            <w:tcW w:w="943" w:type="dxa"/>
          </w:tcPr>
          <w:p>
            <w:pPr/>
          </w:p>
        </w:tc>
        <w:tc>
          <w:tcPr>
            <w:tcW w:w="1071" w:type="dxa"/>
          </w:tcPr>
          <w:p>
            <w:pPr/>
          </w:p>
        </w:tc>
        <w:tc>
          <w:tcPr>
            <w:tcW w:w="1582" w:type="dxa"/>
          </w:tcPr>
          <w:p>
            <w:pPr/>
          </w:p>
        </w:tc>
        <w:tc>
          <w:tcPr>
            <w:tcW w:w="1328" w:type="dxa"/>
          </w:tcPr>
          <w:p>
            <w:pPr/>
          </w:p>
        </w:tc>
        <w:tc>
          <w:tcPr>
            <w:tcW w:w="1241" w:type="dxa"/>
          </w:tcPr>
          <w:p>
            <w:pPr/>
          </w:p>
        </w:tc>
      </w:tr>
      <w:tr>
        <w:trPr>
          <w:trHeight w:val="641" w:hRule="exact"/>
        </w:trPr>
        <w:tc>
          <w:tcPr>
            <w:tcW w:w="499" w:type="dxa"/>
          </w:tcPr>
          <w:p>
            <w:pPr>
              <w:pStyle w:val="TableParagraph"/>
              <w:spacing w:before="2"/>
              <w:ind w:left="103"/>
              <w:rPr>
                <w:sz w:val="22"/>
              </w:rPr>
            </w:pPr>
            <w:r>
              <w:rPr>
                <w:w w:val="100"/>
                <w:sz w:val="22"/>
              </w:rPr>
              <w:t>4</w:t>
            </w:r>
          </w:p>
        </w:tc>
        <w:tc>
          <w:tcPr>
            <w:tcW w:w="2069" w:type="dxa"/>
          </w:tcPr>
          <w:p>
            <w:pPr/>
          </w:p>
        </w:tc>
        <w:tc>
          <w:tcPr>
            <w:tcW w:w="943" w:type="dxa"/>
          </w:tcPr>
          <w:p>
            <w:pPr/>
          </w:p>
        </w:tc>
        <w:tc>
          <w:tcPr>
            <w:tcW w:w="1071" w:type="dxa"/>
          </w:tcPr>
          <w:p>
            <w:pPr/>
          </w:p>
        </w:tc>
        <w:tc>
          <w:tcPr>
            <w:tcW w:w="1582" w:type="dxa"/>
          </w:tcPr>
          <w:p>
            <w:pPr/>
          </w:p>
        </w:tc>
        <w:tc>
          <w:tcPr>
            <w:tcW w:w="1328" w:type="dxa"/>
          </w:tcPr>
          <w:p>
            <w:pPr/>
          </w:p>
        </w:tc>
        <w:tc>
          <w:tcPr>
            <w:tcW w:w="1241" w:type="dxa"/>
          </w:tcPr>
          <w:p>
            <w:pPr/>
          </w:p>
        </w:tc>
      </w:tr>
      <w:tr>
        <w:trPr>
          <w:trHeight w:val="644" w:hRule="exact"/>
        </w:trPr>
        <w:tc>
          <w:tcPr>
            <w:tcW w:w="499" w:type="dxa"/>
          </w:tcPr>
          <w:p>
            <w:pPr>
              <w:pStyle w:val="TableParagraph"/>
              <w:spacing w:before="5"/>
              <w:ind w:left="103"/>
              <w:rPr>
                <w:sz w:val="22"/>
              </w:rPr>
            </w:pPr>
            <w:r>
              <w:rPr>
                <w:w w:val="100"/>
                <w:sz w:val="22"/>
              </w:rPr>
              <w:t>5</w:t>
            </w:r>
          </w:p>
        </w:tc>
        <w:tc>
          <w:tcPr>
            <w:tcW w:w="2069" w:type="dxa"/>
          </w:tcPr>
          <w:p>
            <w:pPr/>
          </w:p>
        </w:tc>
        <w:tc>
          <w:tcPr>
            <w:tcW w:w="943" w:type="dxa"/>
          </w:tcPr>
          <w:p>
            <w:pPr/>
          </w:p>
        </w:tc>
        <w:tc>
          <w:tcPr>
            <w:tcW w:w="1071" w:type="dxa"/>
          </w:tcPr>
          <w:p>
            <w:pPr/>
          </w:p>
        </w:tc>
        <w:tc>
          <w:tcPr>
            <w:tcW w:w="1582" w:type="dxa"/>
          </w:tcPr>
          <w:p>
            <w:pPr/>
          </w:p>
        </w:tc>
        <w:tc>
          <w:tcPr>
            <w:tcW w:w="1328" w:type="dxa"/>
          </w:tcPr>
          <w:p>
            <w:pPr/>
          </w:p>
        </w:tc>
        <w:tc>
          <w:tcPr>
            <w:tcW w:w="1241" w:type="dxa"/>
          </w:tcPr>
          <w:p>
            <w:pPr/>
          </w:p>
        </w:tc>
      </w:tr>
      <w:tr>
        <w:trPr>
          <w:trHeight w:val="643" w:hRule="exact"/>
        </w:trPr>
        <w:tc>
          <w:tcPr>
            <w:tcW w:w="499" w:type="dxa"/>
          </w:tcPr>
          <w:p>
            <w:pPr>
              <w:pStyle w:val="TableParagraph"/>
              <w:spacing w:before="2"/>
              <w:ind w:left="103"/>
              <w:rPr>
                <w:sz w:val="22"/>
              </w:rPr>
            </w:pPr>
            <w:r>
              <w:rPr>
                <w:w w:val="100"/>
                <w:sz w:val="22"/>
              </w:rPr>
              <w:t>6</w:t>
            </w:r>
          </w:p>
        </w:tc>
        <w:tc>
          <w:tcPr>
            <w:tcW w:w="2069" w:type="dxa"/>
          </w:tcPr>
          <w:p>
            <w:pPr/>
          </w:p>
        </w:tc>
        <w:tc>
          <w:tcPr>
            <w:tcW w:w="943" w:type="dxa"/>
          </w:tcPr>
          <w:p>
            <w:pPr/>
          </w:p>
        </w:tc>
        <w:tc>
          <w:tcPr>
            <w:tcW w:w="1071" w:type="dxa"/>
          </w:tcPr>
          <w:p>
            <w:pPr/>
          </w:p>
        </w:tc>
        <w:tc>
          <w:tcPr>
            <w:tcW w:w="1582" w:type="dxa"/>
          </w:tcPr>
          <w:p>
            <w:pPr/>
          </w:p>
        </w:tc>
        <w:tc>
          <w:tcPr>
            <w:tcW w:w="1328" w:type="dxa"/>
          </w:tcPr>
          <w:p>
            <w:pPr/>
          </w:p>
        </w:tc>
        <w:tc>
          <w:tcPr>
            <w:tcW w:w="1241" w:type="dxa"/>
          </w:tcPr>
          <w:p>
            <w:pPr/>
          </w:p>
        </w:tc>
      </w:tr>
      <w:tr>
        <w:trPr>
          <w:trHeight w:val="643" w:hRule="exact"/>
        </w:trPr>
        <w:tc>
          <w:tcPr>
            <w:tcW w:w="499" w:type="dxa"/>
          </w:tcPr>
          <w:p>
            <w:pPr>
              <w:pStyle w:val="TableParagraph"/>
              <w:spacing w:before="2"/>
              <w:ind w:left="103"/>
              <w:rPr>
                <w:sz w:val="22"/>
              </w:rPr>
            </w:pPr>
            <w:r>
              <w:rPr>
                <w:w w:val="100"/>
                <w:sz w:val="22"/>
              </w:rPr>
              <w:t>7</w:t>
            </w:r>
          </w:p>
        </w:tc>
        <w:tc>
          <w:tcPr>
            <w:tcW w:w="2069" w:type="dxa"/>
          </w:tcPr>
          <w:p>
            <w:pPr/>
          </w:p>
        </w:tc>
        <w:tc>
          <w:tcPr>
            <w:tcW w:w="943" w:type="dxa"/>
          </w:tcPr>
          <w:p>
            <w:pPr/>
          </w:p>
        </w:tc>
        <w:tc>
          <w:tcPr>
            <w:tcW w:w="1071" w:type="dxa"/>
          </w:tcPr>
          <w:p>
            <w:pPr/>
          </w:p>
        </w:tc>
        <w:tc>
          <w:tcPr>
            <w:tcW w:w="1582" w:type="dxa"/>
          </w:tcPr>
          <w:p>
            <w:pPr/>
          </w:p>
        </w:tc>
        <w:tc>
          <w:tcPr>
            <w:tcW w:w="1328" w:type="dxa"/>
          </w:tcPr>
          <w:p>
            <w:pPr/>
          </w:p>
        </w:tc>
        <w:tc>
          <w:tcPr>
            <w:tcW w:w="1241" w:type="dxa"/>
          </w:tcPr>
          <w:p>
            <w:pPr/>
          </w:p>
        </w:tc>
      </w:tr>
      <w:tr>
        <w:trPr>
          <w:trHeight w:val="641" w:hRule="exact"/>
        </w:trPr>
        <w:tc>
          <w:tcPr>
            <w:tcW w:w="499" w:type="dxa"/>
          </w:tcPr>
          <w:p>
            <w:pPr>
              <w:pStyle w:val="TableParagraph"/>
              <w:spacing w:before="2"/>
              <w:ind w:left="103"/>
              <w:rPr>
                <w:sz w:val="22"/>
              </w:rPr>
            </w:pPr>
            <w:r>
              <w:rPr>
                <w:w w:val="100"/>
                <w:sz w:val="22"/>
              </w:rPr>
              <w:t>8</w:t>
            </w:r>
          </w:p>
        </w:tc>
        <w:tc>
          <w:tcPr>
            <w:tcW w:w="2069" w:type="dxa"/>
          </w:tcPr>
          <w:p>
            <w:pPr/>
          </w:p>
        </w:tc>
        <w:tc>
          <w:tcPr>
            <w:tcW w:w="943" w:type="dxa"/>
          </w:tcPr>
          <w:p>
            <w:pPr/>
          </w:p>
        </w:tc>
        <w:tc>
          <w:tcPr>
            <w:tcW w:w="1071" w:type="dxa"/>
          </w:tcPr>
          <w:p>
            <w:pPr/>
          </w:p>
        </w:tc>
        <w:tc>
          <w:tcPr>
            <w:tcW w:w="1582" w:type="dxa"/>
          </w:tcPr>
          <w:p>
            <w:pPr/>
          </w:p>
        </w:tc>
        <w:tc>
          <w:tcPr>
            <w:tcW w:w="1328" w:type="dxa"/>
          </w:tcPr>
          <w:p>
            <w:pPr/>
          </w:p>
        </w:tc>
        <w:tc>
          <w:tcPr>
            <w:tcW w:w="1241" w:type="dxa"/>
          </w:tcPr>
          <w:p>
            <w:pPr/>
          </w:p>
        </w:tc>
      </w:tr>
    </w:tbl>
    <w:p>
      <w:pPr>
        <w:pStyle w:val="BodyText"/>
        <w:rPr>
          <w:sz w:val="24"/>
        </w:rPr>
      </w:pPr>
    </w:p>
    <w:p>
      <w:pPr>
        <w:pStyle w:val="BodyText"/>
        <w:spacing w:before="2"/>
        <w:rPr>
          <w:sz w:val="20"/>
        </w:rPr>
      </w:pPr>
    </w:p>
    <w:p>
      <w:pPr>
        <w:pStyle w:val="BodyText"/>
        <w:spacing w:before="1"/>
        <w:ind w:left="868"/>
      </w:pPr>
      <w:r>
        <w:rPr/>
        <w:t>Is there any disabled member in the family, if yes, how many? ------------</w:t>
      </w:r>
    </w:p>
    <w:p>
      <w:pPr>
        <w:pStyle w:val="BodyText"/>
        <w:rPr>
          <w:sz w:val="24"/>
        </w:rPr>
      </w:pPr>
    </w:p>
    <w:p>
      <w:pPr>
        <w:pStyle w:val="BodyText"/>
        <w:spacing w:before="9"/>
        <w:rPr>
          <w:sz w:val="21"/>
        </w:rPr>
      </w:pPr>
    </w:p>
    <w:p>
      <w:pPr>
        <w:pStyle w:val="ListParagraph"/>
        <w:numPr>
          <w:ilvl w:val="0"/>
          <w:numId w:val="58"/>
        </w:numPr>
        <w:tabs>
          <w:tab w:pos="1589" w:val="left" w:leader="none"/>
        </w:tabs>
        <w:spacing w:line="240" w:lineRule="auto" w:before="0" w:after="0"/>
        <w:ind w:left="1588" w:right="0" w:hanging="360"/>
        <w:jc w:val="left"/>
        <w:rPr>
          <w:sz w:val="22"/>
        </w:rPr>
      </w:pPr>
      <w:r>
        <w:rPr>
          <w:sz w:val="22"/>
        </w:rPr>
        <w:t>Any suggestion re the improvement of BRT Yellow BRT</w:t>
      </w:r>
      <w:r>
        <w:rPr>
          <w:spacing w:val="-10"/>
          <w:sz w:val="22"/>
        </w:rPr>
        <w:t> </w:t>
      </w:r>
      <w:r>
        <w:rPr>
          <w:sz w:val="22"/>
        </w:rPr>
        <w:t>Corridor?</w:t>
      </w:r>
    </w:p>
    <w:p>
      <w:pPr>
        <w:pStyle w:val="BodyText"/>
        <w:rPr>
          <w:sz w:val="20"/>
        </w:rPr>
      </w:pPr>
    </w:p>
    <w:p>
      <w:pPr>
        <w:pStyle w:val="BodyText"/>
        <w:rPr>
          <w:sz w:val="20"/>
        </w:rPr>
      </w:pPr>
    </w:p>
    <w:p>
      <w:pPr>
        <w:pStyle w:val="BodyText"/>
        <w:spacing w:before="1"/>
        <w:rPr>
          <w:sz w:val="26"/>
        </w:rPr>
      </w:pPr>
      <w:r>
        <w:rPr/>
        <w:pict>
          <v:line style="position:absolute;mso-position-horizontal-relative:page;mso-position-vertical-relative:paragraph;z-index:1864;mso-wrap-distance-left:0;mso-wrap-distance-right:0" from="86.424004pt,17.306116pt" to="520.946864pt,17.306116pt" stroked="true" strokeweight=".69552pt" strokecolor="#000000">
            <v:stroke dashstyle="solid"/>
            <w10:wrap type="topAndBottom"/>
          </v:line>
        </w:pict>
      </w:r>
    </w:p>
    <w:p>
      <w:pPr>
        <w:pStyle w:val="BodyText"/>
        <w:rPr>
          <w:sz w:val="20"/>
        </w:rPr>
      </w:pPr>
    </w:p>
    <w:p>
      <w:pPr>
        <w:pStyle w:val="BodyText"/>
        <w:rPr>
          <w:sz w:val="20"/>
        </w:rPr>
      </w:pPr>
    </w:p>
    <w:p>
      <w:pPr>
        <w:pStyle w:val="BodyText"/>
        <w:spacing w:before="10"/>
        <w:rPr>
          <w:sz w:val="10"/>
        </w:rPr>
      </w:pPr>
      <w:r>
        <w:rPr/>
        <w:pict>
          <v:line style="position:absolute;mso-position-horizontal-relative:page;mso-position-vertical-relative:paragraph;z-index:1888;mso-wrap-distance-left:0;mso-wrap-distance-right:0" from="86.424004pt,8.561938pt" to="520.972139pt,8.561938pt" stroked="true" strokeweight=".69552pt" strokecolor="#000000">
            <v:stroke dashstyle="solid"/>
            <w10:wrap type="topAndBottom"/>
          </v:line>
        </w:pict>
      </w:r>
    </w:p>
    <w:p>
      <w:pPr>
        <w:pStyle w:val="BodyText"/>
        <w:rPr>
          <w:sz w:val="20"/>
        </w:rPr>
      </w:pPr>
    </w:p>
    <w:p>
      <w:pPr>
        <w:pStyle w:val="BodyText"/>
        <w:spacing w:before="4"/>
        <w:rPr>
          <w:sz w:val="29"/>
        </w:rPr>
      </w:pPr>
    </w:p>
    <w:p>
      <w:pPr>
        <w:pStyle w:val="ListParagraph"/>
        <w:numPr>
          <w:ilvl w:val="0"/>
          <w:numId w:val="58"/>
        </w:numPr>
        <w:tabs>
          <w:tab w:pos="1589" w:val="left" w:leader="none"/>
        </w:tabs>
        <w:spacing w:line="240" w:lineRule="auto" w:before="94" w:after="0"/>
        <w:ind w:left="1588" w:right="0" w:hanging="360"/>
        <w:jc w:val="left"/>
        <w:rPr>
          <w:sz w:val="22"/>
        </w:rPr>
      </w:pPr>
      <w:r>
        <w:rPr>
          <w:sz w:val="22"/>
        </w:rPr>
        <w:t>Observations of the Interviewer, if</w:t>
      </w:r>
      <w:r>
        <w:rPr>
          <w:spacing w:val="-14"/>
          <w:sz w:val="22"/>
        </w:rPr>
        <w:t> </w:t>
      </w:r>
      <w:r>
        <w:rPr>
          <w:sz w:val="22"/>
        </w:rPr>
        <w:t>any:</w:t>
      </w:r>
    </w:p>
    <w:p>
      <w:pPr>
        <w:pStyle w:val="BodyText"/>
        <w:rPr>
          <w:sz w:val="20"/>
        </w:rPr>
      </w:pPr>
    </w:p>
    <w:p>
      <w:pPr>
        <w:pStyle w:val="BodyText"/>
        <w:spacing w:before="3"/>
      </w:pPr>
      <w:r>
        <w:rPr/>
        <w:pict>
          <v:line style="position:absolute;mso-position-horizontal-relative:page;mso-position-vertical-relative:paragraph;z-index:1912;mso-wrap-distance-left:0;mso-wrap-distance-right:0" from="86.424004pt,15.138787pt" to="520.946864pt,15.138787pt" stroked="true" strokeweight=".69552pt" strokecolor="#000000">
            <v:stroke dashstyle="solid"/>
            <w10:wrap type="topAndBottom"/>
          </v:line>
        </w:pict>
      </w:r>
    </w:p>
    <w:p>
      <w:pPr>
        <w:pStyle w:val="BodyText"/>
        <w:rPr>
          <w:sz w:val="20"/>
        </w:rPr>
      </w:pPr>
    </w:p>
    <w:p>
      <w:pPr>
        <w:pStyle w:val="BodyText"/>
        <w:rPr>
          <w:sz w:val="20"/>
        </w:rPr>
      </w:pPr>
    </w:p>
    <w:p>
      <w:pPr>
        <w:pStyle w:val="BodyText"/>
        <w:spacing w:before="1"/>
        <w:rPr>
          <w:sz w:val="11"/>
        </w:rPr>
      </w:pPr>
      <w:r>
        <w:rPr/>
        <w:pict>
          <v:line style="position:absolute;mso-position-horizontal-relative:page;mso-position-vertical-relative:paragraph;z-index:1936;mso-wrap-distance-left:0;mso-wrap-distance-right:0" from="86.424004pt,8.681949pt" to="521.020084pt,8.681949pt" stroked="true" strokeweight=".69552pt" strokecolor="#000000">
            <v:stroke dashstyle="solid"/>
            <w10:wrap type="topAndBottom"/>
          </v:line>
        </w:pict>
      </w:r>
    </w:p>
    <w:p>
      <w:pPr>
        <w:pStyle w:val="BodyText"/>
        <w:rPr>
          <w:sz w:val="20"/>
        </w:rPr>
      </w:pPr>
    </w:p>
    <w:p>
      <w:pPr>
        <w:pStyle w:val="BodyText"/>
        <w:spacing w:before="8"/>
        <w:rPr>
          <w:sz w:val="16"/>
        </w:rPr>
      </w:pPr>
      <w:r>
        <w:rPr/>
        <w:pict>
          <v:line style="position:absolute;mso-position-horizontal-relative:page;mso-position-vertical-relative:paragraph;z-index:1960;mso-wrap-distance-left:0;mso-wrap-distance-right:0" from="86.424004pt,11.930987pt" to="520.97222pt,11.930987pt" stroked="true" strokeweight=".69552pt" strokecolor="#000000">
            <v:stroke dashstyle="solid"/>
            <w10:wrap type="topAndBottom"/>
          </v:line>
        </w:pict>
      </w:r>
    </w:p>
    <w:p>
      <w:pPr>
        <w:pStyle w:val="BodyText"/>
        <w:rPr>
          <w:sz w:val="20"/>
        </w:rPr>
      </w:pPr>
    </w:p>
    <w:p>
      <w:pPr>
        <w:pStyle w:val="BodyText"/>
        <w:spacing w:before="4"/>
        <w:rPr>
          <w:sz w:val="29"/>
        </w:rPr>
      </w:pPr>
    </w:p>
    <w:p>
      <w:pPr>
        <w:pStyle w:val="BodyText"/>
        <w:tabs>
          <w:tab w:pos="4727" w:val="left" w:leader="none"/>
          <w:tab w:pos="5189" w:val="left" w:leader="none"/>
          <w:tab w:pos="9281" w:val="left" w:leader="none"/>
        </w:tabs>
        <w:spacing w:before="94"/>
        <w:ind w:left="868"/>
      </w:pPr>
      <w:r>
        <w:rPr/>
        <w:t>Name</w:t>
      </w:r>
      <w:r>
        <w:rPr>
          <w:spacing w:val="-2"/>
        </w:rPr>
        <w:t> </w:t>
      </w:r>
      <w:r>
        <w:rPr/>
        <w:t>of</w:t>
      </w:r>
      <w:r>
        <w:rPr>
          <w:spacing w:val="-4"/>
        </w:rPr>
        <w:t> </w:t>
      </w:r>
      <w:r>
        <w:rPr/>
        <w:t>Interviewer</w:t>
      </w:r>
      <w:r>
        <w:rPr>
          <w:u w:val="single"/>
        </w:rPr>
        <w:t> </w:t>
        <w:tab/>
      </w:r>
      <w:r>
        <w:rPr/>
        <w:tab/>
        <w:t>Signature of</w:t>
      </w:r>
      <w:r>
        <w:rPr>
          <w:spacing w:val="-14"/>
        </w:rPr>
        <w:t> </w:t>
      </w:r>
      <w:r>
        <w:rPr/>
        <w:t>Interviewer</w:t>
      </w:r>
      <w:r>
        <w:rPr>
          <w:w w:val="100"/>
          <w:u w:val="single"/>
        </w:rPr>
        <w:t> </w:t>
      </w:r>
      <w:r>
        <w:rPr>
          <w:u w:val="single"/>
        </w:rPr>
        <w:tab/>
      </w:r>
    </w:p>
    <w:p>
      <w:pPr>
        <w:spacing w:after="0"/>
        <w:sectPr>
          <w:pgSz w:w="11910" w:h="16840"/>
          <w:pgMar w:header="583" w:footer="575" w:top="840" w:bottom="760" w:left="860" w:right="1280"/>
        </w:sectPr>
      </w:pPr>
    </w:p>
    <w:p>
      <w:pPr>
        <w:pStyle w:val="BodyText"/>
        <w:rPr>
          <w:sz w:val="20"/>
        </w:rPr>
      </w:pPr>
    </w:p>
    <w:p>
      <w:pPr>
        <w:pStyle w:val="BodyText"/>
        <w:rPr>
          <w:sz w:val="20"/>
        </w:rPr>
      </w:pPr>
    </w:p>
    <w:p>
      <w:pPr>
        <w:pStyle w:val="BodyText"/>
        <w:rPr>
          <w:sz w:val="20"/>
        </w:rPr>
      </w:pPr>
    </w:p>
    <w:p>
      <w:pPr>
        <w:pStyle w:val="Heading1"/>
        <w:spacing w:before="224"/>
        <w:ind w:left="4067"/>
        <w:rPr>
          <w:u w:val="none"/>
        </w:rPr>
      </w:pPr>
      <w:bookmarkStart w:name="_bookmark105" w:id="178"/>
      <w:bookmarkEnd w:id="178"/>
      <w:r>
        <w:rPr>
          <w:b w:val="0"/>
          <w:u w:val="none"/>
        </w:rPr>
      </w:r>
      <w:r>
        <w:rPr>
          <w:u w:val="thick"/>
        </w:rPr>
        <w:t>Annex-II: List of PAPs with Detail of Affected Business</w:t>
      </w:r>
    </w:p>
    <w:p>
      <w:pPr>
        <w:pStyle w:val="BodyText"/>
        <w:spacing w:before="5" w:after="1"/>
        <w:rPr>
          <w:b/>
          <w:sz w:val="10"/>
        </w:rPr>
      </w:pPr>
    </w:p>
    <w:tbl>
      <w:tblPr>
        <w:tblW w:w="0" w:type="auto"/>
        <w:jc w:val="left"/>
        <w:tblInd w:w="89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94"/>
        <w:gridCol w:w="526"/>
        <w:gridCol w:w="910"/>
        <w:gridCol w:w="926"/>
        <w:gridCol w:w="1400"/>
        <w:gridCol w:w="1224"/>
        <w:gridCol w:w="1538"/>
        <w:gridCol w:w="1344"/>
        <w:gridCol w:w="1747"/>
        <w:gridCol w:w="1217"/>
        <w:gridCol w:w="1262"/>
        <w:gridCol w:w="1150"/>
      </w:tblGrid>
      <w:tr>
        <w:trPr>
          <w:trHeight w:val="504" w:hRule="exact"/>
        </w:trPr>
        <w:tc>
          <w:tcPr>
            <w:tcW w:w="394" w:type="dxa"/>
            <w:vMerge w:val="restart"/>
            <w:tcBorders>
              <w:right w:val="single" w:sz="4" w:space="0" w:color="000000"/>
            </w:tcBorders>
            <w:shd w:val="clear" w:color="auto" w:fill="D9D9D9"/>
          </w:tcPr>
          <w:p>
            <w:pPr>
              <w:pStyle w:val="TableParagraph"/>
              <w:ind w:left="91"/>
              <w:rPr>
                <w:b/>
                <w:sz w:val="18"/>
              </w:rPr>
            </w:pPr>
            <w:r>
              <w:rPr>
                <w:b/>
                <w:sz w:val="18"/>
              </w:rPr>
              <w:t>ID</w:t>
            </w:r>
          </w:p>
        </w:tc>
        <w:tc>
          <w:tcPr>
            <w:tcW w:w="526" w:type="dxa"/>
            <w:vMerge w:val="restart"/>
            <w:tcBorders>
              <w:left w:val="single" w:sz="4" w:space="0" w:color="000000"/>
              <w:right w:val="single" w:sz="4" w:space="0" w:color="000000"/>
            </w:tcBorders>
            <w:shd w:val="clear" w:color="auto" w:fill="D9D9D9"/>
            <w:textDirection w:val="btLr"/>
          </w:tcPr>
          <w:p>
            <w:pPr>
              <w:pStyle w:val="TableParagraph"/>
              <w:spacing w:line="247" w:lineRule="auto" w:before="102"/>
              <w:ind w:left="112" w:right="131"/>
              <w:rPr>
                <w:b/>
                <w:sz w:val="18"/>
              </w:rPr>
            </w:pPr>
            <w:r>
              <w:rPr>
                <w:b/>
                <w:w w:val="99"/>
                <w:sz w:val="18"/>
              </w:rPr>
              <w:t>Se</w:t>
            </w:r>
            <w:r>
              <w:rPr>
                <w:b/>
                <w:sz w:val="18"/>
              </w:rPr>
              <w:t>g</w:t>
            </w:r>
            <w:r>
              <w:rPr>
                <w:b/>
                <w:spacing w:val="1"/>
                <w:sz w:val="18"/>
              </w:rPr>
              <w:t>m</w:t>
            </w:r>
            <w:r>
              <w:rPr>
                <w:b/>
                <w:w w:val="99"/>
                <w:sz w:val="18"/>
              </w:rPr>
              <w:t>e</w:t>
            </w:r>
            <w:r>
              <w:rPr>
                <w:b/>
                <w:w w:val="100"/>
                <w:sz w:val="18"/>
              </w:rPr>
              <w:t>nt No.</w:t>
            </w:r>
          </w:p>
        </w:tc>
        <w:tc>
          <w:tcPr>
            <w:tcW w:w="1836" w:type="dxa"/>
            <w:gridSpan w:val="2"/>
            <w:tcBorders>
              <w:left w:val="single" w:sz="4" w:space="0" w:color="000000"/>
              <w:bottom w:val="single" w:sz="4" w:space="0" w:color="000000"/>
              <w:right w:val="single" w:sz="4" w:space="0" w:color="000000"/>
            </w:tcBorders>
            <w:shd w:val="clear" w:color="auto" w:fill="D9D9D9"/>
          </w:tcPr>
          <w:p>
            <w:pPr>
              <w:pStyle w:val="TableParagraph"/>
              <w:ind w:left="386"/>
              <w:rPr>
                <w:b/>
                <w:sz w:val="18"/>
              </w:rPr>
            </w:pPr>
            <w:r>
              <w:rPr>
                <w:b/>
                <w:sz w:val="18"/>
              </w:rPr>
              <w:t>Coordinates</w:t>
            </w:r>
          </w:p>
        </w:tc>
        <w:tc>
          <w:tcPr>
            <w:tcW w:w="1400" w:type="dxa"/>
            <w:vMerge w:val="restart"/>
            <w:tcBorders>
              <w:left w:val="single" w:sz="4" w:space="0" w:color="000000"/>
              <w:right w:val="single" w:sz="4" w:space="0" w:color="000000"/>
            </w:tcBorders>
            <w:shd w:val="clear" w:color="auto" w:fill="D9D9D9"/>
          </w:tcPr>
          <w:p>
            <w:pPr>
              <w:pStyle w:val="TableParagraph"/>
              <w:ind w:left="448" w:right="158" w:hanging="276"/>
              <w:rPr>
                <w:b/>
                <w:sz w:val="18"/>
              </w:rPr>
            </w:pPr>
            <w:r>
              <w:rPr>
                <w:b/>
                <w:sz w:val="18"/>
              </w:rPr>
              <w:t>Respondent Name</w:t>
            </w:r>
          </w:p>
        </w:tc>
        <w:tc>
          <w:tcPr>
            <w:tcW w:w="1224" w:type="dxa"/>
            <w:vMerge w:val="restart"/>
            <w:tcBorders>
              <w:left w:val="single" w:sz="4" w:space="0" w:color="000000"/>
              <w:right w:val="single" w:sz="4" w:space="0" w:color="000000"/>
            </w:tcBorders>
            <w:shd w:val="clear" w:color="auto" w:fill="D9D9D9"/>
          </w:tcPr>
          <w:p>
            <w:pPr>
              <w:pStyle w:val="TableParagraph"/>
              <w:ind w:left="362" w:right="243" w:hanging="104"/>
              <w:rPr>
                <w:b/>
                <w:sz w:val="18"/>
              </w:rPr>
            </w:pPr>
            <w:r>
              <w:rPr>
                <w:b/>
                <w:sz w:val="18"/>
              </w:rPr>
              <w:t>Father's Name</w:t>
            </w:r>
          </w:p>
        </w:tc>
        <w:tc>
          <w:tcPr>
            <w:tcW w:w="1538" w:type="dxa"/>
            <w:vMerge w:val="restart"/>
            <w:tcBorders>
              <w:left w:val="single" w:sz="4" w:space="0" w:color="000000"/>
              <w:right w:val="single" w:sz="4" w:space="0" w:color="000000"/>
            </w:tcBorders>
            <w:shd w:val="clear" w:color="auto" w:fill="D9D9D9"/>
          </w:tcPr>
          <w:p>
            <w:pPr>
              <w:pStyle w:val="TableParagraph"/>
              <w:ind w:left="38" w:right="70"/>
              <w:rPr>
                <w:b/>
                <w:sz w:val="18"/>
              </w:rPr>
            </w:pPr>
            <w:r>
              <w:rPr>
                <w:b/>
                <w:sz w:val="18"/>
              </w:rPr>
              <w:t>Respondent NIC No.</w:t>
            </w:r>
          </w:p>
        </w:tc>
        <w:tc>
          <w:tcPr>
            <w:tcW w:w="1344" w:type="dxa"/>
            <w:vMerge w:val="restart"/>
            <w:tcBorders>
              <w:left w:val="single" w:sz="4" w:space="0" w:color="000000"/>
              <w:right w:val="single" w:sz="4" w:space="0" w:color="000000"/>
            </w:tcBorders>
            <w:shd w:val="clear" w:color="auto" w:fill="D9D9D9"/>
          </w:tcPr>
          <w:p>
            <w:pPr>
              <w:pStyle w:val="TableParagraph"/>
              <w:ind w:left="335" w:right="186" w:hanging="137"/>
              <w:rPr>
                <w:b/>
                <w:sz w:val="18"/>
              </w:rPr>
            </w:pPr>
            <w:r>
              <w:rPr>
                <w:b/>
                <w:sz w:val="18"/>
              </w:rPr>
              <w:t>Address in Karachi</w:t>
            </w:r>
          </w:p>
        </w:tc>
        <w:tc>
          <w:tcPr>
            <w:tcW w:w="1747" w:type="dxa"/>
            <w:vMerge w:val="restart"/>
            <w:tcBorders>
              <w:left w:val="single" w:sz="4" w:space="0" w:color="000000"/>
              <w:right w:val="single" w:sz="4" w:space="0" w:color="000000"/>
            </w:tcBorders>
            <w:shd w:val="clear" w:color="auto" w:fill="D9D9D9"/>
          </w:tcPr>
          <w:p>
            <w:pPr>
              <w:pStyle w:val="TableParagraph"/>
              <w:ind w:left="127"/>
              <w:rPr>
                <w:b/>
                <w:sz w:val="18"/>
              </w:rPr>
            </w:pPr>
            <w:r>
              <w:rPr>
                <w:b/>
                <w:sz w:val="18"/>
              </w:rPr>
              <w:t>Vending Address</w:t>
            </w:r>
          </w:p>
        </w:tc>
        <w:tc>
          <w:tcPr>
            <w:tcW w:w="1217" w:type="dxa"/>
            <w:vMerge w:val="restart"/>
            <w:tcBorders>
              <w:left w:val="single" w:sz="4" w:space="0" w:color="000000"/>
              <w:right w:val="single" w:sz="4" w:space="0" w:color="000000"/>
            </w:tcBorders>
            <w:shd w:val="clear" w:color="auto" w:fill="D9D9D9"/>
          </w:tcPr>
          <w:p>
            <w:pPr>
              <w:pStyle w:val="TableParagraph"/>
              <w:ind w:left="148"/>
              <w:rPr>
                <w:b/>
                <w:sz w:val="18"/>
              </w:rPr>
            </w:pPr>
            <w:r>
              <w:rPr>
                <w:b/>
                <w:sz w:val="18"/>
              </w:rPr>
              <w:t>Mobile No.</w:t>
            </w:r>
          </w:p>
        </w:tc>
        <w:tc>
          <w:tcPr>
            <w:tcW w:w="1262" w:type="dxa"/>
            <w:vMerge w:val="restart"/>
            <w:tcBorders>
              <w:left w:val="single" w:sz="4" w:space="0" w:color="000000"/>
              <w:right w:val="single" w:sz="4" w:space="0" w:color="000000"/>
            </w:tcBorders>
            <w:shd w:val="clear" w:color="auto" w:fill="D9D9D9"/>
          </w:tcPr>
          <w:p>
            <w:pPr>
              <w:pStyle w:val="TableParagraph"/>
              <w:ind w:left="105" w:right="104" w:hanging="2"/>
              <w:jc w:val="center"/>
              <w:rPr>
                <w:b/>
                <w:sz w:val="18"/>
              </w:rPr>
            </w:pPr>
            <w:r>
              <w:rPr>
                <w:b/>
                <w:sz w:val="18"/>
              </w:rPr>
              <w:t>Kind of Goods Sale/ Service</w:t>
            </w:r>
          </w:p>
        </w:tc>
        <w:tc>
          <w:tcPr>
            <w:tcW w:w="1150" w:type="dxa"/>
            <w:vMerge w:val="restart"/>
            <w:tcBorders>
              <w:left w:val="single" w:sz="4" w:space="0" w:color="000000"/>
            </w:tcBorders>
            <w:shd w:val="clear" w:color="auto" w:fill="D9D9D9"/>
          </w:tcPr>
          <w:p>
            <w:pPr>
              <w:pStyle w:val="TableParagraph"/>
              <w:ind w:left="170" w:right="140" w:firstLine="79"/>
              <w:rPr>
                <w:b/>
                <w:sz w:val="18"/>
              </w:rPr>
            </w:pPr>
            <w:r>
              <w:rPr>
                <w:b/>
                <w:sz w:val="18"/>
              </w:rPr>
              <w:t>Type of Structure</w:t>
            </w:r>
          </w:p>
        </w:tc>
      </w:tr>
      <w:tr>
        <w:trPr>
          <w:trHeight w:val="540" w:hRule="exact"/>
        </w:trPr>
        <w:tc>
          <w:tcPr>
            <w:tcW w:w="394" w:type="dxa"/>
            <w:vMerge/>
            <w:tcBorders>
              <w:bottom w:val="single" w:sz="4" w:space="0" w:color="000000"/>
              <w:right w:val="single" w:sz="4" w:space="0" w:color="000000"/>
            </w:tcBorders>
            <w:shd w:val="clear" w:color="auto" w:fill="D9D9D9"/>
          </w:tcPr>
          <w:p>
            <w:pPr/>
          </w:p>
        </w:tc>
        <w:tc>
          <w:tcPr>
            <w:tcW w:w="526" w:type="dxa"/>
            <w:vMerge/>
            <w:tcBorders>
              <w:left w:val="single" w:sz="4" w:space="0" w:color="000000"/>
              <w:bottom w:val="single" w:sz="4" w:space="0" w:color="000000"/>
              <w:right w:val="single" w:sz="4" w:space="0" w:color="000000"/>
            </w:tcBorders>
            <w:shd w:val="clear" w:color="auto" w:fill="D9D9D9"/>
            <w:textDirection w:val="btLr"/>
          </w:tcPr>
          <w:p>
            <w:pPr/>
          </w:p>
        </w:tc>
        <w:tc>
          <w:tcPr>
            <w:tcW w:w="91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160"/>
              <w:ind w:left="74"/>
              <w:rPr>
                <w:b/>
                <w:sz w:val="18"/>
              </w:rPr>
            </w:pPr>
            <w:r>
              <w:rPr>
                <w:b/>
                <w:sz w:val="18"/>
              </w:rPr>
              <w:t>Northing</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160"/>
              <w:ind w:left="37" w:right="37"/>
              <w:jc w:val="center"/>
              <w:rPr>
                <w:b/>
                <w:sz w:val="18"/>
              </w:rPr>
            </w:pPr>
            <w:r>
              <w:rPr>
                <w:b/>
                <w:sz w:val="18"/>
              </w:rPr>
              <w:t>Easting</w:t>
            </w:r>
          </w:p>
        </w:tc>
        <w:tc>
          <w:tcPr>
            <w:tcW w:w="1400" w:type="dxa"/>
            <w:vMerge/>
            <w:tcBorders>
              <w:left w:val="single" w:sz="4" w:space="0" w:color="000000"/>
              <w:bottom w:val="single" w:sz="4" w:space="0" w:color="000000"/>
              <w:right w:val="single" w:sz="4" w:space="0" w:color="000000"/>
            </w:tcBorders>
            <w:shd w:val="clear" w:color="auto" w:fill="D9D9D9"/>
          </w:tcPr>
          <w:p>
            <w:pPr/>
          </w:p>
        </w:tc>
        <w:tc>
          <w:tcPr>
            <w:tcW w:w="1224" w:type="dxa"/>
            <w:vMerge/>
            <w:tcBorders>
              <w:left w:val="single" w:sz="4" w:space="0" w:color="000000"/>
              <w:bottom w:val="single" w:sz="4" w:space="0" w:color="000000"/>
              <w:right w:val="single" w:sz="4" w:space="0" w:color="000000"/>
            </w:tcBorders>
            <w:shd w:val="clear" w:color="auto" w:fill="D9D9D9"/>
          </w:tcPr>
          <w:p>
            <w:pPr/>
          </w:p>
        </w:tc>
        <w:tc>
          <w:tcPr>
            <w:tcW w:w="1538" w:type="dxa"/>
            <w:vMerge/>
            <w:tcBorders>
              <w:left w:val="single" w:sz="4" w:space="0" w:color="000000"/>
              <w:bottom w:val="single" w:sz="4" w:space="0" w:color="000000"/>
              <w:right w:val="single" w:sz="4" w:space="0" w:color="000000"/>
            </w:tcBorders>
            <w:shd w:val="clear" w:color="auto" w:fill="D9D9D9"/>
          </w:tcPr>
          <w:p>
            <w:pPr/>
          </w:p>
        </w:tc>
        <w:tc>
          <w:tcPr>
            <w:tcW w:w="1344" w:type="dxa"/>
            <w:vMerge/>
            <w:tcBorders>
              <w:left w:val="single" w:sz="4" w:space="0" w:color="000000"/>
              <w:bottom w:val="single" w:sz="4" w:space="0" w:color="000000"/>
              <w:right w:val="single" w:sz="4" w:space="0" w:color="000000"/>
            </w:tcBorders>
            <w:shd w:val="clear" w:color="auto" w:fill="D9D9D9"/>
          </w:tcPr>
          <w:p>
            <w:pPr/>
          </w:p>
        </w:tc>
        <w:tc>
          <w:tcPr>
            <w:tcW w:w="1747" w:type="dxa"/>
            <w:vMerge/>
            <w:tcBorders>
              <w:left w:val="single" w:sz="4" w:space="0" w:color="000000"/>
              <w:bottom w:val="single" w:sz="4" w:space="0" w:color="000000"/>
              <w:right w:val="single" w:sz="4" w:space="0" w:color="000000"/>
            </w:tcBorders>
            <w:shd w:val="clear" w:color="auto" w:fill="D9D9D9"/>
          </w:tcPr>
          <w:p>
            <w:pPr/>
          </w:p>
        </w:tc>
        <w:tc>
          <w:tcPr>
            <w:tcW w:w="1217" w:type="dxa"/>
            <w:vMerge/>
            <w:tcBorders>
              <w:left w:val="single" w:sz="4" w:space="0" w:color="000000"/>
              <w:bottom w:val="single" w:sz="4" w:space="0" w:color="000000"/>
              <w:right w:val="single" w:sz="4" w:space="0" w:color="000000"/>
            </w:tcBorders>
            <w:shd w:val="clear" w:color="auto" w:fill="D9D9D9"/>
          </w:tcPr>
          <w:p>
            <w:pPr/>
          </w:p>
        </w:tc>
        <w:tc>
          <w:tcPr>
            <w:tcW w:w="1262" w:type="dxa"/>
            <w:vMerge/>
            <w:tcBorders>
              <w:left w:val="single" w:sz="4" w:space="0" w:color="000000"/>
              <w:bottom w:val="single" w:sz="4" w:space="0" w:color="000000"/>
              <w:right w:val="single" w:sz="4" w:space="0" w:color="000000"/>
            </w:tcBorders>
            <w:shd w:val="clear" w:color="auto" w:fill="D9D9D9"/>
          </w:tcPr>
          <w:p>
            <w:pPr/>
          </w:p>
        </w:tc>
        <w:tc>
          <w:tcPr>
            <w:tcW w:w="1150" w:type="dxa"/>
            <w:vMerge/>
            <w:tcBorders>
              <w:left w:val="single" w:sz="4" w:space="0" w:color="000000"/>
              <w:bottom w:val="single" w:sz="4" w:space="0" w:color="000000"/>
            </w:tcBorders>
            <w:shd w:val="clear" w:color="auto" w:fill="D9D9D9"/>
          </w:tcPr>
          <w:p>
            <w:pPr/>
          </w:p>
        </w:tc>
      </w:tr>
      <w:tr>
        <w:trPr>
          <w:trHeight w:val="543" w:hRule="exact"/>
        </w:trPr>
        <w:tc>
          <w:tcPr>
            <w:tcW w:w="394" w:type="dxa"/>
            <w:tcBorders>
              <w:top w:val="single" w:sz="4" w:space="0" w:color="000000"/>
              <w:bottom w:val="single" w:sz="4" w:space="0" w:color="000000"/>
              <w:right w:val="single" w:sz="4" w:space="0" w:color="000000"/>
            </w:tcBorders>
          </w:tcPr>
          <w:p>
            <w:pPr>
              <w:pStyle w:val="TableParagraph"/>
              <w:ind w:left="132"/>
              <w:rPr>
                <w:sz w:val="18"/>
              </w:rPr>
            </w:pPr>
            <w:r>
              <w:rPr>
                <w:w w:val="99"/>
                <w:sz w:val="18"/>
              </w:rPr>
              <w:t>1</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2</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24 50.986</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67 10.622</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ight="381"/>
              <w:rPr>
                <w:sz w:val="18"/>
              </w:rPr>
            </w:pPr>
            <w:r>
              <w:rPr>
                <w:sz w:val="18"/>
              </w:rPr>
              <w:t>Muhammad Riaz</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ight="206"/>
              <w:rPr>
                <w:sz w:val="18"/>
              </w:rPr>
            </w:pPr>
            <w:r>
              <w:rPr>
                <w:sz w:val="18"/>
              </w:rPr>
              <w:t>Muhammad Ramzan</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31202-1753298-3</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Pir Bux Goth</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Pir Bux Goth</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03074580439</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Barber</w:t>
            </w:r>
          </w:p>
        </w:tc>
        <w:tc>
          <w:tcPr>
            <w:tcW w:w="1150" w:type="dxa"/>
            <w:tcBorders>
              <w:top w:val="single" w:sz="4" w:space="0" w:color="000000"/>
              <w:left w:val="single" w:sz="4" w:space="0" w:color="000000"/>
              <w:bottom w:val="single" w:sz="4" w:space="0" w:color="000000"/>
            </w:tcBorders>
          </w:tcPr>
          <w:p>
            <w:pPr>
              <w:pStyle w:val="TableParagraph"/>
              <w:ind w:left="38"/>
              <w:rPr>
                <w:sz w:val="18"/>
              </w:rPr>
            </w:pPr>
            <w:r>
              <w:rPr>
                <w:sz w:val="18"/>
              </w:rPr>
              <w:t>Mobile Cart</w:t>
            </w:r>
          </w:p>
        </w:tc>
      </w:tr>
      <w:tr>
        <w:trPr>
          <w:trHeight w:val="338" w:hRule="exact"/>
        </w:trPr>
        <w:tc>
          <w:tcPr>
            <w:tcW w:w="394" w:type="dxa"/>
            <w:tcBorders>
              <w:top w:val="single" w:sz="4" w:space="0" w:color="000000"/>
              <w:bottom w:val="single" w:sz="4" w:space="0" w:color="000000"/>
              <w:right w:val="single" w:sz="4" w:space="0" w:color="000000"/>
            </w:tcBorders>
          </w:tcPr>
          <w:p>
            <w:pPr>
              <w:pStyle w:val="TableParagraph"/>
              <w:ind w:left="132"/>
              <w:rPr>
                <w:sz w:val="18"/>
              </w:rPr>
            </w:pPr>
            <w:r>
              <w:rPr>
                <w:w w:val="99"/>
                <w:sz w:val="18"/>
              </w:rPr>
              <w:t>2</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2</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24 50.904</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67 10.218</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Meharban</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Murad Ali</w:t>
            </w:r>
          </w:p>
        </w:tc>
        <w:tc>
          <w:tcPr>
            <w:tcW w:w="1538" w:type="dxa"/>
            <w:tcBorders>
              <w:top w:val="single" w:sz="4" w:space="0" w:color="000000"/>
              <w:left w:val="single" w:sz="4" w:space="0" w:color="000000"/>
              <w:bottom w:val="single" w:sz="4" w:space="0" w:color="000000"/>
              <w:right w:val="single" w:sz="4" w:space="0" w:color="000000"/>
            </w:tcBorders>
          </w:tcPr>
          <w:p>
            <w:pP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Sharafi Goth</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Sharafi Goth</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03361302304</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Tuck Shop</w:t>
            </w:r>
          </w:p>
        </w:tc>
        <w:tc>
          <w:tcPr>
            <w:tcW w:w="1150" w:type="dxa"/>
            <w:tcBorders>
              <w:top w:val="single" w:sz="4" w:space="0" w:color="000000"/>
              <w:left w:val="single" w:sz="4" w:space="0" w:color="000000"/>
              <w:bottom w:val="single" w:sz="4" w:space="0" w:color="000000"/>
            </w:tcBorders>
          </w:tcPr>
          <w:p>
            <w:pPr>
              <w:pStyle w:val="TableParagraph"/>
              <w:ind w:left="38"/>
              <w:rPr>
                <w:sz w:val="18"/>
              </w:rPr>
            </w:pPr>
            <w:r>
              <w:rPr>
                <w:sz w:val="18"/>
              </w:rPr>
              <w:t>Kiosk</w:t>
            </w:r>
          </w:p>
        </w:tc>
      </w:tr>
      <w:tr>
        <w:trPr>
          <w:trHeight w:val="751" w:hRule="exact"/>
        </w:trPr>
        <w:tc>
          <w:tcPr>
            <w:tcW w:w="394" w:type="dxa"/>
            <w:tcBorders>
              <w:top w:val="single" w:sz="4" w:space="0" w:color="000000"/>
              <w:bottom w:val="single" w:sz="4" w:space="0" w:color="000000"/>
              <w:right w:val="single" w:sz="4" w:space="0" w:color="000000"/>
            </w:tcBorders>
          </w:tcPr>
          <w:p>
            <w:pPr>
              <w:pStyle w:val="TableParagraph"/>
              <w:ind w:left="132"/>
              <w:rPr>
                <w:sz w:val="18"/>
              </w:rPr>
            </w:pPr>
            <w:r>
              <w:rPr>
                <w:w w:val="99"/>
                <w:sz w:val="18"/>
              </w:rPr>
              <w:t>3</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2</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24 50.800</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8" w:right="37"/>
              <w:jc w:val="center"/>
              <w:rPr>
                <w:sz w:val="18"/>
              </w:rPr>
            </w:pPr>
            <w:r>
              <w:rPr>
                <w:sz w:val="18"/>
              </w:rPr>
              <w:t>67 09.637</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Zahid Khan</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ight="405"/>
              <w:rPr>
                <w:sz w:val="18"/>
              </w:rPr>
            </w:pPr>
            <w:r>
              <w:rPr>
                <w:sz w:val="18"/>
              </w:rPr>
              <w:t>Badshahi Khan</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21103-1737501-7</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Shafiq More</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Singer Chowrangi</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03000368977</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ight="124"/>
              <w:rPr>
                <w:sz w:val="18"/>
              </w:rPr>
            </w:pPr>
            <w:r>
              <w:rPr>
                <w:sz w:val="18"/>
              </w:rPr>
              <w:t>Sun Glasses, Helmet and Used Bags</w:t>
            </w:r>
          </w:p>
        </w:tc>
        <w:tc>
          <w:tcPr>
            <w:tcW w:w="1150" w:type="dxa"/>
            <w:tcBorders>
              <w:top w:val="single" w:sz="4" w:space="0" w:color="000000"/>
              <w:left w:val="single" w:sz="4" w:space="0" w:color="000000"/>
              <w:bottom w:val="single" w:sz="4" w:space="0" w:color="000000"/>
            </w:tcBorders>
          </w:tcPr>
          <w:p>
            <w:pPr>
              <w:pStyle w:val="TableParagraph"/>
              <w:ind w:left="38"/>
              <w:rPr>
                <w:sz w:val="18"/>
              </w:rPr>
            </w:pPr>
            <w:r>
              <w:rPr>
                <w:sz w:val="18"/>
              </w:rPr>
              <w:t>Mobile Cart</w:t>
            </w:r>
          </w:p>
        </w:tc>
      </w:tr>
      <w:tr>
        <w:trPr>
          <w:trHeight w:val="542" w:hRule="exact"/>
        </w:trPr>
        <w:tc>
          <w:tcPr>
            <w:tcW w:w="394" w:type="dxa"/>
            <w:tcBorders>
              <w:top w:val="single" w:sz="4" w:space="0" w:color="000000"/>
              <w:bottom w:val="single" w:sz="4" w:space="0" w:color="000000"/>
              <w:right w:val="single" w:sz="4" w:space="0" w:color="000000"/>
            </w:tcBorders>
          </w:tcPr>
          <w:p>
            <w:pPr>
              <w:pStyle w:val="TableParagraph"/>
              <w:ind w:left="132"/>
              <w:rPr>
                <w:sz w:val="18"/>
              </w:rPr>
            </w:pPr>
            <w:r>
              <w:rPr>
                <w:w w:val="99"/>
                <w:sz w:val="18"/>
              </w:rPr>
              <w:t>4</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2</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24 50.800</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67 09.637</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Rasheed Khan</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Jam Gull</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21104-3463326-1</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Sharafi Goth</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Singer Chowrangi</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03070224314</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ight="104"/>
              <w:rPr>
                <w:sz w:val="18"/>
              </w:rPr>
            </w:pPr>
            <w:r>
              <w:rPr>
                <w:sz w:val="18"/>
              </w:rPr>
              <w:t>Second Hand Bags</w:t>
            </w:r>
          </w:p>
        </w:tc>
        <w:tc>
          <w:tcPr>
            <w:tcW w:w="1150" w:type="dxa"/>
            <w:tcBorders>
              <w:top w:val="single" w:sz="4" w:space="0" w:color="000000"/>
              <w:left w:val="single" w:sz="4" w:space="0" w:color="000000"/>
              <w:bottom w:val="single" w:sz="4" w:space="0" w:color="000000"/>
            </w:tcBorders>
          </w:tcPr>
          <w:p>
            <w:pPr>
              <w:pStyle w:val="TableParagraph"/>
              <w:ind w:left="38"/>
              <w:rPr>
                <w:sz w:val="18"/>
              </w:rPr>
            </w:pPr>
            <w:r>
              <w:rPr>
                <w:sz w:val="18"/>
              </w:rPr>
              <w:t>Mobile Cart</w:t>
            </w:r>
          </w:p>
        </w:tc>
      </w:tr>
      <w:tr>
        <w:trPr>
          <w:trHeight w:val="752" w:hRule="exact"/>
        </w:trPr>
        <w:tc>
          <w:tcPr>
            <w:tcW w:w="394" w:type="dxa"/>
            <w:tcBorders>
              <w:top w:val="single" w:sz="4" w:space="0" w:color="000000"/>
              <w:bottom w:val="single" w:sz="4" w:space="0" w:color="000000"/>
              <w:right w:val="single" w:sz="4" w:space="0" w:color="000000"/>
            </w:tcBorders>
          </w:tcPr>
          <w:p>
            <w:pPr>
              <w:pStyle w:val="TableParagraph"/>
              <w:ind w:left="132"/>
              <w:rPr>
                <w:sz w:val="18"/>
              </w:rPr>
            </w:pPr>
            <w:r>
              <w:rPr>
                <w:w w:val="99"/>
                <w:sz w:val="18"/>
              </w:rPr>
              <w:t>5</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2</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24 50.800</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67 09.637</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Bashir Ahmed</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ight="275"/>
              <w:rPr>
                <w:sz w:val="18"/>
              </w:rPr>
            </w:pPr>
            <w:r>
              <w:rPr>
                <w:sz w:val="18"/>
              </w:rPr>
              <w:t>Haji Khuda Bux</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43012-5511554-3</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Sharafi Goth</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Singer Chowrangi</w:t>
            </w:r>
          </w:p>
        </w:tc>
        <w:tc>
          <w:tcPr>
            <w:tcW w:w="1217" w:type="dxa"/>
            <w:tcBorders>
              <w:top w:val="single" w:sz="4" w:space="0" w:color="000000"/>
              <w:left w:val="single" w:sz="4" w:space="0" w:color="000000"/>
              <w:bottom w:val="single" w:sz="4" w:space="0" w:color="000000"/>
              <w:right w:val="single" w:sz="4" w:space="0" w:color="000000"/>
            </w:tcBorders>
          </w:tcPr>
          <w:p>
            <w:pP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ight="74"/>
              <w:rPr>
                <w:sz w:val="18"/>
              </w:rPr>
            </w:pPr>
            <w:r>
              <w:rPr>
                <w:sz w:val="18"/>
              </w:rPr>
              <w:t>Sun Glasses , Helmet and Used Bags</w:t>
            </w:r>
          </w:p>
        </w:tc>
        <w:tc>
          <w:tcPr>
            <w:tcW w:w="1150" w:type="dxa"/>
            <w:tcBorders>
              <w:top w:val="single" w:sz="4" w:space="0" w:color="000000"/>
              <w:left w:val="single" w:sz="4" w:space="0" w:color="000000"/>
              <w:bottom w:val="single" w:sz="4" w:space="0" w:color="000000"/>
            </w:tcBorders>
          </w:tcPr>
          <w:p>
            <w:pPr>
              <w:pStyle w:val="TableParagraph"/>
              <w:ind w:left="38"/>
              <w:rPr>
                <w:sz w:val="18"/>
              </w:rPr>
            </w:pPr>
            <w:r>
              <w:rPr>
                <w:sz w:val="18"/>
              </w:rPr>
              <w:t>Mobile Cart</w:t>
            </w:r>
          </w:p>
        </w:tc>
      </w:tr>
      <w:tr>
        <w:trPr>
          <w:trHeight w:val="336" w:hRule="exact"/>
        </w:trPr>
        <w:tc>
          <w:tcPr>
            <w:tcW w:w="394" w:type="dxa"/>
            <w:tcBorders>
              <w:top w:val="single" w:sz="4" w:space="0" w:color="000000"/>
              <w:bottom w:val="single" w:sz="4" w:space="0" w:color="000000"/>
              <w:right w:val="single" w:sz="4" w:space="0" w:color="000000"/>
            </w:tcBorders>
          </w:tcPr>
          <w:p>
            <w:pPr>
              <w:pStyle w:val="TableParagraph"/>
              <w:ind w:left="132"/>
              <w:rPr>
                <w:sz w:val="18"/>
              </w:rPr>
            </w:pPr>
            <w:r>
              <w:rPr>
                <w:w w:val="99"/>
                <w:sz w:val="18"/>
              </w:rPr>
              <w:t>7</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2</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24 50.634</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67 08.743</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Bahadur Khan</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Ghazi Khan</w:t>
            </w:r>
          </w:p>
        </w:tc>
        <w:tc>
          <w:tcPr>
            <w:tcW w:w="1538" w:type="dxa"/>
            <w:tcBorders>
              <w:top w:val="single" w:sz="4" w:space="0" w:color="000000"/>
              <w:left w:val="single" w:sz="4" w:space="0" w:color="000000"/>
              <w:bottom w:val="single" w:sz="4" w:space="0" w:color="000000"/>
              <w:right w:val="single" w:sz="4" w:space="0" w:color="000000"/>
            </w:tcBorders>
          </w:tcPr>
          <w:p>
            <w:pP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Awami Colony</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Industry Area</w:t>
            </w:r>
          </w:p>
        </w:tc>
        <w:tc>
          <w:tcPr>
            <w:tcW w:w="1217" w:type="dxa"/>
            <w:tcBorders>
              <w:top w:val="single" w:sz="4" w:space="0" w:color="000000"/>
              <w:left w:val="single" w:sz="4" w:space="0" w:color="000000"/>
              <w:bottom w:val="single" w:sz="4" w:space="0" w:color="000000"/>
              <w:right w:val="single" w:sz="4" w:space="0" w:color="000000"/>
            </w:tcBorders>
          </w:tcPr>
          <w:p>
            <w:pP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Tuck Shop</w:t>
            </w:r>
          </w:p>
        </w:tc>
        <w:tc>
          <w:tcPr>
            <w:tcW w:w="1150" w:type="dxa"/>
            <w:tcBorders>
              <w:top w:val="single" w:sz="4" w:space="0" w:color="000000"/>
              <w:left w:val="single" w:sz="4" w:space="0" w:color="000000"/>
              <w:bottom w:val="single" w:sz="4" w:space="0" w:color="000000"/>
            </w:tcBorders>
          </w:tcPr>
          <w:p>
            <w:pPr>
              <w:pStyle w:val="TableParagraph"/>
              <w:ind w:left="38"/>
              <w:rPr>
                <w:sz w:val="18"/>
              </w:rPr>
            </w:pPr>
            <w:r>
              <w:rPr>
                <w:sz w:val="18"/>
              </w:rPr>
              <w:t>Kiosk</w:t>
            </w:r>
          </w:p>
        </w:tc>
      </w:tr>
      <w:tr>
        <w:trPr>
          <w:trHeight w:val="545" w:hRule="exact"/>
        </w:trPr>
        <w:tc>
          <w:tcPr>
            <w:tcW w:w="394" w:type="dxa"/>
            <w:tcBorders>
              <w:top w:val="single" w:sz="4" w:space="0" w:color="000000"/>
              <w:bottom w:val="single" w:sz="4" w:space="0" w:color="000000"/>
              <w:right w:val="single" w:sz="4" w:space="0" w:color="000000"/>
            </w:tcBorders>
          </w:tcPr>
          <w:p>
            <w:pPr>
              <w:pStyle w:val="TableParagraph"/>
              <w:spacing w:before="61"/>
              <w:ind w:left="132"/>
              <w:rPr>
                <w:sz w:val="18"/>
              </w:rPr>
            </w:pPr>
            <w:r>
              <w:rPr>
                <w:w w:val="99"/>
                <w:sz w:val="18"/>
              </w:rPr>
              <w:t>8</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spacing w:before="61"/>
              <w:ind w:right="1"/>
              <w:jc w:val="center"/>
              <w:rPr>
                <w:sz w:val="18"/>
              </w:rPr>
            </w:pPr>
            <w:r>
              <w:rPr>
                <w:w w:val="99"/>
                <w:sz w:val="18"/>
              </w:rPr>
              <w:t>2</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before="61"/>
              <w:ind w:left="47"/>
              <w:rPr>
                <w:sz w:val="18"/>
              </w:rPr>
            </w:pPr>
            <w:r>
              <w:rPr>
                <w:sz w:val="18"/>
              </w:rPr>
              <w:t>24 50.634</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before="61"/>
              <w:ind w:left="37" w:right="37"/>
              <w:jc w:val="center"/>
              <w:rPr>
                <w:sz w:val="18"/>
              </w:rPr>
            </w:pPr>
            <w:r>
              <w:rPr>
                <w:sz w:val="18"/>
              </w:rPr>
              <w:t>67 08.743</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spacing w:before="61"/>
              <w:ind w:left="38" w:right="381"/>
              <w:rPr>
                <w:sz w:val="18"/>
              </w:rPr>
            </w:pPr>
            <w:r>
              <w:rPr>
                <w:sz w:val="18"/>
              </w:rPr>
              <w:t>Muhammad Lateef</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spacing w:before="61"/>
              <w:ind w:left="38"/>
              <w:rPr>
                <w:sz w:val="18"/>
              </w:rPr>
            </w:pPr>
            <w:r>
              <w:rPr>
                <w:sz w:val="18"/>
              </w:rPr>
              <w:t>Ali Daad</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spacing w:before="61"/>
              <w:ind w:left="20" w:right="47"/>
              <w:jc w:val="center"/>
              <w:rPr>
                <w:sz w:val="18"/>
              </w:rPr>
            </w:pPr>
            <w:r>
              <w:rPr>
                <w:sz w:val="18"/>
              </w:rPr>
              <w:t>82401-6627074-9</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spacing w:before="61"/>
              <w:ind w:left="35"/>
              <w:rPr>
                <w:sz w:val="18"/>
              </w:rPr>
            </w:pPr>
            <w:r>
              <w:rPr>
                <w:sz w:val="18"/>
              </w:rPr>
              <w:t>Bengali Camp</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spacing w:before="61"/>
              <w:ind w:left="38"/>
              <w:rPr>
                <w:sz w:val="18"/>
              </w:rPr>
            </w:pPr>
            <w:r>
              <w:rPr>
                <w:sz w:val="18"/>
              </w:rPr>
              <w:t>Bengali Camp</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spacing w:before="61"/>
              <w:ind w:right="65"/>
              <w:jc w:val="right"/>
              <w:rPr>
                <w:sz w:val="18"/>
              </w:rPr>
            </w:pPr>
            <w:r>
              <w:rPr>
                <w:sz w:val="18"/>
              </w:rPr>
              <w:t>03472613032</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spacing w:before="61"/>
              <w:ind w:left="38"/>
              <w:rPr>
                <w:sz w:val="18"/>
              </w:rPr>
            </w:pPr>
            <w:r>
              <w:rPr>
                <w:sz w:val="18"/>
              </w:rPr>
              <w:t>Tuck Shop</w:t>
            </w:r>
          </w:p>
        </w:tc>
        <w:tc>
          <w:tcPr>
            <w:tcW w:w="1150" w:type="dxa"/>
            <w:tcBorders>
              <w:top w:val="single" w:sz="4" w:space="0" w:color="000000"/>
              <w:left w:val="single" w:sz="4" w:space="0" w:color="000000"/>
              <w:bottom w:val="single" w:sz="4" w:space="0" w:color="000000"/>
            </w:tcBorders>
          </w:tcPr>
          <w:p>
            <w:pPr>
              <w:pStyle w:val="TableParagraph"/>
              <w:spacing w:before="61"/>
              <w:ind w:left="38"/>
              <w:rPr>
                <w:sz w:val="18"/>
              </w:rPr>
            </w:pPr>
            <w:r>
              <w:rPr>
                <w:sz w:val="18"/>
              </w:rPr>
              <w:t>Kiosk</w:t>
            </w:r>
          </w:p>
        </w:tc>
      </w:tr>
      <w:tr>
        <w:trPr>
          <w:trHeight w:val="338" w:hRule="exact"/>
        </w:trPr>
        <w:tc>
          <w:tcPr>
            <w:tcW w:w="394" w:type="dxa"/>
            <w:tcBorders>
              <w:top w:val="single" w:sz="4" w:space="0" w:color="000000"/>
              <w:bottom w:val="single" w:sz="4" w:space="0" w:color="000000"/>
              <w:right w:val="single" w:sz="4" w:space="0" w:color="000000"/>
            </w:tcBorders>
          </w:tcPr>
          <w:p>
            <w:pPr>
              <w:pStyle w:val="TableParagraph"/>
              <w:ind w:left="132"/>
              <w:rPr>
                <w:sz w:val="18"/>
              </w:rPr>
            </w:pPr>
            <w:r>
              <w:rPr>
                <w:w w:val="99"/>
                <w:sz w:val="18"/>
              </w:rPr>
              <w:t>9</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2</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24 50.603</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67 08.694</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Rehmat Ullah</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Abdul Ghafar</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12102-2148272-5</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Industry Area</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Industry Area</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03454858139</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Tuck Shop</w:t>
            </w:r>
          </w:p>
        </w:tc>
        <w:tc>
          <w:tcPr>
            <w:tcW w:w="1150" w:type="dxa"/>
            <w:tcBorders>
              <w:top w:val="single" w:sz="4" w:space="0" w:color="000000"/>
              <w:left w:val="single" w:sz="4" w:space="0" w:color="000000"/>
              <w:bottom w:val="single" w:sz="4" w:space="0" w:color="000000"/>
            </w:tcBorders>
          </w:tcPr>
          <w:p>
            <w:pPr>
              <w:pStyle w:val="TableParagraph"/>
              <w:ind w:left="38"/>
              <w:rPr>
                <w:sz w:val="18"/>
              </w:rPr>
            </w:pPr>
            <w:r>
              <w:rPr>
                <w:sz w:val="18"/>
              </w:rPr>
              <w:t>Kiosk</w:t>
            </w:r>
          </w:p>
        </w:tc>
      </w:tr>
      <w:tr>
        <w:trPr>
          <w:trHeight w:val="542" w:hRule="exact"/>
        </w:trPr>
        <w:tc>
          <w:tcPr>
            <w:tcW w:w="394" w:type="dxa"/>
            <w:tcBorders>
              <w:top w:val="single" w:sz="4" w:space="0" w:color="000000"/>
              <w:bottom w:val="single" w:sz="4" w:space="0" w:color="000000"/>
              <w:right w:val="single" w:sz="4" w:space="0" w:color="000000"/>
            </w:tcBorders>
          </w:tcPr>
          <w:p>
            <w:pPr>
              <w:pStyle w:val="TableParagraph"/>
              <w:ind w:left="82"/>
              <w:rPr>
                <w:sz w:val="18"/>
              </w:rPr>
            </w:pPr>
            <w:r>
              <w:rPr>
                <w:sz w:val="18"/>
              </w:rPr>
              <w:t>10</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2</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24 50.534</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67 08.353</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Imran Shah</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ight="76"/>
              <w:rPr>
                <w:sz w:val="18"/>
              </w:rPr>
            </w:pPr>
            <w:r>
              <w:rPr>
                <w:sz w:val="18"/>
              </w:rPr>
              <w:t>Amman Ullah Shah</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12104-9960363-9</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Bilal Colony</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Bilal Chowrangi</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03452147371</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Tuck Shop</w:t>
            </w:r>
          </w:p>
        </w:tc>
        <w:tc>
          <w:tcPr>
            <w:tcW w:w="1150" w:type="dxa"/>
            <w:tcBorders>
              <w:top w:val="single" w:sz="4" w:space="0" w:color="000000"/>
              <w:left w:val="single" w:sz="4" w:space="0" w:color="000000"/>
              <w:bottom w:val="single" w:sz="4" w:space="0" w:color="000000"/>
            </w:tcBorders>
          </w:tcPr>
          <w:p>
            <w:pPr>
              <w:pStyle w:val="TableParagraph"/>
              <w:ind w:left="38"/>
              <w:rPr>
                <w:sz w:val="18"/>
              </w:rPr>
            </w:pPr>
            <w:r>
              <w:rPr>
                <w:sz w:val="18"/>
              </w:rPr>
              <w:t>Kiosk</w:t>
            </w:r>
          </w:p>
        </w:tc>
      </w:tr>
      <w:tr>
        <w:trPr>
          <w:trHeight w:val="545" w:hRule="exact"/>
        </w:trPr>
        <w:tc>
          <w:tcPr>
            <w:tcW w:w="394" w:type="dxa"/>
            <w:tcBorders>
              <w:top w:val="single" w:sz="4" w:space="0" w:color="000000"/>
              <w:bottom w:val="single" w:sz="4" w:space="0" w:color="000000"/>
              <w:right w:val="single" w:sz="4" w:space="0" w:color="000000"/>
            </w:tcBorders>
          </w:tcPr>
          <w:p>
            <w:pPr>
              <w:pStyle w:val="TableParagraph"/>
              <w:ind w:left="82"/>
              <w:rPr>
                <w:sz w:val="18"/>
              </w:rPr>
            </w:pPr>
            <w:r>
              <w:rPr>
                <w:sz w:val="18"/>
              </w:rPr>
              <w:t>11</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2</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24 50.260</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67 06.956</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Babar Ali</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ind w:left="38" w:right="206"/>
              <w:rPr>
                <w:sz w:val="18"/>
              </w:rPr>
            </w:pPr>
            <w:r>
              <w:rPr>
                <w:sz w:val="18"/>
              </w:rPr>
              <w:t>Muhammad Aziz</w:t>
            </w:r>
          </w:p>
        </w:tc>
        <w:tc>
          <w:tcPr>
            <w:tcW w:w="1538" w:type="dxa"/>
            <w:tcBorders>
              <w:top w:val="single" w:sz="4" w:space="0" w:color="000000"/>
              <w:left w:val="single" w:sz="4" w:space="0" w:color="000000"/>
              <w:bottom w:val="single" w:sz="4" w:space="0" w:color="000000"/>
              <w:right w:val="single" w:sz="4" w:space="0" w:color="000000"/>
            </w:tcBorders>
          </w:tcPr>
          <w:p>
            <w:pP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Nasir Jump</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Shan Chowrangi</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03162085846</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ind w:left="38" w:right="64"/>
              <w:rPr>
                <w:sz w:val="18"/>
              </w:rPr>
            </w:pPr>
            <w:r>
              <w:rPr>
                <w:sz w:val="18"/>
              </w:rPr>
              <w:t>Tyre Puncture Shop</w:t>
            </w:r>
          </w:p>
        </w:tc>
        <w:tc>
          <w:tcPr>
            <w:tcW w:w="1150" w:type="dxa"/>
            <w:tcBorders>
              <w:top w:val="single" w:sz="4" w:space="0" w:color="000000"/>
              <w:left w:val="single" w:sz="4" w:space="0" w:color="000000"/>
              <w:bottom w:val="single" w:sz="4" w:space="0" w:color="000000"/>
            </w:tcBorders>
          </w:tcPr>
          <w:p>
            <w:pPr>
              <w:pStyle w:val="TableParagraph"/>
              <w:ind w:left="38"/>
              <w:rPr>
                <w:sz w:val="18"/>
              </w:rPr>
            </w:pPr>
            <w:r>
              <w:rPr>
                <w:sz w:val="18"/>
              </w:rPr>
              <w:t>Kiosk</w:t>
            </w:r>
          </w:p>
        </w:tc>
      </w:tr>
      <w:tr>
        <w:trPr>
          <w:trHeight w:val="542" w:hRule="exact"/>
        </w:trPr>
        <w:tc>
          <w:tcPr>
            <w:tcW w:w="394" w:type="dxa"/>
            <w:tcBorders>
              <w:top w:val="single" w:sz="4" w:space="0" w:color="000000"/>
              <w:bottom w:val="single" w:sz="4" w:space="0" w:color="000000"/>
              <w:right w:val="single" w:sz="4" w:space="0" w:color="000000"/>
            </w:tcBorders>
          </w:tcPr>
          <w:p>
            <w:pPr>
              <w:pStyle w:val="TableParagraph"/>
              <w:ind w:left="82"/>
              <w:rPr>
                <w:sz w:val="18"/>
              </w:rPr>
            </w:pPr>
            <w:r>
              <w:rPr>
                <w:sz w:val="18"/>
              </w:rPr>
              <w:t>12</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2</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24 50.260</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67 06.956</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ight="381"/>
              <w:rPr>
                <w:sz w:val="18"/>
              </w:rPr>
            </w:pPr>
            <w:r>
              <w:rPr>
                <w:sz w:val="18"/>
              </w:rPr>
              <w:t>Muhammad Hanif</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Abdul Aziz</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12105-0385416-9</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Bilal Colony</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Shan Chowrangi</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03408590598</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Tuck Shop</w:t>
            </w:r>
          </w:p>
        </w:tc>
        <w:tc>
          <w:tcPr>
            <w:tcW w:w="1150" w:type="dxa"/>
            <w:tcBorders>
              <w:top w:val="single" w:sz="4" w:space="0" w:color="000000"/>
              <w:left w:val="single" w:sz="4" w:space="0" w:color="000000"/>
              <w:bottom w:val="single" w:sz="4" w:space="0" w:color="000000"/>
            </w:tcBorders>
          </w:tcPr>
          <w:p>
            <w:pPr>
              <w:pStyle w:val="TableParagraph"/>
              <w:ind w:left="38"/>
              <w:rPr>
                <w:sz w:val="18"/>
              </w:rPr>
            </w:pPr>
            <w:r>
              <w:rPr>
                <w:sz w:val="18"/>
              </w:rPr>
              <w:t>Kiosk</w:t>
            </w:r>
          </w:p>
        </w:tc>
      </w:tr>
      <w:tr>
        <w:trPr>
          <w:trHeight w:val="545" w:hRule="exact"/>
        </w:trPr>
        <w:tc>
          <w:tcPr>
            <w:tcW w:w="394" w:type="dxa"/>
            <w:tcBorders>
              <w:top w:val="single" w:sz="4" w:space="0" w:color="000000"/>
              <w:bottom w:val="single" w:sz="4" w:space="0" w:color="000000"/>
              <w:right w:val="single" w:sz="4" w:space="0" w:color="000000"/>
            </w:tcBorders>
          </w:tcPr>
          <w:p>
            <w:pPr>
              <w:pStyle w:val="TableParagraph"/>
              <w:spacing w:before="61"/>
              <w:ind w:left="82"/>
              <w:rPr>
                <w:sz w:val="18"/>
              </w:rPr>
            </w:pPr>
            <w:r>
              <w:rPr>
                <w:sz w:val="18"/>
              </w:rPr>
              <w:t>13</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spacing w:before="61"/>
              <w:ind w:right="1"/>
              <w:jc w:val="center"/>
              <w:rPr>
                <w:sz w:val="18"/>
              </w:rPr>
            </w:pPr>
            <w:r>
              <w:rPr>
                <w:w w:val="99"/>
                <w:sz w:val="18"/>
              </w:rPr>
              <w:t>2</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before="61"/>
              <w:ind w:left="47"/>
              <w:rPr>
                <w:sz w:val="18"/>
              </w:rPr>
            </w:pPr>
            <w:r>
              <w:rPr>
                <w:sz w:val="18"/>
              </w:rPr>
              <w:t>24 50.168</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before="61"/>
              <w:ind w:left="37" w:right="37"/>
              <w:jc w:val="center"/>
              <w:rPr>
                <w:sz w:val="18"/>
              </w:rPr>
            </w:pPr>
            <w:r>
              <w:rPr>
                <w:sz w:val="18"/>
              </w:rPr>
              <w:t>67 06.500</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spacing w:before="61"/>
              <w:ind w:left="38"/>
              <w:rPr>
                <w:sz w:val="18"/>
              </w:rPr>
            </w:pPr>
            <w:r>
              <w:rPr>
                <w:sz w:val="18"/>
              </w:rPr>
              <w:t>Allah Ditta</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spacing w:before="61"/>
              <w:ind w:left="38"/>
              <w:rPr>
                <w:sz w:val="18"/>
              </w:rPr>
            </w:pPr>
            <w:r>
              <w:rPr>
                <w:sz w:val="18"/>
              </w:rPr>
              <w:t>Kareem Bux</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spacing w:before="61"/>
              <w:ind w:left="20" w:right="47"/>
              <w:jc w:val="center"/>
              <w:rPr>
                <w:sz w:val="18"/>
              </w:rPr>
            </w:pPr>
            <w:r>
              <w:rPr>
                <w:sz w:val="18"/>
              </w:rPr>
              <w:t>32301-2323674-7</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spacing w:before="61"/>
              <w:ind w:left="35"/>
              <w:rPr>
                <w:sz w:val="18"/>
              </w:rPr>
            </w:pPr>
            <w:r>
              <w:rPr>
                <w:sz w:val="18"/>
              </w:rPr>
              <w:t>Faqira Goth</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spacing w:before="61"/>
              <w:ind w:left="38"/>
              <w:rPr>
                <w:sz w:val="18"/>
              </w:rPr>
            </w:pPr>
            <w:r>
              <w:rPr>
                <w:sz w:val="18"/>
              </w:rPr>
              <w:t>Brooks Chowrangi</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spacing w:line="207" w:lineRule="exact" w:before="61"/>
              <w:ind w:left="38"/>
              <w:rPr>
                <w:sz w:val="18"/>
              </w:rPr>
            </w:pPr>
            <w:r>
              <w:rPr>
                <w:sz w:val="18"/>
              </w:rPr>
              <w:t>033321`4406</w:t>
            </w:r>
          </w:p>
          <w:p>
            <w:pPr>
              <w:pStyle w:val="TableParagraph"/>
              <w:spacing w:line="207" w:lineRule="exact" w:before="0"/>
              <w:ind w:left="38"/>
              <w:rPr>
                <w:sz w:val="18"/>
              </w:rPr>
            </w:pPr>
            <w:r>
              <w:rPr>
                <w:w w:val="99"/>
                <w:sz w:val="18"/>
              </w:rPr>
              <w:t>2</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spacing w:before="61"/>
              <w:ind w:left="38"/>
              <w:rPr>
                <w:sz w:val="18"/>
              </w:rPr>
            </w:pPr>
            <w:r>
              <w:rPr>
                <w:sz w:val="18"/>
              </w:rPr>
              <w:t>Fresh Juice</w:t>
            </w:r>
          </w:p>
        </w:tc>
        <w:tc>
          <w:tcPr>
            <w:tcW w:w="1150" w:type="dxa"/>
            <w:tcBorders>
              <w:top w:val="single" w:sz="4" w:space="0" w:color="000000"/>
              <w:left w:val="single" w:sz="4" w:space="0" w:color="000000"/>
              <w:bottom w:val="single" w:sz="4" w:space="0" w:color="000000"/>
            </w:tcBorders>
          </w:tcPr>
          <w:p>
            <w:pPr>
              <w:pStyle w:val="TableParagraph"/>
              <w:spacing w:before="61"/>
              <w:ind w:left="38"/>
              <w:rPr>
                <w:sz w:val="18"/>
              </w:rPr>
            </w:pPr>
            <w:r>
              <w:rPr>
                <w:sz w:val="18"/>
              </w:rPr>
              <w:t>Mobile Cart</w:t>
            </w:r>
          </w:p>
        </w:tc>
      </w:tr>
      <w:tr>
        <w:trPr>
          <w:trHeight w:val="552" w:hRule="exact"/>
        </w:trPr>
        <w:tc>
          <w:tcPr>
            <w:tcW w:w="394" w:type="dxa"/>
            <w:tcBorders>
              <w:top w:val="single" w:sz="4" w:space="0" w:color="000000"/>
              <w:right w:val="single" w:sz="4" w:space="0" w:color="000000"/>
            </w:tcBorders>
          </w:tcPr>
          <w:p>
            <w:pPr>
              <w:pStyle w:val="TableParagraph"/>
              <w:ind w:left="82"/>
              <w:rPr>
                <w:sz w:val="18"/>
              </w:rPr>
            </w:pPr>
            <w:r>
              <w:rPr>
                <w:sz w:val="18"/>
              </w:rPr>
              <w:t>14</w:t>
            </w:r>
          </w:p>
        </w:tc>
        <w:tc>
          <w:tcPr>
            <w:tcW w:w="526" w:type="dxa"/>
            <w:tcBorders>
              <w:top w:val="single" w:sz="4" w:space="0" w:color="000000"/>
              <w:left w:val="single" w:sz="4" w:space="0" w:color="000000"/>
              <w:right w:val="single" w:sz="4" w:space="0" w:color="000000"/>
            </w:tcBorders>
          </w:tcPr>
          <w:p>
            <w:pPr>
              <w:pStyle w:val="TableParagraph"/>
              <w:ind w:right="1"/>
              <w:jc w:val="center"/>
              <w:rPr>
                <w:sz w:val="18"/>
              </w:rPr>
            </w:pPr>
            <w:r>
              <w:rPr>
                <w:w w:val="99"/>
                <w:sz w:val="18"/>
              </w:rPr>
              <w:t>2</w:t>
            </w:r>
          </w:p>
        </w:tc>
        <w:tc>
          <w:tcPr>
            <w:tcW w:w="910" w:type="dxa"/>
            <w:tcBorders>
              <w:top w:val="single" w:sz="4" w:space="0" w:color="000000"/>
              <w:left w:val="single" w:sz="4" w:space="0" w:color="000000"/>
              <w:right w:val="single" w:sz="4" w:space="0" w:color="000000"/>
            </w:tcBorders>
          </w:tcPr>
          <w:p>
            <w:pPr>
              <w:pStyle w:val="TableParagraph"/>
              <w:ind w:left="47"/>
              <w:rPr>
                <w:sz w:val="18"/>
              </w:rPr>
            </w:pPr>
            <w:r>
              <w:rPr>
                <w:sz w:val="18"/>
              </w:rPr>
              <w:t>24 50.168</w:t>
            </w:r>
          </w:p>
        </w:tc>
        <w:tc>
          <w:tcPr>
            <w:tcW w:w="926" w:type="dxa"/>
            <w:tcBorders>
              <w:top w:val="single" w:sz="4" w:space="0" w:color="000000"/>
              <w:left w:val="single" w:sz="4" w:space="0" w:color="000000"/>
              <w:right w:val="single" w:sz="4" w:space="0" w:color="000000"/>
            </w:tcBorders>
          </w:tcPr>
          <w:p>
            <w:pPr>
              <w:pStyle w:val="TableParagraph"/>
              <w:ind w:left="37" w:right="37"/>
              <w:jc w:val="center"/>
              <w:rPr>
                <w:sz w:val="18"/>
              </w:rPr>
            </w:pPr>
            <w:r>
              <w:rPr>
                <w:sz w:val="18"/>
              </w:rPr>
              <w:t>67 06.500</w:t>
            </w:r>
          </w:p>
        </w:tc>
        <w:tc>
          <w:tcPr>
            <w:tcW w:w="1400" w:type="dxa"/>
            <w:tcBorders>
              <w:top w:val="single" w:sz="4" w:space="0" w:color="000000"/>
              <w:left w:val="single" w:sz="4" w:space="0" w:color="000000"/>
              <w:right w:val="single" w:sz="4" w:space="0" w:color="000000"/>
            </w:tcBorders>
          </w:tcPr>
          <w:p>
            <w:pPr>
              <w:pStyle w:val="TableParagraph"/>
              <w:ind w:left="38"/>
              <w:rPr>
                <w:sz w:val="18"/>
              </w:rPr>
            </w:pPr>
            <w:r>
              <w:rPr>
                <w:sz w:val="18"/>
              </w:rPr>
              <w:t>Rozi Khan</w:t>
            </w:r>
          </w:p>
        </w:tc>
        <w:tc>
          <w:tcPr>
            <w:tcW w:w="1224" w:type="dxa"/>
            <w:tcBorders>
              <w:top w:val="single" w:sz="4" w:space="0" w:color="000000"/>
              <w:left w:val="single" w:sz="4" w:space="0" w:color="000000"/>
              <w:right w:val="single" w:sz="4" w:space="0" w:color="000000"/>
            </w:tcBorders>
          </w:tcPr>
          <w:p>
            <w:pPr>
              <w:pStyle w:val="TableParagraph"/>
              <w:ind w:left="38" w:right="295"/>
              <w:rPr>
                <w:sz w:val="18"/>
              </w:rPr>
            </w:pPr>
            <w:r>
              <w:rPr>
                <w:sz w:val="18"/>
              </w:rPr>
              <w:t>Haji Khalid Dad</w:t>
            </w:r>
          </w:p>
        </w:tc>
        <w:tc>
          <w:tcPr>
            <w:tcW w:w="1538" w:type="dxa"/>
            <w:tcBorders>
              <w:top w:val="single" w:sz="4" w:space="0" w:color="000000"/>
              <w:left w:val="single" w:sz="4" w:space="0" w:color="000000"/>
              <w:right w:val="single" w:sz="4" w:space="0" w:color="000000"/>
            </w:tcBorders>
          </w:tcPr>
          <w:p>
            <w:pPr/>
          </w:p>
        </w:tc>
        <w:tc>
          <w:tcPr>
            <w:tcW w:w="1344" w:type="dxa"/>
            <w:tcBorders>
              <w:top w:val="single" w:sz="4" w:space="0" w:color="000000"/>
              <w:left w:val="single" w:sz="4" w:space="0" w:color="000000"/>
              <w:right w:val="single" w:sz="4" w:space="0" w:color="000000"/>
            </w:tcBorders>
          </w:tcPr>
          <w:p>
            <w:pPr>
              <w:pStyle w:val="TableParagraph"/>
              <w:ind w:left="35"/>
              <w:rPr>
                <w:sz w:val="18"/>
              </w:rPr>
            </w:pPr>
            <w:r>
              <w:rPr>
                <w:sz w:val="18"/>
              </w:rPr>
              <w:t>At Business</w:t>
            </w:r>
          </w:p>
        </w:tc>
        <w:tc>
          <w:tcPr>
            <w:tcW w:w="1747" w:type="dxa"/>
            <w:tcBorders>
              <w:top w:val="single" w:sz="4" w:space="0" w:color="000000"/>
              <w:left w:val="single" w:sz="4" w:space="0" w:color="000000"/>
              <w:right w:val="single" w:sz="4" w:space="0" w:color="000000"/>
            </w:tcBorders>
          </w:tcPr>
          <w:p>
            <w:pPr>
              <w:pStyle w:val="TableParagraph"/>
              <w:ind w:left="38"/>
              <w:rPr>
                <w:sz w:val="18"/>
              </w:rPr>
            </w:pPr>
            <w:r>
              <w:rPr>
                <w:sz w:val="18"/>
              </w:rPr>
              <w:t>Brooks Chowrangi</w:t>
            </w:r>
          </w:p>
        </w:tc>
        <w:tc>
          <w:tcPr>
            <w:tcW w:w="1217" w:type="dxa"/>
            <w:tcBorders>
              <w:top w:val="single" w:sz="4" w:space="0" w:color="000000"/>
              <w:left w:val="single" w:sz="4" w:space="0" w:color="000000"/>
              <w:right w:val="single" w:sz="4" w:space="0" w:color="000000"/>
            </w:tcBorders>
          </w:tcPr>
          <w:p>
            <w:pPr>
              <w:pStyle w:val="TableParagraph"/>
              <w:ind w:right="65"/>
              <w:jc w:val="right"/>
              <w:rPr>
                <w:sz w:val="18"/>
              </w:rPr>
            </w:pPr>
            <w:r>
              <w:rPr>
                <w:sz w:val="18"/>
              </w:rPr>
              <w:t>03468096876</w:t>
            </w:r>
          </w:p>
        </w:tc>
        <w:tc>
          <w:tcPr>
            <w:tcW w:w="1262" w:type="dxa"/>
            <w:tcBorders>
              <w:top w:val="single" w:sz="4" w:space="0" w:color="000000"/>
              <w:left w:val="single" w:sz="4" w:space="0" w:color="000000"/>
              <w:right w:val="single" w:sz="4" w:space="0" w:color="000000"/>
            </w:tcBorders>
          </w:tcPr>
          <w:p>
            <w:pPr>
              <w:pStyle w:val="TableParagraph"/>
              <w:ind w:left="38"/>
              <w:rPr>
                <w:sz w:val="18"/>
              </w:rPr>
            </w:pPr>
            <w:r>
              <w:rPr>
                <w:sz w:val="18"/>
              </w:rPr>
              <w:t>Tuck Shop</w:t>
            </w:r>
          </w:p>
        </w:tc>
        <w:tc>
          <w:tcPr>
            <w:tcW w:w="1150" w:type="dxa"/>
            <w:tcBorders>
              <w:top w:val="single" w:sz="4" w:space="0" w:color="000000"/>
              <w:left w:val="single" w:sz="4" w:space="0" w:color="000000"/>
            </w:tcBorders>
          </w:tcPr>
          <w:p>
            <w:pPr>
              <w:pStyle w:val="TableParagraph"/>
              <w:ind w:left="38"/>
              <w:rPr>
                <w:sz w:val="18"/>
              </w:rPr>
            </w:pPr>
            <w:r>
              <w:rPr>
                <w:sz w:val="18"/>
              </w:rPr>
              <w:t>Kiosk</w:t>
            </w:r>
          </w:p>
        </w:tc>
      </w:tr>
    </w:tbl>
    <w:p>
      <w:pPr>
        <w:spacing w:after="0"/>
        <w:rPr>
          <w:sz w:val="18"/>
        </w:rPr>
        <w:sectPr>
          <w:headerReference w:type="default" r:id="rId62"/>
          <w:footerReference w:type="default" r:id="rId63"/>
          <w:pgSz w:w="16840" w:h="11910" w:orient="landscape"/>
          <w:pgMar w:header="583" w:footer="575" w:top="840" w:bottom="760" w:left="860" w:right="1280"/>
          <w:pgNumType w:start="53"/>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6"/>
        </w:rPr>
      </w:pPr>
    </w:p>
    <w:tbl>
      <w:tblPr>
        <w:tblW w:w="0" w:type="auto"/>
        <w:jc w:val="left"/>
        <w:tblInd w:w="89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94"/>
        <w:gridCol w:w="526"/>
        <w:gridCol w:w="910"/>
        <w:gridCol w:w="926"/>
        <w:gridCol w:w="1400"/>
        <w:gridCol w:w="1224"/>
        <w:gridCol w:w="1538"/>
        <w:gridCol w:w="1344"/>
        <w:gridCol w:w="1747"/>
        <w:gridCol w:w="1217"/>
        <w:gridCol w:w="1262"/>
        <w:gridCol w:w="1150"/>
      </w:tblGrid>
      <w:tr>
        <w:trPr>
          <w:trHeight w:val="504" w:hRule="exact"/>
        </w:trPr>
        <w:tc>
          <w:tcPr>
            <w:tcW w:w="394" w:type="dxa"/>
            <w:vMerge w:val="restart"/>
            <w:tcBorders>
              <w:right w:val="single" w:sz="4" w:space="0" w:color="000000"/>
            </w:tcBorders>
            <w:shd w:val="clear" w:color="auto" w:fill="D9D9D9"/>
          </w:tcPr>
          <w:p>
            <w:pPr>
              <w:pStyle w:val="TableParagraph"/>
              <w:ind w:left="91"/>
              <w:rPr>
                <w:b/>
                <w:sz w:val="18"/>
              </w:rPr>
            </w:pPr>
            <w:r>
              <w:rPr>
                <w:b/>
                <w:sz w:val="18"/>
              </w:rPr>
              <w:t>ID</w:t>
            </w:r>
          </w:p>
        </w:tc>
        <w:tc>
          <w:tcPr>
            <w:tcW w:w="526" w:type="dxa"/>
            <w:vMerge w:val="restart"/>
            <w:tcBorders>
              <w:left w:val="single" w:sz="4" w:space="0" w:color="000000"/>
              <w:right w:val="single" w:sz="4" w:space="0" w:color="000000"/>
            </w:tcBorders>
            <w:shd w:val="clear" w:color="auto" w:fill="D9D9D9"/>
            <w:textDirection w:val="btLr"/>
          </w:tcPr>
          <w:p>
            <w:pPr>
              <w:pStyle w:val="TableParagraph"/>
              <w:spacing w:line="247" w:lineRule="auto" w:before="102"/>
              <w:ind w:left="112" w:right="131"/>
              <w:rPr>
                <w:b/>
                <w:sz w:val="18"/>
              </w:rPr>
            </w:pPr>
            <w:r>
              <w:rPr>
                <w:b/>
                <w:w w:val="99"/>
                <w:sz w:val="18"/>
              </w:rPr>
              <w:t>Se</w:t>
            </w:r>
            <w:r>
              <w:rPr>
                <w:b/>
                <w:sz w:val="18"/>
              </w:rPr>
              <w:t>g</w:t>
            </w:r>
            <w:r>
              <w:rPr>
                <w:b/>
                <w:spacing w:val="1"/>
                <w:sz w:val="18"/>
              </w:rPr>
              <w:t>m</w:t>
            </w:r>
            <w:r>
              <w:rPr>
                <w:b/>
                <w:w w:val="99"/>
                <w:sz w:val="18"/>
              </w:rPr>
              <w:t>e</w:t>
            </w:r>
            <w:r>
              <w:rPr>
                <w:b/>
                <w:w w:val="100"/>
                <w:sz w:val="18"/>
              </w:rPr>
              <w:t>nt No.</w:t>
            </w:r>
          </w:p>
        </w:tc>
        <w:tc>
          <w:tcPr>
            <w:tcW w:w="1836" w:type="dxa"/>
            <w:gridSpan w:val="2"/>
            <w:tcBorders>
              <w:left w:val="single" w:sz="4" w:space="0" w:color="000000"/>
              <w:bottom w:val="single" w:sz="4" w:space="0" w:color="000000"/>
              <w:right w:val="single" w:sz="4" w:space="0" w:color="000000"/>
            </w:tcBorders>
            <w:shd w:val="clear" w:color="auto" w:fill="D9D9D9"/>
          </w:tcPr>
          <w:p>
            <w:pPr>
              <w:pStyle w:val="TableParagraph"/>
              <w:ind w:left="386"/>
              <w:rPr>
                <w:b/>
                <w:sz w:val="18"/>
              </w:rPr>
            </w:pPr>
            <w:r>
              <w:rPr>
                <w:b/>
                <w:sz w:val="18"/>
              </w:rPr>
              <w:t>Coordinates</w:t>
            </w:r>
          </w:p>
        </w:tc>
        <w:tc>
          <w:tcPr>
            <w:tcW w:w="1400" w:type="dxa"/>
            <w:vMerge w:val="restart"/>
            <w:tcBorders>
              <w:left w:val="single" w:sz="4" w:space="0" w:color="000000"/>
              <w:right w:val="single" w:sz="4" w:space="0" w:color="000000"/>
            </w:tcBorders>
            <w:shd w:val="clear" w:color="auto" w:fill="D9D9D9"/>
          </w:tcPr>
          <w:p>
            <w:pPr>
              <w:pStyle w:val="TableParagraph"/>
              <w:ind w:left="448" w:right="158" w:hanging="276"/>
              <w:rPr>
                <w:b/>
                <w:sz w:val="18"/>
              </w:rPr>
            </w:pPr>
            <w:r>
              <w:rPr>
                <w:b/>
                <w:sz w:val="18"/>
              </w:rPr>
              <w:t>Respondent Name</w:t>
            </w:r>
          </w:p>
        </w:tc>
        <w:tc>
          <w:tcPr>
            <w:tcW w:w="1224" w:type="dxa"/>
            <w:vMerge w:val="restart"/>
            <w:tcBorders>
              <w:left w:val="single" w:sz="4" w:space="0" w:color="000000"/>
              <w:right w:val="single" w:sz="4" w:space="0" w:color="000000"/>
            </w:tcBorders>
            <w:shd w:val="clear" w:color="auto" w:fill="D9D9D9"/>
          </w:tcPr>
          <w:p>
            <w:pPr>
              <w:pStyle w:val="TableParagraph"/>
              <w:ind w:left="362" w:right="243" w:hanging="104"/>
              <w:rPr>
                <w:b/>
                <w:sz w:val="18"/>
              </w:rPr>
            </w:pPr>
            <w:r>
              <w:rPr>
                <w:b/>
                <w:sz w:val="18"/>
              </w:rPr>
              <w:t>Father's Name</w:t>
            </w:r>
          </w:p>
        </w:tc>
        <w:tc>
          <w:tcPr>
            <w:tcW w:w="1538" w:type="dxa"/>
            <w:vMerge w:val="restart"/>
            <w:tcBorders>
              <w:left w:val="single" w:sz="4" w:space="0" w:color="000000"/>
              <w:right w:val="single" w:sz="4" w:space="0" w:color="000000"/>
            </w:tcBorders>
            <w:shd w:val="clear" w:color="auto" w:fill="D9D9D9"/>
          </w:tcPr>
          <w:p>
            <w:pPr>
              <w:pStyle w:val="TableParagraph"/>
              <w:ind w:left="38" w:right="70"/>
              <w:rPr>
                <w:b/>
                <w:sz w:val="18"/>
              </w:rPr>
            </w:pPr>
            <w:r>
              <w:rPr>
                <w:b/>
                <w:sz w:val="18"/>
              </w:rPr>
              <w:t>Respondent NIC No.</w:t>
            </w:r>
          </w:p>
        </w:tc>
        <w:tc>
          <w:tcPr>
            <w:tcW w:w="1344" w:type="dxa"/>
            <w:vMerge w:val="restart"/>
            <w:tcBorders>
              <w:left w:val="single" w:sz="4" w:space="0" w:color="000000"/>
              <w:right w:val="single" w:sz="4" w:space="0" w:color="000000"/>
            </w:tcBorders>
            <w:shd w:val="clear" w:color="auto" w:fill="D9D9D9"/>
          </w:tcPr>
          <w:p>
            <w:pPr>
              <w:pStyle w:val="TableParagraph"/>
              <w:ind w:left="335" w:right="186" w:hanging="137"/>
              <w:rPr>
                <w:b/>
                <w:sz w:val="18"/>
              </w:rPr>
            </w:pPr>
            <w:r>
              <w:rPr>
                <w:b/>
                <w:sz w:val="18"/>
              </w:rPr>
              <w:t>Address in Karachi</w:t>
            </w:r>
          </w:p>
        </w:tc>
        <w:tc>
          <w:tcPr>
            <w:tcW w:w="1747" w:type="dxa"/>
            <w:vMerge w:val="restart"/>
            <w:tcBorders>
              <w:left w:val="single" w:sz="4" w:space="0" w:color="000000"/>
              <w:right w:val="single" w:sz="4" w:space="0" w:color="000000"/>
            </w:tcBorders>
            <w:shd w:val="clear" w:color="auto" w:fill="D9D9D9"/>
          </w:tcPr>
          <w:p>
            <w:pPr>
              <w:pStyle w:val="TableParagraph"/>
              <w:ind w:left="127"/>
              <w:rPr>
                <w:b/>
                <w:sz w:val="18"/>
              </w:rPr>
            </w:pPr>
            <w:r>
              <w:rPr>
                <w:b/>
                <w:sz w:val="18"/>
              </w:rPr>
              <w:t>Vending Address</w:t>
            </w:r>
          </w:p>
        </w:tc>
        <w:tc>
          <w:tcPr>
            <w:tcW w:w="1217" w:type="dxa"/>
            <w:vMerge w:val="restart"/>
            <w:tcBorders>
              <w:left w:val="single" w:sz="4" w:space="0" w:color="000000"/>
              <w:right w:val="single" w:sz="4" w:space="0" w:color="000000"/>
            </w:tcBorders>
            <w:shd w:val="clear" w:color="auto" w:fill="D9D9D9"/>
          </w:tcPr>
          <w:p>
            <w:pPr>
              <w:pStyle w:val="TableParagraph"/>
              <w:ind w:left="148"/>
              <w:rPr>
                <w:b/>
                <w:sz w:val="18"/>
              </w:rPr>
            </w:pPr>
            <w:r>
              <w:rPr>
                <w:b/>
                <w:sz w:val="18"/>
              </w:rPr>
              <w:t>Mobile No.</w:t>
            </w:r>
          </w:p>
        </w:tc>
        <w:tc>
          <w:tcPr>
            <w:tcW w:w="1262" w:type="dxa"/>
            <w:vMerge w:val="restart"/>
            <w:tcBorders>
              <w:left w:val="single" w:sz="4" w:space="0" w:color="000000"/>
              <w:right w:val="single" w:sz="4" w:space="0" w:color="000000"/>
            </w:tcBorders>
            <w:shd w:val="clear" w:color="auto" w:fill="D9D9D9"/>
          </w:tcPr>
          <w:p>
            <w:pPr>
              <w:pStyle w:val="TableParagraph"/>
              <w:ind w:left="105" w:right="104" w:hanging="2"/>
              <w:jc w:val="center"/>
              <w:rPr>
                <w:b/>
                <w:sz w:val="18"/>
              </w:rPr>
            </w:pPr>
            <w:r>
              <w:rPr>
                <w:b/>
                <w:sz w:val="18"/>
              </w:rPr>
              <w:t>Kind of Goods Sale/ Service</w:t>
            </w:r>
          </w:p>
        </w:tc>
        <w:tc>
          <w:tcPr>
            <w:tcW w:w="1150" w:type="dxa"/>
            <w:vMerge w:val="restart"/>
            <w:tcBorders>
              <w:left w:val="single" w:sz="4" w:space="0" w:color="000000"/>
            </w:tcBorders>
            <w:shd w:val="clear" w:color="auto" w:fill="D9D9D9"/>
          </w:tcPr>
          <w:p>
            <w:pPr>
              <w:pStyle w:val="TableParagraph"/>
              <w:ind w:left="170" w:right="140" w:firstLine="79"/>
              <w:rPr>
                <w:b/>
                <w:sz w:val="18"/>
              </w:rPr>
            </w:pPr>
            <w:r>
              <w:rPr>
                <w:b/>
                <w:sz w:val="18"/>
              </w:rPr>
              <w:t>Type of Structure</w:t>
            </w:r>
          </w:p>
        </w:tc>
      </w:tr>
      <w:tr>
        <w:trPr>
          <w:trHeight w:val="540" w:hRule="exact"/>
        </w:trPr>
        <w:tc>
          <w:tcPr>
            <w:tcW w:w="394" w:type="dxa"/>
            <w:vMerge/>
            <w:tcBorders>
              <w:bottom w:val="single" w:sz="4" w:space="0" w:color="000000"/>
              <w:right w:val="single" w:sz="4" w:space="0" w:color="000000"/>
            </w:tcBorders>
            <w:shd w:val="clear" w:color="auto" w:fill="D9D9D9"/>
          </w:tcPr>
          <w:p>
            <w:pPr/>
          </w:p>
        </w:tc>
        <w:tc>
          <w:tcPr>
            <w:tcW w:w="526" w:type="dxa"/>
            <w:vMerge/>
            <w:tcBorders>
              <w:left w:val="single" w:sz="4" w:space="0" w:color="000000"/>
              <w:bottom w:val="single" w:sz="4" w:space="0" w:color="000000"/>
              <w:right w:val="single" w:sz="4" w:space="0" w:color="000000"/>
            </w:tcBorders>
            <w:shd w:val="clear" w:color="auto" w:fill="D9D9D9"/>
            <w:textDirection w:val="btLr"/>
          </w:tcPr>
          <w:p>
            <w:pPr/>
          </w:p>
        </w:tc>
        <w:tc>
          <w:tcPr>
            <w:tcW w:w="91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160"/>
              <w:ind w:left="74"/>
              <w:rPr>
                <w:b/>
                <w:sz w:val="18"/>
              </w:rPr>
            </w:pPr>
            <w:r>
              <w:rPr>
                <w:b/>
                <w:sz w:val="18"/>
              </w:rPr>
              <w:t>Northing</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160"/>
              <w:ind w:left="37" w:right="37"/>
              <w:jc w:val="center"/>
              <w:rPr>
                <w:b/>
                <w:sz w:val="18"/>
              </w:rPr>
            </w:pPr>
            <w:r>
              <w:rPr>
                <w:b/>
                <w:sz w:val="18"/>
              </w:rPr>
              <w:t>Easting</w:t>
            </w:r>
          </w:p>
        </w:tc>
        <w:tc>
          <w:tcPr>
            <w:tcW w:w="1400" w:type="dxa"/>
            <w:vMerge/>
            <w:tcBorders>
              <w:left w:val="single" w:sz="4" w:space="0" w:color="000000"/>
              <w:bottom w:val="single" w:sz="4" w:space="0" w:color="000000"/>
              <w:right w:val="single" w:sz="4" w:space="0" w:color="000000"/>
            </w:tcBorders>
            <w:shd w:val="clear" w:color="auto" w:fill="D9D9D9"/>
          </w:tcPr>
          <w:p>
            <w:pPr/>
          </w:p>
        </w:tc>
        <w:tc>
          <w:tcPr>
            <w:tcW w:w="1224" w:type="dxa"/>
            <w:vMerge/>
            <w:tcBorders>
              <w:left w:val="single" w:sz="4" w:space="0" w:color="000000"/>
              <w:bottom w:val="single" w:sz="4" w:space="0" w:color="000000"/>
              <w:right w:val="single" w:sz="4" w:space="0" w:color="000000"/>
            </w:tcBorders>
            <w:shd w:val="clear" w:color="auto" w:fill="D9D9D9"/>
          </w:tcPr>
          <w:p>
            <w:pPr/>
          </w:p>
        </w:tc>
        <w:tc>
          <w:tcPr>
            <w:tcW w:w="1538" w:type="dxa"/>
            <w:vMerge/>
            <w:tcBorders>
              <w:left w:val="single" w:sz="4" w:space="0" w:color="000000"/>
              <w:bottom w:val="single" w:sz="4" w:space="0" w:color="000000"/>
              <w:right w:val="single" w:sz="4" w:space="0" w:color="000000"/>
            </w:tcBorders>
            <w:shd w:val="clear" w:color="auto" w:fill="D9D9D9"/>
          </w:tcPr>
          <w:p>
            <w:pPr/>
          </w:p>
        </w:tc>
        <w:tc>
          <w:tcPr>
            <w:tcW w:w="1344" w:type="dxa"/>
            <w:vMerge/>
            <w:tcBorders>
              <w:left w:val="single" w:sz="4" w:space="0" w:color="000000"/>
              <w:bottom w:val="single" w:sz="4" w:space="0" w:color="000000"/>
              <w:right w:val="single" w:sz="4" w:space="0" w:color="000000"/>
            </w:tcBorders>
            <w:shd w:val="clear" w:color="auto" w:fill="D9D9D9"/>
          </w:tcPr>
          <w:p>
            <w:pPr/>
          </w:p>
        </w:tc>
        <w:tc>
          <w:tcPr>
            <w:tcW w:w="1747" w:type="dxa"/>
            <w:vMerge/>
            <w:tcBorders>
              <w:left w:val="single" w:sz="4" w:space="0" w:color="000000"/>
              <w:bottom w:val="single" w:sz="4" w:space="0" w:color="000000"/>
              <w:right w:val="single" w:sz="4" w:space="0" w:color="000000"/>
            </w:tcBorders>
            <w:shd w:val="clear" w:color="auto" w:fill="D9D9D9"/>
          </w:tcPr>
          <w:p>
            <w:pPr/>
          </w:p>
        </w:tc>
        <w:tc>
          <w:tcPr>
            <w:tcW w:w="1217" w:type="dxa"/>
            <w:vMerge/>
            <w:tcBorders>
              <w:left w:val="single" w:sz="4" w:space="0" w:color="000000"/>
              <w:bottom w:val="single" w:sz="4" w:space="0" w:color="000000"/>
              <w:right w:val="single" w:sz="4" w:space="0" w:color="000000"/>
            </w:tcBorders>
            <w:shd w:val="clear" w:color="auto" w:fill="D9D9D9"/>
          </w:tcPr>
          <w:p>
            <w:pPr/>
          </w:p>
        </w:tc>
        <w:tc>
          <w:tcPr>
            <w:tcW w:w="1262" w:type="dxa"/>
            <w:vMerge/>
            <w:tcBorders>
              <w:left w:val="single" w:sz="4" w:space="0" w:color="000000"/>
              <w:bottom w:val="single" w:sz="4" w:space="0" w:color="000000"/>
              <w:right w:val="single" w:sz="4" w:space="0" w:color="000000"/>
            </w:tcBorders>
            <w:shd w:val="clear" w:color="auto" w:fill="D9D9D9"/>
          </w:tcPr>
          <w:p>
            <w:pPr/>
          </w:p>
        </w:tc>
        <w:tc>
          <w:tcPr>
            <w:tcW w:w="1150" w:type="dxa"/>
            <w:vMerge/>
            <w:tcBorders>
              <w:left w:val="single" w:sz="4" w:space="0" w:color="000000"/>
              <w:bottom w:val="single" w:sz="4" w:space="0" w:color="000000"/>
            </w:tcBorders>
            <w:shd w:val="clear" w:color="auto" w:fill="D9D9D9"/>
          </w:tcPr>
          <w:p>
            <w:pPr/>
          </w:p>
        </w:tc>
      </w:tr>
      <w:tr>
        <w:trPr>
          <w:trHeight w:val="542"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15</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2</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24 50.168</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67 06.500</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Arshad</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Akbar</w:t>
            </w:r>
          </w:p>
        </w:tc>
        <w:tc>
          <w:tcPr>
            <w:tcW w:w="1538" w:type="dxa"/>
            <w:tcBorders>
              <w:top w:val="single" w:sz="4" w:space="0" w:color="000000"/>
              <w:left w:val="single" w:sz="4" w:space="0" w:color="000000"/>
              <w:bottom w:val="single" w:sz="4" w:space="0" w:color="000000"/>
              <w:right w:val="single" w:sz="4" w:space="0" w:color="000000"/>
            </w:tcBorders>
          </w:tcPr>
          <w:p>
            <w:pP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Mehran Town</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Brooks Chowrangi</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03013728900</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ight="184"/>
              <w:rPr>
                <w:sz w:val="18"/>
              </w:rPr>
            </w:pPr>
            <w:r>
              <w:rPr>
                <w:sz w:val="18"/>
              </w:rPr>
              <w:t>Samosa and Chana Chat</w:t>
            </w:r>
          </w:p>
        </w:tc>
        <w:tc>
          <w:tcPr>
            <w:tcW w:w="1150" w:type="dxa"/>
            <w:tcBorders>
              <w:top w:val="single" w:sz="4" w:space="0" w:color="000000"/>
              <w:left w:val="single" w:sz="4" w:space="0" w:color="000000"/>
              <w:bottom w:val="single" w:sz="4" w:space="0" w:color="000000"/>
            </w:tcBorders>
          </w:tcPr>
          <w:p>
            <w:pPr>
              <w:pStyle w:val="TableParagraph"/>
              <w:ind w:left="38"/>
              <w:rPr>
                <w:sz w:val="18"/>
              </w:rPr>
            </w:pPr>
            <w:r>
              <w:rPr>
                <w:sz w:val="18"/>
              </w:rPr>
              <w:t>Mobile Cart</w:t>
            </w:r>
          </w:p>
        </w:tc>
      </w:tr>
      <w:tr>
        <w:trPr>
          <w:trHeight w:val="545" w:hRule="exact"/>
        </w:trPr>
        <w:tc>
          <w:tcPr>
            <w:tcW w:w="394" w:type="dxa"/>
            <w:tcBorders>
              <w:top w:val="single" w:sz="4" w:space="0" w:color="000000"/>
              <w:bottom w:val="single" w:sz="4" w:space="0" w:color="000000"/>
              <w:right w:val="single" w:sz="4" w:space="0" w:color="000000"/>
            </w:tcBorders>
          </w:tcPr>
          <w:p>
            <w:pPr>
              <w:pStyle w:val="TableParagraph"/>
              <w:spacing w:before="61"/>
              <w:ind w:left="63" w:right="70"/>
              <w:jc w:val="center"/>
              <w:rPr>
                <w:sz w:val="18"/>
              </w:rPr>
            </w:pPr>
            <w:r>
              <w:rPr>
                <w:sz w:val="18"/>
              </w:rPr>
              <w:t>16</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spacing w:before="61"/>
              <w:ind w:right="1"/>
              <w:jc w:val="center"/>
              <w:rPr>
                <w:sz w:val="18"/>
              </w:rPr>
            </w:pPr>
            <w:r>
              <w:rPr>
                <w:w w:val="99"/>
                <w:sz w:val="18"/>
              </w:rPr>
              <w:t>2</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before="61"/>
              <w:ind w:left="47"/>
              <w:rPr>
                <w:sz w:val="18"/>
              </w:rPr>
            </w:pPr>
            <w:r>
              <w:rPr>
                <w:sz w:val="18"/>
              </w:rPr>
              <w:t>24 50.139</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before="61"/>
              <w:ind w:left="37" w:right="37"/>
              <w:jc w:val="center"/>
              <w:rPr>
                <w:sz w:val="18"/>
              </w:rPr>
            </w:pPr>
            <w:r>
              <w:rPr>
                <w:sz w:val="18"/>
              </w:rPr>
              <w:t>67 06.353</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spacing w:before="61"/>
              <w:ind w:left="38" w:right="381"/>
              <w:rPr>
                <w:sz w:val="18"/>
              </w:rPr>
            </w:pPr>
            <w:r>
              <w:rPr>
                <w:sz w:val="18"/>
              </w:rPr>
              <w:t>Muhammad Awais</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spacing w:before="61"/>
              <w:ind w:left="38" w:right="206"/>
              <w:rPr>
                <w:sz w:val="18"/>
              </w:rPr>
            </w:pPr>
            <w:r>
              <w:rPr>
                <w:sz w:val="18"/>
              </w:rPr>
              <w:t>Muhammad Quresh</w:t>
            </w:r>
          </w:p>
        </w:tc>
        <w:tc>
          <w:tcPr>
            <w:tcW w:w="1538" w:type="dxa"/>
            <w:tcBorders>
              <w:top w:val="single" w:sz="4" w:space="0" w:color="000000"/>
              <w:left w:val="single" w:sz="4" w:space="0" w:color="000000"/>
              <w:bottom w:val="single" w:sz="4" w:space="0" w:color="000000"/>
              <w:right w:val="single" w:sz="4" w:space="0" w:color="000000"/>
            </w:tcBorders>
          </w:tcPr>
          <w:p>
            <w:pPr/>
          </w:p>
        </w:tc>
        <w:tc>
          <w:tcPr>
            <w:tcW w:w="1344" w:type="dxa"/>
            <w:tcBorders>
              <w:top w:val="single" w:sz="4" w:space="0" w:color="000000"/>
              <w:left w:val="single" w:sz="4" w:space="0" w:color="000000"/>
              <w:bottom w:val="single" w:sz="4" w:space="0" w:color="000000"/>
              <w:right w:val="single" w:sz="4" w:space="0" w:color="000000"/>
            </w:tcBorders>
          </w:tcPr>
          <w:p>
            <w:pPr>
              <w:pStyle w:val="TableParagraph"/>
              <w:spacing w:before="61"/>
              <w:ind w:left="35"/>
              <w:rPr>
                <w:sz w:val="18"/>
              </w:rPr>
            </w:pPr>
            <w:r>
              <w:rPr>
                <w:sz w:val="18"/>
              </w:rPr>
              <w:t>Altaf Town</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spacing w:before="61"/>
              <w:ind w:left="38"/>
              <w:rPr>
                <w:sz w:val="18"/>
              </w:rPr>
            </w:pPr>
            <w:r>
              <w:rPr>
                <w:sz w:val="18"/>
              </w:rPr>
              <w:t>Brooks Chowrangi</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spacing w:before="61"/>
              <w:ind w:right="65"/>
              <w:jc w:val="right"/>
              <w:rPr>
                <w:sz w:val="18"/>
              </w:rPr>
            </w:pPr>
            <w:r>
              <w:rPr>
                <w:sz w:val="18"/>
              </w:rPr>
              <w:t>03456137185</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spacing w:before="61"/>
              <w:ind w:left="38"/>
              <w:rPr>
                <w:sz w:val="18"/>
              </w:rPr>
            </w:pPr>
            <w:r>
              <w:rPr>
                <w:sz w:val="18"/>
              </w:rPr>
              <w:t>Tuck Shop</w:t>
            </w:r>
          </w:p>
        </w:tc>
        <w:tc>
          <w:tcPr>
            <w:tcW w:w="1150" w:type="dxa"/>
            <w:tcBorders>
              <w:top w:val="single" w:sz="4" w:space="0" w:color="000000"/>
              <w:left w:val="single" w:sz="4" w:space="0" w:color="000000"/>
              <w:bottom w:val="single" w:sz="4" w:space="0" w:color="000000"/>
            </w:tcBorders>
          </w:tcPr>
          <w:p>
            <w:pPr>
              <w:pStyle w:val="TableParagraph"/>
              <w:spacing w:before="61"/>
              <w:ind w:left="38"/>
              <w:rPr>
                <w:sz w:val="18"/>
              </w:rPr>
            </w:pPr>
            <w:r>
              <w:rPr>
                <w:sz w:val="18"/>
              </w:rPr>
              <w:t>Kiosk</w:t>
            </w:r>
          </w:p>
        </w:tc>
      </w:tr>
      <w:tr>
        <w:trPr>
          <w:trHeight w:val="545"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17</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2</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24 50.139</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67 06.353</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Wali Daad</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ight="235"/>
              <w:rPr>
                <w:sz w:val="18"/>
              </w:rPr>
            </w:pPr>
            <w:r>
              <w:rPr>
                <w:sz w:val="18"/>
              </w:rPr>
              <w:t>Haji Khalaq Daad</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22301-7531228-1</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ight="419"/>
              <w:rPr>
                <w:sz w:val="18"/>
              </w:rPr>
            </w:pPr>
            <w:r>
              <w:rPr>
                <w:sz w:val="18"/>
              </w:rPr>
              <w:t>Brooks Chowrangi</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Brooks Chowrangi</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03332144062</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Tuck Shop</w:t>
            </w:r>
          </w:p>
        </w:tc>
        <w:tc>
          <w:tcPr>
            <w:tcW w:w="1150" w:type="dxa"/>
            <w:tcBorders>
              <w:top w:val="single" w:sz="4" w:space="0" w:color="000000"/>
              <w:left w:val="single" w:sz="4" w:space="0" w:color="000000"/>
              <w:bottom w:val="single" w:sz="4" w:space="0" w:color="000000"/>
            </w:tcBorders>
          </w:tcPr>
          <w:p>
            <w:pPr>
              <w:pStyle w:val="TableParagraph"/>
              <w:ind w:left="38"/>
              <w:rPr>
                <w:sz w:val="18"/>
              </w:rPr>
            </w:pPr>
            <w:r>
              <w:rPr>
                <w:sz w:val="18"/>
              </w:rPr>
              <w:t>Kiosk</w:t>
            </w:r>
          </w:p>
        </w:tc>
      </w:tr>
      <w:tr>
        <w:trPr>
          <w:trHeight w:val="336"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18</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2</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24 50.139</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67 06.353</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Dilawar khan</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Juma khan</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43103-3653370-1</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Mehran Town</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Brooks Chowrangi</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03343975693</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Tuck Shop</w:t>
            </w:r>
          </w:p>
        </w:tc>
        <w:tc>
          <w:tcPr>
            <w:tcW w:w="1150" w:type="dxa"/>
            <w:tcBorders>
              <w:top w:val="single" w:sz="4" w:space="0" w:color="000000"/>
              <w:left w:val="single" w:sz="4" w:space="0" w:color="000000"/>
              <w:bottom w:val="single" w:sz="4" w:space="0" w:color="000000"/>
            </w:tcBorders>
          </w:tcPr>
          <w:p>
            <w:pPr>
              <w:pStyle w:val="TableParagraph"/>
              <w:ind w:left="38"/>
              <w:rPr>
                <w:sz w:val="18"/>
              </w:rPr>
            </w:pPr>
            <w:r>
              <w:rPr>
                <w:sz w:val="18"/>
              </w:rPr>
              <w:t>Kiosk</w:t>
            </w:r>
          </w:p>
        </w:tc>
      </w:tr>
      <w:tr>
        <w:trPr>
          <w:trHeight w:val="338"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19</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2</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24 50.113</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67 06.227</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Suleman</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Gulistan</w:t>
            </w:r>
          </w:p>
        </w:tc>
        <w:tc>
          <w:tcPr>
            <w:tcW w:w="1538" w:type="dxa"/>
            <w:tcBorders>
              <w:top w:val="single" w:sz="4" w:space="0" w:color="000000"/>
              <w:left w:val="single" w:sz="4" w:space="0" w:color="000000"/>
              <w:bottom w:val="single" w:sz="4" w:space="0" w:color="000000"/>
              <w:right w:val="single" w:sz="4" w:space="0" w:color="000000"/>
            </w:tcBorders>
          </w:tcPr>
          <w:p>
            <w:pP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At Business</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Brooks Chowrangi</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03423196034</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Tuck Shop</w:t>
            </w:r>
          </w:p>
        </w:tc>
        <w:tc>
          <w:tcPr>
            <w:tcW w:w="1150" w:type="dxa"/>
            <w:tcBorders>
              <w:top w:val="single" w:sz="4" w:space="0" w:color="000000"/>
              <w:left w:val="single" w:sz="4" w:space="0" w:color="000000"/>
              <w:bottom w:val="single" w:sz="4" w:space="0" w:color="000000"/>
            </w:tcBorders>
          </w:tcPr>
          <w:p>
            <w:pPr>
              <w:pStyle w:val="TableParagraph"/>
              <w:ind w:left="38"/>
              <w:rPr>
                <w:sz w:val="18"/>
              </w:rPr>
            </w:pPr>
            <w:r>
              <w:rPr>
                <w:sz w:val="18"/>
              </w:rPr>
              <w:t>Kiosk</w:t>
            </w:r>
          </w:p>
        </w:tc>
      </w:tr>
      <w:tr>
        <w:trPr>
          <w:trHeight w:val="542"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20</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2</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24 50.113</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67 06.227</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Sher Alam</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ight="476"/>
              <w:rPr>
                <w:sz w:val="18"/>
              </w:rPr>
            </w:pPr>
            <w:r>
              <w:rPr>
                <w:sz w:val="18"/>
              </w:rPr>
              <w:t>Fazzal Rehman</w:t>
            </w:r>
          </w:p>
        </w:tc>
        <w:tc>
          <w:tcPr>
            <w:tcW w:w="1538" w:type="dxa"/>
            <w:tcBorders>
              <w:top w:val="single" w:sz="4" w:space="0" w:color="000000"/>
              <w:left w:val="single" w:sz="4" w:space="0" w:color="000000"/>
              <w:bottom w:val="single" w:sz="4" w:space="0" w:color="000000"/>
              <w:right w:val="single" w:sz="4" w:space="0" w:color="000000"/>
            </w:tcBorders>
          </w:tcPr>
          <w:p>
            <w:pP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At Business</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Brooks Chowrangi</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03352440772</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Tuck Shop</w:t>
            </w:r>
          </w:p>
        </w:tc>
        <w:tc>
          <w:tcPr>
            <w:tcW w:w="1150" w:type="dxa"/>
            <w:tcBorders>
              <w:top w:val="single" w:sz="4" w:space="0" w:color="000000"/>
              <w:left w:val="single" w:sz="4" w:space="0" w:color="000000"/>
              <w:bottom w:val="single" w:sz="4" w:space="0" w:color="000000"/>
            </w:tcBorders>
          </w:tcPr>
          <w:p>
            <w:pPr>
              <w:pStyle w:val="TableParagraph"/>
              <w:ind w:left="38"/>
              <w:rPr>
                <w:sz w:val="18"/>
              </w:rPr>
            </w:pPr>
            <w:r>
              <w:rPr>
                <w:sz w:val="18"/>
              </w:rPr>
              <w:t>Kiosk</w:t>
            </w:r>
          </w:p>
        </w:tc>
      </w:tr>
      <w:tr>
        <w:trPr>
          <w:trHeight w:val="545"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21</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2</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24 50.113</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67 06.227</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ind w:left="38" w:right="381"/>
              <w:rPr>
                <w:sz w:val="18"/>
              </w:rPr>
            </w:pPr>
            <w:r>
              <w:rPr>
                <w:sz w:val="18"/>
              </w:rPr>
              <w:t>Muhammad Shaziq</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ind w:left="38" w:right="45"/>
              <w:rPr>
                <w:sz w:val="18"/>
              </w:rPr>
            </w:pPr>
            <w:r>
              <w:rPr>
                <w:sz w:val="18"/>
              </w:rPr>
              <w:t>Chaudhry Gul Muhammad</w:t>
            </w:r>
          </w:p>
        </w:tc>
        <w:tc>
          <w:tcPr>
            <w:tcW w:w="1538" w:type="dxa"/>
            <w:tcBorders>
              <w:top w:val="single" w:sz="4" w:space="0" w:color="000000"/>
              <w:left w:val="single" w:sz="4" w:space="0" w:color="000000"/>
              <w:bottom w:val="single" w:sz="4" w:space="0" w:color="000000"/>
              <w:right w:val="single" w:sz="4" w:space="0" w:color="000000"/>
            </w:tcBorders>
          </w:tcPr>
          <w:p>
            <w:pPr/>
          </w:p>
        </w:tc>
        <w:tc>
          <w:tcPr>
            <w:tcW w:w="1344"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ind w:left="35" w:right="419"/>
              <w:rPr>
                <w:sz w:val="18"/>
              </w:rPr>
            </w:pPr>
            <w:r>
              <w:rPr>
                <w:sz w:val="18"/>
              </w:rPr>
              <w:t>Allah Wala Town</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Brooks Chowrangi</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03331592900</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Tea Stall</w:t>
            </w:r>
          </w:p>
        </w:tc>
        <w:tc>
          <w:tcPr>
            <w:tcW w:w="1150" w:type="dxa"/>
            <w:tcBorders>
              <w:top w:val="single" w:sz="4" w:space="0" w:color="000000"/>
              <w:left w:val="single" w:sz="4" w:space="0" w:color="000000"/>
              <w:bottom w:val="single" w:sz="4" w:space="0" w:color="000000"/>
            </w:tcBorders>
          </w:tcPr>
          <w:p>
            <w:pPr>
              <w:pStyle w:val="TableParagraph"/>
              <w:ind w:left="38"/>
              <w:rPr>
                <w:sz w:val="18"/>
              </w:rPr>
            </w:pPr>
            <w:r>
              <w:rPr>
                <w:sz w:val="18"/>
              </w:rPr>
              <w:t>Kiosk</w:t>
            </w:r>
          </w:p>
        </w:tc>
      </w:tr>
      <w:tr>
        <w:trPr>
          <w:trHeight w:val="751"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22</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5</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24 49.924</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67 04.629</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Mehboob</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ight="406"/>
              <w:rPr>
                <w:sz w:val="18"/>
              </w:rPr>
            </w:pPr>
            <w:r>
              <w:rPr>
                <w:sz w:val="18"/>
              </w:rPr>
              <w:t>Mehfooz Hussauin</w:t>
            </w:r>
          </w:p>
        </w:tc>
        <w:tc>
          <w:tcPr>
            <w:tcW w:w="1538" w:type="dxa"/>
            <w:tcBorders>
              <w:top w:val="single" w:sz="4" w:space="0" w:color="000000"/>
              <w:left w:val="single" w:sz="4" w:space="0" w:color="000000"/>
              <w:bottom w:val="single" w:sz="4" w:space="0" w:color="000000"/>
              <w:right w:val="single" w:sz="4" w:space="0" w:color="000000"/>
            </w:tcBorders>
          </w:tcPr>
          <w:p>
            <w:pP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Korangi No 3.5</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Qayyumabad Bridge</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spacing w:line="207" w:lineRule="exact"/>
              <w:ind w:left="38"/>
              <w:rPr>
                <w:sz w:val="18"/>
              </w:rPr>
            </w:pPr>
            <w:r>
              <w:rPr>
                <w:sz w:val="18"/>
              </w:rPr>
              <w:t>03172891249</w:t>
            </w:r>
          </w:p>
          <w:p>
            <w:pPr>
              <w:pStyle w:val="TableParagraph"/>
              <w:spacing w:before="0"/>
              <w:ind w:left="38" w:right="48"/>
              <w:rPr>
                <w:sz w:val="18"/>
              </w:rPr>
            </w:pPr>
            <w:r>
              <w:rPr>
                <w:sz w:val="18"/>
              </w:rPr>
              <w:t>/ 03117312896</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ight="104"/>
              <w:rPr>
                <w:sz w:val="18"/>
              </w:rPr>
            </w:pPr>
            <w:r>
              <w:rPr>
                <w:sz w:val="18"/>
              </w:rPr>
              <w:t>Second Hand Mobile</w:t>
            </w:r>
          </w:p>
        </w:tc>
        <w:tc>
          <w:tcPr>
            <w:tcW w:w="1150" w:type="dxa"/>
            <w:tcBorders>
              <w:top w:val="single" w:sz="4" w:space="0" w:color="000000"/>
              <w:left w:val="single" w:sz="4" w:space="0" w:color="000000"/>
              <w:bottom w:val="single" w:sz="4" w:space="0" w:color="000000"/>
            </w:tcBorders>
          </w:tcPr>
          <w:p>
            <w:pPr>
              <w:pStyle w:val="TableParagraph"/>
              <w:ind w:left="38" w:right="91"/>
              <w:rPr>
                <w:sz w:val="18"/>
              </w:rPr>
            </w:pPr>
            <w:r>
              <w:rPr>
                <w:sz w:val="18"/>
              </w:rPr>
              <w:t>Business on Footpath</w:t>
            </w:r>
          </w:p>
        </w:tc>
      </w:tr>
      <w:tr>
        <w:trPr>
          <w:trHeight w:val="751"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23</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5</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24 49.924</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67 04.629</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Ehsan Ali</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Allah Ditta</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33201-4428945-9</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Azam Basti</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ight="549"/>
              <w:rPr>
                <w:sz w:val="18"/>
              </w:rPr>
            </w:pPr>
            <w:r>
              <w:rPr>
                <w:sz w:val="18"/>
              </w:rPr>
              <w:t>Defence More Bridge</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spacing w:line="207" w:lineRule="exact"/>
              <w:ind w:left="38"/>
              <w:rPr>
                <w:sz w:val="18"/>
              </w:rPr>
            </w:pPr>
            <w:r>
              <w:rPr>
                <w:sz w:val="18"/>
              </w:rPr>
              <w:t>03225975430</w:t>
            </w:r>
          </w:p>
          <w:p>
            <w:pPr>
              <w:pStyle w:val="TableParagraph"/>
              <w:spacing w:before="0"/>
              <w:ind w:left="38" w:right="48"/>
              <w:rPr>
                <w:sz w:val="18"/>
              </w:rPr>
            </w:pPr>
            <w:r>
              <w:rPr>
                <w:sz w:val="18"/>
              </w:rPr>
              <w:t>/ 03017963992</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ight="104"/>
              <w:rPr>
                <w:sz w:val="18"/>
              </w:rPr>
            </w:pPr>
            <w:r>
              <w:rPr>
                <w:sz w:val="18"/>
              </w:rPr>
              <w:t>Second Hand Shoes</w:t>
            </w:r>
          </w:p>
        </w:tc>
        <w:tc>
          <w:tcPr>
            <w:tcW w:w="1150" w:type="dxa"/>
            <w:tcBorders>
              <w:top w:val="single" w:sz="4" w:space="0" w:color="000000"/>
              <w:left w:val="single" w:sz="4" w:space="0" w:color="000000"/>
              <w:bottom w:val="single" w:sz="4" w:space="0" w:color="000000"/>
            </w:tcBorders>
          </w:tcPr>
          <w:p>
            <w:pPr>
              <w:pStyle w:val="TableParagraph"/>
              <w:ind w:left="38"/>
              <w:rPr>
                <w:sz w:val="18"/>
              </w:rPr>
            </w:pPr>
            <w:r>
              <w:rPr>
                <w:sz w:val="18"/>
              </w:rPr>
              <w:t>Mobile Cart</w:t>
            </w:r>
          </w:p>
        </w:tc>
      </w:tr>
      <w:tr>
        <w:trPr>
          <w:trHeight w:val="542"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24</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5</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24 49.924</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8" w:right="37"/>
              <w:jc w:val="center"/>
              <w:rPr>
                <w:sz w:val="18"/>
              </w:rPr>
            </w:pPr>
            <w:r>
              <w:rPr>
                <w:sz w:val="18"/>
              </w:rPr>
              <w:t>67 04.629</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ight="351"/>
              <w:rPr>
                <w:sz w:val="18"/>
              </w:rPr>
            </w:pPr>
            <w:r>
              <w:rPr>
                <w:sz w:val="18"/>
              </w:rPr>
              <w:t>Maqsood Ur Rehman</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ight="206"/>
              <w:rPr>
                <w:sz w:val="18"/>
              </w:rPr>
            </w:pPr>
            <w:r>
              <w:rPr>
                <w:sz w:val="18"/>
              </w:rPr>
              <w:t>Muhammad Zaman</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42501-1700905-7</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Akhtar Colony</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ight="549"/>
              <w:rPr>
                <w:sz w:val="18"/>
              </w:rPr>
            </w:pPr>
            <w:r>
              <w:rPr>
                <w:sz w:val="18"/>
              </w:rPr>
              <w:t>Defence More Bridge</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03475039614</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ight="244"/>
              <w:rPr>
                <w:sz w:val="18"/>
              </w:rPr>
            </w:pPr>
            <w:r>
              <w:rPr>
                <w:sz w:val="18"/>
              </w:rPr>
              <w:t>Chicken Biryani Stall</w:t>
            </w:r>
          </w:p>
        </w:tc>
        <w:tc>
          <w:tcPr>
            <w:tcW w:w="1150" w:type="dxa"/>
            <w:tcBorders>
              <w:top w:val="single" w:sz="4" w:space="0" w:color="000000"/>
              <w:left w:val="single" w:sz="4" w:space="0" w:color="000000"/>
              <w:bottom w:val="single" w:sz="4" w:space="0" w:color="000000"/>
            </w:tcBorders>
          </w:tcPr>
          <w:p>
            <w:pPr>
              <w:pStyle w:val="TableParagraph"/>
              <w:ind w:left="38"/>
              <w:rPr>
                <w:sz w:val="18"/>
              </w:rPr>
            </w:pPr>
            <w:r>
              <w:rPr>
                <w:sz w:val="18"/>
              </w:rPr>
              <w:t>Mobile Cart</w:t>
            </w:r>
          </w:p>
        </w:tc>
      </w:tr>
      <w:tr>
        <w:trPr>
          <w:trHeight w:val="545"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25</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5</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24 49.943</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67 04.607</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Essa Kaleem</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ight="486"/>
              <w:rPr>
                <w:sz w:val="18"/>
              </w:rPr>
            </w:pPr>
            <w:r>
              <w:rPr>
                <w:sz w:val="18"/>
              </w:rPr>
              <w:t>Abdul Qayyum</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54203-8733983-5</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ight="619"/>
              <w:rPr>
                <w:sz w:val="18"/>
              </w:rPr>
            </w:pPr>
            <w:r>
              <w:rPr>
                <w:sz w:val="18"/>
              </w:rPr>
              <w:t>Kashmir Colony</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ight="549"/>
              <w:rPr>
                <w:sz w:val="18"/>
              </w:rPr>
            </w:pPr>
            <w:r>
              <w:rPr>
                <w:sz w:val="18"/>
              </w:rPr>
              <w:t>Defence More Bridge</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03058351059</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ight="104"/>
              <w:rPr>
                <w:sz w:val="18"/>
              </w:rPr>
            </w:pPr>
            <w:r>
              <w:rPr>
                <w:sz w:val="18"/>
              </w:rPr>
              <w:t>Second Hand Shoes</w:t>
            </w:r>
          </w:p>
        </w:tc>
        <w:tc>
          <w:tcPr>
            <w:tcW w:w="1150" w:type="dxa"/>
            <w:tcBorders>
              <w:top w:val="single" w:sz="4" w:space="0" w:color="000000"/>
              <w:left w:val="single" w:sz="4" w:space="0" w:color="000000"/>
              <w:bottom w:val="single" w:sz="4" w:space="0" w:color="000000"/>
            </w:tcBorders>
          </w:tcPr>
          <w:p>
            <w:pPr>
              <w:pStyle w:val="TableParagraph"/>
              <w:ind w:left="38"/>
              <w:rPr>
                <w:sz w:val="18"/>
              </w:rPr>
            </w:pPr>
            <w:r>
              <w:rPr>
                <w:sz w:val="18"/>
              </w:rPr>
              <w:t>Mobile Cart</w:t>
            </w:r>
          </w:p>
        </w:tc>
      </w:tr>
      <w:tr>
        <w:trPr>
          <w:trHeight w:val="545"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26</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5</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24 49.943</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67 04.607</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Ramesh Kumar</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Sheroo</w:t>
            </w:r>
          </w:p>
        </w:tc>
        <w:tc>
          <w:tcPr>
            <w:tcW w:w="1538" w:type="dxa"/>
            <w:tcBorders>
              <w:top w:val="single" w:sz="4" w:space="0" w:color="000000"/>
              <w:left w:val="single" w:sz="4" w:space="0" w:color="000000"/>
              <w:bottom w:val="single" w:sz="4" w:space="0" w:color="000000"/>
              <w:right w:val="single" w:sz="4" w:space="0" w:color="000000"/>
            </w:tcBorders>
          </w:tcPr>
          <w:p>
            <w:pP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Bazratta Lane</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ight="549"/>
              <w:rPr>
                <w:sz w:val="18"/>
              </w:rPr>
            </w:pPr>
            <w:r>
              <w:rPr>
                <w:sz w:val="18"/>
              </w:rPr>
              <w:t>Defence More Bridge</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left="38" w:right="48"/>
              <w:rPr>
                <w:sz w:val="18"/>
              </w:rPr>
            </w:pPr>
            <w:r>
              <w:rPr>
                <w:sz w:val="18"/>
              </w:rPr>
              <w:t>C/o 03113643452</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ight="94"/>
              <w:rPr>
                <w:sz w:val="18"/>
              </w:rPr>
            </w:pPr>
            <w:r>
              <w:rPr>
                <w:sz w:val="18"/>
              </w:rPr>
              <w:t>Shoes Selling on Footpath</w:t>
            </w:r>
          </w:p>
        </w:tc>
        <w:tc>
          <w:tcPr>
            <w:tcW w:w="1150" w:type="dxa"/>
            <w:tcBorders>
              <w:top w:val="single" w:sz="4" w:space="0" w:color="000000"/>
              <w:left w:val="single" w:sz="4" w:space="0" w:color="000000"/>
              <w:bottom w:val="single" w:sz="4" w:space="0" w:color="000000"/>
            </w:tcBorders>
          </w:tcPr>
          <w:p>
            <w:pPr>
              <w:pStyle w:val="TableParagraph"/>
              <w:ind w:left="38" w:right="91"/>
              <w:rPr>
                <w:sz w:val="18"/>
              </w:rPr>
            </w:pPr>
            <w:r>
              <w:rPr>
                <w:sz w:val="18"/>
              </w:rPr>
              <w:t>Business on Footpath</w:t>
            </w:r>
          </w:p>
        </w:tc>
      </w:tr>
      <w:tr>
        <w:trPr>
          <w:trHeight w:val="542"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27</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5</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24 49.960</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67 04.581</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Kishnoo</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Umeriyo</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45206-1942084-3</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ight="569"/>
              <w:rPr>
                <w:sz w:val="18"/>
              </w:rPr>
            </w:pPr>
            <w:r>
              <w:rPr>
                <w:sz w:val="18"/>
              </w:rPr>
              <w:t>Christian Colony</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ight="549"/>
              <w:rPr>
                <w:sz w:val="18"/>
              </w:rPr>
            </w:pPr>
            <w:r>
              <w:rPr>
                <w:sz w:val="18"/>
              </w:rPr>
              <w:t>Defence More Bridge</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03128317915</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ight="94"/>
              <w:rPr>
                <w:sz w:val="18"/>
              </w:rPr>
            </w:pPr>
            <w:r>
              <w:rPr>
                <w:sz w:val="18"/>
              </w:rPr>
              <w:t>Shoes Selling on Footpath</w:t>
            </w:r>
          </w:p>
        </w:tc>
        <w:tc>
          <w:tcPr>
            <w:tcW w:w="1150" w:type="dxa"/>
            <w:tcBorders>
              <w:top w:val="single" w:sz="4" w:space="0" w:color="000000"/>
              <w:left w:val="single" w:sz="4" w:space="0" w:color="000000"/>
              <w:bottom w:val="single" w:sz="4" w:space="0" w:color="000000"/>
            </w:tcBorders>
          </w:tcPr>
          <w:p>
            <w:pPr>
              <w:pStyle w:val="TableParagraph"/>
              <w:ind w:left="38" w:right="91"/>
              <w:rPr>
                <w:sz w:val="18"/>
              </w:rPr>
            </w:pPr>
            <w:r>
              <w:rPr>
                <w:sz w:val="18"/>
              </w:rPr>
              <w:t>Business on Footpath</w:t>
            </w:r>
          </w:p>
        </w:tc>
      </w:tr>
      <w:tr>
        <w:trPr>
          <w:trHeight w:val="552" w:hRule="exact"/>
        </w:trPr>
        <w:tc>
          <w:tcPr>
            <w:tcW w:w="394" w:type="dxa"/>
            <w:tcBorders>
              <w:top w:val="single" w:sz="4" w:space="0" w:color="000000"/>
              <w:right w:val="single" w:sz="4" w:space="0" w:color="000000"/>
            </w:tcBorders>
          </w:tcPr>
          <w:p>
            <w:pPr>
              <w:pStyle w:val="TableParagraph"/>
              <w:ind w:left="63" w:right="70"/>
              <w:jc w:val="center"/>
              <w:rPr>
                <w:sz w:val="18"/>
              </w:rPr>
            </w:pPr>
            <w:r>
              <w:rPr>
                <w:sz w:val="18"/>
              </w:rPr>
              <w:t>28</w:t>
            </w:r>
          </w:p>
        </w:tc>
        <w:tc>
          <w:tcPr>
            <w:tcW w:w="526" w:type="dxa"/>
            <w:tcBorders>
              <w:top w:val="single" w:sz="4" w:space="0" w:color="000000"/>
              <w:left w:val="single" w:sz="4" w:space="0" w:color="000000"/>
              <w:right w:val="single" w:sz="4" w:space="0" w:color="000000"/>
            </w:tcBorders>
          </w:tcPr>
          <w:p>
            <w:pPr>
              <w:pStyle w:val="TableParagraph"/>
              <w:ind w:right="1"/>
              <w:jc w:val="center"/>
              <w:rPr>
                <w:sz w:val="18"/>
              </w:rPr>
            </w:pPr>
            <w:r>
              <w:rPr>
                <w:w w:val="99"/>
                <w:sz w:val="18"/>
              </w:rPr>
              <w:t>5</w:t>
            </w:r>
          </w:p>
        </w:tc>
        <w:tc>
          <w:tcPr>
            <w:tcW w:w="910" w:type="dxa"/>
            <w:tcBorders>
              <w:top w:val="single" w:sz="4" w:space="0" w:color="000000"/>
              <w:left w:val="single" w:sz="4" w:space="0" w:color="000000"/>
              <w:right w:val="single" w:sz="4" w:space="0" w:color="000000"/>
            </w:tcBorders>
          </w:tcPr>
          <w:p>
            <w:pPr>
              <w:pStyle w:val="TableParagraph"/>
              <w:ind w:left="47"/>
              <w:rPr>
                <w:sz w:val="18"/>
              </w:rPr>
            </w:pPr>
            <w:r>
              <w:rPr>
                <w:sz w:val="18"/>
              </w:rPr>
              <w:t>24 49.965</w:t>
            </w:r>
          </w:p>
        </w:tc>
        <w:tc>
          <w:tcPr>
            <w:tcW w:w="926" w:type="dxa"/>
            <w:tcBorders>
              <w:top w:val="single" w:sz="4" w:space="0" w:color="000000"/>
              <w:left w:val="single" w:sz="4" w:space="0" w:color="000000"/>
              <w:right w:val="single" w:sz="4" w:space="0" w:color="000000"/>
            </w:tcBorders>
          </w:tcPr>
          <w:p>
            <w:pPr>
              <w:pStyle w:val="TableParagraph"/>
              <w:ind w:left="37" w:right="37"/>
              <w:jc w:val="center"/>
              <w:rPr>
                <w:sz w:val="18"/>
              </w:rPr>
            </w:pPr>
            <w:r>
              <w:rPr>
                <w:sz w:val="18"/>
              </w:rPr>
              <w:t>67 04.570</w:t>
            </w:r>
          </w:p>
        </w:tc>
        <w:tc>
          <w:tcPr>
            <w:tcW w:w="1400" w:type="dxa"/>
            <w:tcBorders>
              <w:top w:val="single" w:sz="4" w:space="0" w:color="000000"/>
              <w:left w:val="single" w:sz="4" w:space="0" w:color="000000"/>
              <w:right w:val="single" w:sz="4" w:space="0" w:color="000000"/>
            </w:tcBorders>
          </w:tcPr>
          <w:p>
            <w:pPr>
              <w:pStyle w:val="TableParagraph"/>
              <w:ind w:left="38"/>
              <w:rPr>
                <w:sz w:val="18"/>
              </w:rPr>
            </w:pPr>
            <w:r>
              <w:rPr>
                <w:sz w:val="18"/>
              </w:rPr>
              <w:t>Manoj Kumar</w:t>
            </w:r>
          </w:p>
        </w:tc>
        <w:tc>
          <w:tcPr>
            <w:tcW w:w="1224" w:type="dxa"/>
            <w:tcBorders>
              <w:top w:val="single" w:sz="4" w:space="0" w:color="000000"/>
              <w:left w:val="single" w:sz="4" w:space="0" w:color="000000"/>
              <w:right w:val="single" w:sz="4" w:space="0" w:color="000000"/>
            </w:tcBorders>
          </w:tcPr>
          <w:p>
            <w:pPr>
              <w:pStyle w:val="TableParagraph"/>
              <w:ind w:left="38"/>
              <w:rPr>
                <w:sz w:val="18"/>
              </w:rPr>
            </w:pPr>
            <w:r>
              <w:rPr>
                <w:sz w:val="18"/>
              </w:rPr>
              <w:t>Dano Ji</w:t>
            </w:r>
          </w:p>
        </w:tc>
        <w:tc>
          <w:tcPr>
            <w:tcW w:w="1538" w:type="dxa"/>
            <w:tcBorders>
              <w:top w:val="single" w:sz="4" w:space="0" w:color="000000"/>
              <w:left w:val="single" w:sz="4" w:space="0" w:color="000000"/>
              <w:right w:val="single" w:sz="4" w:space="0" w:color="000000"/>
            </w:tcBorders>
          </w:tcPr>
          <w:p>
            <w:pPr>
              <w:pStyle w:val="TableParagraph"/>
              <w:ind w:left="20" w:right="47"/>
              <w:jc w:val="center"/>
              <w:rPr>
                <w:sz w:val="18"/>
              </w:rPr>
            </w:pPr>
            <w:r>
              <w:rPr>
                <w:sz w:val="18"/>
              </w:rPr>
              <w:t>45304-6728173-1</w:t>
            </w:r>
          </w:p>
        </w:tc>
        <w:tc>
          <w:tcPr>
            <w:tcW w:w="1344" w:type="dxa"/>
            <w:tcBorders>
              <w:top w:val="single" w:sz="4" w:space="0" w:color="000000"/>
              <w:left w:val="single" w:sz="4" w:space="0" w:color="000000"/>
              <w:right w:val="single" w:sz="4" w:space="0" w:color="000000"/>
            </w:tcBorders>
          </w:tcPr>
          <w:p>
            <w:pPr>
              <w:pStyle w:val="TableParagraph"/>
              <w:ind w:left="35" w:right="569"/>
              <w:rPr>
                <w:sz w:val="18"/>
              </w:rPr>
            </w:pPr>
            <w:r>
              <w:rPr>
                <w:sz w:val="18"/>
              </w:rPr>
              <w:t>Christian Colony</w:t>
            </w:r>
          </w:p>
        </w:tc>
        <w:tc>
          <w:tcPr>
            <w:tcW w:w="1747" w:type="dxa"/>
            <w:tcBorders>
              <w:top w:val="single" w:sz="4" w:space="0" w:color="000000"/>
              <w:left w:val="single" w:sz="4" w:space="0" w:color="000000"/>
              <w:right w:val="single" w:sz="4" w:space="0" w:color="000000"/>
            </w:tcBorders>
          </w:tcPr>
          <w:p>
            <w:pPr>
              <w:pStyle w:val="TableParagraph"/>
              <w:ind w:left="38" w:right="549"/>
              <w:rPr>
                <w:sz w:val="18"/>
              </w:rPr>
            </w:pPr>
            <w:r>
              <w:rPr>
                <w:sz w:val="18"/>
              </w:rPr>
              <w:t>Defence More Bridge</w:t>
            </w:r>
          </w:p>
        </w:tc>
        <w:tc>
          <w:tcPr>
            <w:tcW w:w="1217" w:type="dxa"/>
            <w:tcBorders>
              <w:top w:val="single" w:sz="4" w:space="0" w:color="000000"/>
              <w:left w:val="single" w:sz="4" w:space="0" w:color="000000"/>
              <w:right w:val="single" w:sz="4" w:space="0" w:color="000000"/>
            </w:tcBorders>
          </w:tcPr>
          <w:p>
            <w:pPr>
              <w:pStyle w:val="TableParagraph"/>
              <w:ind w:right="65"/>
              <w:jc w:val="right"/>
              <w:rPr>
                <w:sz w:val="18"/>
              </w:rPr>
            </w:pPr>
            <w:r>
              <w:rPr>
                <w:sz w:val="18"/>
              </w:rPr>
              <w:t>03133389348</w:t>
            </w:r>
          </w:p>
        </w:tc>
        <w:tc>
          <w:tcPr>
            <w:tcW w:w="1262" w:type="dxa"/>
            <w:tcBorders>
              <w:top w:val="single" w:sz="4" w:space="0" w:color="000000"/>
              <w:left w:val="single" w:sz="4" w:space="0" w:color="000000"/>
              <w:right w:val="single" w:sz="4" w:space="0" w:color="000000"/>
            </w:tcBorders>
          </w:tcPr>
          <w:p>
            <w:pPr>
              <w:pStyle w:val="TableParagraph"/>
              <w:ind w:left="38" w:right="94"/>
              <w:rPr>
                <w:sz w:val="18"/>
              </w:rPr>
            </w:pPr>
            <w:r>
              <w:rPr>
                <w:sz w:val="18"/>
              </w:rPr>
              <w:t>Shoes Selling on Footpath</w:t>
            </w:r>
          </w:p>
        </w:tc>
        <w:tc>
          <w:tcPr>
            <w:tcW w:w="1150" w:type="dxa"/>
            <w:tcBorders>
              <w:top w:val="single" w:sz="4" w:space="0" w:color="000000"/>
              <w:left w:val="single" w:sz="4" w:space="0" w:color="000000"/>
            </w:tcBorders>
          </w:tcPr>
          <w:p>
            <w:pPr>
              <w:pStyle w:val="TableParagraph"/>
              <w:ind w:left="38" w:right="91"/>
              <w:rPr>
                <w:sz w:val="18"/>
              </w:rPr>
            </w:pPr>
            <w:r>
              <w:rPr>
                <w:sz w:val="18"/>
              </w:rPr>
              <w:t>Business on Footpath</w:t>
            </w:r>
          </w:p>
        </w:tc>
      </w:tr>
    </w:tbl>
    <w:p>
      <w:pPr>
        <w:spacing w:after="0"/>
        <w:rPr>
          <w:sz w:val="18"/>
        </w:rPr>
        <w:sectPr>
          <w:pgSz w:w="16840" w:h="11910" w:orient="landscape"/>
          <w:pgMar w:header="583" w:footer="575" w:top="840" w:bottom="760" w:left="860" w:right="12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6"/>
        </w:rPr>
      </w:pPr>
    </w:p>
    <w:tbl>
      <w:tblPr>
        <w:tblW w:w="0" w:type="auto"/>
        <w:jc w:val="left"/>
        <w:tblInd w:w="89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94"/>
        <w:gridCol w:w="526"/>
        <w:gridCol w:w="910"/>
        <w:gridCol w:w="926"/>
        <w:gridCol w:w="1400"/>
        <w:gridCol w:w="1224"/>
        <w:gridCol w:w="1538"/>
        <w:gridCol w:w="1344"/>
        <w:gridCol w:w="1747"/>
        <w:gridCol w:w="1217"/>
        <w:gridCol w:w="1262"/>
        <w:gridCol w:w="1150"/>
      </w:tblGrid>
      <w:tr>
        <w:trPr>
          <w:trHeight w:val="504" w:hRule="exact"/>
        </w:trPr>
        <w:tc>
          <w:tcPr>
            <w:tcW w:w="394" w:type="dxa"/>
            <w:vMerge w:val="restart"/>
            <w:tcBorders>
              <w:right w:val="single" w:sz="4" w:space="0" w:color="000000"/>
            </w:tcBorders>
            <w:shd w:val="clear" w:color="auto" w:fill="D9D9D9"/>
          </w:tcPr>
          <w:p>
            <w:pPr>
              <w:pStyle w:val="TableParagraph"/>
              <w:ind w:left="91"/>
              <w:rPr>
                <w:b/>
                <w:sz w:val="18"/>
              </w:rPr>
            </w:pPr>
            <w:r>
              <w:rPr>
                <w:b/>
                <w:sz w:val="18"/>
              </w:rPr>
              <w:t>ID</w:t>
            </w:r>
          </w:p>
        </w:tc>
        <w:tc>
          <w:tcPr>
            <w:tcW w:w="526" w:type="dxa"/>
            <w:vMerge w:val="restart"/>
            <w:tcBorders>
              <w:left w:val="single" w:sz="4" w:space="0" w:color="000000"/>
              <w:right w:val="single" w:sz="4" w:space="0" w:color="000000"/>
            </w:tcBorders>
            <w:shd w:val="clear" w:color="auto" w:fill="D9D9D9"/>
            <w:textDirection w:val="btLr"/>
          </w:tcPr>
          <w:p>
            <w:pPr>
              <w:pStyle w:val="TableParagraph"/>
              <w:spacing w:line="247" w:lineRule="auto" w:before="102"/>
              <w:ind w:left="112" w:right="131"/>
              <w:rPr>
                <w:b/>
                <w:sz w:val="18"/>
              </w:rPr>
            </w:pPr>
            <w:r>
              <w:rPr>
                <w:b/>
                <w:w w:val="99"/>
                <w:sz w:val="18"/>
              </w:rPr>
              <w:t>Se</w:t>
            </w:r>
            <w:r>
              <w:rPr>
                <w:b/>
                <w:sz w:val="18"/>
              </w:rPr>
              <w:t>g</w:t>
            </w:r>
            <w:r>
              <w:rPr>
                <w:b/>
                <w:spacing w:val="1"/>
                <w:sz w:val="18"/>
              </w:rPr>
              <w:t>m</w:t>
            </w:r>
            <w:r>
              <w:rPr>
                <w:b/>
                <w:w w:val="99"/>
                <w:sz w:val="18"/>
              </w:rPr>
              <w:t>e</w:t>
            </w:r>
            <w:r>
              <w:rPr>
                <w:b/>
                <w:w w:val="100"/>
                <w:sz w:val="18"/>
              </w:rPr>
              <w:t>nt No.</w:t>
            </w:r>
          </w:p>
        </w:tc>
        <w:tc>
          <w:tcPr>
            <w:tcW w:w="1836" w:type="dxa"/>
            <w:gridSpan w:val="2"/>
            <w:tcBorders>
              <w:left w:val="single" w:sz="4" w:space="0" w:color="000000"/>
              <w:bottom w:val="single" w:sz="4" w:space="0" w:color="000000"/>
              <w:right w:val="single" w:sz="4" w:space="0" w:color="000000"/>
            </w:tcBorders>
            <w:shd w:val="clear" w:color="auto" w:fill="D9D9D9"/>
          </w:tcPr>
          <w:p>
            <w:pPr>
              <w:pStyle w:val="TableParagraph"/>
              <w:ind w:left="386"/>
              <w:rPr>
                <w:b/>
                <w:sz w:val="18"/>
              </w:rPr>
            </w:pPr>
            <w:r>
              <w:rPr>
                <w:b/>
                <w:sz w:val="18"/>
              </w:rPr>
              <w:t>Coordinates</w:t>
            </w:r>
          </w:p>
        </w:tc>
        <w:tc>
          <w:tcPr>
            <w:tcW w:w="1400" w:type="dxa"/>
            <w:vMerge w:val="restart"/>
            <w:tcBorders>
              <w:left w:val="single" w:sz="4" w:space="0" w:color="000000"/>
              <w:right w:val="single" w:sz="4" w:space="0" w:color="000000"/>
            </w:tcBorders>
            <w:shd w:val="clear" w:color="auto" w:fill="D9D9D9"/>
          </w:tcPr>
          <w:p>
            <w:pPr>
              <w:pStyle w:val="TableParagraph"/>
              <w:ind w:left="448" w:right="158" w:hanging="276"/>
              <w:rPr>
                <w:b/>
                <w:sz w:val="18"/>
              </w:rPr>
            </w:pPr>
            <w:r>
              <w:rPr>
                <w:b/>
                <w:sz w:val="18"/>
              </w:rPr>
              <w:t>Respondent Name</w:t>
            </w:r>
          </w:p>
        </w:tc>
        <w:tc>
          <w:tcPr>
            <w:tcW w:w="1224" w:type="dxa"/>
            <w:vMerge w:val="restart"/>
            <w:tcBorders>
              <w:left w:val="single" w:sz="4" w:space="0" w:color="000000"/>
              <w:right w:val="single" w:sz="4" w:space="0" w:color="000000"/>
            </w:tcBorders>
            <w:shd w:val="clear" w:color="auto" w:fill="D9D9D9"/>
          </w:tcPr>
          <w:p>
            <w:pPr>
              <w:pStyle w:val="TableParagraph"/>
              <w:ind w:left="362" w:right="243" w:hanging="104"/>
              <w:rPr>
                <w:b/>
                <w:sz w:val="18"/>
              </w:rPr>
            </w:pPr>
            <w:r>
              <w:rPr>
                <w:b/>
                <w:sz w:val="18"/>
              </w:rPr>
              <w:t>Father's Name</w:t>
            </w:r>
          </w:p>
        </w:tc>
        <w:tc>
          <w:tcPr>
            <w:tcW w:w="1538" w:type="dxa"/>
            <w:vMerge w:val="restart"/>
            <w:tcBorders>
              <w:left w:val="single" w:sz="4" w:space="0" w:color="000000"/>
              <w:right w:val="single" w:sz="4" w:space="0" w:color="000000"/>
            </w:tcBorders>
            <w:shd w:val="clear" w:color="auto" w:fill="D9D9D9"/>
          </w:tcPr>
          <w:p>
            <w:pPr>
              <w:pStyle w:val="TableParagraph"/>
              <w:ind w:left="38" w:right="70"/>
              <w:rPr>
                <w:b/>
                <w:sz w:val="18"/>
              </w:rPr>
            </w:pPr>
            <w:r>
              <w:rPr>
                <w:b/>
                <w:sz w:val="18"/>
              </w:rPr>
              <w:t>Respondent NIC No.</w:t>
            </w:r>
          </w:p>
        </w:tc>
        <w:tc>
          <w:tcPr>
            <w:tcW w:w="1344" w:type="dxa"/>
            <w:vMerge w:val="restart"/>
            <w:tcBorders>
              <w:left w:val="single" w:sz="4" w:space="0" w:color="000000"/>
              <w:right w:val="single" w:sz="4" w:space="0" w:color="000000"/>
            </w:tcBorders>
            <w:shd w:val="clear" w:color="auto" w:fill="D9D9D9"/>
          </w:tcPr>
          <w:p>
            <w:pPr>
              <w:pStyle w:val="TableParagraph"/>
              <w:ind w:left="335" w:right="186" w:hanging="137"/>
              <w:rPr>
                <w:b/>
                <w:sz w:val="18"/>
              </w:rPr>
            </w:pPr>
            <w:r>
              <w:rPr>
                <w:b/>
                <w:sz w:val="18"/>
              </w:rPr>
              <w:t>Address in Karachi</w:t>
            </w:r>
          </w:p>
        </w:tc>
        <w:tc>
          <w:tcPr>
            <w:tcW w:w="1747" w:type="dxa"/>
            <w:vMerge w:val="restart"/>
            <w:tcBorders>
              <w:left w:val="single" w:sz="4" w:space="0" w:color="000000"/>
              <w:right w:val="single" w:sz="4" w:space="0" w:color="000000"/>
            </w:tcBorders>
            <w:shd w:val="clear" w:color="auto" w:fill="D9D9D9"/>
          </w:tcPr>
          <w:p>
            <w:pPr>
              <w:pStyle w:val="TableParagraph"/>
              <w:ind w:left="127"/>
              <w:rPr>
                <w:b/>
                <w:sz w:val="18"/>
              </w:rPr>
            </w:pPr>
            <w:r>
              <w:rPr>
                <w:b/>
                <w:sz w:val="18"/>
              </w:rPr>
              <w:t>Vending Address</w:t>
            </w:r>
          </w:p>
        </w:tc>
        <w:tc>
          <w:tcPr>
            <w:tcW w:w="1217" w:type="dxa"/>
            <w:vMerge w:val="restart"/>
            <w:tcBorders>
              <w:left w:val="single" w:sz="4" w:space="0" w:color="000000"/>
              <w:right w:val="single" w:sz="4" w:space="0" w:color="000000"/>
            </w:tcBorders>
            <w:shd w:val="clear" w:color="auto" w:fill="D9D9D9"/>
          </w:tcPr>
          <w:p>
            <w:pPr>
              <w:pStyle w:val="TableParagraph"/>
              <w:ind w:left="148"/>
              <w:rPr>
                <w:b/>
                <w:sz w:val="18"/>
              </w:rPr>
            </w:pPr>
            <w:r>
              <w:rPr>
                <w:b/>
                <w:sz w:val="18"/>
              </w:rPr>
              <w:t>Mobile No.</w:t>
            </w:r>
          </w:p>
        </w:tc>
        <w:tc>
          <w:tcPr>
            <w:tcW w:w="1262" w:type="dxa"/>
            <w:vMerge w:val="restart"/>
            <w:tcBorders>
              <w:left w:val="single" w:sz="4" w:space="0" w:color="000000"/>
              <w:right w:val="single" w:sz="4" w:space="0" w:color="000000"/>
            </w:tcBorders>
            <w:shd w:val="clear" w:color="auto" w:fill="D9D9D9"/>
          </w:tcPr>
          <w:p>
            <w:pPr>
              <w:pStyle w:val="TableParagraph"/>
              <w:ind w:left="105" w:right="104" w:hanging="2"/>
              <w:jc w:val="center"/>
              <w:rPr>
                <w:b/>
                <w:sz w:val="18"/>
              </w:rPr>
            </w:pPr>
            <w:r>
              <w:rPr>
                <w:b/>
                <w:sz w:val="18"/>
              </w:rPr>
              <w:t>Kind of Goods Sale/ Service</w:t>
            </w:r>
          </w:p>
        </w:tc>
        <w:tc>
          <w:tcPr>
            <w:tcW w:w="1150" w:type="dxa"/>
            <w:vMerge w:val="restart"/>
            <w:tcBorders>
              <w:left w:val="single" w:sz="4" w:space="0" w:color="000000"/>
            </w:tcBorders>
            <w:shd w:val="clear" w:color="auto" w:fill="D9D9D9"/>
          </w:tcPr>
          <w:p>
            <w:pPr>
              <w:pStyle w:val="TableParagraph"/>
              <w:ind w:left="170" w:right="140" w:firstLine="79"/>
              <w:rPr>
                <w:b/>
                <w:sz w:val="18"/>
              </w:rPr>
            </w:pPr>
            <w:r>
              <w:rPr>
                <w:b/>
                <w:sz w:val="18"/>
              </w:rPr>
              <w:t>Type of Structure</w:t>
            </w:r>
          </w:p>
        </w:tc>
      </w:tr>
      <w:tr>
        <w:trPr>
          <w:trHeight w:val="540" w:hRule="exact"/>
        </w:trPr>
        <w:tc>
          <w:tcPr>
            <w:tcW w:w="394" w:type="dxa"/>
            <w:vMerge/>
            <w:tcBorders>
              <w:bottom w:val="single" w:sz="4" w:space="0" w:color="000000"/>
              <w:right w:val="single" w:sz="4" w:space="0" w:color="000000"/>
            </w:tcBorders>
            <w:shd w:val="clear" w:color="auto" w:fill="D9D9D9"/>
          </w:tcPr>
          <w:p>
            <w:pPr/>
          </w:p>
        </w:tc>
        <w:tc>
          <w:tcPr>
            <w:tcW w:w="526" w:type="dxa"/>
            <w:vMerge/>
            <w:tcBorders>
              <w:left w:val="single" w:sz="4" w:space="0" w:color="000000"/>
              <w:bottom w:val="single" w:sz="4" w:space="0" w:color="000000"/>
              <w:right w:val="single" w:sz="4" w:space="0" w:color="000000"/>
            </w:tcBorders>
            <w:shd w:val="clear" w:color="auto" w:fill="D9D9D9"/>
            <w:textDirection w:val="btLr"/>
          </w:tcPr>
          <w:p>
            <w:pPr/>
          </w:p>
        </w:tc>
        <w:tc>
          <w:tcPr>
            <w:tcW w:w="91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160"/>
              <w:ind w:left="74"/>
              <w:rPr>
                <w:b/>
                <w:sz w:val="18"/>
              </w:rPr>
            </w:pPr>
            <w:r>
              <w:rPr>
                <w:b/>
                <w:sz w:val="18"/>
              </w:rPr>
              <w:t>Northing</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160"/>
              <w:ind w:left="37" w:right="37"/>
              <w:jc w:val="center"/>
              <w:rPr>
                <w:b/>
                <w:sz w:val="18"/>
              </w:rPr>
            </w:pPr>
            <w:r>
              <w:rPr>
                <w:b/>
                <w:sz w:val="18"/>
              </w:rPr>
              <w:t>Easting</w:t>
            </w:r>
          </w:p>
        </w:tc>
        <w:tc>
          <w:tcPr>
            <w:tcW w:w="1400" w:type="dxa"/>
            <w:vMerge/>
            <w:tcBorders>
              <w:left w:val="single" w:sz="4" w:space="0" w:color="000000"/>
              <w:bottom w:val="single" w:sz="4" w:space="0" w:color="000000"/>
              <w:right w:val="single" w:sz="4" w:space="0" w:color="000000"/>
            </w:tcBorders>
            <w:shd w:val="clear" w:color="auto" w:fill="D9D9D9"/>
          </w:tcPr>
          <w:p>
            <w:pPr/>
          </w:p>
        </w:tc>
        <w:tc>
          <w:tcPr>
            <w:tcW w:w="1224" w:type="dxa"/>
            <w:vMerge/>
            <w:tcBorders>
              <w:left w:val="single" w:sz="4" w:space="0" w:color="000000"/>
              <w:bottom w:val="single" w:sz="4" w:space="0" w:color="000000"/>
              <w:right w:val="single" w:sz="4" w:space="0" w:color="000000"/>
            </w:tcBorders>
            <w:shd w:val="clear" w:color="auto" w:fill="D9D9D9"/>
          </w:tcPr>
          <w:p>
            <w:pPr/>
          </w:p>
        </w:tc>
        <w:tc>
          <w:tcPr>
            <w:tcW w:w="1538" w:type="dxa"/>
            <w:vMerge/>
            <w:tcBorders>
              <w:left w:val="single" w:sz="4" w:space="0" w:color="000000"/>
              <w:bottom w:val="single" w:sz="4" w:space="0" w:color="000000"/>
              <w:right w:val="single" w:sz="4" w:space="0" w:color="000000"/>
            </w:tcBorders>
            <w:shd w:val="clear" w:color="auto" w:fill="D9D9D9"/>
          </w:tcPr>
          <w:p>
            <w:pPr/>
          </w:p>
        </w:tc>
        <w:tc>
          <w:tcPr>
            <w:tcW w:w="1344" w:type="dxa"/>
            <w:vMerge/>
            <w:tcBorders>
              <w:left w:val="single" w:sz="4" w:space="0" w:color="000000"/>
              <w:bottom w:val="single" w:sz="4" w:space="0" w:color="000000"/>
              <w:right w:val="single" w:sz="4" w:space="0" w:color="000000"/>
            </w:tcBorders>
            <w:shd w:val="clear" w:color="auto" w:fill="D9D9D9"/>
          </w:tcPr>
          <w:p>
            <w:pPr/>
          </w:p>
        </w:tc>
        <w:tc>
          <w:tcPr>
            <w:tcW w:w="1747" w:type="dxa"/>
            <w:vMerge/>
            <w:tcBorders>
              <w:left w:val="single" w:sz="4" w:space="0" w:color="000000"/>
              <w:bottom w:val="single" w:sz="4" w:space="0" w:color="000000"/>
              <w:right w:val="single" w:sz="4" w:space="0" w:color="000000"/>
            </w:tcBorders>
            <w:shd w:val="clear" w:color="auto" w:fill="D9D9D9"/>
          </w:tcPr>
          <w:p>
            <w:pPr/>
          </w:p>
        </w:tc>
        <w:tc>
          <w:tcPr>
            <w:tcW w:w="1217" w:type="dxa"/>
            <w:vMerge/>
            <w:tcBorders>
              <w:left w:val="single" w:sz="4" w:space="0" w:color="000000"/>
              <w:bottom w:val="single" w:sz="4" w:space="0" w:color="000000"/>
              <w:right w:val="single" w:sz="4" w:space="0" w:color="000000"/>
            </w:tcBorders>
            <w:shd w:val="clear" w:color="auto" w:fill="D9D9D9"/>
          </w:tcPr>
          <w:p>
            <w:pPr/>
          </w:p>
        </w:tc>
        <w:tc>
          <w:tcPr>
            <w:tcW w:w="1262" w:type="dxa"/>
            <w:vMerge/>
            <w:tcBorders>
              <w:left w:val="single" w:sz="4" w:space="0" w:color="000000"/>
              <w:bottom w:val="single" w:sz="4" w:space="0" w:color="000000"/>
              <w:right w:val="single" w:sz="4" w:space="0" w:color="000000"/>
            </w:tcBorders>
            <w:shd w:val="clear" w:color="auto" w:fill="D9D9D9"/>
          </w:tcPr>
          <w:p>
            <w:pPr/>
          </w:p>
        </w:tc>
        <w:tc>
          <w:tcPr>
            <w:tcW w:w="1150" w:type="dxa"/>
            <w:vMerge/>
            <w:tcBorders>
              <w:left w:val="single" w:sz="4" w:space="0" w:color="000000"/>
              <w:bottom w:val="single" w:sz="4" w:space="0" w:color="000000"/>
            </w:tcBorders>
            <w:shd w:val="clear" w:color="auto" w:fill="D9D9D9"/>
          </w:tcPr>
          <w:p>
            <w:pPr/>
          </w:p>
        </w:tc>
      </w:tr>
      <w:tr>
        <w:trPr>
          <w:trHeight w:val="542"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29</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5</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24 49.965</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67 04.570</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Badal</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Moosa</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44203-7917542-1</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Jet Lane</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ight="549"/>
              <w:rPr>
                <w:sz w:val="18"/>
              </w:rPr>
            </w:pPr>
            <w:r>
              <w:rPr>
                <w:sz w:val="18"/>
              </w:rPr>
              <w:t>Defence More Bridge</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03123944150</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ight="94"/>
              <w:rPr>
                <w:sz w:val="18"/>
              </w:rPr>
            </w:pPr>
            <w:r>
              <w:rPr>
                <w:sz w:val="18"/>
              </w:rPr>
              <w:t>Shoes Selling on Footpath</w:t>
            </w:r>
          </w:p>
        </w:tc>
        <w:tc>
          <w:tcPr>
            <w:tcW w:w="1150" w:type="dxa"/>
            <w:tcBorders>
              <w:top w:val="single" w:sz="4" w:space="0" w:color="000000"/>
              <w:left w:val="single" w:sz="4" w:space="0" w:color="000000"/>
              <w:bottom w:val="single" w:sz="4" w:space="0" w:color="000000"/>
            </w:tcBorders>
          </w:tcPr>
          <w:p>
            <w:pPr>
              <w:pStyle w:val="TableParagraph"/>
              <w:ind w:left="38" w:right="91"/>
              <w:rPr>
                <w:sz w:val="18"/>
              </w:rPr>
            </w:pPr>
            <w:r>
              <w:rPr>
                <w:sz w:val="18"/>
              </w:rPr>
              <w:t>Business on Footpath</w:t>
            </w:r>
          </w:p>
        </w:tc>
      </w:tr>
      <w:tr>
        <w:trPr>
          <w:trHeight w:val="545" w:hRule="exact"/>
        </w:trPr>
        <w:tc>
          <w:tcPr>
            <w:tcW w:w="394" w:type="dxa"/>
            <w:tcBorders>
              <w:top w:val="single" w:sz="4" w:space="0" w:color="000000"/>
              <w:bottom w:val="single" w:sz="4" w:space="0" w:color="000000"/>
              <w:right w:val="single" w:sz="4" w:space="0" w:color="000000"/>
            </w:tcBorders>
          </w:tcPr>
          <w:p>
            <w:pPr>
              <w:pStyle w:val="TableParagraph"/>
              <w:spacing w:before="61"/>
              <w:ind w:left="63" w:right="70"/>
              <w:jc w:val="center"/>
              <w:rPr>
                <w:sz w:val="18"/>
              </w:rPr>
            </w:pPr>
            <w:r>
              <w:rPr>
                <w:sz w:val="18"/>
              </w:rPr>
              <w:t>30</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spacing w:before="61"/>
              <w:ind w:right="1"/>
              <w:jc w:val="center"/>
              <w:rPr>
                <w:sz w:val="18"/>
              </w:rPr>
            </w:pPr>
            <w:r>
              <w:rPr>
                <w:w w:val="99"/>
                <w:sz w:val="18"/>
              </w:rPr>
              <w:t>5</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before="61"/>
              <w:ind w:left="47"/>
              <w:rPr>
                <w:sz w:val="18"/>
              </w:rPr>
            </w:pPr>
            <w:r>
              <w:rPr>
                <w:sz w:val="18"/>
              </w:rPr>
              <w:t>24 49.965</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before="61"/>
              <w:ind w:left="37" w:right="37"/>
              <w:jc w:val="center"/>
              <w:rPr>
                <w:sz w:val="18"/>
              </w:rPr>
            </w:pPr>
            <w:r>
              <w:rPr>
                <w:sz w:val="18"/>
              </w:rPr>
              <w:t>67 04.570</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spacing w:before="61"/>
              <w:ind w:left="38"/>
              <w:rPr>
                <w:sz w:val="18"/>
              </w:rPr>
            </w:pPr>
            <w:r>
              <w:rPr>
                <w:sz w:val="18"/>
              </w:rPr>
              <w:t>Ashok</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spacing w:before="61"/>
              <w:ind w:left="38"/>
              <w:rPr>
                <w:sz w:val="18"/>
              </w:rPr>
            </w:pPr>
            <w:r>
              <w:rPr>
                <w:sz w:val="18"/>
              </w:rPr>
              <w:t>Suriya</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spacing w:before="61"/>
              <w:ind w:left="20" w:right="47"/>
              <w:jc w:val="center"/>
              <w:rPr>
                <w:sz w:val="18"/>
              </w:rPr>
            </w:pPr>
            <w:r>
              <w:rPr>
                <w:sz w:val="18"/>
              </w:rPr>
              <w:t>45304-0498606-1</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spacing w:before="61"/>
              <w:ind w:left="35" w:right="569"/>
              <w:rPr>
                <w:sz w:val="18"/>
              </w:rPr>
            </w:pPr>
            <w:r>
              <w:rPr>
                <w:sz w:val="18"/>
              </w:rPr>
              <w:t>Christian Colony</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spacing w:before="61"/>
              <w:ind w:left="38" w:right="549"/>
              <w:rPr>
                <w:sz w:val="18"/>
              </w:rPr>
            </w:pPr>
            <w:r>
              <w:rPr>
                <w:sz w:val="18"/>
              </w:rPr>
              <w:t>Defence More Bridge</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spacing w:before="61"/>
              <w:ind w:right="65"/>
              <w:jc w:val="right"/>
              <w:rPr>
                <w:sz w:val="18"/>
              </w:rPr>
            </w:pPr>
            <w:r>
              <w:rPr>
                <w:sz w:val="18"/>
              </w:rPr>
              <w:t>03143877129</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spacing w:before="61"/>
              <w:ind w:left="38" w:right="94"/>
              <w:rPr>
                <w:sz w:val="18"/>
              </w:rPr>
            </w:pPr>
            <w:r>
              <w:rPr>
                <w:sz w:val="18"/>
              </w:rPr>
              <w:t>Shoes Selling on Footpath</w:t>
            </w:r>
          </w:p>
        </w:tc>
        <w:tc>
          <w:tcPr>
            <w:tcW w:w="1150" w:type="dxa"/>
            <w:tcBorders>
              <w:top w:val="single" w:sz="4" w:space="0" w:color="000000"/>
              <w:left w:val="single" w:sz="4" w:space="0" w:color="000000"/>
              <w:bottom w:val="single" w:sz="4" w:space="0" w:color="000000"/>
            </w:tcBorders>
          </w:tcPr>
          <w:p>
            <w:pPr>
              <w:pStyle w:val="TableParagraph"/>
              <w:spacing w:before="61"/>
              <w:ind w:left="38" w:right="91"/>
              <w:rPr>
                <w:sz w:val="18"/>
              </w:rPr>
            </w:pPr>
            <w:r>
              <w:rPr>
                <w:sz w:val="18"/>
              </w:rPr>
              <w:t>Business on Footpath</w:t>
            </w:r>
          </w:p>
        </w:tc>
      </w:tr>
      <w:tr>
        <w:trPr>
          <w:trHeight w:val="545"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31</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5</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24 49.968</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67 04.561</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Aakash</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Suriya</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45304-1538746-1</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Cantt. Station</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ight="549"/>
              <w:rPr>
                <w:sz w:val="18"/>
              </w:rPr>
            </w:pPr>
            <w:r>
              <w:rPr>
                <w:sz w:val="18"/>
              </w:rPr>
              <w:t>Defence More Bridge</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03122418529</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ight="94"/>
              <w:rPr>
                <w:sz w:val="18"/>
              </w:rPr>
            </w:pPr>
            <w:r>
              <w:rPr>
                <w:sz w:val="18"/>
              </w:rPr>
              <w:t>Shoes Selling on Footpath</w:t>
            </w:r>
          </w:p>
        </w:tc>
        <w:tc>
          <w:tcPr>
            <w:tcW w:w="1150" w:type="dxa"/>
            <w:tcBorders>
              <w:top w:val="single" w:sz="4" w:space="0" w:color="000000"/>
              <w:left w:val="single" w:sz="4" w:space="0" w:color="000000"/>
              <w:bottom w:val="single" w:sz="4" w:space="0" w:color="000000"/>
            </w:tcBorders>
          </w:tcPr>
          <w:p>
            <w:pPr>
              <w:pStyle w:val="TableParagraph"/>
              <w:ind w:left="38" w:right="91"/>
              <w:rPr>
                <w:sz w:val="18"/>
              </w:rPr>
            </w:pPr>
            <w:r>
              <w:rPr>
                <w:sz w:val="18"/>
              </w:rPr>
              <w:t>Business on Footpath</w:t>
            </w:r>
          </w:p>
        </w:tc>
      </w:tr>
      <w:tr>
        <w:trPr>
          <w:trHeight w:val="542"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32</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5</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24 49.968</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67 04.561</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Sonu</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Sheroo</w:t>
            </w:r>
          </w:p>
        </w:tc>
        <w:tc>
          <w:tcPr>
            <w:tcW w:w="1538" w:type="dxa"/>
            <w:tcBorders>
              <w:top w:val="single" w:sz="4" w:space="0" w:color="000000"/>
              <w:left w:val="single" w:sz="4" w:space="0" w:color="000000"/>
              <w:bottom w:val="single" w:sz="4" w:space="0" w:color="000000"/>
              <w:right w:val="single" w:sz="4" w:space="0" w:color="000000"/>
            </w:tcBorders>
          </w:tcPr>
          <w:p>
            <w:pP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Bazratta Lane</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ight="549"/>
              <w:rPr>
                <w:sz w:val="18"/>
              </w:rPr>
            </w:pPr>
            <w:r>
              <w:rPr>
                <w:sz w:val="18"/>
              </w:rPr>
              <w:t>Defence More Bridge</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03113643452</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ight="94"/>
              <w:rPr>
                <w:sz w:val="18"/>
              </w:rPr>
            </w:pPr>
            <w:r>
              <w:rPr>
                <w:sz w:val="18"/>
              </w:rPr>
              <w:t>Shoes Selling on Footpath</w:t>
            </w:r>
          </w:p>
        </w:tc>
        <w:tc>
          <w:tcPr>
            <w:tcW w:w="1150" w:type="dxa"/>
            <w:tcBorders>
              <w:top w:val="single" w:sz="4" w:space="0" w:color="000000"/>
              <w:left w:val="single" w:sz="4" w:space="0" w:color="000000"/>
              <w:bottom w:val="single" w:sz="4" w:space="0" w:color="000000"/>
            </w:tcBorders>
          </w:tcPr>
          <w:p>
            <w:pPr>
              <w:pStyle w:val="TableParagraph"/>
              <w:ind w:left="38" w:right="91"/>
              <w:rPr>
                <w:sz w:val="18"/>
              </w:rPr>
            </w:pPr>
            <w:r>
              <w:rPr>
                <w:sz w:val="18"/>
              </w:rPr>
              <w:t>Business on Footpath</w:t>
            </w:r>
          </w:p>
        </w:tc>
      </w:tr>
      <w:tr>
        <w:trPr>
          <w:trHeight w:val="545" w:hRule="exact"/>
        </w:trPr>
        <w:tc>
          <w:tcPr>
            <w:tcW w:w="394" w:type="dxa"/>
            <w:tcBorders>
              <w:top w:val="single" w:sz="4" w:space="0" w:color="000000"/>
              <w:bottom w:val="single" w:sz="4" w:space="0" w:color="000000"/>
              <w:right w:val="single" w:sz="4" w:space="0" w:color="000000"/>
            </w:tcBorders>
          </w:tcPr>
          <w:p>
            <w:pPr>
              <w:pStyle w:val="TableParagraph"/>
              <w:spacing w:before="61"/>
              <w:ind w:left="63" w:right="70"/>
              <w:jc w:val="center"/>
              <w:rPr>
                <w:sz w:val="18"/>
              </w:rPr>
            </w:pPr>
            <w:r>
              <w:rPr>
                <w:sz w:val="18"/>
              </w:rPr>
              <w:t>33</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spacing w:before="61"/>
              <w:ind w:right="1"/>
              <w:jc w:val="center"/>
              <w:rPr>
                <w:sz w:val="18"/>
              </w:rPr>
            </w:pPr>
            <w:r>
              <w:rPr>
                <w:w w:val="99"/>
                <w:sz w:val="18"/>
              </w:rPr>
              <w:t>5</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before="61"/>
              <w:ind w:left="47"/>
              <w:rPr>
                <w:sz w:val="18"/>
              </w:rPr>
            </w:pPr>
            <w:r>
              <w:rPr>
                <w:sz w:val="18"/>
              </w:rPr>
              <w:t>24 49.968</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before="61"/>
              <w:ind w:left="37" w:right="37"/>
              <w:jc w:val="center"/>
              <w:rPr>
                <w:sz w:val="18"/>
              </w:rPr>
            </w:pPr>
            <w:r>
              <w:rPr>
                <w:sz w:val="18"/>
              </w:rPr>
              <w:t>67 04.561</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spacing w:before="61"/>
              <w:ind w:left="38"/>
              <w:rPr>
                <w:sz w:val="18"/>
              </w:rPr>
            </w:pPr>
            <w:r>
              <w:rPr>
                <w:sz w:val="18"/>
              </w:rPr>
              <w:t>Rakesh Kumar</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spacing w:before="61"/>
              <w:ind w:left="38"/>
              <w:rPr>
                <w:sz w:val="18"/>
              </w:rPr>
            </w:pPr>
            <w:r>
              <w:rPr>
                <w:sz w:val="18"/>
              </w:rPr>
              <w:t>Gulzari Lal</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spacing w:before="61"/>
              <w:ind w:left="20" w:right="47"/>
              <w:jc w:val="center"/>
              <w:rPr>
                <w:sz w:val="18"/>
              </w:rPr>
            </w:pPr>
            <w:r>
              <w:rPr>
                <w:sz w:val="18"/>
              </w:rPr>
              <w:t>45304-4696309-9</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spacing w:before="61"/>
              <w:ind w:left="35"/>
              <w:rPr>
                <w:sz w:val="18"/>
              </w:rPr>
            </w:pPr>
            <w:r>
              <w:rPr>
                <w:sz w:val="18"/>
              </w:rPr>
              <w:t>Korangi No. 1</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spacing w:before="61"/>
              <w:ind w:left="38" w:right="549"/>
              <w:rPr>
                <w:sz w:val="18"/>
              </w:rPr>
            </w:pPr>
            <w:r>
              <w:rPr>
                <w:sz w:val="18"/>
              </w:rPr>
              <w:t>Defence More Bridge</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spacing w:before="61"/>
              <w:ind w:right="65"/>
              <w:jc w:val="right"/>
              <w:rPr>
                <w:sz w:val="18"/>
              </w:rPr>
            </w:pPr>
            <w:r>
              <w:rPr>
                <w:sz w:val="18"/>
              </w:rPr>
              <w:t>03171008446</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spacing w:before="61"/>
              <w:ind w:left="38" w:right="94"/>
              <w:rPr>
                <w:sz w:val="18"/>
              </w:rPr>
            </w:pPr>
            <w:r>
              <w:rPr>
                <w:sz w:val="18"/>
              </w:rPr>
              <w:t>Shoes Selling on Footpath</w:t>
            </w:r>
          </w:p>
        </w:tc>
        <w:tc>
          <w:tcPr>
            <w:tcW w:w="1150" w:type="dxa"/>
            <w:tcBorders>
              <w:top w:val="single" w:sz="4" w:space="0" w:color="000000"/>
              <w:left w:val="single" w:sz="4" w:space="0" w:color="000000"/>
              <w:bottom w:val="single" w:sz="4" w:space="0" w:color="000000"/>
            </w:tcBorders>
          </w:tcPr>
          <w:p>
            <w:pPr>
              <w:pStyle w:val="TableParagraph"/>
              <w:spacing w:before="61"/>
              <w:ind w:left="38" w:right="91"/>
              <w:rPr>
                <w:sz w:val="18"/>
              </w:rPr>
            </w:pPr>
            <w:r>
              <w:rPr>
                <w:sz w:val="18"/>
              </w:rPr>
              <w:t>Business on Footpath</w:t>
            </w:r>
          </w:p>
        </w:tc>
      </w:tr>
      <w:tr>
        <w:trPr>
          <w:trHeight w:val="545"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34</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5</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24 49.968</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67 04.561</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Jimmy</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Molanji</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45304-8391144-5</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Bazratta Lane</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ight="549"/>
              <w:rPr>
                <w:sz w:val="18"/>
              </w:rPr>
            </w:pPr>
            <w:r>
              <w:rPr>
                <w:sz w:val="18"/>
              </w:rPr>
              <w:t>Defence More Bridge</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03152716840</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ight="94"/>
              <w:rPr>
                <w:sz w:val="18"/>
              </w:rPr>
            </w:pPr>
            <w:r>
              <w:rPr>
                <w:sz w:val="18"/>
              </w:rPr>
              <w:t>Shoes Selling on Footpath</w:t>
            </w:r>
          </w:p>
        </w:tc>
        <w:tc>
          <w:tcPr>
            <w:tcW w:w="1150" w:type="dxa"/>
            <w:tcBorders>
              <w:top w:val="single" w:sz="4" w:space="0" w:color="000000"/>
              <w:left w:val="single" w:sz="4" w:space="0" w:color="000000"/>
              <w:bottom w:val="single" w:sz="4" w:space="0" w:color="000000"/>
            </w:tcBorders>
          </w:tcPr>
          <w:p>
            <w:pPr>
              <w:pStyle w:val="TableParagraph"/>
              <w:ind w:left="38" w:right="91"/>
              <w:rPr>
                <w:sz w:val="18"/>
              </w:rPr>
            </w:pPr>
            <w:r>
              <w:rPr>
                <w:sz w:val="18"/>
              </w:rPr>
              <w:t>Business on Footpath</w:t>
            </w:r>
          </w:p>
        </w:tc>
      </w:tr>
      <w:tr>
        <w:trPr>
          <w:trHeight w:val="542"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35</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5</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24 49.979</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67 04.544</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Phoolji</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Misri</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45304-2309063-5</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Cantt Station</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ight="549"/>
              <w:rPr>
                <w:sz w:val="18"/>
              </w:rPr>
            </w:pPr>
            <w:r>
              <w:rPr>
                <w:sz w:val="18"/>
              </w:rPr>
              <w:t>Defence More Bridge</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4"/>
              <w:jc w:val="right"/>
              <w:rPr>
                <w:sz w:val="18"/>
              </w:rPr>
            </w:pPr>
            <w:r>
              <w:rPr>
                <w:sz w:val="18"/>
              </w:rPr>
              <w:t>03172942316</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ight="94"/>
              <w:rPr>
                <w:sz w:val="18"/>
              </w:rPr>
            </w:pPr>
            <w:r>
              <w:rPr>
                <w:sz w:val="18"/>
              </w:rPr>
              <w:t>Shoes Selling on Footpath</w:t>
            </w:r>
          </w:p>
        </w:tc>
        <w:tc>
          <w:tcPr>
            <w:tcW w:w="1150" w:type="dxa"/>
            <w:tcBorders>
              <w:top w:val="single" w:sz="4" w:space="0" w:color="000000"/>
              <w:left w:val="single" w:sz="4" w:space="0" w:color="000000"/>
              <w:bottom w:val="single" w:sz="4" w:space="0" w:color="000000"/>
            </w:tcBorders>
          </w:tcPr>
          <w:p>
            <w:pPr>
              <w:pStyle w:val="TableParagraph"/>
              <w:ind w:left="38" w:right="91"/>
              <w:rPr>
                <w:sz w:val="18"/>
              </w:rPr>
            </w:pPr>
            <w:r>
              <w:rPr>
                <w:sz w:val="18"/>
              </w:rPr>
              <w:t>Business on Footpath</w:t>
            </w:r>
          </w:p>
        </w:tc>
      </w:tr>
      <w:tr>
        <w:trPr>
          <w:trHeight w:val="545"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36</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5</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24 49.979</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67 04.544</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Sanjay</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Dilo</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45403-9785366-1</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Pehalwan Goth</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ight="549"/>
              <w:rPr>
                <w:sz w:val="18"/>
              </w:rPr>
            </w:pPr>
            <w:r>
              <w:rPr>
                <w:sz w:val="18"/>
              </w:rPr>
              <w:t>Defence More Bridge</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03163894964</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ight="94"/>
              <w:rPr>
                <w:sz w:val="18"/>
              </w:rPr>
            </w:pPr>
            <w:r>
              <w:rPr>
                <w:sz w:val="18"/>
              </w:rPr>
              <w:t>Shoes Selling on Footpath</w:t>
            </w:r>
          </w:p>
        </w:tc>
        <w:tc>
          <w:tcPr>
            <w:tcW w:w="1150" w:type="dxa"/>
            <w:tcBorders>
              <w:top w:val="single" w:sz="4" w:space="0" w:color="000000"/>
              <w:left w:val="single" w:sz="4" w:space="0" w:color="000000"/>
              <w:bottom w:val="single" w:sz="4" w:space="0" w:color="000000"/>
            </w:tcBorders>
          </w:tcPr>
          <w:p>
            <w:pPr>
              <w:pStyle w:val="TableParagraph"/>
              <w:ind w:left="38" w:right="91"/>
              <w:rPr>
                <w:sz w:val="18"/>
              </w:rPr>
            </w:pPr>
            <w:r>
              <w:rPr>
                <w:sz w:val="18"/>
              </w:rPr>
              <w:t>Business on Footpath</w:t>
            </w:r>
          </w:p>
        </w:tc>
      </w:tr>
      <w:tr>
        <w:trPr>
          <w:trHeight w:val="545"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37</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5</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24 49.979</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67 04.544</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Ram Chand</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Chala</w:t>
            </w:r>
          </w:p>
        </w:tc>
        <w:tc>
          <w:tcPr>
            <w:tcW w:w="1538" w:type="dxa"/>
            <w:tcBorders>
              <w:top w:val="single" w:sz="4" w:space="0" w:color="000000"/>
              <w:left w:val="single" w:sz="4" w:space="0" w:color="000000"/>
              <w:bottom w:val="single" w:sz="4" w:space="0" w:color="000000"/>
              <w:right w:val="single" w:sz="4" w:space="0" w:color="000000"/>
            </w:tcBorders>
          </w:tcPr>
          <w:p>
            <w:pP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ight="569"/>
              <w:rPr>
                <w:sz w:val="18"/>
              </w:rPr>
            </w:pPr>
            <w:r>
              <w:rPr>
                <w:sz w:val="18"/>
              </w:rPr>
              <w:t>Christian Colony</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ight="549"/>
              <w:rPr>
                <w:sz w:val="18"/>
              </w:rPr>
            </w:pPr>
            <w:r>
              <w:rPr>
                <w:sz w:val="18"/>
              </w:rPr>
              <w:t>Defence More Bridge</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03158075695</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ight="94"/>
              <w:rPr>
                <w:sz w:val="18"/>
              </w:rPr>
            </w:pPr>
            <w:r>
              <w:rPr>
                <w:sz w:val="18"/>
              </w:rPr>
              <w:t>Shoes Selling on Footpath</w:t>
            </w:r>
          </w:p>
        </w:tc>
        <w:tc>
          <w:tcPr>
            <w:tcW w:w="1150" w:type="dxa"/>
            <w:tcBorders>
              <w:top w:val="single" w:sz="4" w:space="0" w:color="000000"/>
              <w:left w:val="single" w:sz="4" w:space="0" w:color="000000"/>
              <w:bottom w:val="single" w:sz="4" w:space="0" w:color="000000"/>
            </w:tcBorders>
          </w:tcPr>
          <w:p>
            <w:pPr>
              <w:pStyle w:val="TableParagraph"/>
              <w:ind w:left="38" w:right="91"/>
              <w:rPr>
                <w:sz w:val="18"/>
              </w:rPr>
            </w:pPr>
            <w:r>
              <w:rPr>
                <w:sz w:val="18"/>
              </w:rPr>
              <w:t>Business on Footpath</w:t>
            </w:r>
          </w:p>
        </w:tc>
      </w:tr>
      <w:tr>
        <w:trPr>
          <w:trHeight w:val="752"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38</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5</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24 50.013</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67 04.492</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ight="381"/>
              <w:rPr>
                <w:sz w:val="18"/>
              </w:rPr>
            </w:pPr>
            <w:r>
              <w:rPr>
                <w:sz w:val="18"/>
              </w:rPr>
              <w:t>Muhammad Saeed</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Adam Gull</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42301-7039746-1</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Azam Basti</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ight="549"/>
              <w:rPr>
                <w:sz w:val="18"/>
              </w:rPr>
            </w:pPr>
            <w:r>
              <w:rPr>
                <w:sz w:val="18"/>
              </w:rPr>
              <w:t>Defence More Bridge</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03036109082</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ight="554"/>
              <w:rPr>
                <w:sz w:val="18"/>
              </w:rPr>
            </w:pPr>
            <w:r>
              <w:rPr>
                <w:sz w:val="18"/>
              </w:rPr>
              <w:t>Building Material</w:t>
            </w:r>
          </w:p>
        </w:tc>
        <w:tc>
          <w:tcPr>
            <w:tcW w:w="1150" w:type="dxa"/>
            <w:tcBorders>
              <w:top w:val="single" w:sz="4" w:space="0" w:color="000000"/>
              <w:left w:val="single" w:sz="4" w:space="0" w:color="000000"/>
              <w:bottom w:val="single" w:sz="4" w:space="0" w:color="000000"/>
            </w:tcBorders>
          </w:tcPr>
          <w:p>
            <w:pPr>
              <w:pStyle w:val="TableParagraph"/>
              <w:ind w:left="38" w:right="432"/>
              <w:rPr>
                <w:sz w:val="18"/>
              </w:rPr>
            </w:pPr>
            <w:r>
              <w:rPr>
                <w:sz w:val="18"/>
              </w:rPr>
              <w:t>Shops Display Material</w:t>
            </w:r>
          </w:p>
        </w:tc>
      </w:tr>
      <w:tr>
        <w:trPr>
          <w:trHeight w:val="542"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39</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5</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24 50.013</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8" w:right="37"/>
              <w:jc w:val="center"/>
              <w:rPr>
                <w:sz w:val="18"/>
              </w:rPr>
            </w:pPr>
            <w:r>
              <w:rPr>
                <w:sz w:val="18"/>
              </w:rPr>
              <w:t>67 04.492</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Hazrat Bilal</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Tahay Zar</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15701-2264888-3</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ight="619"/>
              <w:rPr>
                <w:sz w:val="18"/>
              </w:rPr>
            </w:pPr>
            <w:r>
              <w:rPr>
                <w:sz w:val="18"/>
              </w:rPr>
              <w:t>Kashmir Colony</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ight="549"/>
              <w:rPr>
                <w:sz w:val="18"/>
              </w:rPr>
            </w:pPr>
            <w:r>
              <w:rPr>
                <w:sz w:val="18"/>
              </w:rPr>
              <w:t>Defence More Bridge</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03443050543</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ight="324"/>
              <w:rPr>
                <w:sz w:val="18"/>
              </w:rPr>
            </w:pPr>
            <w:r>
              <w:rPr>
                <w:sz w:val="18"/>
              </w:rPr>
              <w:t>Sugarcane Juice</w:t>
            </w:r>
          </w:p>
        </w:tc>
        <w:tc>
          <w:tcPr>
            <w:tcW w:w="1150" w:type="dxa"/>
            <w:tcBorders>
              <w:top w:val="single" w:sz="4" w:space="0" w:color="000000"/>
              <w:left w:val="single" w:sz="4" w:space="0" w:color="000000"/>
              <w:bottom w:val="single" w:sz="4" w:space="0" w:color="000000"/>
            </w:tcBorders>
          </w:tcPr>
          <w:p>
            <w:pPr>
              <w:pStyle w:val="TableParagraph"/>
              <w:ind w:left="38"/>
              <w:rPr>
                <w:sz w:val="18"/>
              </w:rPr>
            </w:pPr>
            <w:r>
              <w:rPr>
                <w:sz w:val="18"/>
              </w:rPr>
              <w:t>Mobile Cart</w:t>
            </w:r>
          </w:p>
        </w:tc>
      </w:tr>
      <w:tr>
        <w:trPr>
          <w:trHeight w:val="545"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40</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2</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24 50.152</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67 06.318</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Jazeb</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ight="506"/>
              <w:rPr>
                <w:sz w:val="18"/>
              </w:rPr>
            </w:pPr>
            <w:r>
              <w:rPr>
                <w:sz w:val="18"/>
              </w:rPr>
              <w:t>Khadim Hussain</w:t>
            </w:r>
          </w:p>
        </w:tc>
        <w:tc>
          <w:tcPr>
            <w:tcW w:w="1538" w:type="dxa"/>
            <w:tcBorders>
              <w:top w:val="single" w:sz="4" w:space="0" w:color="000000"/>
              <w:left w:val="single" w:sz="4" w:space="0" w:color="000000"/>
              <w:bottom w:val="single" w:sz="4" w:space="0" w:color="000000"/>
              <w:right w:val="single" w:sz="4" w:space="0" w:color="000000"/>
            </w:tcBorders>
          </w:tcPr>
          <w:p>
            <w:pP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Mehran Town</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Brooks Chowrangi</w:t>
            </w:r>
          </w:p>
        </w:tc>
        <w:tc>
          <w:tcPr>
            <w:tcW w:w="1217" w:type="dxa"/>
            <w:tcBorders>
              <w:top w:val="single" w:sz="4" w:space="0" w:color="000000"/>
              <w:left w:val="single" w:sz="4" w:space="0" w:color="000000"/>
              <w:bottom w:val="single" w:sz="4" w:space="0" w:color="000000"/>
              <w:right w:val="single" w:sz="4" w:space="0" w:color="000000"/>
            </w:tcBorders>
          </w:tcPr>
          <w:p>
            <w:pP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Tuck Shop</w:t>
            </w:r>
          </w:p>
        </w:tc>
        <w:tc>
          <w:tcPr>
            <w:tcW w:w="1150" w:type="dxa"/>
            <w:tcBorders>
              <w:top w:val="single" w:sz="4" w:space="0" w:color="000000"/>
              <w:left w:val="single" w:sz="4" w:space="0" w:color="000000"/>
              <w:bottom w:val="single" w:sz="4" w:space="0" w:color="000000"/>
            </w:tcBorders>
          </w:tcPr>
          <w:p>
            <w:pPr>
              <w:pStyle w:val="TableParagraph"/>
              <w:ind w:left="38"/>
              <w:rPr>
                <w:sz w:val="18"/>
              </w:rPr>
            </w:pPr>
            <w:r>
              <w:rPr>
                <w:sz w:val="18"/>
              </w:rPr>
              <w:t>Kiosk</w:t>
            </w:r>
          </w:p>
        </w:tc>
      </w:tr>
      <w:tr>
        <w:trPr>
          <w:trHeight w:val="552" w:hRule="exact"/>
        </w:trPr>
        <w:tc>
          <w:tcPr>
            <w:tcW w:w="394" w:type="dxa"/>
            <w:tcBorders>
              <w:top w:val="single" w:sz="4" w:space="0" w:color="000000"/>
              <w:right w:val="single" w:sz="4" w:space="0" w:color="000000"/>
            </w:tcBorders>
          </w:tcPr>
          <w:p>
            <w:pPr>
              <w:pStyle w:val="TableParagraph"/>
              <w:ind w:left="63" w:right="70"/>
              <w:jc w:val="center"/>
              <w:rPr>
                <w:sz w:val="18"/>
              </w:rPr>
            </w:pPr>
            <w:r>
              <w:rPr>
                <w:sz w:val="18"/>
              </w:rPr>
              <w:t>41</w:t>
            </w:r>
          </w:p>
        </w:tc>
        <w:tc>
          <w:tcPr>
            <w:tcW w:w="526" w:type="dxa"/>
            <w:tcBorders>
              <w:top w:val="single" w:sz="4" w:space="0" w:color="000000"/>
              <w:left w:val="single" w:sz="4" w:space="0" w:color="000000"/>
              <w:right w:val="single" w:sz="4" w:space="0" w:color="000000"/>
            </w:tcBorders>
          </w:tcPr>
          <w:p>
            <w:pPr>
              <w:pStyle w:val="TableParagraph"/>
              <w:ind w:right="1"/>
              <w:jc w:val="center"/>
              <w:rPr>
                <w:sz w:val="18"/>
              </w:rPr>
            </w:pPr>
            <w:r>
              <w:rPr>
                <w:w w:val="99"/>
                <w:sz w:val="18"/>
              </w:rPr>
              <w:t>2</w:t>
            </w:r>
          </w:p>
        </w:tc>
        <w:tc>
          <w:tcPr>
            <w:tcW w:w="910" w:type="dxa"/>
            <w:tcBorders>
              <w:top w:val="single" w:sz="4" w:space="0" w:color="000000"/>
              <w:left w:val="single" w:sz="4" w:space="0" w:color="000000"/>
              <w:right w:val="single" w:sz="4" w:space="0" w:color="000000"/>
            </w:tcBorders>
          </w:tcPr>
          <w:p>
            <w:pPr>
              <w:pStyle w:val="TableParagraph"/>
              <w:ind w:left="47"/>
              <w:rPr>
                <w:sz w:val="18"/>
              </w:rPr>
            </w:pPr>
            <w:r>
              <w:rPr>
                <w:sz w:val="18"/>
              </w:rPr>
              <w:t>24 50.347</w:t>
            </w:r>
          </w:p>
        </w:tc>
        <w:tc>
          <w:tcPr>
            <w:tcW w:w="926" w:type="dxa"/>
            <w:tcBorders>
              <w:top w:val="single" w:sz="4" w:space="0" w:color="000000"/>
              <w:left w:val="single" w:sz="4" w:space="0" w:color="000000"/>
              <w:right w:val="single" w:sz="4" w:space="0" w:color="000000"/>
            </w:tcBorders>
          </w:tcPr>
          <w:p>
            <w:pPr>
              <w:pStyle w:val="TableParagraph"/>
              <w:ind w:left="37" w:right="37"/>
              <w:jc w:val="center"/>
              <w:rPr>
                <w:sz w:val="18"/>
              </w:rPr>
            </w:pPr>
            <w:r>
              <w:rPr>
                <w:sz w:val="18"/>
              </w:rPr>
              <w:t>67 07.299</w:t>
            </w:r>
          </w:p>
        </w:tc>
        <w:tc>
          <w:tcPr>
            <w:tcW w:w="1400" w:type="dxa"/>
            <w:tcBorders>
              <w:top w:val="single" w:sz="4" w:space="0" w:color="000000"/>
              <w:left w:val="single" w:sz="4" w:space="0" w:color="000000"/>
              <w:right w:val="single" w:sz="4" w:space="0" w:color="000000"/>
            </w:tcBorders>
          </w:tcPr>
          <w:p>
            <w:pPr>
              <w:pStyle w:val="TableParagraph"/>
              <w:ind w:left="38"/>
              <w:rPr>
                <w:sz w:val="18"/>
              </w:rPr>
            </w:pPr>
            <w:r>
              <w:rPr>
                <w:sz w:val="18"/>
              </w:rPr>
              <w:t>Ali Hussain</w:t>
            </w:r>
          </w:p>
        </w:tc>
        <w:tc>
          <w:tcPr>
            <w:tcW w:w="1224" w:type="dxa"/>
            <w:tcBorders>
              <w:top w:val="single" w:sz="4" w:space="0" w:color="000000"/>
              <w:left w:val="single" w:sz="4" w:space="0" w:color="000000"/>
              <w:right w:val="single" w:sz="4" w:space="0" w:color="000000"/>
            </w:tcBorders>
          </w:tcPr>
          <w:p>
            <w:pPr>
              <w:pStyle w:val="TableParagraph"/>
              <w:ind w:left="38" w:right="506"/>
              <w:rPr>
                <w:sz w:val="18"/>
              </w:rPr>
            </w:pPr>
            <w:r>
              <w:rPr>
                <w:sz w:val="18"/>
              </w:rPr>
              <w:t>Khadim Hussain</w:t>
            </w:r>
          </w:p>
        </w:tc>
        <w:tc>
          <w:tcPr>
            <w:tcW w:w="1538" w:type="dxa"/>
            <w:tcBorders>
              <w:top w:val="single" w:sz="4" w:space="0" w:color="000000"/>
              <w:left w:val="single" w:sz="4" w:space="0" w:color="000000"/>
              <w:right w:val="single" w:sz="4" w:space="0" w:color="000000"/>
            </w:tcBorders>
          </w:tcPr>
          <w:p>
            <w:pPr/>
          </w:p>
        </w:tc>
        <w:tc>
          <w:tcPr>
            <w:tcW w:w="1344" w:type="dxa"/>
            <w:tcBorders>
              <w:top w:val="single" w:sz="4" w:space="0" w:color="000000"/>
              <w:left w:val="single" w:sz="4" w:space="0" w:color="000000"/>
              <w:right w:val="single" w:sz="4" w:space="0" w:color="000000"/>
            </w:tcBorders>
          </w:tcPr>
          <w:p>
            <w:pPr>
              <w:pStyle w:val="TableParagraph"/>
              <w:ind w:left="35"/>
              <w:rPr>
                <w:sz w:val="18"/>
              </w:rPr>
            </w:pPr>
            <w:r>
              <w:rPr>
                <w:sz w:val="18"/>
              </w:rPr>
              <w:t>Mehran Town</w:t>
            </w:r>
          </w:p>
        </w:tc>
        <w:tc>
          <w:tcPr>
            <w:tcW w:w="1747" w:type="dxa"/>
            <w:tcBorders>
              <w:top w:val="single" w:sz="4" w:space="0" w:color="000000"/>
              <w:left w:val="single" w:sz="4" w:space="0" w:color="000000"/>
              <w:right w:val="single" w:sz="4" w:space="0" w:color="000000"/>
            </w:tcBorders>
          </w:tcPr>
          <w:p>
            <w:pPr>
              <w:pStyle w:val="TableParagraph"/>
              <w:ind w:left="38"/>
              <w:rPr>
                <w:sz w:val="18"/>
              </w:rPr>
            </w:pPr>
            <w:r>
              <w:rPr>
                <w:sz w:val="18"/>
              </w:rPr>
              <w:t>Shan Chowrangi</w:t>
            </w:r>
          </w:p>
        </w:tc>
        <w:tc>
          <w:tcPr>
            <w:tcW w:w="1217" w:type="dxa"/>
            <w:tcBorders>
              <w:top w:val="single" w:sz="4" w:space="0" w:color="000000"/>
              <w:left w:val="single" w:sz="4" w:space="0" w:color="000000"/>
              <w:right w:val="single" w:sz="4" w:space="0" w:color="000000"/>
            </w:tcBorders>
          </w:tcPr>
          <w:p>
            <w:pPr>
              <w:pStyle w:val="TableParagraph"/>
              <w:ind w:right="65"/>
              <w:jc w:val="right"/>
              <w:rPr>
                <w:sz w:val="18"/>
              </w:rPr>
            </w:pPr>
            <w:r>
              <w:rPr>
                <w:sz w:val="18"/>
              </w:rPr>
              <w:t>03212950585</w:t>
            </w:r>
          </w:p>
        </w:tc>
        <w:tc>
          <w:tcPr>
            <w:tcW w:w="1262" w:type="dxa"/>
            <w:tcBorders>
              <w:top w:val="single" w:sz="4" w:space="0" w:color="000000"/>
              <w:left w:val="single" w:sz="4" w:space="0" w:color="000000"/>
              <w:right w:val="single" w:sz="4" w:space="0" w:color="000000"/>
            </w:tcBorders>
          </w:tcPr>
          <w:p>
            <w:pPr>
              <w:pStyle w:val="TableParagraph"/>
              <w:ind w:left="38" w:right="324"/>
              <w:rPr>
                <w:sz w:val="18"/>
              </w:rPr>
            </w:pPr>
            <w:r>
              <w:rPr>
                <w:sz w:val="18"/>
              </w:rPr>
              <w:t>Sugarcane Juice</w:t>
            </w:r>
          </w:p>
        </w:tc>
        <w:tc>
          <w:tcPr>
            <w:tcW w:w="1150" w:type="dxa"/>
            <w:tcBorders>
              <w:top w:val="single" w:sz="4" w:space="0" w:color="000000"/>
              <w:left w:val="single" w:sz="4" w:space="0" w:color="000000"/>
            </w:tcBorders>
          </w:tcPr>
          <w:p>
            <w:pPr>
              <w:pStyle w:val="TableParagraph"/>
              <w:ind w:left="38"/>
              <w:rPr>
                <w:sz w:val="18"/>
              </w:rPr>
            </w:pPr>
            <w:r>
              <w:rPr>
                <w:sz w:val="18"/>
              </w:rPr>
              <w:t>Mobile Cart</w:t>
            </w:r>
          </w:p>
        </w:tc>
      </w:tr>
    </w:tbl>
    <w:p>
      <w:pPr>
        <w:spacing w:after="0"/>
        <w:rPr>
          <w:sz w:val="18"/>
        </w:rPr>
        <w:sectPr>
          <w:pgSz w:w="16840" w:h="11910" w:orient="landscape"/>
          <w:pgMar w:header="583" w:footer="575" w:top="840" w:bottom="760" w:left="860" w:right="12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6"/>
        </w:rPr>
      </w:pPr>
    </w:p>
    <w:tbl>
      <w:tblPr>
        <w:tblW w:w="0" w:type="auto"/>
        <w:jc w:val="left"/>
        <w:tblInd w:w="89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94"/>
        <w:gridCol w:w="526"/>
        <w:gridCol w:w="910"/>
        <w:gridCol w:w="926"/>
        <w:gridCol w:w="1400"/>
        <w:gridCol w:w="1224"/>
        <w:gridCol w:w="1538"/>
        <w:gridCol w:w="1344"/>
        <w:gridCol w:w="1747"/>
        <w:gridCol w:w="1217"/>
        <w:gridCol w:w="1262"/>
        <w:gridCol w:w="1150"/>
      </w:tblGrid>
      <w:tr>
        <w:trPr>
          <w:trHeight w:val="504" w:hRule="exact"/>
        </w:trPr>
        <w:tc>
          <w:tcPr>
            <w:tcW w:w="394" w:type="dxa"/>
            <w:vMerge w:val="restart"/>
            <w:tcBorders>
              <w:right w:val="single" w:sz="4" w:space="0" w:color="000000"/>
            </w:tcBorders>
            <w:shd w:val="clear" w:color="auto" w:fill="D9D9D9"/>
          </w:tcPr>
          <w:p>
            <w:pPr>
              <w:pStyle w:val="TableParagraph"/>
              <w:ind w:left="91"/>
              <w:rPr>
                <w:b/>
                <w:sz w:val="18"/>
              </w:rPr>
            </w:pPr>
            <w:r>
              <w:rPr>
                <w:b/>
                <w:sz w:val="18"/>
              </w:rPr>
              <w:t>ID</w:t>
            </w:r>
          </w:p>
        </w:tc>
        <w:tc>
          <w:tcPr>
            <w:tcW w:w="526" w:type="dxa"/>
            <w:vMerge w:val="restart"/>
            <w:tcBorders>
              <w:left w:val="single" w:sz="4" w:space="0" w:color="000000"/>
              <w:right w:val="single" w:sz="4" w:space="0" w:color="000000"/>
            </w:tcBorders>
            <w:shd w:val="clear" w:color="auto" w:fill="D9D9D9"/>
            <w:textDirection w:val="btLr"/>
          </w:tcPr>
          <w:p>
            <w:pPr>
              <w:pStyle w:val="TableParagraph"/>
              <w:spacing w:line="247" w:lineRule="auto" w:before="102"/>
              <w:ind w:left="112" w:right="131"/>
              <w:rPr>
                <w:b/>
                <w:sz w:val="18"/>
              </w:rPr>
            </w:pPr>
            <w:r>
              <w:rPr>
                <w:b/>
                <w:w w:val="99"/>
                <w:sz w:val="18"/>
              </w:rPr>
              <w:t>Se</w:t>
            </w:r>
            <w:r>
              <w:rPr>
                <w:b/>
                <w:sz w:val="18"/>
              </w:rPr>
              <w:t>g</w:t>
            </w:r>
            <w:r>
              <w:rPr>
                <w:b/>
                <w:spacing w:val="1"/>
                <w:sz w:val="18"/>
              </w:rPr>
              <w:t>m</w:t>
            </w:r>
            <w:r>
              <w:rPr>
                <w:b/>
                <w:w w:val="99"/>
                <w:sz w:val="18"/>
              </w:rPr>
              <w:t>e</w:t>
            </w:r>
            <w:r>
              <w:rPr>
                <w:b/>
                <w:w w:val="100"/>
                <w:sz w:val="18"/>
              </w:rPr>
              <w:t>nt No.</w:t>
            </w:r>
          </w:p>
        </w:tc>
        <w:tc>
          <w:tcPr>
            <w:tcW w:w="1836" w:type="dxa"/>
            <w:gridSpan w:val="2"/>
            <w:tcBorders>
              <w:left w:val="single" w:sz="4" w:space="0" w:color="000000"/>
              <w:bottom w:val="single" w:sz="4" w:space="0" w:color="000000"/>
              <w:right w:val="single" w:sz="4" w:space="0" w:color="000000"/>
            </w:tcBorders>
            <w:shd w:val="clear" w:color="auto" w:fill="D9D9D9"/>
          </w:tcPr>
          <w:p>
            <w:pPr>
              <w:pStyle w:val="TableParagraph"/>
              <w:ind w:left="386"/>
              <w:rPr>
                <w:b/>
                <w:sz w:val="18"/>
              </w:rPr>
            </w:pPr>
            <w:r>
              <w:rPr>
                <w:b/>
                <w:sz w:val="18"/>
              </w:rPr>
              <w:t>Coordinates</w:t>
            </w:r>
          </w:p>
        </w:tc>
        <w:tc>
          <w:tcPr>
            <w:tcW w:w="1400" w:type="dxa"/>
            <w:vMerge w:val="restart"/>
            <w:tcBorders>
              <w:left w:val="single" w:sz="4" w:space="0" w:color="000000"/>
              <w:right w:val="single" w:sz="4" w:space="0" w:color="000000"/>
            </w:tcBorders>
            <w:shd w:val="clear" w:color="auto" w:fill="D9D9D9"/>
          </w:tcPr>
          <w:p>
            <w:pPr>
              <w:pStyle w:val="TableParagraph"/>
              <w:ind w:left="448" w:right="158" w:hanging="276"/>
              <w:rPr>
                <w:b/>
                <w:sz w:val="18"/>
              </w:rPr>
            </w:pPr>
            <w:r>
              <w:rPr>
                <w:b/>
                <w:sz w:val="18"/>
              </w:rPr>
              <w:t>Respondent Name</w:t>
            </w:r>
          </w:p>
        </w:tc>
        <w:tc>
          <w:tcPr>
            <w:tcW w:w="1224" w:type="dxa"/>
            <w:vMerge w:val="restart"/>
            <w:tcBorders>
              <w:left w:val="single" w:sz="4" w:space="0" w:color="000000"/>
              <w:right w:val="single" w:sz="4" w:space="0" w:color="000000"/>
            </w:tcBorders>
            <w:shd w:val="clear" w:color="auto" w:fill="D9D9D9"/>
          </w:tcPr>
          <w:p>
            <w:pPr>
              <w:pStyle w:val="TableParagraph"/>
              <w:ind w:left="362" w:right="243" w:hanging="104"/>
              <w:rPr>
                <w:b/>
                <w:sz w:val="18"/>
              </w:rPr>
            </w:pPr>
            <w:r>
              <w:rPr>
                <w:b/>
                <w:sz w:val="18"/>
              </w:rPr>
              <w:t>Father's Name</w:t>
            </w:r>
          </w:p>
        </w:tc>
        <w:tc>
          <w:tcPr>
            <w:tcW w:w="1538" w:type="dxa"/>
            <w:vMerge w:val="restart"/>
            <w:tcBorders>
              <w:left w:val="single" w:sz="4" w:space="0" w:color="000000"/>
              <w:right w:val="single" w:sz="4" w:space="0" w:color="000000"/>
            </w:tcBorders>
            <w:shd w:val="clear" w:color="auto" w:fill="D9D9D9"/>
          </w:tcPr>
          <w:p>
            <w:pPr>
              <w:pStyle w:val="TableParagraph"/>
              <w:ind w:left="38" w:right="70"/>
              <w:rPr>
                <w:b/>
                <w:sz w:val="18"/>
              </w:rPr>
            </w:pPr>
            <w:r>
              <w:rPr>
                <w:b/>
                <w:sz w:val="18"/>
              </w:rPr>
              <w:t>Respondent NIC No.</w:t>
            </w:r>
          </w:p>
        </w:tc>
        <w:tc>
          <w:tcPr>
            <w:tcW w:w="1344" w:type="dxa"/>
            <w:vMerge w:val="restart"/>
            <w:tcBorders>
              <w:left w:val="single" w:sz="4" w:space="0" w:color="000000"/>
              <w:right w:val="single" w:sz="4" w:space="0" w:color="000000"/>
            </w:tcBorders>
            <w:shd w:val="clear" w:color="auto" w:fill="D9D9D9"/>
          </w:tcPr>
          <w:p>
            <w:pPr>
              <w:pStyle w:val="TableParagraph"/>
              <w:ind w:left="335" w:right="186" w:hanging="137"/>
              <w:rPr>
                <w:b/>
                <w:sz w:val="18"/>
              </w:rPr>
            </w:pPr>
            <w:r>
              <w:rPr>
                <w:b/>
                <w:sz w:val="18"/>
              </w:rPr>
              <w:t>Address in Karachi</w:t>
            </w:r>
          </w:p>
        </w:tc>
        <w:tc>
          <w:tcPr>
            <w:tcW w:w="1747" w:type="dxa"/>
            <w:vMerge w:val="restart"/>
            <w:tcBorders>
              <w:left w:val="single" w:sz="4" w:space="0" w:color="000000"/>
              <w:right w:val="single" w:sz="4" w:space="0" w:color="000000"/>
            </w:tcBorders>
            <w:shd w:val="clear" w:color="auto" w:fill="D9D9D9"/>
          </w:tcPr>
          <w:p>
            <w:pPr>
              <w:pStyle w:val="TableParagraph"/>
              <w:ind w:left="127"/>
              <w:rPr>
                <w:b/>
                <w:sz w:val="18"/>
              </w:rPr>
            </w:pPr>
            <w:r>
              <w:rPr>
                <w:b/>
                <w:sz w:val="18"/>
              </w:rPr>
              <w:t>Vending Address</w:t>
            </w:r>
          </w:p>
        </w:tc>
        <w:tc>
          <w:tcPr>
            <w:tcW w:w="1217" w:type="dxa"/>
            <w:vMerge w:val="restart"/>
            <w:tcBorders>
              <w:left w:val="single" w:sz="4" w:space="0" w:color="000000"/>
              <w:right w:val="single" w:sz="4" w:space="0" w:color="000000"/>
            </w:tcBorders>
            <w:shd w:val="clear" w:color="auto" w:fill="D9D9D9"/>
          </w:tcPr>
          <w:p>
            <w:pPr>
              <w:pStyle w:val="TableParagraph"/>
              <w:ind w:left="148"/>
              <w:rPr>
                <w:b/>
                <w:sz w:val="18"/>
              </w:rPr>
            </w:pPr>
            <w:r>
              <w:rPr>
                <w:b/>
                <w:sz w:val="18"/>
              </w:rPr>
              <w:t>Mobile No.</w:t>
            </w:r>
          </w:p>
        </w:tc>
        <w:tc>
          <w:tcPr>
            <w:tcW w:w="1262" w:type="dxa"/>
            <w:vMerge w:val="restart"/>
            <w:tcBorders>
              <w:left w:val="single" w:sz="4" w:space="0" w:color="000000"/>
              <w:right w:val="single" w:sz="4" w:space="0" w:color="000000"/>
            </w:tcBorders>
            <w:shd w:val="clear" w:color="auto" w:fill="D9D9D9"/>
          </w:tcPr>
          <w:p>
            <w:pPr>
              <w:pStyle w:val="TableParagraph"/>
              <w:ind w:left="105" w:right="104" w:hanging="2"/>
              <w:jc w:val="center"/>
              <w:rPr>
                <w:b/>
                <w:sz w:val="18"/>
              </w:rPr>
            </w:pPr>
            <w:r>
              <w:rPr>
                <w:b/>
                <w:sz w:val="18"/>
              </w:rPr>
              <w:t>Kind of Goods Sale/ Service</w:t>
            </w:r>
          </w:p>
        </w:tc>
        <w:tc>
          <w:tcPr>
            <w:tcW w:w="1150" w:type="dxa"/>
            <w:vMerge w:val="restart"/>
            <w:tcBorders>
              <w:left w:val="single" w:sz="4" w:space="0" w:color="000000"/>
            </w:tcBorders>
            <w:shd w:val="clear" w:color="auto" w:fill="D9D9D9"/>
          </w:tcPr>
          <w:p>
            <w:pPr>
              <w:pStyle w:val="TableParagraph"/>
              <w:ind w:left="170" w:right="140" w:firstLine="79"/>
              <w:rPr>
                <w:b/>
                <w:sz w:val="18"/>
              </w:rPr>
            </w:pPr>
            <w:r>
              <w:rPr>
                <w:b/>
                <w:sz w:val="18"/>
              </w:rPr>
              <w:t>Type of Structure</w:t>
            </w:r>
          </w:p>
        </w:tc>
      </w:tr>
      <w:tr>
        <w:trPr>
          <w:trHeight w:val="540" w:hRule="exact"/>
        </w:trPr>
        <w:tc>
          <w:tcPr>
            <w:tcW w:w="394" w:type="dxa"/>
            <w:vMerge/>
            <w:tcBorders>
              <w:bottom w:val="single" w:sz="4" w:space="0" w:color="000000"/>
              <w:right w:val="single" w:sz="4" w:space="0" w:color="000000"/>
            </w:tcBorders>
            <w:shd w:val="clear" w:color="auto" w:fill="D9D9D9"/>
          </w:tcPr>
          <w:p>
            <w:pPr/>
          </w:p>
        </w:tc>
        <w:tc>
          <w:tcPr>
            <w:tcW w:w="526" w:type="dxa"/>
            <w:vMerge/>
            <w:tcBorders>
              <w:left w:val="single" w:sz="4" w:space="0" w:color="000000"/>
              <w:bottom w:val="single" w:sz="4" w:space="0" w:color="000000"/>
              <w:right w:val="single" w:sz="4" w:space="0" w:color="000000"/>
            </w:tcBorders>
            <w:shd w:val="clear" w:color="auto" w:fill="D9D9D9"/>
            <w:textDirection w:val="btLr"/>
          </w:tcPr>
          <w:p>
            <w:pPr/>
          </w:p>
        </w:tc>
        <w:tc>
          <w:tcPr>
            <w:tcW w:w="91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160"/>
              <w:ind w:left="74"/>
              <w:rPr>
                <w:b/>
                <w:sz w:val="18"/>
              </w:rPr>
            </w:pPr>
            <w:r>
              <w:rPr>
                <w:b/>
                <w:sz w:val="18"/>
              </w:rPr>
              <w:t>Northing</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160"/>
              <w:ind w:left="37" w:right="37"/>
              <w:jc w:val="center"/>
              <w:rPr>
                <w:b/>
                <w:sz w:val="18"/>
              </w:rPr>
            </w:pPr>
            <w:r>
              <w:rPr>
                <w:b/>
                <w:sz w:val="18"/>
              </w:rPr>
              <w:t>Easting</w:t>
            </w:r>
          </w:p>
        </w:tc>
        <w:tc>
          <w:tcPr>
            <w:tcW w:w="1400" w:type="dxa"/>
            <w:vMerge/>
            <w:tcBorders>
              <w:left w:val="single" w:sz="4" w:space="0" w:color="000000"/>
              <w:bottom w:val="single" w:sz="4" w:space="0" w:color="000000"/>
              <w:right w:val="single" w:sz="4" w:space="0" w:color="000000"/>
            </w:tcBorders>
            <w:shd w:val="clear" w:color="auto" w:fill="D9D9D9"/>
          </w:tcPr>
          <w:p>
            <w:pPr/>
          </w:p>
        </w:tc>
        <w:tc>
          <w:tcPr>
            <w:tcW w:w="1224" w:type="dxa"/>
            <w:vMerge/>
            <w:tcBorders>
              <w:left w:val="single" w:sz="4" w:space="0" w:color="000000"/>
              <w:bottom w:val="single" w:sz="4" w:space="0" w:color="000000"/>
              <w:right w:val="single" w:sz="4" w:space="0" w:color="000000"/>
            </w:tcBorders>
            <w:shd w:val="clear" w:color="auto" w:fill="D9D9D9"/>
          </w:tcPr>
          <w:p>
            <w:pPr/>
          </w:p>
        </w:tc>
        <w:tc>
          <w:tcPr>
            <w:tcW w:w="1538" w:type="dxa"/>
            <w:vMerge/>
            <w:tcBorders>
              <w:left w:val="single" w:sz="4" w:space="0" w:color="000000"/>
              <w:bottom w:val="single" w:sz="4" w:space="0" w:color="000000"/>
              <w:right w:val="single" w:sz="4" w:space="0" w:color="000000"/>
            </w:tcBorders>
            <w:shd w:val="clear" w:color="auto" w:fill="D9D9D9"/>
          </w:tcPr>
          <w:p>
            <w:pPr/>
          </w:p>
        </w:tc>
        <w:tc>
          <w:tcPr>
            <w:tcW w:w="1344" w:type="dxa"/>
            <w:vMerge/>
            <w:tcBorders>
              <w:left w:val="single" w:sz="4" w:space="0" w:color="000000"/>
              <w:bottom w:val="single" w:sz="4" w:space="0" w:color="000000"/>
              <w:right w:val="single" w:sz="4" w:space="0" w:color="000000"/>
            </w:tcBorders>
            <w:shd w:val="clear" w:color="auto" w:fill="D9D9D9"/>
          </w:tcPr>
          <w:p>
            <w:pPr/>
          </w:p>
        </w:tc>
        <w:tc>
          <w:tcPr>
            <w:tcW w:w="1747" w:type="dxa"/>
            <w:vMerge/>
            <w:tcBorders>
              <w:left w:val="single" w:sz="4" w:space="0" w:color="000000"/>
              <w:bottom w:val="single" w:sz="4" w:space="0" w:color="000000"/>
              <w:right w:val="single" w:sz="4" w:space="0" w:color="000000"/>
            </w:tcBorders>
            <w:shd w:val="clear" w:color="auto" w:fill="D9D9D9"/>
          </w:tcPr>
          <w:p>
            <w:pPr/>
          </w:p>
        </w:tc>
        <w:tc>
          <w:tcPr>
            <w:tcW w:w="1217" w:type="dxa"/>
            <w:vMerge/>
            <w:tcBorders>
              <w:left w:val="single" w:sz="4" w:space="0" w:color="000000"/>
              <w:bottom w:val="single" w:sz="4" w:space="0" w:color="000000"/>
              <w:right w:val="single" w:sz="4" w:space="0" w:color="000000"/>
            </w:tcBorders>
            <w:shd w:val="clear" w:color="auto" w:fill="D9D9D9"/>
          </w:tcPr>
          <w:p>
            <w:pPr/>
          </w:p>
        </w:tc>
        <w:tc>
          <w:tcPr>
            <w:tcW w:w="1262" w:type="dxa"/>
            <w:vMerge/>
            <w:tcBorders>
              <w:left w:val="single" w:sz="4" w:space="0" w:color="000000"/>
              <w:bottom w:val="single" w:sz="4" w:space="0" w:color="000000"/>
              <w:right w:val="single" w:sz="4" w:space="0" w:color="000000"/>
            </w:tcBorders>
            <w:shd w:val="clear" w:color="auto" w:fill="D9D9D9"/>
          </w:tcPr>
          <w:p>
            <w:pPr/>
          </w:p>
        </w:tc>
        <w:tc>
          <w:tcPr>
            <w:tcW w:w="1150" w:type="dxa"/>
            <w:vMerge/>
            <w:tcBorders>
              <w:left w:val="single" w:sz="4" w:space="0" w:color="000000"/>
              <w:bottom w:val="single" w:sz="4" w:space="0" w:color="000000"/>
            </w:tcBorders>
            <w:shd w:val="clear" w:color="auto" w:fill="D9D9D9"/>
          </w:tcPr>
          <w:p>
            <w:pPr/>
          </w:p>
        </w:tc>
      </w:tr>
      <w:tr>
        <w:trPr>
          <w:trHeight w:val="751"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42</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2</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24 50.347</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67 07.299</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ight="381"/>
              <w:rPr>
                <w:sz w:val="18"/>
              </w:rPr>
            </w:pPr>
            <w:r>
              <w:rPr>
                <w:sz w:val="18"/>
              </w:rPr>
              <w:t>Muhammad Umar</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Rahim Khan</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21104-4484466-9</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ight="419"/>
              <w:rPr>
                <w:sz w:val="18"/>
              </w:rPr>
            </w:pPr>
            <w:r>
              <w:rPr>
                <w:sz w:val="18"/>
              </w:rPr>
              <w:t>Dawood Chowrangi</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Shan Chowrangi</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03063636926</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ight="124"/>
              <w:rPr>
                <w:sz w:val="18"/>
              </w:rPr>
            </w:pPr>
            <w:r>
              <w:rPr>
                <w:sz w:val="18"/>
              </w:rPr>
              <w:t>Sun Glasses, Helmet and Used Bags</w:t>
            </w:r>
          </w:p>
        </w:tc>
        <w:tc>
          <w:tcPr>
            <w:tcW w:w="1150" w:type="dxa"/>
            <w:tcBorders>
              <w:top w:val="single" w:sz="4" w:space="0" w:color="000000"/>
              <w:left w:val="single" w:sz="4" w:space="0" w:color="000000"/>
              <w:bottom w:val="single" w:sz="4" w:space="0" w:color="000000"/>
            </w:tcBorders>
          </w:tcPr>
          <w:p>
            <w:pPr>
              <w:pStyle w:val="TableParagraph"/>
              <w:ind w:left="38"/>
              <w:rPr>
                <w:sz w:val="18"/>
              </w:rPr>
            </w:pPr>
            <w:r>
              <w:rPr>
                <w:sz w:val="18"/>
              </w:rPr>
              <w:t>Mobile Cart</w:t>
            </w:r>
          </w:p>
        </w:tc>
      </w:tr>
      <w:tr>
        <w:trPr>
          <w:trHeight w:val="752"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43</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2</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24 50.347</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8" w:right="37"/>
              <w:jc w:val="center"/>
              <w:rPr>
                <w:sz w:val="18"/>
              </w:rPr>
            </w:pPr>
            <w:r>
              <w:rPr>
                <w:sz w:val="18"/>
              </w:rPr>
              <w:t>67 07.299</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ight="381"/>
              <w:rPr>
                <w:sz w:val="18"/>
              </w:rPr>
            </w:pPr>
            <w:r>
              <w:rPr>
                <w:sz w:val="18"/>
              </w:rPr>
              <w:t>Peer Muhammad</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Gull Nawaz</w:t>
            </w:r>
          </w:p>
        </w:tc>
        <w:tc>
          <w:tcPr>
            <w:tcW w:w="1538" w:type="dxa"/>
            <w:tcBorders>
              <w:top w:val="single" w:sz="4" w:space="0" w:color="000000"/>
              <w:left w:val="single" w:sz="4" w:space="0" w:color="000000"/>
              <w:bottom w:val="single" w:sz="4" w:space="0" w:color="000000"/>
              <w:right w:val="single" w:sz="4" w:space="0" w:color="000000"/>
            </w:tcBorders>
          </w:tcPr>
          <w:p>
            <w:pP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Zia Colony</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Shan Chowrangi</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03003591064</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ight="124"/>
              <w:rPr>
                <w:sz w:val="18"/>
              </w:rPr>
            </w:pPr>
            <w:r>
              <w:rPr>
                <w:sz w:val="18"/>
              </w:rPr>
              <w:t>Sun Glasses, Helmet and Used Bags</w:t>
            </w:r>
          </w:p>
        </w:tc>
        <w:tc>
          <w:tcPr>
            <w:tcW w:w="1150" w:type="dxa"/>
            <w:tcBorders>
              <w:top w:val="single" w:sz="4" w:space="0" w:color="000000"/>
              <w:left w:val="single" w:sz="4" w:space="0" w:color="000000"/>
              <w:bottom w:val="single" w:sz="4" w:space="0" w:color="000000"/>
            </w:tcBorders>
          </w:tcPr>
          <w:p>
            <w:pPr>
              <w:pStyle w:val="TableParagraph"/>
              <w:ind w:left="38"/>
              <w:rPr>
                <w:sz w:val="18"/>
              </w:rPr>
            </w:pPr>
            <w:r>
              <w:rPr>
                <w:sz w:val="18"/>
              </w:rPr>
              <w:t>Mobile Cart</w:t>
            </w:r>
          </w:p>
        </w:tc>
      </w:tr>
      <w:tr>
        <w:trPr>
          <w:trHeight w:val="542"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44</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2</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24 50.632</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67 07.372</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Shakeel Ahmed</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Rustam Ali</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31303-6023764-5</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Mehran Town</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Shan Chowrangi</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03008777255</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ight="64"/>
              <w:rPr>
                <w:sz w:val="18"/>
              </w:rPr>
            </w:pPr>
            <w:r>
              <w:rPr>
                <w:sz w:val="18"/>
              </w:rPr>
              <w:t>Tyre Puncture Shop</w:t>
            </w:r>
          </w:p>
        </w:tc>
        <w:tc>
          <w:tcPr>
            <w:tcW w:w="1150" w:type="dxa"/>
            <w:tcBorders>
              <w:top w:val="single" w:sz="4" w:space="0" w:color="000000"/>
              <w:left w:val="single" w:sz="4" w:space="0" w:color="000000"/>
              <w:bottom w:val="single" w:sz="4" w:space="0" w:color="000000"/>
            </w:tcBorders>
          </w:tcPr>
          <w:p>
            <w:pPr>
              <w:pStyle w:val="TableParagraph"/>
              <w:ind w:left="38"/>
              <w:rPr>
                <w:sz w:val="18"/>
              </w:rPr>
            </w:pPr>
            <w:r>
              <w:rPr>
                <w:sz w:val="18"/>
              </w:rPr>
              <w:t>Kiosk</w:t>
            </w:r>
          </w:p>
        </w:tc>
      </w:tr>
      <w:tr>
        <w:trPr>
          <w:trHeight w:val="751"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45</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2</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24 50.475</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67 07.942</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Sher Khan</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Ghaffar Khan</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21104-7171348-3</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ight="529"/>
              <w:rPr>
                <w:sz w:val="18"/>
              </w:rPr>
            </w:pPr>
            <w:r>
              <w:rPr>
                <w:sz w:val="18"/>
              </w:rPr>
              <w:t>Sher Pao Colony</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Vita Chowrangi</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03022717527</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ight="124"/>
              <w:rPr>
                <w:sz w:val="18"/>
              </w:rPr>
            </w:pPr>
            <w:r>
              <w:rPr>
                <w:sz w:val="18"/>
              </w:rPr>
              <w:t>Sun Glasses, Helmet and Used Bags</w:t>
            </w:r>
          </w:p>
        </w:tc>
        <w:tc>
          <w:tcPr>
            <w:tcW w:w="1150" w:type="dxa"/>
            <w:tcBorders>
              <w:top w:val="single" w:sz="4" w:space="0" w:color="000000"/>
              <w:left w:val="single" w:sz="4" w:space="0" w:color="000000"/>
              <w:bottom w:val="single" w:sz="4" w:space="0" w:color="000000"/>
            </w:tcBorders>
          </w:tcPr>
          <w:p>
            <w:pPr>
              <w:pStyle w:val="TableParagraph"/>
              <w:ind w:left="38"/>
              <w:rPr>
                <w:sz w:val="18"/>
              </w:rPr>
            </w:pPr>
            <w:r>
              <w:rPr>
                <w:sz w:val="18"/>
              </w:rPr>
              <w:t>Mobile Cart</w:t>
            </w:r>
          </w:p>
        </w:tc>
      </w:tr>
      <w:tr>
        <w:trPr>
          <w:trHeight w:val="752"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46</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2</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24 50.309</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67 07.205</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ight="381"/>
              <w:rPr>
                <w:sz w:val="18"/>
              </w:rPr>
            </w:pPr>
            <w:r>
              <w:rPr>
                <w:sz w:val="18"/>
              </w:rPr>
              <w:t>Noor Muhammad</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Gulai</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42201-6020342-7</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Bilal Colony</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Shan Chowrangi</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03482359579</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ight="124"/>
              <w:rPr>
                <w:sz w:val="18"/>
              </w:rPr>
            </w:pPr>
            <w:r>
              <w:rPr>
                <w:sz w:val="18"/>
              </w:rPr>
              <w:t>Sun Glasses, Helmet and Used Bags</w:t>
            </w:r>
          </w:p>
        </w:tc>
        <w:tc>
          <w:tcPr>
            <w:tcW w:w="1150" w:type="dxa"/>
            <w:tcBorders>
              <w:top w:val="single" w:sz="4" w:space="0" w:color="000000"/>
              <w:left w:val="single" w:sz="4" w:space="0" w:color="000000"/>
              <w:bottom w:val="single" w:sz="4" w:space="0" w:color="000000"/>
            </w:tcBorders>
          </w:tcPr>
          <w:p>
            <w:pPr>
              <w:pStyle w:val="TableParagraph"/>
              <w:ind w:left="38"/>
              <w:rPr>
                <w:sz w:val="18"/>
              </w:rPr>
            </w:pPr>
            <w:r>
              <w:rPr>
                <w:sz w:val="18"/>
              </w:rPr>
              <w:t>Mobile Cart</w:t>
            </w:r>
          </w:p>
        </w:tc>
      </w:tr>
      <w:tr>
        <w:trPr>
          <w:trHeight w:val="545"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47</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1</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24 50.859</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67 12.726</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Uzair Khan</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Janat Gull</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17102-1754148-7</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ight="529"/>
              <w:rPr>
                <w:sz w:val="18"/>
              </w:rPr>
            </w:pPr>
            <w:r>
              <w:rPr>
                <w:sz w:val="18"/>
              </w:rPr>
              <w:t>Sher Pao Colony</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Dawood Chowrangi</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03488125515</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Fruit Cart</w:t>
            </w:r>
          </w:p>
        </w:tc>
        <w:tc>
          <w:tcPr>
            <w:tcW w:w="1150" w:type="dxa"/>
            <w:tcBorders>
              <w:top w:val="single" w:sz="4" w:space="0" w:color="000000"/>
              <w:left w:val="single" w:sz="4" w:space="0" w:color="000000"/>
              <w:bottom w:val="single" w:sz="4" w:space="0" w:color="000000"/>
            </w:tcBorders>
          </w:tcPr>
          <w:p>
            <w:pPr>
              <w:pStyle w:val="TableParagraph"/>
              <w:ind w:left="38"/>
              <w:rPr>
                <w:sz w:val="18"/>
              </w:rPr>
            </w:pPr>
            <w:r>
              <w:rPr>
                <w:sz w:val="18"/>
              </w:rPr>
              <w:t>Mobile Cart</w:t>
            </w:r>
          </w:p>
        </w:tc>
      </w:tr>
      <w:tr>
        <w:trPr>
          <w:trHeight w:val="542"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48</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1</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25 50.859</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8" w:right="37"/>
              <w:jc w:val="center"/>
              <w:rPr>
                <w:sz w:val="18"/>
              </w:rPr>
            </w:pPr>
            <w:r>
              <w:rPr>
                <w:sz w:val="18"/>
              </w:rPr>
              <w:t>67 12.727</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ight="501"/>
              <w:rPr>
                <w:sz w:val="18"/>
              </w:rPr>
            </w:pPr>
            <w:r>
              <w:rPr>
                <w:sz w:val="18"/>
              </w:rPr>
              <w:t>Kareem Mohiuddin</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ight="325"/>
              <w:rPr>
                <w:sz w:val="18"/>
              </w:rPr>
            </w:pPr>
            <w:r>
              <w:rPr>
                <w:sz w:val="18"/>
              </w:rPr>
              <w:t>Khawaja Mohiuddin</w:t>
            </w:r>
          </w:p>
        </w:tc>
        <w:tc>
          <w:tcPr>
            <w:tcW w:w="1538" w:type="dxa"/>
            <w:tcBorders>
              <w:top w:val="single" w:sz="4" w:space="0" w:color="000000"/>
              <w:left w:val="single" w:sz="4" w:space="0" w:color="000000"/>
              <w:bottom w:val="single" w:sz="4" w:space="0" w:color="000000"/>
              <w:right w:val="single" w:sz="4" w:space="0" w:color="000000"/>
            </w:tcBorders>
          </w:tcPr>
          <w:p>
            <w:pP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ight="159"/>
              <w:rPr>
                <w:sz w:val="18"/>
              </w:rPr>
            </w:pPr>
            <w:r>
              <w:rPr>
                <w:sz w:val="18"/>
              </w:rPr>
              <w:t>Moinabad No. 1</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Dawood Chowrangi</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left="38" w:right="48"/>
              <w:rPr>
                <w:sz w:val="18"/>
              </w:rPr>
            </w:pPr>
            <w:r>
              <w:rPr>
                <w:sz w:val="18"/>
              </w:rPr>
              <w:t>C/o 03122511878</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ight="534"/>
              <w:rPr>
                <w:sz w:val="18"/>
              </w:rPr>
            </w:pPr>
            <w:r>
              <w:rPr>
                <w:sz w:val="18"/>
              </w:rPr>
              <w:t>Samosa Pikora</w:t>
            </w:r>
          </w:p>
        </w:tc>
        <w:tc>
          <w:tcPr>
            <w:tcW w:w="1150" w:type="dxa"/>
            <w:tcBorders>
              <w:top w:val="single" w:sz="4" w:space="0" w:color="000000"/>
              <w:left w:val="single" w:sz="4" w:space="0" w:color="000000"/>
              <w:bottom w:val="single" w:sz="4" w:space="0" w:color="000000"/>
            </w:tcBorders>
          </w:tcPr>
          <w:p>
            <w:pPr>
              <w:pStyle w:val="TableParagraph"/>
              <w:ind w:left="38"/>
              <w:rPr>
                <w:sz w:val="18"/>
              </w:rPr>
            </w:pPr>
            <w:r>
              <w:rPr>
                <w:sz w:val="18"/>
              </w:rPr>
              <w:t>Mobile Cart</w:t>
            </w:r>
          </w:p>
        </w:tc>
      </w:tr>
      <w:tr>
        <w:trPr>
          <w:trHeight w:val="545"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49</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1</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26 50.859</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67 12.728</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Syed Sultan Ali</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ight="225"/>
              <w:rPr>
                <w:sz w:val="18"/>
              </w:rPr>
            </w:pPr>
            <w:r>
              <w:rPr>
                <w:sz w:val="18"/>
              </w:rPr>
              <w:t>Syed Turab Ali</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42501-1410930-5</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ight="159"/>
              <w:rPr>
                <w:sz w:val="18"/>
              </w:rPr>
            </w:pPr>
            <w:r>
              <w:rPr>
                <w:sz w:val="18"/>
              </w:rPr>
              <w:t>Moinabad No. 1</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Dawood Chowrangi</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left="38" w:right="48"/>
              <w:rPr>
                <w:sz w:val="18"/>
              </w:rPr>
            </w:pPr>
            <w:r>
              <w:rPr>
                <w:sz w:val="18"/>
              </w:rPr>
              <w:t>C/o 03122511878</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Fruit Cart</w:t>
            </w:r>
          </w:p>
        </w:tc>
        <w:tc>
          <w:tcPr>
            <w:tcW w:w="1150" w:type="dxa"/>
            <w:tcBorders>
              <w:top w:val="single" w:sz="4" w:space="0" w:color="000000"/>
              <w:left w:val="single" w:sz="4" w:space="0" w:color="000000"/>
              <w:bottom w:val="single" w:sz="4" w:space="0" w:color="000000"/>
            </w:tcBorders>
          </w:tcPr>
          <w:p>
            <w:pPr>
              <w:pStyle w:val="TableParagraph"/>
              <w:ind w:left="38"/>
              <w:rPr>
                <w:sz w:val="18"/>
              </w:rPr>
            </w:pPr>
            <w:r>
              <w:rPr>
                <w:sz w:val="18"/>
              </w:rPr>
              <w:t>Mobile Cart</w:t>
            </w:r>
          </w:p>
        </w:tc>
      </w:tr>
      <w:tr>
        <w:trPr>
          <w:trHeight w:val="545"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50</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1</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27 50.859</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67 12.729</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Ikram Ullah</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Umer Khan</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21703-2958140-3</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ight="159"/>
              <w:rPr>
                <w:sz w:val="18"/>
              </w:rPr>
            </w:pPr>
            <w:r>
              <w:rPr>
                <w:sz w:val="18"/>
              </w:rPr>
              <w:t>Moinabad No. 1</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Dawood Chowrangi</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03489333735</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ight="324"/>
              <w:rPr>
                <w:sz w:val="18"/>
              </w:rPr>
            </w:pPr>
            <w:r>
              <w:rPr>
                <w:sz w:val="18"/>
              </w:rPr>
              <w:t>Sugarcane Pieces</w:t>
            </w:r>
          </w:p>
        </w:tc>
        <w:tc>
          <w:tcPr>
            <w:tcW w:w="1150" w:type="dxa"/>
            <w:tcBorders>
              <w:top w:val="single" w:sz="4" w:space="0" w:color="000000"/>
              <w:left w:val="single" w:sz="4" w:space="0" w:color="000000"/>
              <w:bottom w:val="single" w:sz="4" w:space="0" w:color="000000"/>
            </w:tcBorders>
          </w:tcPr>
          <w:p>
            <w:pPr>
              <w:pStyle w:val="TableParagraph"/>
              <w:ind w:left="38"/>
              <w:rPr>
                <w:sz w:val="18"/>
              </w:rPr>
            </w:pPr>
            <w:r>
              <w:rPr>
                <w:sz w:val="18"/>
              </w:rPr>
              <w:t>Mobile Cart</w:t>
            </w:r>
          </w:p>
        </w:tc>
      </w:tr>
      <w:tr>
        <w:trPr>
          <w:trHeight w:val="542"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51</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1</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28 50.859</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67 12.730</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ight="381"/>
              <w:rPr>
                <w:sz w:val="18"/>
              </w:rPr>
            </w:pPr>
            <w:r>
              <w:rPr>
                <w:sz w:val="18"/>
              </w:rPr>
              <w:t>Muhammad Shafique</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Khalil Khan</w:t>
            </w:r>
          </w:p>
        </w:tc>
        <w:tc>
          <w:tcPr>
            <w:tcW w:w="1538" w:type="dxa"/>
            <w:tcBorders>
              <w:top w:val="single" w:sz="4" w:space="0" w:color="000000"/>
              <w:left w:val="single" w:sz="4" w:space="0" w:color="000000"/>
              <w:bottom w:val="single" w:sz="4" w:space="0" w:color="000000"/>
              <w:right w:val="single" w:sz="4" w:space="0" w:color="000000"/>
            </w:tcBorders>
          </w:tcPr>
          <w:p>
            <w:pP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ight="179"/>
              <w:rPr>
                <w:sz w:val="18"/>
              </w:rPr>
            </w:pPr>
            <w:r>
              <w:rPr>
                <w:sz w:val="18"/>
              </w:rPr>
              <w:t>Muzaffarabad Colony</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Dawood Chowrangi</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03442293679</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Fruit Cart</w:t>
            </w:r>
          </w:p>
        </w:tc>
        <w:tc>
          <w:tcPr>
            <w:tcW w:w="1150" w:type="dxa"/>
            <w:tcBorders>
              <w:top w:val="single" w:sz="4" w:space="0" w:color="000000"/>
              <w:left w:val="single" w:sz="4" w:space="0" w:color="000000"/>
              <w:bottom w:val="single" w:sz="4" w:space="0" w:color="000000"/>
            </w:tcBorders>
          </w:tcPr>
          <w:p>
            <w:pPr>
              <w:pStyle w:val="TableParagraph"/>
              <w:ind w:left="38"/>
              <w:rPr>
                <w:sz w:val="18"/>
              </w:rPr>
            </w:pPr>
            <w:r>
              <w:rPr>
                <w:sz w:val="18"/>
              </w:rPr>
              <w:t>Mobile Cart</w:t>
            </w:r>
          </w:p>
        </w:tc>
      </w:tr>
      <w:tr>
        <w:trPr>
          <w:trHeight w:val="545"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52</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1</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29 50.859</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67 12.731</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ight="381"/>
              <w:rPr>
                <w:sz w:val="18"/>
              </w:rPr>
            </w:pPr>
            <w:r>
              <w:rPr>
                <w:sz w:val="18"/>
              </w:rPr>
              <w:t>Muhammad Hamza</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ight="206"/>
              <w:rPr>
                <w:sz w:val="18"/>
              </w:rPr>
            </w:pPr>
            <w:r>
              <w:rPr>
                <w:sz w:val="18"/>
              </w:rPr>
              <w:t>Mohammad Ibrahim</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42501-6108091-9</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ight="159"/>
              <w:rPr>
                <w:sz w:val="18"/>
              </w:rPr>
            </w:pPr>
            <w:r>
              <w:rPr>
                <w:sz w:val="18"/>
              </w:rPr>
              <w:t>Moinabad No. 2</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Dawood Chowrangi</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03158125707</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Fruit Cart</w:t>
            </w:r>
          </w:p>
        </w:tc>
        <w:tc>
          <w:tcPr>
            <w:tcW w:w="1150" w:type="dxa"/>
            <w:tcBorders>
              <w:top w:val="single" w:sz="4" w:space="0" w:color="000000"/>
              <w:left w:val="single" w:sz="4" w:space="0" w:color="000000"/>
              <w:bottom w:val="single" w:sz="4" w:space="0" w:color="000000"/>
            </w:tcBorders>
          </w:tcPr>
          <w:p>
            <w:pPr>
              <w:pStyle w:val="TableParagraph"/>
              <w:ind w:left="38"/>
              <w:rPr>
                <w:sz w:val="18"/>
              </w:rPr>
            </w:pPr>
            <w:r>
              <w:rPr>
                <w:sz w:val="18"/>
              </w:rPr>
              <w:t>Mobile Cart</w:t>
            </w:r>
          </w:p>
        </w:tc>
      </w:tr>
      <w:tr>
        <w:trPr>
          <w:trHeight w:val="552" w:hRule="exact"/>
        </w:trPr>
        <w:tc>
          <w:tcPr>
            <w:tcW w:w="394" w:type="dxa"/>
            <w:tcBorders>
              <w:top w:val="single" w:sz="4" w:space="0" w:color="000000"/>
              <w:right w:val="single" w:sz="4" w:space="0" w:color="000000"/>
            </w:tcBorders>
          </w:tcPr>
          <w:p>
            <w:pPr>
              <w:pStyle w:val="TableParagraph"/>
              <w:ind w:left="63" w:right="70"/>
              <w:jc w:val="center"/>
              <w:rPr>
                <w:sz w:val="18"/>
              </w:rPr>
            </w:pPr>
            <w:r>
              <w:rPr>
                <w:sz w:val="18"/>
              </w:rPr>
              <w:t>53</w:t>
            </w:r>
          </w:p>
        </w:tc>
        <w:tc>
          <w:tcPr>
            <w:tcW w:w="526" w:type="dxa"/>
            <w:tcBorders>
              <w:top w:val="single" w:sz="4" w:space="0" w:color="000000"/>
              <w:left w:val="single" w:sz="4" w:space="0" w:color="000000"/>
              <w:right w:val="single" w:sz="4" w:space="0" w:color="000000"/>
            </w:tcBorders>
          </w:tcPr>
          <w:p>
            <w:pPr>
              <w:pStyle w:val="TableParagraph"/>
              <w:ind w:right="1"/>
              <w:jc w:val="center"/>
              <w:rPr>
                <w:sz w:val="18"/>
              </w:rPr>
            </w:pPr>
            <w:r>
              <w:rPr>
                <w:w w:val="99"/>
                <w:sz w:val="18"/>
              </w:rPr>
              <w:t>1</w:t>
            </w:r>
          </w:p>
        </w:tc>
        <w:tc>
          <w:tcPr>
            <w:tcW w:w="910" w:type="dxa"/>
            <w:tcBorders>
              <w:top w:val="single" w:sz="4" w:space="0" w:color="000000"/>
              <w:left w:val="single" w:sz="4" w:space="0" w:color="000000"/>
              <w:right w:val="single" w:sz="4" w:space="0" w:color="000000"/>
            </w:tcBorders>
          </w:tcPr>
          <w:p>
            <w:pPr>
              <w:pStyle w:val="TableParagraph"/>
              <w:ind w:left="47"/>
              <w:rPr>
                <w:sz w:val="18"/>
              </w:rPr>
            </w:pPr>
            <w:r>
              <w:rPr>
                <w:sz w:val="18"/>
              </w:rPr>
              <w:t>30 50.859</w:t>
            </w:r>
          </w:p>
        </w:tc>
        <w:tc>
          <w:tcPr>
            <w:tcW w:w="926" w:type="dxa"/>
            <w:tcBorders>
              <w:top w:val="single" w:sz="4" w:space="0" w:color="000000"/>
              <w:left w:val="single" w:sz="4" w:space="0" w:color="000000"/>
              <w:right w:val="single" w:sz="4" w:space="0" w:color="000000"/>
            </w:tcBorders>
          </w:tcPr>
          <w:p>
            <w:pPr>
              <w:pStyle w:val="TableParagraph"/>
              <w:ind w:left="37" w:right="37"/>
              <w:jc w:val="center"/>
              <w:rPr>
                <w:sz w:val="18"/>
              </w:rPr>
            </w:pPr>
            <w:r>
              <w:rPr>
                <w:sz w:val="18"/>
              </w:rPr>
              <w:t>67 12.732</w:t>
            </w:r>
          </w:p>
        </w:tc>
        <w:tc>
          <w:tcPr>
            <w:tcW w:w="1400" w:type="dxa"/>
            <w:tcBorders>
              <w:top w:val="single" w:sz="4" w:space="0" w:color="000000"/>
              <w:left w:val="single" w:sz="4" w:space="0" w:color="000000"/>
              <w:right w:val="single" w:sz="4" w:space="0" w:color="000000"/>
            </w:tcBorders>
          </w:tcPr>
          <w:p>
            <w:pPr>
              <w:pStyle w:val="TableParagraph"/>
              <w:ind w:left="38"/>
              <w:rPr>
                <w:sz w:val="18"/>
              </w:rPr>
            </w:pPr>
            <w:r>
              <w:rPr>
                <w:sz w:val="18"/>
              </w:rPr>
              <w:t>Faisal</w:t>
            </w:r>
          </w:p>
        </w:tc>
        <w:tc>
          <w:tcPr>
            <w:tcW w:w="1224" w:type="dxa"/>
            <w:tcBorders>
              <w:top w:val="single" w:sz="4" w:space="0" w:color="000000"/>
              <w:left w:val="single" w:sz="4" w:space="0" w:color="000000"/>
              <w:right w:val="single" w:sz="4" w:space="0" w:color="000000"/>
            </w:tcBorders>
          </w:tcPr>
          <w:p>
            <w:pPr>
              <w:pStyle w:val="TableParagraph"/>
              <w:ind w:left="38" w:right="455"/>
              <w:rPr>
                <w:sz w:val="18"/>
              </w:rPr>
            </w:pPr>
            <w:r>
              <w:rPr>
                <w:sz w:val="18"/>
              </w:rPr>
              <w:t>Ghareeb Ullah</w:t>
            </w:r>
          </w:p>
        </w:tc>
        <w:tc>
          <w:tcPr>
            <w:tcW w:w="1538" w:type="dxa"/>
            <w:tcBorders>
              <w:top w:val="single" w:sz="4" w:space="0" w:color="000000"/>
              <w:left w:val="single" w:sz="4" w:space="0" w:color="000000"/>
              <w:right w:val="single" w:sz="4" w:space="0" w:color="000000"/>
            </w:tcBorders>
          </w:tcPr>
          <w:p>
            <w:pPr/>
          </w:p>
        </w:tc>
        <w:tc>
          <w:tcPr>
            <w:tcW w:w="1344" w:type="dxa"/>
            <w:tcBorders>
              <w:top w:val="single" w:sz="4" w:space="0" w:color="000000"/>
              <w:left w:val="single" w:sz="4" w:space="0" w:color="000000"/>
              <w:right w:val="single" w:sz="4" w:space="0" w:color="000000"/>
            </w:tcBorders>
          </w:tcPr>
          <w:p>
            <w:pPr>
              <w:pStyle w:val="TableParagraph"/>
              <w:ind w:left="35" w:right="529"/>
              <w:rPr>
                <w:sz w:val="18"/>
              </w:rPr>
            </w:pPr>
            <w:r>
              <w:rPr>
                <w:sz w:val="18"/>
              </w:rPr>
              <w:t>Sher Pao Colony</w:t>
            </w:r>
          </w:p>
        </w:tc>
        <w:tc>
          <w:tcPr>
            <w:tcW w:w="1747" w:type="dxa"/>
            <w:tcBorders>
              <w:top w:val="single" w:sz="4" w:space="0" w:color="000000"/>
              <w:left w:val="single" w:sz="4" w:space="0" w:color="000000"/>
              <w:right w:val="single" w:sz="4" w:space="0" w:color="000000"/>
            </w:tcBorders>
          </w:tcPr>
          <w:p>
            <w:pPr>
              <w:pStyle w:val="TableParagraph"/>
              <w:ind w:left="38"/>
              <w:rPr>
                <w:sz w:val="18"/>
              </w:rPr>
            </w:pPr>
            <w:r>
              <w:rPr>
                <w:sz w:val="18"/>
              </w:rPr>
              <w:t>Dawood Chowrangi</w:t>
            </w:r>
          </w:p>
        </w:tc>
        <w:tc>
          <w:tcPr>
            <w:tcW w:w="1217" w:type="dxa"/>
            <w:tcBorders>
              <w:top w:val="single" w:sz="4" w:space="0" w:color="000000"/>
              <w:left w:val="single" w:sz="4" w:space="0" w:color="000000"/>
              <w:right w:val="single" w:sz="4" w:space="0" w:color="000000"/>
            </w:tcBorders>
          </w:tcPr>
          <w:p>
            <w:pPr>
              <w:pStyle w:val="TableParagraph"/>
              <w:ind w:right="65"/>
              <w:jc w:val="right"/>
              <w:rPr>
                <w:sz w:val="18"/>
              </w:rPr>
            </w:pPr>
            <w:r>
              <w:rPr>
                <w:sz w:val="18"/>
              </w:rPr>
              <w:t>03425010164</w:t>
            </w:r>
          </w:p>
        </w:tc>
        <w:tc>
          <w:tcPr>
            <w:tcW w:w="1262" w:type="dxa"/>
            <w:tcBorders>
              <w:top w:val="single" w:sz="4" w:space="0" w:color="000000"/>
              <w:left w:val="single" w:sz="4" w:space="0" w:color="000000"/>
              <w:right w:val="single" w:sz="4" w:space="0" w:color="000000"/>
            </w:tcBorders>
          </w:tcPr>
          <w:p>
            <w:pPr>
              <w:pStyle w:val="TableParagraph"/>
              <w:ind w:left="38"/>
              <w:rPr>
                <w:sz w:val="18"/>
              </w:rPr>
            </w:pPr>
            <w:r>
              <w:rPr>
                <w:sz w:val="18"/>
              </w:rPr>
              <w:t>Fruit Cart</w:t>
            </w:r>
          </w:p>
        </w:tc>
        <w:tc>
          <w:tcPr>
            <w:tcW w:w="1150" w:type="dxa"/>
            <w:tcBorders>
              <w:top w:val="single" w:sz="4" w:space="0" w:color="000000"/>
              <w:left w:val="single" w:sz="4" w:space="0" w:color="000000"/>
            </w:tcBorders>
          </w:tcPr>
          <w:p>
            <w:pPr>
              <w:pStyle w:val="TableParagraph"/>
              <w:ind w:left="38"/>
              <w:rPr>
                <w:sz w:val="18"/>
              </w:rPr>
            </w:pPr>
            <w:r>
              <w:rPr>
                <w:sz w:val="18"/>
              </w:rPr>
              <w:t>Mobile Cart</w:t>
            </w:r>
          </w:p>
        </w:tc>
      </w:tr>
    </w:tbl>
    <w:p>
      <w:pPr>
        <w:spacing w:after="0"/>
        <w:rPr>
          <w:sz w:val="18"/>
        </w:rPr>
        <w:sectPr>
          <w:pgSz w:w="16840" w:h="11910" w:orient="landscape"/>
          <w:pgMar w:header="583" w:footer="575" w:top="840" w:bottom="760" w:left="860" w:right="12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6"/>
        </w:rPr>
      </w:pPr>
    </w:p>
    <w:tbl>
      <w:tblPr>
        <w:tblW w:w="0" w:type="auto"/>
        <w:jc w:val="left"/>
        <w:tblInd w:w="89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94"/>
        <w:gridCol w:w="526"/>
        <w:gridCol w:w="910"/>
        <w:gridCol w:w="926"/>
        <w:gridCol w:w="1400"/>
        <w:gridCol w:w="1224"/>
        <w:gridCol w:w="1538"/>
        <w:gridCol w:w="1344"/>
        <w:gridCol w:w="1747"/>
        <w:gridCol w:w="1217"/>
        <w:gridCol w:w="1262"/>
        <w:gridCol w:w="1150"/>
      </w:tblGrid>
      <w:tr>
        <w:trPr>
          <w:trHeight w:val="504" w:hRule="exact"/>
        </w:trPr>
        <w:tc>
          <w:tcPr>
            <w:tcW w:w="394" w:type="dxa"/>
            <w:vMerge w:val="restart"/>
            <w:tcBorders>
              <w:right w:val="single" w:sz="4" w:space="0" w:color="000000"/>
            </w:tcBorders>
            <w:shd w:val="clear" w:color="auto" w:fill="D9D9D9"/>
          </w:tcPr>
          <w:p>
            <w:pPr>
              <w:pStyle w:val="TableParagraph"/>
              <w:ind w:left="91"/>
              <w:rPr>
                <w:b/>
                <w:sz w:val="18"/>
              </w:rPr>
            </w:pPr>
            <w:r>
              <w:rPr>
                <w:b/>
                <w:sz w:val="18"/>
              </w:rPr>
              <w:t>ID</w:t>
            </w:r>
          </w:p>
        </w:tc>
        <w:tc>
          <w:tcPr>
            <w:tcW w:w="526" w:type="dxa"/>
            <w:vMerge w:val="restart"/>
            <w:tcBorders>
              <w:left w:val="single" w:sz="4" w:space="0" w:color="000000"/>
              <w:right w:val="single" w:sz="4" w:space="0" w:color="000000"/>
            </w:tcBorders>
            <w:shd w:val="clear" w:color="auto" w:fill="D9D9D9"/>
            <w:textDirection w:val="btLr"/>
          </w:tcPr>
          <w:p>
            <w:pPr>
              <w:pStyle w:val="TableParagraph"/>
              <w:spacing w:line="247" w:lineRule="auto" w:before="102"/>
              <w:ind w:left="112" w:right="131"/>
              <w:rPr>
                <w:b/>
                <w:sz w:val="18"/>
              </w:rPr>
            </w:pPr>
            <w:r>
              <w:rPr>
                <w:b/>
                <w:w w:val="99"/>
                <w:sz w:val="18"/>
              </w:rPr>
              <w:t>Se</w:t>
            </w:r>
            <w:r>
              <w:rPr>
                <w:b/>
                <w:sz w:val="18"/>
              </w:rPr>
              <w:t>g</w:t>
            </w:r>
            <w:r>
              <w:rPr>
                <w:b/>
                <w:spacing w:val="1"/>
                <w:sz w:val="18"/>
              </w:rPr>
              <w:t>m</w:t>
            </w:r>
            <w:r>
              <w:rPr>
                <w:b/>
                <w:w w:val="99"/>
                <w:sz w:val="18"/>
              </w:rPr>
              <w:t>e</w:t>
            </w:r>
            <w:r>
              <w:rPr>
                <w:b/>
                <w:w w:val="100"/>
                <w:sz w:val="18"/>
              </w:rPr>
              <w:t>nt No.</w:t>
            </w:r>
          </w:p>
        </w:tc>
        <w:tc>
          <w:tcPr>
            <w:tcW w:w="1836" w:type="dxa"/>
            <w:gridSpan w:val="2"/>
            <w:tcBorders>
              <w:left w:val="single" w:sz="4" w:space="0" w:color="000000"/>
              <w:bottom w:val="single" w:sz="4" w:space="0" w:color="000000"/>
              <w:right w:val="single" w:sz="4" w:space="0" w:color="000000"/>
            </w:tcBorders>
            <w:shd w:val="clear" w:color="auto" w:fill="D9D9D9"/>
          </w:tcPr>
          <w:p>
            <w:pPr>
              <w:pStyle w:val="TableParagraph"/>
              <w:ind w:left="386"/>
              <w:rPr>
                <w:b/>
                <w:sz w:val="18"/>
              </w:rPr>
            </w:pPr>
            <w:r>
              <w:rPr>
                <w:b/>
                <w:sz w:val="18"/>
              </w:rPr>
              <w:t>Coordinates</w:t>
            </w:r>
          </w:p>
        </w:tc>
        <w:tc>
          <w:tcPr>
            <w:tcW w:w="1400" w:type="dxa"/>
            <w:vMerge w:val="restart"/>
            <w:tcBorders>
              <w:left w:val="single" w:sz="4" w:space="0" w:color="000000"/>
              <w:right w:val="single" w:sz="4" w:space="0" w:color="000000"/>
            </w:tcBorders>
            <w:shd w:val="clear" w:color="auto" w:fill="D9D9D9"/>
          </w:tcPr>
          <w:p>
            <w:pPr>
              <w:pStyle w:val="TableParagraph"/>
              <w:ind w:left="448" w:right="158" w:hanging="276"/>
              <w:rPr>
                <w:b/>
                <w:sz w:val="18"/>
              </w:rPr>
            </w:pPr>
            <w:r>
              <w:rPr>
                <w:b/>
                <w:sz w:val="18"/>
              </w:rPr>
              <w:t>Respondent Name</w:t>
            </w:r>
          </w:p>
        </w:tc>
        <w:tc>
          <w:tcPr>
            <w:tcW w:w="1224" w:type="dxa"/>
            <w:vMerge w:val="restart"/>
            <w:tcBorders>
              <w:left w:val="single" w:sz="4" w:space="0" w:color="000000"/>
              <w:right w:val="single" w:sz="4" w:space="0" w:color="000000"/>
            </w:tcBorders>
            <w:shd w:val="clear" w:color="auto" w:fill="D9D9D9"/>
          </w:tcPr>
          <w:p>
            <w:pPr>
              <w:pStyle w:val="TableParagraph"/>
              <w:ind w:left="362" w:right="243" w:hanging="104"/>
              <w:rPr>
                <w:b/>
                <w:sz w:val="18"/>
              </w:rPr>
            </w:pPr>
            <w:r>
              <w:rPr>
                <w:b/>
                <w:sz w:val="18"/>
              </w:rPr>
              <w:t>Father's Name</w:t>
            </w:r>
          </w:p>
        </w:tc>
        <w:tc>
          <w:tcPr>
            <w:tcW w:w="1538" w:type="dxa"/>
            <w:vMerge w:val="restart"/>
            <w:tcBorders>
              <w:left w:val="single" w:sz="4" w:space="0" w:color="000000"/>
              <w:right w:val="single" w:sz="4" w:space="0" w:color="000000"/>
            </w:tcBorders>
            <w:shd w:val="clear" w:color="auto" w:fill="D9D9D9"/>
          </w:tcPr>
          <w:p>
            <w:pPr>
              <w:pStyle w:val="TableParagraph"/>
              <w:ind w:left="38" w:right="70"/>
              <w:rPr>
                <w:b/>
                <w:sz w:val="18"/>
              </w:rPr>
            </w:pPr>
            <w:r>
              <w:rPr>
                <w:b/>
                <w:sz w:val="18"/>
              </w:rPr>
              <w:t>Respondent NIC No.</w:t>
            </w:r>
          </w:p>
        </w:tc>
        <w:tc>
          <w:tcPr>
            <w:tcW w:w="1344" w:type="dxa"/>
            <w:vMerge w:val="restart"/>
            <w:tcBorders>
              <w:left w:val="single" w:sz="4" w:space="0" w:color="000000"/>
              <w:right w:val="single" w:sz="4" w:space="0" w:color="000000"/>
            </w:tcBorders>
            <w:shd w:val="clear" w:color="auto" w:fill="D9D9D9"/>
          </w:tcPr>
          <w:p>
            <w:pPr>
              <w:pStyle w:val="TableParagraph"/>
              <w:ind w:left="335" w:right="186" w:hanging="137"/>
              <w:rPr>
                <w:b/>
                <w:sz w:val="18"/>
              </w:rPr>
            </w:pPr>
            <w:r>
              <w:rPr>
                <w:b/>
                <w:sz w:val="18"/>
              </w:rPr>
              <w:t>Address in Karachi</w:t>
            </w:r>
          </w:p>
        </w:tc>
        <w:tc>
          <w:tcPr>
            <w:tcW w:w="1747" w:type="dxa"/>
            <w:vMerge w:val="restart"/>
            <w:tcBorders>
              <w:left w:val="single" w:sz="4" w:space="0" w:color="000000"/>
              <w:right w:val="single" w:sz="4" w:space="0" w:color="000000"/>
            </w:tcBorders>
            <w:shd w:val="clear" w:color="auto" w:fill="D9D9D9"/>
          </w:tcPr>
          <w:p>
            <w:pPr>
              <w:pStyle w:val="TableParagraph"/>
              <w:ind w:left="127"/>
              <w:rPr>
                <w:b/>
                <w:sz w:val="18"/>
              </w:rPr>
            </w:pPr>
            <w:r>
              <w:rPr>
                <w:b/>
                <w:sz w:val="18"/>
              </w:rPr>
              <w:t>Vending Address</w:t>
            </w:r>
          </w:p>
        </w:tc>
        <w:tc>
          <w:tcPr>
            <w:tcW w:w="1217" w:type="dxa"/>
            <w:vMerge w:val="restart"/>
            <w:tcBorders>
              <w:left w:val="single" w:sz="4" w:space="0" w:color="000000"/>
              <w:right w:val="single" w:sz="4" w:space="0" w:color="000000"/>
            </w:tcBorders>
            <w:shd w:val="clear" w:color="auto" w:fill="D9D9D9"/>
          </w:tcPr>
          <w:p>
            <w:pPr>
              <w:pStyle w:val="TableParagraph"/>
              <w:ind w:left="148"/>
              <w:rPr>
                <w:b/>
                <w:sz w:val="18"/>
              </w:rPr>
            </w:pPr>
            <w:r>
              <w:rPr>
                <w:b/>
                <w:sz w:val="18"/>
              </w:rPr>
              <w:t>Mobile No.</w:t>
            </w:r>
          </w:p>
        </w:tc>
        <w:tc>
          <w:tcPr>
            <w:tcW w:w="1262" w:type="dxa"/>
            <w:vMerge w:val="restart"/>
            <w:tcBorders>
              <w:left w:val="single" w:sz="4" w:space="0" w:color="000000"/>
              <w:right w:val="single" w:sz="4" w:space="0" w:color="000000"/>
            </w:tcBorders>
            <w:shd w:val="clear" w:color="auto" w:fill="D9D9D9"/>
          </w:tcPr>
          <w:p>
            <w:pPr>
              <w:pStyle w:val="TableParagraph"/>
              <w:ind w:left="105" w:right="104" w:hanging="2"/>
              <w:jc w:val="center"/>
              <w:rPr>
                <w:b/>
                <w:sz w:val="18"/>
              </w:rPr>
            </w:pPr>
            <w:r>
              <w:rPr>
                <w:b/>
                <w:sz w:val="18"/>
              </w:rPr>
              <w:t>Kind of Goods Sale/ Service</w:t>
            </w:r>
          </w:p>
        </w:tc>
        <w:tc>
          <w:tcPr>
            <w:tcW w:w="1150" w:type="dxa"/>
            <w:vMerge w:val="restart"/>
            <w:tcBorders>
              <w:left w:val="single" w:sz="4" w:space="0" w:color="000000"/>
            </w:tcBorders>
            <w:shd w:val="clear" w:color="auto" w:fill="D9D9D9"/>
          </w:tcPr>
          <w:p>
            <w:pPr>
              <w:pStyle w:val="TableParagraph"/>
              <w:ind w:left="170" w:right="140" w:firstLine="79"/>
              <w:rPr>
                <w:b/>
                <w:sz w:val="18"/>
              </w:rPr>
            </w:pPr>
            <w:r>
              <w:rPr>
                <w:b/>
                <w:sz w:val="18"/>
              </w:rPr>
              <w:t>Type of Structure</w:t>
            </w:r>
          </w:p>
        </w:tc>
      </w:tr>
      <w:tr>
        <w:trPr>
          <w:trHeight w:val="540" w:hRule="exact"/>
        </w:trPr>
        <w:tc>
          <w:tcPr>
            <w:tcW w:w="394" w:type="dxa"/>
            <w:vMerge/>
            <w:tcBorders>
              <w:bottom w:val="single" w:sz="4" w:space="0" w:color="000000"/>
              <w:right w:val="single" w:sz="4" w:space="0" w:color="000000"/>
            </w:tcBorders>
            <w:shd w:val="clear" w:color="auto" w:fill="D9D9D9"/>
          </w:tcPr>
          <w:p>
            <w:pPr/>
          </w:p>
        </w:tc>
        <w:tc>
          <w:tcPr>
            <w:tcW w:w="526" w:type="dxa"/>
            <w:vMerge/>
            <w:tcBorders>
              <w:left w:val="single" w:sz="4" w:space="0" w:color="000000"/>
              <w:bottom w:val="single" w:sz="4" w:space="0" w:color="000000"/>
              <w:right w:val="single" w:sz="4" w:space="0" w:color="000000"/>
            </w:tcBorders>
            <w:shd w:val="clear" w:color="auto" w:fill="D9D9D9"/>
            <w:textDirection w:val="btLr"/>
          </w:tcPr>
          <w:p>
            <w:pPr/>
          </w:p>
        </w:tc>
        <w:tc>
          <w:tcPr>
            <w:tcW w:w="91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160"/>
              <w:ind w:left="74"/>
              <w:rPr>
                <w:b/>
                <w:sz w:val="18"/>
              </w:rPr>
            </w:pPr>
            <w:r>
              <w:rPr>
                <w:b/>
                <w:sz w:val="18"/>
              </w:rPr>
              <w:t>Northing</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160"/>
              <w:ind w:left="37" w:right="37"/>
              <w:jc w:val="center"/>
              <w:rPr>
                <w:b/>
                <w:sz w:val="18"/>
              </w:rPr>
            </w:pPr>
            <w:r>
              <w:rPr>
                <w:b/>
                <w:sz w:val="18"/>
              </w:rPr>
              <w:t>Easting</w:t>
            </w:r>
          </w:p>
        </w:tc>
        <w:tc>
          <w:tcPr>
            <w:tcW w:w="1400" w:type="dxa"/>
            <w:vMerge/>
            <w:tcBorders>
              <w:left w:val="single" w:sz="4" w:space="0" w:color="000000"/>
              <w:bottom w:val="single" w:sz="4" w:space="0" w:color="000000"/>
              <w:right w:val="single" w:sz="4" w:space="0" w:color="000000"/>
            </w:tcBorders>
            <w:shd w:val="clear" w:color="auto" w:fill="D9D9D9"/>
          </w:tcPr>
          <w:p>
            <w:pPr/>
          </w:p>
        </w:tc>
        <w:tc>
          <w:tcPr>
            <w:tcW w:w="1224" w:type="dxa"/>
            <w:vMerge/>
            <w:tcBorders>
              <w:left w:val="single" w:sz="4" w:space="0" w:color="000000"/>
              <w:bottom w:val="single" w:sz="4" w:space="0" w:color="000000"/>
              <w:right w:val="single" w:sz="4" w:space="0" w:color="000000"/>
            </w:tcBorders>
            <w:shd w:val="clear" w:color="auto" w:fill="D9D9D9"/>
          </w:tcPr>
          <w:p>
            <w:pPr/>
          </w:p>
        </w:tc>
        <w:tc>
          <w:tcPr>
            <w:tcW w:w="1538" w:type="dxa"/>
            <w:vMerge/>
            <w:tcBorders>
              <w:left w:val="single" w:sz="4" w:space="0" w:color="000000"/>
              <w:bottom w:val="single" w:sz="4" w:space="0" w:color="000000"/>
              <w:right w:val="single" w:sz="4" w:space="0" w:color="000000"/>
            </w:tcBorders>
            <w:shd w:val="clear" w:color="auto" w:fill="D9D9D9"/>
          </w:tcPr>
          <w:p>
            <w:pPr/>
          </w:p>
        </w:tc>
        <w:tc>
          <w:tcPr>
            <w:tcW w:w="1344" w:type="dxa"/>
            <w:vMerge/>
            <w:tcBorders>
              <w:left w:val="single" w:sz="4" w:space="0" w:color="000000"/>
              <w:bottom w:val="single" w:sz="4" w:space="0" w:color="000000"/>
              <w:right w:val="single" w:sz="4" w:space="0" w:color="000000"/>
            </w:tcBorders>
            <w:shd w:val="clear" w:color="auto" w:fill="D9D9D9"/>
          </w:tcPr>
          <w:p>
            <w:pPr/>
          </w:p>
        </w:tc>
        <w:tc>
          <w:tcPr>
            <w:tcW w:w="1747" w:type="dxa"/>
            <w:vMerge/>
            <w:tcBorders>
              <w:left w:val="single" w:sz="4" w:space="0" w:color="000000"/>
              <w:bottom w:val="single" w:sz="4" w:space="0" w:color="000000"/>
              <w:right w:val="single" w:sz="4" w:space="0" w:color="000000"/>
            </w:tcBorders>
            <w:shd w:val="clear" w:color="auto" w:fill="D9D9D9"/>
          </w:tcPr>
          <w:p>
            <w:pPr/>
          </w:p>
        </w:tc>
        <w:tc>
          <w:tcPr>
            <w:tcW w:w="1217" w:type="dxa"/>
            <w:vMerge/>
            <w:tcBorders>
              <w:left w:val="single" w:sz="4" w:space="0" w:color="000000"/>
              <w:bottom w:val="single" w:sz="4" w:space="0" w:color="000000"/>
              <w:right w:val="single" w:sz="4" w:space="0" w:color="000000"/>
            </w:tcBorders>
            <w:shd w:val="clear" w:color="auto" w:fill="D9D9D9"/>
          </w:tcPr>
          <w:p>
            <w:pPr/>
          </w:p>
        </w:tc>
        <w:tc>
          <w:tcPr>
            <w:tcW w:w="1262" w:type="dxa"/>
            <w:vMerge/>
            <w:tcBorders>
              <w:left w:val="single" w:sz="4" w:space="0" w:color="000000"/>
              <w:bottom w:val="single" w:sz="4" w:space="0" w:color="000000"/>
              <w:right w:val="single" w:sz="4" w:space="0" w:color="000000"/>
            </w:tcBorders>
            <w:shd w:val="clear" w:color="auto" w:fill="D9D9D9"/>
          </w:tcPr>
          <w:p>
            <w:pPr/>
          </w:p>
        </w:tc>
        <w:tc>
          <w:tcPr>
            <w:tcW w:w="1150" w:type="dxa"/>
            <w:vMerge/>
            <w:tcBorders>
              <w:left w:val="single" w:sz="4" w:space="0" w:color="000000"/>
              <w:bottom w:val="single" w:sz="4" w:space="0" w:color="000000"/>
            </w:tcBorders>
            <w:shd w:val="clear" w:color="auto" w:fill="D9D9D9"/>
          </w:tcPr>
          <w:p>
            <w:pPr/>
          </w:p>
        </w:tc>
      </w:tr>
      <w:tr>
        <w:trPr>
          <w:trHeight w:val="542"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54</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1</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31 50.859</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67 12.733</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Sifat Ullah</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Shafeeq Ullah</w:t>
            </w:r>
          </w:p>
        </w:tc>
        <w:tc>
          <w:tcPr>
            <w:tcW w:w="1538" w:type="dxa"/>
            <w:tcBorders>
              <w:top w:val="single" w:sz="4" w:space="0" w:color="000000"/>
              <w:left w:val="single" w:sz="4" w:space="0" w:color="000000"/>
              <w:bottom w:val="single" w:sz="4" w:space="0" w:color="000000"/>
              <w:right w:val="single" w:sz="4" w:space="0" w:color="000000"/>
            </w:tcBorders>
          </w:tcPr>
          <w:p>
            <w:pP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ight="309"/>
              <w:rPr>
                <w:sz w:val="18"/>
              </w:rPr>
            </w:pPr>
            <w:r>
              <w:rPr>
                <w:sz w:val="18"/>
              </w:rPr>
              <w:t>Muslimabad Colony</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Dawood Chowrangi</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03333297282</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Fruit Cart</w:t>
            </w:r>
          </w:p>
        </w:tc>
        <w:tc>
          <w:tcPr>
            <w:tcW w:w="1150" w:type="dxa"/>
            <w:tcBorders>
              <w:top w:val="single" w:sz="4" w:space="0" w:color="000000"/>
              <w:left w:val="single" w:sz="4" w:space="0" w:color="000000"/>
              <w:bottom w:val="single" w:sz="4" w:space="0" w:color="000000"/>
            </w:tcBorders>
          </w:tcPr>
          <w:p>
            <w:pPr>
              <w:pStyle w:val="TableParagraph"/>
              <w:ind w:left="38"/>
              <w:rPr>
                <w:sz w:val="18"/>
              </w:rPr>
            </w:pPr>
            <w:r>
              <w:rPr>
                <w:sz w:val="18"/>
              </w:rPr>
              <w:t>Mobile Cart</w:t>
            </w:r>
          </w:p>
        </w:tc>
      </w:tr>
      <w:tr>
        <w:trPr>
          <w:trHeight w:val="545" w:hRule="exact"/>
        </w:trPr>
        <w:tc>
          <w:tcPr>
            <w:tcW w:w="394" w:type="dxa"/>
            <w:tcBorders>
              <w:top w:val="single" w:sz="4" w:space="0" w:color="000000"/>
              <w:bottom w:val="single" w:sz="4" w:space="0" w:color="000000"/>
              <w:right w:val="single" w:sz="4" w:space="0" w:color="000000"/>
            </w:tcBorders>
          </w:tcPr>
          <w:p>
            <w:pPr>
              <w:pStyle w:val="TableParagraph"/>
              <w:spacing w:before="61"/>
              <w:ind w:left="63" w:right="70"/>
              <w:jc w:val="center"/>
              <w:rPr>
                <w:sz w:val="18"/>
              </w:rPr>
            </w:pPr>
            <w:r>
              <w:rPr>
                <w:sz w:val="18"/>
              </w:rPr>
              <w:t>56</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spacing w:before="61"/>
              <w:ind w:right="1"/>
              <w:jc w:val="center"/>
              <w:rPr>
                <w:sz w:val="18"/>
              </w:rPr>
            </w:pPr>
            <w:r>
              <w:rPr>
                <w:w w:val="99"/>
                <w:sz w:val="18"/>
              </w:rPr>
              <w:t>3</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before="61"/>
              <w:ind w:left="47"/>
              <w:rPr>
                <w:sz w:val="18"/>
              </w:rPr>
            </w:pPr>
            <w:r>
              <w:rPr>
                <w:sz w:val="18"/>
              </w:rPr>
              <w:t>24 50.031</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before="61"/>
              <w:ind w:left="37" w:right="37"/>
              <w:jc w:val="center"/>
              <w:rPr>
                <w:sz w:val="18"/>
              </w:rPr>
            </w:pPr>
            <w:r>
              <w:rPr>
                <w:sz w:val="18"/>
              </w:rPr>
              <w:t>67 05.700</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spacing w:before="61"/>
              <w:ind w:left="38" w:right="681"/>
              <w:rPr>
                <w:sz w:val="18"/>
              </w:rPr>
            </w:pPr>
            <w:r>
              <w:rPr>
                <w:sz w:val="18"/>
              </w:rPr>
              <w:t>Ghulam Hussain</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spacing w:before="61"/>
              <w:ind w:left="38"/>
              <w:rPr>
                <w:sz w:val="18"/>
              </w:rPr>
            </w:pPr>
            <w:r>
              <w:rPr>
                <w:sz w:val="18"/>
              </w:rPr>
              <w:t>Azeem Bux</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spacing w:before="61"/>
              <w:ind w:left="20" w:right="47"/>
              <w:jc w:val="center"/>
              <w:rPr>
                <w:sz w:val="18"/>
              </w:rPr>
            </w:pPr>
            <w:r>
              <w:rPr>
                <w:sz w:val="18"/>
              </w:rPr>
              <w:t>42201-5240559-5</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spacing w:before="61"/>
              <w:ind w:left="35"/>
              <w:rPr>
                <w:sz w:val="18"/>
              </w:rPr>
            </w:pPr>
            <w:r>
              <w:rPr>
                <w:sz w:val="18"/>
              </w:rPr>
              <w:t>Mehran Town</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spacing w:before="61"/>
              <w:ind w:left="38"/>
              <w:rPr>
                <w:sz w:val="18"/>
              </w:rPr>
            </w:pPr>
            <w:r>
              <w:rPr>
                <w:sz w:val="18"/>
              </w:rPr>
              <w:t>Jam Sadiq Bridge</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spacing w:before="61"/>
              <w:ind w:right="65"/>
              <w:jc w:val="right"/>
              <w:rPr>
                <w:sz w:val="18"/>
              </w:rPr>
            </w:pPr>
            <w:r>
              <w:rPr>
                <w:sz w:val="18"/>
              </w:rPr>
              <w:t>03062463384</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spacing w:before="61"/>
              <w:ind w:left="38"/>
              <w:rPr>
                <w:sz w:val="18"/>
              </w:rPr>
            </w:pPr>
            <w:r>
              <w:rPr>
                <w:sz w:val="18"/>
              </w:rPr>
              <w:t>Plant Nursery</w:t>
            </w:r>
          </w:p>
        </w:tc>
        <w:tc>
          <w:tcPr>
            <w:tcW w:w="1150" w:type="dxa"/>
            <w:tcBorders>
              <w:top w:val="single" w:sz="4" w:space="0" w:color="000000"/>
              <w:left w:val="single" w:sz="4" w:space="0" w:color="000000"/>
              <w:bottom w:val="single" w:sz="4" w:space="0" w:color="000000"/>
            </w:tcBorders>
          </w:tcPr>
          <w:p>
            <w:pPr>
              <w:pStyle w:val="TableParagraph"/>
              <w:spacing w:before="61"/>
              <w:ind w:left="38" w:right="302"/>
              <w:rPr>
                <w:sz w:val="18"/>
              </w:rPr>
            </w:pPr>
            <w:r>
              <w:rPr>
                <w:sz w:val="18"/>
              </w:rPr>
              <w:t>Plant Nurseries</w:t>
            </w:r>
          </w:p>
        </w:tc>
      </w:tr>
      <w:tr>
        <w:trPr>
          <w:trHeight w:val="545"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57</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3</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24 50.031</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67 05.700</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ight="642"/>
              <w:rPr>
                <w:sz w:val="18"/>
              </w:rPr>
            </w:pPr>
            <w:r>
              <w:rPr>
                <w:sz w:val="18"/>
              </w:rPr>
              <w:t>Mukhtiar Hussain</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ight="206"/>
              <w:rPr>
                <w:sz w:val="18"/>
              </w:rPr>
            </w:pPr>
            <w:r>
              <w:rPr>
                <w:sz w:val="18"/>
              </w:rPr>
              <w:t>Haji Muhammad</w:t>
            </w:r>
          </w:p>
        </w:tc>
        <w:tc>
          <w:tcPr>
            <w:tcW w:w="1538" w:type="dxa"/>
            <w:tcBorders>
              <w:top w:val="single" w:sz="4" w:space="0" w:color="000000"/>
              <w:left w:val="single" w:sz="4" w:space="0" w:color="000000"/>
              <w:bottom w:val="single" w:sz="4" w:space="0" w:color="000000"/>
              <w:right w:val="single" w:sz="4" w:space="0" w:color="000000"/>
            </w:tcBorders>
          </w:tcPr>
          <w:p>
            <w:pP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Qayyumabad</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Jam Sadiq Bridge</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03333004617</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Plant Nursery</w:t>
            </w:r>
          </w:p>
        </w:tc>
        <w:tc>
          <w:tcPr>
            <w:tcW w:w="1150" w:type="dxa"/>
            <w:tcBorders>
              <w:top w:val="single" w:sz="4" w:space="0" w:color="000000"/>
              <w:left w:val="single" w:sz="4" w:space="0" w:color="000000"/>
              <w:bottom w:val="single" w:sz="4" w:space="0" w:color="000000"/>
            </w:tcBorders>
          </w:tcPr>
          <w:p>
            <w:pPr>
              <w:pStyle w:val="TableParagraph"/>
              <w:ind w:left="38" w:right="302"/>
              <w:rPr>
                <w:sz w:val="18"/>
              </w:rPr>
            </w:pPr>
            <w:r>
              <w:rPr>
                <w:sz w:val="18"/>
              </w:rPr>
              <w:t>Plant Nurseries</w:t>
            </w:r>
          </w:p>
        </w:tc>
      </w:tr>
      <w:tr>
        <w:trPr>
          <w:trHeight w:val="542"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59</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3</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24 50.059</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67 05.802</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ight="281"/>
              <w:rPr>
                <w:sz w:val="18"/>
              </w:rPr>
            </w:pPr>
            <w:r>
              <w:rPr>
                <w:sz w:val="18"/>
              </w:rPr>
              <w:t>Muhammad Sarfraz Khan</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Umer Draz</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42301-3299171-7</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PNT Colony</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Jam Sadiq Bridge</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03212193179</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Plant Nursery</w:t>
            </w:r>
          </w:p>
        </w:tc>
        <w:tc>
          <w:tcPr>
            <w:tcW w:w="1150" w:type="dxa"/>
            <w:tcBorders>
              <w:top w:val="single" w:sz="4" w:space="0" w:color="000000"/>
              <w:left w:val="single" w:sz="4" w:space="0" w:color="000000"/>
              <w:bottom w:val="single" w:sz="4" w:space="0" w:color="000000"/>
            </w:tcBorders>
          </w:tcPr>
          <w:p>
            <w:pPr>
              <w:pStyle w:val="TableParagraph"/>
              <w:ind w:left="38" w:right="302"/>
              <w:rPr>
                <w:sz w:val="18"/>
              </w:rPr>
            </w:pPr>
            <w:r>
              <w:rPr>
                <w:sz w:val="18"/>
              </w:rPr>
              <w:t>Plant Nurseries</w:t>
            </w:r>
          </w:p>
        </w:tc>
      </w:tr>
      <w:tr>
        <w:trPr>
          <w:trHeight w:val="545" w:hRule="exact"/>
        </w:trPr>
        <w:tc>
          <w:tcPr>
            <w:tcW w:w="394" w:type="dxa"/>
            <w:tcBorders>
              <w:top w:val="single" w:sz="4" w:space="0" w:color="000000"/>
              <w:bottom w:val="single" w:sz="4" w:space="0" w:color="000000"/>
              <w:right w:val="single" w:sz="4" w:space="0" w:color="000000"/>
            </w:tcBorders>
          </w:tcPr>
          <w:p>
            <w:pPr>
              <w:pStyle w:val="TableParagraph"/>
              <w:spacing w:before="61"/>
              <w:ind w:left="63" w:right="70"/>
              <w:jc w:val="center"/>
              <w:rPr>
                <w:sz w:val="18"/>
              </w:rPr>
            </w:pPr>
            <w:r>
              <w:rPr>
                <w:sz w:val="18"/>
              </w:rPr>
              <w:t>60</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spacing w:before="61"/>
              <w:ind w:right="1"/>
              <w:jc w:val="center"/>
              <w:rPr>
                <w:sz w:val="18"/>
              </w:rPr>
            </w:pPr>
            <w:r>
              <w:rPr>
                <w:w w:val="99"/>
                <w:sz w:val="18"/>
              </w:rPr>
              <w:t>3</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before="61"/>
              <w:ind w:left="47"/>
              <w:rPr>
                <w:sz w:val="18"/>
              </w:rPr>
            </w:pPr>
            <w:r>
              <w:rPr>
                <w:sz w:val="18"/>
              </w:rPr>
              <w:t>24 50.067</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before="61"/>
              <w:ind w:left="38" w:right="36"/>
              <w:jc w:val="center"/>
              <w:rPr>
                <w:sz w:val="18"/>
              </w:rPr>
            </w:pPr>
            <w:r>
              <w:rPr>
                <w:sz w:val="18"/>
              </w:rPr>
              <w:t>67 05.840</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spacing w:before="61"/>
              <w:ind w:left="38"/>
              <w:rPr>
                <w:sz w:val="18"/>
              </w:rPr>
            </w:pPr>
            <w:r>
              <w:rPr>
                <w:sz w:val="18"/>
              </w:rPr>
              <w:t>Asif Masih</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spacing w:before="61"/>
              <w:ind w:left="38" w:right="496"/>
              <w:rPr>
                <w:sz w:val="18"/>
              </w:rPr>
            </w:pPr>
            <w:r>
              <w:rPr>
                <w:sz w:val="18"/>
              </w:rPr>
              <w:t>Niyamat Masih</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spacing w:before="61"/>
              <w:ind w:left="20" w:right="47"/>
              <w:jc w:val="center"/>
              <w:rPr>
                <w:sz w:val="18"/>
              </w:rPr>
            </w:pPr>
            <w:r>
              <w:rPr>
                <w:sz w:val="18"/>
              </w:rPr>
              <w:t>31301-1919901-9</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spacing w:before="61"/>
              <w:ind w:left="35"/>
              <w:rPr>
                <w:sz w:val="18"/>
              </w:rPr>
            </w:pPr>
            <w:r>
              <w:rPr>
                <w:sz w:val="18"/>
              </w:rPr>
              <w:t>At Business</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spacing w:before="61"/>
              <w:ind w:left="38"/>
              <w:rPr>
                <w:sz w:val="18"/>
              </w:rPr>
            </w:pPr>
            <w:r>
              <w:rPr>
                <w:sz w:val="18"/>
              </w:rPr>
              <w:t>Jam Sadiq Bridge</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spacing w:before="61"/>
              <w:ind w:right="65"/>
              <w:jc w:val="right"/>
              <w:rPr>
                <w:sz w:val="18"/>
              </w:rPr>
            </w:pPr>
            <w:r>
              <w:rPr>
                <w:sz w:val="18"/>
              </w:rPr>
              <w:t>03456004335</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spacing w:before="61"/>
              <w:ind w:left="38" w:right="64"/>
              <w:rPr>
                <w:sz w:val="18"/>
              </w:rPr>
            </w:pPr>
            <w:r>
              <w:rPr>
                <w:sz w:val="18"/>
              </w:rPr>
              <w:t>Tyre Puncture Shop</w:t>
            </w:r>
          </w:p>
        </w:tc>
        <w:tc>
          <w:tcPr>
            <w:tcW w:w="1150" w:type="dxa"/>
            <w:tcBorders>
              <w:top w:val="single" w:sz="4" w:space="0" w:color="000000"/>
              <w:left w:val="single" w:sz="4" w:space="0" w:color="000000"/>
              <w:bottom w:val="single" w:sz="4" w:space="0" w:color="000000"/>
            </w:tcBorders>
          </w:tcPr>
          <w:p>
            <w:pPr>
              <w:pStyle w:val="TableParagraph"/>
              <w:spacing w:before="61"/>
              <w:ind w:left="38"/>
              <w:rPr>
                <w:sz w:val="18"/>
              </w:rPr>
            </w:pPr>
            <w:r>
              <w:rPr>
                <w:sz w:val="18"/>
              </w:rPr>
              <w:t>Kiosk</w:t>
            </w:r>
          </w:p>
        </w:tc>
      </w:tr>
      <w:tr>
        <w:trPr>
          <w:trHeight w:val="545"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61</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3</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24 50.076</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67 05.866</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Salman Akhtar</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ight="506"/>
              <w:rPr>
                <w:sz w:val="18"/>
              </w:rPr>
            </w:pPr>
            <w:r>
              <w:rPr>
                <w:sz w:val="18"/>
              </w:rPr>
              <w:t>Akhtar Hussain</w:t>
            </w:r>
          </w:p>
        </w:tc>
        <w:tc>
          <w:tcPr>
            <w:tcW w:w="1538" w:type="dxa"/>
            <w:tcBorders>
              <w:top w:val="single" w:sz="4" w:space="0" w:color="000000"/>
              <w:left w:val="single" w:sz="4" w:space="0" w:color="000000"/>
              <w:bottom w:val="single" w:sz="4" w:space="0" w:color="000000"/>
              <w:right w:val="single" w:sz="4" w:space="0" w:color="000000"/>
            </w:tcBorders>
          </w:tcPr>
          <w:p>
            <w:pP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Crossing</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Jam Sadiq Bridge</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03242007062</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Plant Nursery</w:t>
            </w:r>
          </w:p>
        </w:tc>
        <w:tc>
          <w:tcPr>
            <w:tcW w:w="1150" w:type="dxa"/>
            <w:tcBorders>
              <w:top w:val="single" w:sz="4" w:space="0" w:color="000000"/>
              <w:left w:val="single" w:sz="4" w:space="0" w:color="000000"/>
              <w:bottom w:val="single" w:sz="4" w:space="0" w:color="000000"/>
            </w:tcBorders>
          </w:tcPr>
          <w:p>
            <w:pPr>
              <w:pStyle w:val="TableParagraph"/>
              <w:ind w:left="38" w:right="302"/>
              <w:rPr>
                <w:sz w:val="18"/>
              </w:rPr>
            </w:pPr>
            <w:r>
              <w:rPr>
                <w:sz w:val="18"/>
              </w:rPr>
              <w:t>Plant Nurseries</w:t>
            </w:r>
          </w:p>
        </w:tc>
      </w:tr>
      <w:tr>
        <w:trPr>
          <w:trHeight w:val="958"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67</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5</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24 50.792</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8" w:right="37"/>
              <w:jc w:val="center"/>
              <w:rPr>
                <w:sz w:val="18"/>
              </w:rPr>
            </w:pPr>
            <w:r>
              <w:rPr>
                <w:sz w:val="18"/>
              </w:rPr>
              <w:t>67 03.301</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ight="381"/>
              <w:rPr>
                <w:sz w:val="18"/>
              </w:rPr>
            </w:pPr>
            <w:r>
              <w:rPr>
                <w:sz w:val="18"/>
              </w:rPr>
              <w:t>Muhammad Saddeeq</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Ghulam Jan</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13503-4457420-1</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Hazara Colony</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Kala Pull</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03402035508</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Tuck Shop</w:t>
            </w:r>
          </w:p>
        </w:tc>
        <w:tc>
          <w:tcPr>
            <w:tcW w:w="1150" w:type="dxa"/>
            <w:tcBorders>
              <w:top w:val="single" w:sz="4" w:space="0" w:color="000000"/>
              <w:left w:val="single" w:sz="4" w:space="0" w:color="000000"/>
              <w:bottom w:val="single" w:sz="4" w:space="0" w:color="000000"/>
            </w:tcBorders>
          </w:tcPr>
          <w:p>
            <w:pPr>
              <w:pStyle w:val="TableParagraph"/>
              <w:ind w:left="38" w:right="121"/>
              <w:rPr>
                <w:sz w:val="18"/>
              </w:rPr>
            </w:pPr>
            <w:r>
              <w:rPr>
                <w:sz w:val="18"/>
              </w:rPr>
              <w:t>Tuck Shops under overhead bridge</w:t>
            </w:r>
          </w:p>
        </w:tc>
      </w:tr>
      <w:tr>
        <w:trPr>
          <w:trHeight w:val="958"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68</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5</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24 50.792</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67 03.301</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ight="381"/>
              <w:rPr>
                <w:sz w:val="18"/>
              </w:rPr>
            </w:pPr>
            <w:r>
              <w:rPr>
                <w:sz w:val="18"/>
              </w:rPr>
              <w:t>Muhammad Rafiq</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ight="206"/>
              <w:rPr>
                <w:sz w:val="18"/>
              </w:rPr>
            </w:pPr>
            <w:r>
              <w:rPr>
                <w:sz w:val="18"/>
              </w:rPr>
              <w:t>Faiz Muhammad</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36301-5701180-5</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Lines Area</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Kala Pull</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03052217861</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Tuck Shop</w:t>
            </w:r>
          </w:p>
        </w:tc>
        <w:tc>
          <w:tcPr>
            <w:tcW w:w="1150" w:type="dxa"/>
            <w:tcBorders>
              <w:top w:val="single" w:sz="4" w:space="0" w:color="000000"/>
              <w:left w:val="single" w:sz="4" w:space="0" w:color="000000"/>
              <w:bottom w:val="single" w:sz="4" w:space="0" w:color="000000"/>
            </w:tcBorders>
          </w:tcPr>
          <w:p>
            <w:pPr>
              <w:pStyle w:val="TableParagraph"/>
              <w:ind w:left="38" w:right="121"/>
              <w:rPr>
                <w:sz w:val="18"/>
              </w:rPr>
            </w:pPr>
            <w:r>
              <w:rPr>
                <w:sz w:val="18"/>
              </w:rPr>
              <w:t>Tuck Shops under overhead bridge</w:t>
            </w:r>
          </w:p>
        </w:tc>
      </w:tr>
      <w:tr>
        <w:trPr>
          <w:trHeight w:val="545"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69</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5</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24 50.916</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67 03.236</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ight="381"/>
              <w:rPr>
                <w:sz w:val="18"/>
              </w:rPr>
            </w:pPr>
            <w:r>
              <w:rPr>
                <w:sz w:val="18"/>
              </w:rPr>
              <w:t>Muhammad Naseer</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ight="206"/>
              <w:rPr>
                <w:sz w:val="18"/>
              </w:rPr>
            </w:pPr>
            <w:r>
              <w:rPr>
                <w:sz w:val="18"/>
              </w:rPr>
              <w:t>Muhammad Irfan</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42301-0947235-1</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Railway Colony</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Kala Pull</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03452113960</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Tuck Shop</w:t>
            </w:r>
          </w:p>
        </w:tc>
        <w:tc>
          <w:tcPr>
            <w:tcW w:w="1150" w:type="dxa"/>
            <w:tcBorders>
              <w:top w:val="single" w:sz="4" w:space="0" w:color="000000"/>
              <w:left w:val="single" w:sz="4" w:space="0" w:color="000000"/>
              <w:bottom w:val="single" w:sz="4" w:space="0" w:color="000000"/>
            </w:tcBorders>
          </w:tcPr>
          <w:p>
            <w:pPr>
              <w:pStyle w:val="TableParagraph"/>
              <w:ind w:left="38"/>
              <w:rPr>
                <w:sz w:val="18"/>
              </w:rPr>
            </w:pPr>
            <w:r>
              <w:rPr>
                <w:sz w:val="18"/>
              </w:rPr>
              <w:t>Kiosk</w:t>
            </w:r>
          </w:p>
        </w:tc>
      </w:tr>
      <w:tr>
        <w:trPr>
          <w:trHeight w:val="749"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70</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5</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24 50.916</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67 03.236</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ight="381"/>
              <w:rPr>
                <w:sz w:val="18"/>
              </w:rPr>
            </w:pPr>
            <w:r>
              <w:rPr>
                <w:sz w:val="18"/>
              </w:rPr>
              <w:t>Fazal Muhammad</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ight="206"/>
              <w:rPr>
                <w:sz w:val="18"/>
              </w:rPr>
            </w:pPr>
            <w:r>
              <w:rPr>
                <w:sz w:val="18"/>
              </w:rPr>
              <w:t>Noor Muhammad</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13504-4709012-1</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Landhi</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Kala Pull</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03472794012</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Flower Shop</w:t>
            </w:r>
          </w:p>
        </w:tc>
        <w:tc>
          <w:tcPr>
            <w:tcW w:w="1150" w:type="dxa"/>
            <w:tcBorders>
              <w:top w:val="single" w:sz="4" w:space="0" w:color="000000"/>
              <w:left w:val="single" w:sz="4" w:space="0" w:color="000000"/>
              <w:bottom w:val="single" w:sz="4" w:space="0" w:color="000000"/>
            </w:tcBorders>
          </w:tcPr>
          <w:p>
            <w:pPr>
              <w:pStyle w:val="TableParagraph"/>
              <w:ind w:left="38" w:right="432"/>
              <w:rPr>
                <w:sz w:val="18"/>
              </w:rPr>
            </w:pPr>
            <w:r>
              <w:rPr>
                <w:sz w:val="18"/>
              </w:rPr>
              <w:t>Shops Display Material</w:t>
            </w:r>
          </w:p>
        </w:tc>
      </w:tr>
      <w:tr>
        <w:trPr>
          <w:trHeight w:val="761" w:hRule="exact"/>
        </w:trPr>
        <w:tc>
          <w:tcPr>
            <w:tcW w:w="394" w:type="dxa"/>
            <w:tcBorders>
              <w:top w:val="single" w:sz="4" w:space="0" w:color="000000"/>
              <w:right w:val="single" w:sz="4" w:space="0" w:color="000000"/>
            </w:tcBorders>
          </w:tcPr>
          <w:p>
            <w:pPr>
              <w:pStyle w:val="TableParagraph"/>
              <w:spacing w:before="61"/>
              <w:ind w:left="63" w:right="70"/>
              <w:jc w:val="center"/>
              <w:rPr>
                <w:sz w:val="18"/>
              </w:rPr>
            </w:pPr>
            <w:r>
              <w:rPr>
                <w:sz w:val="18"/>
              </w:rPr>
              <w:t>71</w:t>
            </w:r>
          </w:p>
        </w:tc>
        <w:tc>
          <w:tcPr>
            <w:tcW w:w="526" w:type="dxa"/>
            <w:tcBorders>
              <w:top w:val="single" w:sz="4" w:space="0" w:color="000000"/>
              <w:left w:val="single" w:sz="4" w:space="0" w:color="000000"/>
              <w:right w:val="single" w:sz="4" w:space="0" w:color="000000"/>
            </w:tcBorders>
          </w:tcPr>
          <w:p>
            <w:pPr>
              <w:pStyle w:val="TableParagraph"/>
              <w:spacing w:before="61"/>
              <w:ind w:right="1"/>
              <w:jc w:val="center"/>
              <w:rPr>
                <w:sz w:val="18"/>
              </w:rPr>
            </w:pPr>
            <w:r>
              <w:rPr>
                <w:w w:val="99"/>
                <w:sz w:val="18"/>
              </w:rPr>
              <w:t>5</w:t>
            </w:r>
          </w:p>
        </w:tc>
        <w:tc>
          <w:tcPr>
            <w:tcW w:w="910" w:type="dxa"/>
            <w:tcBorders>
              <w:top w:val="single" w:sz="4" w:space="0" w:color="000000"/>
              <w:left w:val="single" w:sz="4" w:space="0" w:color="000000"/>
              <w:right w:val="single" w:sz="4" w:space="0" w:color="000000"/>
            </w:tcBorders>
          </w:tcPr>
          <w:p>
            <w:pPr>
              <w:pStyle w:val="TableParagraph"/>
              <w:spacing w:before="61"/>
              <w:ind w:left="47"/>
              <w:rPr>
                <w:sz w:val="18"/>
              </w:rPr>
            </w:pPr>
            <w:r>
              <w:rPr>
                <w:sz w:val="18"/>
              </w:rPr>
              <w:t>24 50.916</w:t>
            </w:r>
          </w:p>
        </w:tc>
        <w:tc>
          <w:tcPr>
            <w:tcW w:w="926" w:type="dxa"/>
            <w:tcBorders>
              <w:top w:val="single" w:sz="4" w:space="0" w:color="000000"/>
              <w:left w:val="single" w:sz="4" w:space="0" w:color="000000"/>
              <w:right w:val="single" w:sz="4" w:space="0" w:color="000000"/>
            </w:tcBorders>
          </w:tcPr>
          <w:p>
            <w:pPr>
              <w:pStyle w:val="TableParagraph"/>
              <w:spacing w:before="61"/>
              <w:ind w:left="37" w:right="37"/>
              <w:jc w:val="center"/>
              <w:rPr>
                <w:sz w:val="18"/>
              </w:rPr>
            </w:pPr>
            <w:r>
              <w:rPr>
                <w:sz w:val="18"/>
              </w:rPr>
              <w:t>67 03.236</w:t>
            </w:r>
          </w:p>
        </w:tc>
        <w:tc>
          <w:tcPr>
            <w:tcW w:w="1400" w:type="dxa"/>
            <w:tcBorders>
              <w:top w:val="single" w:sz="4" w:space="0" w:color="000000"/>
              <w:left w:val="single" w:sz="4" w:space="0" w:color="000000"/>
              <w:right w:val="single" w:sz="4" w:space="0" w:color="000000"/>
            </w:tcBorders>
          </w:tcPr>
          <w:p>
            <w:pPr>
              <w:pStyle w:val="TableParagraph"/>
              <w:spacing w:before="61"/>
              <w:ind w:left="38"/>
              <w:rPr>
                <w:sz w:val="18"/>
              </w:rPr>
            </w:pPr>
            <w:r>
              <w:rPr>
                <w:sz w:val="18"/>
              </w:rPr>
              <w:t>Hamid</w:t>
            </w:r>
          </w:p>
        </w:tc>
        <w:tc>
          <w:tcPr>
            <w:tcW w:w="1224" w:type="dxa"/>
            <w:tcBorders>
              <w:top w:val="single" w:sz="4" w:space="0" w:color="000000"/>
              <w:left w:val="single" w:sz="4" w:space="0" w:color="000000"/>
              <w:right w:val="single" w:sz="4" w:space="0" w:color="000000"/>
            </w:tcBorders>
          </w:tcPr>
          <w:p>
            <w:pPr>
              <w:pStyle w:val="TableParagraph"/>
              <w:spacing w:before="61"/>
              <w:ind w:left="38" w:right="206"/>
              <w:rPr>
                <w:sz w:val="18"/>
              </w:rPr>
            </w:pPr>
            <w:r>
              <w:rPr>
                <w:sz w:val="18"/>
              </w:rPr>
              <w:t>Sher Muhammad</w:t>
            </w:r>
          </w:p>
        </w:tc>
        <w:tc>
          <w:tcPr>
            <w:tcW w:w="1538" w:type="dxa"/>
            <w:tcBorders>
              <w:top w:val="single" w:sz="4" w:space="0" w:color="000000"/>
              <w:left w:val="single" w:sz="4" w:space="0" w:color="000000"/>
              <w:right w:val="single" w:sz="4" w:space="0" w:color="000000"/>
            </w:tcBorders>
          </w:tcPr>
          <w:p>
            <w:pPr>
              <w:pStyle w:val="TableParagraph"/>
              <w:spacing w:before="61"/>
              <w:ind w:left="20" w:right="47"/>
              <w:jc w:val="center"/>
              <w:rPr>
                <w:sz w:val="18"/>
              </w:rPr>
            </w:pPr>
            <w:r>
              <w:rPr>
                <w:sz w:val="18"/>
              </w:rPr>
              <w:t>42301-6225138-1</w:t>
            </w:r>
          </w:p>
        </w:tc>
        <w:tc>
          <w:tcPr>
            <w:tcW w:w="1344" w:type="dxa"/>
            <w:tcBorders>
              <w:top w:val="single" w:sz="4" w:space="0" w:color="000000"/>
              <w:left w:val="single" w:sz="4" w:space="0" w:color="000000"/>
              <w:right w:val="single" w:sz="4" w:space="0" w:color="000000"/>
            </w:tcBorders>
          </w:tcPr>
          <w:p>
            <w:pPr>
              <w:pStyle w:val="TableParagraph"/>
              <w:spacing w:before="61"/>
              <w:ind w:left="35"/>
              <w:rPr>
                <w:sz w:val="18"/>
              </w:rPr>
            </w:pPr>
            <w:r>
              <w:rPr>
                <w:sz w:val="18"/>
              </w:rPr>
              <w:t>North Karachi</w:t>
            </w:r>
          </w:p>
        </w:tc>
        <w:tc>
          <w:tcPr>
            <w:tcW w:w="1747" w:type="dxa"/>
            <w:tcBorders>
              <w:top w:val="single" w:sz="4" w:space="0" w:color="000000"/>
              <w:left w:val="single" w:sz="4" w:space="0" w:color="000000"/>
              <w:right w:val="single" w:sz="4" w:space="0" w:color="000000"/>
            </w:tcBorders>
          </w:tcPr>
          <w:p>
            <w:pPr>
              <w:pStyle w:val="TableParagraph"/>
              <w:spacing w:before="61"/>
              <w:ind w:left="38"/>
              <w:rPr>
                <w:sz w:val="18"/>
              </w:rPr>
            </w:pPr>
            <w:r>
              <w:rPr>
                <w:sz w:val="18"/>
              </w:rPr>
              <w:t>Kala Pull</w:t>
            </w:r>
          </w:p>
        </w:tc>
        <w:tc>
          <w:tcPr>
            <w:tcW w:w="1217" w:type="dxa"/>
            <w:tcBorders>
              <w:top w:val="single" w:sz="4" w:space="0" w:color="000000"/>
              <w:left w:val="single" w:sz="4" w:space="0" w:color="000000"/>
              <w:right w:val="single" w:sz="4" w:space="0" w:color="000000"/>
            </w:tcBorders>
          </w:tcPr>
          <w:p>
            <w:pPr>
              <w:pStyle w:val="TableParagraph"/>
              <w:spacing w:before="61"/>
              <w:ind w:right="65"/>
              <w:jc w:val="right"/>
              <w:rPr>
                <w:sz w:val="18"/>
              </w:rPr>
            </w:pPr>
            <w:r>
              <w:rPr>
                <w:sz w:val="18"/>
              </w:rPr>
              <w:t>03002824383</w:t>
            </w:r>
          </w:p>
        </w:tc>
        <w:tc>
          <w:tcPr>
            <w:tcW w:w="1262" w:type="dxa"/>
            <w:tcBorders>
              <w:top w:val="single" w:sz="4" w:space="0" w:color="000000"/>
              <w:left w:val="single" w:sz="4" w:space="0" w:color="000000"/>
              <w:right w:val="single" w:sz="4" w:space="0" w:color="000000"/>
            </w:tcBorders>
          </w:tcPr>
          <w:p>
            <w:pPr>
              <w:pStyle w:val="TableParagraph"/>
              <w:spacing w:before="61"/>
              <w:ind w:left="38"/>
              <w:rPr>
                <w:sz w:val="18"/>
              </w:rPr>
            </w:pPr>
            <w:r>
              <w:rPr>
                <w:sz w:val="18"/>
              </w:rPr>
              <w:t>Blinds (Chiks)</w:t>
            </w:r>
          </w:p>
        </w:tc>
        <w:tc>
          <w:tcPr>
            <w:tcW w:w="1150" w:type="dxa"/>
            <w:tcBorders>
              <w:top w:val="single" w:sz="4" w:space="0" w:color="000000"/>
              <w:left w:val="single" w:sz="4" w:space="0" w:color="000000"/>
            </w:tcBorders>
          </w:tcPr>
          <w:p>
            <w:pPr>
              <w:pStyle w:val="TableParagraph"/>
              <w:spacing w:before="61"/>
              <w:ind w:left="38" w:right="432"/>
              <w:rPr>
                <w:sz w:val="18"/>
              </w:rPr>
            </w:pPr>
            <w:r>
              <w:rPr>
                <w:sz w:val="18"/>
              </w:rPr>
              <w:t>Shops Display Material</w:t>
            </w:r>
          </w:p>
        </w:tc>
      </w:tr>
    </w:tbl>
    <w:p>
      <w:pPr>
        <w:spacing w:after="0"/>
        <w:rPr>
          <w:sz w:val="18"/>
        </w:rPr>
        <w:sectPr>
          <w:pgSz w:w="16840" w:h="11910" w:orient="landscape"/>
          <w:pgMar w:header="583" w:footer="575" w:top="840" w:bottom="760" w:left="860" w:right="12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6"/>
        </w:rPr>
      </w:pPr>
    </w:p>
    <w:tbl>
      <w:tblPr>
        <w:tblW w:w="0" w:type="auto"/>
        <w:jc w:val="left"/>
        <w:tblInd w:w="89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94"/>
        <w:gridCol w:w="526"/>
        <w:gridCol w:w="910"/>
        <w:gridCol w:w="926"/>
        <w:gridCol w:w="1400"/>
        <w:gridCol w:w="1224"/>
        <w:gridCol w:w="1538"/>
        <w:gridCol w:w="1344"/>
        <w:gridCol w:w="1747"/>
        <w:gridCol w:w="1217"/>
        <w:gridCol w:w="1262"/>
        <w:gridCol w:w="1150"/>
      </w:tblGrid>
      <w:tr>
        <w:trPr>
          <w:trHeight w:val="504" w:hRule="exact"/>
        </w:trPr>
        <w:tc>
          <w:tcPr>
            <w:tcW w:w="394" w:type="dxa"/>
            <w:vMerge w:val="restart"/>
            <w:tcBorders>
              <w:right w:val="single" w:sz="4" w:space="0" w:color="000000"/>
            </w:tcBorders>
            <w:shd w:val="clear" w:color="auto" w:fill="D9D9D9"/>
          </w:tcPr>
          <w:p>
            <w:pPr>
              <w:pStyle w:val="TableParagraph"/>
              <w:ind w:left="91"/>
              <w:rPr>
                <w:b/>
                <w:sz w:val="18"/>
              </w:rPr>
            </w:pPr>
            <w:r>
              <w:rPr>
                <w:b/>
                <w:sz w:val="18"/>
              </w:rPr>
              <w:t>ID</w:t>
            </w:r>
          </w:p>
        </w:tc>
        <w:tc>
          <w:tcPr>
            <w:tcW w:w="526" w:type="dxa"/>
            <w:vMerge w:val="restart"/>
            <w:tcBorders>
              <w:left w:val="single" w:sz="4" w:space="0" w:color="000000"/>
              <w:right w:val="single" w:sz="4" w:space="0" w:color="000000"/>
            </w:tcBorders>
            <w:shd w:val="clear" w:color="auto" w:fill="D9D9D9"/>
            <w:textDirection w:val="btLr"/>
          </w:tcPr>
          <w:p>
            <w:pPr>
              <w:pStyle w:val="TableParagraph"/>
              <w:spacing w:line="247" w:lineRule="auto" w:before="102"/>
              <w:ind w:left="112" w:right="131"/>
              <w:rPr>
                <w:b/>
                <w:sz w:val="18"/>
              </w:rPr>
            </w:pPr>
            <w:r>
              <w:rPr>
                <w:b/>
                <w:w w:val="99"/>
                <w:sz w:val="18"/>
              </w:rPr>
              <w:t>Se</w:t>
            </w:r>
            <w:r>
              <w:rPr>
                <w:b/>
                <w:sz w:val="18"/>
              </w:rPr>
              <w:t>g</w:t>
            </w:r>
            <w:r>
              <w:rPr>
                <w:b/>
                <w:spacing w:val="1"/>
                <w:sz w:val="18"/>
              </w:rPr>
              <w:t>m</w:t>
            </w:r>
            <w:r>
              <w:rPr>
                <w:b/>
                <w:w w:val="99"/>
                <w:sz w:val="18"/>
              </w:rPr>
              <w:t>e</w:t>
            </w:r>
            <w:r>
              <w:rPr>
                <w:b/>
                <w:w w:val="100"/>
                <w:sz w:val="18"/>
              </w:rPr>
              <w:t>nt No.</w:t>
            </w:r>
          </w:p>
        </w:tc>
        <w:tc>
          <w:tcPr>
            <w:tcW w:w="1836" w:type="dxa"/>
            <w:gridSpan w:val="2"/>
            <w:tcBorders>
              <w:left w:val="single" w:sz="4" w:space="0" w:color="000000"/>
              <w:bottom w:val="single" w:sz="4" w:space="0" w:color="000000"/>
              <w:right w:val="single" w:sz="4" w:space="0" w:color="000000"/>
            </w:tcBorders>
            <w:shd w:val="clear" w:color="auto" w:fill="D9D9D9"/>
          </w:tcPr>
          <w:p>
            <w:pPr>
              <w:pStyle w:val="TableParagraph"/>
              <w:ind w:left="386"/>
              <w:rPr>
                <w:b/>
                <w:sz w:val="18"/>
              </w:rPr>
            </w:pPr>
            <w:r>
              <w:rPr>
                <w:b/>
                <w:sz w:val="18"/>
              </w:rPr>
              <w:t>Coordinates</w:t>
            </w:r>
          </w:p>
        </w:tc>
        <w:tc>
          <w:tcPr>
            <w:tcW w:w="1400" w:type="dxa"/>
            <w:vMerge w:val="restart"/>
            <w:tcBorders>
              <w:left w:val="single" w:sz="4" w:space="0" w:color="000000"/>
              <w:right w:val="single" w:sz="4" w:space="0" w:color="000000"/>
            </w:tcBorders>
            <w:shd w:val="clear" w:color="auto" w:fill="D9D9D9"/>
          </w:tcPr>
          <w:p>
            <w:pPr>
              <w:pStyle w:val="TableParagraph"/>
              <w:ind w:left="448" w:right="158" w:hanging="276"/>
              <w:rPr>
                <w:b/>
                <w:sz w:val="18"/>
              </w:rPr>
            </w:pPr>
            <w:r>
              <w:rPr>
                <w:b/>
                <w:sz w:val="18"/>
              </w:rPr>
              <w:t>Respondent Name</w:t>
            </w:r>
          </w:p>
        </w:tc>
        <w:tc>
          <w:tcPr>
            <w:tcW w:w="1224" w:type="dxa"/>
            <w:vMerge w:val="restart"/>
            <w:tcBorders>
              <w:left w:val="single" w:sz="4" w:space="0" w:color="000000"/>
              <w:right w:val="single" w:sz="4" w:space="0" w:color="000000"/>
            </w:tcBorders>
            <w:shd w:val="clear" w:color="auto" w:fill="D9D9D9"/>
          </w:tcPr>
          <w:p>
            <w:pPr>
              <w:pStyle w:val="TableParagraph"/>
              <w:ind w:left="362" w:right="243" w:hanging="104"/>
              <w:rPr>
                <w:b/>
                <w:sz w:val="18"/>
              </w:rPr>
            </w:pPr>
            <w:r>
              <w:rPr>
                <w:b/>
                <w:sz w:val="18"/>
              </w:rPr>
              <w:t>Father's Name</w:t>
            </w:r>
          </w:p>
        </w:tc>
        <w:tc>
          <w:tcPr>
            <w:tcW w:w="1538" w:type="dxa"/>
            <w:vMerge w:val="restart"/>
            <w:tcBorders>
              <w:left w:val="single" w:sz="4" w:space="0" w:color="000000"/>
              <w:right w:val="single" w:sz="4" w:space="0" w:color="000000"/>
            </w:tcBorders>
            <w:shd w:val="clear" w:color="auto" w:fill="D9D9D9"/>
          </w:tcPr>
          <w:p>
            <w:pPr>
              <w:pStyle w:val="TableParagraph"/>
              <w:ind w:left="38" w:right="70"/>
              <w:rPr>
                <w:b/>
                <w:sz w:val="18"/>
              </w:rPr>
            </w:pPr>
            <w:r>
              <w:rPr>
                <w:b/>
                <w:sz w:val="18"/>
              </w:rPr>
              <w:t>Respondent NIC No.</w:t>
            </w:r>
          </w:p>
        </w:tc>
        <w:tc>
          <w:tcPr>
            <w:tcW w:w="1344" w:type="dxa"/>
            <w:vMerge w:val="restart"/>
            <w:tcBorders>
              <w:left w:val="single" w:sz="4" w:space="0" w:color="000000"/>
              <w:right w:val="single" w:sz="4" w:space="0" w:color="000000"/>
            </w:tcBorders>
            <w:shd w:val="clear" w:color="auto" w:fill="D9D9D9"/>
          </w:tcPr>
          <w:p>
            <w:pPr>
              <w:pStyle w:val="TableParagraph"/>
              <w:ind w:left="335" w:right="186" w:hanging="137"/>
              <w:rPr>
                <w:b/>
                <w:sz w:val="18"/>
              </w:rPr>
            </w:pPr>
            <w:r>
              <w:rPr>
                <w:b/>
                <w:sz w:val="18"/>
              </w:rPr>
              <w:t>Address in Karachi</w:t>
            </w:r>
          </w:p>
        </w:tc>
        <w:tc>
          <w:tcPr>
            <w:tcW w:w="1747" w:type="dxa"/>
            <w:vMerge w:val="restart"/>
            <w:tcBorders>
              <w:left w:val="single" w:sz="4" w:space="0" w:color="000000"/>
              <w:right w:val="single" w:sz="4" w:space="0" w:color="000000"/>
            </w:tcBorders>
            <w:shd w:val="clear" w:color="auto" w:fill="D9D9D9"/>
          </w:tcPr>
          <w:p>
            <w:pPr>
              <w:pStyle w:val="TableParagraph"/>
              <w:ind w:left="127"/>
              <w:rPr>
                <w:b/>
                <w:sz w:val="18"/>
              </w:rPr>
            </w:pPr>
            <w:r>
              <w:rPr>
                <w:b/>
                <w:sz w:val="18"/>
              </w:rPr>
              <w:t>Vending Address</w:t>
            </w:r>
          </w:p>
        </w:tc>
        <w:tc>
          <w:tcPr>
            <w:tcW w:w="1217" w:type="dxa"/>
            <w:vMerge w:val="restart"/>
            <w:tcBorders>
              <w:left w:val="single" w:sz="4" w:space="0" w:color="000000"/>
              <w:right w:val="single" w:sz="4" w:space="0" w:color="000000"/>
            </w:tcBorders>
            <w:shd w:val="clear" w:color="auto" w:fill="D9D9D9"/>
          </w:tcPr>
          <w:p>
            <w:pPr>
              <w:pStyle w:val="TableParagraph"/>
              <w:ind w:left="148"/>
              <w:rPr>
                <w:b/>
                <w:sz w:val="18"/>
              </w:rPr>
            </w:pPr>
            <w:r>
              <w:rPr>
                <w:b/>
                <w:sz w:val="18"/>
              </w:rPr>
              <w:t>Mobile No.</w:t>
            </w:r>
          </w:p>
        </w:tc>
        <w:tc>
          <w:tcPr>
            <w:tcW w:w="1262" w:type="dxa"/>
            <w:vMerge w:val="restart"/>
            <w:tcBorders>
              <w:left w:val="single" w:sz="4" w:space="0" w:color="000000"/>
              <w:right w:val="single" w:sz="4" w:space="0" w:color="000000"/>
            </w:tcBorders>
            <w:shd w:val="clear" w:color="auto" w:fill="D9D9D9"/>
          </w:tcPr>
          <w:p>
            <w:pPr>
              <w:pStyle w:val="TableParagraph"/>
              <w:ind w:left="105" w:right="104" w:hanging="2"/>
              <w:jc w:val="center"/>
              <w:rPr>
                <w:b/>
                <w:sz w:val="18"/>
              </w:rPr>
            </w:pPr>
            <w:r>
              <w:rPr>
                <w:b/>
                <w:sz w:val="18"/>
              </w:rPr>
              <w:t>Kind of Goods Sale/ Service</w:t>
            </w:r>
          </w:p>
        </w:tc>
        <w:tc>
          <w:tcPr>
            <w:tcW w:w="1150" w:type="dxa"/>
            <w:vMerge w:val="restart"/>
            <w:tcBorders>
              <w:left w:val="single" w:sz="4" w:space="0" w:color="000000"/>
            </w:tcBorders>
            <w:shd w:val="clear" w:color="auto" w:fill="D9D9D9"/>
          </w:tcPr>
          <w:p>
            <w:pPr>
              <w:pStyle w:val="TableParagraph"/>
              <w:ind w:left="170" w:right="140" w:firstLine="79"/>
              <w:rPr>
                <w:b/>
                <w:sz w:val="18"/>
              </w:rPr>
            </w:pPr>
            <w:r>
              <w:rPr>
                <w:b/>
                <w:sz w:val="18"/>
              </w:rPr>
              <w:t>Type of Structure</w:t>
            </w:r>
          </w:p>
        </w:tc>
      </w:tr>
      <w:tr>
        <w:trPr>
          <w:trHeight w:val="540" w:hRule="exact"/>
        </w:trPr>
        <w:tc>
          <w:tcPr>
            <w:tcW w:w="394" w:type="dxa"/>
            <w:vMerge/>
            <w:tcBorders>
              <w:bottom w:val="single" w:sz="4" w:space="0" w:color="000000"/>
              <w:right w:val="single" w:sz="4" w:space="0" w:color="000000"/>
            </w:tcBorders>
            <w:shd w:val="clear" w:color="auto" w:fill="D9D9D9"/>
          </w:tcPr>
          <w:p>
            <w:pPr/>
          </w:p>
        </w:tc>
        <w:tc>
          <w:tcPr>
            <w:tcW w:w="526" w:type="dxa"/>
            <w:vMerge/>
            <w:tcBorders>
              <w:left w:val="single" w:sz="4" w:space="0" w:color="000000"/>
              <w:bottom w:val="single" w:sz="4" w:space="0" w:color="000000"/>
              <w:right w:val="single" w:sz="4" w:space="0" w:color="000000"/>
            </w:tcBorders>
            <w:shd w:val="clear" w:color="auto" w:fill="D9D9D9"/>
            <w:textDirection w:val="btLr"/>
          </w:tcPr>
          <w:p>
            <w:pPr/>
          </w:p>
        </w:tc>
        <w:tc>
          <w:tcPr>
            <w:tcW w:w="91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160"/>
              <w:ind w:left="74"/>
              <w:rPr>
                <w:b/>
                <w:sz w:val="18"/>
              </w:rPr>
            </w:pPr>
            <w:r>
              <w:rPr>
                <w:b/>
                <w:sz w:val="18"/>
              </w:rPr>
              <w:t>Northing</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160"/>
              <w:ind w:left="37" w:right="37"/>
              <w:jc w:val="center"/>
              <w:rPr>
                <w:b/>
                <w:sz w:val="18"/>
              </w:rPr>
            </w:pPr>
            <w:r>
              <w:rPr>
                <w:b/>
                <w:sz w:val="18"/>
              </w:rPr>
              <w:t>Easting</w:t>
            </w:r>
          </w:p>
        </w:tc>
        <w:tc>
          <w:tcPr>
            <w:tcW w:w="1400" w:type="dxa"/>
            <w:vMerge/>
            <w:tcBorders>
              <w:left w:val="single" w:sz="4" w:space="0" w:color="000000"/>
              <w:bottom w:val="single" w:sz="4" w:space="0" w:color="000000"/>
              <w:right w:val="single" w:sz="4" w:space="0" w:color="000000"/>
            </w:tcBorders>
            <w:shd w:val="clear" w:color="auto" w:fill="D9D9D9"/>
          </w:tcPr>
          <w:p>
            <w:pPr/>
          </w:p>
        </w:tc>
        <w:tc>
          <w:tcPr>
            <w:tcW w:w="1224" w:type="dxa"/>
            <w:vMerge/>
            <w:tcBorders>
              <w:left w:val="single" w:sz="4" w:space="0" w:color="000000"/>
              <w:bottom w:val="single" w:sz="4" w:space="0" w:color="000000"/>
              <w:right w:val="single" w:sz="4" w:space="0" w:color="000000"/>
            </w:tcBorders>
            <w:shd w:val="clear" w:color="auto" w:fill="D9D9D9"/>
          </w:tcPr>
          <w:p>
            <w:pPr/>
          </w:p>
        </w:tc>
        <w:tc>
          <w:tcPr>
            <w:tcW w:w="1538" w:type="dxa"/>
            <w:vMerge/>
            <w:tcBorders>
              <w:left w:val="single" w:sz="4" w:space="0" w:color="000000"/>
              <w:bottom w:val="single" w:sz="4" w:space="0" w:color="000000"/>
              <w:right w:val="single" w:sz="4" w:space="0" w:color="000000"/>
            </w:tcBorders>
            <w:shd w:val="clear" w:color="auto" w:fill="D9D9D9"/>
          </w:tcPr>
          <w:p>
            <w:pPr/>
          </w:p>
        </w:tc>
        <w:tc>
          <w:tcPr>
            <w:tcW w:w="1344" w:type="dxa"/>
            <w:vMerge/>
            <w:tcBorders>
              <w:left w:val="single" w:sz="4" w:space="0" w:color="000000"/>
              <w:bottom w:val="single" w:sz="4" w:space="0" w:color="000000"/>
              <w:right w:val="single" w:sz="4" w:space="0" w:color="000000"/>
            </w:tcBorders>
            <w:shd w:val="clear" w:color="auto" w:fill="D9D9D9"/>
          </w:tcPr>
          <w:p>
            <w:pPr/>
          </w:p>
        </w:tc>
        <w:tc>
          <w:tcPr>
            <w:tcW w:w="1747" w:type="dxa"/>
            <w:vMerge/>
            <w:tcBorders>
              <w:left w:val="single" w:sz="4" w:space="0" w:color="000000"/>
              <w:bottom w:val="single" w:sz="4" w:space="0" w:color="000000"/>
              <w:right w:val="single" w:sz="4" w:space="0" w:color="000000"/>
            </w:tcBorders>
            <w:shd w:val="clear" w:color="auto" w:fill="D9D9D9"/>
          </w:tcPr>
          <w:p>
            <w:pPr/>
          </w:p>
        </w:tc>
        <w:tc>
          <w:tcPr>
            <w:tcW w:w="1217" w:type="dxa"/>
            <w:vMerge/>
            <w:tcBorders>
              <w:left w:val="single" w:sz="4" w:space="0" w:color="000000"/>
              <w:bottom w:val="single" w:sz="4" w:space="0" w:color="000000"/>
              <w:right w:val="single" w:sz="4" w:space="0" w:color="000000"/>
            </w:tcBorders>
            <w:shd w:val="clear" w:color="auto" w:fill="D9D9D9"/>
          </w:tcPr>
          <w:p>
            <w:pPr/>
          </w:p>
        </w:tc>
        <w:tc>
          <w:tcPr>
            <w:tcW w:w="1262" w:type="dxa"/>
            <w:vMerge/>
            <w:tcBorders>
              <w:left w:val="single" w:sz="4" w:space="0" w:color="000000"/>
              <w:bottom w:val="single" w:sz="4" w:space="0" w:color="000000"/>
              <w:right w:val="single" w:sz="4" w:space="0" w:color="000000"/>
            </w:tcBorders>
            <w:shd w:val="clear" w:color="auto" w:fill="D9D9D9"/>
          </w:tcPr>
          <w:p>
            <w:pPr/>
          </w:p>
        </w:tc>
        <w:tc>
          <w:tcPr>
            <w:tcW w:w="1150" w:type="dxa"/>
            <w:vMerge/>
            <w:tcBorders>
              <w:left w:val="single" w:sz="4" w:space="0" w:color="000000"/>
              <w:bottom w:val="single" w:sz="4" w:space="0" w:color="000000"/>
            </w:tcBorders>
            <w:shd w:val="clear" w:color="auto" w:fill="D9D9D9"/>
          </w:tcPr>
          <w:p>
            <w:pPr/>
          </w:p>
        </w:tc>
      </w:tr>
      <w:tr>
        <w:trPr>
          <w:trHeight w:val="751"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72</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5</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24 50.916</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67 03.236</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ight="381"/>
              <w:rPr>
                <w:sz w:val="18"/>
              </w:rPr>
            </w:pPr>
            <w:r>
              <w:rPr>
                <w:sz w:val="18"/>
              </w:rPr>
              <w:t>Muhammad Ilyas</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ight="206"/>
              <w:rPr>
                <w:sz w:val="18"/>
              </w:rPr>
            </w:pPr>
            <w:r>
              <w:rPr>
                <w:sz w:val="18"/>
              </w:rPr>
              <w:t>Wali Muhammad</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42501-0816023-1</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ight="179"/>
              <w:rPr>
                <w:sz w:val="18"/>
              </w:rPr>
            </w:pPr>
            <w:r>
              <w:rPr>
                <w:sz w:val="18"/>
              </w:rPr>
              <w:t>Muzaffarabad Colony</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Kala Pull</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03072450699</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Flower Shop</w:t>
            </w:r>
          </w:p>
        </w:tc>
        <w:tc>
          <w:tcPr>
            <w:tcW w:w="1150" w:type="dxa"/>
            <w:tcBorders>
              <w:top w:val="single" w:sz="4" w:space="0" w:color="000000"/>
              <w:left w:val="single" w:sz="4" w:space="0" w:color="000000"/>
              <w:bottom w:val="single" w:sz="4" w:space="0" w:color="000000"/>
            </w:tcBorders>
          </w:tcPr>
          <w:p>
            <w:pPr>
              <w:pStyle w:val="TableParagraph"/>
              <w:ind w:left="38" w:right="432"/>
              <w:rPr>
                <w:sz w:val="18"/>
              </w:rPr>
            </w:pPr>
            <w:r>
              <w:rPr>
                <w:sz w:val="18"/>
              </w:rPr>
              <w:t>Shops Display Material</w:t>
            </w:r>
          </w:p>
        </w:tc>
      </w:tr>
      <w:tr>
        <w:trPr>
          <w:trHeight w:val="752"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73</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5</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24 50.916</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67 03.236</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Rashid Ahmed</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ight="206"/>
              <w:rPr>
                <w:sz w:val="18"/>
              </w:rPr>
            </w:pPr>
            <w:r>
              <w:rPr>
                <w:sz w:val="18"/>
              </w:rPr>
              <w:t>Muhammad Aslam</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145"/>
              <w:jc w:val="center"/>
              <w:rPr>
                <w:sz w:val="18"/>
              </w:rPr>
            </w:pPr>
            <w:r>
              <w:rPr>
                <w:sz w:val="18"/>
              </w:rPr>
              <w:t>42301-224362-1</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ight="119"/>
              <w:rPr>
                <w:sz w:val="18"/>
              </w:rPr>
            </w:pPr>
            <w:r>
              <w:rPr>
                <w:sz w:val="18"/>
              </w:rPr>
              <w:t>Masoom Shah Colony</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Kala Pull</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03213875630</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Cot Selling</w:t>
            </w:r>
          </w:p>
        </w:tc>
        <w:tc>
          <w:tcPr>
            <w:tcW w:w="1150" w:type="dxa"/>
            <w:tcBorders>
              <w:top w:val="single" w:sz="4" w:space="0" w:color="000000"/>
              <w:left w:val="single" w:sz="4" w:space="0" w:color="000000"/>
              <w:bottom w:val="single" w:sz="4" w:space="0" w:color="000000"/>
            </w:tcBorders>
          </w:tcPr>
          <w:p>
            <w:pPr>
              <w:pStyle w:val="TableParagraph"/>
              <w:ind w:left="38" w:right="432"/>
              <w:rPr>
                <w:sz w:val="18"/>
              </w:rPr>
            </w:pPr>
            <w:r>
              <w:rPr>
                <w:sz w:val="18"/>
              </w:rPr>
              <w:t>Shops Display Material</w:t>
            </w:r>
          </w:p>
        </w:tc>
      </w:tr>
      <w:tr>
        <w:trPr>
          <w:trHeight w:val="749"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74</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5</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24 50.916</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67 03.236</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ight="431"/>
              <w:rPr>
                <w:sz w:val="18"/>
              </w:rPr>
            </w:pPr>
            <w:r>
              <w:rPr>
                <w:sz w:val="18"/>
              </w:rPr>
              <w:t>Syed Zafar Iqbal Gilani</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ight="26"/>
              <w:rPr>
                <w:sz w:val="18"/>
              </w:rPr>
            </w:pPr>
            <w:r>
              <w:rPr>
                <w:sz w:val="18"/>
              </w:rPr>
              <w:t>Syed Ghulam Qumias Gilani</w:t>
            </w:r>
          </w:p>
        </w:tc>
        <w:tc>
          <w:tcPr>
            <w:tcW w:w="1538" w:type="dxa"/>
            <w:tcBorders>
              <w:top w:val="single" w:sz="4" w:space="0" w:color="000000"/>
              <w:left w:val="single" w:sz="4" w:space="0" w:color="000000"/>
              <w:bottom w:val="single" w:sz="4" w:space="0" w:color="000000"/>
              <w:right w:val="single" w:sz="4" w:space="0" w:color="000000"/>
            </w:tcBorders>
          </w:tcPr>
          <w:p>
            <w:pP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Taser Town</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Kala Pull</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03452444611</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ight="374"/>
              <w:rPr>
                <w:sz w:val="18"/>
              </w:rPr>
            </w:pPr>
            <w:r>
              <w:rPr>
                <w:sz w:val="18"/>
              </w:rPr>
              <w:t>Epitaph Inscription</w:t>
            </w:r>
          </w:p>
        </w:tc>
        <w:tc>
          <w:tcPr>
            <w:tcW w:w="1150" w:type="dxa"/>
            <w:tcBorders>
              <w:top w:val="single" w:sz="4" w:space="0" w:color="000000"/>
              <w:left w:val="single" w:sz="4" w:space="0" w:color="000000"/>
              <w:bottom w:val="single" w:sz="4" w:space="0" w:color="000000"/>
            </w:tcBorders>
          </w:tcPr>
          <w:p>
            <w:pPr>
              <w:pStyle w:val="TableParagraph"/>
              <w:ind w:left="38" w:right="432"/>
              <w:rPr>
                <w:sz w:val="18"/>
              </w:rPr>
            </w:pPr>
            <w:r>
              <w:rPr>
                <w:sz w:val="18"/>
              </w:rPr>
              <w:t>Shops Display Material</w:t>
            </w:r>
          </w:p>
        </w:tc>
      </w:tr>
      <w:tr>
        <w:trPr>
          <w:trHeight w:val="751" w:hRule="exact"/>
        </w:trPr>
        <w:tc>
          <w:tcPr>
            <w:tcW w:w="394" w:type="dxa"/>
            <w:tcBorders>
              <w:top w:val="single" w:sz="4" w:space="0" w:color="000000"/>
              <w:bottom w:val="single" w:sz="4" w:space="0" w:color="000000"/>
              <w:right w:val="single" w:sz="4" w:space="0" w:color="000000"/>
            </w:tcBorders>
          </w:tcPr>
          <w:p>
            <w:pPr>
              <w:pStyle w:val="TableParagraph"/>
              <w:spacing w:before="61"/>
              <w:ind w:left="63" w:right="70"/>
              <w:jc w:val="center"/>
              <w:rPr>
                <w:sz w:val="18"/>
              </w:rPr>
            </w:pPr>
            <w:r>
              <w:rPr>
                <w:sz w:val="18"/>
              </w:rPr>
              <w:t>75</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spacing w:before="61"/>
              <w:ind w:right="1"/>
              <w:jc w:val="center"/>
              <w:rPr>
                <w:sz w:val="18"/>
              </w:rPr>
            </w:pPr>
            <w:r>
              <w:rPr>
                <w:w w:val="99"/>
                <w:sz w:val="18"/>
              </w:rPr>
              <w:t>5</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before="61"/>
              <w:ind w:left="47"/>
              <w:rPr>
                <w:sz w:val="18"/>
              </w:rPr>
            </w:pPr>
            <w:r>
              <w:rPr>
                <w:sz w:val="18"/>
              </w:rPr>
              <w:t>24 50.916</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before="61"/>
              <w:ind w:left="37" w:right="37"/>
              <w:jc w:val="center"/>
              <w:rPr>
                <w:sz w:val="18"/>
              </w:rPr>
            </w:pPr>
            <w:r>
              <w:rPr>
                <w:sz w:val="18"/>
              </w:rPr>
              <w:t>67 03.236</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spacing w:before="61"/>
              <w:ind w:left="38" w:right="571"/>
              <w:rPr>
                <w:sz w:val="18"/>
              </w:rPr>
            </w:pPr>
            <w:r>
              <w:rPr>
                <w:sz w:val="18"/>
              </w:rPr>
              <w:t>Shakir Ali Qureshi</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spacing w:before="61"/>
              <w:ind w:left="38" w:right="206"/>
              <w:rPr>
                <w:sz w:val="18"/>
              </w:rPr>
            </w:pPr>
            <w:r>
              <w:rPr>
                <w:sz w:val="18"/>
              </w:rPr>
              <w:t>Muhammad Farooq</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spacing w:before="61"/>
              <w:ind w:left="20" w:right="47"/>
              <w:jc w:val="center"/>
              <w:rPr>
                <w:sz w:val="18"/>
              </w:rPr>
            </w:pPr>
            <w:r>
              <w:rPr>
                <w:sz w:val="18"/>
              </w:rPr>
              <w:t>42301-6345104-7</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spacing w:before="61"/>
              <w:ind w:left="35"/>
              <w:rPr>
                <w:sz w:val="18"/>
              </w:rPr>
            </w:pPr>
            <w:r>
              <w:rPr>
                <w:sz w:val="18"/>
              </w:rPr>
              <w:t>Bazratta Lane</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spacing w:before="61"/>
              <w:ind w:left="38"/>
              <w:rPr>
                <w:sz w:val="18"/>
              </w:rPr>
            </w:pPr>
            <w:r>
              <w:rPr>
                <w:sz w:val="18"/>
              </w:rPr>
              <w:t>Kala Pull</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spacing w:before="61"/>
              <w:ind w:right="65"/>
              <w:jc w:val="right"/>
              <w:rPr>
                <w:sz w:val="18"/>
              </w:rPr>
            </w:pPr>
            <w:r>
              <w:rPr>
                <w:sz w:val="18"/>
              </w:rPr>
              <w:t>03222100086</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spacing w:before="61"/>
              <w:ind w:left="38"/>
              <w:rPr>
                <w:sz w:val="18"/>
              </w:rPr>
            </w:pPr>
            <w:r>
              <w:rPr>
                <w:sz w:val="18"/>
              </w:rPr>
              <w:t>Flower Shop</w:t>
            </w:r>
          </w:p>
        </w:tc>
        <w:tc>
          <w:tcPr>
            <w:tcW w:w="1150" w:type="dxa"/>
            <w:tcBorders>
              <w:top w:val="single" w:sz="4" w:space="0" w:color="000000"/>
              <w:left w:val="single" w:sz="4" w:space="0" w:color="000000"/>
              <w:bottom w:val="single" w:sz="4" w:space="0" w:color="000000"/>
            </w:tcBorders>
          </w:tcPr>
          <w:p>
            <w:pPr>
              <w:pStyle w:val="TableParagraph"/>
              <w:spacing w:before="61"/>
              <w:ind w:left="38" w:right="432"/>
              <w:rPr>
                <w:sz w:val="18"/>
              </w:rPr>
            </w:pPr>
            <w:r>
              <w:rPr>
                <w:sz w:val="18"/>
              </w:rPr>
              <w:t>Shops Display Material</w:t>
            </w:r>
          </w:p>
        </w:tc>
      </w:tr>
      <w:tr>
        <w:trPr>
          <w:trHeight w:val="752"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76</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5</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24 50.916</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67 03.236</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Sabz Ali</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Abdul Majeed</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21103-0122822-5</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Baloch Colony</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Kala Pull</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03082212235</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ight="124"/>
              <w:rPr>
                <w:sz w:val="18"/>
              </w:rPr>
            </w:pPr>
            <w:r>
              <w:rPr>
                <w:sz w:val="18"/>
              </w:rPr>
              <w:t>Sun Glasses, Helmet and Used Bags</w:t>
            </w:r>
          </w:p>
        </w:tc>
        <w:tc>
          <w:tcPr>
            <w:tcW w:w="1150" w:type="dxa"/>
            <w:tcBorders>
              <w:top w:val="single" w:sz="4" w:space="0" w:color="000000"/>
              <w:left w:val="single" w:sz="4" w:space="0" w:color="000000"/>
              <w:bottom w:val="single" w:sz="4" w:space="0" w:color="000000"/>
            </w:tcBorders>
          </w:tcPr>
          <w:p>
            <w:pPr>
              <w:pStyle w:val="TableParagraph"/>
              <w:ind w:left="38"/>
              <w:rPr>
                <w:sz w:val="18"/>
              </w:rPr>
            </w:pPr>
            <w:r>
              <w:rPr>
                <w:sz w:val="18"/>
              </w:rPr>
              <w:t>Mobile Cart</w:t>
            </w:r>
          </w:p>
        </w:tc>
      </w:tr>
      <w:tr>
        <w:trPr>
          <w:trHeight w:val="545"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78</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5</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24 50.934</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67 03.258</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ight="381"/>
              <w:rPr>
                <w:sz w:val="18"/>
              </w:rPr>
            </w:pPr>
            <w:r>
              <w:rPr>
                <w:sz w:val="18"/>
              </w:rPr>
              <w:t>Muhammad Junaid</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Behram Khan</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15402-2484096-9</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Kala Pull</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Kala Pull</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03439889665</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Dry Fruit</w:t>
            </w:r>
          </w:p>
        </w:tc>
        <w:tc>
          <w:tcPr>
            <w:tcW w:w="1150" w:type="dxa"/>
            <w:tcBorders>
              <w:top w:val="single" w:sz="4" w:space="0" w:color="000000"/>
              <w:left w:val="single" w:sz="4" w:space="0" w:color="000000"/>
              <w:bottom w:val="single" w:sz="4" w:space="0" w:color="000000"/>
            </w:tcBorders>
          </w:tcPr>
          <w:p>
            <w:pPr>
              <w:pStyle w:val="TableParagraph"/>
              <w:ind w:left="38"/>
              <w:rPr>
                <w:sz w:val="18"/>
              </w:rPr>
            </w:pPr>
            <w:r>
              <w:rPr>
                <w:sz w:val="18"/>
              </w:rPr>
              <w:t>Mobile Cart</w:t>
            </w:r>
          </w:p>
        </w:tc>
      </w:tr>
      <w:tr>
        <w:trPr>
          <w:trHeight w:val="336"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79</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5</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24 50.934</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67 03.258</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Aamir Khan</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Khadi Khan</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42301-6171652-5</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Kala Pull</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Kala Pull</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03332464662</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Tuck Shop</w:t>
            </w:r>
          </w:p>
        </w:tc>
        <w:tc>
          <w:tcPr>
            <w:tcW w:w="1150" w:type="dxa"/>
            <w:tcBorders>
              <w:top w:val="single" w:sz="4" w:space="0" w:color="000000"/>
              <w:left w:val="single" w:sz="4" w:space="0" w:color="000000"/>
              <w:bottom w:val="single" w:sz="4" w:space="0" w:color="000000"/>
            </w:tcBorders>
          </w:tcPr>
          <w:p>
            <w:pPr>
              <w:pStyle w:val="TableParagraph"/>
              <w:ind w:left="38"/>
              <w:rPr>
                <w:sz w:val="18"/>
              </w:rPr>
            </w:pPr>
            <w:r>
              <w:rPr>
                <w:sz w:val="18"/>
              </w:rPr>
              <w:t>Kiosk</w:t>
            </w:r>
          </w:p>
        </w:tc>
      </w:tr>
      <w:tr>
        <w:trPr>
          <w:trHeight w:val="545"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80</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5</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24 50.934</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67 03.258</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Dildar Khan</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ight="316"/>
              <w:rPr>
                <w:sz w:val="18"/>
              </w:rPr>
            </w:pPr>
            <w:r>
              <w:rPr>
                <w:sz w:val="18"/>
              </w:rPr>
              <w:t>Shahwazir Khan</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17201-9814157-3</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Kala Pull</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Kala Pull</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03222341948</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ight="324"/>
              <w:rPr>
                <w:sz w:val="18"/>
              </w:rPr>
            </w:pPr>
            <w:r>
              <w:rPr>
                <w:sz w:val="18"/>
              </w:rPr>
              <w:t>Sugarcane Juice</w:t>
            </w:r>
          </w:p>
        </w:tc>
        <w:tc>
          <w:tcPr>
            <w:tcW w:w="1150" w:type="dxa"/>
            <w:tcBorders>
              <w:top w:val="single" w:sz="4" w:space="0" w:color="000000"/>
              <w:left w:val="single" w:sz="4" w:space="0" w:color="000000"/>
              <w:bottom w:val="single" w:sz="4" w:space="0" w:color="000000"/>
            </w:tcBorders>
          </w:tcPr>
          <w:p>
            <w:pPr>
              <w:pStyle w:val="TableParagraph"/>
              <w:ind w:left="38"/>
              <w:rPr>
                <w:sz w:val="18"/>
              </w:rPr>
            </w:pPr>
            <w:r>
              <w:rPr>
                <w:sz w:val="18"/>
              </w:rPr>
              <w:t>Mobile Cart</w:t>
            </w:r>
          </w:p>
        </w:tc>
      </w:tr>
      <w:tr>
        <w:trPr>
          <w:trHeight w:val="752"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81</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5</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24 50.934</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67 03.258</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Nisar Khan</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Raza Khan</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42301-1008738-1</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Kala Pull</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Kala Pull</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03131119399</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Cot Selling</w:t>
            </w:r>
          </w:p>
        </w:tc>
        <w:tc>
          <w:tcPr>
            <w:tcW w:w="1150" w:type="dxa"/>
            <w:tcBorders>
              <w:top w:val="single" w:sz="4" w:space="0" w:color="000000"/>
              <w:left w:val="single" w:sz="4" w:space="0" w:color="000000"/>
              <w:bottom w:val="single" w:sz="4" w:space="0" w:color="000000"/>
            </w:tcBorders>
          </w:tcPr>
          <w:p>
            <w:pPr>
              <w:pStyle w:val="TableParagraph"/>
              <w:ind w:left="38" w:right="432"/>
              <w:rPr>
                <w:sz w:val="18"/>
              </w:rPr>
            </w:pPr>
            <w:r>
              <w:rPr>
                <w:sz w:val="18"/>
              </w:rPr>
              <w:t>Shops Display Material</w:t>
            </w:r>
          </w:p>
        </w:tc>
      </w:tr>
      <w:tr>
        <w:trPr>
          <w:trHeight w:val="751"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82</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5</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24 50.934</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67 03.258</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Noor ul Haq</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ight="206"/>
              <w:rPr>
                <w:sz w:val="18"/>
              </w:rPr>
            </w:pPr>
            <w:r>
              <w:rPr>
                <w:sz w:val="18"/>
              </w:rPr>
              <w:t>Muhammad Afzal</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42301-9470020-7</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Kala Pull</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Kala Pull</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03109204491</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ight="244"/>
              <w:rPr>
                <w:sz w:val="18"/>
              </w:rPr>
            </w:pPr>
            <w:r>
              <w:rPr>
                <w:sz w:val="18"/>
              </w:rPr>
              <w:t>Bamboo &amp; Wood Store</w:t>
            </w:r>
          </w:p>
        </w:tc>
        <w:tc>
          <w:tcPr>
            <w:tcW w:w="1150" w:type="dxa"/>
            <w:tcBorders>
              <w:top w:val="single" w:sz="4" w:space="0" w:color="000000"/>
              <w:left w:val="single" w:sz="4" w:space="0" w:color="000000"/>
              <w:bottom w:val="single" w:sz="4" w:space="0" w:color="000000"/>
            </w:tcBorders>
          </w:tcPr>
          <w:p>
            <w:pPr>
              <w:pStyle w:val="TableParagraph"/>
              <w:ind w:left="38" w:right="432"/>
              <w:rPr>
                <w:sz w:val="18"/>
              </w:rPr>
            </w:pPr>
            <w:r>
              <w:rPr>
                <w:sz w:val="18"/>
              </w:rPr>
              <w:t>Shops Display Material</w:t>
            </w:r>
          </w:p>
        </w:tc>
      </w:tr>
      <w:tr>
        <w:trPr>
          <w:trHeight w:val="552" w:hRule="exact"/>
        </w:trPr>
        <w:tc>
          <w:tcPr>
            <w:tcW w:w="394" w:type="dxa"/>
            <w:tcBorders>
              <w:top w:val="single" w:sz="4" w:space="0" w:color="000000"/>
              <w:right w:val="single" w:sz="4" w:space="0" w:color="000000"/>
            </w:tcBorders>
          </w:tcPr>
          <w:p>
            <w:pPr>
              <w:pStyle w:val="TableParagraph"/>
              <w:ind w:left="63" w:right="70"/>
              <w:jc w:val="center"/>
              <w:rPr>
                <w:sz w:val="18"/>
              </w:rPr>
            </w:pPr>
            <w:r>
              <w:rPr>
                <w:sz w:val="18"/>
              </w:rPr>
              <w:t>83</w:t>
            </w:r>
          </w:p>
        </w:tc>
        <w:tc>
          <w:tcPr>
            <w:tcW w:w="526" w:type="dxa"/>
            <w:tcBorders>
              <w:top w:val="single" w:sz="4" w:space="0" w:color="000000"/>
              <w:left w:val="single" w:sz="4" w:space="0" w:color="000000"/>
              <w:right w:val="single" w:sz="4" w:space="0" w:color="000000"/>
            </w:tcBorders>
          </w:tcPr>
          <w:p>
            <w:pPr>
              <w:pStyle w:val="TableParagraph"/>
              <w:ind w:right="1"/>
              <w:jc w:val="center"/>
              <w:rPr>
                <w:sz w:val="18"/>
              </w:rPr>
            </w:pPr>
            <w:r>
              <w:rPr>
                <w:w w:val="99"/>
                <w:sz w:val="18"/>
              </w:rPr>
              <w:t>5</w:t>
            </w:r>
          </w:p>
        </w:tc>
        <w:tc>
          <w:tcPr>
            <w:tcW w:w="910" w:type="dxa"/>
            <w:tcBorders>
              <w:top w:val="single" w:sz="4" w:space="0" w:color="000000"/>
              <w:left w:val="single" w:sz="4" w:space="0" w:color="000000"/>
              <w:right w:val="single" w:sz="4" w:space="0" w:color="000000"/>
            </w:tcBorders>
          </w:tcPr>
          <w:p>
            <w:pPr>
              <w:pStyle w:val="TableParagraph"/>
              <w:ind w:left="47"/>
              <w:rPr>
                <w:sz w:val="18"/>
              </w:rPr>
            </w:pPr>
            <w:r>
              <w:rPr>
                <w:sz w:val="18"/>
              </w:rPr>
              <w:t>24 50.934</w:t>
            </w:r>
          </w:p>
        </w:tc>
        <w:tc>
          <w:tcPr>
            <w:tcW w:w="926" w:type="dxa"/>
            <w:tcBorders>
              <w:top w:val="single" w:sz="4" w:space="0" w:color="000000"/>
              <w:left w:val="single" w:sz="4" w:space="0" w:color="000000"/>
              <w:right w:val="single" w:sz="4" w:space="0" w:color="000000"/>
            </w:tcBorders>
          </w:tcPr>
          <w:p>
            <w:pPr>
              <w:pStyle w:val="TableParagraph"/>
              <w:ind w:left="38" w:right="37"/>
              <w:jc w:val="center"/>
              <w:rPr>
                <w:sz w:val="18"/>
              </w:rPr>
            </w:pPr>
            <w:r>
              <w:rPr>
                <w:sz w:val="18"/>
              </w:rPr>
              <w:t>67 03.258</w:t>
            </w:r>
          </w:p>
        </w:tc>
        <w:tc>
          <w:tcPr>
            <w:tcW w:w="1400" w:type="dxa"/>
            <w:tcBorders>
              <w:top w:val="single" w:sz="4" w:space="0" w:color="000000"/>
              <w:left w:val="single" w:sz="4" w:space="0" w:color="000000"/>
              <w:right w:val="single" w:sz="4" w:space="0" w:color="000000"/>
            </w:tcBorders>
          </w:tcPr>
          <w:p>
            <w:pPr>
              <w:pStyle w:val="TableParagraph"/>
              <w:ind w:left="38"/>
              <w:rPr>
                <w:sz w:val="18"/>
              </w:rPr>
            </w:pPr>
            <w:r>
              <w:rPr>
                <w:sz w:val="18"/>
              </w:rPr>
              <w:t>Asghar Ali</w:t>
            </w:r>
          </w:p>
        </w:tc>
        <w:tc>
          <w:tcPr>
            <w:tcW w:w="1224" w:type="dxa"/>
            <w:tcBorders>
              <w:top w:val="single" w:sz="4" w:space="0" w:color="000000"/>
              <w:left w:val="single" w:sz="4" w:space="0" w:color="000000"/>
              <w:right w:val="single" w:sz="4" w:space="0" w:color="000000"/>
            </w:tcBorders>
          </w:tcPr>
          <w:p>
            <w:pPr>
              <w:pStyle w:val="TableParagraph"/>
              <w:ind w:left="38" w:right="445"/>
              <w:rPr>
                <w:sz w:val="18"/>
              </w:rPr>
            </w:pPr>
            <w:r>
              <w:rPr>
                <w:sz w:val="18"/>
              </w:rPr>
              <w:t>Shah Badshah</w:t>
            </w:r>
          </w:p>
        </w:tc>
        <w:tc>
          <w:tcPr>
            <w:tcW w:w="1538" w:type="dxa"/>
            <w:tcBorders>
              <w:top w:val="single" w:sz="4" w:space="0" w:color="000000"/>
              <w:left w:val="single" w:sz="4" w:space="0" w:color="000000"/>
              <w:right w:val="single" w:sz="4" w:space="0" w:color="000000"/>
            </w:tcBorders>
          </w:tcPr>
          <w:p>
            <w:pPr>
              <w:pStyle w:val="TableParagraph"/>
              <w:ind w:left="20" w:right="47"/>
              <w:jc w:val="center"/>
              <w:rPr>
                <w:sz w:val="18"/>
              </w:rPr>
            </w:pPr>
            <w:r>
              <w:rPr>
                <w:sz w:val="18"/>
              </w:rPr>
              <w:t>42301-6401793-7</w:t>
            </w:r>
          </w:p>
        </w:tc>
        <w:tc>
          <w:tcPr>
            <w:tcW w:w="1344" w:type="dxa"/>
            <w:tcBorders>
              <w:top w:val="single" w:sz="4" w:space="0" w:color="000000"/>
              <w:left w:val="single" w:sz="4" w:space="0" w:color="000000"/>
              <w:right w:val="single" w:sz="4" w:space="0" w:color="000000"/>
            </w:tcBorders>
          </w:tcPr>
          <w:p>
            <w:pPr>
              <w:pStyle w:val="TableParagraph"/>
              <w:ind w:left="35"/>
              <w:rPr>
                <w:sz w:val="18"/>
              </w:rPr>
            </w:pPr>
            <w:r>
              <w:rPr>
                <w:sz w:val="18"/>
              </w:rPr>
              <w:t>Kala Pull</w:t>
            </w:r>
          </w:p>
        </w:tc>
        <w:tc>
          <w:tcPr>
            <w:tcW w:w="1747" w:type="dxa"/>
            <w:tcBorders>
              <w:top w:val="single" w:sz="4" w:space="0" w:color="000000"/>
              <w:left w:val="single" w:sz="4" w:space="0" w:color="000000"/>
              <w:right w:val="single" w:sz="4" w:space="0" w:color="000000"/>
            </w:tcBorders>
          </w:tcPr>
          <w:p>
            <w:pPr>
              <w:pStyle w:val="TableParagraph"/>
              <w:ind w:left="38"/>
              <w:rPr>
                <w:sz w:val="18"/>
              </w:rPr>
            </w:pPr>
            <w:r>
              <w:rPr>
                <w:sz w:val="18"/>
              </w:rPr>
              <w:t>Kala Pull</w:t>
            </w:r>
          </w:p>
        </w:tc>
        <w:tc>
          <w:tcPr>
            <w:tcW w:w="1217" w:type="dxa"/>
            <w:tcBorders>
              <w:top w:val="single" w:sz="4" w:space="0" w:color="000000"/>
              <w:left w:val="single" w:sz="4" w:space="0" w:color="000000"/>
              <w:right w:val="single" w:sz="4" w:space="0" w:color="000000"/>
            </w:tcBorders>
          </w:tcPr>
          <w:p>
            <w:pPr>
              <w:pStyle w:val="TableParagraph"/>
              <w:ind w:right="65"/>
              <w:jc w:val="right"/>
              <w:rPr>
                <w:sz w:val="18"/>
              </w:rPr>
            </w:pPr>
            <w:r>
              <w:rPr>
                <w:sz w:val="18"/>
              </w:rPr>
              <w:t>03431120813</w:t>
            </w:r>
          </w:p>
        </w:tc>
        <w:tc>
          <w:tcPr>
            <w:tcW w:w="1262" w:type="dxa"/>
            <w:tcBorders>
              <w:top w:val="single" w:sz="4" w:space="0" w:color="000000"/>
              <w:left w:val="single" w:sz="4" w:space="0" w:color="000000"/>
              <w:right w:val="single" w:sz="4" w:space="0" w:color="000000"/>
            </w:tcBorders>
          </w:tcPr>
          <w:p>
            <w:pPr>
              <w:pStyle w:val="TableParagraph"/>
              <w:ind w:left="38" w:right="104"/>
              <w:rPr>
                <w:sz w:val="18"/>
              </w:rPr>
            </w:pPr>
            <w:r>
              <w:rPr>
                <w:sz w:val="18"/>
              </w:rPr>
              <w:t>Second Hand Bags</w:t>
            </w:r>
          </w:p>
        </w:tc>
        <w:tc>
          <w:tcPr>
            <w:tcW w:w="1150" w:type="dxa"/>
            <w:tcBorders>
              <w:top w:val="single" w:sz="4" w:space="0" w:color="000000"/>
              <w:left w:val="single" w:sz="4" w:space="0" w:color="000000"/>
            </w:tcBorders>
          </w:tcPr>
          <w:p>
            <w:pPr>
              <w:pStyle w:val="TableParagraph"/>
              <w:ind w:left="38"/>
              <w:rPr>
                <w:sz w:val="18"/>
              </w:rPr>
            </w:pPr>
            <w:r>
              <w:rPr>
                <w:sz w:val="18"/>
              </w:rPr>
              <w:t>Mobile Cart</w:t>
            </w:r>
          </w:p>
        </w:tc>
      </w:tr>
    </w:tbl>
    <w:p>
      <w:pPr>
        <w:spacing w:after="0"/>
        <w:rPr>
          <w:sz w:val="18"/>
        </w:rPr>
        <w:sectPr>
          <w:pgSz w:w="16840" w:h="11910" w:orient="landscape"/>
          <w:pgMar w:header="583" w:footer="575" w:top="840" w:bottom="760" w:left="860" w:right="12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6"/>
        </w:rPr>
      </w:pPr>
    </w:p>
    <w:tbl>
      <w:tblPr>
        <w:tblW w:w="0" w:type="auto"/>
        <w:jc w:val="left"/>
        <w:tblInd w:w="89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94"/>
        <w:gridCol w:w="526"/>
        <w:gridCol w:w="910"/>
        <w:gridCol w:w="926"/>
        <w:gridCol w:w="1400"/>
        <w:gridCol w:w="1224"/>
        <w:gridCol w:w="1538"/>
        <w:gridCol w:w="1344"/>
        <w:gridCol w:w="1747"/>
        <w:gridCol w:w="1217"/>
        <w:gridCol w:w="1262"/>
        <w:gridCol w:w="1150"/>
      </w:tblGrid>
      <w:tr>
        <w:trPr>
          <w:trHeight w:val="504" w:hRule="exact"/>
        </w:trPr>
        <w:tc>
          <w:tcPr>
            <w:tcW w:w="394" w:type="dxa"/>
            <w:vMerge w:val="restart"/>
            <w:tcBorders>
              <w:right w:val="single" w:sz="4" w:space="0" w:color="000000"/>
            </w:tcBorders>
            <w:shd w:val="clear" w:color="auto" w:fill="D9D9D9"/>
          </w:tcPr>
          <w:p>
            <w:pPr>
              <w:pStyle w:val="TableParagraph"/>
              <w:ind w:left="91"/>
              <w:rPr>
                <w:b/>
                <w:sz w:val="18"/>
              </w:rPr>
            </w:pPr>
            <w:r>
              <w:rPr>
                <w:b/>
                <w:sz w:val="18"/>
              </w:rPr>
              <w:t>ID</w:t>
            </w:r>
          </w:p>
        </w:tc>
        <w:tc>
          <w:tcPr>
            <w:tcW w:w="526" w:type="dxa"/>
            <w:vMerge w:val="restart"/>
            <w:tcBorders>
              <w:left w:val="single" w:sz="4" w:space="0" w:color="000000"/>
              <w:right w:val="single" w:sz="4" w:space="0" w:color="000000"/>
            </w:tcBorders>
            <w:shd w:val="clear" w:color="auto" w:fill="D9D9D9"/>
            <w:textDirection w:val="btLr"/>
          </w:tcPr>
          <w:p>
            <w:pPr>
              <w:pStyle w:val="TableParagraph"/>
              <w:spacing w:line="247" w:lineRule="auto" w:before="102"/>
              <w:ind w:left="112" w:right="131"/>
              <w:rPr>
                <w:b/>
                <w:sz w:val="18"/>
              </w:rPr>
            </w:pPr>
            <w:r>
              <w:rPr>
                <w:b/>
                <w:w w:val="99"/>
                <w:sz w:val="18"/>
              </w:rPr>
              <w:t>Se</w:t>
            </w:r>
            <w:r>
              <w:rPr>
                <w:b/>
                <w:sz w:val="18"/>
              </w:rPr>
              <w:t>g</w:t>
            </w:r>
            <w:r>
              <w:rPr>
                <w:b/>
                <w:spacing w:val="1"/>
                <w:sz w:val="18"/>
              </w:rPr>
              <w:t>m</w:t>
            </w:r>
            <w:r>
              <w:rPr>
                <w:b/>
                <w:w w:val="99"/>
                <w:sz w:val="18"/>
              </w:rPr>
              <w:t>e</w:t>
            </w:r>
            <w:r>
              <w:rPr>
                <w:b/>
                <w:w w:val="100"/>
                <w:sz w:val="18"/>
              </w:rPr>
              <w:t>nt No.</w:t>
            </w:r>
          </w:p>
        </w:tc>
        <w:tc>
          <w:tcPr>
            <w:tcW w:w="1836" w:type="dxa"/>
            <w:gridSpan w:val="2"/>
            <w:tcBorders>
              <w:left w:val="single" w:sz="4" w:space="0" w:color="000000"/>
              <w:bottom w:val="single" w:sz="4" w:space="0" w:color="000000"/>
              <w:right w:val="single" w:sz="4" w:space="0" w:color="000000"/>
            </w:tcBorders>
            <w:shd w:val="clear" w:color="auto" w:fill="D9D9D9"/>
          </w:tcPr>
          <w:p>
            <w:pPr>
              <w:pStyle w:val="TableParagraph"/>
              <w:ind w:left="386"/>
              <w:rPr>
                <w:b/>
                <w:sz w:val="18"/>
              </w:rPr>
            </w:pPr>
            <w:r>
              <w:rPr>
                <w:b/>
                <w:sz w:val="18"/>
              </w:rPr>
              <w:t>Coordinates</w:t>
            </w:r>
          </w:p>
        </w:tc>
        <w:tc>
          <w:tcPr>
            <w:tcW w:w="1400" w:type="dxa"/>
            <w:vMerge w:val="restart"/>
            <w:tcBorders>
              <w:left w:val="single" w:sz="4" w:space="0" w:color="000000"/>
              <w:right w:val="single" w:sz="4" w:space="0" w:color="000000"/>
            </w:tcBorders>
            <w:shd w:val="clear" w:color="auto" w:fill="D9D9D9"/>
          </w:tcPr>
          <w:p>
            <w:pPr>
              <w:pStyle w:val="TableParagraph"/>
              <w:ind w:left="448" w:right="158" w:hanging="276"/>
              <w:rPr>
                <w:b/>
                <w:sz w:val="18"/>
              </w:rPr>
            </w:pPr>
            <w:r>
              <w:rPr>
                <w:b/>
                <w:sz w:val="18"/>
              </w:rPr>
              <w:t>Respondent Name</w:t>
            </w:r>
          </w:p>
        </w:tc>
        <w:tc>
          <w:tcPr>
            <w:tcW w:w="1224" w:type="dxa"/>
            <w:vMerge w:val="restart"/>
            <w:tcBorders>
              <w:left w:val="single" w:sz="4" w:space="0" w:color="000000"/>
              <w:right w:val="single" w:sz="4" w:space="0" w:color="000000"/>
            </w:tcBorders>
            <w:shd w:val="clear" w:color="auto" w:fill="D9D9D9"/>
          </w:tcPr>
          <w:p>
            <w:pPr>
              <w:pStyle w:val="TableParagraph"/>
              <w:ind w:left="362" w:right="243" w:hanging="104"/>
              <w:rPr>
                <w:b/>
                <w:sz w:val="18"/>
              </w:rPr>
            </w:pPr>
            <w:r>
              <w:rPr>
                <w:b/>
                <w:sz w:val="18"/>
              </w:rPr>
              <w:t>Father's Name</w:t>
            </w:r>
          </w:p>
        </w:tc>
        <w:tc>
          <w:tcPr>
            <w:tcW w:w="1538" w:type="dxa"/>
            <w:vMerge w:val="restart"/>
            <w:tcBorders>
              <w:left w:val="single" w:sz="4" w:space="0" w:color="000000"/>
              <w:right w:val="single" w:sz="4" w:space="0" w:color="000000"/>
            </w:tcBorders>
            <w:shd w:val="clear" w:color="auto" w:fill="D9D9D9"/>
          </w:tcPr>
          <w:p>
            <w:pPr>
              <w:pStyle w:val="TableParagraph"/>
              <w:ind w:left="38" w:right="70"/>
              <w:rPr>
                <w:b/>
                <w:sz w:val="18"/>
              </w:rPr>
            </w:pPr>
            <w:r>
              <w:rPr>
                <w:b/>
                <w:sz w:val="18"/>
              </w:rPr>
              <w:t>Respondent NIC No.</w:t>
            </w:r>
          </w:p>
        </w:tc>
        <w:tc>
          <w:tcPr>
            <w:tcW w:w="1344" w:type="dxa"/>
            <w:vMerge w:val="restart"/>
            <w:tcBorders>
              <w:left w:val="single" w:sz="4" w:space="0" w:color="000000"/>
              <w:right w:val="single" w:sz="4" w:space="0" w:color="000000"/>
            </w:tcBorders>
            <w:shd w:val="clear" w:color="auto" w:fill="D9D9D9"/>
          </w:tcPr>
          <w:p>
            <w:pPr>
              <w:pStyle w:val="TableParagraph"/>
              <w:ind w:left="335" w:right="186" w:hanging="137"/>
              <w:rPr>
                <w:b/>
                <w:sz w:val="18"/>
              </w:rPr>
            </w:pPr>
            <w:r>
              <w:rPr>
                <w:b/>
                <w:sz w:val="18"/>
              </w:rPr>
              <w:t>Address in Karachi</w:t>
            </w:r>
          </w:p>
        </w:tc>
        <w:tc>
          <w:tcPr>
            <w:tcW w:w="1747" w:type="dxa"/>
            <w:vMerge w:val="restart"/>
            <w:tcBorders>
              <w:left w:val="single" w:sz="4" w:space="0" w:color="000000"/>
              <w:right w:val="single" w:sz="4" w:space="0" w:color="000000"/>
            </w:tcBorders>
            <w:shd w:val="clear" w:color="auto" w:fill="D9D9D9"/>
          </w:tcPr>
          <w:p>
            <w:pPr>
              <w:pStyle w:val="TableParagraph"/>
              <w:ind w:left="127"/>
              <w:rPr>
                <w:b/>
                <w:sz w:val="18"/>
              </w:rPr>
            </w:pPr>
            <w:r>
              <w:rPr>
                <w:b/>
                <w:sz w:val="18"/>
              </w:rPr>
              <w:t>Vending Address</w:t>
            </w:r>
          </w:p>
        </w:tc>
        <w:tc>
          <w:tcPr>
            <w:tcW w:w="1217" w:type="dxa"/>
            <w:vMerge w:val="restart"/>
            <w:tcBorders>
              <w:left w:val="single" w:sz="4" w:space="0" w:color="000000"/>
              <w:right w:val="single" w:sz="4" w:space="0" w:color="000000"/>
            </w:tcBorders>
            <w:shd w:val="clear" w:color="auto" w:fill="D9D9D9"/>
          </w:tcPr>
          <w:p>
            <w:pPr>
              <w:pStyle w:val="TableParagraph"/>
              <w:ind w:left="148"/>
              <w:rPr>
                <w:b/>
                <w:sz w:val="18"/>
              </w:rPr>
            </w:pPr>
            <w:r>
              <w:rPr>
                <w:b/>
                <w:sz w:val="18"/>
              </w:rPr>
              <w:t>Mobile No.</w:t>
            </w:r>
          </w:p>
        </w:tc>
        <w:tc>
          <w:tcPr>
            <w:tcW w:w="1262" w:type="dxa"/>
            <w:vMerge w:val="restart"/>
            <w:tcBorders>
              <w:left w:val="single" w:sz="4" w:space="0" w:color="000000"/>
              <w:right w:val="single" w:sz="4" w:space="0" w:color="000000"/>
            </w:tcBorders>
            <w:shd w:val="clear" w:color="auto" w:fill="D9D9D9"/>
          </w:tcPr>
          <w:p>
            <w:pPr>
              <w:pStyle w:val="TableParagraph"/>
              <w:ind w:left="105" w:right="104" w:hanging="2"/>
              <w:jc w:val="center"/>
              <w:rPr>
                <w:b/>
                <w:sz w:val="18"/>
              </w:rPr>
            </w:pPr>
            <w:r>
              <w:rPr>
                <w:b/>
                <w:sz w:val="18"/>
              </w:rPr>
              <w:t>Kind of Goods Sale/ Service</w:t>
            </w:r>
          </w:p>
        </w:tc>
        <w:tc>
          <w:tcPr>
            <w:tcW w:w="1150" w:type="dxa"/>
            <w:vMerge w:val="restart"/>
            <w:tcBorders>
              <w:left w:val="single" w:sz="4" w:space="0" w:color="000000"/>
            </w:tcBorders>
            <w:shd w:val="clear" w:color="auto" w:fill="D9D9D9"/>
          </w:tcPr>
          <w:p>
            <w:pPr>
              <w:pStyle w:val="TableParagraph"/>
              <w:ind w:left="170" w:right="140" w:firstLine="79"/>
              <w:rPr>
                <w:b/>
                <w:sz w:val="18"/>
              </w:rPr>
            </w:pPr>
            <w:r>
              <w:rPr>
                <w:b/>
                <w:sz w:val="18"/>
              </w:rPr>
              <w:t>Type of Structure</w:t>
            </w:r>
          </w:p>
        </w:tc>
      </w:tr>
      <w:tr>
        <w:trPr>
          <w:trHeight w:val="540" w:hRule="exact"/>
        </w:trPr>
        <w:tc>
          <w:tcPr>
            <w:tcW w:w="394" w:type="dxa"/>
            <w:vMerge/>
            <w:tcBorders>
              <w:bottom w:val="single" w:sz="4" w:space="0" w:color="000000"/>
              <w:right w:val="single" w:sz="4" w:space="0" w:color="000000"/>
            </w:tcBorders>
            <w:shd w:val="clear" w:color="auto" w:fill="D9D9D9"/>
          </w:tcPr>
          <w:p>
            <w:pPr/>
          </w:p>
        </w:tc>
        <w:tc>
          <w:tcPr>
            <w:tcW w:w="526" w:type="dxa"/>
            <w:vMerge/>
            <w:tcBorders>
              <w:left w:val="single" w:sz="4" w:space="0" w:color="000000"/>
              <w:bottom w:val="single" w:sz="4" w:space="0" w:color="000000"/>
              <w:right w:val="single" w:sz="4" w:space="0" w:color="000000"/>
            </w:tcBorders>
            <w:shd w:val="clear" w:color="auto" w:fill="D9D9D9"/>
            <w:textDirection w:val="btLr"/>
          </w:tcPr>
          <w:p>
            <w:pPr/>
          </w:p>
        </w:tc>
        <w:tc>
          <w:tcPr>
            <w:tcW w:w="91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160"/>
              <w:ind w:left="74"/>
              <w:rPr>
                <w:b/>
                <w:sz w:val="18"/>
              </w:rPr>
            </w:pPr>
            <w:r>
              <w:rPr>
                <w:b/>
                <w:sz w:val="18"/>
              </w:rPr>
              <w:t>Northing</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160"/>
              <w:ind w:left="37" w:right="37"/>
              <w:jc w:val="center"/>
              <w:rPr>
                <w:b/>
                <w:sz w:val="18"/>
              </w:rPr>
            </w:pPr>
            <w:r>
              <w:rPr>
                <w:b/>
                <w:sz w:val="18"/>
              </w:rPr>
              <w:t>Easting</w:t>
            </w:r>
          </w:p>
        </w:tc>
        <w:tc>
          <w:tcPr>
            <w:tcW w:w="1400" w:type="dxa"/>
            <w:vMerge/>
            <w:tcBorders>
              <w:left w:val="single" w:sz="4" w:space="0" w:color="000000"/>
              <w:bottom w:val="single" w:sz="4" w:space="0" w:color="000000"/>
              <w:right w:val="single" w:sz="4" w:space="0" w:color="000000"/>
            </w:tcBorders>
            <w:shd w:val="clear" w:color="auto" w:fill="D9D9D9"/>
          </w:tcPr>
          <w:p>
            <w:pPr/>
          </w:p>
        </w:tc>
        <w:tc>
          <w:tcPr>
            <w:tcW w:w="1224" w:type="dxa"/>
            <w:vMerge/>
            <w:tcBorders>
              <w:left w:val="single" w:sz="4" w:space="0" w:color="000000"/>
              <w:bottom w:val="single" w:sz="4" w:space="0" w:color="000000"/>
              <w:right w:val="single" w:sz="4" w:space="0" w:color="000000"/>
            </w:tcBorders>
            <w:shd w:val="clear" w:color="auto" w:fill="D9D9D9"/>
          </w:tcPr>
          <w:p>
            <w:pPr/>
          </w:p>
        </w:tc>
        <w:tc>
          <w:tcPr>
            <w:tcW w:w="1538" w:type="dxa"/>
            <w:vMerge/>
            <w:tcBorders>
              <w:left w:val="single" w:sz="4" w:space="0" w:color="000000"/>
              <w:bottom w:val="single" w:sz="4" w:space="0" w:color="000000"/>
              <w:right w:val="single" w:sz="4" w:space="0" w:color="000000"/>
            </w:tcBorders>
            <w:shd w:val="clear" w:color="auto" w:fill="D9D9D9"/>
          </w:tcPr>
          <w:p>
            <w:pPr/>
          </w:p>
        </w:tc>
        <w:tc>
          <w:tcPr>
            <w:tcW w:w="1344" w:type="dxa"/>
            <w:vMerge/>
            <w:tcBorders>
              <w:left w:val="single" w:sz="4" w:space="0" w:color="000000"/>
              <w:bottom w:val="single" w:sz="4" w:space="0" w:color="000000"/>
              <w:right w:val="single" w:sz="4" w:space="0" w:color="000000"/>
            </w:tcBorders>
            <w:shd w:val="clear" w:color="auto" w:fill="D9D9D9"/>
          </w:tcPr>
          <w:p>
            <w:pPr/>
          </w:p>
        </w:tc>
        <w:tc>
          <w:tcPr>
            <w:tcW w:w="1747" w:type="dxa"/>
            <w:vMerge/>
            <w:tcBorders>
              <w:left w:val="single" w:sz="4" w:space="0" w:color="000000"/>
              <w:bottom w:val="single" w:sz="4" w:space="0" w:color="000000"/>
              <w:right w:val="single" w:sz="4" w:space="0" w:color="000000"/>
            </w:tcBorders>
            <w:shd w:val="clear" w:color="auto" w:fill="D9D9D9"/>
          </w:tcPr>
          <w:p>
            <w:pPr/>
          </w:p>
        </w:tc>
        <w:tc>
          <w:tcPr>
            <w:tcW w:w="1217" w:type="dxa"/>
            <w:vMerge/>
            <w:tcBorders>
              <w:left w:val="single" w:sz="4" w:space="0" w:color="000000"/>
              <w:bottom w:val="single" w:sz="4" w:space="0" w:color="000000"/>
              <w:right w:val="single" w:sz="4" w:space="0" w:color="000000"/>
            </w:tcBorders>
            <w:shd w:val="clear" w:color="auto" w:fill="D9D9D9"/>
          </w:tcPr>
          <w:p>
            <w:pPr/>
          </w:p>
        </w:tc>
        <w:tc>
          <w:tcPr>
            <w:tcW w:w="1262" w:type="dxa"/>
            <w:vMerge/>
            <w:tcBorders>
              <w:left w:val="single" w:sz="4" w:space="0" w:color="000000"/>
              <w:bottom w:val="single" w:sz="4" w:space="0" w:color="000000"/>
              <w:right w:val="single" w:sz="4" w:space="0" w:color="000000"/>
            </w:tcBorders>
            <w:shd w:val="clear" w:color="auto" w:fill="D9D9D9"/>
          </w:tcPr>
          <w:p>
            <w:pPr/>
          </w:p>
        </w:tc>
        <w:tc>
          <w:tcPr>
            <w:tcW w:w="1150" w:type="dxa"/>
            <w:vMerge/>
            <w:tcBorders>
              <w:left w:val="single" w:sz="4" w:space="0" w:color="000000"/>
              <w:bottom w:val="single" w:sz="4" w:space="0" w:color="000000"/>
            </w:tcBorders>
            <w:shd w:val="clear" w:color="auto" w:fill="D9D9D9"/>
          </w:tcPr>
          <w:p>
            <w:pPr/>
          </w:p>
        </w:tc>
      </w:tr>
      <w:tr>
        <w:trPr>
          <w:trHeight w:val="751"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84</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5</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24 50.934</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67 03.258</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ight="651"/>
              <w:rPr>
                <w:sz w:val="18"/>
              </w:rPr>
            </w:pPr>
            <w:r>
              <w:rPr>
                <w:sz w:val="18"/>
              </w:rPr>
              <w:t>Khalil ur Rahman</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ight="206"/>
              <w:rPr>
                <w:sz w:val="18"/>
              </w:rPr>
            </w:pPr>
            <w:r>
              <w:rPr>
                <w:sz w:val="18"/>
              </w:rPr>
              <w:t>Muhammad Afzal</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42301-6407693-3</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Kala Pull</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Kala Pull</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03132228057</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ight="244"/>
              <w:rPr>
                <w:sz w:val="18"/>
              </w:rPr>
            </w:pPr>
            <w:r>
              <w:rPr>
                <w:sz w:val="18"/>
              </w:rPr>
              <w:t>Bamboo &amp; Wood Store</w:t>
            </w:r>
          </w:p>
        </w:tc>
        <w:tc>
          <w:tcPr>
            <w:tcW w:w="1150" w:type="dxa"/>
            <w:tcBorders>
              <w:top w:val="single" w:sz="4" w:space="0" w:color="000000"/>
              <w:left w:val="single" w:sz="4" w:space="0" w:color="000000"/>
              <w:bottom w:val="single" w:sz="4" w:space="0" w:color="000000"/>
            </w:tcBorders>
          </w:tcPr>
          <w:p>
            <w:pPr>
              <w:pStyle w:val="TableParagraph"/>
              <w:ind w:left="38" w:right="432"/>
              <w:rPr>
                <w:sz w:val="18"/>
              </w:rPr>
            </w:pPr>
            <w:r>
              <w:rPr>
                <w:sz w:val="18"/>
              </w:rPr>
              <w:t>Shops Display Material</w:t>
            </w:r>
          </w:p>
        </w:tc>
      </w:tr>
      <w:tr>
        <w:trPr>
          <w:trHeight w:val="337"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85</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5</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24 50.934</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67 03.258</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Imam ul Haq</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Fazal Haq</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42301-8542491-3</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Kala Pull</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Kala Pull</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03158065844</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Tuck Shop</w:t>
            </w:r>
          </w:p>
        </w:tc>
        <w:tc>
          <w:tcPr>
            <w:tcW w:w="1150" w:type="dxa"/>
            <w:tcBorders>
              <w:top w:val="single" w:sz="4" w:space="0" w:color="000000"/>
              <w:left w:val="single" w:sz="4" w:space="0" w:color="000000"/>
              <w:bottom w:val="single" w:sz="4" w:space="0" w:color="000000"/>
            </w:tcBorders>
          </w:tcPr>
          <w:p>
            <w:pPr>
              <w:pStyle w:val="TableParagraph"/>
              <w:ind w:left="38"/>
              <w:rPr>
                <w:sz w:val="18"/>
              </w:rPr>
            </w:pPr>
            <w:r>
              <w:rPr>
                <w:sz w:val="18"/>
              </w:rPr>
              <w:t>Kiosk</w:t>
            </w:r>
          </w:p>
        </w:tc>
      </w:tr>
      <w:tr>
        <w:trPr>
          <w:trHeight w:val="751"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86</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5</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24 50.934</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67 03.258</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Ayaz Ahmed</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Abdul Razzaq</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16201-0700148-9</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Kala Pull</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Kala Pull</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03120262221</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ight="244"/>
              <w:rPr>
                <w:sz w:val="18"/>
              </w:rPr>
            </w:pPr>
            <w:r>
              <w:rPr>
                <w:sz w:val="18"/>
              </w:rPr>
              <w:t>Bamboo &amp; Wood Store</w:t>
            </w:r>
          </w:p>
        </w:tc>
        <w:tc>
          <w:tcPr>
            <w:tcW w:w="1150" w:type="dxa"/>
            <w:tcBorders>
              <w:top w:val="single" w:sz="4" w:space="0" w:color="000000"/>
              <w:left w:val="single" w:sz="4" w:space="0" w:color="000000"/>
              <w:bottom w:val="single" w:sz="4" w:space="0" w:color="000000"/>
            </w:tcBorders>
          </w:tcPr>
          <w:p>
            <w:pPr>
              <w:pStyle w:val="TableParagraph"/>
              <w:ind w:left="38" w:right="432"/>
              <w:rPr>
                <w:sz w:val="18"/>
              </w:rPr>
            </w:pPr>
            <w:r>
              <w:rPr>
                <w:sz w:val="18"/>
              </w:rPr>
              <w:t>Shops Display Material</w:t>
            </w:r>
          </w:p>
        </w:tc>
      </w:tr>
      <w:tr>
        <w:trPr>
          <w:trHeight w:val="958"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87</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5</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24 50.170</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67 04.180</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Abdul Rauf</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Allah Bux</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31201-6302313-1</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Anda More</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DHA Phase I</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03057913320</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Tuck Shop</w:t>
            </w:r>
          </w:p>
        </w:tc>
        <w:tc>
          <w:tcPr>
            <w:tcW w:w="1150" w:type="dxa"/>
            <w:tcBorders>
              <w:top w:val="single" w:sz="4" w:space="0" w:color="000000"/>
              <w:left w:val="single" w:sz="4" w:space="0" w:color="000000"/>
              <w:bottom w:val="single" w:sz="4" w:space="0" w:color="000000"/>
            </w:tcBorders>
          </w:tcPr>
          <w:p>
            <w:pPr>
              <w:pStyle w:val="TableParagraph"/>
              <w:ind w:left="38" w:right="121"/>
              <w:rPr>
                <w:sz w:val="18"/>
              </w:rPr>
            </w:pPr>
            <w:r>
              <w:rPr>
                <w:sz w:val="18"/>
              </w:rPr>
              <w:t>Tuck Shops under overhead bridge</w:t>
            </w:r>
          </w:p>
        </w:tc>
      </w:tr>
      <w:tr>
        <w:trPr>
          <w:trHeight w:val="958"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88</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5</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24 50.110</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67 04.301</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Zafar Ali</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ight="206"/>
              <w:rPr>
                <w:sz w:val="18"/>
              </w:rPr>
            </w:pPr>
            <w:r>
              <w:rPr>
                <w:sz w:val="18"/>
              </w:rPr>
              <w:t>Muhammad Umer</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41407-6593334-9</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Akhtar Colony</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DHA Phase I</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03352113464</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Tuck Shop</w:t>
            </w:r>
          </w:p>
        </w:tc>
        <w:tc>
          <w:tcPr>
            <w:tcW w:w="1150" w:type="dxa"/>
            <w:tcBorders>
              <w:top w:val="single" w:sz="4" w:space="0" w:color="000000"/>
              <w:left w:val="single" w:sz="4" w:space="0" w:color="000000"/>
              <w:bottom w:val="single" w:sz="4" w:space="0" w:color="000000"/>
            </w:tcBorders>
          </w:tcPr>
          <w:p>
            <w:pPr>
              <w:pStyle w:val="TableParagraph"/>
              <w:ind w:left="38" w:right="121"/>
              <w:rPr>
                <w:sz w:val="18"/>
              </w:rPr>
            </w:pPr>
            <w:r>
              <w:rPr>
                <w:sz w:val="18"/>
              </w:rPr>
              <w:t>Tuck Shops under overhead bridge</w:t>
            </w:r>
          </w:p>
        </w:tc>
      </w:tr>
      <w:tr>
        <w:trPr>
          <w:trHeight w:val="751"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89</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3</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24 49.891</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67 05.030</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Qamar Ali</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Qasid Jan</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21103-8474622-3</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Shafiq More</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Jam Sadiq Bridge</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03012535353</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ight="124"/>
              <w:rPr>
                <w:sz w:val="18"/>
              </w:rPr>
            </w:pPr>
            <w:r>
              <w:rPr>
                <w:sz w:val="18"/>
              </w:rPr>
              <w:t>Sun Glasses, Helmet and Used Bags</w:t>
            </w:r>
          </w:p>
        </w:tc>
        <w:tc>
          <w:tcPr>
            <w:tcW w:w="1150" w:type="dxa"/>
            <w:tcBorders>
              <w:top w:val="single" w:sz="4" w:space="0" w:color="000000"/>
              <w:left w:val="single" w:sz="4" w:space="0" w:color="000000"/>
              <w:bottom w:val="single" w:sz="4" w:space="0" w:color="000000"/>
            </w:tcBorders>
          </w:tcPr>
          <w:p>
            <w:pPr>
              <w:pStyle w:val="TableParagraph"/>
              <w:ind w:left="38"/>
              <w:rPr>
                <w:sz w:val="18"/>
              </w:rPr>
            </w:pPr>
            <w:r>
              <w:rPr>
                <w:sz w:val="18"/>
              </w:rPr>
              <w:t>Mobile Cart</w:t>
            </w:r>
          </w:p>
        </w:tc>
      </w:tr>
      <w:tr>
        <w:trPr>
          <w:trHeight w:val="338" w:hRule="exact"/>
        </w:trPr>
        <w:tc>
          <w:tcPr>
            <w:tcW w:w="394" w:type="dxa"/>
            <w:tcBorders>
              <w:top w:val="single" w:sz="4" w:space="0" w:color="000000"/>
              <w:bottom w:val="single" w:sz="4" w:space="0" w:color="000000"/>
              <w:right w:val="single" w:sz="4" w:space="0" w:color="000000"/>
            </w:tcBorders>
          </w:tcPr>
          <w:p>
            <w:pPr>
              <w:pStyle w:val="TableParagraph"/>
              <w:ind w:left="63" w:right="70"/>
              <w:jc w:val="center"/>
              <w:rPr>
                <w:sz w:val="18"/>
              </w:rPr>
            </w:pPr>
            <w:r>
              <w:rPr>
                <w:sz w:val="18"/>
              </w:rPr>
              <w:t>90</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ind w:right="1"/>
              <w:jc w:val="center"/>
              <w:rPr>
                <w:sz w:val="18"/>
              </w:rPr>
            </w:pPr>
            <w:r>
              <w:rPr>
                <w:w w:val="99"/>
                <w:sz w:val="18"/>
              </w:rPr>
              <w:t>1</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ind w:left="47"/>
              <w:rPr>
                <w:sz w:val="18"/>
              </w:rPr>
            </w:pPr>
            <w:r>
              <w:rPr>
                <w:sz w:val="18"/>
              </w:rPr>
              <w:t>24 51.245</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7" w:right="37"/>
              <w:jc w:val="center"/>
              <w:rPr>
                <w:sz w:val="18"/>
              </w:rPr>
            </w:pPr>
            <w:r>
              <w:rPr>
                <w:sz w:val="18"/>
              </w:rPr>
              <w:t>67 11.885</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Umer Farooq</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Ramzan</w:t>
            </w:r>
          </w:p>
        </w:tc>
        <w:tc>
          <w:tcPr>
            <w:tcW w:w="1538" w:type="dxa"/>
            <w:tcBorders>
              <w:top w:val="single" w:sz="4" w:space="0" w:color="000000"/>
              <w:left w:val="single" w:sz="4" w:space="0" w:color="000000"/>
              <w:bottom w:val="single" w:sz="4" w:space="0" w:color="000000"/>
              <w:right w:val="single" w:sz="4" w:space="0" w:color="000000"/>
            </w:tcBorders>
          </w:tcPr>
          <w:p>
            <w:pPr>
              <w:pStyle w:val="TableParagraph"/>
              <w:ind w:left="20" w:right="47"/>
              <w:jc w:val="center"/>
              <w:rPr>
                <w:sz w:val="18"/>
              </w:rPr>
            </w:pPr>
            <w:r>
              <w:rPr>
                <w:sz w:val="18"/>
              </w:rPr>
              <w:t>12105-0354558-5</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ind w:left="35"/>
              <w:rPr>
                <w:sz w:val="18"/>
              </w:rPr>
            </w:pPr>
            <w:r>
              <w:rPr>
                <w:sz w:val="18"/>
              </w:rPr>
              <w:t>Future Colony</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Future Colony</w:t>
            </w:r>
          </w:p>
        </w:tc>
        <w:tc>
          <w:tcPr>
            <w:tcW w:w="1217"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18"/>
              </w:rPr>
            </w:pPr>
            <w:r>
              <w:rPr>
                <w:sz w:val="18"/>
              </w:rPr>
              <w:t>03481296157</w:t>
            </w:r>
          </w:p>
        </w:tc>
        <w:tc>
          <w:tcPr>
            <w:tcW w:w="1262" w:type="dxa"/>
            <w:tcBorders>
              <w:top w:val="single" w:sz="4" w:space="0" w:color="000000"/>
              <w:left w:val="single" w:sz="4" w:space="0" w:color="000000"/>
              <w:bottom w:val="single" w:sz="4" w:space="0" w:color="000000"/>
              <w:right w:val="single" w:sz="4" w:space="0" w:color="000000"/>
            </w:tcBorders>
          </w:tcPr>
          <w:p>
            <w:pPr>
              <w:pStyle w:val="TableParagraph"/>
              <w:ind w:left="38"/>
              <w:rPr>
                <w:sz w:val="18"/>
              </w:rPr>
            </w:pPr>
            <w:r>
              <w:rPr>
                <w:sz w:val="18"/>
              </w:rPr>
              <w:t>Tuck Shop</w:t>
            </w:r>
          </w:p>
        </w:tc>
        <w:tc>
          <w:tcPr>
            <w:tcW w:w="1150" w:type="dxa"/>
            <w:tcBorders>
              <w:top w:val="single" w:sz="4" w:space="0" w:color="000000"/>
              <w:left w:val="single" w:sz="4" w:space="0" w:color="000000"/>
              <w:bottom w:val="single" w:sz="4" w:space="0" w:color="000000"/>
            </w:tcBorders>
          </w:tcPr>
          <w:p>
            <w:pPr>
              <w:pStyle w:val="TableParagraph"/>
              <w:ind w:left="38"/>
              <w:rPr>
                <w:sz w:val="18"/>
              </w:rPr>
            </w:pPr>
            <w:r>
              <w:rPr>
                <w:sz w:val="18"/>
              </w:rPr>
              <w:t>Kiosk</w:t>
            </w:r>
          </w:p>
        </w:tc>
      </w:tr>
      <w:tr>
        <w:trPr>
          <w:trHeight w:val="552" w:hRule="exact"/>
        </w:trPr>
        <w:tc>
          <w:tcPr>
            <w:tcW w:w="394" w:type="dxa"/>
            <w:tcBorders>
              <w:top w:val="single" w:sz="4" w:space="0" w:color="000000"/>
              <w:right w:val="single" w:sz="4" w:space="0" w:color="000000"/>
            </w:tcBorders>
          </w:tcPr>
          <w:p>
            <w:pPr>
              <w:pStyle w:val="TableParagraph"/>
              <w:ind w:left="63" w:right="70"/>
              <w:jc w:val="center"/>
              <w:rPr>
                <w:sz w:val="18"/>
              </w:rPr>
            </w:pPr>
            <w:r>
              <w:rPr>
                <w:sz w:val="18"/>
              </w:rPr>
              <w:t>91</w:t>
            </w:r>
          </w:p>
        </w:tc>
        <w:tc>
          <w:tcPr>
            <w:tcW w:w="526" w:type="dxa"/>
            <w:tcBorders>
              <w:top w:val="single" w:sz="4" w:space="0" w:color="000000"/>
              <w:left w:val="single" w:sz="4" w:space="0" w:color="000000"/>
              <w:right w:val="single" w:sz="4" w:space="0" w:color="000000"/>
            </w:tcBorders>
          </w:tcPr>
          <w:p>
            <w:pPr>
              <w:pStyle w:val="TableParagraph"/>
              <w:ind w:right="1"/>
              <w:jc w:val="center"/>
              <w:rPr>
                <w:sz w:val="18"/>
              </w:rPr>
            </w:pPr>
            <w:r>
              <w:rPr>
                <w:w w:val="99"/>
                <w:sz w:val="18"/>
              </w:rPr>
              <w:t>1</w:t>
            </w:r>
          </w:p>
        </w:tc>
        <w:tc>
          <w:tcPr>
            <w:tcW w:w="910" w:type="dxa"/>
            <w:tcBorders>
              <w:top w:val="single" w:sz="4" w:space="0" w:color="000000"/>
              <w:left w:val="single" w:sz="4" w:space="0" w:color="000000"/>
              <w:right w:val="single" w:sz="4" w:space="0" w:color="000000"/>
            </w:tcBorders>
          </w:tcPr>
          <w:p>
            <w:pPr>
              <w:pStyle w:val="TableParagraph"/>
              <w:ind w:left="47"/>
              <w:rPr>
                <w:sz w:val="18"/>
              </w:rPr>
            </w:pPr>
            <w:r>
              <w:rPr>
                <w:sz w:val="18"/>
              </w:rPr>
              <w:t>24 51.245</w:t>
            </w:r>
          </w:p>
        </w:tc>
        <w:tc>
          <w:tcPr>
            <w:tcW w:w="926" w:type="dxa"/>
            <w:tcBorders>
              <w:top w:val="single" w:sz="4" w:space="0" w:color="000000"/>
              <w:left w:val="single" w:sz="4" w:space="0" w:color="000000"/>
              <w:right w:val="single" w:sz="4" w:space="0" w:color="000000"/>
            </w:tcBorders>
          </w:tcPr>
          <w:p>
            <w:pPr>
              <w:pStyle w:val="TableParagraph"/>
              <w:ind w:left="37" w:right="37"/>
              <w:jc w:val="center"/>
              <w:rPr>
                <w:sz w:val="18"/>
              </w:rPr>
            </w:pPr>
            <w:r>
              <w:rPr>
                <w:sz w:val="18"/>
              </w:rPr>
              <w:t>67 11.885</w:t>
            </w:r>
          </w:p>
        </w:tc>
        <w:tc>
          <w:tcPr>
            <w:tcW w:w="1400" w:type="dxa"/>
            <w:tcBorders>
              <w:top w:val="single" w:sz="4" w:space="0" w:color="000000"/>
              <w:left w:val="single" w:sz="4" w:space="0" w:color="000000"/>
              <w:right w:val="single" w:sz="4" w:space="0" w:color="000000"/>
            </w:tcBorders>
          </w:tcPr>
          <w:p>
            <w:pPr>
              <w:pStyle w:val="TableParagraph"/>
              <w:ind w:left="38"/>
              <w:rPr>
                <w:sz w:val="18"/>
              </w:rPr>
            </w:pPr>
            <w:r>
              <w:rPr>
                <w:sz w:val="18"/>
              </w:rPr>
              <w:t>Akhtar Shah</w:t>
            </w:r>
          </w:p>
        </w:tc>
        <w:tc>
          <w:tcPr>
            <w:tcW w:w="1224" w:type="dxa"/>
            <w:tcBorders>
              <w:top w:val="single" w:sz="4" w:space="0" w:color="000000"/>
              <w:left w:val="single" w:sz="4" w:space="0" w:color="000000"/>
              <w:right w:val="single" w:sz="4" w:space="0" w:color="000000"/>
            </w:tcBorders>
          </w:tcPr>
          <w:p>
            <w:pPr>
              <w:pStyle w:val="TableParagraph"/>
              <w:ind w:left="38"/>
              <w:rPr>
                <w:sz w:val="18"/>
              </w:rPr>
            </w:pPr>
            <w:r>
              <w:rPr>
                <w:sz w:val="18"/>
              </w:rPr>
              <w:t>Faqeer Shah</w:t>
            </w:r>
          </w:p>
        </w:tc>
        <w:tc>
          <w:tcPr>
            <w:tcW w:w="1538" w:type="dxa"/>
            <w:tcBorders>
              <w:top w:val="single" w:sz="4" w:space="0" w:color="000000"/>
              <w:left w:val="single" w:sz="4" w:space="0" w:color="000000"/>
              <w:right w:val="single" w:sz="4" w:space="0" w:color="000000"/>
            </w:tcBorders>
          </w:tcPr>
          <w:p>
            <w:pPr/>
          </w:p>
        </w:tc>
        <w:tc>
          <w:tcPr>
            <w:tcW w:w="1344" w:type="dxa"/>
            <w:tcBorders>
              <w:top w:val="single" w:sz="4" w:space="0" w:color="000000"/>
              <w:left w:val="single" w:sz="4" w:space="0" w:color="000000"/>
              <w:right w:val="single" w:sz="4" w:space="0" w:color="000000"/>
            </w:tcBorders>
          </w:tcPr>
          <w:p>
            <w:pPr>
              <w:pStyle w:val="TableParagraph"/>
              <w:ind w:left="35"/>
              <w:rPr>
                <w:sz w:val="18"/>
              </w:rPr>
            </w:pPr>
            <w:r>
              <w:rPr>
                <w:sz w:val="18"/>
              </w:rPr>
              <w:t>Future Colony</w:t>
            </w:r>
          </w:p>
        </w:tc>
        <w:tc>
          <w:tcPr>
            <w:tcW w:w="1747" w:type="dxa"/>
            <w:tcBorders>
              <w:top w:val="single" w:sz="4" w:space="0" w:color="000000"/>
              <w:left w:val="single" w:sz="4" w:space="0" w:color="000000"/>
              <w:right w:val="single" w:sz="4" w:space="0" w:color="000000"/>
            </w:tcBorders>
          </w:tcPr>
          <w:p>
            <w:pPr>
              <w:pStyle w:val="TableParagraph"/>
              <w:ind w:left="38"/>
              <w:rPr>
                <w:sz w:val="18"/>
              </w:rPr>
            </w:pPr>
            <w:r>
              <w:rPr>
                <w:sz w:val="18"/>
              </w:rPr>
              <w:t>Future Colony</w:t>
            </w:r>
          </w:p>
        </w:tc>
        <w:tc>
          <w:tcPr>
            <w:tcW w:w="1217" w:type="dxa"/>
            <w:tcBorders>
              <w:top w:val="single" w:sz="4" w:space="0" w:color="000000"/>
              <w:left w:val="single" w:sz="4" w:space="0" w:color="000000"/>
              <w:right w:val="single" w:sz="4" w:space="0" w:color="000000"/>
            </w:tcBorders>
          </w:tcPr>
          <w:p>
            <w:pPr>
              <w:pStyle w:val="TableParagraph"/>
              <w:ind w:right="65"/>
              <w:jc w:val="right"/>
              <w:rPr>
                <w:sz w:val="18"/>
              </w:rPr>
            </w:pPr>
            <w:r>
              <w:rPr>
                <w:sz w:val="18"/>
              </w:rPr>
              <w:t>03422252458</w:t>
            </w:r>
          </w:p>
        </w:tc>
        <w:tc>
          <w:tcPr>
            <w:tcW w:w="1262" w:type="dxa"/>
            <w:tcBorders>
              <w:top w:val="single" w:sz="4" w:space="0" w:color="000000"/>
              <w:left w:val="single" w:sz="4" w:space="0" w:color="000000"/>
              <w:right w:val="single" w:sz="4" w:space="0" w:color="000000"/>
            </w:tcBorders>
          </w:tcPr>
          <w:p>
            <w:pPr>
              <w:pStyle w:val="TableParagraph"/>
              <w:ind w:left="38" w:right="64"/>
              <w:rPr>
                <w:sz w:val="18"/>
              </w:rPr>
            </w:pPr>
            <w:r>
              <w:rPr>
                <w:sz w:val="18"/>
              </w:rPr>
              <w:t>Tyre Puncture Shop</w:t>
            </w:r>
          </w:p>
        </w:tc>
        <w:tc>
          <w:tcPr>
            <w:tcW w:w="1150" w:type="dxa"/>
            <w:tcBorders>
              <w:top w:val="single" w:sz="4" w:space="0" w:color="000000"/>
              <w:left w:val="single" w:sz="4" w:space="0" w:color="000000"/>
            </w:tcBorders>
          </w:tcPr>
          <w:p>
            <w:pPr>
              <w:pStyle w:val="TableParagraph"/>
              <w:ind w:left="38"/>
              <w:rPr>
                <w:sz w:val="18"/>
              </w:rPr>
            </w:pPr>
            <w:r>
              <w:rPr>
                <w:sz w:val="18"/>
              </w:rPr>
              <w:t>Kiosk</w:t>
            </w:r>
          </w:p>
        </w:tc>
      </w:tr>
    </w:tbl>
    <w:p>
      <w:pPr>
        <w:spacing w:after="0"/>
        <w:rPr>
          <w:sz w:val="18"/>
        </w:rPr>
        <w:sectPr>
          <w:pgSz w:w="16840" w:h="11910" w:orient="landscape"/>
          <w:pgMar w:header="583" w:footer="575" w:top="840" w:bottom="760" w:left="860" w:right="1280"/>
        </w:sectPr>
      </w:pPr>
    </w:p>
    <w:p>
      <w:pPr>
        <w:pStyle w:val="BodyText"/>
        <w:rPr>
          <w:rFonts w:ascii="Times New Roman"/>
          <w:sz w:val="20"/>
        </w:rPr>
      </w:pPr>
    </w:p>
    <w:p>
      <w:pPr>
        <w:pStyle w:val="BodyText"/>
        <w:rPr>
          <w:rFonts w:ascii="Times New Roman"/>
          <w:sz w:val="20"/>
        </w:rPr>
      </w:pPr>
    </w:p>
    <w:p>
      <w:pPr>
        <w:pStyle w:val="BodyText"/>
        <w:spacing w:before="10"/>
        <w:rPr>
          <w:rFonts w:ascii="Times New Roman"/>
          <w:sz w:val="27"/>
        </w:rPr>
      </w:pPr>
    </w:p>
    <w:p>
      <w:pPr>
        <w:spacing w:before="92"/>
        <w:ind w:left="3633" w:right="0" w:firstLine="0"/>
        <w:jc w:val="left"/>
        <w:rPr>
          <w:b/>
          <w:sz w:val="28"/>
        </w:rPr>
      </w:pPr>
      <w:bookmarkStart w:name="_bookmark106" w:id="179"/>
      <w:bookmarkEnd w:id="179"/>
      <w:r>
        <w:rPr/>
      </w:r>
      <w:r>
        <w:rPr>
          <w:b/>
          <w:sz w:val="28"/>
          <w:u w:val="thick"/>
        </w:rPr>
        <w:t>Annex-III: Focus Group Discussions with Communities (Men)</w:t>
      </w:r>
    </w:p>
    <w:p>
      <w:pPr>
        <w:pStyle w:val="BodyText"/>
        <w:spacing w:before="5"/>
        <w:rPr>
          <w:b/>
          <w:sz w:val="10"/>
        </w:rPr>
      </w:pPr>
    </w:p>
    <w:tbl>
      <w:tblPr>
        <w:tblW w:w="0" w:type="auto"/>
        <w:jc w:val="left"/>
        <w:tblInd w:w="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6"/>
        <w:gridCol w:w="1243"/>
        <w:gridCol w:w="1664"/>
        <w:gridCol w:w="1944"/>
        <w:gridCol w:w="4589"/>
        <w:gridCol w:w="2861"/>
      </w:tblGrid>
      <w:tr>
        <w:trPr>
          <w:trHeight w:val="360" w:hRule="exact"/>
        </w:trPr>
        <w:tc>
          <w:tcPr>
            <w:tcW w:w="1356" w:type="dxa"/>
            <w:shd w:val="clear" w:color="auto" w:fill="BEBEBE"/>
          </w:tcPr>
          <w:p>
            <w:pPr>
              <w:pStyle w:val="TableParagraph"/>
              <w:ind w:left="67"/>
              <w:rPr>
                <w:b/>
                <w:sz w:val="20"/>
              </w:rPr>
            </w:pPr>
            <w:r>
              <w:rPr>
                <w:b/>
                <w:sz w:val="20"/>
              </w:rPr>
              <w:t>Date</w:t>
            </w:r>
          </w:p>
        </w:tc>
        <w:tc>
          <w:tcPr>
            <w:tcW w:w="1243" w:type="dxa"/>
            <w:shd w:val="clear" w:color="auto" w:fill="BEBEBE"/>
          </w:tcPr>
          <w:p>
            <w:pPr>
              <w:pStyle w:val="TableParagraph"/>
              <w:ind w:left="67"/>
              <w:rPr>
                <w:b/>
                <w:sz w:val="20"/>
              </w:rPr>
            </w:pPr>
            <w:r>
              <w:rPr>
                <w:b/>
                <w:sz w:val="20"/>
              </w:rPr>
              <w:t>Location</w:t>
            </w:r>
          </w:p>
        </w:tc>
        <w:tc>
          <w:tcPr>
            <w:tcW w:w="1664" w:type="dxa"/>
            <w:shd w:val="clear" w:color="auto" w:fill="BEBEBE"/>
          </w:tcPr>
          <w:p>
            <w:pPr>
              <w:pStyle w:val="TableParagraph"/>
              <w:ind w:left="67"/>
              <w:rPr>
                <w:b/>
                <w:sz w:val="20"/>
              </w:rPr>
            </w:pPr>
            <w:r>
              <w:rPr>
                <w:b/>
                <w:sz w:val="20"/>
              </w:rPr>
              <w:t>Coordinates</w:t>
            </w:r>
          </w:p>
        </w:tc>
        <w:tc>
          <w:tcPr>
            <w:tcW w:w="1944" w:type="dxa"/>
            <w:shd w:val="clear" w:color="auto" w:fill="BEBEBE"/>
          </w:tcPr>
          <w:p>
            <w:pPr>
              <w:pStyle w:val="TableParagraph"/>
              <w:ind w:left="67"/>
              <w:rPr>
                <w:b/>
                <w:sz w:val="20"/>
              </w:rPr>
            </w:pPr>
            <w:r>
              <w:rPr>
                <w:b/>
                <w:sz w:val="20"/>
              </w:rPr>
              <w:t>No. of Participants</w:t>
            </w:r>
          </w:p>
        </w:tc>
        <w:tc>
          <w:tcPr>
            <w:tcW w:w="4589" w:type="dxa"/>
            <w:shd w:val="clear" w:color="auto" w:fill="BEBEBE"/>
          </w:tcPr>
          <w:p>
            <w:pPr>
              <w:pStyle w:val="TableParagraph"/>
              <w:ind w:left="67"/>
              <w:rPr>
                <w:b/>
                <w:sz w:val="20"/>
              </w:rPr>
            </w:pPr>
            <w:r>
              <w:rPr>
                <w:b/>
                <w:sz w:val="20"/>
              </w:rPr>
              <w:t>Key Observations/Concerns</w:t>
            </w:r>
          </w:p>
        </w:tc>
        <w:tc>
          <w:tcPr>
            <w:tcW w:w="2861" w:type="dxa"/>
            <w:shd w:val="clear" w:color="auto" w:fill="BEBEBE"/>
          </w:tcPr>
          <w:p>
            <w:pPr>
              <w:pStyle w:val="TableParagraph"/>
              <w:ind w:left="67"/>
              <w:rPr>
                <w:b/>
                <w:sz w:val="20"/>
              </w:rPr>
            </w:pPr>
            <w:r>
              <w:rPr>
                <w:b/>
                <w:sz w:val="20"/>
              </w:rPr>
              <w:t>Response</w:t>
            </w:r>
          </w:p>
        </w:tc>
      </w:tr>
      <w:tr>
        <w:trPr>
          <w:trHeight w:val="1051" w:hRule="exact"/>
        </w:trPr>
        <w:tc>
          <w:tcPr>
            <w:tcW w:w="1356" w:type="dxa"/>
            <w:vMerge w:val="restart"/>
          </w:tcPr>
          <w:p>
            <w:pPr>
              <w:pStyle w:val="TableParagraph"/>
              <w:ind w:left="67"/>
              <w:rPr>
                <w:sz w:val="20"/>
              </w:rPr>
            </w:pPr>
            <w:r>
              <w:rPr>
                <w:sz w:val="20"/>
              </w:rPr>
              <w:t>Feb 09, 2019</w:t>
            </w:r>
          </w:p>
        </w:tc>
        <w:tc>
          <w:tcPr>
            <w:tcW w:w="1243" w:type="dxa"/>
            <w:vMerge w:val="restart"/>
          </w:tcPr>
          <w:p>
            <w:pPr>
              <w:pStyle w:val="TableParagraph"/>
              <w:ind w:left="223"/>
              <w:rPr>
                <w:sz w:val="20"/>
              </w:rPr>
            </w:pPr>
            <w:r>
              <w:rPr>
                <w:sz w:val="20"/>
              </w:rPr>
              <w:t>Numaish</w:t>
            </w:r>
          </w:p>
        </w:tc>
        <w:tc>
          <w:tcPr>
            <w:tcW w:w="1664" w:type="dxa"/>
            <w:vMerge w:val="restart"/>
          </w:tcPr>
          <w:p>
            <w:pPr>
              <w:pStyle w:val="TableParagraph"/>
              <w:ind w:left="268"/>
              <w:rPr>
                <w:sz w:val="20"/>
              </w:rPr>
            </w:pPr>
            <w:r>
              <w:rPr>
                <w:sz w:val="20"/>
              </w:rPr>
              <w:t>N 24°52.371</w:t>
            </w:r>
          </w:p>
          <w:p>
            <w:pPr>
              <w:pStyle w:val="TableParagraph"/>
              <w:spacing w:before="0"/>
              <w:ind w:left="273"/>
              <w:rPr>
                <w:sz w:val="20"/>
              </w:rPr>
            </w:pPr>
            <w:r>
              <w:rPr>
                <w:sz w:val="20"/>
              </w:rPr>
              <w:t>E 67°02.282</w:t>
            </w:r>
          </w:p>
        </w:tc>
        <w:tc>
          <w:tcPr>
            <w:tcW w:w="1944" w:type="dxa"/>
            <w:vMerge w:val="restart"/>
          </w:tcPr>
          <w:p>
            <w:pPr>
              <w:pStyle w:val="TableParagraph"/>
              <w:jc w:val="center"/>
              <w:rPr>
                <w:sz w:val="20"/>
              </w:rPr>
            </w:pPr>
            <w:r>
              <w:rPr>
                <w:w w:val="99"/>
                <w:sz w:val="20"/>
              </w:rPr>
              <w:t>8</w:t>
            </w:r>
          </w:p>
        </w:tc>
        <w:tc>
          <w:tcPr>
            <w:tcW w:w="4589" w:type="dxa"/>
            <w:tcBorders>
              <w:bottom w:val="dotted" w:sz="4" w:space="0" w:color="000000"/>
            </w:tcBorders>
          </w:tcPr>
          <w:p>
            <w:pPr>
              <w:pStyle w:val="TableParagraph"/>
              <w:ind w:left="67" w:right="63"/>
              <w:jc w:val="both"/>
              <w:rPr>
                <w:sz w:val="20"/>
              </w:rPr>
            </w:pPr>
            <w:r>
              <w:rPr>
                <w:sz w:val="20"/>
              </w:rPr>
              <w:t>Vendors or roadside hawkers should not be relocated. If relocation is unavoidable, proper compensation should be paid to the affected people.</w:t>
            </w:r>
          </w:p>
        </w:tc>
        <w:tc>
          <w:tcPr>
            <w:tcW w:w="2861" w:type="dxa"/>
            <w:tcBorders>
              <w:bottom w:val="dotted" w:sz="4" w:space="0" w:color="000000"/>
            </w:tcBorders>
          </w:tcPr>
          <w:p>
            <w:pPr>
              <w:pStyle w:val="TableParagraph"/>
              <w:ind w:left="67"/>
              <w:rPr>
                <w:sz w:val="20"/>
              </w:rPr>
            </w:pPr>
            <w:r>
              <w:rPr>
                <w:sz w:val="20"/>
              </w:rPr>
              <w:t>Noted.</w:t>
            </w:r>
          </w:p>
        </w:tc>
      </w:tr>
      <w:tr>
        <w:trPr>
          <w:trHeight w:val="589" w:hRule="exact"/>
        </w:trPr>
        <w:tc>
          <w:tcPr>
            <w:tcW w:w="1356" w:type="dxa"/>
            <w:vMerge/>
          </w:tcPr>
          <w:p>
            <w:pPr/>
          </w:p>
        </w:tc>
        <w:tc>
          <w:tcPr>
            <w:tcW w:w="1243" w:type="dxa"/>
            <w:vMerge/>
          </w:tcPr>
          <w:p>
            <w:pPr/>
          </w:p>
        </w:tc>
        <w:tc>
          <w:tcPr>
            <w:tcW w:w="1664" w:type="dxa"/>
            <w:vMerge/>
          </w:tcPr>
          <w:p>
            <w:pPr/>
          </w:p>
        </w:tc>
        <w:tc>
          <w:tcPr>
            <w:tcW w:w="1944" w:type="dxa"/>
            <w:vMerge/>
          </w:tcPr>
          <w:p>
            <w:pPr/>
          </w:p>
        </w:tc>
        <w:tc>
          <w:tcPr>
            <w:tcW w:w="4589" w:type="dxa"/>
            <w:tcBorders>
              <w:top w:val="dotted" w:sz="4" w:space="0" w:color="000000"/>
              <w:bottom w:val="dotted" w:sz="4" w:space="0" w:color="000000"/>
            </w:tcBorders>
          </w:tcPr>
          <w:p>
            <w:pPr>
              <w:pStyle w:val="TableParagraph"/>
              <w:spacing w:before="60"/>
              <w:ind w:left="67"/>
              <w:rPr>
                <w:sz w:val="20"/>
              </w:rPr>
            </w:pPr>
            <w:r>
              <w:rPr>
                <w:sz w:val="20"/>
              </w:rPr>
              <w:t>Due to BRT, the business opportunities will increase.</w:t>
            </w:r>
          </w:p>
        </w:tc>
        <w:tc>
          <w:tcPr>
            <w:tcW w:w="2861" w:type="dxa"/>
            <w:tcBorders>
              <w:top w:val="dotted" w:sz="4" w:space="0" w:color="000000"/>
              <w:bottom w:val="dotted" w:sz="4" w:space="0" w:color="000000"/>
            </w:tcBorders>
          </w:tcPr>
          <w:p>
            <w:pPr>
              <w:pStyle w:val="TableParagraph"/>
              <w:spacing w:before="60"/>
              <w:ind w:left="67"/>
              <w:rPr>
                <w:sz w:val="20"/>
              </w:rPr>
            </w:pPr>
            <w:r>
              <w:rPr>
                <w:sz w:val="20"/>
              </w:rPr>
              <w:t>Noted.</w:t>
            </w:r>
          </w:p>
        </w:tc>
      </w:tr>
      <w:tr>
        <w:trPr>
          <w:trHeight w:val="590" w:hRule="exact"/>
        </w:trPr>
        <w:tc>
          <w:tcPr>
            <w:tcW w:w="1356" w:type="dxa"/>
            <w:vMerge/>
          </w:tcPr>
          <w:p>
            <w:pPr/>
          </w:p>
        </w:tc>
        <w:tc>
          <w:tcPr>
            <w:tcW w:w="1243" w:type="dxa"/>
            <w:vMerge/>
          </w:tcPr>
          <w:p>
            <w:pPr/>
          </w:p>
        </w:tc>
        <w:tc>
          <w:tcPr>
            <w:tcW w:w="1664" w:type="dxa"/>
            <w:vMerge/>
          </w:tcPr>
          <w:p>
            <w:pPr/>
          </w:p>
        </w:tc>
        <w:tc>
          <w:tcPr>
            <w:tcW w:w="1944" w:type="dxa"/>
            <w:vMerge/>
          </w:tcPr>
          <w:p>
            <w:pPr/>
          </w:p>
        </w:tc>
        <w:tc>
          <w:tcPr>
            <w:tcW w:w="4589" w:type="dxa"/>
            <w:tcBorders>
              <w:top w:val="dotted" w:sz="4" w:space="0" w:color="000000"/>
              <w:bottom w:val="dotted" w:sz="4" w:space="0" w:color="000000"/>
            </w:tcBorders>
          </w:tcPr>
          <w:p>
            <w:pPr>
              <w:pStyle w:val="TableParagraph"/>
              <w:ind w:left="67"/>
              <w:rPr>
                <w:sz w:val="20"/>
              </w:rPr>
            </w:pPr>
            <w:r>
              <w:rPr>
                <w:sz w:val="20"/>
              </w:rPr>
              <w:t>The BRT will help in improving the transportation system of Karachi.</w:t>
            </w:r>
          </w:p>
        </w:tc>
        <w:tc>
          <w:tcPr>
            <w:tcW w:w="2861" w:type="dxa"/>
            <w:tcBorders>
              <w:top w:val="dotted" w:sz="4" w:space="0" w:color="000000"/>
              <w:bottom w:val="dotted" w:sz="4" w:space="0" w:color="000000"/>
            </w:tcBorders>
          </w:tcPr>
          <w:p>
            <w:pPr>
              <w:pStyle w:val="TableParagraph"/>
              <w:spacing w:before="62"/>
              <w:ind w:left="67"/>
              <w:rPr>
                <w:sz w:val="20"/>
              </w:rPr>
            </w:pPr>
            <w:r>
              <w:rPr>
                <w:sz w:val="20"/>
              </w:rPr>
              <w:t>Noted.</w:t>
            </w:r>
          </w:p>
        </w:tc>
      </w:tr>
      <w:tr>
        <w:trPr>
          <w:trHeight w:val="590" w:hRule="exact"/>
        </w:trPr>
        <w:tc>
          <w:tcPr>
            <w:tcW w:w="1356" w:type="dxa"/>
            <w:vMerge/>
          </w:tcPr>
          <w:p>
            <w:pPr/>
          </w:p>
        </w:tc>
        <w:tc>
          <w:tcPr>
            <w:tcW w:w="1243" w:type="dxa"/>
            <w:vMerge/>
          </w:tcPr>
          <w:p>
            <w:pPr/>
          </w:p>
        </w:tc>
        <w:tc>
          <w:tcPr>
            <w:tcW w:w="1664" w:type="dxa"/>
            <w:vMerge/>
          </w:tcPr>
          <w:p>
            <w:pPr/>
          </w:p>
        </w:tc>
        <w:tc>
          <w:tcPr>
            <w:tcW w:w="1944" w:type="dxa"/>
            <w:vMerge/>
          </w:tcPr>
          <w:p>
            <w:pPr/>
          </w:p>
        </w:tc>
        <w:tc>
          <w:tcPr>
            <w:tcW w:w="4589" w:type="dxa"/>
            <w:tcBorders>
              <w:top w:val="dotted" w:sz="4" w:space="0" w:color="000000"/>
              <w:bottom w:val="dotted" w:sz="4" w:space="0" w:color="000000"/>
            </w:tcBorders>
          </w:tcPr>
          <w:p>
            <w:pPr>
              <w:pStyle w:val="TableParagraph"/>
              <w:ind w:left="67"/>
              <w:rPr>
                <w:sz w:val="20"/>
              </w:rPr>
            </w:pPr>
            <w:r>
              <w:rPr>
                <w:sz w:val="20"/>
              </w:rPr>
              <w:t>People will get employment opportunities in BRT Project</w:t>
            </w:r>
          </w:p>
        </w:tc>
        <w:tc>
          <w:tcPr>
            <w:tcW w:w="2861" w:type="dxa"/>
            <w:tcBorders>
              <w:top w:val="dotted" w:sz="4" w:space="0" w:color="000000"/>
              <w:bottom w:val="dotted" w:sz="4" w:space="0" w:color="000000"/>
            </w:tcBorders>
          </w:tcPr>
          <w:p>
            <w:pPr>
              <w:pStyle w:val="TableParagraph"/>
              <w:ind w:left="67"/>
              <w:rPr>
                <w:sz w:val="20"/>
              </w:rPr>
            </w:pPr>
            <w:r>
              <w:rPr>
                <w:sz w:val="20"/>
              </w:rPr>
              <w:t>Noted.</w:t>
            </w:r>
          </w:p>
        </w:tc>
      </w:tr>
      <w:tr>
        <w:trPr>
          <w:trHeight w:val="360" w:hRule="exact"/>
        </w:trPr>
        <w:tc>
          <w:tcPr>
            <w:tcW w:w="1356" w:type="dxa"/>
            <w:vMerge/>
          </w:tcPr>
          <w:p>
            <w:pPr/>
          </w:p>
        </w:tc>
        <w:tc>
          <w:tcPr>
            <w:tcW w:w="1243" w:type="dxa"/>
            <w:vMerge/>
          </w:tcPr>
          <w:p>
            <w:pPr/>
          </w:p>
        </w:tc>
        <w:tc>
          <w:tcPr>
            <w:tcW w:w="1664" w:type="dxa"/>
            <w:vMerge/>
          </w:tcPr>
          <w:p>
            <w:pPr/>
          </w:p>
        </w:tc>
        <w:tc>
          <w:tcPr>
            <w:tcW w:w="1944" w:type="dxa"/>
            <w:vMerge/>
          </w:tcPr>
          <w:p>
            <w:pPr/>
          </w:p>
        </w:tc>
        <w:tc>
          <w:tcPr>
            <w:tcW w:w="4589" w:type="dxa"/>
            <w:tcBorders>
              <w:top w:val="dotted" w:sz="4" w:space="0" w:color="000000"/>
            </w:tcBorders>
          </w:tcPr>
          <w:p>
            <w:pPr>
              <w:pStyle w:val="TableParagraph"/>
              <w:ind w:left="67"/>
              <w:rPr>
                <w:sz w:val="20"/>
              </w:rPr>
            </w:pPr>
            <w:r>
              <w:rPr>
                <w:sz w:val="20"/>
              </w:rPr>
              <w:t>Fares should be economical.</w:t>
            </w:r>
          </w:p>
        </w:tc>
        <w:tc>
          <w:tcPr>
            <w:tcW w:w="2861" w:type="dxa"/>
            <w:tcBorders>
              <w:top w:val="dotted" w:sz="4" w:space="0" w:color="000000"/>
            </w:tcBorders>
          </w:tcPr>
          <w:p>
            <w:pPr>
              <w:pStyle w:val="TableParagraph"/>
              <w:ind w:left="67"/>
              <w:rPr>
                <w:sz w:val="20"/>
              </w:rPr>
            </w:pPr>
            <w:r>
              <w:rPr>
                <w:sz w:val="20"/>
              </w:rPr>
              <w:t>Noted.</w:t>
            </w:r>
          </w:p>
        </w:tc>
      </w:tr>
      <w:tr>
        <w:trPr>
          <w:trHeight w:val="1740" w:hRule="exact"/>
        </w:trPr>
        <w:tc>
          <w:tcPr>
            <w:tcW w:w="1356" w:type="dxa"/>
            <w:vMerge w:val="restart"/>
          </w:tcPr>
          <w:p>
            <w:pPr>
              <w:pStyle w:val="TableParagraph"/>
              <w:ind w:left="67"/>
              <w:rPr>
                <w:sz w:val="20"/>
              </w:rPr>
            </w:pPr>
            <w:r>
              <w:rPr>
                <w:sz w:val="20"/>
              </w:rPr>
              <w:t>Feb 09, 2019</w:t>
            </w:r>
          </w:p>
        </w:tc>
        <w:tc>
          <w:tcPr>
            <w:tcW w:w="1243" w:type="dxa"/>
            <w:vMerge w:val="restart"/>
          </w:tcPr>
          <w:p>
            <w:pPr>
              <w:pStyle w:val="TableParagraph"/>
              <w:ind w:left="223"/>
              <w:rPr>
                <w:sz w:val="20"/>
              </w:rPr>
            </w:pPr>
            <w:r>
              <w:rPr>
                <w:sz w:val="20"/>
              </w:rPr>
              <w:t>Kala Pull</w:t>
            </w:r>
          </w:p>
        </w:tc>
        <w:tc>
          <w:tcPr>
            <w:tcW w:w="1664" w:type="dxa"/>
            <w:vMerge w:val="restart"/>
          </w:tcPr>
          <w:p>
            <w:pPr>
              <w:pStyle w:val="TableParagraph"/>
              <w:ind w:left="268"/>
              <w:rPr>
                <w:sz w:val="20"/>
              </w:rPr>
            </w:pPr>
            <w:r>
              <w:rPr>
                <w:sz w:val="20"/>
              </w:rPr>
              <w:t>N 24</w:t>
            </w:r>
            <w:r>
              <w:rPr>
                <w:color w:val="212121"/>
                <w:sz w:val="20"/>
              </w:rPr>
              <w:t>°</w:t>
            </w:r>
            <w:r>
              <w:rPr>
                <w:sz w:val="20"/>
              </w:rPr>
              <w:t>50.221</w:t>
            </w:r>
          </w:p>
          <w:p>
            <w:pPr>
              <w:pStyle w:val="TableParagraph"/>
              <w:spacing w:before="0"/>
              <w:ind w:left="273"/>
              <w:rPr>
                <w:sz w:val="20"/>
              </w:rPr>
            </w:pPr>
            <w:r>
              <w:rPr>
                <w:sz w:val="20"/>
              </w:rPr>
              <w:t>E 67</w:t>
            </w:r>
            <w:r>
              <w:rPr>
                <w:color w:val="212121"/>
                <w:sz w:val="20"/>
              </w:rPr>
              <w:t>°</w:t>
            </w:r>
            <w:r>
              <w:rPr>
                <w:sz w:val="20"/>
              </w:rPr>
              <w:t>04.104</w:t>
            </w:r>
          </w:p>
        </w:tc>
        <w:tc>
          <w:tcPr>
            <w:tcW w:w="1944" w:type="dxa"/>
            <w:vMerge w:val="restart"/>
          </w:tcPr>
          <w:p>
            <w:pPr>
              <w:pStyle w:val="TableParagraph"/>
              <w:ind w:left="79" w:right="81"/>
              <w:jc w:val="center"/>
              <w:rPr>
                <w:sz w:val="20"/>
              </w:rPr>
            </w:pPr>
            <w:r>
              <w:rPr>
                <w:sz w:val="20"/>
              </w:rPr>
              <w:t>10</w:t>
            </w:r>
          </w:p>
        </w:tc>
        <w:tc>
          <w:tcPr>
            <w:tcW w:w="4589" w:type="dxa"/>
            <w:tcBorders>
              <w:bottom w:val="dotted" w:sz="4" w:space="0" w:color="000000"/>
            </w:tcBorders>
          </w:tcPr>
          <w:p>
            <w:pPr>
              <w:pStyle w:val="TableParagraph"/>
              <w:ind w:left="67"/>
              <w:rPr>
                <w:sz w:val="20"/>
              </w:rPr>
            </w:pPr>
            <w:r>
              <w:rPr>
                <w:sz w:val="20"/>
              </w:rPr>
              <w:t>Fares should be economical, so poor people can get benefit of BRT.</w:t>
            </w:r>
          </w:p>
        </w:tc>
        <w:tc>
          <w:tcPr>
            <w:tcW w:w="2861" w:type="dxa"/>
            <w:tcBorders>
              <w:bottom w:val="dotted" w:sz="4" w:space="0" w:color="000000"/>
            </w:tcBorders>
          </w:tcPr>
          <w:p>
            <w:pPr>
              <w:pStyle w:val="TableParagraph"/>
              <w:ind w:left="67" w:right="67"/>
              <w:jc w:val="both"/>
              <w:rPr>
                <w:sz w:val="20"/>
              </w:rPr>
            </w:pPr>
            <w:r>
              <w:rPr>
                <w:sz w:val="20"/>
              </w:rPr>
              <w:t>In Islamabad/Rawalpindi, the fares are 20/person as government is giving subsidy for metro bus. As government is facing financial constraints so the fares can be increased to avoid subsidy.</w:t>
            </w:r>
          </w:p>
        </w:tc>
      </w:tr>
      <w:tr>
        <w:trPr>
          <w:trHeight w:val="590" w:hRule="exact"/>
        </w:trPr>
        <w:tc>
          <w:tcPr>
            <w:tcW w:w="1356" w:type="dxa"/>
            <w:vMerge/>
          </w:tcPr>
          <w:p>
            <w:pPr/>
          </w:p>
        </w:tc>
        <w:tc>
          <w:tcPr>
            <w:tcW w:w="1243" w:type="dxa"/>
            <w:vMerge/>
          </w:tcPr>
          <w:p>
            <w:pPr/>
          </w:p>
        </w:tc>
        <w:tc>
          <w:tcPr>
            <w:tcW w:w="1664" w:type="dxa"/>
            <w:vMerge/>
          </w:tcPr>
          <w:p>
            <w:pPr/>
          </w:p>
        </w:tc>
        <w:tc>
          <w:tcPr>
            <w:tcW w:w="1944" w:type="dxa"/>
            <w:vMerge/>
          </w:tcPr>
          <w:p>
            <w:pPr/>
          </w:p>
        </w:tc>
        <w:tc>
          <w:tcPr>
            <w:tcW w:w="4589" w:type="dxa"/>
            <w:tcBorders>
              <w:top w:val="dotted" w:sz="4" w:space="0" w:color="000000"/>
              <w:bottom w:val="dotted" w:sz="4" w:space="0" w:color="000000"/>
            </w:tcBorders>
          </w:tcPr>
          <w:p>
            <w:pPr>
              <w:pStyle w:val="TableParagraph"/>
              <w:ind w:left="67"/>
              <w:rPr>
                <w:sz w:val="20"/>
              </w:rPr>
            </w:pPr>
            <w:r>
              <w:rPr>
                <w:sz w:val="20"/>
              </w:rPr>
              <w:t>The BRT should be comfortable and should not be overcrowded.</w:t>
            </w:r>
          </w:p>
        </w:tc>
        <w:tc>
          <w:tcPr>
            <w:tcW w:w="2861" w:type="dxa"/>
            <w:tcBorders>
              <w:top w:val="dotted" w:sz="4" w:space="0" w:color="000000"/>
              <w:bottom w:val="dotted" w:sz="4" w:space="0" w:color="000000"/>
            </w:tcBorders>
          </w:tcPr>
          <w:p>
            <w:pPr>
              <w:pStyle w:val="TableParagraph"/>
              <w:ind w:left="67"/>
              <w:rPr>
                <w:sz w:val="20"/>
              </w:rPr>
            </w:pPr>
            <w:r>
              <w:rPr>
                <w:sz w:val="20"/>
              </w:rPr>
              <w:t>Noted.</w:t>
            </w:r>
          </w:p>
        </w:tc>
      </w:tr>
      <w:tr>
        <w:trPr>
          <w:trHeight w:val="591" w:hRule="exact"/>
        </w:trPr>
        <w:tc>
          <w:tcPr>
            <w:tcW w:w="1356" w:type="dxa"/>
            <w:vMerge/>
          </w:tcPr>
          <w:p>
            <w:pPr/>
          </w:p>
        </w:tc>
        <w:tc>
          <w:tcPr>
            <w:tcW w:w="1243" w:type="dxa"/>
            <w:vMerge/>
          </w:tcPr>
          <w:p>
            <w:pPr/>
          </w:p>
        </w:tc>
        <w:tc>
          <w:tcPr>
            <w:tcW w:w="1664" w:type="dxa"/>
            <w:vMerge/>
          </w:tcPr>
          <w:p>
            <w:pPr/>
          </w:p>
        </w:tc>
        <w:tc>
          <w:tcPr>
            <w:tcW w:w="1944" w:type="dxa"/>
            <w:vMerge/>
          </w:tcPr>
          <w:p>
            <w:pPr/>
          </w:p>
        </w:tc>
        <w:tc>
          <w:tcPr>
            <w:tcW w:w="4589" w:type="dxa"/>
            <w:tcBorders>
              <w:top w:val="dotted" w:sz="4" w:space="0" w:color="000000"/>
              <w:bottom w:val="dotted" w:sz="4" w:space="0" w:color="000000"/>
            </w:tcBorders>
          </w:tcPr>
          <w:p>
            <w:pPr>
              <w:pStyle w:val="TableParagraph"/>
              <w:ind w:left="67"/>
              <w:rPr>
                <w:sz w:val="20"/>
              </w:rPr>
            </w:pPr>
            <w:r>
              <w:rPr>
                <w:sz w:val="20"/>
              </w:rPr>
              <w:t>In BRT, there should be separate compartment for gents and ladies.</w:t>
            </w:r>
          </w:p>
        </w:tc>
        <w:tc>
          <w:tcPr>
            <w:tcW w:w="2861" w:type="dxa"/>
            <w:tcBorders>
              <w:top w:val="dotted" w:sz="4" w:space="0" w:color="000000"/>
              <w:bottom w:val="dotted" w:sz="4" w:space="0" w:color="000000"/>
            </w:tcBorders>
          </w:tcPr>
          <w:p>
            <w:pPr>
              <w:pStyle w:val="TableParagraph"/>
              <w:ind w:left="67"/>
              <w:rPr>
                <w:sz w:val="20"/>
              </w:rPr>
            </w:pPr>
            <w:r>
              <w:rPr>
                <w:sz w:val="20"/>
              </w:rPr>
              <w:t>Noted.</w:t>
            </w:r>
          </w:p>
        </w:tc>
      </w:tr>
      <w:tr>
        <w:trPr>
          <w:trHeight w:val="590" w:hRule="exact"/>
        </w:trPr>
        <w:tc>
          <w:tcPr>
            <w:tcW w:w="1356" w:type="dxa"/>
            <w:vMerge/>
          </w:tcPr>
          <w:p>
            <w:pPr/>
          </w:p>
        </w:tc>
        <w:tc>
          <w:tcPr>
            <w:tcW w:w="1243" w:type="dxa"/>
            <w:vMerge/>
          </w:tcPr>
          <w:p>
            <w:pPr/>
          </w:p>
        </w:tc>
        <w:tc>
          <w:tcPr>
            <w:tcW w:w="1664" w:type="dxa"/>
            <w:vMerge/>
          </w:tcPr>
          <w:p>
            <w:pPr/>
          </w:p>
        </w:tc>
        <w:tc>
          <w:tcPr>
            <w:tcW w:w="1944" w:type="dxa"/>
            <w:vMerge/>
          </w:tcPr>
          <w:p>
            <w:pPr/>
          </w:p>
        </w:tc>
        <w:tc>
          <w:tcPr>
            <w:tcW w:w="4589" w:type="dxa"/>
            <w:tcBorders>
              <w:top w:val="dotted" w:sz="4" w:space="0" w:color="000000"/>
            </w:tcBorders>
          </w:tcPr>
          <w:p>
            <w:pPr>
              <w:pStyle w:val="TableParagraph"/>
              <w:ind w:left="67"/>
              <w:rPr>
                <w:sz w:val="20"/>
              </w:rPr>
            </w:pPr>
            <w:r>
              <w:rPr>
                <w:sz w:val="20"/>
              </w:rPr>
              <w:t>Due to BRT, the roads will be blocked. Overhead bridges should be constructed to cross the roads.</w:t>
            </w:r>
          </w:p>
        </w:tc>
        <w:tc>
          <w:tcPr>
            <w:tcW w:w="2861" w:type="dxa"/>
            <w:tcBorders>
              <w:top w:val="dotted" w:sz="4" w:space="0" w:color="000000"/>
            </w:tcBorders>
          </w:tcPr>
          <w:p>
            <w:pPr>
              <w:pStyle w:val="TableParagraph"/>
              <w:ind w:left="67"/>
              <w:rPr>
                <w:sz w:val="20"/>
              </w:rPr>
            </w:pPr>
            <w:r>
              <w:rPr>
                <w:sz w:val="20"/>
              </w:rPr>
              <w:t>Noted.</w:t>
            </w:r>
          </w:p>
        </w:tc>
      </w:tr>
    </w:tbl>
    <w:p>
      <w:pPr>
        <w:spacing w:after="0"/>
        <w:rPr>
          <w:sz w:val="20"/>
        </w:rPr>
        <w:sectPr>
          <w:pgSz w:w="16840" w:h="11910" w:orient="landscape"/>
          <w:pgMar w:header="583" w:footer="575" w:top="840" w:bottom="760" w:left="860" w:right="12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6"/>
        </w:rPr>
      </w:pPr>
    </w:p>
    <w:tbl>
      <w:tblPr>
        <w:tblW w:w="0" w:type="auto"/>
        <w:jc w:val="left"/>
        <w:tblInd w:w="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6"/>
        <w:gridCol w:w="1243"/>
        <w:gridCol w:w="1664"/>
        <w:gridCol w:w="1944"/>
        <w:gridCol w:w="4589"/>
        <w:gridCol w:w="2861"/>
      </w:tblGrid>
      <w:tr>
        <w:trPr>
          <w:trHeight w:val="360" w:hRule="exact"/>
        </w:trPr>
        <w:tc>
          <w:tcPr>
            <w:tcW w:w="1356" w:type="dxa"/>
            <w:shd w:val="clear" w:color="auto" w:fill="BEBEBE"/>
          </w:tcPr>
          <w:p>
            <w:pPr>
              <w:pStyle w:val="TableParagraph"/>
              <w:ind w:left="67"/>
              <w:rPr>
                <w:b/>
                <w:sz w:val="20"/>
              </w:rPr>
            </w:pPr>
            <w:r>
              <w:rPr>
                <w:b/>
                <w:sz w:val="20"/>
              </w:rPr>
              <w:t>Date</w:t>
            </w:r>
          </w:p>
        </w:tc>
        <w:tc>
          <w:tcPr>
            <w:tcW w:w="1243" w:type="dxa"/>
            <w:shd w:val="clear" w:color="auto" w:fill="BEBEBE"/>
          </w:tcPr>
          <w:p>
            <w:pPr>
              <w:pStyle w:val="TableParagraph"/>
              <w:ind w:left="67"/>
              <w:rPr>
                <w:b/>
                <w:sz w:val="20"/>
              </w:rPr>
            </w:pPr>
            <w:r>
              <w:rPr>
                <w:b/>
                <w:sz w:val="20"/>
              </w:rPr>
              <w:t>Location</w:t>
            </w:r>
          </w:p>
        </w:tc>
        <w:tc>
          <w:tcPr>
            <w:tcW w:w="1664" w:type="dxa"/>
            <w:shd w:val="clear" w:color="auto" w:fill="BEBEBE"/>
          </w:tcPr>
          <w:p>
            <w:pPr>
              <w:pStyle w:val="TableParagraph"/>
              <w:ind w:left="67"/>
              <w:rPr>
                <w:b/>
                <w:sz w:val="20"/>
              </w:rPr>
            </w:pPr>
            <w:r>
              <w:rPr>
                <w:b/>
                <w:sz w:val="20"/>
              </w:rPr>
              <w:t>Coordinates</w:t>
            </w:r>
          </w:p>
        </w:tc>
        <w:tc>
          <w:tcPr>
            <w:tcW w:w="1944" w:type="dxa"/>
            <w:shd w:val="clear" w:color="auto" w:fill="BEBEBE"/>
          </w:tcPr>
          <w:p>
            <w:pPr>
              <w:pStyle w:val="TableParagraph"/>
              <w:ind w:left="67"/>
              <w:rPr>
                <w:b/>
                <w:sz w:val="20"/>
              </w:rPr>
            </w:pPr>
            <w:r>
              <w:rPr>
                <w:b/>
                <w:sz w:val="20"/>
              </w:rPr>
              <w:t>No. of Participants</w:t>
            </w:r>
          </w:p>
        </w:tc>
        <w:tc>
          <w:tcPr>
            <w:tcW w:w="4589" w:type="dxa"/>
            <w:shd w:val="clear" w:color="auto" w:fill="BEBEBE"/>
          </w:tcPr>
          <w:p>
            <w:pPr>
              <w:pStyle w:val="TableParagraph"/>
              <w:ind w:left="67"/>
              <w:rPr>
                <w:b/>
                <w:sz w:val="20"/>
              </w:rPr>
            </w:pPr>
            <w:r>
              <w:rPr>
                <w:b/>
                <w:sz w:val="20"/>
              </w:rPr>
              <w:t>Key Observations/Concerns</w:t>
            </w:r>
          </w:p>
        </w:tc>
        <w:tc>
          <w:tcPr>
            <w:tcW w:w="2861" w:type="dxa"/>
            <w:shd w:val="clear" w:color="auto" w:fill="BEBEBE"/>
          </w:tcPr>
          <w:p>
            <w:pPr>
              <w:pStyle w:val="TableParagraph"/>
              <w:ind w:left="67"/>
              <w:rPr>
                <w:b/>
                <w:sz w:val="20"/>
              </w:rPr>
            </w:pPr>
            <w:r>
              <w:rPr>
                <w:b/>
                <w:sz w:val="20"/>
              </w:rPr>
              <w:t>Response</w:t>
            </w:r>
          </w:p>
        </w:tc>
      </w:tr>
      <w:tr>
        <w:trPr>
          <w:trHeight w:val="1741" w:hRule="exact"/>
        </w:trPr>
        <w:tc>
          <w:tcPr>
            <w:tcW w:w="1356" w:type="dxa"/>
            <w:vMerge w:val="restart"/>
          </w:tcPr>
          <w:p>
            <w:pPr>
              <w:pStyle w:val="TableParagraph"/>
              <w:ind w:left="67"/>
              <w:rPr>
                <w:sz w:val="20"/>
              </w:rPr>
            </w:pPr>
            <w:r>
              <w:rPr>
                <w:sz w:val="20"/>
              </w:rPr>
              <w:t>Feb 09, 2019</w:t>
            </w:r>
          </w:p>
        </w:tc>
        <w:tc>
          <w:tcPr>
            <w:tcW w:w="1243" w:type="dxa"/>
            <w:vMerge w:val="restart"/>
          </w:tcPr>
          <w:p>
            <w:pPr>
              <w:pStyle w:val="TableParagraph"/>
              <w:ind w:left="307" w:right="284" w:firstLine="76"/>
              <w:rPr>
                <w:sz w:val="20"/>
              </w:rPr>
            </w:pPr>
            <w:r>
              <w:rPr>
                <w:sz w:val="20"/>
              </w:rPr>
              <w:t>Nasir Colony</w:t>
            </w:r>
          </w:p>
        </w:tc>
        <w:tc>
          <w:tcPr>
            <w:tcW w:w="1664" w:type="dxa"/>
            <w:vMerge w:val="restart"/>
          </w:tcPr>
          <w:p>
            <w:pPr>
              <w:pStyle w:val="TableParagraph"/>
              <w:ind w:left="268"/>
              <w:rPr>
                <w:sz w:val="20"/>
              </w:rPr>
            </w:pPr>
            <w:r>
              <w:rPr>
                <w:sz w:val="20"/>
              </w:rPr>
              <w:t>N 24</w:t>
            </w:r>
            <w:r>
              <w:rPr>
                <w:color w:val="212121"/>
                <w:sz w:val="20"/>
              </w:rPr>
              <w:t>°</w:t>
            </w:r>
            <w:r>
              <w:rPr>
                <w:sz w:val="20"/>
              </w:rPr>
              <w:t>49.673</w:t>
            </w:r>
          </w:p>
          <w:p>
            <w:pPr>
              <w:pStyle w:val="TableParagraph"/>
              <w:spacing w:before="0"/>
              <w:ind w:left="273"/>
              <w:rPr>
                <w:sz w:val="20"/>
              </w:rPr>
            </w:pPr>
            <w:r>
              <w:rPr>
                <w:sz w:val="20"/>
              </w:rPr>
              <w:t>E 67</w:t>
            </w:r>
            <w:r>
              <w:rPr>
                <w:color w:val="212121"/>
                <w:sz w:val="20"/>
              </w:rPr>
              <w:t>°</w:t>
            </w:r>
            <w:r>
              <w:rPr>
                <w:sz w:val="20"/>
              </w:rPr>
              <w:t>07.411</w:t>
            </w:r>
          </w:p>
        </w:tc>
        <w:tc>
          <w:tcPr>
            <w:tcW w:w="1944" w:type="dxa"/>
            <w:vMerge w:val="restart"/>
          </w:tcPr>
          <w:p>
            <w:pPr>
              <w:pStyle w:val="TableParagraph"/>
              <w:ind w:left="436" w:right="81"/>
              <w:jc w:val="center"/>
              <w:rPr>
                <w:sz w:val="20"/>
              </w:rPr>
            </w:pPr>
            <w:r>
              <w:rPr>
                <w:sz w:val="20"/>
              </w:rPr>
              <w:t>15</w:t>
            </w:r>
          </w:p>
        </w:tc>
        <w:tc>
          <w:tcPr>
            <w:tcW w:w="4589" w:type="dxa"/>
            <w:tcBorders>
              <w:bottom w:val="dotted" w:sz="4" w:space="0" w:color="000000"/>
            </w:tcBorders>
          </w:tcPr>
          <w:p>
            <w:pPr>
              <w:pStyle w:val="TableParagraph"/>
              <w:ind w:left="67"/>
              <w:rPr>
                <w:sz w:val="20"/>
              </w:rPr>
            </w:pPr>
            <w:r>
              <w:rPr>
                <w:sz w:val="20"/>
              </w:rPr>
              <w:t>Fares should be economical, so poor people can get benefit from BRT especially for old citizen.</w:t>
            </w:r>
          </w:p>
        </w:tc>
        <w:tc>
          <w:tcPr>
            <w:tcW w:w="2861" w:type="dxa"/>
            <w:tcBorders>
              <w:bottom w:val="dotted" w:sz="4" w:space="0" w:color="000000"/>
            </w:tcBorders>
          </w:tcPr>
          <w:p>
            <w:pPr>
              <w:pStyle w:val="TableParagraph"/>
              <w:ind w:left="67" w:right="65"/>
              <w:jc w:val="both"/>
              <w:rPr>
                <w:sz w:val="20"/>
              </w:rPr>
            </w:pPr>
            <w:r>
              <w:rPr>
                <w:sz w:val="20"/>
              </w:rPr>
              <w:t>In Islamabad/Rawalpindi, the fares are 20/person as government is giving subsidy for metro bus. As government is facing financial constraints so the fares can be increased to avoid subsidy.</w:t>
            </w:r>
          </w:p>
        </w:tc>
      </w:tr>
      <w:tr>
        <w:trPr>
          <w:trHeight w:val="590" w:hRule="exact"/>
        </w:trPr>
        <w:tc>
          <w:tcPr>
            <w:tcW w:w="1356" w:type="dxa"/>
            <w:vMerge/>
          </w:tcPr>
          <w:p>
            <w:pPr/>
          </w:p>
        </w:tc>
        <w:tc>
          <w:tcPr>
            <w:tcW w:w="1243" w:type="dxa"/>
            <w:vMerge/>
          </w:tcPr>
          <w:p>
            <w:pPr/>
          </w:p>
        </w:tc>
        <w:tc>
          <w:tcPr>
            <w:tcW w:w="1664" w:type="dxa"/>
            <w:vMerge/>
          </w:tcPr>
          <w:p>
            <w:pPr/>
          </w:p>
        </w:tc>
        <w:tc>
          <w:tcPr>
            <w:tcW w:w="1944" w:type="dxa"/>
            <w:vMerge/>
          </w:tcPr>
          <w:p>
            <w:pPr/>
          </w:p>
        </w:tc>
        <w:tc>
          <w:tcPr>
            <w:tcW w:w="4589" w:type="dxa"/>
            <w:tcBorders>
              <w:top w:val="dotted" w:sz="4" w:space="0" w:color="000000"/>
              <w:bottom w:val="dotted" w:sz="4" w:space="0" w:color="000000"/>
            </w:tcBorders>
          </w:tcPr>
          <w:p>
            <w:pPr>
              <w:pStyle w:val="TableParagraph"/>
              <w:ind w:left="67"/>
              <w:rPr>
                <w:sz w:val="20"/>
              </w:rPr>
            </w:pPr>
            <w:r>
              <w:rPr>
                <w:sz w:val="20"/>
              </w:rPr>
              <w:t>The people are happy and it’s a sign of development.</w:t>
            </w:r>
          </w:p>
        </w:tc>
        <w:tc>
          <w:tcPr>
            <w:tcW w:w="2861" w:type="dxa"/>
            <w:tcBorders>
              <w:top w:val="dotted" w:sz="4" w:space="0" w:color="000000"/>
              <w:bottom w:val="dotted" w:sz="4" w:space="0" w:color="000000"/>
            </w:tcBorders>
          </w:tcPr>
          <w:p>
            <w:pPr>
              <w:pStyle w:val="TableParagraph"/>
              <w:ind w:left="67"/>
              <w:rPr>
                <w:sz w:val="20"/>
              </w:rPr>
            </w:pPr>
            <w:r>
              <w:rPr>
                <w:sz w:val="20"/>
              </w:rPr>
              <w:t>Noted.</w:t>
            </w:r>
          </w:p>
        </w:tc>
      </w:tr>
      <w:tr>
        <w:trPr>
          <w:trHeight w:val="360" w:hRule="exact"/>
        </w:trPr>
        <w:tc>
          <w:tcPr>
            <w:tcW w:w="1356" w:type="dxa"/>
            <w:vMerge/>
          </w:tcPr>
          <w:p>
            <w:pPr/>
          </w:p>
        </w:tc>
        <w:tc>
          <w:tcPr>
            <w:tcW w:w="1243" w:type="dxa"/>
            <w:vMerge/>
          </w:tcPr>
          <w:p>
            <w:pPr/>
          </w:p>
        </w:tc>
        <w:tc>
          <w:tcPr>
            <w:tcW w:w="1664" w:type="dxa"/>
            <w:vMerge/>
          </w:tcPr>
          <w:p>
            <w:pPr/>
          </w:p>
        </w:tc>
        <w:tc>
          <w:tcPr>
            <w:tcW w:w="1944" w:type="dxa"/>
            <w:vMerge/>
          </w:tcPr>
          <w:p>
            <w:pPr/>
          </w:p>
        </w:tc>
        <w:tc>
          <w:tcPr>
            <w:tcW w:w="4589" w:type="dxa"/>
            <w:tcBorders>
              <w:top w:val="dotted" w:sz="4" w:space="0" w:color="000000"/>
              <w:bottom w:val="dotted" w:sz="4" w:space="0" w:color="000000"/>
            </w:tcBorders>
          </w:tcPr>
          <w:p>
            <w:pPr>
              <w:pStyle w:val="TableParagraph"/>
              <w:ind w:left="67"/>
              <w:rPr>
                <w:sz w:val="20"/>
              </w:rPr>
            </w:pPr>
            <w:r>
              <w:rPr>
                <w:sz w:val="20"/>
              </w:rPr>
              <w:t>The BRT stations should be near to the colony.</w:t>
            </w:r>
          </w:p>
        </w:tc>
        <w:tc>
          <w:tcPr>
            <w:tcW w:w="2861" w:type="dxa"/>
            <w:tcBorders>
              <w:top w:val="dotted" w:sz="4" w:space="0" w:color="000000"/>
              <w:bottom w:val="dotted" w:sz="4" w:space="0" w:color="000000"/>
            </w:tcBorders>
          </w:tcPr>
          <w:p>
            <w:pPr>
              <w:pStyle w:val="TableParagraph"/>
              <w:ind w:left="67"/>
              <w:rPr>
                <w:sz w:val="20"/>
              </w:rPr>
            </w:pPr>
            <w:r>
              <w:rPr>
                <w:sz w:val="20"/>
              </w:rPr>
              <w:t>Noted.</w:t>
            </w:r>
          </w:p>
        </w:tc>
      </w:tr>
      <w:tr>
        <w:trPr>
          <w:trHeight w:val="590" w:hRule="exact"/>
        </w:trPr>
        <w:tc>
          <w:tcPr>
            <w:tcW w:w="1356" w:type="dxa"/>
            <w:vMerge/>
          </w:tcPr>
          <w:p>
            <w:pPr/>
          </w:p>
        </w:tc>
        <w:tc>
          <w:tcPr>
            <w:tcW w:w="1243" w:type="dxa"/>
            <w:vMerge/>
          </w:tcPr>
          <w:p>
            <w:pPr/>
          </w:p>
        </w:tc>
        <w:tc>
          <w:tcPr>
            <w:tcW w:w="1664" w:type="dxa"/>
            <w:vMerge/>
          </w:tcPr>
          <w:p>
            <w:pPr/>
          </w:p>
        </w:tc>
        <w:tc>
          <w:tcPr>
            <w:tcW w:w="1944" w:type="dxa"/>
            <w:vMerge/>
          </w:tcPr>
          <w:p>
            <w:pPr/>
          </w:p>
        </w:tc>
        <w:tc>
          <w:tcPr>
            <w:tcW w:w="4589" w:type="dxa"/>
            <w:tcBorders>
              <w:top w:val="dotted" w:sz="4" w:space="0" w:color="000000"/>
              <w:bottom w:val="dotted" w:sz="4" w:space="0" w:color="000000"/>
            </w:tcBorders>
          </w:tcPr>
          <w:p>
            <w:pPr>
              <w:pStyle w:val="TableParagraph"/>
              <w:ind w:left="67"/>
              <w:rPr>
                <w:sz w:val="20"/>
              </w:rPr>
            </w:pPr>
            <w:r>
              <w:rPr>
                <w:sz w:val="20"/>
              </w:rPr>
              <w:t>Due to BRT Project, people can travel safely and reach their destinations on time.</w:t>
            </w:r>
          </w:p>
        </w:tc>
        <w:tc>
          <w:tcPr>
            <w:tcW w:w="2861" w:type="dxa"/>
            <w:tcBorders>
              <w:top w:val="dotted" w:sz="4" w:space="0" w:color="000000"/>
              <w:bottom w:val="dotted" w:sz="4" w:space="0" w:color="000000"/>
            </w:tcBorders>
          </w:tcPr>
          <w:p>
            <w:pPr>
              <w:pStyle w:val="TableParagraph"/>
              <w:ind w:left="67"/>
              <w:rPr>
                <w:sz w:val="20"/>
              </w:rPr>
            </w:pPr>
            <w:r>
              <w:rPr>
                <w:sz w:val="20"/>
              </w:rPr>
              <w:t>Noted.</w:t>
            </w:r>
          </w:p>
        </w:tc>
      </w:tr>
      <w:tr>
        <w:trPr>
          <w:trHeight w:val="819" w:hRule="exact"/>
        </w:trPr>
        <w:tc>
          <w:tcPr>
            <w:tcW w:w="1356" w:type="dxa"/>
            <w:vMerge/>
          </w:tcPr>
          <w:p>
            <w:pPr/>
          </w:p>
        </w:tc>
        <w:tc>
          <w:tcPr>
            <w:tcW w:w="1243" w:type="dxa"/>
            <w:vMerge/>
          </w:tcPr>
          <w:p>
            <w:pPr/>
          </w:p>
        </w:tc>
        <w:tc>
          <w:tcPr>
            <w:tcW w:w="1664" w:type="dxa"/>
            <w:vMerge/>
          </w:tcPr>
          <w:p>
            <w:pPr/>
          </w:p>
        </w:tc>
        <w:tc>
          <w:tcPr>
            <w:tcW w:w="1944" w:type="dxa"/>
            <w:vMerge/>
          </w:tcPr>
          <w:p>
            <w:pPr/>
          </w:p>
        </w:tc>
        <w:tc>
          <w:tcPr>
            <w:tcW w:w="4589" w:type="dxa"/>
            <w:tcBorders>
              <w:top w:val="dotted" w:sz="4" w:space="0" w:color="000000"/>
            </w:tcBorders>
          </w:tcPr>
          <w:p>
            <w:pPr>
              <w:pStyle w:val="TableParagraph"/>
              <w:ind w:left="67" w:right="70"/>
              <w:jc w:val="both"/>
              <w:rPr>
                <w:sz w:val="20"/>
              </w:rPr>
            </w:pPr>
            <w:r>
              <w:rPr>
                <w:sz w:val="20"/>
              </w:rPr>
              <w:t>If anyone is losing their property/assets due to the Project activities, adequate compensation should be provided to them.</w:t>
            </w:r>
          </w:p>
        </w:tc>
        <w:tc>
          <w:tcPr>
            <w:tcW w:w="2861" w:type="dxa"/>
            <w:tcBorders>
              <w:top w:val="dotted" w:sz="4" w:space="0" w:color="000000"/>
            </w:tcBorders>
          </w:tcPr>
          <w:p>
            <w:pPr>
              <w:pStyle w:val="TableParagraph"/>
              <w:ind w:left="67"/>
              <w:rPr>
                <w:sz w:val="20"/>
              </w:rPr>
            </w:pPr>
            <w:r>
              <w:rPr>
                <w:sz w:val="20"/>
              </w:rPr>
              <w:t>Noted.</w:t>
            </w:r>
          </w:p>
        </w:tc>
      </w:tr>
      <w:tr>
        <w:trPr>
          <w:trHeight w:val="590" w:hRule="exact"/>
        </w:trPr>
        <w:tc>
          <w:tcPr>
            <w:tcW w:w="1356" w:type="dxa"/>
            <w:vMerge w:val="restart"/>
          </w:tcPr>
          <w:p>
            <w:pPr>
              <w:pStyle w:val="TableParagraph"/>
              <w:ind w:left="67"/>
              <w:rPr>
                <w:sz w:val="20"/>
              </w:rPr>
            </w:pPr>
            <w:r>
              <w:rPr>
                <w:sz w:val="20"/>
              </w:rPr>
              <w:t>Feb 09, 2019</w:t>
            </w:r>
          </w:p>
        </w:tc>
        <w:tc>
          <w:tcPr>
            <w:tcW w:w="1243" w:type="dxa"/>
            <w:vMerge w:val="restart"/>
          </w:tcPr>
          <w:p>
            <w:pPr>
              <w:pStyle w:val="TableParagraph"/>
              <w:ind w:left="139" w:firstLine="112"/>
              <w:rPr>
                <w:sz w:val="20"/>
              </w:rPr>
            </w:pPr>
            <w:r>
              <w:rPr>
                <w:sz w:val="20"/>
              </w:rPr>
              <w:t>Dawood </w:t>
            </w:r>
            <w:r>
              <w:rPr>
                <w:w w:val="95"/>
                <w:sz w:val="20"/>
              </w:rPr>
              <w:t>Chowrangi</w:t>
            </w:r>
          </w:p>
        </w:tc>
        <w:tc>
          <w:tcPr>
            <w:tcW w:w="1664" w:type="dxa"/>
            <w:vMerge w:val="restart"/>
          </w:tcPr>
          <w:p>
            <w:pPr>
              <w:pStyle w:val="TableParagraph"/>
              <w:ind w:left="268"/>
              <w:rPr>
                <w:sz w:val="20"/>
              </w:rPr>
            </w:pPr>
            <w:r>
              <w:rPr>
                <w:sz w:val="20"/>
              </w:rPr>
              <w:t>N 24</w:t>
            </w:r>
            <w:r>
              <w:rPr>
                <w:color w:val="212121"/>
                <w:sz w:val="20"/>
              </w:rPr>
              <w:t>°</w:t>
            </w:r>
            <w:r>
              <w:rPr>
                <w:sz w:val="20"/>
              </w:rPr>
              <w:t>50.859</w:t>
            </w:r>
          </w:p>
          <w:p>
            <w:pPr>
              <w:pStyle w:val="TableParagraph"/>
              <w:spacing w:before="0"/>
              <w:ind w:left="273"/>
              <w:rPr>
                <w:sz w:val="20"/>
              </w:rPr>
            </w:pPr>
            <w:r>
              <w:rPr>
                <w:sz w:val="20"/>
              </w:rPr>
              <w:t>E 67</w:t>
            </w:r>
            <w:r>
              <w:rPr>
                <w:color w:val="212121"/>
                <w:sz w:val="20"/>
              </w:rPr>
              <w:t>°</w:t>
            </w:r>
            <w:r>
              <w:rPr>
                <w:sz w:val="20"/>
              </w:rPr>
              <w:t>12.726</w:t>
            </w:r>
          </w:p>
        </w:tc>
        <w:tc>
          <w:tcPr>
            <w:tcW w:w="1944" w:type="dxa"/>
            <w:vMerge w:val="restart"/>
          </w:tcPr>
          <w:p>
            <w:pPr>
              <w:pStyle w:val="TableParagraph"/>
              <w:ind w:left="360"/>
              <w:jc w:val="center"/>
              <w:rPr>
                <w:sz w:val="20"/>
              </w:rPr>
            </w:pPr>
            <w:r>
              <w:rPr>
                <w:w w:val="99"/>
                <w:sz w:val="20"/>
              </w:rPr>
              <w:t>7</w:t>
            </w:r>
          </w:p>
        </w:tc>
        <w:tc>
          <w:tcPr>
            <w:tcW w:w="4589" w:type="dxa"/>
            <w:tcBorders>
              <w:bottom w:val="dotted" w:sz="4" w:space="0" w:color="000000"/>
            </w:tcBorders>
          </w:tcPr>
          <w:p>
            <w:pPr>
              <w:pStyle w:val="TableParagraph"/>
              <w:ind w:left="67"/>
              <w:rPr>
                <w:sz w:val="20"/>
              </w:rPr>
            </w:pPr>
            <w:r>
              <w:rPr>
                <w:sz w:val="20"/>
              </w:rPr>
              <w:t>BRT is badly needed in the extending populated area.</w:t>
            </w:r>
          </w:p>
        </w:tc>
        <w:tc>
          <w:tcPr>
            <w:tcW w:w="2861" w:type="dxa"/>
            <w:tcBorders>
              <w:bottom w:val="dotted" w:sz="4" w:space="0" w:color="000000"/>
            </w:tcBorders>
          </w:tcPr>
          <w:p>
            <w:pPr>
              <w:pStyle w:val="TableParagraph"/>
              <w:ind w:left="67"/>
              <w:rPr>
                <w:sz w:val="20"/>
              </w:rPr>
            </w:pPr>
            <w:r>
              <w:rPr>
                <w:sz w:val="20"/>
              </w:rPr>
              <w:t>Noted.</w:t>
            </w:r>
          </w:p>
        </w:tc>
      </w:tr>
      <w:tr>
        <w:trPr>
          <w:trHeight w:val="590" w:hRule="exact"/>
        </w:trPr>
        <w:tc>
          <w:tcPr>
            <w:tcW w:w="1356" w:type="dxa"/>
            <w:vMerge/>
          </w:tcPr>
          <w:p>
            <w:pPr/>
          </w:p>
        </w:tc>
        <w:tc>
          <w:tcPr>
            <w:tcW w:w="1243" w:type="dxa"/>
            <w:vMerge/>
          </w:tcPr>
          <w:p>
            <w:pPr/>
          </w:p>
        </w:tc>
        <w:tc>
          <w:tcPr>
            <w:tcW w:w="1664" w:type="dxa"/>
            <w:vMerge/>
          </w:tcPr>
          <w:p>
            <w:pPr/>
          </w:p>
        </w:tc>
        <w:tc>
          <w:tcPr>
            <w:tcW w:w="1944" w:type="dxa"/>
            <w:vMerge/>
          </w:tcPr>
          <w:p>
            <w:pPr/>
          </w:p>
        </w:tc>
        <w:tc>
          <w:tcPr>
            <w:tcW w:w="4589" w:type="dxa"/>
            <w:tcBorders>
              <w:top w:val="dotted" w:sz="4" w:space="0" w:color="000000"/>
              <w:bottom w:val="dotted" w:sz="4" w:space="0" w:color="000000"/>
            </w:tcBorders>
          </w:tcPr>
          <w:p>
            <w:pPr>
              <w:pStyle w:val="TableParagraph"/>
              <w:ind w:left="67" w:right="65"/>
              <w:rPr>
                <w:sz w:val="20"/>
              </w:rPr>
            </w:pPr>
            <w:r>
              <w:rPr>
                <w:sz w:val="20"/>
              </w:rPr>
              <w:t>The</w:t>
            </w:r>
            <w:r>
              <w:rPr>
                <w:spacing w:val="-18"/>
                <w:sz w:val="20"/>
              </w:rPr>
              <w:t> </w:t>
            </w:r>
            <w:r>
              <w:rPr>
                <w:sz w:val="20"/>
              </w:rPr>
              <w:t>BRT</w:t>
            </w:r>
            <w:r>
              <w:rPr>
                <w:spacing w:val="-14"/>
                <w:sz w:val="20"/>
              </w:rPr>
              <w:t> </w:t>
            </w:r>
            <w:r>
              <w:rPr>
                <w:sz w:val="20"/>
              </w:rPr>
              <w:t>will</w:t>
            </w:r>
            <w:r>
              <w:rPr>
                <w:spacing w:val="-16"/>
                <w:sz w:val="20"/>
              </w:rPr>
              <w:t> </w:t>
            </w:r>
            <w:r>
              <w:rPr>
                <w:sz w:val="20"/>
              </w:rPr>
              <w:t>be</w:t>
            </w:r>
            <w:r>
              <w:rPr>
                <w:spacing w:val="-16"/>
                <w:sz w:val="20"/>
              </w:rPr>
              <w:t> </w:t>
            </w:r>
            <w:r>
              <w:rPr>
                <w:sz w:val="20"/>
              </w:rPr>
              <w:t>useful</w:t>
            </w:r>
            <w:r>
              <w:rPr>
                <w:spacing w:val="-16"/>
                <w:sz w:val="20"/>
              </w:rPr>
              <w:t> </w:t>
            </w:r>
            <w:r>
              <w:rPr>
                <w:sz w:val="20"/>
              </w:rPr>
              <w:t>and</w:t>
            </w:r>
            <w:r>
              <w:rPr>
                <w:spacing w:val="-13"/>
                <w:sz w:val="20"/>
              </w:rPr>
              <w:t> </w:t>
            </w:r>
            <w:r>
              <w:rPr>
                <w:sz w:val="20"/>
              </w:rPr>
              <w:t>beneficial</w:t>
            </w:r>
            <w:r>
              <w:rPr>
                <w:spacing w:val="-16"/>
                <w:sz w:val="20"/>
              </w:rPr>
              <w:t> </w:t>
            </w:r>
            <w:r>
              <w:rPr>
                <w:sz w:val="20"/>
              </w:rPr>
              <w:t>for</w:t>
            </w:r>
            <w:r>
              <w:rPr>
                <w:spacing w:val="-17"/>
                <w:sz w:val="20"/>
              </w:rPr>
              <w:t> </w:t>
            </w:r>
            <w:r>
              <w:rPr>
                <w:sz w:val="20"/>
              </w:rPr>
              <w:t>the</w:t>
            </w:r>
            <w:r>
              <w:rPr>
                <w:spacing w:val="-16"/>
                <w:sz w:val="20"/>
              </w:rPr>
              <w:t> </w:t>
            </w:r>
            <w:r>
              <w:rPr>
                <w:sz w:val="20"/>
              </w:rPr>
              <w:t>people of</w:t>
            </w:r>
            <w:r>
              <w:rPr>
                <w:spacing w:val="-5"/>
                <w:sz w:val="20"/>
              </w:rPr>
              <w:t> </w:t>
            </w:r>
            <w:r>
              <w:rPr>
                <w:sz w:val="20"/>
              </w:rPr>
              <w:t>Karachi.</w:t>
            </w:r>
          </w:p>
        </w:tc>
        <w:tc>
          <w:tcPr>
            <w:tcW w:w="2861" w:type="dxa"/>
            <w:tcBorders>
              <w:top w:val="dotted" w:sz="4" w:space="0" w:color="000000"/>
              <w:bottom w:val="dotted" w:sz="4" w:space="0" w:color="000000"/>
            </w:tcBorders>
          </w:tcPr>
          <w:p>
            <w:pPr>
              <w:pStyle w:val="TableParagraph"/>
              <w:ind w:left="67"/>
              <w:rPr>
                <w:sz w:val="20"/>
              </w:rPr>
            </w:pPr>
            <w:r>
              <w:rPr>
                <w:sz w:val="20"/>
              </w:rPr>
              <w:t>Noted.</w:t>
            </w:r>
          </w:p>
        </w:tc>
      </w:tr>
      <w:tr>
        <w:trPr>
          <w:trHeight w:val="590" w:hRule="exact"/>
        </w:trPr>
        <w:tc>
          <w:tcPr>
            <w:tcW w:w="1356" w:type="dxa"/>
            <w:vMerge/>
          </w:tcPr>
          <w:p>
            <w:pPr/>
          </w:p>
        </w:tc>
        <w:tc>
          <w:tcPr>
            <w:tcW w:w="1243" w:type="dxa"/>
            <w:vMerge/>
          </w:tcPr>
          <w:p>
            <w:pPr/>
          </w:p>
        </w:tc>
        <w:tc>
          <w:tcPr>
            <w:tcW w:w="1664" w:type="dxa"/>
            <w:vMerge/>
          </w:tcPr>
          <w:p>
            <w:pPr/>
          </w:p>
        </w:tc>
        <w:tc>
          <w:tcPr>
            <w:tcW w:w="1944" w:type="dxa"/>
            <w:vMerge/>
          </w:tcPr>
          <w:p>
            <w:pPr/>
          </w:p>
        </w:tc>
        <w:tc>
          <w:tcPr>
            <w:tcW w:w="4589" w:type="dxa"/>
            <w:tcBorders>
              <w:top w:val="dotted" w:sz="4" w:space="0" w:color="000000"/>
            </w:tcBorders>
          </w:tcPr>
          <w:p>
            <w:pPr>
              <w:pStyle w:val="TableParagraph"/>
              <w:ind w:left="67" w:right="59"/>
              <w:rPr>
                <w:sz w:val="20"/>
              </w:rPr>
            </w:pPr>
            <w:r>
              <w:rPr>
                <w:sz w:val="20"/>
              </w:rPr>
              <w:t>There</w:t>
            </w:r>
            <w:r>
              <w:rPr>
                <w:spacing w:val="-15"/>
                <w:sz w:val="20"/>
              </w:rPr>
              <w:t> </w:t>
            </w:r>
            <w:r>
              <w:rPr>
                <w:sz w:val="20"/>
              </w:rPr>
              <w:t>should</w:t>
            </w:r>
            <w:r>
              <w:rPr>
                <w:spacing w:val="-15"/>
                <w:sz w:val="20"/>
              </w:rPr>
              <w:t> </w:t>
            </w:r>
            <w:r>
              <w:rPr>
                <w:sz w:val="20"/>
              </w:rPr>
              <w:t>be</w:t>
            </w:r>
            <w:r>
              <w:rPr>
                <w:spacing w:val="-15"/>
                <w:sz w:val="20"/>
              </w:rPr>
              <w:t> </w:t>
            </w:r>
            <w:r>
              <w:rPr>
                <w:sz w:val="20"/>
              </w:rPr>
              <w:t>a</w:t>
            </w:r>
            <w:r>
              <w:rPr>
                <w:spacing w:val="-15"/>
                <w:sz w:val="20"/>
              </w:rPr>
              <w:t> </w:t>
            </w:r>
            <w:r>
              <w:rPr>
                <w:sz w:val="20"/>
              </w:rPr>
              <w:t>separate</w:t>
            </w:r>
            <w:r>
              <w:rPr>
                <w:spacing w:val="-14"/>
                <w:sz w:val="20"/>
              </w:rPr>
              <w:t> </w:t>
            </w:r>
            <w:r>
              <w:rPr>
                <w:sz w:val="20"/>
              </w:rPr>
              <w:t>compartment</w:t>
            </w:r>
            <w:r>
              <w:rPr>
                <w:spacing w:val="-15"/>
                <w:sz w:val="20"/>
              </w:rPr>
              <w:t> </w:t>
            </w:r>
            <w:r>
              <w:rPr>
                <w:sz w:val="20"/>
              </w:rPr>
              <w:t>for</w:t>
            </w:r>
            <w:r>
              <w:rPr>
                <w:spacing w:val="-14"/>
                <w:sz w:val="20"/>
              </w:rPr>
              <w:t> </w:t>
            </w:r>
            <w:r>
              <w:rPr>
                <w:sz w:val="20"/>
              </w:rPr>
              <w:t>ladies in</w:t>
            </w:r>
            <w:r>
              <w:rPr>
                <w:spacing w:val="-1"/>
                <w:sz w:val="20"/>
              </w:rPr>
              <w:t> </w:t>
            </w:r>
            <w:r>
              <w:rPr>
                <w:sz w:val="20"/>
              </w:rPr>
              <w:t>BRT.</w:t>
            </w:r>
          </w:p>
        </w:tc>
        <w:tc>
          <w:tcPr>
            <w:tcW w:w="2861" w:type="dxa"/>
            <w:vMerge w:val="restart"/>
            <w:tcBorders>
              <w:top w:val="dotted" w:sz="4" w:space="0" w:color="000000"/>
            </w:tcBorders>
          </w:tcPr>
          <w:p>
            <w:pPr>
              <w:pStyle w:val="TableParagraph"/>
              <w:ind w:left="67"/>
              <w:jc w:val="both"/>
              <w:rPr>
                <w:sz w:val="20"/>
              </w:rPr>
            </w:pPr>
            <w:r>
              <w:rPr>
                <w:sz w:val="20"/>
              </w:rPr>
              <w:t>Noted.</w:t>
            </w:r>
          </w:p>
          <w:p>
            <w:pPr>
              <w:pStyle w:val="TableParagraph"/>
              <w:spacing w:before="60"/>
              <w:ind w:left="67" w:right="69"/>
              <w:jc w:val="both"/>
              <w:rPr>
                <w:sz w:val="20"/>
              </w:rPr>
            </w:pPr>
            <w:r>
              <w:rPr>
                <w:sz w:val="20"/>
              </w:rPr>
              <w:t>Before the implemention of BRT Project, the roads will be carpeted.</w:t>
            </w:r>
          </w:p>
        </w:tc>
      </w:tr>
      <w:tr>
        <w:trPr>
          <w:trHeight w:val="1049" w:hRule="exact"/>
        </w:trPr>
        <w:tc>
          <w:tcPr>
            <w:tcW w:w="1356" w:type="dxa"/>
            <w:vMerge/>
          </w:tcPr>
          <w:p>
            <w:pPr/>
          </w:p>
        </w:tc>
        <w:tc>
          <w:tcPr>
            <w:tcW w:w="1243" w:type="dxa"/>
            <w:vMerge/>
          </w:tcPr>
          <w:p>
            <w:pPr/>
          </w:p>
        </w:tc>
        <w:tc>
          <w:tcPr>
            <w:tcW w:w="1664" w:type="dxa"/>
            <w:vMerge/>
          </w:tcPr>
          <w:p>
            <w:pPr/>
          </w:p>
        </w:tc>
        <w:tc>
          <w:tcPr>
            <w:tcW w:w="1944" w:type="dxa"/>
            <w:vMerge/>
          </w:tcPr>
          <w:p>
            <w:pPr/>
          </w:p>
        </w:tc>
        <w:tc>
          <w:tcPr>
            <w:tcW w:w="4589" w:type="dxa"/>
            <w:tcBorders>
              <w:bottom w:val="dotted" w:sz="4" w:space="0" w:color="000000"/>
            </w:tcBorders>
          </w:tcPr>
          <w:p>
            <w:pPr>
              <w:pStyle w:val="TableParagraph"/>
              <w:ind w:left="67" w:right="65"/>
              <w:jc w:val="both"/>
              <w:rPr>
                <w:sz w:val="20"/>
              </w:rPr>
            </w:pPr>
            <w:r>
              <w:rPr>
                <w:sz w:val="20"/>
              </w:rPr>
              <w:t>Roads are not paved and carpeted. Due to unpaved roads, dust pollution is</w:t>
            </w:r>
            <w:r>
              <w:rPr>
                <w:spacing w:val="-40"/>
                <w:sz w:val="20"/>
              </w:rPr>
              <w:t> </w:t>
            </w:r>
            <w:r>
              <w:rPr>
                <w:sz w:val="20"/>
              </w:rPr>
              <w:t>increasing. Roads should be black top before the implementation of BRT</w:t>
            </w:r>
            <w:r>
              <w:rPr>
                <w:spacing w:val="-5"/>
                <w:sz w:val="20"/>
              </w:rPr>
              <w:t> </w:t>
            </w:r>
            <w:r>
              <w:rPr>
                <w:sz w:val="20"/>
              </w:rPr>
              <w:t>Project.</w:t>
            </w:r>
          </w:p>
        </w:tc>
        <w:tc>
          <w:tcPr>
            <w:tcW w:w="2861" w:type="dxa"/>
            <w:vMerge/>
            <w:tcBorders>
              <w:bottom w:val="dotted" w:sz="4" w:space="0" w:color="000000"/>
            </w:tcBorders>
          </w:tcPr>
          <w:p>
            <w:pPr/>
          </w:p>
        </w:tc>
      </w:tr>
      <w:tr>
        <w:trPr>
          <w:trHeight w:val="590" w:hRule="exact"/>
        </w:trPr>
        <w:tc>
          <w:tcPr>
            <w:tcW w:w="1356" w:type="dxa"/>
            <w:vMerge/>
          </w:tcPr>
          <w:p>
            <w:pPr/>
          </w:p>
        </w:tc>
        <w:tc>
          <w:tcPr>
            <w:tcW w:w="1243" w:type="dxa"/>
            <w:vMerge/>
          </w:tcPr>
          <w:p>
            <w:pPr/>
          </w:p>
        </w:tc>
        <w:tc>
          <w:tcPr>
            <w:tcW w:w="1664" w:type="dxa"/>
            <w:vMerge/>
          </w:tcPr>
          <w:p>
            <w:pPr/>
          </w:p>
        </w:tc>
        <w:tc>
          <w:tcPr>
            <w:tcW w:w="1944" w:type="dxa"/>
            <w:vMerge/>
          </w:tcPr>
          <w:p>
            <w:pPr/>
          </w:p>
        </w:tc>
        <w:tc>
          <w:tcPr>
            <w:tcW w:w="4589" w:type="dxa"/>
            <w:tcBorders>
              <w:top w:val="dotted" w:sz="4" w:space="0" w:color="000000"/>
              <w:bottom w:val="dotted" w:sz="4" w:space="0" w:color="000000"/>
            </w:tcBorders>
          </w:tcPr>
          <w:p>
            <w:pPr>
              <w:pStyle w:val="TableParagraph"/>
              <w:ind w:left="67"/>
              <w:rPr>
                <w:sz w:val="20"/>
              </w:rPr>
            </w:pPr>
            <w:r>
              <w:rPr>
                <w:sz w:val="20"/>
              </w:rPr>
              <w:t>The people will reach their destinations on time in BRT.</w:t>
            </w:r>
          </w:p>
        </w:tc>
        <w:tc>
          <w:tcPr>
            <w:tcW w:w="2861" w:type="dxa"/>
            <w:tcBorders>
              <w:top w:val="dotted" w:sz="4" w:space="0" w:color="000000"/>
              <w:bottom w:val="dotted" w:sz="4" w:space="0" w:color="000000"/>
            </w:tcBorders>
          </w:tcPr>
          <w:p>
            <w:pPr>
              <w:pStyle w:val="TableParagraph"/>
              <w:ind w:left="67"/>
              <w:rPr>
                <w:sz w:val="20"/>
              </w:rPr>
            </w:pPr>
            <w:r>
              <w:rPr>
                <w:sz w:val="20"/>
              </w:rPr>
              <w:t>Noted.</w:t>
            </w:r>
          </w:p>
        </w:tc>
      </w:tr>
      <w:tr>
        <w:trPr>
          <w:trHeight w:val="821" w:hRule="exact"/>
        </w:trPr>
        <w:tc>
          <w:tcPr>
            <w:tcW w:w="1356" w:type="dxa"/>
            <w:vMerge/>
          </w:tcPr>
          <w:p>
            <w:pPr/>
          </w:p>
        </w:tc>
        <w:tc>
          <w:tcPr>
            <w:tcW w:w="1243" w:type="dxa"/>
            <w:vMerge/>
          </w:tcPr>
          <w:p>
            <w:pPr/>
          </w:p>
        </w:tc>
        <w:tc>
          <w:tcPr>
            <w:tcW w:w="1664" w:type="dxa"/>
            <w:vMerge/>
          </w:tcPr>
          <w:p>
            <w:pPr/>
          </w:p>
        </w:tc>
        <w:tc>
          <w:tcPr>
            <w:tcW w:w="1944" w:type="dxa"/>
            <w:vMerge/>
          </w:tcPr>
          <w:p>
            <w:pPr/>
          </w:p>
        </w:tc>
        <w:tc>
          <w:tcPr>
            <w:tcW w:w="4589" w:type="dxa"/>
            <w:tcBorders>
              <w:top w:val="dotted" w:sz="4" w:space="0" w:color="000000"/>
            </w:tcBorders>
          </w:tcPr>
          <w:p>
            <w:pPr>
              <w:pStyle w:val="TableParagraph"/>
              <w:ind w:left="67" w:right="69"/>
              <w:jc w:val="both"/>
              <w:rPr>
                <w:sz w:val="20"/>
              </w:rPr>
            </w:pPr>
            <w:r>
              <w:rPr>
                <w:sz w:val="20"/>
              </w:rPr>
              <w:t>There may be noise and disturbance during construction. Noise disturbance should be minimized.</w:t>
            </w:r>
          </w:p>
        </w:tc>
        <w:tc>
          <w:tcPr>
            <w:tcW w:w="2861" w:type="dxa"/>
            <w:tcBorders>
              <w:top w:val="dotted" w:sz="4" w:space="0" w:color="000000"/>
            </w:tcBorders>
          </w:tcPr>
          <w:p>
            <w:pPr>
              <w:pStyle w:val="TableParagraph"/>
              <w:ind w:left="67"/>
              <w:rPr>
                <w:sz w:val="20"/>
              </w:rPr>
            </w:pPr>
            <w:r>
              <w:rPr>
                <w:sz w:val="20"/>
              </w:rPr>
              <w:t>Noted.</w:t>
            </w:r>
          </w:p>
        </w:tc>
      </w:tr>
    </w:tbl>
    <w:p>
      <w:pPr>
        <w:spacing w:after="0"/>
        <w:rPr>
          <w:sz w:val="20"/>
        </w:rPr>
        <w:sectPr>
          <w:pgSz w:w="16840" w:h="11910" w:orient="landscape"/>
          <w:pgMar w:header="583" w:footer="575" w:top="840" w:bottom="760" w:left="860" w:right="12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6"/>
        </w:rPr>
      </w:pPr>
    </w:p>
    <w:tbl>
      <w:tblPr>
        <w:tblW w:w="0" w:type="auto"/>
        <w:jc w:val="left"/>
        <w:tblInd w:w="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6"/>
        <w:gridCol w:w="1243"/>
        <w:gridCol w:w="1664"/>
        <w:gridCol w:w="1944"/>
        <w:gridCol w:w="4589"/>
        <w:gridCol w:w="2861"/>
      </w:tblGrid>
      <w:tr>
        <w:trPr>
          <w:trHeight w:val="360" w:hRule="exact"/>
        </w:trPr>
        <w:tc>
          <w:tcPr>
            <w:tcW w:w="1356" w:type="dxa"/>
            <w:shd w:val="clear" w:color="auto" w:fill="BEBEBE"/>
          </w:tcPr>
          <w:p>
            <w:pPr>
              <w:pStyle w:val="TableParagraph"/>
              <w:ind w:left="67"/>
              <w:rPr>
                <w:b/>
                <w:sz w:val="20"/>
              </w:rPr>
            </w:pPr>
            <w:r>
              <w:rPr>
                <w:b/>
                <w:sz w:val="20"/>
              </w:rPr>
              <w:t>Date</w:t>
            </w:r>
          </w:p>
        </w:tc>
        <w:tc>
          <w:tcPr>
            <w:tcW w:w="1243" w:type="dxa"/>
            <w:shd w:val="clear" w:color="auto" w:fill="BEBEBE"/>
          </w:tcPr>
          <w:p>
            <w:pPr>
              <w:pStyle w:val="TableParagraph"/>
              <w:ind w:left="67"/>
              <w:rPr>
                <w:b/>
                <w:sz w:val="20"/>
              </w:rPr>
            </w:pPr>
            <w:r>
              <w:rPr>
                <w:b/>
                <w:sz w:val="20"/>
              </w:rPr>
              <w:t>Location</w:t>
            </w:r>
          </w:p>
        </w:tc>
        <w:tc>
          <w:tcPr>
            <w:tcW w:w="1664" w:type="dxa"/>
            <w:shd w:val="clear" w:color="auto" w:fill="BEBEBE"/>
          </w:tcPr>
          <w:p>
            <w:pPr>
              <w:pStyle w:val="TableParagraph"/>
              <w:ind w:left="67"/>
              <w:rPr>
                <w:b/>
                <w:sz w:val="20"/>
              </w:rPr>
            </w:pPr>
            <w:r>
              <w:rPr>
                <w:b/>
                <w:sz w:val="20"/>
              </w:rPr>
              <w:t>Coordinates</w:t>
            </w:r>
          </w:p>
        </w:tc>
        <w:tc>
          <w:tcPr>
            <w:tcW w:w="1944" w:type="dxa"/>
            <w:shd w:val="clear" w:color="auto" w:fill="BEBEBE"/>
          </w:tcPr>
          <w:p>
            <w:pPr>
              <w:pStyle w:val="TableParagraph"/>
              <w:ind w:left="67"/>
              <w:rPr>
                <w:b/>
                <w:sz w:val="20"/>
              </w:rPr>
            </w:pPr>
            <w:r>
              <w:rPr>
                <w:b/>
                <w:sz w:val="20"/>
              </w:rPr>
              <w:t>No. of Participants</w:t>
            </w:r>
          </w:p>
        </w:tc>
        <w:tc>
          <w:tcPr>
            <w:tcW w:w="4589" w:type="dxa"/>
            <w:shd w:val="clear" w:color="auto" w:fill="BEBEBE"/>
          </w:tcPr>
          <w:p>
            <w:pPr>
              <w:pStyle w:val="TableParagraph"/>
              <w:ind w:left="67"/>
              <w:rPr>
                <w:b/>
                <w:sz w:val="20"/>
              </w:rPr>
            </w:pPr>
            <w:r>
              <w:rPr>
                <w:b/>
                <w:sz w:val="20"/>
              </w:rPr>
              <w:t>Key Observations/Concerns</w:t>
            </w:r>
          </w:p>
        </w:tc>
        <w:tc>
          <w:tcPr>
            <w:tcW w:w="2861" w:type="dxa"/>
            <w:shd w:val="clear" w:color="auto" w:fill="BEBEBE"/>
          </w:tcPr>
          <w:p>
            <w:pPr>
              <w:pStyle w:val="TableParagraph"/>
              <w:ind w:left="67"/>
              <w:rPr>
                <w:b/>
                <w:sz w:val="20"/>
              </w:rPr>
            </w:pPr>
            <w:r>
              <w:rPr>
                <w:b/>
                <w:sz w:val="20"/>
              </w:rPr>
              <w:t>Response</w:t>
            </w:r>
          </w:p>
        </w:tc>
      </w:tr>
      <w:tr>
        <w:trPr>
          <w:trHeight w:val="821" w:hRule="exact"/>
        </w:trPr>
        <w:tc>
          <w:tcPr>
            <w:tcW w:w="1356" w:type="dxa"/>
            <w:vMerge w:val="restart"/>
          </w:tcPr>
          <w:p>
            <w:pPr>
              <w:pStyle w:val="TableParagraph"/>
              <w:ind w:left="67"/>
              <w:rPr>
                <w:sz w:val="20"/>
              </w:rPr>
            </w:pPr>
            <w:r>
              <w:rPr>
                <w:sz w:val="20"/>
              </w:rPr>
              <w:t>Feb 10, 2019</w:t>
            </w:r>
          </w:p>
        </w:tc>
        <w:tc>
          <w:tcPr>
            <w:tcW w:w="1243" w:type="dxa"/>
            <w:vMerge w:val="restart"/>
          </w:tcPr>
          <w:p>
            <w:pPr>
              <w:pStyle w:val="TableParagraph"/>
              <w:ind w:left="307" w:right="284" w:firstLine="9"/>
              <w:rPr>
                <w:sz w:val="20"/>
              </w:rPr>
            </w:pPr>
            <w:r>
              <w:rPr>
                <w:sz w:val="20"/>
              </w:rPr>
              <w:t>Awami Colony</w:t>
            </w:r>
          </w:p>
        </w:tc>
        <w:tc>
          <w:tcPr>
            <w:tcW w:w="1664" w:type="dxa"/>
            <w:vMerge w:val="restart"/>
          </w:tcPr>
          <w:p>
            <w:pPr>
              <w:pStyle w:val="TableParagraph"/>
              <w:ind w:left="268"/>
              <w:rPr>
                <w:sz w:val="20"/>
              </w:rPr>
            </w:pPr>
            <w:r>
              <w:rPr>
                <w:sz w:val="20"/>
              </w:rPr>
              <w:t>N 24</w:t>
            </w:r>
            <w:r>
              <w:rPr>
                <w:color w:val="212121"/>
                <w:sz w:val="20"/>
              </w:rPr>
              <w:t>°</w:t>
            </w:r>
            <w:r>
              <w:rPr>
                <w:sz w:val="20"/>
              </w:rPr>
              <w:t>50.777</w:t>
            </w:r>
          </w:p>
          <w:p>
            <w:pPr>
              <w:pStyle w:val="TableParagraph"/>
              <w:spacing w:before="0"/>
              <w:ind w:left="273"/>
              <w:rPr>
                <w:sz w:val="20"/>
              </w:rPr>
            </w:pPr>
            <w:r>
              <w:rPr>
                <w:sz w:val="20"/>
              </w:rPr>
              <w:t>E 67</w:t>
            </w:r>
            <w:r>
              <w:rPr>
                <w:color w:val="212121"/>
                <w:sz w:val="20"/>
              </w:rPr>
              <w:t>°</w:t>
            </w:r>
            <w:r>
              <w:rPr>
                <w:sz w:val="20"/>
              </w:rPr>
              <w:t>08.524</w:t>
            </w:r>
          </w:p>
        </w:tc>
        <w:tc>
          <w:tcPr>
            <w:tcW w:w="1944" w:type="dxa"/>
            <w:vMerge w:val="restart"/>
          </w:tcPr>
          <w:p>
            <w:pPr>
              <w:pStyle w:val="TableParagraph"/>
              <w:ind w:left="79" w:right="81"/>
              <w:jc w:val="center"/>
              <w:rPr>
                <w:sz w:val="20"/>
              </w:rPr>
            </w:pPr>
            <w:r>
              <w:rPr>
                <w:sz w:val="20"/>
              </w:rPr>
              <w:t>21</w:t>
            </w:r>
          </w:p>
        </w:tc>
        <w:tc>
          <w:tcPr>
            <w:tcW w:w="4589" w:type="dxa"/>
            <w:tcBorders>
              <w:bottom w:val="dotted" w:sz="4" w:space="0" w:color="000000"/>
            </w:tcBorders>
          </w:tcPr>
          <w:p>
            <w:pPr>
              <w:pStyle w:val="TableParagraph"/>
              <w:ind w:left="67" w:right="64"/>
              <w:jc w:val="both"/>
              <w:rPr>
                <w:sz w:val="20"/>
              </w:rPr>
            </w:pPr>
            <w:r>
              <w:rPr>
                <w:sz w:val="20"/>
              </w:rPr>
              <w:t>Karachi’s</w:t>
            </w:r>
            <w:r>
              <w:rPr>
                <w:spacing w:val="-9"/>
                <w:sz w:val="20"/>
              </w:rPr>
              <w:t> </w:t>
            </w:r>
            <w:r>
              <w:rPr>
                <w:sz w:val="20"/>
              </w:rPr>
              <w:t>traffic</w:t>
            </w:r>
            <w:r>
              <w:rPr>
                <w:spacing w:val="-9"/>
                <w:sz w:val="20"/>
              </w:rPr>
              <w:t> </w:t>
            </w:r>
            <w:r>
              <w:rPr>
                <w:sz w:val="20"/>
              </w:rPr>
              <w:t>problems</w:t>
            </w:r>
            <w:r>
              <w:rPr>
                <w:spacing w:val="-9"/>
                <w:sz w:val="20"/>
              </w:rPr>
              <w:t> </w:t>
            </w:r>
            <w:r>
              <w:rPr>
                <w:sz w:val="20"/>
              </w:rPr>
              <w:t>are</w:t>
            </w:r>
            <w:r>
              <w:rPr>
                <w:spacing w:val="-10"/>
                <w:sz w:val="20"/>
              </w:rPr>
              <w:t> </w:t>
            </w:r>
            <w:r>
              <w:rPr>
                <w:sz w:val="20"/>
              </w:rPr>
              <w:t>increasing</w:t>
            </w:r>
            <w:r>
              <w:rPr>
                <w:spacing w:val="-11"/>
                <w:sz w:val="20"/>
              </w:rPr>
              <w:t> </w:t>
            </w:r>
            <w:r>
              <w:rPr>
                <w:sz w:val="20"/>
              </w:rPr>
              <w:t>due</w:t>
            </w:r>
            <w:r>
              <w:rPr>
                <w:spacing w:val="-11"/>
                <w:sz w:val="20"/>
              </w:rPr>
              <w:t> </w:t>
            </w:r>
            <w:r>
              <w:rPr>
                <w:sz w:val="20"/>
              </w:rPr>
              <w:t>to</w:t>
            </w:r>
            <w:r>
              <w:rPr>
                <w:spacing w:val="-11"/>
                <w:sz w:val="20"/>
              </w:rPr>
              <w:t> </w:t>
            </w:r>
            <w:r>
              <w:rPr>
                <w:sz w:val="20"/>
              </w:rPr>
              <w:t>the large</w:t>
            </w:r>
            <w:r>
              <w:rPr>
                <w:spacing w:val="-13"/>
                <w:sz w:val="20"/>
              </w:rPr>
              <w:t> </w:t>
            </w:r>
            <w:r>
              <w:rPr>
                <w:sz w:val="20"/>
              </w:rPr>
              <w:t>number</w:t>
            </w:r>
            <w:r>
              <w:rPr>
                <w:spacing w:val="-14"/>
                <w:sz w:val="20"/>
              </w:rPr>
              <w:t> </w:t>
            </w:r>
            <w:r>
              <w:rPr>
                <w:sz w:val="20"/>
              </w:rPr>
              <w:t>of</w:t>
            </w:r>
            <w:r>
              <w:rPr>
                <w:spacing w:val="-13"/>
                <w:sz w:val="20"/>
              </w:rPr>
              <w:t> </w:t>
            </w:r>
            <w:r>
              <w:rPr>
                <w:sz w:val="20"/>
              </w:rPr>
              <w:t>vehicles</w:t>
            </w:r>
            <w:r>
              <w:rPr>
                <w:spacing w:val="-14"/>
                <w:sz w:val="20"/>
              </w:rPr>
              <w:t> </w:t>
            </w:r>
            <w:r>
              <w:rPr>
                <w:sz w:val="20"/>
              </w:rPr>
              <w:t>that</w:t>
            </w:r>
            <w:r>
              <w:rPr>
                <w:spacing w:val="-15"/>
                <w:sz w:val="20"/>
              </w:rPr>
              <w:t> </w:t>
            </w:r>
            <w:r>
              <w:rPr>
                <w:sz w:val="20"/>
              </w:rPr>
              <w:t>are</w:t>
            </w:r>
            <w:r>
              <w:rPr>
                <w:spacing w:val="-15"/>
                <w:sz w:val="20"/>
              </w:rPr>
              <w:t> </w:t>
            </w:r>
            <w:r>
              <w:rPr>
                <w:sz w:val="20"/>
              </w:rPr>
              <w:t>added</w:t>
            </w:r>
            <w:r>
              <w:rPr>
                <w:spacing w:val="-15"/>
                <w:sz w:val="20"/>
              </w:rPr>
              <w:t> </w:t>
            </w:r>
            <w:r>
              <w:rPr>
                <w:sz w:val="20"/>
              </w:rPr>
              <w:t>to</w:t>
            </w:r>
            <w:r>
              <w:rPr>
                <w:spacing w:val="-13"/>
                <w:sz w:val="20"/>
              </w:rPr>
              <w:t> </w:t>
            </w:r>
            <w:r>
              <w:rPr>
                <w:sz w:val="20"/>
              </w:rPr>
              <w:t>its</w:t>
            </w:r>
            <w:r>
              <w:rPr>
                <w:spacing w:val="-14"/>
                <w:sz w:val="20"/>
              </w:rPr>
              <w:t> </w:t>
            </w:r>
            <w:r>
              <w:rPr>
                <w:sz w:val="20"/>
              </w:rPr>
              <w:t>roads every</w:t>
            </w:r>
            <w:r>
              <w:rPr>
                <w:spacing w:val="-6"/>
                <w:sz w:val="20"/>
              </w:rPr>
              <w:t> </w:t>
            </w:r>
            <w:r>
              <w:rPr>
                <w:sz w:val="20"/>
              </w:rPr>
              <w:t>year.</w:t>
            </w:r>
          </w:p>
        </w:tc>
        <w:tc>
          <w:tcPr>
            <w:tcW w:w="2861" w:type="dxa"/>
            <w:tcBorders>
              <w:bottom w:val="dotted" w:sz="4" w:space="0" w:color="000000"/>
            </w:tcBorders>
          </w:tcPr>
          <w:p>
            <w:pPr>
              <w:pStyle w:val="TableParagraph"/>
              <w:ind w:left="67"/>
              <w:rPr>
                <w:sz w:val="20"/>
              </w:rPr>
            </w:pPr>
            <w:r>
              <w:rPr>
                <w:sz w:val="20"/>
              </w:rPr>
              <w:t>Noted.</w:t>
            </w:r>
          </w:p>
        </w:tc>
      </w:tr>
      <w:tr>
        <w:trPr>
          <w:trHeight w:val="1510" w:hRule="exact"/>
        </w:trPr>
        <w:tc>
          <w:tcPr>
            <w:tcW w:w="1356" w:type="dxa"/>
            <w:vMerge/>
          </w:tcPr>
          <w:p>
            <w:pPr/>
          </w:p>
        </w:tc>
        <w:tc>
          <w:tcPr>
            <w:tcW w:w="1243" w:type="dxa"/>
            <w:vMerge/>
          </w:tcPr>
          <w:p>
            <w:pPr/>
          </w:p>
        </w:tc>
        <w:tc>
          <w:tcPr>
            <w:tcW w:w="1664" w:type="dxa"/>
            <w:vMerge/>
          </w:tcPr>
          <w:p>
            <w:pPr/>
          </w:p>
        </w:tc>
        <w:tc>
          <w:tcPr>
            <w:tcW w:w="1944" w:type="dxa"/>
            <w:vMerge/>
          </w:tcPr>
          <w:p>
            <w:pPr/>
          </w:p>
        </w:tc>
        <w:tc>
          <w:tcPr>
            <w:tcW w:w="4589" w:type="dxa"/>
            <w:tcBorders>
              <w:top w:val="dotted" w:sz="4" w:space="0" w:color="000000"/>
              <w:bottom w:val="dotted" w:sz="4" w:space="0" w:color="000000"/>
            </w:tcBorders>
          </w:tcPr>
          <w:p>
            <w:pPr>
              <w:pStyle w:val="TableParagraph"/>
              <w:ind w:left="67" w:right="65"/>
              <w:jc w:val="both"/>
              <w:rPr>
                <w:sz w:val="20"/>
              </w:rPr>
            </w:pPr>
            <w:r>
              <w:rPr>
                <w:sz w:val="20"/>
              </w:rPr>
              <w:t>The public transport problem in the city has aggravated dramatically over the years and has now become the most serious one being faced by Karachiites at the moment.</w:t>
            </w:r>
          </w:p>
        </w:tc>
        <w:tc>
          <w:tcPr>
            <w:tcW w:w="2861" w:type="dxa"/>
            <w:tcBorders>
              <w:top w:val="dotted" w:sz="4" w:space="0" w:color="000000"/>
              <w:bottom w:val="dotted" w:sz="4" w:space="0" w:color="000000"/>
            </w:tcBorders>
          </w:tcPr>
          <w:p>
            <w:pPr>
              <w:pStyle w:val="TableParagraph"/>
              <w:ind w:left="67" w:right="319"/>
              <w:rPr>
                <w:sz w:val="20"/>
              </w:rPr>
            </w:pPr>
            <w:r>
              <w:rPr>
                <w:sz w:val="20"/>
              </w:rPr>
              <w:t>To overcome the crises of public transportation Government of Sindh is implementing five Lines as BRT (Green, Red, Orange, Purple and Aqua).</w:t>
            </w:r>
          </w:p>
        </w:tc>
      </w:tr>
      <w:tr>
        <w:trPr>
          <w:trHeight w:val="1049" w:hRule="exact"/>
        </w:trPr>
        <w:tc>
          <w:tcPr>
            <w:tcW w:w="1356" w:type="dxa"/>
            <w:vMerge/>
          </w:tcPr>
          <w:p>
            <w:pPr/>
          </w:p>
        </w:tc>
        <w:tc>
          <w:tcPr>
            <w:tcW w:w="1243" w:type="dxa"/>
            <w:vMerge/>
          </w:tcPr>
          <w:p>
            <w:pPr/>
          </w:p>
        </w:tc>
        <w:tc>
          <w:tcPr>
            <w:tcW w:w="1664" w:type="dxa"/>
            <w:vMerge/>
          </w:tcPr>
          <w:p>
            <w:pPr/>
          </w:p>
        </w:tc>
        <w:tc>
          <w:tcPr>
            <w:tcW w:w="1944" w:type="dxa"/>
            <w:vMerge/>
          </w:tcPr>
          <w:p>
            <w:pPr/>
          </w:p>
        </w:tc>
        <w:tc>
          <w:tcPr>
            <w:tcW w:w="4589" w:type="dxa"/>
            <w:tcBorders>
              <w:top w:val="dotted" w:sz="4" w:space="0" w:color="000000"/>
            </w:tcBorders>
          </w:tcPr>
          <w:p>
            <w:pPr>
              <w:pStyle w:val="TableParagraph"/>
              <w:ind w:left="67" w:right="69"/>
              <w:jc w:val="both"/>
              <w:rPr>
                <w:sz w:val="20"/>
              </w:rPr>
            </w:pPr>
            <w:r>
              <w:rPr>
                <w:sz w:val="20"/>
              </w:rPr>
              <w:t>BRT is badly needed in the extending populated area. A large number of people have to change several buses to reach their destinations. BRT will ease the life of the local people.</w:t>
            </w:r>
          </w:p>
        </w:tc>
        <w:tc>
          <w:tcPr>
            <w:tcW w:w="2861" w:type="dxa"/>
            <w:tcBorders>
              <w:top w:val="dotted" w:sz="4" w:space="0" w:color="000000"/>
            </w:tcBorders>
          </w:tcPr>
          <w:p>
            <w:pPr>
              <w:pStyle w:val="TableParagraph"/>
              <w:ind w:left="67" w:right="319"/>
              <w:rPr>
                <w:sz w:val="20"/>
              </w:rPr>
            </w:pPr>
            <w:r>
              <w:rPr>
                <w:sz w:val="20"/>
              </w:rPr>
              <w:t>The Yellow BRT corridor’s routes will improve mobility, accessibility and safety in Karachi.</w:t>
            </w:r>
          </w:p>
        </w:tc>
      </w:tr>
      <w:tr>
        <w:trPr>
          <w:trHeight w:val="360" w:hRule="exact"/>
        </w:trPr>
        <w:tc>
          <w:tcPr>
            <w:tcW w:w="1356" w:type="dxa"/>
            <w:vMerge/>
          </w:tcPr>
          <w:p>
            <w:pPr/>
          </w:p>
        </w:tc>
        <w:tc>
          <w:tcPr>
            <w:tcW w:w="1243" w:type="dxa"/>
            <w:vMerge/>
          </w:tcPr>
          <w:p>
            <w:pPr/>
          </w:p>
        </w:tc>
        <w:tc>
          <w:tcPr>
            <w:tcW w:w="1664" w:type="dxa"/>
            <w:vMerge/>
          </w:tcPr>
          <w:p>
            <w:pPr/>
          </w:p>
        </w:tc>
        <w:tc>
          <w:tcPr>
            <w:tcW w:w="1944" w:type="dxa"/>
            <w:vMerge/>
          </w:tcPr>
          <w:p>
            <w:pPr/>
          </w:p>
        </w:tc>
        <w:tc>
          <w:tcPr>
            <w:tcW w:w="4589" w:type="dxa"/>
          </w:tcPr>
          <w:p>
            <w:pPr/>
          </w:p>
        </w:tc>
        <w:tc>
          <w:tcPr>
            <w:tcW w:w="2861" w:type="dxa"/>
          </w:tcPr>
          <w:p>
            <w:pPr/>
          </w:p>
        </w:tc>
      </w:tr>
      <w:tr>
        <w:trPr>
          <w:trHeight w:val="591" w:hRule="exact"/>
        </w:trPr>
        <w:tc>
          <w:tcPr>
            <w:tcW w:w="1356" w:type="dxa"/>
            <w:vMerge w:val="restart"/>
          </w:tcPr>
          <w:p>
            <w:pPr>
              <w:pStyle w:val="TableParagraph"/>
              <w:spacing w:before="60"/>
              <w:ind w:left="67"/>
              <w:rPr>
                <w:sz w:val="20"/>
              </w:rPr>
            </w:pPr>
            <w:r>
              <w:rPr>
                <w:sz w:val="20"/>
              </w:rPr>
              <w:t>Feb 10, 2019</w:t>
            </w:r>
          </w:p>
        </w:tc>
        <w:tc>
          <w:tcPr>
            <w:tcW w:w="1243" w:type="dxa"/>
            <w:vMerge w:val="restart"/>
          </w:tcPr>
          <w:p>
            <w:pPr>
              <w:pStyle w:val="TableParagraph"/>
              <w:spacing w:before="60"/>
              <w:ind w:left="400" w:right="107" w:hanging="272"/>
              <w:rPr>
                <w:sz w:val="20"/>
              </w:rPr>
            </w:pPr>
            <w:r>
              <w:rPr>
                <w:sz w:val="20"/>
              </w:rPr>
              <w:t>Allah Daad Goth</w:t>
            </w:r>
          </w:p>
        </w:tc>
        <w:tc>
          <w:tcPr>
            <w:tcW w:w="1664" w:type="dxa"/>
            <w:vMerge w:val="restart"/>
          </w:tcPr>
          <w:p>
            <w:pPr>
              <w:pStyle w:val="TableParagraph"/>
              <w:spacing w:before="60"/>
              <w:ind w:left="268"/>
              <w:rPr>
                <w:sz w:val="20"/>
              </w:rPr>
            </w:pPr>
            <w:r>
              <w:rPr>
                <w:sz w:val="20"/>
              </w:rPr>
              <w:t>N 24</w:t>
            </w:r>
            <w:r>
              <w:rPr>
                <w:color w:val="212121"/>
                <w:sz w:val="20"/>
              </w:rPr>
              <w:t>°</w:t>
            </w:r>
            <w:r>
              <w:rPr>
                <w:sz w:val="20"/>
              </w:rPr>
              <w:t>51.211</w:t>
            </w:r>
          </w:p>
          <w:p>
            <w:pPr>
              <w:pStyle w:val="TableParagraph"/>
              <w:spacing w:before="0"/>
              <w:ind w:left="273"/>
              <w:rPr>
                <w:sz w:val="20"/>
              </w:rPr>
            </w:pPr>
            <w:r>
              <w:rPr>
                <w:sz w:val="20"/>
              </w:rPr>
              <w:t>E 67</w:t>
            </w:r>
            <w:r>
              <w:rPr>
                <w:color w:val="212121"/>
                <w:sz w:val="20"/>
              </w:rPr>
              <w:t>°</w:t>
            </w:r>
            <w:r>
              <w:rPr>
                <w:sz w:val="20"/>
              </w:rPr>
              <w:t>11.688</w:t>
            </w:r>
          </w:p>
        </w:tc>
        <w:tc>
          <w:tcPr>
            <w:tcW w:w="1944" w:type="dxa"/>
            <w:vMerge w:val="restart"/>
          </w:tcPr>
          <w:p>
            <w:pPr>
              <w:pStyle w:val="TableParagraph"/>
              <w:spacing w:before="60"/>
              <w:ind w:left="79" w:right="81"/>
              <w:jc w:val="center"/>
              <w:rPr>
                <w:sz w:val="20"/>
              </w:rPr>
            </w:pPr>
            <w:r>
              <w:rPr>
                <w:sz w:val="20"/>
              </w:rPr>
              <w:t>18</w:t>
            </w:r>
          </w:p>
        </w:tc>
        <w:tc>
          <w:tcPr>
            <w:tcW w:w="4589" w:type="dxa"/>
            <w:tcBorders>
              <w:bottom w:val="dotted" w:sz="4" w:space="0" w:color="000000"/>
            </w:tcBorders>
          </w:tcPr>
          <w:p>
            <w:pPr>
              <w:pStyle w:val="TableParagraph"/>
              <w:spacing w:before="60"/>
              <w:ind w:left="67"/>
              <w:rPr>
                <w:sz w:val="20"/>
              </w:rPr>
            </w:pPr>
            <w:r>
              <w:rPr>
                <w:sz w:val="20"/>
              </w:rPr>
              <w:t>The BRT will be beneficial for poor people especially for ladies and children.</w:t>
            </w:r>
          </w:p>
        </w:tc>
        <w:tc>
          <w:tcPr>
            <w:tcW w:w="2861" w:type="dxa"/>
            <w:tcBorders>
              <w:bottom w:val="dotted" w:sz="4" w:space="0" w:color="000000"/>
            </w:tcBorders>
          </w:tcPr>
          <w:p>
            <w:pPr>
              <w:pStyle w:val="TableParagraph"/>
              <w:spacing w:before="60"/>
              <w:ind w:left="67"/>
              <w:rPr>
                <w:sz w:val="20"/>
              </w:rPr>
            </w:pPr>
            <w:r>
              <w:rPr>
                <w:sz w:val="20"/>
              </w:rPr>
              <w:t>Noted.</w:t>
            </w:r>
          </w:p>
        </w:tc>
      </w:tr>
      <w:tr>
        <w:trPr>
          <w:trHeight w:val="1510" w:hRule="exact"/>
        </w:trPr>
        <w:tc>
          <w:tcPr>
            <w:tcW w:w="1356" w:type="dxa"/>
            <w:vMerge/>
          </w:tcPr>
          <w:p>
            <w:pPr/>
          </w:p>
        </w:tc>
        <w:tc>
          <w:tcPr>
            <w:tcW w:w="1243" w:type="dxa"/>
            <w:vMerge/>
          </w:tcPr>
          <w:p>
            <w:pPr/>
          </w:p>
        </w:tc>
        <w:tc>
          <w:tcPr>
            <w:tcW w:w="1664" w:type="dxa"/>
            <w:vMerge/>
          </w:tcPr>
          <w:p>
            <w:pPr/>
          </w:p>
        </w:tc>
        <w:tc>
          <w:tcPr>
            <w:tcW w:w="1944" w:type="dxa"/>
            <w:vMerge/>
          </w:tcPr>
          <w:p>
            <w:pPr/>
          </w:p>
        </w:tc>
        <w:tc>
          <w:tcPr>
            <w:tcW w:w="4589" w:type="dxa"/>
            <w:tcBorders>
              <w:top w:val="dotted" w:sz="4" w:space="0" w:color="000000"/>
            </w:tcBorders>
          </w:tcPr>
          <w:p>
            <w:pPr>
              <w:pStyle w:val="TableParagraph"/>
              <w:ind w:left="67"/>
              <w:rPr>
                <w:sz w:val="20"/>
              </w:rPr>
            </w:pPr>
            <w:r>
              <w:rPr>
                <w:sz w:val="20"/>
              </w:rPr>
              <w:t>What is the route of yellow BRT?</w:t>
            </w:r>
          </w:p>
        </w:tc>
        <w:tc>
          <w:tcPr>
            <w:tcW w:w="2861" w:type="dxa"/>
            <w:tcBorders>
              <w:top w:val="dotted" w:sz="4" w:space="0" w:color="000000"/>
            </w:tcBorders>
          </w:tcPr>
          <w:p>
            <w:pPr>
              <w:pStyle w:val="TableParagraph"/>
              <w:ind w:left="67" w:right="67"/>
              <w:jc w:val="both"/>
              <w:rPr>
                <w:sz w:val="20"/>
              </w:rPr>
            </w:pPr>
            <w:r>
              <w:rPr>
                <w:sz w:val="20"/>
              </w:rPr>
              <w:t>The yellow BRT line will cover the route from Dawood Chowrangi to Numaish, Saddar. The bus depot will be established at Dawood Chowrangi.</w:t>
            </w:r>
          </w:p>
        </w:tc>
      </w:tr>
      <w:tr>
        <w:trPr>
          <w:trHeight w:val="1280" w:hRule="exact"/>
        </w:trPr>
        <w:tc>
          <w:tcPr>
            <w:tcW w:w="1356" w:type="dxa"/>
            <w:vMerge/>
          </w:tcPr>
          <w:p>
            <w:pPr/>
          </w:p>
        </w:tc>
        <w:tc>
          <w:tcPr>
            <w:tcW w:w="1243" w:type="dxa"/>
            <w:vMerge/>
          </w:tcPr>
          <w:p>
            <w:pPr/>
          </w:p>
        </w:tc>
        <w:tc>
          <w:tcPr>
            <w:tcW w:w="1664" w:type="dxa"/>
            <w:vMerge/>
          </w:tcPr>
          <w:p>
            <w:pPr/>
          </w:p>
        </w:tc>
        <w:tc>
          <w:tcPr>
            <w:tcW w:w="1944" w:type="dxa"/>
            <w:vMerge/>
          </w:tcPr>
          <w:p>
            <w:pPr/>
          </w:p>
        </w:tc>
        <w:tc>
          <w:tcPr>
            <w:tcW w:w="4589" w:type="dxa"/>
            <w:tcBorders>
              <w:bottom w:val="dotted" w:sz="4" w:space="0" w:color="000000"/>
            </w:tcBorders>
          </w:tcPr>
          <w:p>
            <w:pPr>
              <w:pStyle w:val="TableParagraph"/>
              <w:ind w:left="67" w:right="66"/>
              <w:jc w:val="both"/>
              <w:rPr>
                <w:sz w:val="20"/>
              </w:rPr>
            </w:pPr>
            <w:r>
              <w:rPr>
                <w:sz w:val="20"/>
              </w:rPr>
              <w:t>Five Goths (Ismail Goth, Jamal Goth, Allad Daad Goth, Hashim Goth and Juma Kalmati Goth) are situated very close to each other. The bus stops should</w:t>
            </w:r>
            <w:r>
              <w:rPr>
                <w:spacing w:val="-16"/>
                <w:sz w:val="20"/>
              </w:rPr>
              <w:t> </w:t>
            </w:r>
            <w:r>
              <w:rPr>
                <w:sz w:val="20"/>
              </w:rPr>
              <w:t>be</w:t>
            </w:r>
            <w:r>
              <w:rPr>
                <w:spacing w:val="-16"/>
                <w:sz w:val="20"/>
              </w:rPr>
              <w:t> </w:t>
            </w:r>
            <w:r>
              <w:rPr>
                <w:sz w:val="20"/>
              </w:rPr>
              <w:t>established</w:t>
            </w:r>
            <w:r>
              <w:rPr>
                <w:spacing w:val="-14"/>
                <w:sz w:val="20"/>
              </w:rPr>
              <w:t> </w:t>
            </w:r>
            <w:r>
              <w:rPr>
                <w:sz w:val="20"/>
              </w:rPr>
              <w:t>near</w:t>
            </w:r>
            <w:r>
              <w:rPr>
                <w:spacing w:val="-15"/>
                <w:sz w:val="20"/>
              </w:rPr>
              <w:t> </w:t>
            </w:r>
            <w:r>
              <w:rPr>
                <w:sz w:val="20"/>
              </w:rPr>
              <w:t>these</w:t>
            </w:r>
            <w:r>
              <w:rPr>
                <w:spacing w:val="-16"/>
                <w:sz w:val="20"/>
              </w:rPr>
              <w:t> </w:t>
            </w:r>
            <w:r>
              <w:rPr>
                <w:sz w:val="20"/>
              </w:rPr>
              <w:t>Goths</w:t>
            </w:r>
            <w:r>
              <w:rPr>
                <w:spacing w:val="-15"/>
                <w:sz w:val="20"/>
              </w:rPr>
              <w:t> </w:t>
            </w:r>
            <w:r>
              <w:rPr>
                <w:sz w:val="20"/>
              </w:rPr>
              <w:t>to</w:t>
            </w:r>
            <w:r>
              <w:rPr>
                <w:spacing w:val="-16"/>
                <w:sz w:val="20"/>
              </w:rPr>
              <w:t> </w:t>
            </w:r>
            <w:r>
              <w:rPr>
                <w:sz w:val="20"/>
              </w:rPr>
              <w:t>facilitate the people of these</w:t>
            </w:r>
            <w:r>
              <w:rPr>
                <w:spacing w:val="-8"/>
                <w:sz w:val="20"/>
              </w:rPr>
              <w:t> </w:t>
            </w:r>
            <w:r>
              <w:rPr>
                <w:sz w:val="20"/>
              </w:rPr>
              <w:t>Goths.</w:t>
            </w:r>
          </w:p>
        </w:tc>
        <w:tc>
          <w:tcPr>
            <w:tcW w:w="2861" w:type="dxa"/>
            <w:tcBorders>
              <w:bottom w:val="dotted" w:sz="4" w:space="0" w:color="000000"/>
            </w:tcBorders>
          </w:tcPr>
          <w:p>
            <w:pPr>
              <w:pStyle w:val="TableParagraph"/>
              <w:ind w:left="67"/>
              <w:rPr>
                <w:sz w:val="20"/>
              </w:rPr>
            </w:pPr>
            <w:r>
              <w:rPr>
                <w:sz w:val="20"/>
              </w:rPr>
              <w:t>Noted.</w:t>
            </w:r>
          </w:p>
        </w:tc>
      </w:tr>
      <w:tr>
        <w:trPr>
          <w:trHeight w:val="590" w:hRule="exact"/>
        </w:trPr>
        <w:tc>
          <w:tcPr>
            <w:tcW w:w="1356" w:type="dxa"/>
            <w:vMerge/>
          </w:tcPr>
          <w:p>
            <w:pPr/>
          </w:p>
        </w:tc>
        <w:tc>
          <w:tcPr>
            <w:tcW w:w="1243" w:type="dxa"/>
            <w:vMerge/>
          </w:tcPr>
          <w:p>
            <w:pPr/>
          </w:p>
        </w:tc>
        <w:tc>
          <w:tcPr>
            <w:tcW w:w="1664" w:type="dxa"/>
            <w:vMerge/>
          </w:tcPr>
          <w:p>
            <w:pPr/>
          </w:p>
        </w:tc>
        <w:tc>
          <w:tcPr>
            <w:tcW w:w="1944" w:type="dxa"/>
            <w:vMerge/>
          </w:tcPr>
          <w:p>
            <w:pPr/>
          </w:p>
        </w:tc>
        <w:tc>
          <w:tcPr>
            <w:tcW w:w="4589" w:type="dxa"/>
            <w:tcBorders>
              <w:top w:val="dotted" w:sz="4" w:space="0" w:color="000000"/>
            </w:tcBorders>
          </w:tcPr>
          <w:p>
            <w:pPr>
              <w:pStyle w:val="TableParagraph"/>
              <w:ind w:left="67"/>
              <w:rPr>
                <w:sz w:val="20"/>
              </w:rPr>
            </w:pPr>
            <w:r>
              <w:rPr>
                <w:sz w:val="20"/>
              </w:rPr>
              <w:t>Fares should be economical as people are very poor here.</w:t>
            </w:r>
          </w:p>
        </w:tc>
        <w:tc>
          <w:tcPr>
            <w:tcW w:w="2861" w:type="dxa"/>
            <w:tcBorders>
              <w:top w:val="dotted" w:sz="4" w:space="0" w:color="000000"/>
            </w:tcBorders>
          </w:tcPr>
          <w:p>
            <w:pPr>
              <w:pStyle w:val="TableParagraph"/>
              <w:spacing w:before="62"/>
              <w:ind w:left="67"/>
              <w:rPr>
                <w:sz w:val="20"/>
              </w:rPr>
            </w:pPr>
            <w:r>
              <w:rPr>
                <w:sz w:val="20"/>
              </w:rPr>
              <w:t>Noted.</w:t>
            </w:r>
          </w:p>
        </w:tc>
      </w:tr>
    </w:tbl>
    <w:p>
      <w:pPr>
        <w:spacing w:after="0"/>
        <w:rPr>
          <w:sz w:val="20"/>
        </w:rPr>
        <w:sectPr>
          <w:pgSz w:w="16840" w:h="11910" w:orient="landscape"/>
          <w:pgMar w:header="583" w:footer="575" w:top="840" w:bottom="760" w:left="860" w:right="12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6"/>
        </w:rPr>
      </w:pPr>
    </w:p>
    <w:tbl>
      <w:tblPr>
        <w:tblW w:w="0" w:type="auto"/>
        <w:jc w:val="left"/>
        <w:tblInd w:w="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6"/>
        <w:gridCol w:w="1243"/>
        <w:gridCol w:w="1664"/>
        <w:gridCol w:w="1944"/>
        <w:gridCol w:w="4589"/>
        <w:gridCol w:w="2861"/>
      </w:tblGrid>
      <w:tr>
        <w:trPr>
          <w:trHeight w:val="360" w:hRule="exact"/>
        </w:trPr>
        <w:tc>
          <w:tcPr>
            <w:tcW w:w="1356" w:type="dxa"/>
            <w:shd w:val="clear" w:color="auto" w:fill="BEBEBE"/>
          </w:tcPr>
          <w:p>
            <w:pPr>
              <w:pStyle w:val="TableParagraph"/>
              <w:ind w:left="67"/>
              <w:rPr>
                <w:b/>
                <w:sz w:val="20"/>
              </w:rPr>
            </w:pPr>
            <w:r>
              <w:rPr>
                <w:b/>
                <w:sz w:val="20"/>
              </w:rPr>
              <w:t>Date</w:t>
            </w:r>
          </w:p>
        </w:tc>
        <w:tc>
          <w:tcPr>
            <w:tcW w:w="1243" w:type="dxa"/>
            <w:shd w:val="clear" w:color="auto" w:fill="BEBEBE"/>
          </w:tcPr>
          <w:p>
            <w:pPr>
              <w:pStyle w:val="TableParagraph"/>
              <w:ind w:left="67"/>
              <w:rPr>
                <w:b/>
                <w:sz w:val="20"/>
              </w:rPr>
            </w:pPr>
            <w:r>
              <w:rPr>
                <w:b/>
                <w:sz w:val="20"/>
              </w:rPr>
              <w:t>Location</w:t>
            </w:r>
          </w:p>
        </w:tc>
        <w:tc>
          <w:tcPr>
            <w:tcW w:w="1664" w:type="dxa"/>
            <w:shd w:val="clear" w:color="auto" w:fill="BEBEBE"/>
          </w:tcPr>
          <w:p>
            <w:pPr>
              <w:pStyle w:val="TableParagraph"/>
              <w:ind w:left="67"/>
              <w:rPr>
                <w:b/>
                <w:sz w:val="20"/>
              </w:rPr>
            </w:pPr>
            <w:r>
              <w:rPr>
                <w:b/>
                <w:sz w:val="20"/>
              </w:rPr>
              <w:t>Coordinates</w:t>
            </w:r>
          </w:p>
        </w:tc>
        <w:tc>
          <w:tcPr>
            <w:tcW w:w="1944" w:type="dxa"/>
            <w:shd w:val="clear" w:color="auto" w:fill="BEBEBE"/>
          </w:tcPr>
          <w:p>
            <w:pPr>
              <w:pStyle w:val="TableParagraph"/>
              <w:ind w:left="46" w:right="81"/>
              <w:jc w:val="center"/>
              <w:rPr>
                <w:b/>
                <w:sz w:val="20"/>
              </w:rPr>
            </w:pPr>
            <w:r>
              <w:rPr>
                <w:b/>
                <w:sz w:val="20"/>
              </w:rPr>
              <w:t>No. of Participants</w:t>
            </w:r>
          </w:p>
        </w:tc>
        <w:tc>
          <w:tcPr>
            <w:tcW w:w="4589" w:type="dxa"/>
            <w:shd w:val="clear" w:color="auto" w:fill="BEBEBE"/>
          </w:tcPr>
          <w:p>
            <w:pPr>
              <w:pStyle w:val="TableParagraph"/>
              <w:ind w:left="67"/>
              <w:rPr>
                <w:b/>
                <w:sz w:val="20"/>
              </w:rPr>
            </w:pPr>
            <w:r>
              <w:rPr>
                <w:b/>
                <w:sz w:val="20"/>
              </w:rPr>
              <w:t>Key Observations/Concerns</w:t>
            </w:r>
          </w:p>
        </w:tc>
        <w:tc>
          <w:tcPr>
            <w:tcW w:w="2861" w:type="dxa"/>
            <w:shd w:val="clear" w:color="auto" w:fill="BEBEBE"/>
          </w:tcPr>
          <w:p>
            <w:pPr>
              <w:pStyle w:val="TableParagraph"/>
              <w:ind w:left="67"/>
              <w:rPr>
                <w:b/>
                <w:sz w:val="20"/>
              </w:rPr>
            </w:pPr>
            <w:r>
              <w:rPr>
                <w:b/>
                <w:sz w:val="20"/>
              </w:rPr>
              <w:t>Response</w:t>
            </w:r>
          </w:p>
        </w:tc>
      </w:tr>
      <w:tr>
        <w:trPr>
          <w:trHeight w:val="821" w:hRule="exact"/>
        </w:trPr>
        <w:tc>
          <w:tcPr>
            <w:tcW w:w="1356" w:type="dxa"/>
          </w:tcPr>
          <w:p>
            <w:pPr/>
          </w:p>
        </w:tc>
        <w:tc>
          <w:tcPr>
            <w:tcW w:w="1243" w:type="dxa"/>
          </w:tcPr>
          <w:p>
            <w:pPr/>
          </w:p>
        </w:tc>
        <w:tc>
          <w:tcPr>
            <w:tcW w:w="1664" w:type="dxa"/>
          </w:tcPr>
          <w:p>
            <w:pPr/>
          </w:p>
        </w:tc>
        <w:tc>
          <w:tcPr>
            <w:tcW w:w="1944" w:type="dxa"/>
          </w:tcPr>
          <w:p>
            <w:pPr/>
          </w:p>
        </w:tc>
        <w:tc>
          <w:tcPr>
            <w:tcW w:w="4589" w:type="dxa"/>
          </w:tcPr>
          <w:p>
            <w:pPr>
              <w:pStyle w:val="TableParagraph"/>
              <w:ind w:left="67" w:right="68"/>
              <w:jc w:val="both"/>
              <w:rPr>
                <w:sz w:val="20"/>
              </w:rPr>
            </w:pPr>
            <w:r>
              <w:rPr>
                <w:sz w:val="20"/>
              </w:rPr>
              <w:t>The existing buses are uncomfortable and overcrowded.</w:t>
            </w:r>
            <w:r>
              <w:rPr>
                <w:spacing w:val="-14"/>
                <w:sz w:val="20"/>
              </w:rPr>
              <w:t> </w:t>
            </w:r>
            <w:r>
              <w:rPr>
                <w:sz w:val="20"/>
              </w:rPr>
              <w:t>There</w:t>
            </w:r>
            <w:r>
              <w:rPr>
                <w:spacing w:val="-16"/>
                <w:sz w:val="20"/>
              </w:rPr>
              <w:t> </w:t>
            </w:r>
            <w:r>
              <w:rPr>
                <w:sz w:val="20"/>
              </w:rPr>
              <w:t>should</w:t>
            </w:r>
            <w:r>
              <w:rPr>
                <w:spacing w:val="-12"/>
                <w:sz w:val="20"/>
              </w:rPr>
              <w:t> </w:t>
            </w:r>
            <w:r>
              <w:rPr>
                <w:sz w:val="20"/>
              </w:rPr>
              <w:t>be</w:t>
            </w:r>
            <w:r>
              <w:rPr>
                <w:spacing w:val="-16"/>
                <w:sz w:val="20"/>
              </w:rPr>
              <w:t> </w:t>
            </w:r>
            <w:r>
              <w:rPr>
                <w:sz w:val="20"/>
              </w:rPr>
              <w:t>separate</w:t>
            </w:r>
            <w:r>
              <w:rPr>
                <w:spacing w:val="-14"/>
                <w:sz w:val="20"/>
              </w:rPr>
              <w:t> </w:t>
            </w:r>
            <w:r>
              <w:rPr>
                <w:sz w:val="20"/>
              </w:rPr>
              <w:t>section</w:t>
            </w:r>
            <w:r>
              <w:rPr>
                <w:spacing w:val="-16"/>
                <w:sz w:val="20"/>
              </w:rPr>
              <w:t> </w:t>
            </w:r>
            <w:r>
              <w:rPr>
                <w:sz w:val="20"/>
              </w:rPr>
              <w:t>for ladies and old age</w:t>
            </w:r>
            <w:r>
              <w:rPr>
                <w:spacing w:val="-10"/>
                <w:sz w:val="20"/>
              </w:rPr>
              <w:t> </w:t>
            </w:r>
            <w:r>
              <w:rPr>
                <w:sz w:val="20"/>
              </w:rPr>
              <w:t>people.</w:t>
            </w:r>
          </w:p>
        </w:tc>
        <w:tc>
          <w:tcPr>
            <w:tcW w:w="2861" w:type="dxa"/>
          </w:tcPr>
          <w:p>
            <w:pPr>
              <w:pStyle w:val="TableParagraph"/>
              <w:ind w:left="67"/>
              <w:rPr>
                <w:sz w:val="20"/>
              </w:rPr>
            </w:pPr>
            <w:r>
              <w:rPr>
                <w:sz w:val="20"/>
              </w:rPr>
              <w:t>Noted.</w:t>
            </w:r>
          </w:p>
        </w:tc>
      </w:tr>
      <w:tr>
        <w:trPr>
          <w:trHeight w:val="588" w:hRule="exact"/>
        </w:trPr>
        <w:tc>
          <w:tcPr>
            <w:tcW w:w="1356" w:type="dxa"/>
            <w:vMerge w:val="restart"/>
          </w:tcPr>
          <w:p>
            <w:pPr>
              <w:pStyle w:val="TableParagraph"/>
              <w:ind w:left="67"/>
              <w:rPr>
                <w:sz w:val="20"/>
              </w:rPr>
            </w:pPr>
            <w:r>
              <w:rPr>
                <w:sz w:val="20"/>
              </w:rPr>
              <w:t>Feb 10, 2019</w:t>
            </w:r>
          </w:p>
        </w:tc>
        <w:tc>
          <w:tcPr>
            <w:tcW w:w="1243" w:type="dxa"/>
            <w:vMerge w:val="restart"/>
          </w:tcPr>
          <w:p>
            <w:pPr>
              <w:pStyle w:val="TableParagraph"/>
              <w:ind w:left="139"/>
              <w:rPr>
                <w:sz w:val="20"/>
              </w:rPr>
            </w:pPr>
            <w:r>
              <w:rPr>
                <w:sz w:val="20"/>
              </w:rPr>
              <w:t>Zia Colony</w:t>
            </w:r>
          </w:p>
        </w:tc>
        <w:tc>
          <w:tcPr>
            <w:tcW w:w="1664" w:type="dxa"/>
            <w:vMerge w:val="restart"/>
          </w:tcPr>
          <w:p>
            <w:pPr>
              <w:pStyle w:val="TableParagraph"/>
              <w:ind w:left="268"/>
              <w:rPr>
                <w:sz w:val="20"/>
              </w:rPr>
            </w:pPr>
            <w:r>
              <w:rPr>
                <w:sz w:val="20"/>
              </w:rPr>
              <w:t>N 24</w:t>
            </w:r>
            <w:r>
              <w:rPr>
                <w:color w:val="212121"/>
                <w:sz w:val="20"/>
              </w:rPr>
              <w:t>°</w:t>
            </w:r>
            <w:r>
              <w:rPr>
                <w:sz w:val="20"/>
              </w:rPr>
              <w:t>50.007</w:t>
            </w:r>
          </w:p>
          <w:p>
            <w:pPr>
              <w:pStyle w:val="TableParagraph"/>
              <w:spacing w:before="0"/>
              <w:ind w:left="273"/>
              <w:rPr>
                <w:sz w:val="20"/>
              </w:rPr>
            </w:pPr>
            <w:r>
              <w:rPr>
                <w:sz w:val="20"/>
              </w:rPr>
              <w:t>E 67</w:t>
            </w:r>
            <w:r>
              <w:rPr>
                <w:color w:val="212121"/>
                <w:sz w:val="20"/>
              </w:rPr>
              <w:t>°</w:t>
            </w:r>
            <w:r>
              <w:rPr>
                <w:sz w:val="20"/>
              </w:rPr>
              <w:t>07.343</w:t>
            </w:r>
          </w:p>
        </w:tc>
        <w:tc>
          <w:tcPr>
            <w:tcW w:w="1944" w:type="dxa"/>
            <w:vMerge w:val="restart"/>
          </w:tcPr>
          <w:p>
            <w:pPr>
              <w:pStyle w:val="TableParagraph"/>
              <w:ind w:left="79" w:right="81"/>
              <w:jc w:val="center"/>
              <w:rPr>
                <w:sz w:val="20"/>
              </w:rPr>
            </w:pPr>
            <w:r>
              <w:rPr>
                <w:sz w:val="20"/>
              </w:rPr>
              <w:t>1.   17</w:t>
            </w:r>
          </w:p>
        </w:tc>
        <w:tc>
          <w:tcPr>
            <w:tcW w:w="4589" w:type="dxa"/>
            <w:tcBorders>
              <w:bottom w:val="dotted" w:sz="4" w:space="0" w:color="000000"/>
            </w:tcBorders>
          </w:tcPr>
          <w:p>
            <w:pPr>
              <w:pStyle w:val="TableParagraph"/>
              <w:ind w:left="67" w:right="68"/>
              <w:rPr>
                <w:sz w:val="20"/>
              </w:rPr>
            </w:pPr>
            <w:r>
              <w:rPr>
                <w:sz w:val="20"/>
              </w:rPr>
              <w:t>There is a need for more buses or metro bus in all parts of the city as the population has increased.</w:t>
            </w:r>
          </w:p>
        </w:tc>
        <w:tc>
          <w:tcPr>
            <w:tcW w:w="2861" w:type="dxa"/>
            <w:tcBorders>
              <w:bottom w:val="dotted" w:sz="4" w:space="0" w:color="000000"/>
            </w:tcBorders>
          </w:tcPr>
          <w:p>
            <w:pPr>
              <w:pStyle w:val="TableParagraph"/>
              <w:ind w:left="67"/>
              <w:rPr>
                <w:sz w:val="20"/>
              </w:rPr>
            </w:pPr>
            <w:r>
              <w:rPr>
                <w:sz w:val="20"/>
              </w:rPr>
              <w:t>Noted.</w:t>
            </w:r>
          </w:p>
        </w:tc>
      </w:tr>
      <w:tr>
        <w:trPr>
          <w:trHeight w:val="1052" w:hRule="exact"/>
        </w:trPr>
        <w:tc>
          <w:tcPr>
            <w:tcW w:w="1356" w:type="dxa"/>
            <w:vMerge/>
          </w:tcPr>
          <w:p>
            <w:pPr/>
          </w:p>
        </w:tc>
        <w:tc>
          <w:tcPr>
            <w:tcW w:w="1243" w:type="dxa"/>
            <w:vMerge/>
          </w:tcPr>
          <w:p>
            <w:pPr/>
          </w:p>
        </w:tc>
        <w:tc>
          <w:tcPr>
            <w:tcW w:w="1664" w:type="dxa"/>
            <w:vMerge/>
          </w:tcPr>
          <w:p>
            <w:pPr/>
          </w:p>
        </w:tc>
        <w:tc>
          <w:tcPr>
            <w:tcW w:w="1944" w:type="dxa"/>
            <w:vMerge/>
          </w:tcPr>
          <w:p>
            <w:pPr/>
          </w:p>
        </w:tc>
        <w:tc>
          <w:tcPr>
            <w:tcW w:w="4589" w:type="dxa"/>
            <w:tcBorders>
              <w:top w:val="dotted" w:sz="4" w:space="0" w:color="000000"/>
              <w:bottom w:val="dotted" w:sz="4" w:space="0" w:color="000000"/>
            </w:tcBorders>
          </w:tcPr>
          <w:p>
            <w:pPr>
              <w:pStyle w:val="TableParagraph"/>
              <w:spacing w:before="60"/>
              <w:ind w:left="67" w:right="68"/>
              <w:jc w:val="both"/>
              <w:rPr>
                <w:sz w:val="20"/>
              </w:rPr>
            </w:pPr>
            <w:r>
              <w:rPr>
                <w:sz w:val="20"/>
              </w:rPr>
              <w:t>The authorities have miserably failed to provide any relief to commuters despite having spent millions</w:t>
            </w:r>
            <w:r>
              <w:rPr>
                <w:spacing w:val="-12"/>
                <w:sz w:val="20"/>
              </w:rPr>
              <w:t> </w:t>
            </w:r>
            <w:r>
              <w:rPr>
                <w:sz w:val="20"/>
              </w:rPr>
              <w:t>of</w:t>
            </w:r>
            <w:r>
              <w:rPr>
                <w:spacing w:val="-12"/>
                <w:sz w:val="20"/>
              </w:rPr>
              <w:t> </w:t>
            </w:r>
            <w:r>
              <w:rPr>
                <w:sz w:val="20"/>
              </w:rPr>
              <w:t>rupees</w:t>
            </w:r>
            <w:r>
              <w:rPr>
                <w:spacing w:val="-13"/>
                <w:sz w:val="20"/>
              </w:rPr>
              <w:t> </w:t>
            </w:r>
            <w:r>
              <w:rPr>
                <w:sz w:val="20"/>
              </w:rPr>
              <w:t>on</w:t>
            </w:r>
            <w:r>
              <w:rPr>
                <w:spacing w:val="-12"/>
                <w:sz w:val="20"/>
              </w:rPr>
              <w:t> </w:t>
            </w:r>
            <w:r>
              <w:rPr>
                <w:sz w:val="20"/>
              </w:rPr>
              <w:t>improving</w:t>
            </w:r>
            <w:r>
              <w:rPr>
                <w:spacing w:val="-12"/>
                <w:sz w:val="20"/>
              </w:rPr>
              <w:t> </w:t>
            </w:r>
            <w:r>
              <w:rPr>
                <w:sz w:val="20"/>
              </w:rPr>
              <w:t>the</w:t>
            </w:r>
            <w:r>
              <w:rPr>
                <w:spacing w:val="-12"/>
                <w:sz w:val="20"/>
              </w:rPr>
              <w:t> </w:t>
            </w:r>
            <w:r>
              <w:rPr>
                <w:sz w:val="20"/>
              </w:rPr>
              <w:t>public</w:t>
            </w:r>
            <w:r>
              <w:rPr>
                <w:spacing w:val="-12"/>
                <w:sz w:val="20"/>
              </w:rPr>
              <w:t> </w:t>
            </w:r>
            <w:r>
              <w:rPr>
                <w:sz w:val="20"/>
              </w:rPr>
              <w:t>transport system over the past</w:t>
            </w:r>
            <w:r>
              <w:rPr>
                <w:spacing w:val="-9"/>
                <w:sz w:val="20"/>
              </w:rPr>
              <w:t> </w:t>
            </w:r>
            <w:r>
              <w:rPr>
                <w:sz w:val="20"/>
              </w:rPr>
              <w:t>years.</w:t>
            </w:r>
          </w:p>
        </w:tc>
        <w:tc>
          <w:tcPr>
            <w:tcW w:w="2861" w:type="dxa"/>
            <w:tcBorders>
              <w:top w:val="dotted" w:sz="4" w:space="0" w:color="000000"/>
              <w:bottom w:val="dotted" w:sz="4" w:space="0" w:color="000000"/>
            </w:tcBorders>
          </w:tcPr>
          <w:p>
            <w:pPr>
              <w:pStyle w:val="TableParagraph"/>
              <w:spacing w:before="62"/>
              <w:ind w:left="67"/>
              <w:rPr>
                <w:sz w:val="20"/>
              </w:rPr>
            </w:pPr>
            <w:r>
              <w:rPr>
                <w:sz w:val="20"/>
              </w:rPr>
              <w:t>Noted.</w:t>
            </w:r>
          </w:p>
        </w:tc>
      </w:tr>
      <w:tr>
        <w:trPr>
          <w:trHeight w:val="590" w:hRule="exact"/>
        </w:trPr>
        <w:tc>
          <w:tcPr>
            <w:tcW w:w="1356" w:type="dxa"/>
            <w:vMerge/>
          </w:tcPr>
          <w:p>
            <w:pPr/>
          </w:p>
        </w:tc>
        <w:tc>
          <w:tcPr>
            <w:tcW w:w="1243" w:type="dxa"/>
            <w:vMerge/>
          </w:tcPr>
          <w:p>
            <w:pPr/>
          </w:p>
        </w:tc>
        <w:tc>
          <w:tcPr>
            <w:tcW w:w="1664" w:type="dxa"/>
            <w:vMerge/>
          </w:tcPr>
          <w:p>
            <w:pPr/>
          </w:p>
        </w:tc>
        <w:tc>
          <w:tcPr>
            <w:tcW w:w="1944" w:type="dxa"/>
            <w:vMerge/>
          </w:tcPr>
          <w:p>
            <w:pPr/>
          </w:p>
        </w:tc>
        <w:tc>
          <w:tcPr>
            <w:tcW w:w="4589" w:type="dxa"/>
            <w:tcBorders>
              <w:top w:val="dotted" w:sz="4" w:space="0" w:color="000000"/>
            </w:tcBorders>
          </w:tcPr>
          <w:p>
            <w:pPr>
              <w:pStyle w:val="TableParagraph"/>
              <w:ind w:left="67"/>
              <w:rPr>
                <w:sz w:val="20"/>
              </w:rPr>
            </w:pPr>
            <w:r>
              <w:rPr>
                <w:sz w:val="20"/>
              </w:rPr>
              <w:t>BRT is badly needed in the extending populated area.</w:t>
            </w:r>
          </w:p>
        </w:tc>
        <w:tc>
          <w:tcPr>
            <w:tcW w:w="2861" w:type="dxa"/>
            <w:tcBorders>
              <w:top w:val="dotted" w:sz="4" w:space="0" w:color="000000"/>
            </w:tcBorders>
          </w:tcPr>
          <w:p>
            <w:pPr>
              <w:pStyle w:val="TableParagraph"/>
              <w:ind w:left="67"/>
              <w:rPr>
                <w:sz w:val="20"/>
              </w:rPr>
            </w:pPr>
            <w:r>
              <w:rPr>
                <w:sz w:val="20"/>
              </w:rPr>
              <w:t>Noted.</w:t>
            </w:r>
          </w:p>
        </w:tc>
      </w:tr>
      <w:tr>
        <w:trPr>
          <w:trHeight w:val="1280" w:hRule="exact"/>
        </w:trPr>
        <w:tc>
          <w:tcPr>
            <w:tcW w:w="1356" w:type="dxa"/>
            <w:vMerge/>
          </w:tcPr>
          <w:p>
            <w:pPr/>
          </w:p>
        </w:tc>
        <w:tc>
          <w:tcPr>
            <w:tcW w:w="1243" w:type="dxa"/>
            <w:vMerge/>
          </w:tcPr>
          <w:p>
            <w:pPr/>
          </w:p>
        </w:tc>
        <w:tc>
          <w:tcPr>
            <w:tcW w:w="1664" w:type="dxa"/>
            <w:vMerge/>
          </w:tcPr>
          <w:p>
            <w:pPr/>
          </w:p>
        </w:tc>
        <w:tc>
          <w:tcPr>
            <w:tcW w:w="1944" w:type="dxa"/>
            <w:vMerge/>
          </w:tcPr>
          <w:p>
            <w:pPr/>
          </w:p>
        </w:tc>
        <w:tc>
          <w:tcPr>
            <w:tcW w:w="4589" w:type="dxa"/>
          </w:tcPr>
          <w:p>
            <w:pPr>
              <w:pStyle w:val="TableParagraph"/>
              <w:ind w:left="67" w:right="67"/>
              <w:jc w:val="both"/>
              <w:rPr>
                <w:sz w:val="20"/>
              </w:rPr>
            </w:pPr>
            <w:r>
              <w:rPr>
                <w:sz w:val="20"/>
              </w:rPr>
              <w:t>Congestion is increasing due to the conversion of various roads from residential to high density commercial land-use. Existing buses are overcrowded.</w:t>
            </w:r>
            <w:r>
              <w:rPr>
                <w:spacing w:val="-14"/>
                <w:sz w:val="20"/>
              </w:rPr>
              <w:t> </w:t>
            </w:r>
            <w:r>
              <w:rPr>
                <w:spacing w:val="5"/>
                <w:sz w:val="20"/>
              </w:rPr>
              <w:t>We</w:t>
            </w:r>
            <w:r>
              <w:rPr>
                <w:spacing w:val="-12"/>
                <w:sz w:val="20"/>
              </w:rPr>
              <w:t> </w:t>
            </w:r>
            <w:r>
              <w:rPr>
                <w:sz w:val="20"/>
              </w:rPr>
              <w:t>hope</w:t>
            </w:r>
            <w:r>
              <w:rPr>
                <w:spacing w:val="-12"/>
                <w:sz w:val="20"/>
              </w:rPr>
              <w:t> </w:t>
            </w:r>
            <w:r>
              <w:rPr>
                <w:sz w:val="20"/>
              </w:rPr>
              <w:t>that</w:t>
            </w:r>
            <w:r>
              <w:rPr>
                <w:spacing w:val="-10"/>
                <w:sz w:val="20"/>
              </w:rPr>
              <w:t> </w:t>
            </w:r>
            <w:r>
              <w:rPr>
                <w:sz w:val="20"/>
              </w:rPr>
              <w:t>due</w:t>
            </w:r>
            <w:r>
              <w:rPr>
                <w:spacing w:val="-10"/>
                <w:sz w:val="20"/>
              </w:rPr>
              <w:t> </w:t>
            </w:r>
            <w:r>
              <w:rPr>
                <w:sz w:val="20"/>
              </w:rPr>
              <w:t>to</w:t>
            </w:r>
            <w:r>
              <w:rPr>
                <w:spacing w:val="-10"/>
                <w:sz w:val="20"/>
              </w:rPr>
              <w:t> </w:t>
            </w:r>
            <w:r>
              <w:rPr>
                <w:sz w:val="20"/>
              </w:rPr>
              <w:t>BRT</w:t>
            </w:r>
            <w:r>
              <w:rPr>
                <w:spacing w:val="-9"/>
                <w:sz w:val="20"/>
              </w:rPr>
              <w:t> </w:t>
            </w:r>
            <w:r>
              <w:rPr>
                <w:sz w:val="20"/>
              </w:rPr>
              <w:t>people</w:t>
            </w:r>
            <w:r>
              <w:rPr>
                <w:spacing w:val="-8"/>
                <w:sz w:val="20"/>
              </w:rPr>
              <w:t> </w:t>
            </w:r>
            <w:r>
              <w:rPr>
                <w:sz w:val="20"/>
              </w:rPr>
              <w:t>will reach their destination on</w:t>
            </w:r>
            <w:r>
              <w:rPr>
                <w:spacing w:val="-4"/>
                <w:sz w:val="20"/>
              </w:rPr>
              <w:t> </w:t>
            </w:r>
            <w:r>
              <w:rPr>
                <w:sz w:val="20"/>
              </w:rPr>
              <w:t>time.</w:t>
            </w:r>
          </w:p>
        </w:tc>
        <w:tc>
          <w:tcPr>
            <w:tcW w:w="2861" w:type="dxa"/>
          </w:tcPr>
          <w:p>
            <w:pPr>
              <w:pStyle w:val="TableParagraph"/>
              <w:ind w:left="67" w:right="68"/>
              <w:jc w:val="both"/>
              <w:rPr>
                <w:sz w:val="20"/>
              </w:rPr>
            </w:pPr>
            <w:r>
              <w:rPr>
                <w:sz w:val="20"/>
              </w:rPr>
              <w:t>The BRT will run on separte track therefore congestion will not be an issue on BRT route.</w:t>
            </w:r>
          </w:p>
        </w:tc>
      </w:tr>
      <w:tr>
        <w:trPr>
          <w:trHeight w:val="360" w:hRule="exact"/>
        </w:trPr>
        <w:tc>
          <w:tcPr>
            <w:tcW w:w="1356" w:type="dxa"/>
            <w:vMerge w:val="restart"/>
          </w:tcPr>
          <w:p>
            <w:pPr>
              <w:pStyle w:val="TableParagraph"/>
              <w:ind w:left="67"/>
              <w:rPr>
                <w:sz w:val="20"/>
              </w:rPr>
            </w:pPr>
            <w:r>
              <w:rPr>
                <w:sz w:val="20"/>
              </w:rPr>
              <w:t>Feb 10, 2019</w:t>
            </w:r>
          </w:p>
        </w:tc>
        <w:tc>
          <w:tcPr>
            <w:tcW w:w="1243" w:type="dxa"/>
            <w:vMerge w:val="restart"/>
          </w:tcPr>
          <w:p>
            <w:pPr>
              <w:pStyle w:val="TableParagraph"/>
              <w:ind w:left="371" w:right="258" w:hanging="94"/>
              <w:rPr>
                <w:sz w:val="20"/>
              </w:rPr>
            </w:pPr>
            <w:r>
              <w:rPr>
                <w:sz w:val="20"/>
              </w:rPr>
              <w:t>Mehran Town</w:t>
            </w:r>
          </w:p>
        </w:tc>
        <w:tc>
          <w:tcPr>
            <w:tcW w:w="1664" w:type="dxa"/>
            <w:vMerge w:val="restart"/>
          </w:tcPr>
          <w:p>
            <w:pPr>
              <w:pStyle w:val="TableParagraph"/>
              <w:ind w:left="268"/>
              <w:rPr>
                <w:sz w:val="20"/>
              </w:rPr>
            </w:pPr>
            <w:r>
              <w:rPr>
                <w:sz w:val="20"/>
              </w:rPr>
              <w:t>N 24</w:t>
            </w:r>
            <w:r>
              <w:rPr>
                <w:color w:val="212121"/>
                <w:sz w:val="20"/>
              </w:rPr>
              <w:t>°</w:t>
            </w:r>
            <w:r>
              <w:rPr>
                <w:sz w:val="20"/>
              </w:rPr>
              <w:t>51.045</w:t>
            </w:r>
          </w:p>
          <w:p>
            <w:pPr>
              <w:pStyle w:val="TableParagraph"/>
              <w:spacing w:before="0"/>
              <w:ind w:left="273"/>
              <w:rPr>
                <w:sz w:val="20"/>
              </w:rPr>
            </w:pPr>
            <w:r>
              <w:rPr>
                <w:sz w:val="20"/>
              </w:rPr>
              <w:t>E 67</w:t>
            </w:r>
            <w:r>
              <w:rPr>
                <w:color w:val="212121"/>
                <w:sz w:val="20"/>
              </w:rPr>
              <w:t>°</w:t>
            </w:r>
            <w:r>
              <w:rPr>
                <w:sz w:val="20"/>
              </w:rPr>
              <w:t>06.558</w:t>
            </w:r>
          </w:p>
        </w:tc>
        <w:tc>
          <w:tcPr>
            <w:tcW w:w="1944" w:type="dxa"/>
            <w:vMerge w:val="restart"/>
          </w:tcPr>
          <w:p>
            <w:pPr>
              <w:pStyle w:val="TableParagraph"/>
              <w:ind w:left="79" w:right="81"/>
              <w:jc w:val="center"/>
              <w:rPr>
                <w:sz w:val="20"/>
              </w:rPr>
            </w:pPr>
            <w:r>
              <w:rPr>
                <w:sz w:val="20"/>
              </w:rPr>
              <w:t>1.   14</w:t>
            </w:r>
          </w:p>
        </w:tc>
        <w:tc>
          <w:tcPr>
            <w:tcW w:w="4589" w:type="dxa"/>
            <w:tcBorders>
              <w:bottom w:val="dotted" w:sz="4" w:space="0" w:color="000000"/>
            </w:tcBorders>
          </w:tcPr>
          <w:p>
            <w:pPr>
              <w:pStyle w:val="TableParagraph"/>
              <w:ind w:left="67"/>
              <w:rPr>
                <w:sz w:val="20"/>
              </w:rPr>
            </w:pPr>
            <w:r>
              <w:rPr>
                <w:sz w:val="20"/>
              </w:rPr>
              <w:t>The BRT will be beneficial, if fares are economical.</w:t>
            </w:r>
          </w:p>
        </w:tc>
        <w:tc>
          <w:tcPr>
            <w:tcW w:w="2861" w:type="dxa"/>
            <w:tcBorders>
              <w:bottom w:val="dotted" w:sz="4" w:space="0" w:color="000000"/>
            </w:tcBorders>
          </w:tcPr>
          <w:p>
            <w:pPr>
              <w:pStyle w:val="TableParagraph"/>
              <w:ind w:left="67"/>
              <w:rPr>
                <w:sz w:val="20"/>
              </w:rPr>
            </w:pPr>
            <w:r>
              <w:rPr>
                <w:sz w:val="20"/>
              </w:rPr>
              <w:t>Noted.</w:t>
            </w:r>
          </w:p>
        </w:tc>
      </w:tr>
      <w:tr>
        <w:trPr>
          <w:trHeight w:val="1109" w:hRule="exact"/>
        </w:trPr>
        <w:tc>
          <w:tcPr>
            <w:tcW w:w="1356" w:type="dxa"/>
            <w:vMerge/>
          </w:tcPr>
          <w:p>
            <w:pPr/>
          </w:p>
        </w:tc>
        <w:tc>
          <w:tcPr>
            <w:tcW w:w="1243" w:type="dxa"/>
            <w:vMerge/>
          </w:tcPr>
          <w:p>
            <w:pPr/>
          </w:p>
        </w:tc>
        <w:tc>
          <w:tcPr>
            <w:tcW w:w="1664" w:type="dxa"/>
            <w:vMerge/>
          </w:tcPr>
          <w:p>
            <w:pPr/>
          </w:p>
        </w:tc>
        <w:tc>
          <w:tcPr>
            <w:tcW w:w="1944" w:type="dxa"/>
            <w:vMerge/>
          </w:tcPr>
          <w:p>
            <w:pPr/>
          </w:p>
        </w:tc>
        <w:tc>
          <w:tcPr>
            <w:tcW w:w="4589" w:type="dxa"/>
            <w:tcBorders>
              <w:top w:val="dotted" w:sz="4" w:space="0" w:color="000000"/>
              <w:bottom w:val="dotted" w:sz="4" w:space="0" w:color="000000"/>
            </w:tcBorders>
          </w:tcPr>
          <w:p>
            <w:pPr>
              <w:pStyle w:val="TableParagraph"/>
              <w:ind w:left="67"/>
              <w:rPr>
                <w:sz w:val="20"/>
              </w:rPr>
            </w:pPr>
            <w:r>
              <w:rPr>
                <w:sz w:val="20"/>
              </w:rPr>
              <w:t>As compared to the local buses, the BRT will be more comfortable and convenient for the locals.</w:t>
            </w:r>
          </w:p>
          <w:p>
            <w:pPr>
              <w:pStyle w:val="TableParagraph"/>
              <w:spacing w:before="60"/>
              <w:ind w:left="67"/>
              <w:rPr>
                <w:sz w:val="20"/>
              </w:rPr>
            </w:pPr>
            <w:r>
              <w:rPr>
                <w:sz w:val="20"/>
              </w:rPr>
              <w:t>The BRT stations should be constructed close to the populated areas.</w:t>
            </w:r>
          </w:p>
        </w:tc>
        <w:tc>
          <w:tcPr>
            <w:tcW w:w="2861" w:type="dxa"/>
            <w:tcBorders>
              <w:top w:val="dotted" w:sz="4" w:space="0" w:color="000000"/>
              <w:bottom w:val="dotted" w:sz="4" w:space="0" w:color="000000"/>
            </w:tcBorders>
          </w:tcPr>
          <w:p>
            <w:pPr>
              <w:pStyle w:val="TableParagraph"/>
              <w:ind w:left="67"/>
              <w:rPr>
                <w:sz w:val="20"/>
              </w:rPr>
            </w:pPr>
            <w:r>
              <w:rPr>
                <w:sz w:val="20"/>
              </w:rPr>
              <w:t>Noted.</w:t>
            </w:r>
          </w:p>
        </w:tc>
      </w:tr>
      <w:tr>
        <w:trPr>
          <w:trHeight w:val="821" w:hRule="exact"/>
        </w:trPr>
        <w:tc>
          <w:tcPr>
            <w:tcW w:w="1356" w:type="dxa"/>
            <w:vMerge/>
          </w:tcPr>
          <w:p>
            <w:pPr/>
          </w:p>
        </w:tc>
        <w:tc>
          <w:tcPr>
            <w:tcW w:w="1243" w:type="dxa"/>
            <w:vMerge/>
          </w:tcPr>
          <w:p>
            <w:pPr/>
          </w:p>
        </w:tc>
        <w:tc>
          <w:tcPr>
            <w:tcW w:w="1664" w:type="dxa"/>
            <w:vMerge/>
          </w:tcPr>
          <w:p>
            <w:pPr/>
          </w:p>
        </w:tc>
        <w:tc>
          <w:tcPr>
            <w:tcW w:w="1944" w:type="dxa"/>
            <w:vMerge/>
          </w:tcPr>
          <w:p>
            <w:pPr/>
          </w:p>
        </w:tc>
        <w:tc>
          <w:tcPr>
            <w:tcW w:w="4589" w:type="dxa"/>
            <w:tcBorders>
              <w:top w:val="dotted" w:sz="4" w:space="0" w:color="000000"/>
              <w:bottom w:val="dotted" w:sz="4" w:space="0" w:color="000000"/>
            </w:tcBorders>
          </w:tcPr>
          <w:p>
            <w:pPr>
              <w:pStyle w:val="TableParagraph"/>
              <w:ind w:left="67" w:right="68"/>
              <w:jc w:val="both"/>
              <w:rPr>
                <w:sz w:val="20"/>
              </w:rPr>
            </w:pPr>
            <w:r>
              <w:rPr>
                <w:sz w:val="20"/>
              </w:rPr>
              <w:t>As this area is situated in an industrial estate, the BRT</w:t>
            </w:r>
            <w:r>
              <w:rPr>
                <w:spacing w:val="-6"/>
                <w:sz w:val="20"/>
              </w:rPr>
              <w:t> </w:t>
            </w:r>
            <w:r>
              <w:rPr>
                <w:sz w:val="20"/>
              </w:rPr>
              <w:t>would</w:t>
            </w:r>
            <w:r>
              <w:rPr>
                <w:spacing w:val="-9"/>
                <w:sz w:val="20"/>
              </w:rPr>
              <w:t> </w:t>
            </w:r>
            <w:r>
              <w:rPr>
                <w:sz w:val="20"/>
              </w:rPr>
              <w:t>help</w:t>
            </w:r>
            <w:r>
              <w:rPr>
                <w:spacing w:val="-9"/>
                <w:sz w:val="20"/>
              </w:rPr>
              <w:t> </w:t>
            </w:r>
            <w:r>
              <w:rPr>
                <w:sz w:val="20"/>
              </w:rPr>
              <w:t>the</w:t>
            </w:r>
            <w:r>
              <w:rPr>
                <w:spacing w:val="-6"/>
                <w:sz w:val="20"/>
              </w:rPr>
              <w:t> </w:t>
            </w:r>
            <w:r>
              <w:rPr>
                <w:sz w:val="20"/>
              </w:rPr>
              <w:t>labour</w:t>
            </w:r>
            <w:r>
              <w:rPr>
                <w:spacing w:val="-7"/>
                <w:sz w:val="20"/>
              </w:rPr>
              <w:t> </w:t>
            </w:r>
            <w:r>
              <w:rPr>
                <w:sz w:val="20"/>
              </w:rPr>
              <w:t>to</w:t>
            </w:r>
            <w:r>
              <w:rPr>
                <w:spacing w:val="-9"/>
                <w:sz w:val="20"/>
              </w:rPr>
              <w:t> </w:t>
            </w:r>
            <w:r>
              <w:rPr>
                <w:sz w:val="20"/>
              </w:rPr>
              <w:t>reach</w:t>
            </w:r>
            <w:r>
              <w:rPr>
                <w:spacing w:val="-9"/>
                <w:sz w:val="20"/>
              </w:rPr>
              <w:t> </w:t>
            </w:r>
            <w:r>
              <w:rPr>
                <w:sz w:val="20"/>
              </w:rPr>
              <w:t>their</w:t>
            </w:r>
            <w:r>
              <w:rPr>
                <w:spacing w:val="-8"/>
                <w:sz w:val="20"/>
              </w:rPr>
              <w:t> </w:t>
            </w:r>
            <w:r>
              <w:rPr>
                <w:sz w:val="20"/>
              </w:rPr>
              <w:t>industries on</w:t>
            </w:r>
            <w:r>
              <w:rPr>
                <w:spacing w:val="-2"/>
                <w:sz w:val="20"/>
              </w:rPr>
              <w:t> </w:t>
            </w:r>
            <w:r>
              <w:rPr>
                <w:sz w:val="20"/>
              </w:rPr>
              <w:t>time.</w:t>
            </w:r>
          </w:p>
        </w:tc>
        <w:tc>
          <w:tcPr>
            <w:tcW w:w="2861" w:type="dxa"/>
            <w:tcBorders>
              <w:top w:val="dotted" w:sz="4" w:space="0" w:color="000000"/>
              <w:bottom w:val="dotted" w:sz="4" w:space="0" w:color="000000"/>
            </w:tcBorders>
          </w:tcPr>
          <w:p>
            <w:pPr>
              <w:pStyle w:val="TableParagraph"/>
              <w:spacing w:before="62"/>
              <w:ind w:left="67"/>
              <w:rPr>
                <w:sz w:val="20"/>
              </w:rPr>
            </w:pPr>
            <w:r>
              <w:rPr>
                <w:sz w:val="20"/>
              </w:rPr>
              <w:t>Noted.</w:t>
            </w:r>
          </w:p>
        </w:tc>
      </w:tr>
      <w:tr>
        <w:trPr>
          <w:trHeight w:val="821" w:hRule="exact"/>
        </w:trPr>
        <w:tc>
          <w:tcPr>
            <w:tcW w:w="1356" w:type="dxa"/>
            <w:vMerge/>
          </w:tcPr>
          <w:p>
            <w:pPr/>
          </w:p>
        </w:tc>
        <w:tc>
          <w:tcPr>
            <w:tcW w:w="1243" w:type="dxa"/>
            <w:vMerge/>
          </w:tcPr>
          <w:p>
            <w:pPr/>
          </w:p>
        </w:tc>
        <w:tc>
          <w:tcPr>
            <w:tcW w:w="1664" w:type="dxa"/>
            <w:vMerge/>
          </w:tcPr>
          <w:p>
            <w:pPr/>
          </w:p>
        </w:tc>
        <w:tc>
          <w:tcPr>
            <w:tcW w:w="1944" w:type="dxa"/>
            <w:vMerge/>
          </w:tcPr>
          <w:p>
            <w:pPr/>
          </w:p>
        </w:tc>
        <w:tc>
          <w:tcPr>
            <w:tcW w:w="4589" w:type="dxa"/>
            <w:tcBorders>
              <w:top w:val="dotted" w:sz="4" w:space="0" w:color="000000"/>
            </w:tcBorders>
          </w:tcPr>
          <w:p>
            <w:pPr>
              <w:pStyle w:val="TableParagraph"/>
              <w:ind w:left="67" w:right="70"/>
              <w:jc w:val="both"/>
              <w:rPr>
                <w:sz w:val="20"/>
              </w:rPr>
            </w:pPr>
            <w:r>
              <w:rPr>
                <w:sz w:val="20"/>
              </w:rPr>
              <w:t>Existing buses are running on diesel and causes air</w:t>
            </w:r>
            <w:r>
              <w:rPr>
                <w:spacing w:val="-9"/>
                <w:sz w:val="20"/>
              </w:rPr>
              <w:t> </w:t>
            </w:r>
            <w:r>
              <w:rPr>
                <w:sz w:val="20"/>
              </w:rPr>
              <w:t>pollution.</w:t>
            </w:r>
            <w:r>
              <w:rPr>
                <w:spacing w:val="-13"/>
                <w:sz w:val="20"/>
              </w:rPr>
              <w:t> </w:t>
            </w:r>
            <w:r>
              <w:rPr>
                <w:sz w:val="20"/>
              </w:rPr>
              <w:t>The</w:t>
            </w:r>
            <w:r>
              <w:rPr>
                <w:spacing w:val="-11"/>
                <w:sz w:val="20"/>
              </w:rPr>
              <w:t> </w:t>
            </w:r>
            <w:r>
              <w:rPr>
                <w:sz w:val="20"/>
              </w:rPr>
              <w:t>BRT</w:t>
            </w:r>
            <w:r>
              <w:rPr>
                <w:spacing w:val="-7"/>
                <w:sz w:val="20"/>
              </w:rPr>
              <w:t> </w:t>
            </w:r>
            <w:r>
              <w:rPr>
                <w:sz w:val="20"/>
              </w:rPr>
              <w:t>will</w:t>
            </w:r>
            <w:r>
              <w:rPr>
                <w:spacing w:val="-11"/>
                <w:sz w:val="20"/>
              </w:rPr>
              <w:t> </w:t>
            </w:r>
            <w:r>
              <w:rPr>
                <w:sz w:val="20"/>
              </w:rPr>
              <w:t>help</w:t>
            </w:r>
            <w:r>
              <w:rPr>
                <w:spacing w:val="-11"/>
                <w:sz w:val="20"/>
              </w:rPr>
              <w:t> </w:t>
            </w:r>
            <w:r>
              <w:rPr>
                <w:sz w:val="20"/>
              </w:rPr>
              <w:t>in</w:t>
            </w:r>
            <w:r>
              <w:rPr>
                <w:spacing w:val="-13"/>
                <w:sz w:val="20"/>
              </w:rPr>
              <w:t> </w:t>
            </w:r>
            <w:r>
              <w:rPr>
                <w:sz w:val="20"/>
              </w:rPr>
              <w:t>minimizing</w:t>
            </w:r>
            <w:r>
              <w:rPr>
                <w:spacing w:val="-13"/>
                <w:sz w:val="20"/>
              </w:rPr>
              <w:t> </w:t>
            </w:r>
            <w:r>
              <w:rPr>
                <w:sz w:val="20"/>
              </w:rPr>
              <w:t>the</w:t>
            </w:r>
            <w:r>
              <w:rPr>
                <w:spacing w:val="-11"/>
                <w:sz w:val="20"/>
              </w:rPr>
              <w:t> </w:t>
            </w:r>
            <w:r>
              <w:rPr>
                <w:sz w:val="20"/>
              </w:rPr>
              <w:t>air pollution.</w:t>
            </w:r>
          </w:p>
        </w:tc>
        <w:tc>
          <w:tcPr>
            <w:tcW w:w="2861" w:type="dxa"/>
            <w:tcBorders>
              <w:top w:val="dotted" w:sz="4" w:space="0" w:color="000000"/>
            </w:tcBorders>
          </w:tcPr>
          <w:p>
            <w:pPr>
              <w:pStyle w:val="TableParagraph"/>
              <w:ind w:left="67"/>
              <w:rPr>
                <w:sz w:val="20"/>
              </w:rPr>
            </w:pPr>
            <w:r>
              <w:rPr>
                <w:sz w:val="20"/>
              </w:rPr>
              <w:t>Noted.</w:t>
            </w:r>
          </w:p>
        </w:tc>
      </w:tr>
      <w:tr>
        <w:trPr>
          <w:trHeight w:val="590" w:hRule="exact"/>
        </w:trPr>
        <w:tc>
          <w:tcPr>
            <w:tcW w:w="1356" w:type="dxa"/>
          </w:tcPr>
          <w:p>
            <w:pPr>
              <w:pStyle w:val="TableParagraph"/>
              <w:ind w:left="67"/>
              <w:rPr>
                <w:sz w:val="20"/>
              </w:rPr>
            </w:pPr>
            <w:r>
              <w:rPr>
                <w:sz w:val="20"/>
              </w:rPr>
              <w:t>Feb 10, 2019</w:t>
            </w:r>
          </w:p>
        </w:tc>
        <w:tc>
          <w:tcPr>
            <w:tcW w:w="1243" w:type="dxa"/>
          </w:tcPr>
          <w:p>
            <w:pPr>
              <w:pStyle w:val="TableParagraph"/>
              <w:ind w:left="88"/>
              <w:rPr>
                <w:sz w:val="20"/>
              </w:rPr>
            </w:pPr>
            <w:r>
              <w:rPr>
                <w:sz w:val="20"/>
              </w:rPr>
              <w:t>Azam Town</w:t>
            </w:r>
          </w:p>
        </w:tc>
        <w:tc>
          <w:tcPr>
            <w:tcW w:w="1664" w:type="dxa"/>
          </w:tcPr>
          <w:p>
            <w:pPr>
              <w:pStyle w:val="TableParagraph"/>
              <w:ind w:left="268"/>
              <w:rPr>
                <w:sz w:val="20"/>
              </w:rPr>
            </w:pPr>
            <w:r>
              <w:rPr>
                <w:sz w:val="20"/>
              </w:rPr>
              <w:t>N 24°50.695</w:t>
            </w:r>
          </w:p>
          <w:p>
            <w:pPr>
              <w:pStyle w:val="TableParagraph"/>
              <w:spacing w:before="0"/>
              <w:ind w:left="273"/>
              <w:rPr>
                <w:sz w:val="20"/>
              </w:rPr>
            </w:pPr>
            <w:r>
              <w:rPr>
                <w:sz w:val="20"/>
              </w:rPr>
              <w:t>E 67°04.337</w:t>
            </w:r>
          </w:p>
        </w:tc>
        <w:tc>
          <w:tcPr>
            <w:tcW w:w="1944" w:type="dxa"/>
          </w:tcPr>
          <w:p>
            <w:pPr>
              <w:pStyle w:val="TableParagraph"/>
              <w:ind w:left="79" w:right="81"/>
              <w:jc w:val="center"/>
              <w:rPr>
                <w:sz w:val="20"/>
              </w:rPr>
            </w:pPr>
            <w:r>
              <w:rPr>
                <w:sz w:val="20"/>
              </w:rPr>
              <w:t>1.   14</w:t>
            </w:r>
          </w:p>
        </w:tc>
        <w:tc>
          <w:tcPr>
            <w:tcW w:w="4589" w:type="dxa"/>
          </w:tcPr>
          <w:p>
            <w:pPr>
              <w:pStyle w:val="TableParagraph"/>
              <w:ind w:left="67" w:right="713"/>
              <w:rPr>
                <w:sz w:val="20"/>
              </w:rPr>
            </w:pPr>
            <w:r>
              <w:rPr>
                <w:sz w:val="20"/>
              </w:rPr>
              <w:t>Due to BRT, employment opportunities will increase.</w:t>
            </w:r>
          </w:p>
        </w:tc>
        <w:tc>
          <w:tcPr>
            <w:tcW w:w="2861" w:type="dxa"/>
          </w:tcPr>
          <w:p>
            <w:pPr>
              <w:pStyle w:val="TableParagraph"/>
              <w:ind w:left="67"/>
              <w:rPr>
                <w:sz w:val="20"/>
              </w:rPr>
            </w:pPr>
            <w:r>
              <w:rPr>
                <w:sz w:val="20"/>
              </w:rPr>
              <w:t>Noted.</w:t>
            </w:r>
          </w:p>
        </w:tc>
      </w:tr>
    </w:tbl>
    <w:p>
      <w:pPr>
        <w:spacing w:after="0"/>
        <w:rPr>
          <w:sz w:val="20"/>
        </w:rPr>
        <w:sectPr>
          <w:pgSz w:w="16840" w:h="11910" w:orient="landscape"/>
          <w:pgMar w:header="583" w:footer="575" w:top="840" w:bottom="760" w:left="860" w:right="12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6"/>
        </w:rPr>
      </w:pPr>
    </w:p>
    <w:tbl>
      <w:tblPr>
        <w:tblW w:w="0" w:type="auto"/>
        <w:jc w:val="left"/>
        <w:tblInd w:w="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6"/>
        <w:gridCol w:w="1243"/>
        <w:gridCol w:w="1664"/>
        <w:gridCol w:w="1944"/>
        <w:gridCol w:w="4589"/>
        <w:gridCol w:w="2861"/>
      </w:tblGrid>
      <w:tr>
        <w:trPr>
          <w:trHeight w:val="360" w:hRule="exact"/>
        </w:trPr>
        <w:tc>
          <w:tcPr>
            <w:tcW w:w="1356" w:type="dxa"/>
            <w:shd w:val="clear" w:color="auto" w:fill="BEBEBE"/>
          </w:tcPr>
          <w:p>
            <w:pPr>
              <w:pStyle w:val="TableParagraph"/>
              <w:ind w:left="67"/>
              <w:rPr>
                <w:b/>
                <w:sz w:val="20"/>
              </w:rPr>
            </w:pPr>
            <w:r>
              <w:rPr>
                <w:b/>
                <w:sz w:val="20"/>
              </w:rPr>
              <w:t>Date</w:t>
            </w:r>
          </w:p>
        </w:tc>
        <w:tc>
          <w:tcPr>
            <w:tcW w:w="1243" w:type="dxa"/>
            <w:shd w:val="clear" w:color="auto" w:fill="BEBEBE"/>
          </w:tcPr>
          <w:p>
            <w:pPr>
              <w:pStyle w:val="TableParagraph"/>
              <w:ind w:left="67"/>
              <w:rPr>
                <w:b/>
                <w:sz w:val="20"/>
              </w:rPr>
            </w:pPr>
            <w:r>
              <w:rPr>
                <w:b/>
                <w:sz w:val="20"/>
              </w:rPr>
              <w:t>Location</w:t>
            </w:r>
          </w:p>
        </w:tc>
        <w:tc>
          <w:tcPr>
            <w:tcW w:w="1664" w:type="dxa"/>
            <w:shd w:val="clear" w:color="auto" w:fill="BEBEBE"/>
          </w:tcPr>
          <w:p>
            <w:pPr>
              <w:pStyle w:val="TableParagraph"/>
              <w:ind w:left="67"/>
              <w:rPr>
                <w:b/>
                <w:sz w:val="20"/>
              </w:rPr>
            </w:pPr>
            <w:r>
              <w:rPr>
                <w:b/>
                <w:sz w:val="20"/>
              </w:rPr>
              <w:t>Coordinates</w:t>
            </w:r>
          </w:p>
        </w:tc>
        <w:tc>
          <w:tcPr>
            <w:tcW w:w="1944" w:type="dxa"/>
            <w:shd w:val="clear" w:color="auto" w:fill="BEBEBE"/>
          </w:tcPr>
          <w:p>
            <w:pPr>
              <w:pStyle w:val="TableParagraph"/>
              <w:ind w:left="67"/>
              <w:rPr>
                <w:b/>
                <w:sz w:val="20"/>
              </w:rPr>
            </w:pPr>
            <w:r>
              <w:rPr>
                <w:b/>
                <w:sz w:val="20"/>
              </w:rPr>
              <w:t>No. of Participants</w:t>
            </w:r>
          </w:p>
        </w:tc>
        <w:tc>
          <w:tcPr>
            <w:tcW w:w="4589" w:type="dxa"/>
            <w:shd w:val="clear" w:color="auto" w:fill="BEBEBE"/>
          </w:tcPr>
          <w:p>
            <w:pPr>
              <w:pStyle w:val="TableParagraph"/>
              <w:ind w:left="67"/>
              <w:rPr>
                <w:b/>
                <w:sz w:val="20"/>
              </w:rPr>
            </w:pPr>
            <w:r>
              <w:rPr>
                <w:b/>
                <w:sz w:val="20"/>
              </w:rPr>
              <w:t>Key Observations/Concerns</w:t>
            </w:r>
          </w:p>
        </w:tc>
        <w:tc>
          <w:tcPr>
            <w:tcW w:w="2861" w:type="dxa"/>
            <w:shd w:val="clear" w:color="auto" w:fill="BEBEBE"/>
          </w:tcPr>
          <w:p>
            <w:pPr>
              <w:pStyle w:val="TableParagraph"/>
              <w:ind w:left="67"/>
              <w:rPr>
                <w:b/>
                <w:sz w:val="20"/>
              </w:rPr>
            </w:pPr>
            <w:r>
              <w:rPr>
                <w:b/>
                <w:sz w:val="20"/>
              </w:rPr>
              <w:t>Response</w:t>
            </w:r>
          </w:p>
        </w:tc>
      </w:tr>
      <w:tr>
        <w:trPr>
          <w:trHeight w:val="1741" w:hRule="exact"/>
        </w:trPr>
        <w:tc>
          <w:tcPr>
            <w:tcW w:w="1356" w:type="dxa"/>
            <w:vMerge w:val="restart"/>
          </w:tcPr>
          <w:p>
            <w:pPr/>
          </w:p>
        </w:tc>
        <w:tc>
          <w:tcPr>
            <w:tcW w:w="1243" w:type="dxa"/>
            <w:vMerge w:val="restart"/>
          </w:tcPr>
          <w:p>
            <w:pPr/>
          </w:p>
        </w:tc>
        <w:tc>
          <w:tcPr>
            <w:tcW w:w="1664" w:type="dxa"/>
            <w:vMerge w:val="restart"/>
          </w:tcPr>
          <w:p>
            <w:pPr/>
          </w:p>
        </w:tc>
        <w:tc>
          <w:tcPr>
            <w:tcW w:w="1944" w:type="dxa"/>
            <w:vMerge w:val="restart"/>
          </w:tcPr>
          <w:p>
            <w:pPr/>
          </w:p>
        </w:tc>
        <w:tc>
          <w:tcPr>
            <w:tcW w:w="4589" w:type="dxa"/>
            <w:tcBorders>
              <w:bottom w:val="dotted" w:sz="4" w:space="0" w:color="000000"/>
            </w:tcBorders>
          </w:tcPr>
          <w:p>
            <w:pPr>
              <w:pStyle w:val="TableParagraph"/>
              <w:ind w:left="67" w:right="63"/>
              <w:jc w:val="both"/>
              <w:rPr>
                <w:sz w:val="20"/>
              </w:rPr>
            </w:pPr>
            <w:r>
              <w:rPr>
                <w:sz w:val="20"/>
              </w:rPr>
              <w:t>If fares of BRT are more than local buses, this will not be an issue as the BRT will be more comfortable</w:t>
            </w:r>
            <w:r>
              <w:rPr>
                <w:spacing w:val="-7"/>
                <w:sz w:val="20"/>
              </w:rPr>
              <w:t> </w:t>
            </w:r>
            <w:r>
              <w:rPr>
                <w:sz w:val="20"/>
              </w:rPr>
              <w:t>and</w:t>
            </w:r>
            <w:r>
              <w:rPr>
                <w:spacing w:val="-7"/>
                <w:sz w:val="20"/>
              </w:rPr>
              <w:t> </w:t>
            </w:r>
            <w:r>
              <w:rPr>
                <w:sz w:val="20"/>
              </w:rPr>
              <w:t>safer</w:t>
            </w:r>
            <w:r>
              <w:rPr>
                <w:spacing w:val="-5"/>
                <w:sz w:val="20"/>
              </w:rPr>
              <w:t> </w:t>
            </w:r>
            <w:r>
              <w:rPr>
                <w:sz w:val="20"/>
              </w:rPr>
              <w:t>as</w:t>
            </w:r>
            <w:r>
              <w:rPr>
                <w:spacing w:val="-6"/>
                <w:sz w:val="20"/>
              </w:rPr>
              <w:t> </w:t>
            </w:r>
            <w:r>
              <w:rPr>
                <w:sz w:val="20"/>
              </w:rPr>
              <w:t>compared</w:t>
            </w:r>
            <w:r>
              <w:rPr>
                <w:spacing w:val="-7"/>
                <w:sz w:val="20"/>
              </w:rPr>
              <w:t> </w:t>
            </w:r>
            <w:r>
              <w:rPr>
                <w:sz w:val="20"/>
              </w:rPr>
              <w:t>to</w:t>
            </w:r>
            <w:r>
              <w:rPr>
                <w:spacing w:val="-7"/>
                <w:sz w:val="20"/>
              </w:rPr>
              <w:t> </w:t>
            </w:r>
            <w:r>
              <w:rPr>
                <w:sz w:val="20"/>
              </w:rPr>
              <w:t>local</w:t>
            </w:r>
            <w:r>
              <w:rPr>
                <w:spacing w:val="-8"/>
                <w:sz w:val="20"/>
              </w:rPr>
              <w:t> </w:t>
            </w:r>
            <w:r>
              <w:rPr>
                <w:sz w:val="20"/>
              </w:rPr>
              <w:t>buses.</w:t>
            </w:r>
          </w:p>
        </w:tc>
        <w:tc>
          <w:tcPr>
            <w:tcW w:w="2861" w:type="dxa"/>
            <w:tcBorders>
              <w:bottom w:val="dotted" w:sz="4" w:space="0" w:color="000000"/>
            </w:tcBorders>
          </w:tcPr>
          <w:p>
            <w:pPr>
              <w:pStyle w:val="TableParagraph"/>
              <w:ind w:left="67" w:right="65"/>
              <w:jc w:val="both"/>
              <w:rPr>
                <w:sz w:val="20"/>
              </w:rPr>
            </w:pPr>
            <w:r>
              <w:rPr>
                <w:sz w:val="20"/>
              </w:rPr>
              <w:t>In Islamabad/Rawalpindi, the fares are 20/person as government is giving subsidy for metro bus. As government is facing financial constraints so the fares can be increased to avoid subsidy.</w:t>
            </w:r>
          </w:p>
        </w:tc>
      </w:tr>
      <w:tr>
        <w:trPr>
          <w:trHeight w:val="821" w:hRule="exact"/>
        </w:trPr>
        <w:tc>
          <w:tcPr>
            <w:tcW w:w="1356" w:type="dxa"/>
            <w:vMerge/>
          </w:tcPr>
          <w:p>
            <w:pPr/>
          </w:p>
        </w:tc>
        <w:tc>
          <w:tcPr>
            <w:tcW w:w="1243" w:type="dxa"/>
            <w:vMerge/>
          </w:tcPr>
          <w:p>
            <w:pPr/>
          </w:p>
        </w:tc>
        <w:tc>
          <w:tcPr>
            <w:tcW w:w="1664" w:type="dxa"/>
            <w:vMerge/>
          </w:tcPr>
          <w:p>
            <w:pPr/>
          </w:p>
        </w:tc>
        <w:tc>
          <w:tcPr>
            <w:tcW w:w="1944" w:type="dxa"/>
            <w:vMerge/>
          </w:tcPr>
          <w:p>
            <w:pPr/>
          </w:p>
        </w:tc>
        <w:tc>
          <w:tcPr>
            <w:tcW w:w="4589" w:type="dxa"/>
            <w:tcBorders>
              <w:top w:val="dotted" w:sz="4" w:space="0" w:color="000000"/>
              <w:bottom w:val="dotted" w:sz="4" w:space="0" w:color="000000"/>
            </w:tcBorders>
          </w:tcPr>
          <w:p>
            <w:pPr>
              <w:pStyle w:val="TableParagraph"/>
              <w:ind w:left="67" w:right="69"/>
              <w:jc w:val="both"/>
              <w:rPr>
                <w:sz w:val="20"/>
              </w:rPr>
            </w:pPr>
            <w:r>
              <w:rPr>
                <w:sz w:val="20"/>
              </w:rPr>
              <w:t>Parking areas should be constructed at every</w:t>
            </w:r>
            <w:r>
              <w:rPr>
                <w:spacing w:val="-38"/>
                <w:sz w:val="20"/>
              </w:rPr>
              <w:t> </w:t>
            </w:r>
            <w:r>
              <w:rPr>
                <w:sz w:val="20"/>
              </w:rPr>
              <w:t>BRT station, so people can park their vehicles at BRT station to travel further on</w:t>
            </w:r>
            <w:r>
              <w:rPr>
                <w:spacing w:val="-6"/>
                <w:sz w:val="20"/>
              </w:rPr>
              <w:t> </w:t>
            </w:r>
            <w:r>
              <w:rPr>
                <w:sz w:val="20"/>
              </w:rPr>
              <w:t>BRT.</w:t>
            </w:r>
          </w:p>
        </w:tc>
        <w:tc>
          <w:tcPr>
            <w:tcW w:w="2861" w:type="dxa"/>
            <w:tcBorders>
              <w:top w:val="dotted" w:sz="4" w:space="0" w:color="000000"/>
              <w:bottom w:val="dotted" w:sz="4" w:space="0" w:color="000000"/>
            </w:tcBorders>
          </w:tcPr>
          <w:p>
            <w:pPr>
              <w:pStyle w:val="TableParagraph"/>
              <w:ind w:left="67"/>
              <w:rPr>
                <w:sz w:val="20"/>
              </w:rPr>
            </w:pPr>
            <w:r>
              <w:rPr>
                <w:sz w:val="20"/>
              </w:rPr>
              <w:t>Noted.</w:t>
            </w:r>
          </w:p>
        </w:tc>
      </w:tr>
      <w:tr>
        <w:trPr>
          <w:trHeight w:val="818" w:hRule="exact"/>
        </w:trPr>
        <w:tc>
          <w:tcPr>
            <w:tcW w:w="1356" w:type="dxa"/>
            <w:vMerge/>
          </w:tcPr>
          <w:p>
            <w:pPr/>
          </w:p>
        </w:tc>
        <w:tc>
          <w:tcPr>
            <w:tcW w:w="1243" w:type="dxa"/>
            <w:vMerge/>
          </w:tcPr>
          <w:p>
            <w:pPr/>
          </w:p>
        </w:tc>
        <w:tc>
          <w:tcPr>
            <w:tcW w:w="1664" w:type="dxa"/>
            <w:vMerge/>
          </w:tcPr>
          <w:p>
            <w:pPr/>
          </w:p>
        </w:tc>
        <w:tc>
          <w:tcPr>
            <w:tcW w:w="1944" w:type="dxa"/>
            <w:vMerge/>
          </w:tcPr>
          <w:p>
            <w:pPr/>
          </w:p>
        </w:tc>
        <w:tc>
          <w:tcPr>
            <w:tcW w:w="4589" w:type="dxa"/>
            <w:tcBorders>
              <w:top w:val="dotted" w:sz="4" w:space="0" w:color="000000"/>
            </w:tcBorders>
          </w:tcPr>
          <w:p>
            <w:pPr>
              <w:pStyle w:val="TableParagraph"/>
              <w:ind w:left="67" w:right="65"/>
              <w:jc w:val="both"/>
              <w:rPr>
                <w:sz w:val="20"/>
              </w:rPr>
            </w:pPr>
            <w:r>
              <w:rPr>
                <w:sz w:val="20"/>
              </w:rPr>
              <w:t>As Karachi is populated area and people use</w:t>
            </w:r>
            <w:r>
              <w:rPr>
                <w:spacing w:val="-15"/>
                <w:sz w:val="20"/>
              </w:rPr>
              <w:t> </w:t>
            </w:r>
            <w:r>
              <w:rPr>
                <w:sz w:val="20"/>
              </w:rPr>
              <w:t>local transport</w:t>
            </w:r>
            <w:r>
              <w:rPr>
                <w:spacing w:val="-8"/>
                <w:sz w:val="20"/>
              </w:rPr>
              <w:t> </w:t>
            </w:r>
            <w:r>
              <w:rPr>
                <w:sz w:val="20"/>
              </w:rPr>
              <w:t>to</w:t>
            </w:r>
            <w:r>
              <w:rPr>
                <w:spacing w:val="-8"/>
                <w:sz w:val="20"/>
              </w:rPr>
              <w:t> </w:t>
            </w:r>
            <w:r>
              <w:rPr>
                <w:sz w:val="20"/>
              </w:rPr>
              <w:t>travel.</w:t>
            </w:r>
            <w:r>
              <w:rPr>
                <w:spacing w:val="-8"/>
                <w:sz w:val="20"/>
              </w:rPr>
              <w:t> </w:t>
            </w:r>
            <w:r>
              <w:rPr>
                <w:sz w:val="20"/>
              </w:rPr>
              <w:t>The</w:t>
            </w:r>
            <w:r>
              <w:rPr>
                <w:spacing w:val="-8"/>
                <w:sz w:val="20"/>
              </w:rPr>
              <w:t> </w:t>
            </w:r>
            <w:r>
              <w:rPr>
                <w:sz w:val="20"/>
              </w:rPr>
              <w:t>BRT</w:t>
            </w:r>
            <w:r>
              <w:rPr>
                <w:spacing w:val="-5"/>
                <w:sz w:val="20"/>
              </w:rPr>
              <w:t> </w:t>
            </w:r>
            <w:r>
              <w:rPr>
                <w:sz w:val="20"/>
              </w:rPr>
              <w:t>will</w:t>
            </w:r>
            <w:r>
              <w:rPr>
                <w:spacing w:val="-9"/>
                <w:sz w:val="20"/>
              </w:rPr>
              <w:t> </w:t>
            </w:r>
            <w:r>
              <w:rPr>
                <w:sz w:val="20"/>
              </w:rPr>
              <w:t>be</w:t>
            </w:r>
            <w:r>
              <w:rPr>
                <w:spacing w:val="-8"/>
                <w:sz w:val="20"/>
              </w:rPr>
              <w:t> </w:t>
            </w:r>
            <w:r>
              <w:rPr>
                <w:sz w:val="20"/>
              </w:rPr>
              <w:t>more</w:t>
            </w:r>
            <w:r>
              <w:rPr>
                <w:spacing w:val="-7"/>
                <w:sz w:val="20"/>
              </w:rPr>
              <w:t> </w:t>
            </w:r>
            <w:r>
              <w:rPr>
                <w:sz w:val="20"/>
              </w:rPr>
              <w:t>beneficial for the people, if it runs 24</w:t>
            </w:r>
            <w:r>
              <w:rPr>
                <w:spacing w:val="-11"/>
                <w:sz w:val="20"/>
              </w:rPr>
              <w:t> </w:t>
            </w:r>
            <w:r>
              <w:rPr>
                <w:sz w:val="20"/>
              </w:rPr>
              <w:t>hours.</w:t>
            </w:r>
          </w:p>
        </w:tc>
        <w:tc>
          <w:tcPr>
            <w:tcW w:w="2861" w:type="dxa"/>
            <w:tcBorders>
              <w:top w:val="dotted" w:sz="4" w:space="0" w:color="000000"/>
            </w:tcBorders>
          </w:tcPr>
          <w:p>
            <w:pPr>
              <w:pStyle w:val="TableParagraph"/>
              <w:ind w:left="67"/>
              <w:rPr>
                <w:sz w:val="20"/>
              </w:rPr>
            </w:pPr>
            <w:r>
              <w:rPr>
                <w:sz w:val="20"/>
              </w:rPr>
              <w:t>Noted.</w:t>
            </w:r>
          </w:p>
        </w:tc>
      </w:tr>
      <w:tr>
        <w:trPr>
          <w:trHeight w:val="360" w:hRule="exact"/>
        </w:trPr>
        <w:tc>
          <w:tcPr>
            <w:tcW w:w="1356" w:type="dxa"/>
            <w:vMerge w:val="restart"/>
          </w:tcPr>
          <w:p>
            <w:pPr>
              <w:pStyle w:val="TableParagraph"/>
              <w:ind w:left="67"/>
              <w:rPr>
                <w:sz w:val="20"/>
              </w:rPr>
            </w:pPr>
            <w:r>
              <w:rPr>
                <w:sz w:val="20"/>
              </w:rPr>
              <w:t>Feb 11, 2019</w:t>
            </w:r>
          </w:p>
        </w:tc>
        <w:tc>
          <w:tcPr>
            <w:tcW w:w="1243" w:type="dxa"/>
            <w:vMerge w:val="restart"/>
          </w:tcPr>
          <w:p>
            <w:pPr>
              <w:pStyle w:val="TableParagraph"/>
              <w:ind w:left="400" w:right="278" w:hanging="99"/>
              <w:rPr>
                <w:sz w:val="20"/>
              </w:rPr>
            </w:pPr>
            <w:r>
              <w:rPr>
                <w:sz w:val="20"/>
              </w:rPr>
              <w:t>Sharafi</w:t>
            </w:r>
            <w:r>
              <w:rPr>
                <w:w w:val="99"/>
                <w:sz w:val="20"/>
              </w:rPr>
              <w:t> </w:t>
            </w:r>
            <w:r>
              <w:rPr>
                <w:sz w:val="20"/>
              </w:rPr>
              <w:t>Goth</w:t>
            </w:r>
          </w:p>
        </w:tc>
        <w:tc>
          <w:tcPr>
            <w:tcW w:w="1664" w:type="dxa"/>
            <w:vMerge w:val="restart"/>
          </w:tcPr>
          <w:p>
            <w:pPr>
              <w:pStyle w:val="TableParagraph"/>
              <w:ind w:left="268"/>
              <w:rPr>
                <w:sz w:val="20"/>
              </w:rPr>
            </w:pPr>
            <w:r>
              <w:rPr>
                <w:sz w:val="20"/>
              </w:rPr>
              <w:t>N 24</w:t>
            </w:r>
            <w:r>
              <w:rPr>
                <w:color w:val="212121"/>
                <w:sz w:val="20"/>
              </w:rPr>
              <w:t>°</w:t>
            </w:r>
            <w:r>
              <w:rPr>
                <w:sz w:val="20"/>
              </w:rPr>
              <w:t>51.139</w:t>
            </w:r>
          </w:p>
          <w:p>
            <w:pPr>
              <w:pStyle w:val="TableParagraph"/>
              <w:spacing w:before="0"/>
              <w:ind w:left="273"/>
              <w:rPr>
                <w:sz w:val="20"/>
              </w:rPr>
            </w:pPr>
            <w:r>
              <w:rPr>
                <w:sz w:val="20"/>
              </w:rPr>
              <w:t>E 67</w:t>
            </w:r>
            <w:r>
              <w:rPr>
                <w:color w:val="212121"/>
                <w:sz w:val="20"/>
              </w:rPr>
              <w:t>°</w:t>
            </w:r>
            <w:r>
              <w:rPr>
                <w:sz w:val="20"/>
              </w:rPr>
              <w:t>10.094</w:t>
            </w:r>
          </w:p>
        </w:tc>
        <w:tc>
          <w:tcPr>
            <w:tcW w:w="1944" w:type="dxa"/>
            <w:vMerge w:val="restart"/>
          </w:tcPr>
          <w:p>
            <w:pPr>
              <w:pStyle w:val="TableParagraph"/>
              <w:ind w:left="79" w:right="81"/>
              <w:jc w:val="center"/>
              <w:rPr>
                <w:sz w:val="20"/>
              </w:rPr>
            </w:pPr>
            <w:r>
              <w:rPr>
                <w:sz w:val="20"/>
              </w:rPr>
              <w:t>1.   12</w:t>
            </w:r>
          </w:p>
        </w:tc>
        <w:tc>
          <w:tcPr>
            <w:tcW w:w="4589" w:type="dxa"/>
            <w:tcBorders>
              <w:bottom w:val="dotted" w:sz="4" w:space="0" w:color="000000"/>
            </w:tcBorders>
          </w:tcPr>
          <w:p>
            <w:pPr>
              <w:pStyle w:val="TableParagraph"/>
              <w:ind w:left="67"/>
              <w:rPr>
                <w:sz w:val="20"/>
              </w:rPr>
            </w:pPr>
            <w:r>
              <w:rPr>
                <w:sz w:val="20"/>
              </w:rPr>
              <w:t>The BRT Project is the need of time.</w:t>
            </w:r>
          </w:p>
        </w:tc>
        <w:tc>
          <w:tcPr>
            <w:tcW w:w="2861" w:type="dxa"/>
            <w:tcBorders>
              <w:bottom w:val="dotted" w:sz="4" w:space="0" w:color="000000"/>
            </w:tcBorders>
          </w:tcPr>
          <w:p>
            <w:pPr>
              <w:pStyle w:val="TableParagraph"/>
              <w:ind w:left="67"/>
              <w:rPr>
                <w:sz w:val="20"/>
              </w:rPr>
            </w:pPr>
            <w:r>
              <w:rPr>
                <w:sz w:val="20"/>
              </w:rPr>
              <w:t>Noted.</w:t>
            </w:r>
          </w:p>
        </w:tc>
      </w:tr>
      <w:tr>
        <w:trPr>
          <w:trHeight w:val="591" w:hRule="exact"/>
        </w:trPr>
        <w:tc>
          <w:tcPr>
            <w:tcW w:w="1356" w:type="dxa"/>
            <w:vMerge/>
          </w:tcPr>
          <w:p>
            <w:pPr/>
          </w:p>
        </w:tc>
        <w:tc>
          <w:tcPr>
            <w:tcW w:w="1243" w:type="dxa"/>
            <w:vMerge/>
          </w:tcPr>
          <w:p>
            <w:pPr/>
          </w:p>
        </w:tc>
        <w:tc>
          <w:tcPr>
            <w:tcW w:w="1664" w:type="dxa"/>
            <w:vMerge/>
          </w:tcPr>
          <w:p>
            <w:pPr/>
          </w:p>
        </w:tc>
        <w:tc>
          <w:tcPr>
            <w:tcW w:w="1944" w:type="dxa"/>
            <w:vMerge/>
          </w:tcPr>
          <w:p>
            <w:pPr/>
          </w:p>
        </w:tc>
        <w:tc>
          <w:tcPr>
            <w:tcW w:w="4589" w:type="dxa"/>
            <w:tcBorders>
              <w:top w:val="dotted" w:sz="4" w:space="0" w:color="000000"/>
              <w:bottom w:val="dotted" w:sz="4" w:space="0" w:color="000000"/>
            </w:tcBorders>
          </w:tcPr>
          <w:p>
            <w:pPr>
              <w:pStyle w:val="TableParagraph"/>
              <w:spacing w:before="60"/>
              <w:ind w:left="67"/>
              <w:rPr>
                <w:sz w:val="20"/>
              </w:rPr>
            </w:pPr>
            <w:r>
              <w:rPr>
                <w:sz w:val="20"/>
              </w:rPr>
              <w:t>If BRT Project is executed, it would be very beneficial for the Karachi.</w:t>
            </w:r>
          </w:p>
        </w:tc>
        <w:tc>
          <w:tcPr>
            <w:tcW w:w="2861" w:type="dxa"/>
            <w:tcBorders>
              <w:top w:val="dotted" w:sz="4" w:space="0" w:color="000000"/>
              <w:bottom w:val="dotted" w:sz="4" w:space="0" w:color="000000"/>
            </w:tcBorders>
          </w:tcPr>
          <w:p>
            <w:pPr>
              <w:pStyle w:val="TableParagraph"/>
              <w:spacing w:before="60"/>
              <w:ind w:left="67"/>
              <w:rPr>
                <w:sz w:val="20"/>
              </w:rPr>
            </w:pPr>
            <w:r>
              <w:rPr>
                <w:sz w:val="20"/>
              </w:rPr>
              <w:t>Noted.</w:t>
            </w:r>
          </w:p>
        </w:tc>
      </w:tr>
      <w:tr>
        <w:trPr>
          <w:trHeight w:val="821" w:hRule="exact"/>
        </w:trPr>
        <w:tc>
          <w:tcPr>
            <w:tcW w:w="1356" w:type="dxa"/>
            <w:vMerge/>
          </w:tcPr>
          <w:p>
            <w:pPr/>
          </w:p>
        </w:tc>
        <w:tc>
          <w:tcPr>
            <w:tcW w:w="1243" w:type="dxa"/>
            <w:vMerge/>
          </w:tcPr>
          <w:p>
            <w:pPr/>
          </w:p>
        </w:tc>
        <w:tc>
          <w:tcPr>
            <w:tcW w:w="1664" w:type="dxa"/>
            <w:vMerge/>
          </w:tcPr>
          <w:p>
            <w:pPr/>
          </w:p>
        </w:tc>
        <w:tc>
          <w:tcPr>
            <w:tcW w:w="1944" w:type="dxa"/>
            <w:vMerge/>
          </w:tcPr>
          <w:p>
            <w:pPr/>
          </w:p>
        </w:tc>
        <w:tc>
          <w:tcPr>
            <w:tcW w:w="4589" w:type="dxa"/>
            <w:tcBorders>
              <w:top w:val="dotted" w:sz="4" w:space="0" w:color="000000"/>
              <w:bottom w:val="dotted" w:sz="4" w:space="0" w:color="000000"/>
            </w:tcBorders>
          </w:tcPr>
          <w:p>
            <w:pPr>
              <w:pStyle w:val="TableParagraph"/>
              <w:ind w:left="67" w:right="68"/>
              <w:jc w:val="both"/>
              <w:rPr>
                <w:sz w:val="20"/>
              </w:rPr>
            </w:pPr>
            <w:r>
              <w:rPr>
                <w:sz w:val="20"/>
              </w:rPr>
              <w:t>People are not happy with the existing transportation system and are compelled to use bikes and local overcrowded buses.</w:t>
            </w:r>
          </w:p>
        </w:tc>
        <w:tc>
          <w:tcPr>
            <w:tcW w:w="2861" w:type="dxa"/>
            <w:tcBorders>
              <w:top w:val="dotted" w:sz="4" w:space="0" w:color="000000"/>
              <w:bottom w:val="dotted" w:sz="4" w:space="0" w:color="000000"/>
            </w:tcBorders>
          </w:tcPr>
          <w:p>
            <w:pPr>
              <w:pStyle w:val="TableParagraph"/>
              <w:ind w:left="67"/>
              <w:rPr>
                <w:sz w:val="20"/>
              </w:rPr>
            </w:pPr>
            <w:r>
              <w:rPr>
                <w:sz w:val="20"/>
              </w:rPr>
              <w:t>Noted.</w:t>
            </w:r>
          </w:p>
        </w:tc>
      </w:tr>
      <w:tr>
        <w:trPr>
          <w:trHeight w:val="818" w:hRule="exact"/>
        </w:trPr>
        <w:tc>
          <w:tcPr>
            <w:tcW w:w="1356" w:type="dxa"/>
            <w:vMerge/>
          </w:tcPr>
          <w:p>
            <w:pPr/>
          </w:p>
        </w:tc>
        <w:tc>
          <w:tcPr>
            <w:tcW w:w="1243" w:type="dxa"/>
            <w:vMerge/>
          </w:tcPr>
          <w:p>
            <w:pPr/>
          </w:p>
        </w:tc>
        <w:tc>
          <w:tcPr>
            <w:tcW w:w="1664" w:type="dxa"/>
            <w:vMerge/>
          </w:tcPr>
          <w:p>
            <w:pPr/>
          </w:p>
        </w:tc>
        <w:tc>
          <w:tcPr>
            <w:tcW w:w="1944" w:type="dxa"/>
            <w:vMerge/>
          </w:tcPr>
          <w:p>
            <w:pPr/>
          </w:p>
        </w:tc>
        <w:tc>
          <w:tcPr>
            <w:tcW w:w="4589" w:type="dxa"/>
            <w:tcBorders>
              <w:top w:val="dotted" w:sz="4" w:space="0" w:color="000000"/>
              <w:bottom w:val="dotted" w:sz="4" w:space="0" w:color="000000"/>
            </w:tcBorders>
          </w:tcPr>
          <w:p>
            <w:pPr>
              <w:pStyle w:val="TableParagraph"/>
              <w:ind w:left="67" w:right="68"/>
              <w:jc w:val="both"/>
              <w:rPr>
                <w:sz w:val="20"/>
              </w:rPr>
            </w:pPr>
            <w:r>
              <w:rPr>
                <w:sz w:val="20"/>
              </w:rPr>
              <w:t>Dawood</w:t>
            </w:r>
            <w:r>
              <w:rPr>
                <w:spacing w:val="-15"/>
                <w:sz w:val="20"/>
              </w:rPr>
              <w:t> </w:t>
            </w:r>
            <w:r>
              <w:rPr>
                <w:sz w:val="20"/>
              </w:rPr>
              <w:t>Chowrangi</w:t>
            </w:r>
            <w:r>
              <w:rPr>
                <w:spacing w:val="-15"/>
                <w:sz w:val="20"/>
              </w:rPr>
              <w:t> </w:t>
            </w:r>
            <w:r>
              <w:rPr>
                <w:sz w:val="20"/>
              </w:rPr>
              <w:t>to</w:t>
            </w:r>
            <w:r>
              <w:rPr>
                <w:spacing w:val="-15"/>
                <w:sz w:val="20"/>
              </w:rPr>
              <w:t> </w:t>
            </w:r>
            <w:r>
              <w:rPr>
                <w:sz w:val="20"/>
              </w:rPr>
              <w:t>Future</w:t>
            </w:r>
            <w:r>
              <w:rPr>
                <w:spacing w:val="-15"/>
                <w:sz w:val="20"/>
              </w:rPr>
              <w:t> </w:t>
            </w:r>
            <w:r>
              <w:rPr>
                <w:sz w:val="20"/>
              </w:rPr>
              <w:t>colony</w:t>
            </w:r>
            <w:r>
              <w:rPr>
                <w:spacing w:val="-18"/>
                <w:sz w:val="20"/>
              </w:rPr>
              <w:t> </w:t>
            </w:r>
            <w:r>
              <w:rPr>
                <w:sz w:val="20"/>
              </w:rPr>
              <w:t>existing</w:t>
            </w:r>
            <w:r>
              <w:rPr>
                <w:spacing w:val="-16"/>
                <w:sz w:val="20"/>
              </w:rPr>
              <w:t> </w:t>
            </w:r>
            <w:r>
              <w:rPr>
                <w:sz w:val="20"/>
              </w:rPr>
              <w:t>roads are very narrow and in bad shape. The existing roads need to be carpeted</w:t>
            </w:r>
            <w:r>
              <w:rPr>
                <w:spacing w:val="-11"/>
                <w:sz w:val="20"/>
              </w:rPr>
              <w:t> </w:t>
            </w:r>
            <w:r>
              <w:rPr>
                <w:sz w:val="20"/>
              </w:rPr>
              <w:t>first.</w:t>
            </w:r>
          </w:p>
        </w:tc>
        <w:tc>
          <w:tcPr>
            <w:tcW w:w="2861" w:type="dxa"/>
            <w:tcBorders>
              <w:top w:val="dotted" w:sz="4" w:space="0" w:color="000000"/>
              <w:bottom w:val="dotted" w:sz="4" w:space="0" w:color="000000"/>
            </w:tcBorders>
          </w:tcPr>
          <w:p>
            <w:pPr>
              <w:pStyle w:val="TableParagraph"/>
              <w:ind w:left="67" w:right="69"/>
              <w:jc w:val="both"/>
              <w:rPr>
                <w:sz w:val="20"/>
              </w:rPr>
            </w:pPr>
            <w:r>
              <w:rPr>
                <w:sz w:val="20"/>
              </w:rPr>
              <w:t>Before the execution of BRT Project, the existing roads will be carpeted.</w:t>
            </w:r>
          </w:p>
        </w:tc>
      </w:tr>
      <w:tr>
        <w:trPr>
          <w:trHeight w:val="591" w:hRule="exact"/>
        </w:trPr>
        <w:tc>
          <w:tcPr>
            <w:tcW w:w="1356" w:type="dxa"/>
            <w:vMerge/>
          </w:tcPr>
          <w:p>
            <w:pPr/>
          </w:p>
        </w:tc>
        <w:tc>
          <w:tcPr>
            <w:tcW w:w="1243" w:type="dxa"/>
            <w:vMerge/>
          </w:tcPr>
          <w:p>
            <w:pPr/>
          </w:p>
        </w:tc>
        <w:tc>
          <w:tcPr>
            <w:tcW w:w="1664" w:type="dxa"/>
            <w:vMerge/>
          </w:tcPr>
          <w:p>
            <w:pPr/>
          </w:p>
        </w:tc>
        <w:tc>
          <w:tcPr>
            <w:tcW w:w="1944" w:type="dxa"/>
            <w:vMerge/>
          </w:tcPr>
          <w:p>
            <w:pPr/>
          </w:p>
        </w:tc>
        <w:tc>
          <w:tcPr>
            <w:tcW w:w="4589" w:type="dxa"/>
            <w:tcBorders>
              <w:top w:val="dotted" w:sz="4" w:space="0" w:color="000000"/>
            </w:tcBorders>
          </w:tcPr>
          <w:p>
            <w:pPr>
              <w:pStyle w:val="TableParagraph"/>
              <w:ind w:left="67"/>
              <w:rPr>
                <w:sz w:val="20"/>
              </w:rPr>
            </w:pPr>
            <w:r>
              <w:rPr>
                <w:sz w:val="20"/>
              </w:rPr>
              <w:t>The staff of the existing buses does not have manners and misbehaved with riders.</w:t>
            </w:r>
          </w:p>
        </w:tc>
        <w:tc>
          <w:tcPr>
            <w:tcW w:w="2861" w:type="dxa"/>
            <w:tcBorders>
              <w:top w:val="dotted" w:sz="4" w:space="0" w:color="000000"/>
            </w:tcBorders>
          </w:tcPr>
          <w:p>
            <w:pPr>
              <w:pStyle w:val="TableParagraph"/>
              <w:ind w:left="67"/>
              <w:rPr>
                <w:sz w:val="20"/>
              </w:rPr>
            </w:pPr>
            <w:r>
              <w:rPr>
                <w:sz w:val="20"/>
              </w:rPr>
              <w:t>Noted.</w:t>
            </w:r>
          </w:p>
        </w:tc>
      </w:tr>
      <w:tr>
        <w:trPr>
          <w:trHeight w:val="590" w:hRule="exact"/>
        </w:trPr>
        <w:tc>
          <w:tcPr>
            <w:tcW w:w="1356" w:type="dxa"/>
            <w:vMerge w:val="restart"/>
          </w:tcPr>
          <w:p>
            <w:pPr>
              <w:pStyle w:val="TableParagraph"/>
              <w:ind w:left="67"/>
              <w:rPr>
                <w:sz w:val="20"/>
              </w:rPr>
            </w:pPr>
            <w:r>
              <w:rPr>
                <w:sz w:val="20"/>
              </w:rPr>
              <w:t>Feb 11, 2019</w:t>
            </w:r>
          </w:p>
        </w:tc>
        <w:tc>
          <w:tcPr>
            <w:tcW w:w="1243" w:type="dxa"/>
            <w:vMerge w:val="restart"/>
          </w:tcPr>
          <w:p>
            <w:pPr>
              <w:pStyle w:val="TableParagraph"/>
              <w:ind w:left="307" w:right="284" w:firstLine="21"/>
              <w:rPr>
                <w:sz w:val="20"/>
              </w:rPr>
            </w:pPr>
            <w:r>
              <w:rPr>
                <w:sz w:val="20"/>
              </w:rPr>
              <w:t>Future Colony</w:t>
            </w:r>
          </w:p>
        </w:tc>
        <w:tc>
          <w:tcPr>
            <w:tcW w:w="1664" w:type="dxa"/>
            <w:vMerge w:val="restart"/>
          </w:tcPr>
          <w:p>
            <w:pPr>
              <w:pStyle w:val="TableParagraph"/>
              <w:ind w:left="268"/>
              <w:rPr>
                <w:sz w:val="20"/>
              </w:rPr>
            </w:pPr>
            <w:r>
              <w:rPr>
                <w:sz w:val="20"/>
              </w:rPr>
              <w:t>N 24</w:t>
            </w:r>
            <w:r>
              <w:rPr>
                <w:color w:val="212121"/>
                <w:sz w:val="20"/>
              </w:rPr>
              <w:t>°</w:t>
            </w:r>
            <w:r>
              <w:rPr>
                <w:sz w:val="20"/>
              </w:rPr>
              <w:t>51.202</w:t>
            </w:r>
          </w:p>
          <w:p>
            <w:pPr>
              <w:pStyle w:val="TableParagraph"/>
              <w:spacing w:before="0"/>
              <w:ind w:left="273"/>
              <w:rPr>
                <w:sz w:val="20"/>
              </w:rPr>
            </w:pPr>
            <w:r>
              <w:rPr>
                <w:sz w:val="20"/>
              </w:rPr>
              <w:t>E 67</w:t>
            </w:r>
            <w:r>
              <w:rPr>
                <w:color w:val="212121"/>
                <w:sz w:val="20"/>
              </w:rPr>
              <w:t>°</w:t>
            </w:r>
            <w:r>
              <w:rPr>
                <w:sz w:val="20"/>
              </w:rPr>
              <w:t>12.033</w:t>
            </w:r>
          </w:p>
        </w:tc>
        <w:tc>
          <w:tcPr>
            <w:tcW w:w="1944" w:type="dxa"/>
            <w:vMerge w:val="restart"/>
          </w:tcPr>
          <w:p>
            <w:pPr>
              <w:pStyle w:val="TableParagraph"/>
              <w:ind w:left="79" w:right="81"/>
              <w:jc w:val="center"/>
              <w:rPr>
                <w:sz w:val="20"/>
              </w:rPr>
            </w:pPr>
            <w:r>
              <w:rPr>
                <w:sz w:val="20"/>
              </w:rPr>
              <w:t>1.   22</w:t>
            </w:r>
          </w:p>
        </w:tc>
        <w:tc>
          <w:tcPr>
            <w:tcW w:w="4589" w:type="dxa"/>
            <w:tcBorders>
              <w:bottom w:val="dotted" w:sz="4" w:space="0" w:color="000000"/>
            </w:tcBorders>
          </w:tcPr>
          <w:p>
            <w:pPr>
              <w:pStyle w:val="TableParagraph"/>
              <w:ind w:left="67"/>
              <w:rPr>
                <w:sz w:val="20"/>
              </w:rPr>
            </w:pPr>
            <w:r>
              <w:rPr>
                <w:sz w:val="20"/>
              </w:rPr>
              <w:t>The BRT is a good initiative for the people of Karachi.</w:t>
            </w:r>
          </w:p>
        </w:tc>
        <w:tc>
          <w:tcPr>
            <w:tcW w:w="2861" w:type="dxa"/>
            <w:tcBorders>
              <w:bottom w:val="dotted" w:sz="4" w:space="0" w:color="000000"/>
            </w:tcBorders>
          </w:tcPr>
          <w:p>
            <w:pPr>
              <w:pStyle w:val="TableParagraph"/>
              <w:ind w:left="67"/>
              <w:rPr>
                <w:sz w:val="20"/>
              </w:rPr>
            </w:pPr>
            <w:r>
              <w:rPr>
                <w:sz w:val="20"/>
              </w:rPr>
              <w:t>Noted.</w:t>
            </w:r>
          </w:p>
        </w:tc>
      </w:tr>
      <w:tr>
        <w:trPr>
          <w:trHeight w:val="590" w:hRule="exact"/>
        </w:trPr>
        <w:tc>
          <w:tcPr>
            <w:tcW w:w="1356" w:type="dxa"/>
            <w:vMerge/>
          </w:tcPr>
          <w:p>
            <w:pPr/>
          </w:p>
        </w:tc>
        <w:tc>
          <w:tcPr>
            <w:tcW w:w="1243" w:type="dxa"/>
            <w:vMerge/>
          </w:tcPr>
          <w:p>
            <w:pPr/>
          </w:p>
        </w:tc>
        <w:tc>
          <w:tcPr>
            <w:tcW w:w="1664" w:type="dxa"/>
            <w:vMerge/>
          </w:tcPr>
          <w:p>
            <w:pPr/>
          </w:p>
        </w:tc>
        <w:tc>
          <w:tcPr>
            <w:tcW w:w="1944" w:type="dxa"/>
            <w:vMerge/>
          </w:tcPr>
          <w:p>
            <w:pPr/>
          </w:p>
        </w:tc>
        <w:tc>
          <w:tcPr>
            <w:tcW w:w="4589" w:type="dxa"/>
            <w:tcBorders>
              <w:top w:val="dotted" w:sz="4" w:space="0" w:color="000000"/>
              <w:bottom w:val="dotted" w:sz="4" w:space="0" w:color="000000"/>
            </w:tcBorders>
          </w:tcPr>
          <w:p>
            <w:pPr>
              <w:pStyle w:val="TableParagraph"/>
              <w:ind w:left="67"/>
              <w:rPr>
                <w:sz w:val="20"/>
              </w:rPr>
            </w:pPr>
            <w:r>
              <w:rPr>
                <w:sz w:val="20"/>
              </w:rPr>
              <w:t>The BRT will be beneficial for elder people and women.</w:t>
            </w:r>
          </w:p>
        </w:tc>
        <w:tc>
          <w:tcPr>
            <w:tcW w:w="2861" w:type="dxa"/>
            <w:tcBorders>
              <w:top w:val="dotted" w:sz="4" w:space="0" w:color="000000"/>
              <w:bottom w:val="dotted" w:sz="4" w:space="0" w:color="000000"/>
            </w:tcBorders>
          </w:tcPr>
          <w:p>
            <w:pPr>
              <w:pStyle w:val="TableParagraph"/>
              <w:ind w:left="67"/>
              <w:rPr>
                <w:sz w:val="20"/>
              </w:rPr>
            </w:pPr>
            <w:r>
              <w:rPr>
                <w:sz w:val="20"/>
              </w:rPr>
              <w:t>Noted.</w:t>
            </w:r>
          </w:p>
        </w:tc>
      </w:tr>
      <w:tr>
        <w:trPr>
          <w:trHeight w:val="590" w:hRule="exact"/>
        </w:trPr>
        <w:tc>
          <w:tcPr>
            <w:tcW w:w="1356" w:type="dxa"/>
            <w:vMerge/>
          </w:tcPr>
          <w:p>
            <w:pPr/>
          </w:p>
        </w:tc>
        <w:tc>
          <w:tcPr>
            <w:tcW w:w="1243" w:type="dxa"/>
            <w:vMerge/>
          </w:tcPr>
          <w:p>
            <w:pPr/>
          </w:p>
        </w:tc>
        <w:tc>
          <w:tcPr>
            <w:tcW w:w="1664" w:type="dxa"/>
            <w:vMerge/>
          </w:tcPr>
          <w:p>
            <w:pPr/>
          </w:p>
        </w:tc>
        <w:tc>
          <w:tcPr>
            <w:tcW w:w="1944" w:type="dxa"/>
            <w:vMerge/>
          </w:tcPr>
          <w:p>
            <w:pPr/>
          </w:p>
        </w:tc>
        <w:tc>
          <w:tcPr>
            <w:tcW w:w="4589" w:type="dxa"/>
            <w:tcBorders>
              <w:top w:val="dotted" w:sz="4" w:space="0" w:color="000000"/>
            </w:tcBorders>
          </w:tcPr>
          <w:p>
            <w:pPr>
              <w:pStyle w:val="TableParagraph"/>
              <w:ind w:left="67"/>
              <w:rPr>
                <w:sz w:val="20"/>
              </w:rPr>
            </w:pPr>
            <w:r>
              <w:rPr>
                <w:sz w:val="20"/>
              </w:rPr>
              <w:t>The people will face difficulty in road crossing due to BRT route.</w:t>
            </w:r>
          </w:p>
        </w:tc>
        <w:tc>
          <w:tcPr>
            <w:tcW w:w="2861" w:type="dxa"/>
            <w:tcBorders>
              <w:top w:val="dotted" w:sz="4" w:space="0" w:color="000000"/>
            </w:tcBorders>
          </w:tcPr>
          <w:p>
            <w:pPr>
              <w:pStyle w:val="TableParagraph"/>
              <w:ind w:left="67"/>
              <w:rPr>
                <w:sz w:val="20"/>
              </w:rPr>
            </w:pPr>
            <w:r>
              <w:rPr>
                <w:sz w:val="20"/>
              </w:rPr>
              <w:t>For crossing the roads safely, bridges will be constructed.</w:t>
            </w:r>
          </w:p>
        </w:tc>
      </w:tr>
    </w:tbl>
    <w:p>
      <w:pPr>
        <w:spacing w:after="0"/>
        <w:rPr>
          <w:sz w:val="20"/>
        </w:rPr>
        <w:sectPr>
          <w:pgSz w:w="16840" w:h="11910" w:orient="landscape"/>
          <w:pgMar w:header="583" w:footer="575" w:top="840" w:bottom="760" w:left="860" w:right="12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6"/>
        </w:rPr>
      </w:pPr>
    </w:p>
    <w:tbl>
      <w:tblPr>
        <w:tblW w:w="0" w:type="auto"/>
        <w:jc w:val="left"/>
        <w:tblInd w:w="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6"/>
        <w:gridCol w:w="1243"/>
        <w:gridCol w:w="1664"/>
        <w:gridCol w:w="1944"/>
        <w:gridCol w:w="4589"/>
        <w:gridCol w:w="2861"/>
      </w:tblGrid>
      <w:tr>
        <w:trPr>
          <w:trHeight w:val="360" w:hRule="exact"/>
        </w:trPr>
        <w:tc>
          <w:tcPr>
            <w:tcW w:w="1356" w:type="dxa"/>
            <w:shd w:val="clear" w:color="auto" w:fill="BEBEBE"/>
          </w:tcPr>
          <w:p>
            <w:pPr>
              <w:pStyle w:val="TableParagraph"/>
              <w:ind w:left="67"/>
              <w:rPr>
                <w:b/>
                <w:sz w:val="20"/>
              </w:rPr>
            </w:pPr>
            <w:r>
              <w:rPr>
                <w:b/>
                <w:sz w:val="20"/>
              </w:rPr>
              <w:t>Date</w:t>
            </w:r>
          </w:p>
        </w:tc>
        <w:tc>
          <w:tcPr>
            <w:tcW w:w="1243" w:type="dxa"/>
            <w:shd w:val="clear" w:color="auto" w:fill="BEBEBE"/>
          </w:tcPr>
          <w:p>
            <w:pPr>
              <w:pStyle w:val="TableParagraph"/>
              <w:ind w:left="67"/>
              <w:rPr>
                <w:b/>
                <w:sz w:val="20"/>
              </w:rPr>
            </w:pPr>
            <w:r>
              <w:rPr>
                <w:b/>
                <w:sz w:val="20"/>
              </w:rPr>
              <w:t>Location</w:t>
            </w:r>
          </w:p>
        </w:tc>
        <w:tc>
          <w:tcPr>
            <w:tcW w:w="1664" w:type="dxa"/>
            <w:shd w:val="clear" w:color="auto" w:fill="BEBEBE"/>
          </w:tcPr>
          <w:p>
            <w:pPr>
              <w:pStyle w:val="TableParagraph"/>
              <w:ind w:left="67"/>
              <w:rPr>
                <w:b/>
                <w:sz w:val="20"/>
              </w:rPr>
            </w:pPr>
            <w:r>
              <w:rPr>
                <w:b/>
                <w:sz w:val="20"/>
              </w:rPr>
              <w:t>Coordinates</w:t>
            </w:r>
          </w:p>
        </w:tc>
        <w:tc>
          <w:tcPr>
            <w:tcW w:w="1944" w:type="dxa"/>
            <w:shd w:val="clear" w:color="auto" w:fill="BEBEBE"/>
          </w:tcPr>
          <w:p>
            <w:pPr>
              <w:pStyle w:val="TableParagraph"/>
              <w:ind w:left="67"/>
              <w:rPr>
                <w:b/>
                <w:sz w:val="20"/>
              </w:rPr>
            </w:pPr>
            <w:r>
              <w:rPr>
                <w:b/>
                <w:sz w:val="20"/>
              </w:rPr>
              <w:t>No. of Participants</w:t>
            </w:r>
          </w:p>
        </w:tc>
        <w:tc>
          <w:tcPr>
            <w:tcW w:w="4589" w:type="dxa"/>
            <w:shd w:val="clear" w:color="auto" w:fill="BEBEBE"/>
          </w:tcPr>
          <w:p>
            <w:pPr>
              <w:pStyle w:val="TableParagraph"/>
              <w:ind w:left="67"/>
              <w:rPr>
                <w:b/>
                <w:sz w:val="20"/>
              </w:rPr>
            </w:pPr>
            <w:r>
              <w:rPr>
                <w:b/>
                <w:sz w:val="20"/>
              </w:rPr>
              <w:t>Key Observations/Concerns</w:t>
            </w:r>
          </w:p>
        </w:tc>
        <w:tc>
          <w:tcPr>
            <w:tcW w:w="2861" w:type="dxa"/>
            <w:shd w:val="clear" w:color="auto" w:fill="BEBEBE"/>
          </w:tcPr>
          <w:p>
            <w:pPr>
              <w:pStyle w:val="TableParagraph"/>
              <w:ind w:left="67"/>
              <w:rPr>
                <w:b/>
                <w:sz w:val="20"/>
              </w:rPr>
            </w:pPr>
            <w:r>
              <w:rPr>
                <w:b/>
                <w:sz w:val="20"/>
              </w:rPr>
              <w:t>Response</w:t>
            </w:r>
          </w:p>
        </w:tc>
      </w:tr>
      <w:tr>
        <w:trPr>
          <w:trHeight w:val="590" w:hRule="exact"/>
        </w:trPr>
        <w:tc>
          <w:tcPr>
            <w:tcW w:w="1356" w:type="dxa"/>
            <w:vMerge w:val="restart"/>
          </w:tcPr>
          <w:p>
            <w:pPr/>
          </w:p>
        </w:tc>
        <w:tc>
          <w:tcPr>
            <w:tcW w:w="1243" w:type="dxa"/>
            <w:vMerge w:val="restart"/>
          </w:tcPr>
          <w:p>
            <w:pPr/>
          </w:p>
        </w:tc>
        <w:tc>
          <w:tcPr>
            <w:tcW w:w="1664" w:type="dxa"/>
            <w:vMerge w:val="restart"/>
          </w:tcPr>
          <w:p>
            <w:pPr/>
          </w:p>
        </w:tc>
        <w:tc>
          <w:tcPr>
            <w:tcW w:w="1944" w:type="dxa"/>
            <w:vMerge w:val="restart"/>
          </w:tcPr>
          <w:p>
            <w:pPr/>
          </w:p>
        </w:tc>
        <w:tc>
          <w:tcPr>
            <w:tcW w:w="4589" w:type="dxa"/>
            <w:tcBorders>
              <w:bottom w:val="dotted" w:sz="4" w:space="0" w:color="000000"/>
            </w:tcBorders>
          </w:tcPr>
          <w:p>
            <w:pPr>
              <w:pStyle w:val="TableParagraph"/>
              <w:ind w:left="67"/>
              <w:rPr>
                <w:sz w:val="20"/>
              </w:rPr>
            </w:pPr>
            <w:r>
              <w:rPr>
                <w:sz w:val="20"/>
              </w:rPr>
              <w:t>High tensions overhead electric wires might cause problems in construction of BRT.</w:t>
            </w:r>
          </w:p>
        </w:tc>
        <w:tc>
          <w:tcPr>
            <w:tcW w:w="2861" w:type="dxa"/>
            <w:tcBorders>
              <w:bottom w:val="dotted" w:sz="4" w:space="0" w:color="000000"/>
            </w:tcBorders>
          </w:tcPr>
          <w:p>
            <w:pPr>
              <w:pStyle w:val="TableParagraph"/>
              <w:ind w:left="67"/>
              <w:rPr>
                <w:sz w:val="20"/>
              </w:rPr>
            </w:pPr>
            <w:r>
              <w:rPr>
                <w:sz w:val="20"/>
              </w:rPr>
              <w:t>Noted.</w:t>
            </w:r>
          </w:p>
        </w:tc>
      </w:tr>
      <w:tr>
        <w:trPr>
          <w:trHeight w:val="818" w:hRule="exact"/>
        </w:trPr>
        <w:tc>
          <w:tcPr>
            <w:tcW w:w="1356" w:type="dxa"/>
            <w:vMerge/>
          </w:tcPr>
          <w:p>
            <w:pPr/>
          </w:p>
        </w:tc>
        <w:tc>
          <w:tcPr>
            <w:tcW w:w="1243" w:type="dxa"/>
            <w:vMerge/>
          </w:tcPr>
          <w:p>
            <w:pPr/>
          </w:p>
        </w:tc>
        <w:tc>
          <w:tcPr>
            <w:tcW w:w="1664" w:type="dxa"/>
            <w:vMerge/>
          </w:tcPr>
          <w:p>
            <w:pPr/>
          </w:p>
        </w:tc>
        <w:tc>
          <w:tcPr>
            <w:tcW w:w="1944" w:type="dxa"/>
            <w:vMerge/>
          </w:tcPr>
          <w:p>
            <w:pPr/>
          </w:p>
        </w:tc>
        <w:tc>
          <w:tcPr>
            <w:tcW w:w="4589" w:type="dxa"/>
            <w:tcBorders>
              <w:top w:val="dotted" w:sz="4" w:space="0" w:color="000000"/>
            </w:tcBorders>
          </w:tcPr>
          <w:p>
            <w:pPr>
              <w:pStyle w:val="TableParagraph"/>
              <w:ind w:left="67" w:right="66"/>
              <w:jc w:val="both"/>
              <w:rPr>
                <w:sz w:val="20"/>
              </w:rPr>
            </w:pPr>
            <w:r>
              <w:rPr>
                <w:sz w:val="20"/>
              </w:rPr>
              <w:t>We have travelled on metro Bus in Islamabad- Rawalpindi. The metro bus is very safe and convenient.</w:t>
            </w:r>
          </w:p>
        </w:tc>
        <w:tc>
          <w:tcPr>
            <w:tcW w:w="2861" w:type="dxa"/>
            <w:tcBorders>
              <w:top w:val="dotted" w:sz="4" w:space="0" w:color="000000"/>
            </w:tcBorders>
          </w:tcPr>
          <w:p>
            <w:pPr>
              <w:pStyle w:val="TableParagraph"/>
              <w:ind w:left="67"/>
              <w:rPr>
                <w:sz w:val="20"/>
              </w:rPr>
            </w:pPr>
            <w:r>
              <w:rPr>
                <w:sz w:val="20"/>
              </w:rPr>
              <w:t>Noted.</w:t>
            </w:r>
          </w:p>
        </w:tc>
      </w:tr>
      <w:tr>
        <w:trPr>
          <w:trHeight w:val="591" w:hRule="exact"/>
        </w:trPr>
        <w:tc>
          <w:tcPr>
            <w:tcW w:w="1356" w:type="dxa"/>
            <w:vMerge w:val="restart"/>
          </w:tcPr>
          <w:p>
            <w:pPr>
              <w:pStyle w:val="TableParagraph"/>
              <w:spacing w:before="62"/>
              <w:ind w:left="67"/>
              <w:rPr>
                <w:sz w:val="20"/>
              </w:rPr>
            </w:pPr>
            <w:r>
              <w:rPr>
                <w:sz w:val="20"/>
              </w:rPr>
              <w:t>Feb 11, 2019</w:t>
            </w:r>
          </w:p>
        </w:tc>
        <w:tc>
          <w:tcPr>
            <w:tcW w:w="1243" w:type="dxa"/>
            <w:vMerge w:val="restart"/>
          </w:tcPr>
          <w:p>
            <w:pPr>
              <w:pStyle w:val="TableParagraph"/>
              <w:spacing w:before="60"/>
              <w:ind w:left="179" w:right="175"/>
              <w:jc w:val="center"/>
              <w:rPr>
                <w:sz w:val="20"/>
              </w:rPr>
            </w:pPr>
            <w:r>
              <w:rPr>
                <w:sz w:val="20"/>
              </w:rPr>
              <w:t>Gold Mart Shopping Center</w:t>
            </w:r>
          </w:p>
        </w:tc>
        <w:tc>
          <w:tcPr>
            <w:tcW w:w="1664" w:type="dxa"/>
            <w:vMerge w:val="restart"/>
          </w:tcPr>
          <w:p>
            <w:pPr>
              <w:pStyle w:val="TableParagraph"/>
              <w:spacing w:before="60"/>
              <w:ind w:left="268"/>
              <w:rPr>
                <w:sz w:val="20"/>
              </w:rPr>
            </w:pPr>
            <w:r>
              <w:rPr>
                <w:sz w:val="20"/>
              </w:rPr>
              <w:t>N 24</w:t>
            </w:r>
            <w:r>
              <w:rPr>
                <w:color w:val="212121"/>
                <w:sz w:val="20"/>
              </w:rPr>
              <w:t>°</w:t>
            </w:r>
            <w:r>
              <w:rPr>
                <w:sz w:val="20"/>
              </w:rPr>
              <w:t>50.221</w:t>
            </w:r>
          </w:p>
          <w:p>
            <w:pPr>
              <w:pStyle w:val="TableParagraph"/>
              <w:spacing w:before="0"/>
              <w:ind w:left="273"/>
              <w:rPr>
                <w:sz w:val="20"/>
              </w:rPr>
            </w:pPr>
            <w:r>
              <w:rPr>
                <w:sz w:val="20"/>
              </w:rPr>
              <w:t>E 67</w:t>
            </w:r>
            <w:r>
              <w:rPr>
                <w:color w:val="212121"/>
                <w:sz w:val="20"/>
              </w:rPr>
              <w:t>°</w:t>
            </w:r>
            <w:r>
              <w:rPr>
                <w:sz w:val="20"/>
              </w:rPr>
              <w:t>04.104</w:t>
            </w:r>
          </w:p>
        </w:tc>
        <w:tc>
          <w:tcPr>
            <w:tcW w:w="1944" w:type="dxa"/>
            <w:vMerge w:val="restart"/>
          </w:tcPr>
          <w:p>
            <w:pPr>
              <w:pStyle w:val="TableParagraph"/>
              <w:spacing w:before="62"/>
              <w:ind w:left="668" w:right="860"/>
              <w:jc w:val="center"/>
              <w:rPr>
                <w:sz w:val="20"/>
              </w:rPr>
            </w:pPr>
            <w:r>
              <w:rPr>
                <w:sz w:val="20"/>
              </w:rPr>
              <w:t>1.</w:t>
            </w:r>
          </w:p>
        </w:tc>
        <w:tc>
          <w:tcPr>
            <w:tcW w:w="4589" w:type="dxa"/>
            <w:tcBorders>
              <w:bottom w:val="dotted" w:sz="4" w:space="0" w:color="000000"/>
            </w:tcBorders>
          </w:tcPr>
          <w:p>
            <w:pPr>
              <w:pStyle w:val="TableParagraph"/>
              <w:tabs>
                <w:tab w:pos="1127" w:val="left" w:leader="none"/>
                <w:tab w:pos="2019" w:val="left" w:leader="none"/>
                <w:tab w:pos="2671" w:val="left" w:leader="none"/>
                <w:tab w:pos="4174" w:val="left" w:leader="none"/>
              </w:tabs>
              <w:spacing w:before="60"/>
              <w:ind w:left="67" w:right="68"/>
              <w:rPr>
                <w:sz w:val="20"/>
              </w:rPr>
            </w:pPr>
            <w:r>
              <w:rPr>
                <w:sz w:val="20"/>
              </w:rPr>
              <w:t>Existing</w:t>
              <w:tab/>
              <w:t>buses</w:t>
              <w:tab/>
              <w:t>are</w:t>
              <w:tab/>
              <w:t>overcrowded</w:t>
              <w:tab/>
              <w:t>and uncomfortable.</w:t>
            </w:r>
          </w:p>
        </w:tc>
        <w:tc>
          <w:tcPr>
            <w:tcW w:w="2861" w:type="dxa"/>
            <w:tcBorders>
              <w:bottom w:val="dotted" w:sz="4" w:space="0" w:color="000000"/>
            </w:tcBorders>
          </w:tcPr>
          <w:p>
            <w:pPr>
              <w:pStyle w:val="TableParagraph"/>
              <w:spacing w:before="62"/>
              <w:ind w:left="67"/>
              <w:rPr>
                <w:sz w:val="20"/>
              </w:rPr>
            </w:pPr>
            <w:r>
              <w:rPr>
                <w:sz w:val="20"/>
              </w:rPr>
              <w:t>Noted.</w:t>
            </w:r>
          </w:p>
        </w:tc>
      </w:tr>
      <w:tr>
        <w:trPr>
          <w:trHeight w:val="821" w:hRule="exact"/>
        </w:trPr>
        <w:tc>
          <w:tcPr>
            <w:tcW w:w="1356" w:type="dxa"/>
            <w:vMerge/>
          </w:tcPr>
          <w:p>
            <w:pPr/>
          </w:p>
        </w:tc>
        <w:tc>
          <w:tcPr>
            <w:tcW w:w="1243" w:type="dxa"/>
            <w:vMerge/>
          </w:tcPr>
          <w:p>
            <w:pPr/>
          </w:p>
        </w:tc>
        <w:tc>
          <w:tcPr>
            <w:tcW w:w="1664" w:type="dxa"/>
            <w:vMerge/>
          </w:tcPr>
          <w:p>
            <w:pPr/>
          </w:p>
        </w:tc>
        <w:tc>
          <w:tcPr>
            <w:tcW w:w="1944" w:type="dxa"/>
            <w:vMerge/>
          </w:tcPr>
          <w:p>
            <w:pPr/>
          </w:p>
        </w:tc>
        <w:tc>
          <w:tcPr>
            <w:tcW w:w="4589" w:type="dxa"/>
            <w:tcBorders>
              <w:top w:val="dotted" w:sz="4" w:space="0" w:color="000000"/>
              <w:bottom w:val="dotted" w:sz="4" w:space="0" w:color="000000"/>
            </w:tcBorders>
          </w:tcPr>
          <w:p>
            <w:pPr>
              <w:pStyle w:val="TableParagraph"/>
              <w:ind w:left="67" w:right="68"/>
              <w:jc w:val="both"/>
              <w:rPr>
                <w:sz w:val="20"/>
              </w:rPr>
            </w:pPr>
            <w:r>
              <w:rPr>
                <w:sz w:val="20"/>
              </w:rPr>
              <w:t>Existing buses have designated stops but to get the passengers they stop the buses anywhere which</w:t>
            </w:r>
            <w:r>
              <w:rPr>
                <w:spacing w:val="-15"/>
                <w:sz w:val="20"/>
              </w:rPr>
              <w:t> </w:t>
            </w:r>
            <w:r>
              <w:rPr>
                <w:sz w:val="20"/>
              </w:rPr>
              <w:t>takes</w:t>
            </w:r>
            <w:r>
              <w:rPr>
                <w:spacing w:val="-14"/>
                <w:sz w:val="20"/>
              </w:rPr>
              <w:t> </w:t>
            </w:r>
            <w:r>
              <w:rPr>
                <w:sz w:val="20"/>
              </w:rPr>
              <w:t>too</w:t>
            </w:r>
            <w:r>
              <w:rPr>
                <w:spacing w:val="-16"/>
                <w:sz w:val="20"/>
              </w:rPr>
              <w:t> </w:t>
            </w:r>
            <w:r>
              <w:rPr>
                <w:sz w:val="20"/>
              </w:rPr>
              <w:t>much</w:t>
            </w:r>
            <w:r>
              <w:rPr>
                <w:spacing w:val="-15"/>
                <w:sz w:val="20"/>
              </w:rPr>
              <w:t> </w:t>
            </w:r>
            <w:r>
              <w:rPr>
                <w:sz w:val="20"/>
              </w:rPr>
              <w:t>time</w:t>
            </w:r>
            <w:r>
              <w:rPr>
                <w:spacing w:val="-15"/>
                <w:sz w:val="20"/>
              </w:rPr>
              <w:t> </w:t>
            </w:r>
            <w:r>
              <w:rPr>
                <w:sz w:val="20"/>
              </w:rPr>
              <w:t>to</w:t>
            </w:r>
            <w:r>
              <w:rPr>
                <w:spacing w:val="-15"/>
                <w:sz w:val="20"/>
              </w:rPr>
              <w:t> </w:t>
            </w:r>
            <w:r>
              <w:rPr>
                <w:sz w:val="20"/>
              </w:rPr>
              <w:t>reach</w:t>
            </w:r>
            <w:r>
              <w:rPr>
                <w:spacing w:val="-15"/>
                <w:sz w:val="20"/>
              </w:rPr>
              <w:t> </w:t>
            </w:r>
            <w:r>
              <w:rPr>
                <w:sz w:val="20"/>
              </w:rPr>
              <w:t>the</w:t>
            </w:r>
            <w:r>
              <w:rPr>
                <w:spacing w:val="-13"/>
                <w:sz w:val="20"/>
              </w:rPr>
              <w:t> </w:t>
            </w:r>
            <w:r>
              <w:rPr>
                <w:sz w:val="20"/>
              </w:rPr>
              <w:t>destination.</w:t>
            </w:r>
          </w:p>
        </w:tc>
        <w:tc>
          <w:tcPr>
            <w:tcW w:w="2861" w:type="dxa"/>
            <w:tcBorders>
              <w:top w:val="dotted" w:sz="4" w:space="0" w:color="000000"/>
              <w:bottom w:val="dotted" w:sz="4" w:space="0" w:color="000000"/>
            </w:tcBorders>
          </w:tcPr>
          <w:p>
            <w:pPr>
              <w:pStyle w:val="TableParagraph"/>
              <w:ind w:left="67" w:right="67"/>
              <w:jc w:val="both"/>
              <w:rPr>
                <w:sz w:val="20"/>
              </w:rPr>
            </w:pPr>
            <w:r>
              <w:rPr>
                <w:sz w:val="20"/>
              </w:rPr>
              <w:t>The BRT will have designated stations. Apart from these stations they will not stop.</w:t>
            </w:r>
          </w:p>
        </w:tc>
      </w:tr>
      <w:tr>
        <w:trPr>
          <w:trHeight w:val="821" w:hRule="exact"/>
        </w:trPr>
        <w:tc>
          <w:tcPr>
            <w:tcW w:w="1356" w:type="dxa"/>
            <w:vMerge/>
          </w:tcPr>
          <w:p>
            <w:pPr/>
          </w:p>
        </w:tc>
        <w:tc>
          <w:tcPr>
            <w:tcW w:w="1243" w:type="dxa"/>
            <w:vMerge/>
          </w:tcPr>
          <w:p>
            <w:pPr/>
          </w:p>
        </w:tc>
        <w:tc>
          <w:tcPr>
            <w:tcW w:w="1664" w:type="dxa"/>
            <w:vMerge/>
          </w:tcPr>
          <w:p>
            <w:pPr/>
          </w:p>
        </w:tc>
        <w:tc>
          <w:tcPr>
            <w:tcW w:w="1944" w:type="dxa"/>
            <w:vMerge/>
          </w:tcPr>
          <w:p>
            <w:pPr/>
          </w:p>
        </w:tc>
        <w:tc>
          <w:tcPr>
            <w:tcW w:w="4589" w:type="dxa"/>
            <w:tcBorders>
              <w:top w:val="dotted" w:sz="4" w:space="0" w:color="000000"/>
              <w:bottom w:val="dotted" w:sz="4" w:space="0" w:color="000000"/>
            </w:tcBorders>
          </w:tcPr>
          <w:p>
            <w:pPr>
              <w:pStyle w:val="TableParagraph"/>
              <w:ind w:left="67" w:right="68"/>
              <w:jc w:val="both"/>
              <w:rPr>
                <w:sz w:val="20"/>
              </w:rPr>
            </w:pPr>
            <w:r>
              <w:rPr>
                <w:sz w:val="20"/>
              </w:rPr>
              <w:t>In</w:t>
            </w:r>
            <w:r>
              <w:rPr>
                <w:spacing w:val="-8"/>
                <w:sz w:val="20"/>
              </w:rPr>
              <w:t> </w:t>
            </w:r>
            <w:r>
              <w:rPr>
                <w:sz w:val="20"/>
              </w:rPr>
              <w:t>BRT,</w:t>
            </w:r>
            <w:r>
              <w:rPr>
                <w:spacing w:val="-10"/>
                <w:sz w:val="20"/>
              </w:rPr>
              <w:t> </w:t>
            </w:r>
            <w:r>
              <w:rPr>
                <w:sz w:val="20"/>
              </w:rPr>
              <w:t>if</w:t>
            </w:r>
            <w:r>
              <w:rPr>
                <w:spacing w:val="-8"/>
                <w:sz w:val="20"/>
              </w:rPr>
              <w:t> </w:t>
            </w:r>
            <w:r>
              <w:rPr>
                <w:sz w:val="20"/>
              </w:rPr>
              <w:t>fares</w:t>
            </w:r>
            <w:r>
              <w:rPr>
                <w:spacing w:val="-9"/>
                <w:sz w:val="20"/>
              </w:rPr>
              <w:t> </w:t>
            </w:r>
            <w:r>
              <w:rPr>
                <w:sz w:val="20"/>
              </w:rPr>
              <w:t>are</w:t>
            </w:r>
            <w:r>
              <w:rPr>
                <w:spacing w:val="-8"/>
                <w:sz w:val="20"/>
              </w:rPr>
              <w:t> </w:t>
            </w:r>
            <w:r>
              <w:rPr>
                <w:sz w:val="20"/>
              </w:rPr>
              <w:t>increased</w:t>
            </w:r>
            <w:r>
              <w:rPr>
                <w:spacing w:val="-8"/>
                <w:sz w:val="20"/>
              </w:rPr>
              <w:t> </w:t>
            </w:r>
            <w:r>
              <w:rPr>
                <w:sz w:val="20"/>
              </w:rPr>
              <w:t>as</w:t>
            </w:r>
            <w:r>
              <w:rPr>
                <w:spacing w:val="-9"/>
                <w:sz w:val="20"/>
              </w:rPr>
              <w:t> </w:t>
            </w:r>
            <w:r>
              <w:rPr>
                <w:sz w:val="20"/>
              </w:rPr>
              <w:t>compared</w:t>
            </w:r>
            <w:r>
              <w:rPr>
                <w:spacing w:val="-11"/>
                <w:sz w:val="20"/>
              </w:rPr>
              <w:t> </w:t>
            </w:r>
            <w:r>
              <w:rPr>
                <w:sz w:val="20"/>
              </w:rPr>
              <w:t>to</w:t>
            </w:r>
            <w:r>
              <w:rPr>
                <w:spacing w:val="-6"/>
                <w:sz w:val="20"/>
              </w:rPr>
              <w:t> </w:t>
            </w:r>
            <w:r>
              <w:rPr>
                <w:sz w:val="20"/>
              </w:rPr>
              <w:t>local buses, they don’t have any issue. At lease the people will reach their destination on</w:t>
            </w:r>
            <w:r>
              <w:rPr>
                <w:spacing w:val="-12"/>
                <w:sz w:val="20"/>
              </w:rPr>
              <w:t> </w:t>
            </w:r>
            <w:r>
              <w:rPr>
                <w:sz w:val="20"/>
              </w:rPr>
              <w:t>time.</w:t>
            </w:r>
          </w:p>
        </w:tc>
        <w:tc>
          <w:tcPr>
            <w:tcW w:w="2861" w:type="dxa"/>
            <w:tcBorders>
              <w:top w:val="dotted" w:sz="4" w:space="0" w:color="000000"/>
              <w:bottom w:val="dotted" w:sz="4" w:space="0" w:color="000000"/>
            </w:tcBorders>
          </w:tcPr>
          <w:p>
            <w:pPr>
              <w:pStyle w:val="TableParagraph"/>
              <w:ind w:left="67"/>
              <w:rPr>
                <w:sz w:val="20"/>
              </w:rPr>
            </w:pPr>
            <w:r>
              <w:rPr>
                <w:sz w:val="20"/>
              </w:rPr>
              <w:t>Noted.</w:t>
            </w:r>
          </w:p>
        </w:tc>
      </w:tr>
      <w:tr>
        <w:trPr>
          <w:trHeight w:val="588" w:hRule="exact"/>
        </w:trPr>
        <w:tc>
          <w:tcPr>
            <w:tcW w:w="1356" w:type="dxa"/>
            <w:vMerge/>
          </w:tcPr>
          <w:p>
            <w:pPr/>
          </w:p>
        </w:tc>
        <w:tc>
          <w:tcPr>
            <w:tcW w:w="1243" w:type="dxa"/>
            <w:vMerge/>
          </w:tcPr>
          <w:p>
            <w:pPr/>
          </w:p>
        </w:tc>
        <w:tc>
          <w:tcPr>
            <w:tcW w:w="1664" w:type="dxa"/>
            <w:vMerge/>
          </w:tcPr>
          <w:p>
            <w:pPr/>
          </w:p>
        </w:tc>
        <w:tc>
          <w:tcPr>
            <w:tcW w:w="1944" w:type="dxa"/>
            <w:vMerge/>
          </w:tcPr>
          <w:p>
            <w:pPr/>
          </w:p>
        </w:tc>
        <w:tc>
          <w:tcPr>
            <w:tcW w:w="4589" w:type="dxa"/>
            <w:tcBorders>
              <w:top w:val="dotted" w:sz="4" w:space="0" w:color="000000"/>
              <w:bottom w:val="dotted" w:sz="4" w:space="0" w:color="000000"/>
            </w:tcBorders>
          </w:tcPr>
          <w:p>
            <w:pPr>
              <w:pStyle w:val="TableParagraph"/>
              <w:spacing w:before="60"/>
              <w:ind w:left="67"/>
              <w:rPr>
                <w:sz w:val="20"/>
              </w:rPr>
            </w:pPr>
            <w:r>
              <w:rPr>
                <w:sz w:val="20"/>
              </w:rPr>
              <w:t>The BRT is a good initiative and should have been started earlier but it’s never too late.</w:t>
            </w:r>
          </w:p>
        </w:tc>
        <w:tc>
          <w:tcPr>
            <w:tcW w:w="2861" w:type="dxa"/>
            <w:tcBorders>
              <w:top w:val="dotted" w:sz="4" w:space="0" w:color="000000"/>
              <w:bottom w:val="dotted" w:sz="4" w:space="0" w:color="000000"/>
            </w:tcBorders>
          </w:tcPr>
          <w:p>
            <w:pPr>
              <w:pStyle w:val="TableParagraph"/>
              <w:spacing w:before="60"/>
              <w:ind w:left="67"/>
              <w:rPr>
                <w:sz w:val="20"/>
              </w:rPr>
            </w:pPr>
            <w:r>
              <w:rPr>
                <w:sz w:val="20"/>
              </w:rPr>
              <w:t>Noted.</w:t>
            </w:r>
          </w:p>
        </w:tc>
      </w:tr>
      <w:tr>
        <w:trPr>
          <w:trHeight w:val="362" w:hRule="exact"/>
        </w:trPr>
        <w:tc>
          <w:tcPr>
            <w:tcW w:w="1356" w:type="dxa"/>
            <w:vMerge/>
          </w:tcPr>
          <w:p>
            <w:pPr/>
          </w:p>
        </w:tc>
        <w:tc>
          <w:tcPr>
            <w:tcW w:w="1243" w:type="dxa"/>
            <w:vMerge/>
          </w:tcPr>
          <w:p>
            <w:pPr/>
          </w:p>
        </w:tc>
        <w:tc>
          <w:tcPr>
            <w:tcW w:w="1664" w:type="dxa"/>
            <w:vMerge/>
          </w:tcPr>
          <w:p>
            <w:pPr/>
          </w:p>
        </w:tc>
        <w:tc>
          <w:tcPr>
            <w:tcW w:w="1944" w:type="dxa"/>
            <w:vMerge/>
          </w:tcPr>
          <w:p>
            <w:pPr/>
          </w:p>
        </w:tc>
        <w:tc>
          <w:tcPr>
            <w:tcW w:w="4589" w:type="dxa"/>
            <w:tcBorders>
              <w:top w:val="dotted" w:sz="4" w:space="0" w:color="000000"/>
            </w:tcBorders>
          </w:tcPr>
          <w:p>
            <w:pPr>
              <w:pStyle w:val="TableParagraph"/>
              <w:spacing w:before="62"/>
              <w:ind w:left="67"/>
              <w:rPr>
                <w:sz w:val="20"/>
              </w:rPr>
            </w:pPr>
            <w:r>
              <w:rPr>
                <w:sz w:val="20"/>
              </w:rPr>
              <w:t>We are happy, if this BRT Project is executed.</w:t>
            </w:r>
          </w:p>
        </w:tc>
        <w:tc>
          <w:tcPr>
            <w:tcW w:w="2861" w:type="dxa"/>
            <w:tcBorders>
              <w:top w:val="dotted" w:sz="4" w:space="0" w:color="000000"/>
            </w:tcBorders>
          </w:tcPr>
          <w:p>
            <w:pPr>
              <w:pStyle w:val="TableParagraph"/>
              <w:spacing w:before="62"/>
              <w:ind w:left="67"/>
              <w:rPr>
                <w:sz w:val="20"/>
              </w:rPr>
            </w:pPr>
            <w:r>
              <w:rPr>
                <w:sz w:val="20"/>
              </w:rPr>
              <w:t>Noted.</w:t>
            </w:r>
          </w:p>
        </w:tc>
      </w:tr>
    </w:tbl>
    <w:p>
      <w:pPr>
        <w:spacing w:after="0"/>
        <w:rPr>
          <w:sz w:val="20"/>
        </w:rPr>
        <w:sectPr>
          <w:pgSz w:w="16840" w:h="11910" w:orient="landscape"/>
          <w:pgMar w:header="583" w:footer="575" w:top="840" w:bottom="760" w:left="860" w:right="1280"/>
        </w:sectPr>
      </w:pPr>
    </w:p>
    <w:p>
      <w:pPr>
        <w:pStyle w:val="BodyText"/>
        <w:rPr>
          <w:rFonts w:ascii="Times New Roman"/>
          <w:sz w:val="20"/>
        </w:rPr>
      </w:pPr>
    </w:p>
    <w:p>
      <w:pPr>
        <w:pStyle w:val="BodyText"/>
        <w:rPr>
          <w:rFonts w:ascii="Times New Roman"/>
          <w:sz w:val="20"/>
        </w:rPr>
      </w:pPr>
    </w:p>
    <w:p>
      <w:pPr>
        <w:pStyle w:val="BodyText"/>
        <w:spacing w:before="10"/>
        <w:rPr>
          <w:rFonts w:ascii="Times New Roman"/>
          <w:sz w:val="27"/>
        </w:rPr>
      </w:pPr>
    </w:p>
    <w:p>
      <w:pPr>
        <w:spacing w:before="92"/>
        <w:ind w:left="3390" w:right="0" w:firstLine="0"/>
        <w:jc w:val="left"/>
        <w:rPr>
          <w:b/>
          <w:sz w:val="28"/>
        </w:rPr>
      </w:pPr>
      <w:bookmarkStart w:name="_bookmark107" w:id="180"/>
      <w:bookmarkEnd w:id="180"/>
      <w:r>
        <w:rPr/>
      </w:r>
      <w:r>
        <w:rPr>
          <w:b/>
          <w:sz w:val="28"/>
          <w:u w:val="thick"/>
        </w:rPr>
        <w:t>Annex-IV: Focus Group Discussions with Communities (Women)</w:t>
      </w:r>
    </w:p>
    <w:p>
      <w:pPr>
        <w:pStyle w:val="BodyText"/>
        <w:spacing w:before="5"/>
        <w:rPr>
          <w:b/>
          <w:sz w:val="10"/>
        </w:rPr>
      </w:pPr>
    </w:p>
    <w:tbl>
      <w:tblPr>
        <w:tblW w:w="0" w:type="auto"/>
        <w:jc w:val="left"/>
        <w:tblInd w:w="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3"/>
        <w:gridCol w:w="1238"/>
        <w:gridCol w:w="1402"/>
        <w:gridCol w:w="1781"/>
        <w:gridCol w:w="6851"/>
        <w:gridCol w:w="1303"/>
      </w:tblGrid>
      <w:tr>
        <w:trPr>
          <w:trHeight w:val="622" w:hRule="exact"/>
        </w:trPr>
        <w:tc>
          <w:tcPr>
            <w:tcW w:w="1083" w:type="dxa"/>
            <w:shd w:val="clear" w:color="auto" w:fill="BEBEBE"/>
          </w:tcPr>
          <w:p>
            <w:pPr>
              <w:pStyle w:val="TableParagraph"/>
              <w:ind w:left="67"/>
              <w:rPr>
                <w:b/>
                <w:sz w:val="20"/>
              </w:rPr>
            </w:pPr>
            <w:r>
              <w:rPr>
                <w:b/>
                <w:sz w:val="20"/>
              </w:rPr>
              <w:t>Date</w:t>
            </w:r>
          </w:p>
        </w:tc>
        <w:tc>
          <w:tcPr>
            <w:tcW w:w="1238" w:type="dxa"/>
            <w:shd w:val="clear" w:color="auto" w:fill="BEBEBE"/>
          </w:tcPr>
          <w:p>
            <w:pPr>
              <w:pStyle w:val="TableParagraph"/>
              <w:ind w:left="67"/>
              <w:rPr>
                <w:b/>
                <w:sz w:val="20"/>
              </w:rPr>
            </w:pPr>
            <w:r>
              <w:rPr>
                <w:b/>
                <w:sz w:val="20"/>
              </w:rPr>
              <w:t>Location</w:t>
            </w:r>
          </w:p>
        </w:tc>
        <w:tc>
          <w:tcPr>
            <w:tcW w:w="1402" w:type="dxa"/>
            <w:shd w:val="clear" w:color="auto" w:fill="BEBEBE"/>
          </w:tcPr>
          <w:p>
            <w:pPr>
              <w:pStyle w:val="TableParagraph"/>
              <w:ind w:left="67"/>
              <w:rPr>
                <w:b/>
                <w:sz w:val="20"/>
              </w:rPr>
            </w:pPr>
            <w:r>
              <w:rPr>
                <w:b/>
                <w:sz w:val="20"/>
              </w:rPr>
              <w:t>Coordinates</w:t>
            </w:r>
          </w:p>
        </w:tc>
        <w:tc>
          <w:tcPr>
            <w:tcW w:w="1781" w:type="dxa"/>
            <w:shd w:val="clear" w:color="auto" w:fill="BEBEBE"/>
          </w:tcPr>
          <w:p>
            <w:pPr>
              <w:pStyle w:val="TableParagraph"/>
              <w:ind w:left="67"/>
              <w:rPr>
                <w:b/>
                <w:sz w:val="20"/>
              </w:rPr>
            </w:pPr>
            <w:r>
              <w:rPr>
                <w:b/>
                <w:sz w:val="20"/>
              </w:rPr>
              <w:t>No. and Name of Participants</w:t>
            </w:r>
          </w:p>
        </w:tc>
        <w:tc>
          <w:tcPr>
            <w:tcW w:w="6851" w:type="dxa"/>
            <w:shd w:val="clear" w:color="auto" w:fill="BEBEBE"/>
          </w:tcPr>
          <w:p>
            <w:pPr>
              <w:pStyle w:val="TableParagraph"/>
              <w:ind w:left="67"/>
              <w:rPr>
                <w:b/>
                <w:sz w:val="20"/>
              </w:rPr>
            </w:pPr>
            <w:r>
              <w:rPr>
                <w:b/>
                <w:sz w:val="20"/>
              </w:rPr>
              <w:t>Key Observations/Concerns</w:t>
            </w:r>
          </w:p>
        </w:tc>
        <w:tc>
          <w:tcPr>
            <w:tcW w:w="1303" w:type="dxa"/>
            <w:shd w:val="clear" w:color="auto" w:fill="BEBEBE"/>
          </w:tcPr>
          <w:p>
            <w:pPr>
              <w:pStyle w:val="TableParagraph"/>
              <w:ind w:left="67"/>
              <w:rPr>
                <w:b/>
                <w:sz w:val="20"/>
              </w:rPr>
            </w:pPr>
            <w:r>
              <w:rPr>
                <w:b/>
                <w:sz w:val="20"/>
              </w:rPr>
              <w:t>Response</w:t>
            </w:r>
          </w:p>
        </w:tc>
      </w:tr>
      <w:tr>
        <w:trPr>
          <w:trHeight w:val="590" w:hRule="exact"/>
        </w:trPr>
        <w:tc>
          <w:tcPr>
            <w:tcW w:w="1083" w:type="dxa"/>
          </w:tcPr>
          <w:p>
            <w:pPr>
              <w:pStyle w:val="TableParagraph"/>
              <w:ind w:left="67"/>
              <w:rPr>
                <w:sz w:val="20"/>
              </w:rPr>
            </w:pPr>
            <w:r>
              <w:rPr>
                <w:sz w:val="20"/>
              </w:rPr>
              <w:t>Feb 08,</w:t>
            </w:r>
          </w:p>
          <w:p>
            <w:pPr>
              <w:pStyle w:val="TableParagraph"/>
              <w:spacing w:before="0"/>
              <w:ind w:left="67"/>
              <w:rPr>
                <w:sz w:val="20"/>
              </w:rPr>
            </w:pPr>
            <w:r>
              <w:rPr>
                <w:sz w:val="20"/>
              </w:rPr>
              <w:t>2019</w:t>
            </w:r>
          </w:p>
        </w:tc>
        <w:tc>
          <w:tcPr>
            <w:tcW w:w="1238" w:type="dxa"/>
          </w:tcPr>
          <w:p>
            <w:pPr>
              <w:pStyle w:val="TableParagraph"/>
              <w:ind w:left="67" w:right="252"/>
              <w:rPr>
                <w:sz w:val="20"/>
              </w:rPr>
            </w:pPr>
            <w:r>
              <w:rPr>
                <w:sz w:val="20"/>
              </w:rPr>
              <w:t>Mansehra</w:t>
            </w:r>
            <w:r>
              <w:rPr>
                <w:w w:val="99"/>
                <w:sz w:val="20"/>
              </w:rPr>
              <w:t> </w:t>
            </w:r>
            <w:r>
              <w:rPr>
                <w:sz w:val="20"/>
              </w:rPr>
              <w:t>Colony</w:t>
            </w:r>
          </w:p>
        </w:tc>
        <w:tc>
          <w:tcPr>
            <w:tcW w:w="1402" w:type="dxa"/>
          </w:tcPr>
          <w:p>
            <w:pPr/>
          </w:p>
        </w:tc>
        <w:tc>
          <w:tcPr>
            <w:tcW w:w="1781" w:type="dxa"/>
          </w:tcPr>
          <w:p>
            <w:pPr/>
          </w:p>
        </w:tc>
        <w:tc>
          <w:tcPr>
            <w:tcW w:w="6851" w:type="dxa"/>
          </w:tcPr>
          <w:p>
            <w:pPr>
              <w:pStyle w:val="TableParagraph"/>
              <w:ind w:left="67" w:right="17"/>
              <w:rPr>
                <w:sz w:val="20"/>
              </w:rPr>
            </w:pPr>
            <w:r>
              <w:rPr>
                <w:sz w:val="20"/>
              </w:rPr>
              <w:t>The quality of the current transport was substandard as the buses were very old with many technical faults.</w:t>
            </w:r>
          </w:p>
        </w:tc>
        <w:tc>
          <w:tcPr>
            <w:tcW w:w="1303" w:type="dxa"/>
          </w:tcPr>
          <w:p>
            <w:pPr>
              <w:pStyle w:val="TableParagraph"/>
              <w:ind w:left="67"/>
              <w:rPr>
                <w:sz w:val="20"/>
              </w:rPr>
            </w:pPr>
            <w:r>
              <w:rPr>
                <w:sz w:val="20"/>
              </w:rPr>
              <w:t>Noted.</w:t>
            </w:r>
          </w:p>
        </w:tc>
      </w:tr>
      <w:tr>
        <w:trPr>
          <w:trHeight w:val="1049" w:hRule="exact"/>
        </w:trPr>
        <w:tc>
          <w:tcPr>
            <w:tcW w:w="1083" w:type="dxa"/>
          </w:tcPr>
          <w:p>
            <w:pPr/>
          </w:p>
        </w:tc>
        <w:tc>
          <w:tcPr>
            <w:tcW w:w="1238" w:type="dxa"/>
          </w:tcPr>
          <w:p>
            <w:pPr/>
          </w:p>
        </w:tc>
        <w:tc>
          <w:tcPr>
            <w:tcW w:w="1402" w:type="dxa"/>
          </w:tcPr>
          <w:p>
            <w:pPr/>
          </w:p>
        </w:tc>
        <w:tc>
          <w:tcPr>
            <w:tcW w:w="1781" w:type="dxa"/>
          </w:tcPr>
          <w:p>
            <w:pPr/>
          </w:p>
        </w:tc>
        <w:tc>
          <w:tcPr>
            <w:tcW w:w="6851" w:type="dxa"/>
          </w:tcPr>
          <w:p>
            <w:pPr>
              <w:pStyle w:val="TableParagraph"/>
              <w:spacing w:before="60"/>
              <w:ind w:left="67" w:right="65"/>
              <w:jc w:val="both"/>
              <w:rPr>
                <w:sz w:val="20"/>
              </w:rPr>
            </w:pPr>
            <w:r>
              <w:rPr>
                <w:sz w:val="20"/>
              </w:rPr>
              <w:t>There should be a separate section in the Yellow BRT vehicles for women passengers. It is also suggested by some people that there should be separate (additional) buses running for women during the peak hours in the morning and evening.</w:t>
            </w:r>
          </w:p>
        </w:tc>
        <w:tc>
          <w:tcPr>
            <w:tcW w:w="1303" w:type="dxa"/>
          </w:tcPr>
          <w:p>
            <w:pPr>
              <w:pStyle w:val="TableParagraph"/>
              <w:spacing w:before="60"/>
              <w:ind w:left="67"/>
              <w:rPr>
                <w:sz w:val="20"/>
              </w:rPr>
            </w:pPr>
            <w:r>
              <w:rPr>
                <w:sz w:val="20"/>
              </w:rPr>
              <w:t>Noted.</w:t>
            </w:r>
          </w:p>
        </w:tc>
      </w:tr>
      <w:tr>
        <w:trPr>
          <w:trHeight w:val="590" w:hRule="exact"/>
        </w:trPr>
        <w:tc>
          <w:tcPr>
            <w:tcW w:w="1083" w:type="dxa"/>
            <w:vMerge w:val="restart"/>
          </w:tcPr>
          <w:p>
            <w:pPr>
              <w:pStyle w:val="TableParagraph"/>
              <w:ind w:left="67"/>
              <w:rPr>
                <w:sz w:val="20"/>
              </w:rPr>
            </w:pPr>
            <w:r>
              <w:rPr>
                <w:sz w:val="20"/>
              </w:rPr>
              <w:t>Feb 08,</w:t>
            </w:r>
          </w:p>
          <w:p>
            <w:pPr>
              <w:pStyle w:val="TableParagraph"/>
              <w:spacing w:before="0"/>
              <w:ind w:left="67"/>
              <w:rPr>
                <w:sz w:val="20"/>
              </w:rPr>
            </w:pPr>
            <w:r>
              <w:rPr>
                <w:sz w:val="20"/>
              </w:rPr>
              <w:t>2019</w:t>
            </w:r>
          </w:p>
        </w:tc>
        <w:tc>
          <w:tcPr>
            <w:tcW w:w="1238" w:type="dxa"/>
            <w:vMerge w:val="restart"/>
          </w:tcPr>
          <w:p>
            <w:pPr>
              <w:pStyle w:val="TableParagraph"/>
              <w:ind w:left="67"/>
              <w:rPr>
                <w:sz w:val="20"/>
              </w:rPr>
            </w:pPr>
            <w:r>
              <w:rPr>
                <w:sz w:val="20"/>
              </w:rPr>
              <w:t>Kala Pull</w:t>
            </w:r>
          </w:p>
        </w:tc>
        <w:tc>
          <w:tcPr>
            <w:tcW w:w="1402" w:type="dxa"/>
            <w:vMerge w:val="restart"/>
          </w:tcPr>
          <w:p>
            <w:pPr>
              <w:pStyle w:val="TableParagraph"/>
              <w:ind w:left="67"/>
              <w:rPr>
                <w:sz w:val="20"/>
              </w:rPr>
            </w:pPr>
            <w:r>
              <w:rPr>
                <w:sz w:val="20"/>
              </w:rPr>
              <w:t>N 24</w:t>
            </w:r>
            <w:r>
              <w:rPr>
                <w:color w:val="212121"/>
                <w:sz w:val="20"/>
              </w:rPr>
              <w:t>°</w:t>
            </w:r>
            <w:r>
              <w:rPr>
                <w:sz w:val="20"/>
              </w:rPr>
              <w:t>50.221</w:t>
            </w:r>
          </w:p>
          <w:p>
            <w:pPr>
              <w:pStyle w:val="TableParagraph"/>
              <w:spacing w:before="0"/>
              <w:ind w:left="67"/>
              <w:rPr>
                <w:sz w:val="20"/>
              </w:rPr>
            </w:pPr>
            <w:r>
              <w:rPr>
                <w:sz w:val="20"/>
              </w:rPr>
              <w:t>E 67</w:t>
            </w:r>
            <w:r>
              <w:rPr>
                <w:color w:val="212121"/>
                <w:sz w:val="20"/>
              </w:rPr>
              <w:t>°</w:t>
            </w:r>
            <w:r>
              <w:rPr>
                <w:sz w:val="20"/>
              </w:rPr>
              <w:t>04.104</w:t>
            </w:r>
          </w:p>
        </w:tc>
        <w:tc>
          <w:tcPr>
            <w:tcW w:w="1781" w:type="dxa"/>
            <w:vMerge w:val="restart"/>
          </w:tcPr>
          <w:p>
            <w:pPr/>
          </w:p>
        </w:tc>
        <w:tc>
          <w:tcPr>
            <w:tcW w:w="6851" w:type="dxa"/>
            <w:tcBorders>
              <w:bottom w:val="dotted" w:sz="4" w:space="0" w:color="000000"/>
            </w:tcBorders>
          </w:tcPr>
          <w:p>
            <w:pPr>
              <w:pStyle w:val="TableParagraph"/>
              <w:ind w:left="67"/>
              <w:rPr>
                <w:sz w:val="20"/>
              </w:rPr>
            </w:pPr>
            <w:r>
              <w:rPr>
                <w:sz w:val="20"/>
              </w:rPr>
              <w:t>There</w:t>
            </w:r>
            <w:r>
              <w:rPr>
                <w:spacing w:val="-6"/>
                <w:sz w:val="20"/>
              </w:rPr>
              <w:t> </w:t>
            </w:r>
            <w:r>
              <w:rPr>
                <w:sz w:val="20"/>
              </w:rPr>
              <w:t>should</w:t>
            </w:r>
            <w:r>
              <w:rPr>
                <w:spacing w:val="-3"/>
                <w:sz w:val="20"/>
              </w:rPr>
              <w:t> </w:t>
            </w:r>
            <w:r>
              <w:rPr>
                <w:sz w:val="20"/>
              </w:rPr>
              <w:t>be</w:t>
            </w:r>
            <w:r>
              <w:rPr>
                <w:spacing w:val="-6"/>
                <w:sz w:val="20"/>
              </w:rPr>
              <w:t> </w:t>
            </w:r>
            <w:r>
              <w:rPr>
                <w:sz w:val="20"/>
              </w:rPr>
              <w:t>some</w:t>
            </w:r>
            <w:r>
              <w:rPr>
                <w:spacing w:val="-4"/>
                <w:sz w:val="20"/>
              </w:rPr>
              <w:t> </w:t>
            </w:r>
            <w:r>
              <w:rPr>
                <w:sz w:val="20"/>
              </w:rPr>
              <w:t>feeder/transit</w:t>
            </w:r>
            <w:r>
              <w:rPr>
                <w:spacing w:val="-3"/>
                <w:sz w:val="20"/>
              </w:rPr>
              <w:t> </w:t>
            </w:r>
            <w:r>
              <w:rPr>
                <w:sz w:val="20"/>
              </w:rPr>
              <w:t>buses</w:t>
            </w:r>
            <w:r>
              <w:rPr>
                <w:spacing w:val="-5"/>
                <w:sz w:val="20"/>
              </w:rPr>
              <w:t> </w:t>
            </w:r>
            <w:r>
              <w:rPr>
                <w:sz w:val="20"/>
              </w:rPr>
              <w:t>or</w:t>
            </w:r>
            <w:r>
              <w:rPr>
                <w:spacing w:val="-5"/>
                <w:sz w:val="20"/>
              </w:rPr>
              <w:t> </w:t>
            </w:r>
            <w:r>
              <w:rPr>
                <w:sz w:val="20"/>
              </w:rPr>
              <w:t>shuttles</w:t>
            </w:r>
            <w:r>
              <w:rPr>
                <w:spacing w:val="-5"/>
                <w:sz w:val="20"/>
              </w:rPr>
              <w:t> </w:t>
            </w:r>
            <w:r>
              <w:rPr>
                <w:sz w:val="20"/>
              </w:rPr>
              <w:t>that</w:t>
            </w:r>
            <w:r>
              <w:rPr>
                <w:spacing w:val="-5"/>
                <w:sz w:val="20"/>
              </w:rPr>
              <w:t> </w:t>
            </w:r>
            <w:r>
              <w:rPr>
                <w:sz w:val="20"/>
              </w:rPr>
              <w:t>can</w:t>
            </w:r>
            <w:r>
              <w:rPr>
                <w:spacing w:val="-3"/>
                <w:sz w:val="20"/>
              </w:rPr>
              <w:t> </w:t>
            </w:r>
            <w:r>
              <w:rPr>
                <w:sz w:val="20"/>
              </w:rPr>
              <w:t>go</w:t>
            </w:r>
            <w:r>
              <w:rPr>
                <w:spacing w:val="-3"/>
                <w:sz w:val="20"/>
              </w:rPr>
              <w:t> </w:t>
            </w:r>
            <w:r>
              <w:rPr>
                <w:sz w:val="20"/>
              </w:rPr>
              <w:t>inside</w:t>
            </w:r>
            <w:r>
              <w:rPr>
                <w:spacing w:val="-6"/>
                <w:sz w:val="20"/>
              </w:rPr>
              <w:t> </w:t>
            </w:r>
            <w:r>
              <w:rPr>
                <w:sz w:val="20"/>
              </w:rPr>
              <w:t>the crowded</w:t>
            </w:r>
            <w:r>
              <w:rPr>
                <w:spacing w:val="-9"/>
                <w:sz w:val="20"/>
              </w:rPr>
              <w:t> </w:t>
            </w:r>
            <w:r>
              <w:rPr>
                <w:sz w:val="20"/>
              </w:rPr>
              <w:t>settlements</w:t>
            </w:r>
            <w:r>
              <w:rPr>
                <w:spacing w:val="-9"/>
                <w:sz w:val="20"/>
              </w:rPr>
              <w:t> </w:t>
            </w:r>
            <w:r>
              <w:rPr>
                <w:sz w:val="20"/>
              </w:rPr>
              <w:t>and</w:t>
            </w:r>
            <w:r>
              <w:rPr>
                <w:spacing w:val="-8"/>
                <w:sz w:val="20"/>
              </w:rPr>
              <w:t> </w:t>
            </w:r>
            <w:r>
              <w:rPr>
                <w:sz w:val="20"/>
              </w:rPr>
              <w:t>bring</w:t>
            </w:r>
            <w:r>
              <w:rPr>
                <w:spacing w:val="-6"/>
                <w:sz w:val="20"/>
              </w:rPr>
              <w:t> </w:t>
            </w:r>
            <w:r>
              <w:rPr>
                <w:sz w:val="20"/>
              </w:rPr>
              <w:t>women</w:t>
            </w:r>
            <w:r>
              <w:rPr>
                <w:spacing w:val="-11"/>
                <w:sz w:val="20"/>
              </w:rPr>
              <w:t> </w:t>
            </w:r>
            <w:r>
              <w:rPr>
                <w:sz w:val="20"/>
              </w:rPr>
              <w:t>to</w:t>
            </w:r>
            <w:r>
              <w:rPr>
                <w:spacing w:val="-8"/>
                <w:sz w:val="20"/>
              </w:rPr>
              <w:t> </w:t>
            </w:r>
            <w:r>
              <w:rPr>
                <w:sz w:val="20"/>
              </w:rPr>
              <w:t>the</w:t>
            </w:r>
            <w:r>
              <w:rPr>
                <w:spacing w:val="-10"/>
                <w:sz w:val="20"/>
              </w:rPr>
              <w:t> </w:t>
            </w:r>
            <w:r>
              <w:rPr>
                <w:sz w:val="20"/>
              </w:rPr>
              <w:t>main</w:t>
            </w:r>
            <w:r>
              <w:rPr>
                <w:spacing w:val="-8"/>
                <w:sz w:val="20"/>
              </w:rPr>
              <w:t> </w:t>
            </w:r>
            <w:r>
              <w:rPr>
                <w:sz w:val="20"/>
              </w:rPr>
              <w:t>line</w:t>
            </w:r>
            <w:r>
              <w:rPr>
                <w:spacing w:val="-9"/>
                <w:sz w:val="20"/>
              </w:rPr>
              <w:t> </w:t>
            </w:r>
            <w:r>
              <w:rPr>
                <w:sz w:val="20"/>
              </w:rPr>
              <w:t>in</w:t>
            </w:r>
            <w:r>
              <w:rPr>
                <w:spacing w:val="-10"/>
                <w:sz w:val="20"/>
              </w:rPr>
              <w:t> </w:t>
            </w:r>
            <w:r>
              <w:rPr>
                <w:sz w:val="20"/>
              </w:rPr>
              <w:t>the</w:t>
            </w:r>
            <w:r>
              <w:rPr>
                <w:spacing w:val="-6"/>
                <w:sz w:val="20"/>
              </w:rPr>
              <w:t> </w:t>
            </w:r>
            <w:r>
              <w:rPr>
                <w:sz w:val="20"/>
              </w:rPr>
              <w:t>yellow</w:t>
            </w:r>
            <w:r>
              <w:rPr>
                <w:spacing w:val="-6"/>
                <w:sz w:val="20"/>
              </w:rPr>
              <w:t> </w:t>
            </w:r>
            <w:r>
              <w:rPr>
                <w:sz w:val="20"/>
              </w:rPr>
              <w:t>corridor.</w:t>
            </w:r>
          </w:p>
        </w:tc>
        <w:tc>
          <w:tcPr>
            <w:tcW w:w="1303" w:type="dxa"/>
            <w:tcBorders>
              <w:bottom w:val="dotted" w:sz="4" w:space="0" w:color="000000"/>
            </w:tcBorders>
          </w:tcPr>
          <w:p>
            <w:pPr>
              <w:pStyle w:val="TableParagraph"/>
              <w:ind w:left="67"/>
              <w:rPr>
                <w:sz w:val="20"/>
              </w:rPr>
            </w:pPr>
            <w:r>
              <w:rPr>
                <w:sz w:val="20"/>
              </w:rPr>
              <w:t>Noted.</w:t>
            </w:r>
          </w:p>
        </w:tc>
      </w:tr>
      <w:tr>
        <w:trPr>
          <w:trHeight w:val="360" w:hRule="exact"/>
        </w:trPr>
        <w:tc>
          <w:tcPr>
            <w:tcW w:w="1083" w:type="dxa"/>
            <w:vMerge/>
          </w:tcPr>
          <w:p>
            <w:pPr/>
          </w:p>
        </w:tc>
        <w:tc>
          <w:tcPr>
            <w:tcW w:w="1238" w:type="dxa"/>
            <w:vMerge/>
          </w:tcPr>
          <w:p>
            <w:pPr/>
          </w:p>
        </w:tc>
        <w:tc>
          <w:tcPr>
            <w:tcW w:w="1402" w:type="dxa"/>
            <w:vMerge/>
          </w:tcPr>
          <w:p>
            <w:pPr/>
          </w:p>
        </w:tc>
        <w:tc>
          <w:tcPr>
            <w:tcW w:w="1781" w:type="dxa"/>
            <w:vMerge/>
          </w:tcPr>
          <w:p>
            <w:pPr/>
          </w:p>
        </w:tc>
        <w:tc>
          <w:tcPr>
            <w:tcW w:w="6851" w:type="dxa"/>
            <w:tcBorders>
              <w:top w:val="dotted" w:sz="4" w:space="0" w:color="000000"/>
              <w:bottom w:val="dotted" w:sz="4" w:space="0" w:color="000000"/>
            </w:tcBorders>
          </w:tcPr>
          <w:p>
            <w:pPr>
              <w:pStyle w:val="TableParagraph"/>
              <w:ind w:left="67"/>
              <w:rPr>
                <w:sz w:val="20"/>
              </w:rPr>
            </w:pPr>
            <w:r>
              <w:rPr>
                <w:sz w:val="20"/>
              </w:rPr>
              <w:t>The BRT will be beneficial for elder people and women.</w:t>
            </w:r>
          </w:p>
        </w:tc>
        <w:tc>
          <w:tcPr>
            <w:tcW w:w="1303" w:type="dxa"/>
            <w:tcBorders>
              <w:top w:val="dotted" w:sz="4" w:space="0" w:color="000000"/>
              <w:bottom w:val="dotted" w:sz="4" w:space="0" w:color="000000"/>
            </w:tcBorders>
          </w:tcPr>
          <w:p>
            <w:pPr>
              <w:pStyle w:val="TableParagraph"/>
              <w:ind w:left="67"/>
              <w:rPr>
                <w:sz w:val="20"/>
              </w:rPr>
            </w:pPr>
            <w:r>
              <w:rPr>
                <w:sz w:val="20"/>
              </w:rPr>
              <w:t>Noted.</w:t>
            </w:r>
          </w:p>
        </w:tc>
      </w:tr>
      <w:tr>
        <w:trPr>
          <w:trHeight w:val="360" w:hRule="exact"/>
        </w:trPr>
        <w:tc>
          <w:tcPr>
            <w:tcW w:w="1083" w:type="dxa"/>
            <w:vMerge/>
          </w:tcPr>
          <w:p>
            <w:pPr/>
          </w:p>
        </w:tc>
        <w:tc>
          <w:tcPr>
            <w:tcW w:w="1238" w:type="dxa"/>
            <w:vMerge/>
          </w:tcPr>
          <w:p>
            <w:pPr/>
          </w:p>
        </w:tc>
        <w:tc>
          <w:tcPr>
            <w:tcW w:w="1402" w:type="dxa"/>
            <w:vMerge/>
          </w:tcPr>
          <w:p>
            <w:pPr/>
          </w:p>
        </w:tc>
        <w:tc>
          <w:tcPr>
            <w:tcW w:w="1781" w:type="dxa"/>
            <w:vMerge/>
          </w:tcPr>
          <w:p>
            <w:pPr/>
          </w:p>
        </w:tc>
        <w:tc>
          <w:tcPr>
            <w:tcW w:w="6851" w:type="dxa"/>
            <w:tcBorders>
              <w:top w:val="dotted" w:sz="4" w:space="0" w:color="000000"/>
            </w:tcBorders>
          </w:tcPr>
          <w:p>
            <w:pPr>
              <w:pStyle w:val="TableParagraph"/>
              <w:ind w:left="67"/>
              <w:rPr>
                <w:sz w:val="20"/>
              </w:rPr>
            </w:pPr>
            <w:r>
              <w:rPr>
                <w:sz w:val="20"/>
              </w:rPr>
              <w:t>Existing buses are overcrowded and uncomfortable.</w:t>
            </w:r>
          </w:p>
        </w:tc>
        <w:tc>
          <w:tcPr>
            <w:tcW w:w="1303" w:type="dxa"/>
            <w:tcBorders>
              <w:top w:val="dotted" w:sz="4" w:space="0" w:color="000000"/>
            </w:tcBorders>
          </w:tcPr>
          <w:p>
            <w:pPr>
              <w:pStyle w:val="TableParagraph"/>
              <w:spacing w:before="40"/>
              <w:ind w:left="67"/>
              <w:rPr>
                <w:sz w:val="20"/>
              </w:rPr>
            </w:pPr>
            <w:r>
              <w:rPr>
                <w:sz w:val="20"/>
              </w:rPr>
              <w:t>Noted.</w:t>
            </w:r>
          </w:p>
        </w:tc>
      </w:tr>
      <w:tr>
        <w:trPr>
          <w:trHeight w:val="821" w:hRule="exact"/>
        </w:trPr>
        <w:tc>
          <w:tcPr>
            <w:tcW w:w="1083" w:type="dxa"/>
            <w:vMerge w:val="restart"/>
          </w:tcPr>
          <w:p>
            <w:pPr>
              <w:pStyle w:val="TableParagraph"/>
              <w:spacing w:before="60"/>
              <w:ind w:left="67"/>
              <w:rPr>
                <w:sz w:val="20"/>
              </w:rPr>
            </w:pPr>
            <w:r>
              <w:rPr>
                <w:sz w:val="20"/>
              </w:rPr>
              <w:t>Feb 08,</w:t>
            </w:r>
          </w:p>
          <w:p>
            <w:pPr>
              <w:pStyle w:val="TableParagraph"/>
              <w:spacing w:before="0"/>
              <w:ind w:left="67"/>
              <w:rPr>
                <w:sz w:val="20"/>
              </w:rPr>
            </w:pPr>
            <w:r>
              <w:rPr>
                <w:sz w:val="20"/>
              </w:rPr>
              <w:t>2019</w:t>
            </w:r>
          </w:p>
        </w:tc>
        <w:tc>
          <w:tcPr>
            <w:tcW w:w="1238" w:type="dxa"/>
            <w:vMerge w:val="restart"/>
          </w:tcPr>
          <w:p>
            <w:pPr>
              <w:pStyle w:val="TableParagraph"/>
              <w:spacing w:before="60"/>
              <w:ind w:left="67"/>
              <w:rPr>
                <w:sz w:val="20"/>
              </w:rPr>
            </w:pPr>
            <w:r>
              <w:rPr>
                <w:sz w:val="20"/>
              </w:rPr>
              <w:t>Singer </w:t>
            </w:r>
            <w:r>
              <w:rPr>
                <w:w w:val="95"/>
                <w:sz w:val="20"/>
              </w:rPr>
              <w:t>Chowrangi</w:t>
            </w:r>
          </w:p>
        </w:tc>
        <w:tc>
          <w:tcPr>
            <w:tcW w:w="1402" w:type="dxa"/>
            <w:vMerge w:val="restart"/>
          </w:tcPr>
          <w:p>
            <w:pPr/>
          </w:p>
        </w:tc>
        <w:tc>
          <w:tcPr>
            <w:tcW w:w="1781" w:type="dxa"/>
            <w:vMerge w:val="restart"/>
          </w:tcPr>
          <w:p>
            <w:pPr/>
          </w:p>
        </w:tc>
        <w:tc>
          <w:tcPr>
            <w:tcW w:w="6851" w:type="dxa"/>
            <w:tcBorders>
              <w:bottom w:val="dotted" w:sz="4" w:space="0" w:color="000000"/>
            </w:tcBorders>
          </w:tcPr>
          <w:p>
            <w:pPr>
              <w:pStyle w:val="TableParagraph"/>
              <w:spacing w:before="60"/>
              <w:ind w:left="67" w:right="65"/>
              <w:jc w:val="both"/>
              <w:rPr>
                <w:sz w:val="20"/>
              </w:rPr>
            </w:pPr>
            <w:r>
              <w:rPr>
                <w:sz w:val="20"/>
              </w:rPr>
              <w:t>Those who do not own any vehicle are the real sufferers. Students, office workers</w:t>
            </w:r>
            <w:r>
              <w:rPr>
                <w:spacing w:val="-5"/>
                <w:sz w:val="20"/>
              </w:rPr>
              <w:t> </w:t>
            </w:r>
            <w:r>
              <w:rPr>
                <w:sz w:val="20"/>
              </w:rPr>
              <w:t>and</w:t>
            </w:r>
            <w:r>
              <w:rPr>
                <w:spacing w:val="-6"/>
                <w:sz w:val="20"/>
              </w:rPr>
              <w:t> </w:t>
            </w:r>
            <w:r>
              <w:rPr>
                <w:sz w:val="20"/>
              </w:rPr>
              <w:t>other</w:t>
            </w:r>
            <w:r>
              <w:rPr>
                <w:spacing w:val="-6"/>
                <w:sz w:val="20"/>
              </w:rPr>
              <w:t> </w:t>
            </w:r>
            <w:r>
              <w:rPr>
                <w:sz w:val="20"/>
              </w:rPr>
              <w:t>people</w:t>
            </w:r>
            <w:r>
              <w:rPr>
                <w:spacing w:val="-6"/>
                <w:sz w:val="20"/>
              </w:rPr>
              <w:t> </w:t>
            </w:r>
            <w:r>
              <w:rPr>
                <w:sz w:val="20"/>
              </w:rPr>
              <w:t>use</w:t>
            </w:r>
            <w:r>
              <w:rPr>
                <w:spacing w:val="-6"/>
                <w:sz w:val="20"/>
              </w:rPr>
              <w:t> </w:t>
            </w:r>
            <w:r>
              <w:rPr>
                <w:sz w:val="20"/>
              </w:rPr>
              <w:t>public</w:t>
            </w:r>
            <w:r>
              <w:rPr>
                <w:spacing w:val="-5"/>
                <w:sz w:val="20"/>
              </w:rPr>
              <w:t> </w:t>
            </w:r>
            <w:r>
              <w:rPr>
                <w:sz w:val="20"/>
              </w:rPr>
              <w:t>transport</w:t>
            </w:r>
            <w:r>
              <w:rPr>
                <w:spacing w:val="-6"/>
                <w:sz w:val="20"/>
              </w:rPr>
              <w:t> </w:t>
            </w:r>
            <w:r>
              <w:rPr>
                <w:sz w:val="20"/>
              </w:rPr>
              <w:t>to</w:t>
            </w:r>
            <w:r>
              <w:rPr>
                <w:spacing w:val="-6"/>
                <w:sz w:val="20"/>
              </w:rPr>
              <w:t> </w:t>
            </w:r>
            <w:r>
              <w:rPr>
                <w:sz w:val="20"/>
              </w:rPr>
              <w:t>reach</w:t>
            </w:r>
            <w:r>
              <w:rPr>
                <w:spacing w:val="-4"/>
                <w:sz w:val="20"/>
              </w:rPr>
              <w:t> </w:t>
            </w:r>
            <w:r>
              <w:rPr>
                <w:sz w:val="20"/>
              </w:rPr>
              <w:t>their</w:t>
            </w:r>
            <w:r>
              <w:rPr>
                <w:spacing w:val="-6"/>
                <w:sz w:val="20"/>
              </w:rPr>
              <w:t> </w:t>
            </w:r>
            <w:r>
              <w:rPr>
                <w:sz w:val="20"/>
              </w:rPr>
              <w:t>destination</w:t>
            </w:r>
            <w:r>
              <w:rPr>
                <w:spacing w:val="-6"/>
                <w:sz w:val="20"/>
              </w:rPr>
              <w:t> </w:t>
            </w:r>
            <w:r>
              <w:rPr>
                <w:sz w:val="20"/>
              </w:rPr>
              <w:t>face difficulties irrespective of age and</w:t>
            </w:r>
            <w:r>
              <w:rPr>
                <w:spacing w:val="-16"/>
                <w:sz w:val="20"/>
              </w:rPr>
              <w:t> </w:t>
            </w:r>
            <w:r>
              <w:rPr>
                <w:sz w:val="20"/>
              </w:rPr>
              <w:t>gender.</w:t>
            </w:r>
          </w:p>
        </w:tc>
        <w:tc>
          <w:tcPr>
            <w:tcW w:w="1303" w:type="dxa"/>
            <w:tcBorders>
              <w:bottom w:val="dotted" w:sz="4" w:space="0" w:color="000000"/>
            </w:tcBorders>
          </w:tcPr>
          <w:p>
            <w:pPr>
              <w:pStyle w:val="TableParagraph"/>
              <w:spacing w:before="60"/>
              <w:ind w:left="67"/>
              <w:rPr>
                <w:sz w:val="20"/>
              </w:rPr>
            </w:pPr>
            <w:r>
              <w:rPr>
                <w:sz w:val="20"/>
              </w:rPr>
              <w:t>Noted.</w:t>
            </w:r>
          </w:p>
        </w:tc>
      </w:tr>
      <w:tr>
        <w:trPr>
          <w:trHeight w:val="588" w:hRule="exact"/>
        </w:trPr>
        <w:tc>
          <w:tcPr>
            <w:tcW w:w="1083" w:type="dxa"/>
            <w:vMerge/>
          </w:tcPr>
          <w:p>
            <w:pPr/>
          </w:p>
        </w:tc>
        <w:tc>
          <w:tcPr>
            <w:tcW w:w="1238" w:type="dxa"/>
            <w:vMerge/>
          </w:tcPr>
          <w:p>
            <w:pPr/>
          </w:p>
        </w:tc>
        <w:tc>
          <w:tcPr>
            <w:tcW w:w="1402" w:type="dxa"/>
            <w:vMerge/>
          </w:tcPr>
          <w:p>
            <w:pPr/>
          </w:p>
        </w:tc>
        <w:tc>
          <w:tcPr>
            <w:tcW w:w="1781" w:type="dxa"/>
            <w:vMerge/>
          </w:tcPr>
          <w:p>
            <w:pPr/>
          </w:p>
        </w:tc>
        <w:tc>
          <w:tcPr>
            <w:tcW w:w="6851" w:type="dxa"/>
            <w:tcBorders>
              <w:top w:val="dotted" w:sz="4" w:space="0" w:color="000000"/>
              <w:bottom w:val="dotted" w:sz="4" w:space="0" w:color="000000"/>
            </w:tcBorders>
          </w:tcPr>
          <w:p>
            <w:pPr>
              <w:pStyle w:val="TableParagraph"/>
              <w:ind w:left="67"/>
              <w:rPr>
                <w:sz w:val="20"/>
              </w:rPr>
            </w:pPr>
            <w:r>
              <w:rPr>
                <w:sz w:val="20"/>
              </w:rPr>
              <w:t>Women are not happy with the existing transportation system and are compelled to use overcrowded buses.</w:t>
            </w:r>
          </w:p>
        </w:tc>
        <w:tc>
          <w:tcPr>
            <w:tcW w:w="1303" w:type="dxa"/>
            <w:tcBorders>
              <w:top w:val="dotted" w:sz="4" w:space="0" w:color="000000"/>
              <w:bottom w:val="dotted" w:sz="4" w:space="0" w:color="000000"/>
            </w:tcBorders>
          </w:tcPr>
          <w:p>
            <w:pPr>
              <w:pStyle w:val="TableParagraph"/>
              <w:ind w:left="67"/>
              <w:rPr>
                <w:sz w:val="20"/>
              </w:rPr>
            </w:pPr>
            <w:r>
              <w:rPr>
                <w:sz w:val="20"/>
              </w:rPr>
              <w:t>Noted.</w:t>
            </w:r>
          </w:p>
        </w:tc>
      </w:tr>
      <w:tr>
        <w:trPr>
          <w:trHeight w:val="590" w:hRule="exact"/>
        </w:trPr>
        <w:tc>
          <w:tcPr>
            <w:tcW w:w="1083" w:type="dxa"/>
            <w:vMerge/>
          </w:tcPr>
          <w:p>
            <w:pPr/>
          </w:p>
        </w:tc>
        <w:tc>
          <w:tcPr>
            <w:tcW w:w="1238" w:type="dxa"/>
            <w:vMerge/>
          </w:tcPr>
          <w:p>
            <w:pPr/>
          </w:p>
        </w:tc>
        <w:tc>
          <w:tcPr>
            <w:tcW w:w="1402" w:type="dxa"/>
            <w:vMerge/>
          </w:tcPr>
          <w:p>
            <w:pPr/>
          </w:p>
        </w:tc>
        <w:tc>
          <w:tcPr>
            <w:tcW w:w="1781" w:type="dxa"/>
            <w:vMerge/>
          </w:tcPr>
          <w:p>
            <w:pPr/>
          </w:p>
        </w:tc>
        <w:tc>
          <w:tcPr>
            <w:tcW w:w="6851" w:type="dxa"/>
            <w:tcBorders>
              <w:top w:val="dotted" w:sz="4" w:space="0" w:color="000000"/>
            </w:tcBorders>
          </w:tcPr>
          <w:p>
            <w:pPr>
              <w:pStyle w:val="TableParagraph"/>
              <w:ind w:left="67"/>
              <w:rPr>
                <w:sz w:val="20"/>
              </w:rPr>
            </w:pPr>
            <w:r>
              <w:rPr>
                <w:sz w:val="20"/>
              </w:rPr>
              <w:t>Fares should be economical, so poor women and elderly people can easily afford.</w:t>
            </w:r>
          </w:p>
        </w:tc>
        <w:tc>
          <w:tcPr>
            <w:tcW w:w="1303" w:type="dxa"/>
            <w:tcBorders>
              <w:top w:val="dotted" w:sz="4" w:space="0" w:color="000000"/>
            </w:tcBorders>
          </w:tcPr>
          <w:p>
            <w:pPr>
              <w:pStyle w:val="TableParagraph"/>
              <w:spacing w:before="62"/>
              <w:ind w:left="67"/>
              <w:rPr>
                <w:sz w:val="20"/>
              </w:rPr>
            </w:pPr>
            <w:r>
              <w:rPr>
                <w:sz w:val="20"/>
              </w:rPr>
              <w:t>Noted.</w:t>
            </w:r>
          </w:p>
        </w:tc>
      </w:tr>
      <w:tr>
        <w:trPr>
          <w:trHeight w:val="590" w:hRule="exact"/>
        </w:trPr>
        <w:tc>
          <w:tcPr>
            <w:tcW w:w="1083" w:type="dxa"/>
            <w:vMerge w:val="restart"/>
          </w:tcPr>
          <w:p>
            <w:pPr>
              <w:pStyle w:val="TableParagraph"/>
              <w:ind w:left="67"/>
              <w:rPr>
                <w:sz w:val="20"/>
              </w:rPr>
            </w:pPr>
            <w:r>
              <w:rPr>
                <w:sz w:val="20"/>
              </w:rPr>
              <w:t>Feb 09,</w:t>
            </w:r>
          </w:p>
          <w:p>
            <w:pPr>
              <w:pStyle w:val="TableParagraph"/>
              <w:spacing w:before="0"/>
              <w:ind w:left="67"/>
              <w:rPr>
                <w:sz w:val="20"/>
              </w:rPr>
            </w:pPr>
            <w:r>
              <w:rPr>
                <w:sz w:val="20"/>
              </w:rPr>
              <w:t>2019</w:t>
            </w:r>
          </w:p>
        </w:tc>
        <w:tc>
          <w:tcPr>
            <w:tcW w:w="1238" w:type="dxa"/>
            <w:vMerge w:val="restart"/>
          </w:tcPr>
          <w:p>
            <w:pPr>
              <w:pStyle w:val="TableParagraph"/>
              <w:spacing w:before="0"/>
              <w:ind w:left="67"/>
              <w:rPr>
                <w:sz w:val="20"/>
              </w:rPr>
            </w:pPr>
            <w:r>
              <w:rPr>
                <w:sz w:val="20"/>
              </w:rPr>
              <w:t>Dawood </w:t>
            </w:r>
            <w:r>
              <w:rPr>
                <w:w w:val="95"/>
                <w:sz w:val="20"/>
              </w:rPr>
              <w:t>Chowrangi</w:t>
            </w:r>
          </w:p>
        </w:tc>
        <w:tc>
          <w:tcPr>
            <w:tcW w:w="1402" w:type="dxa"/>
            <w:vMerge w:val="restart"/>
          </w:tcPr>
          <w:p>
            <w:pPr>
              <w:pStyle w:val="TableParagraph"/>
              <w:ind w:left="67"/>
              <w:rPr>
                <w:sz w:val="20"/>
              </w:rPr>
            </w:pPr>
            <w:r>
              <w:rPr>
                <w:sz w:val="20"/>
              </w:rPr>
              <w:t>N 24</w:t>
            </w:r>
            <w:r>
              <w:rPr>
                <w:color w:val="212121"/>
                <w:sz w:val="20"/>
              </w:rPr>
              <w:t>°</w:t>
            </w:r>
            <w:r>
              <w:rPr>
                <w:sz w:val="20"/>
              </w:rPr>
              <w:t>50.859</w:t>
            </w:r>
          </w:p>
          <w:p>
            <w:pPr>
              <w:pStyle w:val="TableParagraph"/>
              <w:spacing w:before="0"/>
              <w:ind w:left="67"/>
              <w:rPr>
                <w:sz w:val="20"/>
              </w:rPr>
            </w:pPr>
            <w:r>
              <w:rPr>
                <w:sz w:val="20"/>
              </w:rPr>
              <w:t>E 67</w:t>
            </w:r>
            <w:r>
              <w:rPr>
                <w:color w:val="212121"/>
                <w:sz w:val="20"/>
              </w:rPr>
              <w:t>°</w:t>
            </w:r>
            <w:r>
              <w:rPr>
                <w:sz w:val="20"/>
              </w:rPr>
              <w:t>12.726</w:t>
            </w:r>
          </w:p>
        </w:tc>
        <w:tc>
          <w:tcPr>
            <w:tcW w:w="1781" w:type="dxa"/>
            <w:vMerge w:val="restart"/>
          </w:tcPr>
          <w:p>
            <w:pPr/>
          </w:p>
        </w:tc>
        <w:tc>
          <w:tcPr>
            <w:tcW w:w="6851" w:type="dxa"/>
            <w:tcBorders>
              <w:bottom w:val="dotted" w:sz="4" w:space="0" w:color="000000"/>
            </w:tcBorders>
          </w:tcPr>
          <w:p>
            <w:pPr>
              <w:pStyle w:val="TableParagraph"/>
              <w:ind w:left="67" w:right="-5"/>
              <w:rPr>
                <w:sz w:val="20"/>
              </w:rPr>
            </w:pPr>
            <w:r>
              <w:rPr>
                <w:sz w:val="20"/>
              </w:rPr>
              <w:t>The drivers of the buses are usually operated by reckless drivers who do not follow the rules of the road, endangering many.</w:t>
            </w:r>
          </w:p>
        </w:tc>
        <w:tc>
          <w:tcPr>
            <w:tcW w:w="1303" w:type="dxa"/>
            <w:tcBorders>
              <w:bottom w:val="dotted" w:sz="4" w:space="0" w:color="000000"/>
            </w:tcBorders>
          </w:tcPr>
          <w:p>
            <w:pPr>
              <w:pStyle w:val="TableParagraph"/>
              <w:ind w:left="67"/>
              <w:rPr>
                <w:sz w:val="20"/>
              </w:rPr>
            </w:pPr>
            <w:r>
              <w:rPr>
                <w:sz w:val="20"/>
              </w:rPr>
              <w:t>Noted.</w:t>
            </w:r>
          </w:p>
        </w:tc>
      </w:tr>
      <w:tr>
        <w:trPr>
          <w:trHeight w:val="821" w:hRule="exact"/>
        </w:trPr>
        <w:tc>
          <w:tcPr>
            <w:tcW w:w="1083" w:type="dxa"/>
            <w:vMerge/>
          </w:tcPr>
          <w:p>
            <w:pPr/>
          </w:p>
        </w:tc>
        <w:tc>
          <w:tcPr>
            <w:tcW w:w="1238" w:type="dxa"/>
            <w:vMerge/>
          </w:tcPr>
          <w:p>
            <w:pPr/>
          </w:p>
        </w:tc>
        <w:tc>
          <w:tcPr>
            <w:tcW w:w="1402" w:type="dxa"/>
            <w:vMerge/>
          </w:tcPr>
          <w:p>
            <w:pPr/>
          </w:p>
        </w:tc>
        <w:tc>
          <w:tcPr>
            <w:tcW w:w="1781" w:type="dxa"/>
            <w:vMerge/>
          </w:tcPr>
          <w:p>
            <w:pPr/>
          </w:p>
        </w:tc>
        <w:tc>
          <w:tcPr>
            <w:tcW w:w="6851" w:type="dxa"/>
            <w:tcBorders>
              <w:top w:val="dotted" w:sz="4" w:space="0" w:color="000000"/>
            </w:tcBorders>
          </w:tcPr>
          <w:p>
            <w:pPr>
              <w:pStyle w:val="TableParagraph"/>
              <w:spacing w:before="60"/>
              <w:ind w:left="67" w:right="72"/>
              <w:jc w:val="both"/>
              <w:rPr>
                <w:sz w:val="20"/>
              </w:rPr>
            </w:pPr>
            <w:r>
              <w:rPr>
                <w:sz w:val="20"/>
              </w:rPr>
              <w:t>It is the responsibility of the government to provide citizens economical and appropriate transport facilities so that they can reach to their desired destination easily and safely.</w:t>
            </w:r>
          </w:p>
        </w:tc>
        <w:tc>
          <w:tcPr>
            <w:tcW w:w="1303" w:type="dxa"/>
            <w:tcBorders>
              <w:top w:val="dotted" w:sz="4" w:space="0" w:color="000000"/>
            </w:tcBorders>
          </w:tcPr>
          <w:p>
            <w:pPr>
              <w:pStyle w:val="TableParagraph"/>
              <w:spacing w:before="60"/>
              <w:ind w:left="67"/>
              <w:rPr>
                <w:sz w:val="20"/>
              </w:rPr>
            </w:pPr>
            <w:r>
              <w:rPr>
                <w:sz w:val="20"/>
              </w:rPr>
              <w:t>Noted.</w:t>
            </w:r>
          </w:p>
        </w:tc>
      </w:tr>
      <w:tr>
        <w:trPr>
          <w:trHeight w:val="360" w:hRule="exact"/>
        </w:trPr>
        <w:tc>
          <w:tcPr>
            <w:tcW w:w="1083" w:type="dxa"/>
            <w:vMerge w:val="restart"/>
          </w:tcPr>
          <w:p>
            <w:pPr>
              <w:pStyle w:val="TableParagraph"/>
              <w:ind w:left="67"/>
              <w:rPr>
                <w:sz w:val="20"/>
              </w:rPr>
            </w:pPr>
            <w:r>
              <w:rPr>
                <w:sz w:val="20"/>
              </w:rPr>
              <w:t>Feb 09,</w:t>
            </w:r>
          </w:p>
          <w:p>
            <w:pPr>
              <w:pStyle w:val="TableParagraph"/>
              <w:spacing w:before="0"/>
              <w:ind w:left="67"/>
              <w:rPr>
                <w:sz w:val="20"/>
              </w:rPr>
            </w:pPr>
            <w:r>
              <w:rPr>
                <w:sz w:val="20"/>
              </w:rPr>
              <w:t>2019</w:t>
            </w:r>
          </w:p>
        </w:tc>
        <w:tc>
          <w:tcPr>
            <w:tcW w:w="1238" w:type="dxa"/>
            <w:vMerge w:val="restart"/>
          </w:tcPr>
          <w:p>
            <w:pPr>
              <w:pStyle w:val="TableParagraph"/>
              <w:ind w:left="67"/>
              <w:rPr>
                <w:sz w:val="20"/>
              </w:rPr>
            </w:pPr>
            <w:r>
              <w:rPr>
                <w:sz w:val="20"/>
              </w:rPr>
              <w:t>KPT</w:t>
            </w:r>
          </w:p>
          <w:p>
            <w:pPr>
              <w:pStyle w:val="TableParagraph"/>
              <w:spacing w:before="0"/>
              <w:ind w:left="67"/>
              <w:rPr>
                <w:sz w:val="20"/>
              </w:rPr>
            </w:pPr>
            <w:r>
              <w:rPr>
                <w:sz w:val="20"/>
              </w:rPr>
              <w:t>Interchange</w:t>
            </w:r>
          </w:p>
        </w:tc>
        <w:tc>
          <w:tcPr>
            <w:tcW w:w="1402" w:type="dxa"/>
            <w:vMerge w:val="restart"/>
          </w:tcPr>
          <w:p>
            <w:pPr/>
          </w:p>
        </w:tc>
        <w:tc>
          <w:tcPr>
            <w:tcW w:w="1781" w:type="dxa"/>
            <w:vMerge w:val="restart"/>
          </w:tcPr>
          <w:p>
            <w:pPr/>
          </w:p>
        </w:tc>
        <w:tc>
          <w:tcPr>
            <w:tcW w:w="6851" w:type="dxa"/>
            <w:tcBorders>
              <w:bottom w:val="dotted" w:sz="4" w:space="0" w:color="000000"/>
            </w:tcBorders>
          </w:tcPr>
          <w:p>
            <w:pPr>
              <w:pStyle w:val="TableParagraph"/>
              <w:ind w:left="67"/>
              <w:rPr>
                <w:sz w:val="20"/>
              </w:rPr>
            </w:pPr>
            <w:r>
              <w:rPr>
                <w:sz w:val="20"/>
              </w:rPr>
              <w:t>The BRT will be beneficial for women, if fares are affordable.</w:t>
            </w:r>
          </w:p>
        </w:tc>
        <w:tc>
          <w:tcPr>
            <w:tcW w:w="1303" w:type="dxa"/>
            <w:tcBorders>
              <w:bottom w:val="dotted" w:sz="4" w:space="0" w:color="000000"/>
            </w:tcBorders>
          </w:tcPr>
          <w:p>
            <w:pPr>
              <w:pStyle w:val="TableParagraph"/>
              <w:ind w:left="67"/>
              <w:rPr>
                <w:sz w:val="20"/>
              </w:rPr>
            </w:pPr>
            <w:r>
              <w:rPr>
                <w:sz w:val="20"/>
              </w:rPr>
              <w:t>Noted.</w:t>
            </w:r>
          </w:p>
        </w:tc>
      </w:tr>
      <w:tr>
        <w:trPr>
          <w:trHeight w:val="360" w:hRule="exact"/>
        </w:trPr>
        <w:tc>
          <w:tcPr>
            <w:tcW w:w="1083" w:type="dxa"/>
            <w:vMerge/>
          </w:tcPr>
          <w:p>
            <w:pPr/>
          </w:p>
        </w:tc>
        <w:tc>
          <w:tcPr>
            <w:tcW w:w="1238" w:type="dxa"/>
            <w:vMerge/>
          </w:tcPr>
          <w:p>
            <w:pPr/>
          </w:p>
        </w:tc>
        <w:tc>
          <w:tcPr>
            <w:tcW w:w="1402" w:type="dxa"/>
            <w:vMerge/>
          </w:tcPr>
          <w:p>
            <w:pPr/>
          </w:p>
        </w:tc>
        <w:tc>
          <w:tcPr>
            <w:tcW w:w="1781" w:type="dxa"/>
            <w:vMerge/>
          </w:tcPr>
          <w:p>
            <w:pPr/>
          </w:p>
        </w:tc>
        <w:tc>
          <w:tcPr>
            <w:tcW w:w="6851" w:type="dxa"/>
            <w:tcBorders>
              <w:top w:val="dotted" w:sz="4" w:space="0" w:color="000000"/>
              <w:bottom w:val="dotted" w:sz="4" w:space="0" w:color="000000"/>
            </w:tcBorders>
          </w:tcPr>
          <w:p>
            <w:pPr>
              <w:pStyle w:val="TableParagraph"/>
              <w:ind w:left="67"/>
              <w:rPr>
                <w:sz w:val="20"/>
              </w:rPr>
            </w:pPr>
            <w:r>
              <w:rPr>
                <w:sz w:val="20"/>
              </w:rPr>
              <w:t>Employment opportunities should be provided to the local people</w:t>
            </w:r>
          </w:p>
        </w:tc>
        <w:tc>
          <w:tcPr>
            <w:tcW w:w="1303" w:type="dxa"/>
            <w:tcBorders>
              <w:top w:val="dotted" w:sz="4" w:space="0" w:color="000000"/>
              <w:bottom w:val="dotted" w:sz="4" w:space="0" w:color="000000"/>
            </w:tcBorders>
          </w:tcPr>
          <w:p>
            <w:pPr>
              <w:pStyle w:val="TableParagraph"/>
              <w:ind w:left="67"/>
              <w:rPr>
                <w:sz w:val="20"/>
              </w:rPr>
            </w:pPr>
            <w:r>
              <w:rPr>
                <w:sz w:val="20"/>
              </w:rPr>
              <w:t>Noted.</w:t>
            </w:r>
          </w:p>
        </w:tc>
      </w:tr>
      <w:tr>
        <w:trPr>
          <w:trHeight w:val="360" w:hRule="exact"/>
        </w:trPr>
        <w:tc>
          <w:tcPr>
            <w:tcW w:w="1083" w:type="dxa"/>
            <w:vMerge/>
          </w:tcPr>
          <w:p>
            <w:pPr/>
          </w:p>
        </w:tc>
        <w:tc>
          <w:tcPr>
            <w:tcW w:w="1238" w:type="dxa"/>
            <w:vMerge/>
          </w:tcPr>
          <w:p>
            <w:pPr/>
          </w:p>
        </w:tc>
        <w:tc>
          <w:tcPr>
            <w:tcW w:w="1402" w:type="dxa"/>
            <w:vMerge/>
          </w:tcPr>
          <w:p>
            <w:pPr/>
          </w:p>
        </w:tc>
        <w:tc>
          <w:tcPr>
            <w:tcW w:w="1781" w:type="dxa"/>
            <w:vMerge/>
          </w:tcPr>
          <w:p>
            <w:pPr/>
          </w:p>
        </w:tc>
        <w:tc>
          <w:tcPr>
            <w:tcW w:w="6851" w:type="dxa"/>
            <w:tcBorders>
              <w:top w:val="dotted" w:sz="4" w:space="0" w:color="000000"/>
            </w:tcBorders>
          </w:tcPr>
          <w:p>
            <w:pPr>
              <w:pStyle w:val="TableParagraph"/>
              <w:ind w:left="67"/>
              <w:rPr>
                <w:sz w:val="20"/>
              </w:rPr>
            </w:pPr>
            <w:r>
              <w:rPr>
                <w:sz w:val="20"/>
              </w:rPr>
              <w:t>The BRT will be beneficial for poor people especially for ladies and children.</w:t>
            </w:r>
          </w:p>
        </w:tc>
        <w:tc>
          <w:tcPr>
            <w:tcW w:w="1303" w:type="dxa"/>
            <w:tcBorders>
              <w:top w:val="dotted" w:sz="4" w:space="0" w:color="000000"/>
            </w:tcBorders>
          </w:tcPr>
          <w:p>
            <w:pPr>
              <w:pStyle w:val="TableParagraph"/>
              <w:ind w:left="67"/>
              <w:rPr>
                <w:sz w:val="20"/>
              </w:rPr>
            </w:pPr>
            <w:r>
              <w:rPr>
                <w:sz w:val="20"/>
              </w:rPr>
              <w:t>Noted.</w:t>
            </w:r>
          </w:p>
        </w:tc>
      </w:tr>
    </w:tbl>
    <w:p>
      <w:pPr>
        <w:spacing w:after="0"/>
        <w:rPr>
          <w:sz w:val="20"/>
        </w:rPr>
        <w:sectPr>
          <w:pgSz w:w="16840" w:h="11910" w:orient="landscape"/>
          <w:pgMar w:header="583" w:footer="575" w:top="840" w:bottom="760" w:left="860" w:right="12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6"/>
        </w:rPr>
      </w:pPr>
    </w:p>
    <w:tbl>
      <w:tblPr>
        <w:tblW w:w="0" w:type="auto"/>
        <w:jc w:val="left"/>
        <w:tblInd w:w="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3"/>
        <w:gridCol w:w="1238"/>
        <w:gridCol w:w="1402"/>
        <w:gridCol w:w="1781"/>
        <w:gridCol w:w="6851"/>
        <w:gridCol w:w="1303"/>
      </w:tblGrid>
      <w:tr>
        <w:trPr>
          <w:trHeight w:val="622" w:hRule="exact"/>
        </w:trPr>
        <w:tc>
          <w:tcPr>
            <w:tcW w:w="1083" w:type="dxa"/>
            <w:shd w:val="clear" w:color="auto" w:fill="BEBEBE"/>
          </w:tcPr>
          <w:p>
            <w:pPr>
              <w:pStyle w:val="TableParagraph"/>
              <w:ind w:left="67"/>
              <w:rPr>
                <w:b/>
                <w:sz w:val="20"/>
              </w:rPr>
            </w:pPr>
            <w:r>
              <w:rPr>
                <w:b/>
                <w:sz w:val="20"/>
              </w:rPr>
              <w:t>Date</w:t>
            </w:r>
          </w:p>
        </w:tc>
        <w:tc>
          <w:tcPr>
            <w:tcW w:w="1238" w:type="dxa"/>
            <w:shd w:val="clear" w:color="auto" w:fill="BEBEBE"/>
          </w:tcPr>
          <w:p>
            <w:pPr>
              <w:pStyle w:val="TableParagraph"/>
              <w:ind w:left="67"/>
              <w:rPr>
                <w:b/>
                <w:sz w:val="20"/>
              </w:rPr>
            </w:pPr>
            <w:r>
              <w:rPr>
                <w:b/>
                <w:sz w:val="20"/>
              </w:rPr>
              <w:t>Location</w:t>
            </w:r>
          </w:p>
        </w:tc>
        <w:tc>
          <w:tcPr>
            <w:tcW w:w="1402" w:type="dxa"/>
            <w:shd w:val="clear" w:color="auto" w:fill="BEBEBE"/>
          </w:tcPr>
          <w:p>
            <w:pPr>
              <w:pStyle w:val="TableParagraph"/>
              <w:ind w:left="67"/>
              <w:rPr>
                <w:b/>
                <w:sz w:val="20"/>
              </w:rPr>
            </w:pPr>
            <w:r>
              <w:rPr>
                <w:b/>
                <w:sz w:val="20"/>
              </w:rPr>
              <w:t>Coordinates</w:t>
            </w:r>
          </w:p>
        </w:tc>
        <w:tc>
          <w:tcPr>
            <w:tcW w:w="1781" w:type="dxa"/>
            <w:shd w:val="clear" w:color="auto" w:fill="BEBEBE"/>
          </w:tcPr>
          <w:p>
            <w:pPr>
              <w:pStyle w:val="TableParagraph"/>
              <w:ind w:left="67"/>
              <w:rPr>
                <w:b/>
                <w:sz w:val="20"/>
              </w:rPr>
            </w:pPr>
            <w:r>
              <w:rPr>
                <w:b/>
                <w:sz w:val="20"/>
              </w:rPr>
              <w:t>No. and Name of Participants</w:t>
            </w:r>
          </w:p>
        </w:tc>
        <w:tc>
          <w:tcPr>
            <w:tcW w:w="6851" w:type="dxa"/>
            <w:shd w:val="clear" w:color="auto" w:fill="BEBEBE"/>
          </w:tcPr>
          <w:p>
            <w:pPr>
              <w:pStyle w:val="TableParagraph"/>
              <w:ind w:left="67"/>
              <w:rPr>
                <w:b/>
                <w:sz w:val="20"/>
              </w:rPr>
            </w:pPr>
            <w:r>
              <w:rPr>
                <w:b/>
                <w:sz w:val="20"/>
              </w:rPr>
              <w:t>Key Observations/Concerns</w:t>
            </w:r>
          </w:p>
        </w:tc>
        <w:tc>
          <w:tcPr>
            <w:tcW w:w="1303" w:type="dxa"/>
            <w:shd w:val="clear" w:color="auto" w:fill="BEBEBE"/>
          </w:tcPr>
          <w:p>
            <w:pPr>
              <w:pStyle w:val="TableParagraph"/>
              <w:ind w:left="67"/>
              <w:rPr>
                <w:b/>
                <w:sz w:val="20"/>
              </w:rPr>
            </w:pPr>
            <w:r>
              <w:rPr>
                <w:b/>
                <w:sz w:val="20"/>
              </w:rPr>
              <w:t>Response</w:t>
            </w:r>
          </w:p>
        </w:tc>
      </w:tr>
      <w:tr>
        <w:trPr>
          <w:trHeight w:val="590" w:hRule="exact"/>
        </w:trPr>
        <w:tc>
          <w:tcPr>
            <w:tcW w:w="1083" w:type="dxa"/>
            <w:vMerge w:val="restart"/>
          </w:tcPr>
          <w:p>
            <w:pPr>
              <w:pStyle w:val="TableParagraph"/>
              <w:ind w:left="67"/>
              <w:rPr>
                <w:sz w:val="20"/>
              </w:rPr>
            </w:pPr>
            <w:r>
              <w:rPr>
                <w:sz w:val="20"/>
              </w:rPr>
              <w:t>Feb 09,</w:t>
            </w:r>
          </w:p>
          <w:p>
            <w:pPr>
              <w:pStyle w:val="TableParagraph"/>
              <w:spacing w:before="0"/>
              <w:ind w:left="67"/>
              <w:rPr>
                <w:sz w:val="20"/>
              </w:rPr>
            </w:pPr>
            <w:r>
              <w:rPr>
                <w:sz w:val="20"/>
              </w:rPr>
              <w:t>2019</w:t>
            </w:r>
          </w:p>
        </w:tc>
        <w:tc>
          <w:tcPr>
            <w:tcW w:w="1238" w:type="dxa"/>
            <w:vMerge w:val="restart"/>
          </w:tcPr>
          <w:p>
            <w:pPr>
              <w:pStyle w:val="TableParagraph"/>
              <w:ind w:left="67"/>
              <w:rPr>
                <w:sz w:val="20"/>
              </w:rPr>
            </w:pPr>
            <w:r>
              <w:rPr>
                <w:sz w:val="20"/>
              </w:rPr>
              <w:t>Allah Wala Town</w:t>
            </w:r>
          </w:p>
        </w:tc>
        <w:tc>
          <w:tcPr>
            <w:tcW w:w="1402" w:type="dxa"/>
            <w:vMerge w:val="restart"/>
          </w:tcPr>
          <w:p>
            <w:pPr/>
          </w:p>
        </w:tc>
        <w:tc>
          <w:tcPr>
            <w:tcW w:w="1781" w:type="dxa"/>
            <w:vMerge w:val="restart"/>
          </w:tcPr>
          <w:p>
            <w:pPr/>
          </w:p>
        </w:tc>
        <w:tc>
          <w:tcPr>
            <w:tcW w:w="6851" w:type="dxa"/>
            <w:tcBorders>
              <w:bottom w:val="dotted" w:sz="4" w:space="0" w:color="000000"/>
            </w:tcBorders>
          </w:tcPr>
          <w:p>
            <w:pPr>
              <w:pStyle w:val="TableParagraph"/>
              <w:ind w:left="67"/>
              <w:rPr>
                <w:sz w:val="20"/>
              </w:rPr>
            </w:pPr>
            <w:r>
              <w:rPr>
                <w:sz w:val="20"/>
              </w:rPr>
              <w:t>People have to pay huge amount of fares by travelling in autos and taxis. This problem is not reducing instead it is increasing day by day in Karachi</w:t>
            </w:r>
          </w:p>
        </w:tc>
        <w:tc>
          <w:tcPr>
            <w:tcW w:w="1303" w:type="dxa"/>
            <w:tcBorders>
              <w:bottom w:val="dotted" w:sz="4" w:space="0" w:color="000000"/>
            </w:tcBorders>
          </w:tcPr>
          <w:p>
            <w:pPr>
              <w:pStyle w:val="TableParagraph"/>
              <w:ind w:left="67"/>
              <w:rPr>
                <w:sz w:val="20"/>
              </w:rPr>
            </w:pPr>
            <w:r>
              <w:rPr>
                <w:sz w:val="20"/>
              </w:rPr>
              <w:t>Noted.</w:t>
            </w:r>
          </w:p>
        </w:tc>
      </w:tr>
      <w:tr>
        <w:trPr>
          <w:trHeight w:val="588" w:hRule="exact"/>
        </w:trPr>
        <w:tc>
          <w:tcPr>
            <w:tcW w:w="1083" w:type="dxa"/>
            <w:vMerge/>
          </w:tcPr>
          <w:p>
            <w:pPr/>
          </w:p>
        </w:tc>
        <w:tc>
          <w:tcPr>
            <w:tcW w:w="1238" w:type="dxa"/>
            <w:vMerge/>
          </w:tcPr>
          <w:p>
            <w:pPr/>
          </w:p>
        </w:tc>
        <w:tc>
          <w:tcPr>
            <w:tcW w:w="1402" w:type="dxa"/>
            <w:vMerge/>
          </w:tcPr>
          <w:p>
            <w:pPr/>
          </w:p>
        </w:tc>
        <w:tc>
          <w:tcPr>
            <w:tcW w:w="1781" w:type="dxa"/>
            <w:vMerge/>
          </w:tcPr>
          <w:p>
            <w:pPr/>
          </w:p>
        </w:tc>
        <w:tc>
          <w:tcPr>
            <w:tcW w:w="6851" w:type="dxa"/>
            <w:tcBorders>
              <w:top w:val="dotted" w:sz="4" w:space="0" w:color="000000"/>
            </w:tcBorders>
          </w:tcPr>
          <w:p>
            <w:pPr>
              <w:pStyle w:val="TableParagraph"/>
              <w:ind w:left="67"/>
              <w:rPr>
                <w:sz w:val="20"/>
              </w:rPr>
            </w:pPr>
            <w:r>
              <w:rPr>
                <w:sz w:val="20"/>
              </w:rPr>
              <w:t>Ladies and elder people compartment should be separated from male compartment.</w:t>
            </w:r>
          </w:p>
        </w:tc>
        <w:tc>
          <w:tcPr>
            <w:tcW w:w="1303" w:type="dxa"/>
            <w:tcBorders>
              <w:top w:val="dotted" w:sz="4" w:space="0" w:color="000000"/>
            </w:tcBorders>
          </w:tcPr>
          <w:p>
            <w:pPr>
              <w:pStyle w:val="TableParagraph"/>
              <w:ind w:left="67"/>
              <w:rPr>
                <w:sz w:val="20"/>
              </w:rPr>
            </w:pPr>
            <w:r>
              <w:rPr>
                <w:sz w:val="20"/>
              </w:rPr>
              <w:t>Noted.</w:t>
            </w:r>
          </w:p>
        </w:tc>
      </w:tr>
      <w:tr>
        <w:trPr>
          <w:trHeight w:val="361" w:hRule="exact"/>
        </w:trPr>
        <w:tc>
          <w:tcPr>
            <w:tcW w:w="1083" w:type="dxa"/>
            <w:vMerge w:val="restart"/>
          </w:tcPr>
          <w:p>
            <w:pPr>
              <w:pStyle w:val="TableParagraph"/>
              <w:spacing w:before="60"/>
              <w:ind w:left="67"/>
              <w:rPr>
                <w:sz w:val="20"/>
              </w:rPr>
            </w:pPr>
            <w:r>
              <w:rPr>
                <w:sz w:val="20"/>
              </w:rPr>
              <w:t>Feb 10,</w:t>
            </w:r>
          </w:p>
          <w:p>
            <w:pPr>
              <w:pStyle w:val="TableParagraph"/>
              <w:spacing w:before="0"/>
              <w:ind w:left="67"/>
              <w:rPr>
                <w:sz w:val="20"/>
              </w:rPr>
            </w:pPr>
            <w:r>
              <w:rPr>
                <w:sz w:val="20"/>
              </w:rPr>
              <w:t>2019</w:t>
            </w:r>
          </w:p>
        </w:tc>
        <w:tc>
          <w:tcPr>
            <w:tcW w:w="1238" w:type="dxa"/>
            <w:vMerge w:val="restart"/>
          </w:tcPr>
          <w:p>
            <w:pPr>
              <w:pStyle w:val="TableParagraph"/>
              <w:spacing w:before="60"/>
              <w:ind w:left="67"/>
              <w:rPr>
                <w:sz w:val="20"/>
              </w:rPr>
            </w:pPr>
            <w:r>
              <w:rPr>
                <w:sz w:val="20"/>
              </w:rPr>
              <w:t>Noorani </w:t>
            </w:r>
            <w:r>
              <w:rPr>
                <w:w w:val="95"/>
                <w:sz w:val="20"/>
              </w:rPr>
              <w:t>Chowrangi</w:t>
            </w:r>
          </w:p>
        </w:tc>
        <w:tc>
          <w:tcPr>
            <w:tcW w:w="1402" w:type="dxa"/>
            <w:vMerge w:val="restart"/>
          </w:tcPr>
          <w:p>
            <w:pPr/>
          </w:p>
        </w:tc>
        <w:tc>
          <w:tcPr>
            <w:tcW w:w="1781" w:type="dxa"/>
            <w:vMerge w:val="restart"/>
          </w:tcPr>
          <w:p>
            <w:pPr/>
          </w:p>
        </w:tc>
        <w:tc>
          <w:tcPr>
            <w:tcW w:w="6851" w:type="dxa"/>
            <w:tcBorders>
              <w:bottom w:val="dotted" w:sz="4" w:space="0" w:color="000000"/>
            </w:tcBorders>
          </w:tcPr>
          <w:p>
            <w:pPr>
              <w:pStyle w:val="TableParagraph"/>
              <w:spacing w:before="62"/>
              <w:ind w:left="67"/>
              <w:rPr>
                <w:sz w:val="20"/>
              </w:rPr>
            </w:pPr>
            <w:r>
              <w:rPr>
                <w:sz w:val="20"/>
              </w:rPr>
              <w:t>The Transportation system will be improved due to BRT project.</w:t>
            </w:r>
          </w:p>
        </w:tc>
        <w:tc>
          <w:tcPr>
            <w:tcW w:w="1303" w:type="dxa"/>
            <w:tcBorders>
              <w:bottom w:val="dotted" w:sz="4" w:space="0" w:color="000000"/>
            </w:tcBorders>
          </w:tcPr>
          <w:p>
            <w:pPr>
              <w:pStyle w:val="TableParagraph"/>
              <w:spacing w:before="62"/>
              <w:ind w:left="67"/>
              <w:rPr>
                <w:sz w:val="20"/>
              </w:rPr>
            </w:pPr>
            <w:r>
              <w:rPr>
                <w:sz w:val="20"/>
              </w:rPr>
              <w:t>Noted.</w:t>
            </w:r>
          </w:p>
        </w:tc>
      </w:tr>
      <w:tr>
        <w:trPr>
          <w:trHeight w:val="590" w:hRule="exact"/>
        </w:trPr>
        <w:tc>
          <w:tcPr>
            <w:tcW w:w="1083" w:type="dxa"/>
            <w:vMerge/>
          </w:tcPr>
          <w:p>
            <w:pPr/>
          </w:p>
        </w:tc>
        <w:tc>
          <w:tcPr>
            <w:tcW w:w="1238" w:type="dxa"/>
            <w:vMerge/>
          </w:tcPr>
          <w:p>
            <w:pPr/>
          </w:p>
        </w:tc>
        <w:tc>
          <w:tcPr>
            <w:tcW w:w="1402" w:type="dxa"/>
            <w:vMerge/>
          </w:tcPr>
          <w:p>
            <w:pPr/>
          </w:p>
        </w:tc>
        <w:tc>
          <w:tcPr>
            <w:tcW w:w="1781" w:type="dxa"/>
            <w:vMerge/>
          </w:tcPr>
          <w:p>
            <w:pPr/>
          </w:p>
        </w:tc>
        <w:tc>
          <w:tcPr>
            <w:tcW w:w="6851" w:type="dxa"/>
            <w:tcBorders>
              <w:top w:val="dotted" w:sz="4" w:space="0" w:color="000000"/>
              <w:bottom w:val="dotted" w:sz="4" w:space="0" w:color="000000"/>
            </w:tcBorders>
          </w:tcPr>
          <w:p>
            <w:pPr>
              <w:pStyle w:val="TableParagraph"/>
              <w:ind w:left="67"/>
              <w:rPr>
                <w:sz w:val="20"/>
              </w:rPr>
            </w:pPr>
            <w:r>
              <w:rPr>
                <w:sz w:val="20"/>
              </w:rPr>
              <w:t>Women hope that their family members will get jobs in BRT Project during construction and operational phase.</w:t>
            </w:r>
          </w:p>
        </w:tc>
        <w:tc>
          <w:tcPr>
            <w:tcW w:w="1303" w:type="dxa"/>
            <w:tcBorders>
              <w:top w:val="dotted" w:sz="4" w:space="0" w:color="000000"/>
              <w:bottom w:val="dotted" w:sz="4" w:space="0" w:color="000000"/>
            </w:tcBorders>
          </w:tcPr>
          <w:p>
            <w:pPr>
              <w:pStyle w:val="TableParagraph"/>
              <w:spacing w:before="62"/>
              <w:ind w:left="67"/>
              <w:rPr>
                <w:sz w:val="20"/>
              </w:rPr>
            </w:pPr>
            <w:r>
              <w:rPr>
                <w:sz w:val="20"/>
              </w:rPr>
              <w:t>Noted.</w:t>
            </w:r>
          </w:p>
        </w:tc>
      </w:tr>
      <w:tr>
        <w:trPr>
          <w:trHeight w:val="360" w:hRule="exact"/>
        </w:trPr>
        <w:tc>
          <w:tcPr>
            <w:tcW w:w="1083" w:type="dxa"/>
            <w:vMerge/>
          </w:tcPr>
          <w:p>
            <w:pPr/>
          </w:p>
        </w:tc>
        <w:tc>
          <w:tcPr>
            <w:tcW w:w="1238" w:type="dxa"/>
            <w:vMerge/>
          </w:tcPr>
          <w:p>
            <w:pPr/>
          </w:p>
        </w:tc>
        <w:tc>
          <w:tcPr>
            <w:tcW w:w="1402" w:type="dxa"/>
            <w:vMerge/>
          </w:tcPr>
          <w:p>
            <w:pPr/>
          </w:p>
        </w:tc>
        <w:tc>
          <w:tcPr>
            <w:tcW w:w="1781" w:type="dxa"/>
            <w:vMerge/>
          </w:tcPr>
          <w:p>
            <w:pPr/>
          </w:p>
        </w:tc>
        <w:tc>
          <w:tcPr>
            <w:tcW w:w="6851" w:type="dxa"/>
            <w:tcBorders>
              <w:top w:val="dotted" w:sz="4" w:space="0" w:color="000000"/>
            </w:tcBorders>
          </w:tcPr>
          <w:p>
            <w:pPr>
              <w:pStyle w:val="TableParagraph"/>
              <w:ind w:left="67"/>
              <w:rPr>
                <w:sz w:val="20"/>
              </w:rPr>
            </w:pPr>
            <w:r>
              <w:rPr>
                <w:sz w:val="20"/>
              </w:rPr>
              <w:t>The BRT would be beneficial, if fares are affordable.</w:t>
            </w:r>
          </w:p>
        </w:tc>
        <w:tc>
          <w:tcPr>
            <w:tcW w:w="1303" w:type="dxa"/>
            <w:tcBorders>
              <w:top w:val="dotted" w:sz="4" w:space="0" w:color="000000"/>
            </w:tcBorders>
          </w:tcPr>
          <w:p>
            <w:pPr>
              <w:pStyle w:val="TableParagraph"/>
              <w:ind w:left="67"/>
              <w:rPr>
                <w:sz w:val="20"/>
              </w:rPr>
            </w:pPr>
            <w:r>
              <w:rPr>
                <w:sz w:val="20"/>
              </w:rPr>
              <w:t>Noted.</w:t>
            </w:r>
          </w:p>
        </w:tc>
      </w:tr>
      <w:tr>
        <w:trPr>
          <w:trHeight w:val="590" w:hRule="exact"/>
        </w:trPr>
        <w:tc>
          <w:tcPr>
            <w:tcW w:w="1083" w:type="dxa"/>
            <w:vMerge w:val="restart"/>
          </w:tcPr>
          <w:p>
            <w:pPr>
              <w:pStyle w:val="TableParagraph"/>
              <w:ind w:left="67"/>
              <w:rPr>
                <w:sz w:val="20"/>
              </w:rPr>
            </w:pPr>
            <w:r>
              <w:rPr>
                <w:sz w:val="20"/>
              </w:rPr>
              <w:t>Feb 10,</w:t>
            </w:r>
          </w:p>
          <w:p>
            <w:pPr>
              <w:pStyle w:val="TableParagraph"/>
              <w:spacing w:before="0"/>
              <w:ind w:left="67"/>
              <w:rPr>
                <w:sz w:val="20"/>
              </w:rPr>
            </w:pPr>
            <w:r>
              <w:rPr>
                <w:sz w:val="20"/>
              </w:rPr>
              <w:t>2019</w:t>
            </w:r>
          </w:p>
        </w:tc>
        <w:tc>
          <w:tcPr>
            <w:tcW w:w="1238" w:type="dxa"/>
            <w:vMerge w:val="restart"/>
          </w:tcPr>
          <w:p>
            <w:pPr>
              <w:pStyle w:val="TableParagraph"/>
              <w:ind w:left="67"/>
              <w:rPr>
                <w:sz w:val="20"/>
              </w:rPr>
            </w:pPr>
            <w:r>
              <w:rPr>
                <w:sz w:val="20"/>
              </w:rPr>
              <w:t>Shan </w:t>
            </w:r>
            <w:r>
              <w:rPr>
                <w:w w:val="95"/>
                <w:sz w:val="20"/>
              </w:rPr>
              <w:t>Chowrangi</w:t>
            </w:r>
          </w:p>
        </w:tc>
        <w:tc>
          <w:tcPr>
            <w:tcW w:w="1402" w:type="dxa"/>
            <w:vMerge w:val="restart"/>
          </w:tcPr>
          <w:p>
            <w:pPr/>
          </w:p>
        </w:tc>
        <w:tc>
          <w:tcPr>
            <w:tcW w:w="1781" w:type="dxa"/>
            <w:vMerge w:val="restart"/>
          </w:tcPr>
          <w:p>
            <w:pPr/>
          </w:p>
        </w:tc>
        <w:tc>
          <w:tcPr>
            <w:tcW w:w="6851" w:type="dxa"/>
            <w:tcBorders>
              <w:bottom w:val="dotted" w:sz="4" w:space="0" w:color="000000"/>
            </w:tcBorders>
          </w:tcPr>
          <w:p>
            <w:pPr>
              <w:pStyle w:val="TableParagraph"/>
              <w:ind w:left="67"/>
              <w:rPr>
                <w:sz w:val="20"/>
              </w:rPr>
            </w:pPr>
            <w:r>
              <w:rPr>
                <w:sz w:val="20"/>
              </w:rPr>
              <w:t>The BRT should have designated stops. The stops should be closer to the communities.</w:t>
            </w:r>
          </w:p>
        </w:tc>
        <w:tc>
          <w:tcPr>
            <w:tcW w:w="1303" w:type="dxa"/>
            <w:tcBorders>
              <w:bottom w:val="dotted" w:sz="4" w:space="0" w:color="000000"/>
            </w:tcBorders>
          </w:tcPr>
          <w:p>
            <w:pPr>
              <w:pStyle w:val="TableParagraph"/>
              <w:ind w:left="67"/>
              <w:rPr>
                <w:sz w:val="20"/>
              </w:rPr>
            </w:pPr>
            <w:r>
              <w:rPr>
                <w:sz w:val="20"/>
              </w:rPr>
              <w:t>Noted.</w:t>
            </w:r>
          </w:p>
        </w:tc>
      </w:tr>
      <w:tr>
        <w:trPr>
          <w:trHeight w:val="360" w:hRule="exact"/>
        </w:trPr>
        <w:tc>
          <w:tcPr>
            <w:tcW w:w="1083" w:type="dxa"/>
            <w:vMerge/>
          </w:tcPr>
          <w:p>
            <w:pPr/>
          </w:p>
        </w:tc>
        <w:tc>
          <w:tcPr>
            <w:tcW w:w="1238" w:type="dxa"/>
            <w:vMerge/>
          </w:tcPr>
          <w:p>
            <w:pPr/>
          </w:p>
        </w:tc>
        <w:tc>
          <w:tcPr>
            <w:tcW w:w="1402" w:type="dxa"/>
            <w:vMerge/>
          </w:tcPr>
          <w:p>
            <w:pPr/>
          </w:p>
        </w:tc>
        <w:tc>
          <w:tcPr>
            <w:tcW w:w="1781" w:type="dxa"/>
            <w:vMerge/>
          </w:tcPr>
          <w:p>
            <w:pPr/>
          </w:p>
        </w:tc>
        <w:tc>
          <w:tcPr>
            <w:tcW w:w="6851" w:type="dxa"/>
            <w:tcBorders>
              <w:top w:val="dotted" w:sz="4" w:space="0" w:color="000000"/>
              <w:bottom w:val="dotted" w:sz="4" w:space="0" w:color="000000"/>
            </w:tcBorders>
          </w:tcPr>
          <w:p>
            <w:pPr>
              <w:pStyle w:val="TableParagraph"/>
              <w:ind w:left="67"/>
              <w:rPr>
                <w:sz w:val="20"/>
              </w:rPr>
            </w:pPr>
            <w:r>
              <w:rPr>
                <w:sz w:val="20"/>
              </w:rPr>
              <w:t>To safely cross the roads, bridges should be constructed.</w:t>
            </w:r>
          </w:p>
        </w:tc>
        <w:tc>
          <w:tcPr>
            <w:tcW w:w="1303" w:type="dxa"/>
            <w:tcBorders>
              <w:top w:val="dotted" w:sz="4" w:space="0" w:color="000000"/>
              <w:bottom w:val="dotted" w:sz="4" w:space="0" w:color="000000"/>
            </w:tcBorders>
          </w:tcPr>
          <w:p>
            <w:pPr>
              <w:pStyle w:val="TableParagraph"/>
              <w:ind w:left="67"/>
              <w:rPr>
                <w:sz w:val="20"/>
              </w:rPr>
            </w:pPr>
            <w:r>
              <w:rPr>
                <w:sz w:val="20"/>
              </w:rPr>
              <w:t>Noted.</w:t>
            </w:r>
          </w:p>
        </w:tc>
      </w:tr>
      <w:tr>
        <w:trPr>
          <w:trHeight w:val="591" w:hRule="exact"/>
        </w:trPr>
        <w:tc>
          <w:tcPr>
            <w:tcW w:w="1083" w:type="dxa"/>
            <w:vMerge/>
          </w:tcPr>
          <w:p>
            <w:pPr/>
          </w:p>
        </w:tc>
        <w:tc>
          <w:tcPr>
            <w:tcW w:w="1238" w:type="dxa"/>
            <w:vMerge/>
          </w:tcPr>
          <w:p>
            <w:pPr/>
          </w:p>
        </w:tc>
        <w:tc>
          <w:tcPr>
            <w:tcW w:w="1402" w:type="dxa"/>
            <w:vMerge/>
          </w:tcPr>
          <w:p>
            <w:pPr/>
          </w:p>
        </w:tc>
        <w:tc>
          <w:tcPr>
            <w:tcW w:w="1781" w:type="dxa"/>
            <w:vMerge/>
          </w:tcPr>
          <w:p>
            <w:pPr/>
          </w:p>
        </w:tc>
        <w:tc>
          <w:tcPr>
            <w:tcW w:w="6851" w:type="dxa"/>
            <w:tcBorders>
              <w:top w:val="dotted" w:sz="4" w:space="0" w:color="000000"/>
            </w:tcBorders>
          </w:tcPr>
          <w:p>
            <w:pPr>
              <w:pStyle w:val="TableParagraph"/>
              <w:spacing w:before="60"/>
              <w:ind w:left="67"/>
              <w:rPr>
                <w:sz w:val="20"/>
              </w:rPr>
            </w:pPr>
            <w:r>
              <w:rPr>
                <w:sz w:val="20"/>
              </w:rPr>
              <w:t>The BRT buses should not be overcrowded, and some seats should be reserved for old age people.</w:t>
            </w:r>
          </w:p>
        </w:tc>
        <w:tc>
          <w:tcPr>
            <w:tcW w:w="1303" w:type="dxa"/>
            <w:tcBorders>
              <w:top w:val="dotted" w:sz="4" w:space="0" w:color="000000"/>
            </w:tcBorders>
          </w:tcPr>
          <w:p>
            <w:pPr>
              <w:pStyle w:val="TableParagraph"/>
              <w:spacing w:before="60"/>
              <w:ind w:left="67"/>
              <w:rPr>
                <w:sz w:val="20"/>
              </w:rPr>
            </w:pPr>
            <w:r>
              <w:rPr>
                <w:sz w:val="20"/>
              </w:rPr>
              <w:t>Noted.</w:t>
            </w:r>
          </w:p>
        </w:tc>
      </w:tr>
      <w:tr>
        <w:trPr>
          <w:trHeight w:val="1421" w:hRule="exact"/>
        </w:trPr>
        <w:tc>
          <w:tcPr>
            <w:tcW w:w="1083" w:type="dxa"/>
            <w:vMerge w:val="restart"/>
          </w:tcPr>
          <w:p>
            <w:pPr>
              <w:pStyle w:val="TableParagraph"/>
              <w:ind w:left="67"/>
              <w:rPr>
                <w:sz w:val="20"/>
              </w:rPr>
            </w:pPr>
            <w:r>
              <w:rPr>
                <w:sz w:val="20"/>
              </w:rPr>
              <w:t>Feb 10,</w:t>
            </w:r>
          </w:p>
          <w:p>
            <w:pPr>
              <w:pStyle w:val="TableParagraph"/>
              <w:spacing w:before="0"/>
              <w:ind w:left="67"/>
              <w:rPr>
                <w:sz w:val="20"/>
              </w:rPr>
            </w:pPr>
            <w:r>
              <w:rPr>
                <w:sz w:val="20"/>
              </w:rPr>
              <w:t>2019</w:t>
            </w:r>
          </w:p>
        </w:tc>
        <w:tc>
          <w:tcPr>
            <w:tcW w:w="1238" w:type="dxa"/>
            <w:vMerge w:val="restart"/>
          </w:tcPr>
          <w:p>
            <w:pPr>
              <w:pStyle w:val="TableParagraph"/>
              <w:spacing w:before="0"/>
              <w:ind w:left="67" w:right="1"/>
              <w:rPr>
                <w:sz w:val="20"/>
              </w:rPr>
            </w:pPr>
            <w:r>
              <w:rPr>
                <w:w w:val="95"/>
                <w:sz w:val="20"/>
              </w:rPr>
              <w:t>Transgende </w:t>
            </w:r>
            <w:r>
              <w:rPr>
                <w:sz w:val="20"/>
              </w:rPr>
              <w:t>rs</w:t>
            </w:r>
          </w:p>
        </w:tc>
        <w:tc>
          <w:tcPr>
            <w:tcW w:w="1402" w:type="dxa"/>
            <w:vMerge w:val="restart"/>
          </w:tcPr>
          <w:p>
            <w:pPr/>
          </w:p>
        </w:tc>
        <w:tc>
          <w:tcPr>
            <w:tcW w:w="1781" w:type="dxa"/>
            <w:vMerge w:val="restart"/>
          </w:tcPr>
          <w:p>
            <w:pPr/>
          </w:p>
        </w:tc>
        <w:tc>
          <w:tcPr>
            <w:tcW w:w="6851" w:type="dxa"/>
            <w:tcBorders>
              <w:bottom w:val="dotted" w:sz="4" w:space="0" w:color="000000"/>
            </w:tcBorders>
          </w:tcPr>
          <w:p>
            <w:pPr>
              <w:pStyle w:val="TableParagraph"/>
              <w:ind w:left="67" w:right="72"/>
              <w:jc w:val="both"/>
              <w:rPr>
                <w:sz w:val="20"/>
              </w:rPr>
            </w:pPr>
            <w:r>
              <w:rPr>
                <w:sz w:val="20"/>
              </w:rPr>
              <w:t>The buses could be used to educate the passengers on changing toxic masculine behaviour, stopping violence against women and transgender persons.</w:t>
            </w:r>
          </w:p>
        </w:tc>
        <w:tc>
          <w:tcPr>
            <w:tcW w:w="1303" w:type="dxa"/>
            <w:tcBorders>
              <w:bottom w:val="dotted" w:sz="4" w:space="0" w:color="000000"/>
            </w:tcBorders>
          </w:tcPr>
          <w:p>
            <w:pPr>
              <w:pStyle w:val="TableParagraph"/>
              <w:ind w:left="67"/>
              <w:rPr>
                <w:sz w:val="20"/>
              </w:rPr>
            </w:pPr>
            <w:r>
              <w:rPr>
                <w:sz w:val="20"/>
              </w:rPr>
              <w:t>Noted.</w:t>
            </w:r>
          </w:p>
        </w:tc>
      </w:tr>
      <w:tr>
        <w:trPr>
          <w:trHeight w:val="821" w:hRule="exact"/>
        </w:trPr>
        <w:tc>
          <w:tcPr>
            <w:tcW w:w="1083" w:type="dxa"/>
            <w:vMerge/>
          </w:tcPr>
          <w:p>
            <w:pPr/>
          </w:p>
        </w:tc>
        <w:tc>
          <w:tcPr>
            <w:tcW w:w="1238" w:type="dxa"/>
            <w:vMerge/>
          </w:tcPr>
          <w:p>
            <w:pPr/>
          </w:p>
        </w:tc>
        <w:tc>
          <w:tcPr>
            <w:tcW w:w="1402" w:type="dxa"/>
            <w:vMerge/>
          </w:tcPr>
          <w:p>
            <w:pPr/>
          </w:p>
        </w:tc>
        <w:tc>
          <w:tcPr>
            <w:tcW w:w="1781" w:type="dxa"/>
            <w:vMerge/>
          </w:tcPr>
          <w:p>
            <w:pPr/>
          </w:p>
        </w:tc>
        <w:tc>
          <w:tcPr>
            <w:tcW w:w="6851" w:type="dxa"/>
            <w:tcBorders>
              <w:top w:val="dotted" w:sz="4" w:space="0" w:color="000000"/>
              <w:bottom w:val="dotted" w:sz="4" w:space="0" w:color="000000"/>
            </w:tcBorders>
          </w:tcPr>
          <w:p>
            <w:pPr>
              <w:pStyle w:val="TableParagraph"/>
              <w:ind w:left="67" w:right="69"/>
              <w:jc w:val="both"/>
              <w:rPr>
                <w:sz w:val="20"/>
              </w:rPr>
            </w:pPr>
            <w:r>
              <w:rPr>
                <w:sz w:val="20"/>
              </w:rPr>
              <w:t>In order to recruit and retain women and transgender persons in all levels of the project, it is important to set aside a certain quota as a positive discrimination measure.</w:t>
            </w:r>
          </w:p>
        </w:tc>
        <w:tc>
          <w:tcPr>
            <w:tcW w:w="1303" w:type="dxa"/>
            <w:tcBorders>
              <w:top w:val="dotted" w:sz="4" w:space="0" w:color="000000"/>
              <w:bottom w:val="dotted" w:sz="4" w:space="0" w:color="000000"/>
            </w:tcBorders>
          </w:tcPr>
          <w:p>
            <w:pPr>
              <w:pStyle w:val="TableParagraph"/>
              <w:ind w:left="67"/>
              <w:rPr>
                <w:sz w:val="20"/>
              </w:rPr>
            </w:pPr>
            <w:r>
              <w:rPr>
                <w:sz w:val="20"/>
              </w:rPr>
              <w:t>Noted.</w:t>
            </w:r>
          </w:p>
        </w:tc>
      </w:tr>
      <w:tr>
        <w:trPr>
          <w:trHeight w:val="590" w:hRule="exact"/>
        </w:trPr>
        <w:tc>
          <w:tcPr>
            <w:tcW w:w="1083" w:type="dxa"/>
            <w:vMerge/>
          </w:tcPr>
          <w:p>
            <w:pPr/>
          </w:p>
        </w:tc>
        <w:tc>
          <w:tcPr>
            <w:tcW w:w="1238" w:type="dxa"/>
            <w:vMerge/>
          </w:tcPr>
          <w:p>
            <w:pPr/>
          </w:p>
        </w:tc>
        <w:tc>
          <w:tcPr>
            <w:tcW w:w="1402" w:type="dxa"/>
            <w:vMerge/>
          </w:tcPr>
          <w:p>
            <w:pPr/>
          </w:p>
        </w:tc>
        <w:tc>
          <w:tcPr>
            <w:tcW w:w="1781" w:type="dxa"/>
            <w:vMerge/>
          </w:tcPr>
          <w:p>
            <w:pPr/>
          </w:p>
        </w:tc>
        <w:tc>
          <w:tcPr>
            <w:tcW w:w="6851" w:type="dxa"/>
            <w:tcBorders>
              <w:top w:val="dotted" w:sz="4" w:space="0" w:color="000000"/>
            </w:tcBorders>
          </w:tcPr>
          <w:p>
            <w:pPr>
              <w:pStyle w:val="TableParagraph"/>
              <w:ind w:left="67" w:right="69"/>
              <w:rPr>
                <w:sz w:val="20"/>
              </w:rPr>
            </w:pPr>
            <w:r>
              <w:rPr>
                <w:sz w:val="20"/>
              </w:rPr>
              <w:t>Suggestions</w:t>
            </w:r>
            <w:r>
              <w:rPr>
                <w:spacing w:val="-11"/>
                <w:sz w:val="20"/>
              </w:rPr>
              <w:t> </w:t>
            </w:r>
            <w:r>
              <w:rPr>
                <w:sz w:val="20"/>
              </w:rPr>
              <w:t>were</w:t>
            </w:r>
            <w:r>
              <w:rPr>
                <w:spacing w:val="-13"/>
                <w:sz w:val="20"/>
              </w:rPr>
              <w:t> </w:t>
            </w:r>
            <w:r>
              <w:rPr>
                <w:sz w:val="20"/>
              </w:rPr>
              <w:t>also</w:t>
            </w:r>
            <w:r>
              <w:rPr>
                <w:spacing w:val="-13"/>
                <w:sz w:val="20"/>
              </w:rPr>
              <w:t> </w:t>
            </w:r>
            <w:r>
              <w:rPr>
                <w:sz w:val="20"/>
              </w:rPr>
              <w:t>made</w:t>
            </w:r>
            <w:r>
              <w:rPr>
                <w:spacing w:val="-15"/>
                <w:sz w:val="20"/>
              </w:rPr>
              <w:t> </w:t>
            </w:r>
            <w:r>
              <w:rPr>
                <w:sz w:val="20"/>
              </w:rPr>
              <w:t>to</w:t>
            </w:r>
            <w:r>
              <w:rPr>
                <w:spacing w:val="-13"/>
                <w:sz w:val="20"/>
              </w:rPr>
              <w:t> </w:t>
            </w:r>
            <w:r>
              <w:rPr>
                <w:sz w:val="20"/>
              </w:rPr>
              <w:t>hire</w:t>
            </w:r>
            <w:r>
              <w:rPr>
                <w:spacing w:val="-13"/>
                <w:sz w:val="20"/>
              </w:rPr>
              <w:t> </w:t>
            </w:r>
            <w:r>
              <w:rPr>
                <w:sz w:val="20"/>
              </w:rPr>
              <w:t>female</w:t>
            </w:r>
            <w:r>
              <w:rPr>
                <w:spacing w:val="-13"/>
                <w:sz w:val="20"/>
              </w:rPr>
              <w:t> </w:t>
            </w:r>
            <w:r>
              <w:rPr>
                <w:sz w:val="20"/>
              </w:rPr>
              <w:t>and</w:t>
            </w:r>
            <w:r>
              <w:rPr>
                <w:spacing w:val="-13"/>
                <w:sz w:val="20"/>
              </w:rPr>
              <w:t> </w:t>
            </w:r>
            <w:r>
              <w:rPr>
                <w:sz w:val="20"/>
              </w:rPr>
              <w:t>transgender</w:t>
            </w:r>
            <w:r>
              <w:rPr>
                <w:spacing w:val="-12"/>
                <w:sz w:val="20"/>
              </w:rPr>
              <w:t> </w:t>
            </w:r>
            <w:r>
              <w:rPr>
                <w:sz w:val="20"/>
              </w:rPr>
              <w:t>drivers</w:t>
            </w:r>
            <w:r>
              <w:rPr>
                <w:spacing w:val="-13"/>
                <w:sz w:val="20"/>
              </w:rPr>
              <w:t> </w:t>
            </w:r>
            <w:r>
              <w:rPr>
                <w:sz w:val="20"/>
              </w:rPr>
              <w:t>and</w:t>
            </w:r>
            <w:r>
              <w:rPr>
                <w:spacing w:val="-13"/>
                <w:sz w:val="20"/>
              </w:rPr>
              <w:t> </w:t>
            </w:r>
            <w:r>
              <w:rPr>
                <w:sz w:val="20"/>
              </w:rPr>
              <w:t>staff at the bus stations to avoid incidents of</w:t>
            </w:r>
            <w:r>
              <w:rPr>
                <w:spacing w:val="-16"/>
                <w:sz w:val="20"/>
              </w:rPr>
              <w:t> </w:t>
            </w:r>
            <w:r>
              <w:rPr>
                <w:sz w:val="20"/>
              </w:rPr>
              <w:t>violence.</w:t>
            </w:r>
          </w:p>
        </w:tc>
        <w:tc>
          <w:tcPr>
            <w:tcW w:w="1303" w:type="dxa"/>
            <w:tcBorders>
              <w:top w:val="dotted" w:sz="4" w:space="0" w:color="000000"/>
            </w:tcBorders>
          </w:tcPr>
          <w:p>
            <w:pPr>
              <w:pStyle w:val="TableParagraph"/>
              <w:ind w:left="67"/>
              <w:rPr>
                <w:sz w:val="20"/>
              </w:rPr>
            </w:pPr>
            <w:r>
              <w:rPr>
                <w:sz w:val="20"/>
              </w:rPr>
              <w:t>Noted.</w:t>
            </w:r>
          </w:p>
        </w:tc>
      </w:tr>
    </w:tbl>
    <w:p>
      <w:pPr>
        <w:spacing w:after="0"/>
        <w:rPr>
          <w:sz w:val="20"/>
        </w:rPr>
        <w:sectPr>
          <w:pgSz w:w="16840" w:h="11910" w:orient="landscape"/>
          <w:pgMar w:header="583" w:footer="575" w:top="840" w:bottom="760" w:left="860" w:right="1280"/>
        </w:sectPr>
      </w:pPr>
    </w:p>
    <w:p>
      <w:pPr>
        <w:pStyle w:val="BodyText"/>
        <w:rPr>
          <w:rFonts w:ascii="Times New Roman"/>
          <w:sz w:val="20"/>
        </w:rPr>
      </w:pPr>
    </w:p>
    <w:p>
      <w:pPr>
        <w:pStyle w:val="BodyText"/>
        <w:rPr>
          <w:rFonts w:ascii="Times New Roman"/>
          <w:sz w:val="20"/>
        </w:rPr>
      </w:pPr>
    </w:p>
    <w:p>
      <w:pPr>
        <w:pStyle w:val="BodyText"/>
        <w:spacing w:before="10"/>
        <w:rPr>
          <w:rFonts w:ascii="Times New Roman"/>
          <w:sz w:val="27"/>
        </w:rPr>
      </w:pPr>
    </w:p>
    <w:p>
      <w:pPr>
        <w:spacing w:before="92"/>
        <w:ind w:left="4202" w:right="0" w:firstLine="0"/>
        <w:jc w:val="left"/>
        <w:rPr>
          <w:b/>
          <w:sz w:val="28"/>
        </w:rPr>
      </w:pPr>
      <w:bookmarkStart w:name="_bookmark108" w:id="181"/>
      <w:bookmarkEnd w:id="181"/>
      <w:r>
        <w:rPr/>
      </w:r>
      <w:r>
        <w:rPr>
          <w:b/>
          <w:sz w:val="28"/>
          <w:u w:val="thick"/>
        </w:rPr>
        <w:t>Annex-V: Focus Group Discussions with Institutions</w:t>
      </w:r>
    </w:p>
    <w:p>
      <w:pPr>
        <w:pStyle w:val="BodyText"/>
        <w:spacing w:before="6"/>
        <w:rPr>
          <w:b/>
          <w:sz w:val="10"/>
        </w:rPr>
      </w:pPr>
    </w:p>
    <w:tbl>
      <w:tblPr>
        <w:tblW w:w="0" w:type="auto"/>
        <w:jc w:val="left"/>
        <w:tblInd w:w="9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04"/>
        <w:gridCol w:w="2496"/>
        <w:gridCol w:w="1630"/>
        <w:gridCol w:w="5218"/>
        <w:gridCol w:w="3291"/>
      </w:tblGrid>
      <w:tr>
        <w:trPr>
          <w:trHeight w:val="599" w:hRule="exact"/>
        </w:trPr>
        <w:tc>
          <w:tcPr>
            <w:tcW w:w="1004" w:type="dxa"/>
            <w:tcBorders>
              <w:bottom w:val="single" w:sz="4" w:space="0" w:color="000000"/>
              <w:right w:val="single" w:sz="4" w:space="0" w:color="000000"/>
            </w:tcBorders>
            <w:shd w:val="clear" w:color="auto" w:fill="D9D9D9"/>
          </w:tcPr>
          <w:p>
            <w:pPr>
              <w:pStyle w:val="TableParagraph"/>
              <w:spacing w:before="58"/>
              <w:ind w:left="187" w:right="160" w:hanging="17"/>
              <w:rPr>
                <w:b/>
                <w:sz w:val="20"/>
              </w:rPr>
            </w:pPr>
            <w:r>
              <w:rPr>
                <w:b/>
                <w:sz w:val="20"/>
              </w:rPr>
              <w:t>Date &amp; Venue</w:t>
            </w:r>
          </w:p>
        </w:tc>
        <w:tc>
          <w:tcPr>
            <w:tcW w:w="2496" w:type="dxa"/>
            <w:tcBorders>
              <w:left w:val="single" w:sz="4" w:space="0" w:color="000000"/>
              <w:bottom w:val="single" w:sz="4" w:space="0" w:color="000000"/>
              <w:right w:val="single" w:sz="4" w:space="0" w:color="000000"/>
            </w:tcBorders>
            <w:shd w:val="clear" w:color="auto" w:fill="D9D9D9"/>
          </w:tcPr>
          <w:p>
            <w:pPr>
              <w:pStyle w:val="TableParagraph"/>
              <w:spacing w:before="61"/>
              <w:ind w:left="631"/>
              <w:rPr>
                <w:b/>
                <w:sz w:val="20"/>
              </w:rPr>
            </w:pPr>
            <w:r>
              <w:rPr>
                <w:b/>
                <w:sz w:val="20"/>
              </w:rPr>
              <w:t>Organization</w:t>
            </w:r>
          </w:p>
        </w:tc>
        <w:tc>
          <w:tcPr>
            <w:tcW w:w="1630" w:type="dxa"/>
            <w:tcBorders>
              <w:left w:val="single" w:sz="4" w:space="0" w:color="000000"/>
              <w:bottom w:val="single" w:sz="4" w:space="0" w:color="000000"/>
              <w:right w:val="single" w:sz="4" w:space="0" w:color="000000"/>
            </w:tcBorders>
            <w:shd w:val="clear" w:color="auto" w:fill="D9D9D9"/>
          </w:tcPr>
          <w:p>
            <w:pPr>
              <w:pStyle w:val="TableParagraph"/>
              <w:spacing w:before="58"/>
              <w:ind w:left="322" w:right="245" w:firstLine="93"/>
              <w:rPr>
                <w:b/>
                <w:sz w:val="20"/>
              </w:rPr>
            </w:pPr>
            <w:r>
              <w:rPr>
                <w:b/>
                <w:sz w:val="20"/>
              </w:rPr>
              <w:t>Persons </w:t>
            </w:r>
            <w:r>
              <w:rPr>
                <w:b/>
                <w:w w:val="95"/>
                <w:sz w:val="20"/>
              </w:rPr>
              <w:t>Consulted</w:t>
            </w:r>
          </w:p>
        </w:tc>
        <w:tc>
          <w:tcPr>
            <w:tcW w:w="5218" w:type="dxa"/>
            <w:tcBorders>
              <w:left w:val="single" w:sz="4" w:space="0" w:color="000000"/>
              <w:bottom w:val="single" w:sz="4" w:space="0" w:color="000000"/>
              <w:right w:val="single" w:sz="4" w:space="0" w:color="000000"/>
            </w:tcBorders>
            <w:shd w:val="clear" w:color="auto" w:fill="D9D9D9"/>
          </w:tcPr>
          <w:p>
            <w:pPr>
              <w:pStyle w:val="TableParagraph"/>
              <w:spacing w:before="61"/>
              <w:ind w:left="37" w:right="38"/>
              <w:jc w:val="center"/>
              <w:rPr>
                <w:b/>
                <w:sz w:val="20"/>
              </w:rPr>
            </w:pPr>
            <w:r>
              <w:rPr>
                <w:b/>
                <w:sz w:val="20"/>
              </w:rPr>
              <w:t>Main Issues/Concerns/</w:t>
            </w:r>
          </w:p>
        </w:tc>
        <w:tc>
          <w:tcPr>
            <w:tcW w:w="3291" w:type="dxa"/>
            <w:tcBorders>
              <w:left w:val="single" w:sz="4" w:space="0" w:color="000000"/>
              <w:bottom w:val="single" w:sz="4" w:space="0" w:color="000000"/>
            </w:tcBorders>
            <w:shd w:val="clear" w:color="auto" w:fill="D9D9D9"/>
          </w:tcPr>
          <w:p>
            <w:pPr>
              <w:pStyle w:val="TableParagraph"/>
              <w:spacing w:before="61"/>
              <w:ind w:left="1140" w:right="1135"/>
              <w:jc w:val="center"/>
              <w:rPr>
                <w:b/>
                <w:sz w:val="20"/>
              </w:rPr>
            </w:pPr>
            <w:r>
              <w:rPr>
                <w:b/>
                <w:sz w:val="20"/>
              </w:rPr>
              <w:t>Response</w:t>
            </w:r>
          </w:p>
        </w:tc>
      </w:tr>
      <w:tr>
        <w:trPr>
          <w:trHeight w:val="821" w:hRule="exact"/>
        </w:trPr>
        <w:tc>
          <w:tcPr>
            <w:tcW w:w="1004" w:type="dxa"/>
            <w:vMerge w:val="restart"/>
            <w:tcBorders>
              <w:top w:val="single" w:sz="4" w:space="0" w:color="000000"/>
              <w:right w:val="single" w:sz="4" w:space="0" w:color="000000"/>
            </w:tcBorders>
          </w:tcPr>
          <w:p>
            <w:pPr>
              <w:pStyle w:val="TableParagraph"/>
              <w:ind w:left="101"/>
              <w:rPr>
                <w:sz w:val="20"/>
              </w:rPr>
            </w:pPr>
            <w:r>
              <w:rPr>
                <w:sz w:val="20"/>
              </w:rPr>
              <w:t>Feb 11,</w:t>
            </w:r>
          </w:p>
          <w:p>
            <w:pPr>
              <w:pStyle w:val="TableParagraph"/>
              <w:spacing w:before="0"/>
              <w:ind w:left="101"/>
              <w:rPr>
                <w:sz w:val="20"/>
              </w:rPr>
            </w:pPr>
            <w:r>
              <w:rPr>
                <w:sz w:val="20"/>
              </w:rPr>
              <w:t>2019</w:t>
            </w:r>
          </w:p>
        </w:tc>
        <w:tc>
          <w:tcPr>
            <w:tcW w:w="2496" w:type="dxa"/>
            <w:vMerge w:val="restart"/>
            <w:tcBorders>
              <w:top w:val="single" w:sz="4" w:space="0" w:color="000000"/>
              <w:left w:val="single" w:sz="4" w:space="0" w:color="000000"/>
              <w:right w:val="single" w:sz="4" w:space="0" w:color="000000"/>
            </w:tcBorders>
          </w:tcPr>
          <w:p>
            <w:pPr>
              <w:pStyle w:val="TableParagraph"/>
              <w:ind w:left="110" w:right="433"/>
              <w:rPr>
                <w:sz w:val="20"/>
              </w:rPr>
            </w:pPr>
            <w:r>
              <w:rPr>
                <w:sz w:val="20"/>
              </w:rPr>
              <w:t>Women Development Department (WDD)</w:t>
            </w:r>
          </w:p>
        </w:tc>
        <w:tc>
          <w:tcPr>
            <w:tcW w:w="1630" w:type="dxa"/>
            <w:vMerge w:val="restart"/>
            <w:tcBorders>
              <w:top w:val="single" w:sz="4" w:space="0" w:color="000000"/>
              <w:left w:val="single" w:sz="4" w:space="0" w:color="000000"/>
              <w:right w:val="single" w:sz="4" w:space="0" w:color="000000"/>
            </w:tcBorders>
          </w:tcPr>
          <w:p>
            <w:pPr>
              <w:pStyle w:val="TableParagraph"/>
              <w:ind w:left="110" w:right="245"/>
              <w:rPr>
                <w:sz w:val="20"/>
              </w:rPr>
            </w:pPr>
            <w:r>
              <w:rPr>
                <w:sz w:val="20"/>
              </w:rPr>
              <w:t>Mussrat Jabeen, WDD Director</w:t>
            </w:r>
          </w:p>
        </w:tc>
        <w:tc>
          <w:tcPr>
            <w:tcW w:w="5218" w:type="dxa"/>
            <w:tcBorders>
              <w:top w:val="single" w:sz="4" w:space="0" w:color="000000"/>
              <w:left w:val="single" w:sz="4" w:space="0" w:color="000000"/>
              <w:bottom w:val="dotted" w:sz="4" w:space="0" w:color="000000"/>
              <w:right w:val="single" w:sz="4" w:space="0" w:color="000000"/>
            </w:tcBorders>
          </w:tcPr>
          <w:p>
            <w:pPr>
              <w:pStyle w:val="TableParagraph"/>
              <w:ind w:left="110" w:right="105"/>
              <w:rPr>
                <w:sz w:val="20"/>
              </w:rPr>
            </w:pPr>
            <w:r>
              <w:rPr>
                <w:sz w:val="20"/>
              </w:rPr>
              <w:t>The Women Development Department (WDD) expressed their enthusiasm for becoming a part of the Yellow BRT project.</w:t>
            </w:r>
          </w:p>
        </w:tc>
        <w:tc>
          <w:tcPr>
            <w:tcW w:w="3291" w:type="dxa"/>
            <w:tcBorders>
              <w:top w:val="single" w:sz="4" w:space="0" w:color="000000"/>
              <w:left w:val="single" w:sz="4" w:space="0" w:color="000000"/>
              <w:bottom w:val="dotted" w:sz="4" w:space="0" w:color="000000"/>
            </w:tcBorders>
          </w:tcPr>
          <w:p>
            <w:pPr>
              <w:pStyle w:val="TableParagraph"/>
              <w:ind w:left="110"/>
              <w:rPr>
                <w:sz w:val="20"/>
              </w:rPr>
            </w:pPr>
            <w:r>
              <w:rPr>
                <w:sz w:val="20"/>
              </w:rPr>
              <w:t>Noted.</w:t>
            </w:r>
          </w:p>
        </w:tc>
      </w:tr>
      <w:tr>
        <w:trPr>
          <w:trHeight w:val="1049" w:hRule="exact"/>
        </w:trPr>
        <w:tc>
          <w:tcPr>
            <w:tcW w:w="1004" w:type="dxa"/>
            <w:vMerge/>
            <w:tcBorders>
              <w:bottom w:val="single" w:sz="4" w:space="0" w:color="000000"/>
              <w:right w:val="single" w:sz="4" w:space="0" w:color="000000"/>
            </w:tcBorders>
          </w:tcPr>
          <w:p>
            <w:pPr/>
          </w:p>
        </w:tc>
        <w:tc>
          <w:tcPr>
            <w:tcW w:w="2496" w:type="dxa"/>
            <w:vMerge/>
            <w:tcBorders>
              <w:left w:val="single" w:sz="4" w:space="0" w:color="000000"/>
              <w:bottom w:val="single" w:sz="4" w:space="0" w:color="000000"/>
              <w:right w:val="single" w:sz="4" w:space="0" w:color="000000"/>
            </w:tcBorders>
          </w:tcPr>
          <w:p>
            <w:pPr/>
          </w:p>
        </w:tc>
        <w:tc>
          <w:tcPr>
            <w:tcW w:w="1630" w:type="dxa"/>
            <w:vMerge/>
            <w:tcBorders>
              <w:left w:val="single" w:sz="4" w:space="0" w:color="000000"/>
              <w:bottom w:val="single" w:sz="4" w:space="0" w:color="000000"/>
              <w:right w:val="single" w:sz="4" w:space="0" w:color="000000"/>
            </w:tcBorders>
          </w:tcPr>
          <w:p>
            <w:pPr/>
          </w:p>
        </w:tc>
        <w:tc>
          <w:tcPr>
            <w:tcW w:w="5218" w:type="dxa"/>
            <w:tcBorders>
              <w:top w:val="dotted" w:sz="4" w:space="0" w:color="000000"/>
              <w:left w:val="single" w:sz="4" w:space="0" w:color="000000"/>
              <w:bottom w:val="single" w:sz="4" w:space="0" w:color="000000"/>
              <w:right w:val="single" w:sz="4" w:space="0" w:color="000000"/>
            </w:tcBorders>
          </w:tcPr>
          <w:p>
            <w:pPr>
              <w:pStyle w:val="TableParagraph"/>
              <w:ind w:left="110" w:right="610"/>
              <w:rPr>
                <w:sz w:val="20"/>
              </w:rPr>
            </w:pPr>
            <w:r>
              <w:rPr>
                <w:sz w:val="20"/>
              </w:rPr>
              <w:t>The Women Development Department (WDD) has expressed interest for the WDD to have a role in stopping sexual harassment against women in the context of this project.</w:t>
            </w:r>
          </w:p>
        </w:tc>
        <w:tc>
          <w:tcPr>
            <w:tcW w:w="3291" w:type="dxa"/>
            <w:tcBorders>
              <w:top w:val="dotted" w:sz="4" w:space="0" w:color="000000"/>
              <w:left w:val="single" w:sz="4" w:space="0" w:color="000000"/>
              <w:bottom w:val="single" w:sz="4" w:space="0" w:color="000000"/>
            </w:tcBorders>
          </w:tcPr>
          <w:p>
            <w:pPr>
              <w:pStyle w:val="TableParagraph"/>
              <w:spacing w:line="230" w:lineRule="exact" w:before="0"/>
              <w:ind w:left="110"/>
              <w:rPr>
                <w:sz w:val="20"/>
              </w:rPr>
            </w:pPr>
            <w:r>
              <w:rPr>
                <w:sz w:val="20"/>
              </w:rPr>
              <w:t>Noted.</w:t>
            </w:r>
          </w:p>
        </w:tc>
      </w:tr>
      <w:tr>
        <w:trPr>
          <w:trHeight w:val="590" w:hRule="exact"/>
        </w:trPr>
        <w:tc>
          <w:tcPr>
            <w:tcW w:w="1004" w:type="dxa"/>
            <w:vMerge w:val="restart"/>
            <w:tcBorders>
              <w:top w:val="single" w:sz="4" w:space="0" w:color="000000"/>
              <w:right w:val="single" w:sz="4" w:space="0" w:color="000000"/>
            </w:tcBorders>
          </w:tcPr>
          <w:p>
            <w:pPr>
              <w:pStyle w:val="TableParagraph"/>
              <w:ind w:left="101"/>
              <w:rPr>
                <w:sz w:val="20"/>
              </w:rPr>
            </w:pPr>
            <w:r>
              <w:rPr>
                <w:sz w:val="20"/>
              </w:rPr>
              <w:t>Feb 11,</w:t>
            </w:r>
          </w:p>
          <w:p>
            <w:pPr>
              <w:pStyle w:val="TableParagraph"/>
              <w:spacing w:before="0"/>
              <w:ind w:left="101"/>
              <w:rPr>
                <w:sz w:val="20"/>
              </w:rPr>
            </w:pPr>
            <w:r>
              <w:rPr>
                <w:sz w:val="20"/>
              </w:rPr>
              <w:t>2019</w:t>
            </w:r>
          </w:p>
        </w:tc>
        <w:tc>
          <w:tcPr>
            <w:tcW w:w="2496" w:type="dxa"/>
            <w:vMerge w:val="restart"/>
            <w:tcBorders>
              <w:top w:val="single" w:sz="4" w:space="0" w:color="000000"/>
              <w:left w:val="single" w:sz="4" w:space="0" w:color="000000"/>
              <w:right w:val="single" w:sz="4" w:space="0" w:color="000000"/>
            </w:tcBorders>
          </w:tcPr>
          <w:p>
            <w:pPr>
              <w:pStyle w:val="TableParagraph"/>
              <w:tabs>
                <w:tab w:pos="1539" w:val="left" w:leader="none"/>
                <w:tab w:pos="2093" w:val="left" w:leader="none"/>
              </w:tabs>
              <w:ind w:left="110" w:right="112"/>
              <w:rPr>
                <w:sz w:val="20"/>
              </w:rPr>
            </w:pPr>
            <w:r>
              <w:rPr>
                <w:sz w:val="20"/>
              </w:rPr>
              <w:t>Commission</w:t>
              <w:tab/>
              <w:t>on</w:t>
              <w:tab/>
              <w:t>the Status of Women</w:t>
            </w:r>
            <w:r>
              <w:rPr>
                <w:spacing w:val="-8"/>
                <w:sz w:val="20"/>
              </w:rPr>
              <w:t> </w:t>
            </w:r>
            <w:r>
              <w:rPr>
                <w:sz w:val="20"/>
              </w:rPr>
              <w:t>(Sindh)</w:t>
            </w:r>
          </w:p>
        </w:tc>
        <w:tc>
          <w:tcPr>
            <w:tcW w:w="1630" w:type="dxa"/>
            <w:vMerge w:val="restart"/>
            <w:tcBorders>
              <w:top w:val="single" w:sz="4" w:space="0" w:color="000000"/>
              <w:left w:val="single" w:sz="4" w:space="0" w:color="000000"/>
              <w:right w:val="single" w:sz="4" w:space="0" w:color="000000"/>
            </w:tcBorders>
          </w:tcPr>
          <w:p>
            <w:pPr>
              <w:pStyle w:val="TableParagraph"/>
              <w:ind w:left="110" w:right="134"/>
              <w:rPr>
                <w:sz w:val="20"/>
              </w:rPr>
            </w:pPr>
            <w:r>
              <w:rPr>
                <w:sz w:val="20"/>
              </w:rPr>
              <w:t>Nuzhat Shirin, Chairperson</w:t>
            </w:r>
          </w:p>
        </w:tc>
        <w:tc>
          <w:tcPr>
            <w:tcW w:w="5218" w:type="dxa"/>
            <w:tcBorders>
              <w:top w:val="single" w:sz="4" w:space="0" w:color="000000"/>
              <w:left w:val="single" w:sz="4" w:space="0" w:color="000000"/>
              <w:bottom w:val="dotted" w:sz="4" w:space="0" w:color="000000"/>
              <w:right w:val="single" w:sz="4" w:space="0" w:color="000000"/>
            </w:tcBorders>
          </w:tcPr>
          <w:p>
            <w:pPr>
              <w:pStyle w:val="TableParagraph"/>
              <w:ind w:left="110" w:right="105"/>
              <w:rPr>
                <w:sz w:val="20"/>
              </w:rPr>
            </w:pPr>
            <w:r>
              <w:rPr>
                <w:sz w:val="20"/>
              </w:rPr>
              <w:t>The Commission on the Status of Women (CSW) would be happy if they can be a part of BRT.</w:t>
            </w:r>
          </w:p>
        </w:tc>
        <w:tc>
          <w:tcPr>
            <w:tcW w:w="3291" w:type="dxa"/>
            <w:tcBorders>
              <w:top w:val="single" w:sz="4" w:space="0" w:color="000000"/>
              <w:left w:val="single" w:sz="4" w:space="0" w:color="000000"/>
              <w:bottom w:val="dotted" w:sz="4" w:space="0" w:color="000000"/>
            </w:tcBorders>
          </w:tcPr>
          <w:p>
            <w:pPr>
              <w:pStyle w:val="TableParagraph"/>
              <w:spacing w:before="2"/>
              <w:ind w:left="110"/>
              <w:rPr>
                <w:sz w:val="20"/>
              </w:rPr>
            </w:pPr>
            <w:r>
              <w:rPr>
                <w:sz w:val="20"/>
              </w:rPr>
              <w:t>Noted.</w:t>
            </w:r>
          </w:p>
        </w:tc>
      </w:tr>
      <w:tr>
        <w:trPr>
          <w:trHeight w:val="1510" w:hRule="exact"/>
        </w:trPr>
        <w:tc>
          <w:tcPr>
            <w:tcW w:w="1004" w:type="dxa"/>
            <w:vMerge/>
            <w:tcBorders>
              <w:bottom w:val="single" w:sz="4" w:space="0" w:color="000000"/>
              <w:right w:val="single" w:sz="4" w:space="0" w:color="000000"/>
            </w:tcBorders>
          </w:tcPr>
          <w:p>
            <w:pPr/>
          </w:p>
        </w:tc>
        <w:tc>
          <w:tcPr>
            <w:tcW w:w="2496" w:type="dxa"/>
            <w:vMerge/>
            <w:tcBorders>
              <w:left w:val="single" w:sz="4" w:space="0" w:color="000000"/>
              <w:bottom w:val="single" w:sz="4" w:space="0" w:color="000000"/>
              <w:right w:val="single" w:sz="4" w:space="0" w:color="000000"/>
            </w:tcBorders>
          </w:tcPr>
          <w:p>
            <w:pPr/>
          </w:p>
        </w:tc>
        <w:tc>
          <w:tcPr>
            <w:tcW w:w="1630" w:type="dxa"/>
            <w:vMerge/>
            <w:tcBorders>
              <w:left w:val="single" w:sz="4" w:space="0" w:color="000000"/>
              <w:bottom w:val="single" w:sz="4" w:space="0" w:color="000000"/>
              <w:right w:val="single" w:sz="4" w:space="0" w:color="000000"/>
            </w:tcBorders>
          </w:tcPr>
          <w:p>
            <w:pPr/>
          </w:p>
        </w:tc>
        <w:tc>
          <w:tcPr>
            <w:tcW w:w="5218" w:type="dxa"/>
            <w:tcBorders>
              <w:top w:val="dotted" w:sz="4" w:space="0" w:color="000000"/>
              <w:left w:val="single" w:sz="4" w:space="0" w:color="000000"/>
              <w:bottom w:val="single" w:sz="4" w:space="0" w:color="000000"/>
              <w:right w:val="single" w:sz="4" w:space="0" w:color="000000"/>
            </w:tcBorders>
          </w:tcPr>
          <w:p>
            <w:pPr>
              <w:pStyle w:val="TableParagraph"/>
              <w:ind w:left="110" w:right="106"/>
              <w:jc w:val="both"/>
              <w:rPr>
                <w:sz w:val="20"/>
              </w:rPr>
            </w:pPr>
            <w:r>
              <w:rPr>
                <w:sz w:val="20"/>
              </w:rPr>
              <w:t>The Commission on the Status of Women (CSW) recommended to make a committee of stakeholders</w:t>
            </w:r>
            <w:r>
              <w:rPr>
                <w:spacing w:val="-21"/>
                <w:sz w:val="20"/>
              </w:rPr>
              <w:t> </w:t>
            </w:r>
            <w:r>
              <w:rPr>
                <w:sz w:val="20"/>
              </w:rPr>
              <w:t>that can</w:t>
            </w:r>
            <w:r>
              <w:rPr>
                <w:spacing w:val="-16"/>
                <w:sz w:val="20"/>
              </w:rPr>
              <w:t> </w:t>
            </w:r>
            <w:r>
              <w:rPr>
                <w:sz w:val="20"/>
              </w:rPr>
              <w:t>be</w:t>
            </w:r>
            <w:r>
              <w:rPr>
                <w:spacing w:val="-16"/>
                <w:sz w:val="20"/>
              </w:rPr>
              <w:t> </w:t>
            </w:r>
            <w:r>
              <w:rPr>
                <w:sz w:val="20"/>
              </w:rPr>
              <w:t>involved</w:t>
            </w:r>
            <w:r>
              <w:rPr>
                <w:spacing w:val="-15"/>
                <w:sz w:val="20"/>
              </w:rPr>
              <w:t> </w:t>
            </w:r>
            <w:r>
              <w:rPr>
                <w:sz w:val="20"/>
              </w:rPr>
              <w:t>in</w:t>
            </w:r>
            <w:r>
              <w:rPr>
                <w:spacing w:val="-15"/>
                <w:sz w:val="20"/>
              </w:rPr>
              <w:t> </w:t>
            </w:r>
            <w:r>
              <w:rPr>
                <w:sz w:val="20"/>
              </w:rPr>
              <w:t>the</w:t>
            </w:r>
            <w:r>
              <w:rPr>
                <w:spacing w:val="-13"/>
                <w:sz w:val="20"/>
              </w:rPr>
              <w:t> </w:t>
            </w:r>
            <w:r>
              <w:rPr>
                <w:sz w:val="20"/>
              </w:rPr>
              <w:t>unfolding</w:t>
            </w:r>
            <w:r>
              <w:rPr>
                <w:spacing w:val="-15"/>
                <w:sz w:val="20"/>
              </w:rPr>
              <w:t> </w:t>
            </w:r>
            <w:r>
              <w:rPr>
                <w:sz w:val="20"/>
              </w:rPr>
              <w:t>of</w:t>
            </w:r>
            <w:r>
              <w:rPr>
                <w:spacing w:val="-13"/>
                <w:sz w:val="20"/>
              </w:rPr>
              <w:t> </w:t>
            </w:r>
            <w:r>
              <w:rPr>
                <w:sz w:val="20"/>
              </w:rPr>
              <w:t>the</w:t>
            </w:r>
            <w:r>
              <w:rPr>
                <w:spacing w:val="-11"/>
                <w:sz w:val="20"/>
              </w:rPr>
              <w:t> </w:t>
            </w:r>
            <w:r>
              <w:rPr>
                <w:sz w:val="20"/>
              </w:rPr>
              <w:t>Yellow</w:t>
            </w:r>
            <w:r>
              <w:rPr>
                <w:spacing w:val="-15"/>
                <w:sz w:val="20"/>
              </w:rPr>
              <w:t> </w:t>
            </w:r>
            <w:r>
              <w:rPr>
                <w:sz w:val="20"/>
              </w:rPr>
              <w:t>BRT</w:t>
            </w:r>
            <w:r>
              <w:rPr>
                <w:spacing w:val="-11"/>
                <w:sz w:val="20"/>
              </w:rPr>
              <w:t> </w:t>
            </w:r>
            <w:r>
              <w:rPr>
                <w:sz w:val="20"/>
              </w:rPr>
              <w:t>project from a gender perspective so that appropriate mitigating measures for violence against women can be</w:t>
            </w:r>
            <w:r>
              <w:rPr>
                <w:spacing w:val="-16"/>
                <w:sz w:val="20"/>
              </w:rPr>
              <w:t> </w:t>
            </w:r>
            <w:r>
              <w:rPr>
                <w:sz w:val="20"/>
              </w:rPr>
              <w:t>developed in a synergistic</w:t>
            </w:r>
            <w:r>
              <w:rPr>
                <w:spacing w:val="-7"/>
                <w:sz w:val="20"/>
              </w:rPr>
              <w:t> </w:t>
            </w:r>
            <w:r>
              <w:rPr>
                <w:sz w:val="20"/>
              </w:rPr>
              <w:t>manner.</w:t>
            </w:r>
          </w:p>
        </w:tc>
        <w:tc>
          <w:tcPr>
            <w:tcW w:w="3291" w:type="dxa"/>
            <w:tcBorders>
              <w:top w:val="dotted" w:sz="4" w:space="0" w:color="000000"/>
              <w:left w:val="single" w:sz="4" w:space="0" w:color="000000"/>
              <w:bottom w:val="single" w:sz="4" w:space="0" w:color="000000"/>
            </w:tcBorders>
          </w:tcPr>
          <w:p>
            <w:pPr>
              <w:pStyle w:val="TableParagraph"/>
              <w:spacing w:line="230" w:lineRule="exact" w:before="0"/>
              <w:ind w:left="110"/>
              <w:rPr>
                <w:sz w:val="20"/>
              </w:rPr>
            </w:pPr>
            <w:r>
              <w:rPr>
                <w:sz w:val="20"/>
              </w:rPr>
              <w:t>Noted.</w:t>
            </w:r>
          </w:p>
        </w:tc>
      </w:tr>
      <w:tr>
        <w:trPr>
          <w:trHeight w:val="590" w:hRule="exact"/>
        </w:trPr>
        <w:tc>
          <w:tcPr>
            <w:tcW w:w="1004" w:type="dxa"/>
            <w:vMerge w:val="restart"/>
            <w:tcBorders>
              <w:top w:val="single" w:sz="4" w:space="0" w:color="000000"/>
              <w:right w:val="single" w:sz="4" w:space="0" w:color="000000"/>
            </w:tcBorders>
          </w:tcPr>
          <w:p>
            <w:pPr>
              <w:pStyle w:val="TableParagraph"/>
              <w:ind w:left="101"/>
              <w:rPr>
                <w:sz w:val="20"/>
              </w:rPr>
            </w:pPr>
            <w:r>
              <w:rPr>
                <w:sz w:val="20"/>
              </w:rPr>
              <w:t>Feb 11,</w:t>
            </w:r>
          </w:p>
          <w:p>
            <w:pPr>
              <w:pStyle w:val="TableParagraph"/>
              <w:spacing w:before="0"/>
              <w:ind w:left="101"/>
              <w:rPr>
                <w:sz w:val="20"/>
              </w:rPr>
            </w:pPr>
            <w:r>
              <w:rPr>
                <w:sz w:val="20"/>
              </w:rPr>
              <w:t>2019</w:t>
            </w:r>
          </w:p>
        </w:tc>
        <w:tc>
          <w:tcPr>
            <w:tcW w:w="2496" w:type="dxa"/>
            <w:vMerge w:val="restart"/>
            <w:tcBorders>
              <w:top w:val="single" w:sz="4" w:space="0" w:color="000000"/>
              <w:left w:val="single" w:sz="4" w:space="0" w:color="000000"/>
              <w:right w:val="single" w:sz="4" w:space="0" w:color="000000"/>
            </w:tcBorders>
          </w:tcPr>
          <w:p>
            <w:pPr>
              <w:pStyle w:val="TableParagraph"/>
              <w:spacing w:before="62"/>
              <w:ind w:left="110"/>
              <w:rPr>
                <w:sz w:val="20"/>
              </w:rPr>
            </w:pPr>
            <w:r>
              <w:rPr>
                <w:sz w:val="20"/>
              </w:rPr>
              <w:t>Aurat Foundation</w:t>
            </w:r>
          </w:p>
        </w:tc>
        <w:tc>
          <w:tcPr>
            <w:tcW w:w="1630" w:type="dxa"/>
            <w:vMerge w:val="restart"/>
            <w:tcBorders>
              <w:top w:val="single" w:sz="4" w:space="0" w:color="000000"/>
              <w:left w:val="single" w:sz="4" w:space="0" w:color="000000"/>
              <w:right w:val="single" w:sz="4" w:space="0" w:color="000000"/>
            </w:tcBorders>
          </w:tcPr>
          <w:p>
            <w:pPr>
              <w:pStyle w:val="TableParagraph"/>
              <w:ind w:left="110" w:right="679"/>
              <w:rPr>
                <w:sz w:val="20"/>
              </w:rPr>
            </w:pPr>
            <w:r>
              <w:rPr>
                <w:sz w:val="20"/>
              </w:rPr>
              <w:t>Mahnaz Rehman, Resident Director</w:t>
            </w:r>
          </w:p>
        </w:tc>
        <w:tc>
          <w:tcPr>
            <w:tcW w:w="5218" w:type="dxa"/>
            <w:tcBorders>
              <w:top w:val="single" w:sz="4" w:space="0" w:color="000000"/>
              <w:left w:val="single" w:sz="4" w:space="0" w:color="000000"/>
              <w:bottom w:val="dotted" w:sz="4" w:space="0" w:color="000000"/>
              <w:right w:val="single" w:sz="4" w:space="0" w:color="000000"/>
            </w:tcBorders>
          </w:tcPr>
          <w:p>
            <w:pPr>
              <w:pStyle w:val="TableParagraph"/>
              <w:ind w:left="110" w:right="105"/>
              <w:rPr>
                <w:sz w:val="20"/>
              </w:rPr>
            </w:pPr>
            <w:r>
              <w:rPr>
                <w:sz w:val="20"/>
              </w:rPr>
              <w:t>There should be some quota for women employment in BRT Project</w:t>
            </w:r>
          </w:p>
        </w:tc>
        <w:tc>
          <w:tcPr>
            <w:tcW w:w="3291" w:type="dxa"/>
            <w:tcBorders>
              <w:top w:val="single" w:sz="4" w:space="0" w:color="000000"/>
              <w:left w:val="single" w:sz="4" w:space="0" w:color="000000"/>
              <w:bottom w:val="dotted" w:sz="4" w:space="0" w:color="000000"/>
            </w:tcBorders>
          </w:tcPr>
          <w:p>
            <w:pPr>
              <w:pStyle w:val="TableParagraph"/>
              <w:spacing w:before="2"/>
              <w:ind w:left="110"/>
              <w:rPr>
                <w:sz w:val="20"/>
              </w:rPr>
            </w:pPr>
            <w:r>
              <w:rPr>
                <w:sz w:val="20"/>
              </w:rPr>
              <w:t>Noted.</w:t>
            </w:r>
          </w:p>
        </w:tc>
      </w:tr>
      <w:tr>
        <w:trPr>
          <w:trHeight w:val="418" w:hRule="exact"/>
        </w:trPr>
        <w:tc>
          <w:tcPr>
            <w:tcW w:w="1004" w:type="dxa"/>
            <w:vMerge/>
            <w:tcBorders>
              <w:right w:val="single" w:sz="4" w:space="0" w:color="000000"/>
            </w:tcBorders>
          </w:tcPr>
          <w:p>
            <w:pPr/>
          </w:p>
        </w:tc>
        <w:tc>
          <w:tcPr>
            <w:tcW w:w="2496" w:type="dxa"/>
            <w:vMerge/>
            <w:tcBorders>
              <w:left w:val="single" w:sz="4" w:space="0" w:color="000000"/>
              <w:right w:val="single" w:sz="4" w:space="0" w:color="000000"/>
            </w:tcBorders>
          </w:tcPr>
          <w:p>
            <w:pPr/>
          </w:p>
        </w:tc>
        <w:tc>
          <w:tcPr>
            <w:tcW w:w="1630" w:type="dxa"/>
            <w:vMerge/>
            <w:tcBorders>
              <w:left w:val="single" w:sz="4" w:space="0" w:color="000000"/>
              <w:right w:val="single" w:sz="4" w:space="0" w:color="000000"/>
            </w:tcBorders>
          </w:tcPr>
          <w:p>
            <w:pPr/>
          </w:p>
        </w:tc>
        <w:tc>
          <w:tcPr>
            <w:tcW w:w="5218" w:type="dxa"/>
            <w:tcBorders>
              <w:top w:val="dotted" w:sz="4" w:space="0" w:color="000000"/>
              <w:left w:val="single" w:sz="4" w:space="0" w:color="000000"/>
              <w:bottom w:val="dotted" w:sz="4" w:space="0" w:color="000000"/>
              <w:right w:val="single" w:sz="4" w:space="0" w:color="000000"/>
            </w:tcBorders>
          </w:tcPr>
          <w:p>
            <w:pPr>
              <w:pStyle w:val="TableParagraph"/>
              <w:ind w:left="38" w:right="38"/>
              <w:jc w:val="center"/>
              <w:rPr>
                <w:sz w:val="20"/>
              </w:rPr>
            </w:pPr>
            <w:r>
              <w:rPr>
                <w:sz w:val="20"/>
              </w:rPr>
              <w:t>There should be separate compartment for ladies in BRT.</w:t>
            </w:r>
          </w:p>
        </w:tc>
        <w:tc>
          <w:tcPr>
            <w:tcW w:w="3291" w:type="dxa"/>
            <w:tcBorders>
              <w:top w:val="dotted" w:sz="4" w:space="0" w:color="000000"/>
              <w:left w:val="single" w:sz="4" w:space="0" w:color="000000"/>
              <w:bottom w:val="dotted" w:sz="4" w:space="0" w:color="000000"/>
            </w:tcBorders>
          </w:tcPr>
          <w:p>
            <w:pPr>
              <w:pStyle w:val="TableParagraph"/>
              <w:spacing w:line="230" w:lineRule="exact" w:before="0"/>
              <w:ind w:left="110"/>
              <w:rPr>
                <w:sz w:val="20"/>
              </w:rPr>
            </w:pPr>
            <w:r>
              <w:rPr>
                <w:sz w:val="20"/>
              </w:rPr>
              <w:t>Noted.</w:t>
            </w:r>
          </w:p>
        </w:tc>
      </w:tr>
      <w:tr>
        <w:trPr>
          <w:trHeight w:val="590" w:hRule="exact"/>
        </w:trPr>
        <w:tc>
          <w:tcPr>
            <w:tcW w:w="1004" w:type="dxa"/>
            <w:vMerge/>
            <w:tcBorders>
              <w:bottom w:val="single" w:sz="4" w:space="0" w:color="000000"/>
              <w:right w:val="single" w:sz="4" w:space="0" w:color="000000"/>
            </w:tcBorders>
          </w:tcPr>
          <w:p>
            <w:pPr/>
          </w:p>
        </w:tc>
        <w:tc>
          <w:tcPr>
            <w:tcW w:w="2496" w:type="dxa"/>
            <w:vMerge/>
            <w:tcBorders>
              <w:left w:val="single" w:sz="4" w:space="0" w:color="000000"/>
              <w:bottom w:val="single" w:sz="4" w:space="0" w:color="000000"/>
              <w:right w:val="single" w:sz="4" w:space="0" w:color="000000"/>
            </w:tcBorders>
          </w:tcPr>
          <w:p>
            <w:pPr/>
          </w:p>
        </w:tc>
        <w:tc>
          <w:tcPr>
            <w:tcW w:w="1630" w:type="dxa"/>
            <w:vMerge/>
            <w:tcBorders>
              <w:left w:val="single" w:sz="4" w:space="0" w:color="000000"/>
              <w:bottom w:val="single" w:sz="4" w:space="0" w:color="000000"/>
              <w:right w:val="single" w:sz="4" w:space="0" w:color="000000"/>
            </w:tcBorders>
          </w:tcPr>
          <w:p>
            <w:pPr/>
          </w:p>
        </w:tc>
        <w:tc>
          <w:tcPr>
            <w:tcW w:w="5218" w:type="dxa"/>
            <w:tcBorders>
              <w:top w:val="dotted" w:sz="4" w:space="0" w:color="000000"/>
              <w:left w:val="single" w:sz="4" w:space="0" w:color="000000"/>
              <w:bottom w:val="single" w:sz="4" w:space="0" w:color="000000"/>
              <w:right w:val="single" w:sz="4" w:space="0" w:color="000000"/>
            </w:tcBorders>
          </w:tcPr>
          <w:p>
            <w:pPr>
              <w:pStyle w:val="TableParagraph"/>
              <w:ind w:left="110" w:right="105"/>
              <w:rPr>
                <w:sz w:val="20"/>
              </w:rPr>
            </w:pPr>
            <w:r>
              <w:rPr>
                <w:sz w:val="20"/>
              </w:rPr>
              <w:t>BRT is a good initiative and it should have been started earlier.</w:t>
            </w:r>
          </w:p>
        </w:tc>
        <w:tc>
          <w:tcPr>
            <w:tcW w:w="3291" w:type="dxa"/>
            <w:tcBorders>
              <w:top w:val="dotted" w:sz="4" w:space="0" w:color="000000"/>
              <w:left w:val="single" w:sz="4" w:space="0" w:color="000000"/>
              <w:bottom w:val="single" w:sz="4" w:space="0" w:color="000000"/>
            </w:tcBorders>
          </w:tcPr>
          <w:p>
            <w:pPr>
              <w:pStyle w:val="TableParagraph"/>
              <w:spacing w:before="2"/>
              <w:ind w:left="110"/>
              <w:rPr>
                <w:sz w:val="20"/>
              </w:rPr>
            </w:pPr>
            <w:r>
              <w:rPr>
                <w:sz w:val="20"/>
              </w:rPr>
              <w:t>Noted.</w:t>
            </w:r>
          </w:p>
        </w:tc>
      </w:tr>
      <w:tr>
        <w:trPr>
          <w:trHeight w:val="1522" w:hRule="exact"/>
        </w:trPr>
        <w:tc>
          <w:tcPr>
            <w:tcW w:w="1004" w:type="dxa"/>
            <w:tcBorders>
              <w:top w:val="single" w:sz="4" w:space="0" w:color="000000"/>
              <w:right w:val="single" w:sz="4" w:space="0" w:color="000000"/>
            </w:tcBorders>
          </w:tcPr>
          <w:p>
            <w:pPr>
              <w:pStyle w:val="TableParagraph"/>
              <w:spacing w:before="60"/>
              <w:ind w:left="101"/>
              <w:rPr>
                <w:sz w:val="20"/>
              </w:rPr>
            </w:pPr>
            <w:r>
              <w:rPr>
                <w:sz w:val="20"/>
              </w:rPr>
              <w:t>Feb 12,</w:t>
            </w:r>
          </w:p>
          <w:p>
            <w:pPr>
              <w:pStyle w:val="TableParagraph"/>
              <w:spacing w:before="0"/>
              <w:ind w:left="101"/>
              <w:rPr>
                <w:sz w:val="20"/>
              </w:rPr>
            </w:pPr>
            <w:r>
              <w:rPr>
                <w:sz w:val="20"/>
              </w:rPr>
              <w:t>2019</w:t>
            </w:r>
          </w:p>
        </w:tc>
        <w:tc>
          <w:tcPr>
            <w:tcW w:w="2496" w:type="dxa"/>
            <w:tcBorders>
              <w:top w:val="single" w:sz="4" w:space="0" w:color="000000"/>
              <w:left w:val="single" w:sz="4" w:space="0" w:color="000000"/>
              <w:right w:val="single" w:sz="4" w:space="0" w:color="000000"/>
            </w:tcBorders>
          </w:tcPr>
          <w:p>
            <w:pPr>
              <w:pStyle w:val="TableParagraph"/>
              <w:spacing w:before="60"/>
              <w:ind w:left="110"/>
              <w:rPr>
                <w:sz w:val="20"/>
              </w:rPr>
            </w:pPr>
            <w:r>
              <w:rPr>
                <w:sz w:val="20"/>
              </w:rPr>
              <w:t>National Commission on Human Rights (NCHR)</w:t>
            </w:r>
          </w:p>
        </w:tc>
        <w:tc>
          <w:tcPr>
            <w:tcW w:w="1630" w:type="dxa"/>
            <w:tcBorders>
              <w:top w:val="single" w:sz="4" w:space="0" w:color="000000"/>
              <w:left w:val="single" w:sz="4" w:space="0" w:color="000000"/>
              <w:right w:val="single" w:sz="4" w:space="0" w:color="000000"/>
            </w:tcBorders>
          </w:tcPr>
          <w:p>
            <w:pPr>
              <w:pStyle w:val="TableParagraph"/>
              <w:spacing w:before="60"/>
              <w:ind w:left="110" w:right="245"/>
              <w:rPr>
                <w:sz w:val="20"/>
              </w:rPr>
            </w:pPr>
            <w:r>
              <w:rPr>
                <w:sz w:val="20"/>
              </w:rPr>
              <w:t>Abdul Hayee, Complaint Manager</w:t>
            </w:r>
          </w:p>
        </w:tc>
        <w:tc>
          <w:tcPr>
            <w:tcW w:w="5218" w:type="dxa"/>
            <w:tcBorders>
              <w:top w:val="single" w:sz="4" w:space="0" w:color="000000"/>
              <w:left w:val="single" w:sz="4" w:space="0" w:color="000000"/>
              <w:bottom w:val="single" w:sz="4" w:space="0" w:color="000000"/>
              <w:right w:val="single" w:sz="4" w:space="0" w:color="000000"/>
            </w:tcBorders>
          </w:tcPr>
          <w:p>
            <w:pPr>
              <w:pStyle w:val="TableParagraph"/>
              <w:spacing w:before="60"/>
              <w:ind w:left="110" w:right="107"/>
              <w:jc w:val="both"/>
              <w:rPr>
                <w:sz w:val="20"/>
              </w:rPr>
            </w:pPr>
            <w:r>
              <w:rPr>
                <w:sz w:val="20"/>
              </w:rPr>
              <w:t>It is necessary that a Gender Action Committee with concise</w:t>
            </w:r>
            <w:r>
              <w:rPr>
                <w:spacing w:val="-13"/>
                <w:sz w:val="20"/>
              </w:rPr>
              <w:t> </w:t>
            </w:r>
            <w:r>
              <w:rPr>
                <w:sz w:val="20"/>
              </w:rPr>
              <w:t>terms</w:t>
            </w:r>
            <w:r>
              <w:rPr>
                <w:spacing w:val="-11"/>
                <w:sz w:val="20"/>
              </w:rPr>
              <w:t> </w:t>
            </w:r>
            <w:r>
              <w:rPr>
                <w:sz w:val="20"/>
              </w:rPr>
              <w:t>of</w:t>
            </w:r>
            <w:r>
              <w:rPr>
                <w:spacing w:val="-13"/>
                <w:sz w:val="20"/>
              </w:rPr>
              <w:t> </w:t>
            </w:r>
            <w:r>
              <w:rPr>
                <w:sz w:val="20"/>
              </w:rPr>
              <w:t>references</w:t>
            </w:r>
            <w:r>
              <w:rPr>
                <w:spacing w:val="-14"/>
                <w:sz w:val="20"/>
              </w:rPr>
              <w:t> </w:t>
            </w:r>
            <w:r>
              <w:rPr>
                <w:sz w:val="20"/>
              </w:rPr>
              <w:t>is</w:t>
            </w:r>
            <w:r>
              <w:rPr>
                <w:spacing w:val="-11"/>
                <w:sz w:val="20"/>
              </w:rPr>
              <w:t> </w:t>
            </w:r>
            <w:r>
              <w:rPr>
                <w:sz w:val="20"/>
              </w:rPr>
              <w:t>formed</w:t>
            </w:r>
            <w:r>
              <w:rPr>
                <w:spacing w:val="-10"/>
                <w:sz w:val="20"/>
              </w:rPr>
              <w:t> </w:t>
            </w:r>
            <w:r>
              <w:rPr>
                <w:sz w:val="20"/>
              </w:rPr>
              <w:t>involving</w:t>
            </w:r>
            <w:r>
              <w:rPr>
                <w:spacing w:val="-11"/>
                <w:sz w:val="20"/>
              </w:rPr>
              <w:t> </w:t>
            </w:r>
            <w:r>
              <w:rPr>
                <w:sz w:val="20"/>
              </w:rPr>
              <w:t>important stakeholders. The main function of such a committee would be to act as a watchdog with advisory and mitigating functions with regard to gender related aspects.</w:t>
            </w:r>
          </w:p>
        </w:tc>
        <w:tc>
          <w:tcPr>
            <w:tcW w:w="3291" w:type="dxa"/>
            <w:tcBorders>
              <w:top w:val="single" w:sz="4" w:space="0" w:color="000000"/>
              <w:left w:val="single" w:sz="4" w:space="0" w:color="000000"/>
              <w:bottom w:val="single" w:sz="4" w:space="0" w:color="000000"/>
            </w:tcBorders>
          </w:tcPr>
          <w:p>
            <w:pPr>
              <w:pStyle w:val="TableParagraph"/>
              <w:spacing w:before="0"/>
              <w:ind w:left="110"/>
              <w:rPr>
                <w:sz w:val="20"/>
              </w:rPr>
            </w:pPr>
            <w:r>
              <w:rPr>
                <w:sz w:val="20"/>
              </w:rPr>
              <w:t>Noted.</w:t>
            </w:r>
          </w:p>
        </w:tc>
      </w:tr>
    </w:tbl>
    <w:p>
      <w:pPr>
        <w:spacing w:after="0"/>
        <w:rPr>
          <w:sz w:val="20"/>
        </w:rPr>
        <w:sectPr>
          <w:pgSz w:w="16840" w:h="11910" w:orient="landscape"/>
          <w:pgMar w:header="583" w:footer="575" w:top="840" w:bottom="760" w:left="860" w:right="12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6"/>
        </w:rPr>
      </w:pPr>
    </w:p>
    <w:tbl>
      <w:tblPr>
        <w:tblW w:w="0" w:type="auto"/>
        <w:jc w:val="left"/>
        <w:tblInd w:w="9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04"/>
        <w:gridCol w:w="2496"/>
        <w:gridCol w:w="1630"/>
        <w:gridCol w:w="5218"/>
        <w:gridCol w:w="3291"/>
      </w:tblGrid>
      <w:tr>
        <w:trPr>
          <w:trHeight w:val="600" w:hRule="exact"/>
        </w:trPr>
        <w:tc>
          <w:tcPr>
            <w:tcW w:w="1004" w:type="dxa"/>
            <w:tcBorders>
              <w:bottom w:val="single" w:sz="4" w:space="0" w:color="000000"/>
              <w:right w:val="single" w:sz="4" w:space="0" w:color="000000"/>
            </w:tcBorders>
            <w:shd w:val="clear" w:color="auto" w:fill="D9D9D9"/>
          </w:tcPr>
          <w:p>
            <w:pPr>
              <w:pStyle w:val="TableParagraph"/>
              <w:ind w:left="187" w:right="160" w:hanging="17"/>
              <w:rPr>
                <w:b/>
                <w:sz w:val="20"/>
              </w:rPr>
            </w:pPr>
            <w:r>
              <w:rPr>
                <w:b/>
                <w:sz w:val="20"/>
              </w:rPr>
              <w:t>Date &amp; Venue</w:t>
            </w:r>
          </w:p>
        </w:tc>
        <w:tc>
          <w:tcPr>
            <w:tcW w:w="2496" w:type="dxa"/>
            <w:tcBorders>
              <w:left w:val="single" w:sz="4" w:space="0" w:color="000000"/>
              <w:bottom w:val="single" w:sz="4" w:space="0" w:color="000000"/>
              <w:right w:val="single" w:sz="4" w:space="0" w:color="000000"/>
            </w:tcBorders>
            <w:shd w:val="clear" w:color="auto" w:fill="D9D9D9"/>
          </w:tcPr>
          <w:p>
            <w:pPr>
              <w:pStyle w:val="TableParagraph"/>
              <w:ind w:left="631"/>
              <w:rPr>
                <w:b/>
                <w:sz w:val="20"/>
              </w:rPr>
            </w:pPr>
            <w:r>
              <w:rPr>
                <w:b/>
                <w:sz w:val="20"/>
              </w:rPr>
              <w:t>Organization</w:t>
            </w:r>
          </w:p>
        </w:tc>
        <w:tc>
          <w:tcPr>
            <w:tcW w:w="1630" w:type="dxa"/>
            <w:tcBorders>
              <w:left w:val="single" w:sz="4" w:space="0" w:color="000000"/>
              <w:bottom w:val="single" w:sz="4" w:space="0" w:color="000000"/>
              <w:right w:val="single" w:sz="4" w:space="0" w:color="000000"/>
            </w:tcBorders>
            <w:shd w:val="clear" w:color="auto" w:fill="D9D9D9"/>
          </w:tcPr>
          <w:p>
            <w:pPr>
              <w:pStyle w:val="TableParagraph"/>
              <w:ind w:left="322" w:right="245" w:firstLine="93"/>
              <w:rPr>
                <w:b/>
                <w:sz w:val="20"/>
              </w:rPr>
            </w:pPr>
            <w:r>
              <w:rPr>
                <w:b/>
                <w:sz w:val="20"/>
              </w:rPr>
              <w:t>Persons </w:t>
            </w:r>
            <w:r>
              <w:rPr>
                <w:b/>
                <w:w w:val="95"/>
                <w:sz w:val="20"/>
              </w:rPr>
              <w:t>Consulted</w:t>
            </w:r>
          </w:p>
        </w:tc>
        <w:tc>
          <w:tcPr>
            <w:tcW w:w="5218" w:type="dxa"/>
            <w:tcBorders>
              <w:left w:val="single" w:sz="4" w:space="0" w:color="000000"/>
              <w:bottom w:val="single" w:sz="4" w:space="0" w:color="000000"/>
              <w:right w:val="single" w:sz="4" w:space="0" w:color="000000"/>
            </w:tcBorders>
            <w:shd w:val="clear" w:color="auto" w:fill="D9D9D9"/>
          </w:tcPr>
          <w:p>
            <w:pPr>
              <w:pStyle w:val="TableParagraph"/>
              <w:ind w:left="1521"/>
              <w:rPr>
                <w:b/>
                <w:sz w:val="20"/>
              </w:rPr>
            </w:pPr>
            <w:r>
              <w:rPr>
                <w:b/>
                <w:sz w:val="20"/>
              </w:rPr>
              <w:t>Main Issues/Concerns/</w:t>
            </w:r>
          </w:p>
        </w:tc>
        <w:tc>
          <w:tcPr>
            <w:tcW w:w="3291" w:type="dxa"/>
            <w:tcBorders>
              <w:left w:val="single" w:sz="4" w:space="0" w:color="000000"/>
              <w:bottom w:val="single" w:sz="4" w:space="0" w:color="000000"/>
            </w:tcBorders>
            <w:shd w:val="clear" w:color="auto" w:fill="D9D9D9"/>
          </w:tcPr>
          <w:p>
            <w:pPr>
              <w:pStyle w:val="TableParagraph"/>
              <w:ind w:left="1140" w:right="1135"/>
              <w:jc w:val="center"/>
              <w:rPr>
                <w:b/>
                <w:sz w:val="20"/>
              </w:rPr>
            </w:pPr>
            <w:r>
              <w:rPr>
                <w:b/>
                <w:sz w:val="20"/>
              </w:rPr>
              <w:t>Response</w:t>
            </w:r>
          </w:p>
        </w:tc>
      </w:tr>
      <w:tr>
        <w:trPr>
          <w:trHeight w:val="590" w:hRule="exact"/>
        </w:trPr>
        <w:tc>
          <w:tcPr>
            <w:tcW w:w="1004" w:type="dxa"/>
            <w:vMerge w:val="restart"/>
            <w:tcBorders>
              <w:top w:val="single" w:sz="4" w:space="0" w:color="000000"/>
              <w:right w:val="single" w:sz="4" w:space="0" w:color="000000"/>
            </w:tcBorders>
          </w:tcPr>
          <w:p>
            <w:pPr/>
          </w:p>
        </w:tc>
        <w:tc>
          <w:tcPr>
            <w:tcW w:w="2496" w:type="dxa"/>
            <w:vMerge w:val="restart"/>
            <w:tcBorders>
              <w:top w:val="single" w:sz="4" w:space="0" w:color="000000"/>
              <w:left w:val="single" w:sz="4" w:space="0" w:color="000000"/>
              <w:right w:val="single" w:sz="4" w:space="0" w:color="000000"/>
            </w:tcBorders>
          </w:tcPr>
          <w:p>
            <w:pPr/>
          </w:p>
        </w:tc>
        <w:tc>
          <w:tcPr>
            <w:tcW w:w="1630" w:type="dxa"/>
            <w:vMerge w:val="restart"/>
            <w:tcBorders>
              <w:top w:val="single" w:sz="4" w:space="0" w:color="000000"/>
              <w:left w:val="single" w:sz="4" w:space="0" w:color="000000"/>
              <w:right w:val="single" w:sz="4" w:space="0" w:color="000000"/>
            </w:tcBorders>
          </w:tcPr>
          <w:p>
            <w:pPr/>
          </w:p>
        </w:tc>
        <w:tc>
          <w:tcPr>
            <w:tcW w:w="5218" w:type="dxa"/>
            <w:tcBorders>
              <w:top w:val="single" w:sz="4" w:space="0" w:color="000000"/>
              <w:left w:val="single" w:sz="4" w:space="0" w:color="000000"/>
              <w:bottom w:val="single" w:sz="4" w:space="0" w:color="000000"/>
              <w:right w:val="single" w:sz="4" w:space="0" w:color="000000"/>
            </w:tcBorders>
          </w:tcPr>
          <w:p>
            <w:pPr>
              <w:pStyle w:val="TableParagraph"/>
              <w:ind w:left="110" w:right="105"/>
              <w:rPr>
                <w:sz w:val="20"/>
              </w:rPr>
            </w:pPr>
            <w:r>
              <w:rPr>
                <w:sz w:val="20"/>
              </w:rPr>
              <w:t>The BRT stops should be closer to the communities, so the people can get the bus easily</w:t>
            </w:r>
          </w:p>
        </w:tc>
        <w:tc>
          <w:tcPr>
            <w:tcW w:w="3291" w:type="dxa"/>
            <w:tcBorders>
              <w:top w:val="single" w:sz="4" w:space="0" w:color="000000"/>
              <w:left w:val="single" w:sz="4" w:space="0" w:color="000000"/>
              <w:bottom w:val="single" w:sz="4" w:space="0" w:color="000000"/>
            </w:tcBorders>
          </w:tcPr>
          <w:p>
            <w:pPr>
              <w:pStyle w:val="TableParagraph"/>
              <w:spacing w:line="230" w:lineRule="exact" w:before="0"/>
              <w:ind w:left="110"/>
              <w:rPr>
                <w:sz w:val="20"/>
              </w:rPr>
            </w:pPr>
            <w:r>
              <w:rPr>
                <w:sz w:val="20"/>
              </w:rPr>
              <w:t>Noted.</w:t>
            </w:r>
          </w:p>
        </w:tc>
      </w:tr>
      <w:tr>
        <w:trPr>
          <w:trHeight w:val="590" w:hRule="exact"/>
        </w:trPr>
        <w:tc>
          <w:tcPr>
            <w:tcW w:w="1004" w:type="dxa"/>
            <w:vMerge/>
            <w:tcBorders>
              <w:bottom w:val="single" w:sz="4" w:space="0" w:color="000000"/>
              <w:right w:val="single" w:sz="4" w:space="0" w:color="000000"/>
            </w:tcBorders>
          </w:tcPr>
          <w:p>
            <w:pPr/>
          </w:p>
        </w:tc>
        <w:tc>
          <w:tcPr>
            <w:tcW w:w="2496" w:type="dxa"/>
            <w:vMerge/>
            <w:tcBorders>
              <w:left w:val="single" w:sz="4" w:space="0" w:color="000000"/>
              <w:bottom w:val="single" w:sz="4" w:space="0" w:color="000000"/>
              <w:right w:val="single" w:sz="4" w:space="0" w:color="000000"/>
            </w:tcBorders>
          </w:tcPr>
          <w:p>
            <w:pPr/>
          </w:p>
        </w:tc>
        <w:tc>
          <w:tcPr>
            <w:tcW w:w="1630" w:type="dxa"/>
            <w:vMerge/>
            <w:tcBorders>
              <w:left w:val="single" w:sz="4" w:space="0" w:color="000000"/>
              <w:bottom w:val="single" w:sz="4" w:space="0" w:color="000000"/>
              <w:right w:val="single" w:sz="4" w:space="0" w:color="000000"/>
            </w:tcBorders>
          </w:tcPr>
          <w:p>
            <w:pPr/>
          </w:p>
        </w:tc>
        <w:tc>
          <w:tcPr>
            <w:tcW w:w="5218" w:type="dxa"/>
            <w:tcBorders>
              <w:top w:val="single" w:sz="4" w:space="0" w:color="000000"/>
              <w:left w:val="single" w:sz="4" w:space="0" w:color="000000"/>
              <w:bottom w:val="single" w:sz="4" w:space="0" w:color="000000"/>
              <w:right w:val="single" w:sz="4" w:space="0" w:color="000000"/>
            </w:tcBorders>
          </w:tcPr>
          <w:p>
            <w:pPr>
              <w:pStyle w:val="TableParagraph"/>
              <w:ind w:left="110" w:right="102"/>
              <w:rPr>
                <w:sz w:val="20"/>
              </w:rPr>
            </w:pPr>
            <w:r>
              <w:rPr>
                <w:sz w:val="20"/>
              </w:rPr>
              <w:t>If</w:t>
            </w:r>
            <w:r>
              <w:rPr>
                <w:spacing w:val="-11"/>
                <w:sz w:val="20"/>
              </w:rPr>
              <w:t> </w:t>
            </w:r>
            <w:r>
              <w:rPr>
                <w:sz w:val="20"/>
              </w:rPr>
              <w:t>fares</w:t>
            </w:r>
            <w:r>
              <w:rPr>
                <w:spacing w:val="-9"/>
                <w:sz w:val="20"/>
              </w:rPr>
              <w:t> </w:t>
            </w:r>
            <w:r>
              <w:rPr>
                <w:sz w:val="20"/>
              </w:rPr>
              <w:t>are</w:t>
            </w:r>
            <w:r>
              <w:rPr>
                <w:spacing w:val="-10"/>
                <w:sz w:val="20"/>
              </w:rPr>
              <w:t> </w:t>
            </w:r>
            <w:r>
              <w:rPr>
                <w:sz w:val="20"/>
              </w:rPr>
              <w:t>not</w:t>
            </w:r>
            <w:r>
              <w:rPr>
                <w:spacing w:val="-10"/>
                <w:sz w:val="20"/>
              </w:rPr>
              <w:t> </w:t>
            </w:r>
            <w:r>
              <w:rPr>
                <w:sz w:val="20"/>
              </w:rPr>
              <w:t>economical,</w:t>
            </w:r>
            <w:r>
              <w:rPr>
                <w:spacing w:val="-8"/>
                <w:sz w:val="20"/>
              </w:rPr>
              <w:t> </w:t>
            </w:r>
            <w:r>
              <w:rPr>
                <w:sz w:val="20"/>
              </w:rPr>
              <w:t>then</w:t>
            </w:r>
            <w:r>
              <w:rPr>
                <w:spacing w:val="-8"/>
                <w:sz w:val="20"/>
              </w:rPr>
              <w:t> </w:t>
            </w:r>
            <w:r>
              <w:rPr>
                <w:sz w:val="20"/>
              </w:rPr>
              <w:t>it</w:t>
            </w:r>
            <w:r>
              <w:rPr>
                <w:spacing w:val="-10"/>
                <w:sz w:val="20"/>
              </w:rPr>
              <w:t> </w:t>
            </w:r>
            <w:r>
              <w:rPr>
                <w:sz w:val="20"/>
              </w:rPr>
              <w:t>might</w:t>
            </w:r>
            <w:r>
              <w:rPr>
                <w:spacing w:val="-10"/>
                <w:sz w:val="20"/>
              </w:rPr>
              <w:t> </w:t>
            </w:r>
            <w:r>
              <w:rPr>
                <w:sz w:val="20"/>
              </w:rPr>
              <w:t>not</w:t>
            </w:r>
            <w:r>
              <w:rPr>
                <w:spacing w:val="-10"/>
                <w:sz w:val="20"/>
              </w:rPr>
              <w:t> </w:t>
            </w:r>
            <w:r>
              <w:rPr>
                <w:sz w:val="20"/>
              </w:rPr>
              <w:t>be</w:t>
            </w:r>
            <w:r>
              <w:rPr>
                <w:spacing w:val="-8"/>
                <w:sz w:val="20"/>
              </w:rPr>
              <w:t> </w:t>
            </w:r>
            <w:r>
              <w:rPr>
                <w:sz w:val="20"/>
              </w:rPr>
              <w:t>beneficial for poor</w:t>
            </w:r>
            <w:r>
              <w:rPr>
                <w:spacing w:val="-6"/>
                <w:sz w:val="20"/>
              </w:rPr>
              <w:t> </w:t>
            </w:r>
            <w:r>
              <w:rPr>
                <w:sz w:val="20"/>
              </w:rPr>
              <w:t>people.</w:t>
            </w:r>
          </w:p>
        </w:tc>
        <w:tc>
          <w:tcPr>
            <w:tcW w:w="3291" w:type="dxa"/>
            <w:tcBorders>
              <w:top w:val="single" w:sz="4" w:space="0" w:color="000000"/>
              <w:left w:val="single" w:sz="4" w:space="0" w:color="000000"/>
              <w:bottom w:val="single" w:sz="4" w:space="0" w:color="000000"/>
            </w:tcBorders>
          </w:tcPr>
          <w:p>
            <w:pPr>
              <w:pStyle w:val="TableParagraph"/>
              <w:spacing w:line="230" w:lineRule="exact" w:before="0"/>
              <w:ind w:left="110"/>
              <w:rPr>
                <w:sz w:val="20"/>
              </w:rPr>
            </w:pPr>
            <w:r>
              <w:rPr>
                <w:sz w:val="20"/>
              </w:rPr>
              <w:t>Noted.</w:t>
            </w:r>
          </w:p>
        </w:tc>
      </w:tr>
      <w:tr>
        <w:trPr>
          <w:trHeight w:val="591" w:hRule="exact"/>
        </w:trPr>
        <w:tc>
          <w:tcPr>
            <w:tcW w:w="1004" w:type="dxa"/>
            <w:vMerge w:val="restart"/>
            <w:tcBorders>
              <w:top w:val="single" w:sz="4" w:space="0" w:color="000000"/>
              <w:right w:val="single" w:sz="4" w:space="0" w:color="000000"/>
            </w:tcBorders>
          </w:tcPr>
          <w:p>
            <w:pPr>
              <w:pStyle w:val="TableParagraph"/>
              <w:spacing w:before="60"/>
              <w:ind w:left="101"/>
              <w:rPr>
                <w:sz w:val="20"/>
              </w:rPr>
            </w:pPr>
            <w:r>
              <w:rPr>
                <w:sz w:val="20"/>
              </w:rPr>
              <w:t>Feb 12,</w:t>
            </w:r>
          </w:p>
          <w:p>
            <w:pPr>
              <w:pStyle w:val="TableParagraph"/>
              <w:spacing w:before="0"/>
              <w:ind w:left="101"/>
              <w:rPr>
                <w:sz w:val="20"/>
              </w:rPr>
            </w:pPr>
            <w:r>
              <w:rPr>
                <w:sz w:val="20"/>
              </w:rPr>
              <w:t>2019</w:t>
            </w:r>
          </w:p>
        </w:tc>
        <w:tc>
          <w:tcPr>
            <w:tcW w:w="2496" w:type="dxa"/>
            <w:vMerge w:val="restart"/>
            <w:tcBorders>
              <w:top w:val="single" w:sz="4" w:space="0" w:color="000000"/>
              <w:left w:val="single" w:sz="4" w:space="0" w:color="000000"/>
              <w:right w:val="single" w:sz="4" w:space="0" w:color="000000"/>
            </w:tcBorders>
          </w:tcPr>
          <w:p>
            <w:pPr>
              <w:pStyle w:val="TableParagraph"/>
              <w:spacing w:before="60"/>
              <w:ind w:left="110" w:right="108"/>
              <w:jc w:val="both"/>
              <w:rPr>
                <w:sz w:val="20"/>
              </w:rPr>
            </w:pPr>
            <w:r>
              <w:rPr>
                <w:sz w:val="20"/>
              </w:rPr>
              <w:t>Lawyers for Human Rights and Legal Aid (LHRLA)</w:t>
            </w:r>
          </w:p>
        </w:tc>
        <w:tc>
          <w:tcPr>
            <w:tcW w:w="1630" w:type="dxa"/>
            <w:vMerge w:val="restart"/>
            <w:tcBorders>
              <w:top w:val="single" w:sz="4" w:space="0" w:color="000000"/>
              <w:left w:val="single" w:sz="4" w:space="0" w:color="000000"/>
              <w:right w:val="single" w:sz="4" w:space="0" w:color="000000"/>
            </w:tcBorders>
          </w:tcPr>
          <w:p>
            <w:pPr>
              <w:pStyle w:val="TableParagraph"/>
              <w:spacing w:before="60"/>
              <w:ind w:left="110" w:right="134"/>
              <w:rPr>
                <w:sz w:val="20"/>
              </w:rPr>
            </w:pPr>
            <w:r>
              <w:rPr>
                <w:sz w:val="20"/>
              </w:rPr>
              <w:t>Zia Ahmed Awan, Advocate Supreme Court of Pakistan</w:t>
            </w:r>
          </w:p>
        </w:tc>
        <w:tc>
          <w:tcPr>
            <w:tcW w:w="5218" w:type="dxa"/>
            <w:tcBorders>
              <w:top w:val="single" w:sz="4" w:space="0" w:color="000000"/>
              <w:left w:val="single" w:sz="4" w:space="0" w:color="000000"/>
              <w:bottom w:val="dotted" w:sz="4" w:space="0" w:color="000000"/>
              <w:right w:val="single" w:sz="4" w:space="0" w:color="000000"/>
            </w:tcBorders>
          </w:tcPr>
          <w:p>
            <w:pPr>
              <w:pStyle w:val="TableParagraph"/>
              <w:spacing w:before="60"/>
              <w:ind w:left="110" w:right="105"/>
              <w:rPr>
                <w:sz w:val="20"/>
              </w:rPr>
            </w:pPr>
            <w:r>
              <w:rPr>
                <w:sz w:val="20"/>
              </w:rPr>
              <w:t>There should be a separate section in the Yellow BRT vehicles for women passengers.</w:t>
            </w:r>
          </w:p>
        </w:tc>
        <w:tc>
          <w:tcPr>
            <w:tcW w:w="3291" w:type="dxa"/>
            <w:tcBorders>
              <w:top w:val="single" w:sz="4" w:space="0" w:color="000000"/>
              <w:left w:val="single" w:sz="4" w:space="0" w:color="000000"/>
              <w:bottom w:val="dotted" w:sz="4" w:space="0" w:color="000000"/>
            </w:tcBorders>
          </w:tcPr>
          <w:p>
            <w:pPr>
              <w:pStyle w:val="TableParagraph"/>
              <w:spacing w:before="0"/>
              <w:ind w:left="110"/>
              <w:rPr>
                <w:sz w:val="20"/>
              </w:rPr>
            </w:pPr>
            <w:r>
              <w:rPr>
                <w:sz w:val="20"/>
              </w:rPr>
              <w:t>Noted.</w:t>
            </w:r>
          </w:p>
        </w:tc>
      </w:tr>
      <w:tr>
        <w:trPr>
          <w:trHeight w:val="818" w:hRule="exact"/>
        </w:trPr>
        <w:tc>
          <w:tcPr>
            <w:tcW w:w="1004" w:type="dxa"/>
            <w:vMerge/>
            <w:tcBorders>
              <w:right w:val="single" w:sz="4" w:space="0" w:color="000000"/>
            </w:tcBorders>
          </w:tcPr>
          <w:p>
            <w:pPr/>
          </w:p>
        </w:tc>
        <w:tc>
          <w:tcPr>
            <w:tcW w:w="2496" w:type="dxa"/>
            <w:vMerge/>
            <w:tcBorders>
              <w:left w:val="single" w:sz="4" w:space="0" w:color="000000"/>
              <w:right w:val="single" w:sz="4" w:space="0" w:color="000000"/>
            </w:tcBorders>
          </w:tcPr>
          <w:p>
            <w:pPr/>
          </w:p>
        </w:tc>
        <w:tc>
          <w:tcPr>
            <w:tcW w:w="1630" w:type="dxa"/>
            <w:vMerge/>
            <w:tcBorders>
              <w:left w:val="single" w:sz="4" w:space="0" w:color="000000"/>
              <w:right w:val="single" w:sz="4" w:space="0" w:color="000000"/>
            </w:tcBorders>
          </w:tcPr>
          <w:p>
            <w:pPr/>
          </w:p>
        </w:tc>
        <w:tc>
          <w:tcPr>
            <w:tcW w:w="5218" w:type="dxa"/>
            <w:tcBorders>
              <w:top w:val="dotted" w:sz="4" w:space="0" w:color="000000"/>
              <w:left w:val="single" w:sz="4" w:space="0" w:color="000000"/>
              <w:bottom w:val="dotted" w:sz="4" w:space="0" w:color="000000"/>
              <w:right w:val="single" w:sz="4" w:space="0" w:color="000000"/>
            </w:tcBorders>
          </w:tcPr>
          <w:p>
            <w:pPr>
              <w:pStyle w:val="TableParagraph"/>
              <w:ind w:left="110" w:right="106"/>
              <w:jc w:val="both"/>
              <w:rPr>
                <w:sz w:val="20"/>
              </w:rPr>
            </w:pPr>
            <w:r>
              <w:rPr>
                <w:sz w:val="20"/>
              </w:rPr>
              <w:t>In order to make maximum use of space, the partition could be collapsible or removable to cater to the influx of passengers, if needed.</w:t>
            </w:r>
          </w:p>
        </w:tc>
        <w:tc>
          <w:tcPr>
            <w:tcW w:w="3291" w:type="dxa"/>
            <w:tcBorders>
              <w:top w:val="dotted" w:sz="4" w:space="0" w:color="000000"/>
              <w:left w:val="single" w:sz="4" w:space="0" w:color="000000"/>
              <w:bottom w:val="dotted" w:sz="4" w:space="0" w:color="000000"/>
            </w:tcBorders>
          </w:tcPr>
          <w:p>
            <w:pPr>
              <w:pStyle w:val="TableParagraph"/>
              <w:spacing w:line="230" w:lineRule="exact" w:before="0"/>
              <w:ind w:left="110"/>
              <w:rPr>
                <w:sz w:val="20"/>
              </w:rPr>
            </w:pPr>
            <w:r>
              <w:rPr>
                <w:sz w:val="20"/>
              </w:rPr>
              <w:t>Noted.</w:t>
            </w:r>
          </w:p>
        </w:tc>
      </w:tr>
      <w:tr>
        <w:trPr>
          <w:trHeight w:val="821" w:hRule="exact"/>
        </w:trPr>
        <w:tc>
          <w:tcPr>
            <w:tcW w:w="1004" w:type="dxa"/>
            <w:vMerge/>
            <w:tcBorders>
              <w:bottom w:val="single" w:sz="4" w:space="0" w:color="000000"/>
              <w:right w:val="single" w:sz="4" w:space="0" w:color="000000"/>
            </w:tcBorders>
          </w:tcPr>
          <w:p>
            <w:pPr/>
          </w:p>
        </w:tc>
        <w:tc>
          <w:tcPr>
            <w:tcW w:w="2496" w:type="dxa"/>
            <w:vMerge/>
            <w:tcBorders>
              <w:left w:val="single" w:sz="4" w:space="0" w:color="000000"/>
              <w:bottom w:val="single" w:sz="4" w:space="0" w:color="000000"/>
              <w:right w:val="single" w:sz="4" w:space="0" w:color="000000"/>
            </w:tcBorders>
          </w:tcPr>
          <w:p>
            <w:pPr/>
          </w:p>
        </w:tc>
        <w:tc>
          <w:tcPr>
            <w:tcW w:w="1630" w:type="dxa"/>
            <w:vMerge/>
            <w:tcBorders>
              <w:left w:val="single" w:sz="4" w:space="0" w:color="000000"/>
              <w:bottom w:val="single" w:sz="4" w:space="0" w:color="000000"/>
              <w:right w:val="single" w:sz="4" w:space="0" w:color="000000"/>
            </w:tcBorders>
          </w:tcPr>
          <w:p>
            <w:pPr/>
          </w:p>
        </w:tc>
        <w:tc>
          <w:tcPr>
            <w:tcW w:w="5218" w:type="dxa"/>
            <w:tcBorders>
              <w:top w:val="dotted" w:sz="4" w:space="0" w:color="000000"/>
              <w:left w:val="single" w:sz="4" w:space="0" w:color="000000"/>
              <w:bottom w:val="single" w:sz="4" w:space="0" w:color="000000"/>
              <w:right w:val="single" w:sz="4" w:space="0" w:color="000000"/>
            </w:tcBorders>
          </w:tcPr>
          <w:p>
            <w:pPr>
              <w:pStyle w:val="TableParagraph"/>
              <w:ind w:left="110" w:right="111"/>
              <w:jc w:val="both"/>
              <w:rPr>
                <w:sz w:val="20"/>
              </w:rPr>
            </w:pPr>
            <w:r>
              <w:rPr>
                <w:sz w:val="20"/>
              </w:rPr>
              <w:t>There should be separate (additional) buses for women during</w:t>
            </w:r>
            <w:r>
              <w:rPr>
                <w:spacing w:val="-17"/>
                <w:sz w:val="20"/>
              </w:rPr>
              <w:t> </w:t>
            </w:r>
            <w:r>
              <w:rPr>
                <w:sz w:val="20"/>
              </w:rPr>
              <w:t>the</w:t>
            </w:r>
            <w:r>
              <w:rPr>
                <w:spacing w:val="-15"/>
                <w:sz w:val="20"/>
              </w:rPr>
              <w:t> </w:t>
            </w:r>
            <w:r>
              <w:rPr>
                <w:sz w:val="20"/>
              </w:rPr>
              <w:t>peak</w:t>
            </w:r>
            <w:r>
              <w:rPr>
                <w:spacing w:val="-14"/>
                <w:sz w:val="20"/>
              </w:rPr>
              <w:t> </w:t>
            </w:r>
            <w:r>
              <w:rPr>
                <w:sz w:val="20"/>
              </w:rPr>
              <w:t>hours</w:t>
            </w:r>
            <w:r>
              <w:rPr>
                <w:spacing w:val="-15"/>
                <w:sz w:val="20"/>
              </w:rPr>
              <w:t> </w:t>
            </w:r>
            <w:r>
              <w:rPr>
                <w:sz w:val="20"/>
              </w:rPr>
              <w:t>in</w:t>
            </w:r>
            <w:r>
              <w:rPr>
                <w:spacing w:val="-14"/>
                <w:sz w:val="20"/>
              </w:rPr>
              <w:t> </w:t>
            </w:r>
            <w:r>
              <w:rPr>
                <w:sz w:val="20"/>
              </w:rPr>
              <w:t>the</w:t>
            </w:r>
            <w:r>
              <w:rPr>
                <w:spacing w:val="-14"/>
                <w:sz w:val="20"/>
              </w:rPr>
              <w:t> </w:t>
            </w:r>
            <w:r>
              <w:rPr>
                <w:sz w:val="20"/>
              </w:rPr>
              <w:t>morning</w:t>
            </w:r>
            <w:r>
              <w:rPr>
                <w:spacing w:val="-17"/>
                <w:sz w:val="20"/>
              </w:rPr>
              <w:t> </w:t>
            </w:r>
            <w:r>
              <w:rPr>
                <w:sz w:val="20"/>
              </w:rPr>
              <w:t>and</w:t>
            </w:r>
            <w:r>
              <w:rPr>
                <w:spacing w:val="-17"/>
                <w:sz w:val="20"/>
              </w:rPr>
              <w:t> </w:t>
            </w:r>
            <w:r>
              <w:rPr>
                <w:sz w:val="20"/>
              </w:rPr>
              <w:t>evening</w:t>
            </w:r>
            <w:r>
              <w:rPr>
                <w:spacing w:val="-15"/>
                <w:sz w:val="20"/>
              </w:rPr>
              <w:t> </w:t>
            </w:r>
            <w:r>
              <w:rPr>
                <w:sz w:val="20"/>
              </w:rPr>
              <w:t>to</w:t>
            </w:r>
            <w:r>
              <w:rPr>
                <w:spacing w:val="-17"/>
                <w:sz w:val="20"/>
              </w:rPr>
              <w:t> </w:t>
            </w:r>
            <w:r>
              <w:rPr>
                <w:sz w:val="20"/>
              </w:rPr>
              <w:t>cater the need of</w:t>
            </w:r>
            <w:r>
              <w:rPr>
                <w:spacing w:val="-3"/>
                <w:sz w:val="20"/>
              </w:rPr>
              <w:t> </w:t>
            </w:r>
            <w:r>
              <w:rPr>
                <w:sz w:val="20"/>
              </w:rPr>
              <w:t>women.</w:t>
            </w:r>
          </w:p>
        </w:tc>
        <w:tc>
          <w:tcPr>
            <w:tcW w:w="3291" w:type="dxa"/>
            <w:tcBorders>
              <w:top w:val="dotted" w:sz="4" w:space="0" w:color="000000"/>
              <w:left w:val="single" w:sz="4" w:space="0" w:color="000000"/>
              <w:bottom w:val="single" w:sz="4" w:space="0" w:color="000000"/>
            </w:tcBorders>
          </w:tcPr>
          <w:p>
            <w:pPr>
              <w:pStyle w:val="TableParagraph"/>
              <w:spacing w:line="230" w:lineRule="exact" w:before="0"/>
              <w:ind w:left="110"/>
              <w:rPr>
                <w:sz w:val="20"/>
              </w:rPr>
            </w:pPr>
            <w:r>
              <w:rPr>
                <w:sz w:val="20"/>
              </w:rPr>
              <w:t>Noted.</w:t>
            </w:r>
          </w:p>
        </w:tc>
      </w:tr>
      <w:tr>
        <w:trPr>
          <w:trHeight w:val="821" w:hRule="exact"/>
        </w:trPr>
        <w:tc>
          <w:tcPr>
            <w:tcW w:w="1004" w:type="dxa"/>
            <w:vMerge w:val="restart"/>
            <w:tcBorders>
              <w:top w:val="single" w:sz="4" w:space="0" w:color="000000"/>
              <w:right w:val="single" w:sz="4" w:space="0" w:color="000000"/>
            </w:tcBorders>
          </w:tcPr>
          <w:p>
            <w:pPr>
              <w:pStyle w:val="TableParagraph"/>
              <w:spacing w:before="60"/>
              <w:ind w:left="101"/>
              <w:rPr>
                <w:sz w:val="20"/>
              </w:rPr>
            </w:pPr>
            <w:r>
              <w:rPr>
                <w:sz w:val="20"/>
              </w:rPr>
              <w:t>Feb 12,</w:t>
            </w:r>
          </w:p>
          <w:p>
            <w:pPr>
              <w:pStyle w:val="TableParagraph"/>
              <w:spacing w:before="0"/>
              <w:ind w:left="101"/>
              <w:rPr>
                <w:sz w:val="20"/>
              </w:rPr>
            </w:pPr>
            <w:r>
              <w:rPr>
                <w:sz w:val="20"/>
              </w:rPr>
              <w:t>2019</w:t>
            </w:r>
          </w:p>
        </w:tc>
        <w:tc>
          <w:tcPr>
            <w:tcW w:w="2496" w:type="dxa"/>
            <w:vMerge w:val="restart"/>
            <w:tcBorders>
              <w:top w:val="single" w:sz="4" w:space="0" w:color="000000"/>
              <w:left w:val="single" w:sz="4" w:space="0" w:color="000000"/>
              <w:right w:val="single" w:sz="4" w:space="0" w:color="000000"/>
            </w:tcBorders>
          </w:tcPr>
          <w:p>
            <w:pPr>
              <w:pStyle w:val="TableParagraph"/>
              <w:tabs>
                <w:tab w:pos="913" w:val="left" w:leader="none"/>
                <w:tab w:pos="1793" w:val="left" w:leader="none"/>
              </w:tabs>
              <w:spacing w:before="60"/>
              <w:ind w:left="110" w:right="114"/>
              <w:rPr>
                <w:sz w:val="20"/>
              </w:rPr>
            </w:pPr>
            <w:r>
              <w:rPr>
                <w:sz w:val="20"/>
              </w:rPr>
              <w:t>Legal</w:t>
              <w:tab/>
              <w:t>Rights</w:t>
              <w:tab/>
              <w:t>Forum</w:t>
            </w:r>
            <w:r>
              <w:rPr>
                <w:w w:val="99"/>
                <w:sz w:val="20"/>
              </w:rPr>
              <w:t> </w:t>
            </w:r>
            <w:r>
              <w:rPr>
                <w:sz w:val="20"/>
              </w:rPr>
              <w:t>(LRF)</w:t>
            </w:r>
          </w:p>
        </w:tc>
        <w:tc>
          <w:tcPr>
            <w:tcW w:w="1630" w:type="dxa"/>
            <w:vMerge w:val="restart"/>
            <w:tcBorders>
              <w:top w:val="single" w:sz="4" w:space="0" w:color="000000"/>
              <w:left w:val="single" w:sz="4" w:space="0" w:color="000000"/>
              <w:right w:val="single" w:sz="4" w:space="0" w:color="000000"/>
            </w:tcBorders>
          </w:tcPr>
          <w:p>
            <w:pPr>
              <w:pStyle w:val="TableParagraph"/>
              <w:spacing w:before="60"/>
              <w:ind w:left="110" w:right="512"/>
              <w:rPr>
                <w:sz w:val="20"/>
              </w:rPr>
            </w:pPr>
            <w:r>
              <w:rPr>
                <w:sz w:val="20"/>
              </w:rPr>
              <w:t>Malik Tahir Iqbal, Executive Director</w:t>
            </w:r>
          </w:p>
        </w:tc>
        <w:tc>
          <w:tcPr>
            <w:tcW w:w="5218" w:type="dxa"/>
            <w:tcBorders>
              <w:top w:val="single" w:sz="4" w:space="0" w:color="000000"/>
              <w:left w:val="single" w:sz="4" w:space="0" w:color="000000"/>
              <w:bottom w:val="dotted" w:sz="4" w:space="0" w:color="000000"/>
              <w:right w:val="single" w:sz="4" w:space="0" w:color="000000"/>
            </w:tcBorders>
          </w:tcPr>
          <w:p>
            <w:pPr>
              <w:pStyle w:val="TableParagraph"/>
              <w:spacing w:before="60"/>
              <w:ind w:left="110" w:right="112"/>
              <w:jc w:val="both"/>
              <w:rPr>
                <w:sz w:val="20"/>
              </w:rPr>
            </w:pPr>
            <w:r>
              <w:rPr>
                <w:sz w:val="20"/>
              </w:rPr>
              <w:t>All bus drivers and staff of the BRT should be trained to be more gender sensitive. All security staff hired by the bus service should be trained as well.</w:t>
            </w:r>
          </w:p>
        </w:tc>
        <w:tc>
          <w:tcPr>
            <w:tcW w:w="3291" w:type="dxa"/>
            <w:tcBorders>
              <w:top w:val="single" w:sz="4" w:space="0" w:color="000000"/>
              <w:left w:val="single" w:sz="4" w:space="0" w:color="000000"/>
              <w:bottom w:val="dotted" w:sz="4" w:space="0" w:color="000000"/>
            </w:tcBorders>
          </w:tcPr>
          <w:p>
            <w:pPr>
              <w:pStyle w:val="TableParagraph"/>
              <w:spacing w:line="230" w:lineRule="exact" w:before="0"/>
              <w:ind w:left="110"/>
              <w:rPr>
                <w:sz w:val="20"/>
              </w:rPr>
            </w:pPr>
            <w:r>
              <w:rPr>
                <w:sz w:val="20"/>
              </w:rPr>
              <w:t>Noted.</w:t>
            </w:r>
          </w:p>
        </w:tc>
      </w:tr>
      <w:tr>
        <w:trPr>
          <w:trHeight w:val="588" w:hRule="exact"/>
        </w:trPr>
        <w:tc>
          <w:tcPr>
            <w:tcW w:w="1004" w:type="dxa"/>
            <w:vMerge/>
            <w:tcBorders>
              <w:bottom w:val="single" w:sz="4" w:space="0" w:color="000000"/>
              <w:right w:val="single" w:sz="4" w:space="0" w:color="000000"/>
            </w:tcBorders>
          </w:tcPr>
          <w:p>
            <w:pPr/>
          </w:p>
        </w:tc>
        <w:tc>
          <w:tcPr>
            <w:tcW w:w="2496" w:type="dxa"/>
            <w:vMerge/>
            <w:tcBorders>
              <w:left w:val="single" w:sz="4" w:space="0" w:color="000000"/>
              <w:bottom w:val="single" w:sz="4" w:space="0" w:color="000000"/>
              <w:right w:val="single" w:sz="4" w:space="0" w:color="000000"/>
            </w:tcBorders>
          </w:tcPr>
          <w:p>
            <w:pPr/>
          </w:p>
        </w:tc>
        <w:tc>
          <w:tcPr>
            <w:tcW w:w="1630" w:type="dxa"/>
            <w:vMerge/>
            <w:tcBorders>
              <w:left w:val="single" w:sz="4" w:space="0" w:color="000000"/>
              <w:bottom w:val="single" w:sz="4" w:space="0" w:color="000000"/>
              <w:right w:val="single" w:sz="4" w:space="0" w:color="000000"/>
            </w:tcBorders>
          </w:tcPr>
          <w:p>
            <w:pPr/>
          </w:p>
        </w:tc>
        <w:tc>
          <w:tcPr>
            <w:tcW w:w="5218" w:type="dxa"/>
            <w:tcBorders>
              <w:top w:val="dotted" w:sz="4" w:space="0" w:color="000000"/>
              <w:left w:val="single" w:sz="4" w:space="0" w:color="000000"/>
              <w:bottom w:val="single" w:sz="4" w:space="0" w:color="000000"/>
              <w:right w:val="single" w:sz="4" w:space="0" w:color="000000"/>
            </w:tcBorders>
          </w:tcPr>
          <w:p>
            <w:pPr>
              <w:pStyle w:val="TableParagraph"/>
              <w:ind w:left="110"/>
              <w:rPr>
                <w:sz w:val="20"/>
              </w:rPr>
            </w:pPr>
            <w:r>
              <w:rPr>
                <w:sz w:val="20"/>
              </w:rPr>
              <w:t>There should be some employment opportunities in BRT Project.</w:t>
            </w:r>
          </w:p>
        </w:tc>
        <w:tc>
          <w:tcPr>
            <w:tcW w:w="3291" w:type="dxa"/>
            <w:tcBorders>
              <w:top w:val="dotted" w:sz="4" w:space="0" w:color="000000"/>
              <w:left w:val="single" w:sz="4" w:space="0" w:color="000000"/>
              <w:bottom w:val="single" w:sz="4" w:space="0" w:color="000000"/>
            </w:tcBorders>
          </w:tcPr>
          <w:p>
            <w:pPr>
              <w:pStyle w:val="TableParagraph"/>
              <w:spacing w:line="230" w:lineRule="exact" w:before="0"/>
              <w:ind w:left="110"/>
              <w:rPr>
                <w:sz w:val="20"/>
              </w:rPr>
            </w:pPr>
            <w:r>
              <w:rPr>
                <w:sz w:val="20"/>
              </w:rPr>
              <w:t>Noted.</w:t>
            </w:r>
          </w:p>
        </w:tc>
      </w:tr>
      <w:tr>
        <w:trPr>
          <w:trHeight w:val="1282" w:hRule="exact"/>
        </w:trPr>
        <w:tc>
          <w:tcPr>
            <w:tcW w:w="1004" w:type="dxa"/>
            <w:vMerge w:val="restart"/>
            <w:tcBorders>
              <w:top w:val="single" w:sz="4" w:space="0" w:color="000000"/>
              <w:right w:val="single" w:sz="4" w:space="0" w:color="000000"/>
            </w:tcBorders>
          </w:tcPr>
          <w:p>
            <w:pPr>
              <w:pStyle w:val="TableParagraph"/>
              <w:ind w:left="101"/>
              <w:rPr>
                <w:sz w:val="20"/>
              </w:rPr>
            </w:pPr>
            <w:r>
              <w:rPr>
                <w:sz w:val="20"/>
              </w:rPr>
              <w:t>Feb 13,</w:t>
            </w:r>
          </w:p>
          <w:p>
            <w:pPr>
              <w:pStyle w:val="TableParagraph"/>
              <w:spacing w:before="0"/>
              <w:ind w:left="101"/>
              <w:rPr>
                <w:sz w:val="20"/>
              </w:rPr>
            </w:pPr>
            <w:r>
              <w:rPr>
                <w:sz w:val="20"/>
              </w:rPr>
              <w:t>2019</w:t>
            </w:r>
          </w:p>
        </w:tc>
        <w:tc>
          <w:tcPr>
            <w:tcW w:w="2496" w:type="dxa"/>
            <w:vMerge w:val="restart"/>
            <w:tcBorders>
              <w:top w:val="single" w:sz="4" w:space="0" w:color="000000"/>
              <w:left w:val="single" w:sz="4" w:space="0" w:color="000000"/>
              <w:right w:val="single" w:sz="4" w:space="0" w:color="000000"/>
            </w:tcBorders>
          </w:tcPr>
          <w:p>
            <w:pPr>
              <w:pStyle w:val="TableParagraph"/>
              <w:tabs>
                <w:tab w:pos="1809" w:val="left" w:leader="none"/>
              </w:tabs>
              <w:ind w:left="110" w:right="111"/>
              <w:jc w:val="both"/>
              <w:rPr>
                <w:sz w:val="20"/>
              </w:rPr>
            </w:pPr>
            <w:r>
              <w:rPr>
                <w:sz w:val="20"/>
              </w:rPr>
              <w:t>Human</w:t>
              <w:tab/>
            </w:r>
            <w:r>
              <w:rPr>
                <w:w w:val="95"/>
                <w:sz w:val="20"/>
              </w:rPr>
              <w:t>Rights </w:t>
            </w:r>
            <w:r>
              <w:rPr>
                <w:sz w:val="20"/>
              </w:rPr>
              <w:t>Commission of Pakistan (HRCP)</w:t>
            </w:r>
          </w:p>
        </w:tc>
        <w:tc>
          <w:tcPr>
            <w:tcW w:w="1630" w:type="dxa"/>
            <w:vMerge w:val="restart"/>
            <w:tcBorders>
              <w:top w:val="single" w:sz="4" w:space="0" w:color="000000"/>
              <w:left w:val="single" w:sz="4" w:space="0" w:color="000000"/>
              <w:right w:val="single" w:sz="4" w:space="0" w:color="000000"/>
            </w:tcBorders>
          </w:tcPr>
          <w:p>
            <w:pPr>
              <w:pStyle w:val="TableParagraph"/>
              <w:ind w:left="110" w:right="190"/>
              <w:rPr>
                <w:sz w:val="20"/>
              </w:rPr>
            </w:pPr>
            <w:r>
              <w:rPr>
                <w:sz w:val="20"/>
              </w:rPr>
              <w:t>Nida Tanweer, Program Officer</w:t>
            </w:r>
          </w:p>
        </w:tc>
        <w:tc>
          <w:tcPr>
            <w:tcW w:w="5218" w:type="dxa"/>
            <w:tcBorders>
              <w:top w:val="single" w:sz="4" w:space="0" w:color="000000"/>
              <w:left w:val="single" w:sz="4" w:space="0" w:color="000000"/>
              <w:bottom w:val="dotted" w:sz="4" w:space="0" w:color="000000"/>
              <w:right w:val="single" w:sz="4" w:space="0" w:color="000000"/>
            </w:tcBorders>
          </w:tcPr>
          <w:p>
            <w:pPr>
              <w:pStyle w:val="TableParagraph"/>
              <w:ind w:left="110" w:right="105"/>
              <w:jc w:val="both"/>
              <w:rPr>
                <w:sz w:val="20"/>
              </w:rPr>
            </w:pPr>
            <w:r>
              <w:rPr>
                <w:sz w:val="20"/>
              </w:rPr>
              <w:t>Helpline numbers should be displayed at all the bus stations and inside the buses and emergency phones should be installed that function without dialling to register quick complaints. Complaint cells or boxes should also be available in the bus stations.</w:t>
            </w:r>
          </w:p>
        </w:tc>
        <w:tc>
          <w:tcPr>
            <w:tcW w:w="3291" w:type="dxa"/>
            <w:tcBorders>
              <w:top w:val="single" w:sz="4" w:space="0" w:color="000000"/>
              <w:left w:val="single" w:sz="4" w:space="0" w:color="000000"/>
              <w:bottom w:val="dotted" w:sz="4" w:space="0" w:color="000000"/>
            </w:tcBorders>
          </w:tcPr>
          <w:p>
            <w:pPr>
              <w:pStyle w:val="TableParagraph"/>
              <w:spacing w:before="2"/>
              <w:ind w:left="110"/>
              <w:rPr>
                <w:sz w:val="20"/>
              </w:rPr>
            </w:pPr>
            <w:r>
              <w:rPr>
                <w:sz w:val="20"/>
              </w:rPr>
              <w:t>Noted.</w:t>
            </w:r>
          </w:p>
        </w:tc>
      </w:tr>
      <w:tr>
        <w:trPr>
          <w:trHeight w:val="588" w:hRule="exact"/>
        </w:trPr>
        <w:tc>
          <w:tcPr>
            <w:tcW w:w="1004" w:type="dxa"/>
            <w:vMerge/>
            <w:tcBorders>
              <w:right w:val="single" w:sz="4" w:space="0" w:color="000000"/>
            </w:tcBorders>
          </w:tcPr>
          <w:p>
            <w:pPr/>
          </w:p>
        </w:tc>
        <w:tc>
          <w:tcPr>
            <w:tcW w:w="2496" w:type="dxa"/>
            <w:vMerge/>
            <w:tcBorders>
              <w:left w:val="single" w:sz="4" w:space="0" w:color="000000"/>
              <w:right w:val="single" w:sz="4" w:space="0" w:color="000000"/>
            </w:tcBorders>
          </w:tcPr>
          <w:p>
            <w:pPr/>
          </w:p>
        </w:tc>
        <w:tc>
          <w:tcPr>
            <w:tcW w:w="1630" w:type="dxa"/>
            <w:vMerge/>
            <w:tcBorders>
              <w:left w:val="single" w:sz="4" w:space="0" w:color="000000"/>
              <w:right w:val="single" w:sz="4" w:space="0" w:color="000000"/>
            </w:tcBorders>
          </w:tcPr>
          <w:p>
            <w:pPr/>
          </w:p>
        </w:tc>
        <w:tc>
          <w:tcPr>
            <w:tcW w:w="5218" w:type="dxa"/>
            <w:tcBorders>
              <w:top w:val="dotted" w:sz="4" w:space="0" w:color="000000"/>
              <w:left w:val="single" w:sz="4" w:space="0" w:color="000000"/>
              <w:bottom w:val="dotted" w:sz="4" w:space="0" w:color="000000"/>
              <w:right w:val="single" w:sz="4" w:space="0" w:color="000000"/>
            </w:tcBorders>
          </w:tcPr>
          <w:p>
            <w:pPr>
              <w:pStyle w:val="TableParagraph"/>
              <w:ind w:left="110" w:right="105"/>
              <w:rPr>
                <w:sz w:val="20"/>
              </w:rPr>
            </w:pPr>
            <w:r>
              <w:rPr>
                <w:sz w:val="20"/>
              </w:rPr>
              <w:t>BRT Project is a good initiative and it should be started at the earliest.</w:t>
            </w:r>
          </w:p>
        </w:tc>
        <w:tc>
          <w:tcPr>
            <w:tcW w:w="3291" w:type="dxa"/>
            <w:tcBorders>
              <w:top w:val="dotted" w:sz="4" w:space="0" w:color="000000"/>
              <w:left w:val="single" w:sz="4" w:space="0" w:color="000000"/>
              <w:bottom w:val="dotted" w:sz="4" w:space="0" w:color="000000"/>
            </w:tcBorders>
          </w:tcPr>
          <w:p>
            <w:pPr>
              <w:pStyle w:val="TableParagraph"/>
              <w:spacing w:line="230" w:lineRule="exact" w:before="0"/>
              <w:ind w:left="110"/>
              <w:rPr>
                <w:sz w:val="20"/>
              </w:rPr>
            </w:pPr>
            <w:r>
              <w:rPr>
                <w:sz w:val="20"/>
              </w:rPr>
              <w:t>Noted.</w:t>
            </w:r>
          </w:p>
        </w:tc>
      </w:tr>
      <w:tr>
        <w:trPr>
          <w:trHeight w:val="590" w:hRule="exact"/>
        </w:trPr>
        <w:tc>
          <w:tcPr>
            <w:tcW w:w="1004" w:type="dxa"/>
            <w:vMerge/>
            <w:tcBorders>
              <w:bottom w:val="single" w:sz="4" w:space="0" w:color="000000"/>
              <w:right w:val="single" w:sz="4" w:space="0" w:color="000000"/>
            </w:tcBorders>
          </w:tcPr>
          <w:p>
            <w:pPr/>
          </w:p>
        </w:tc>
        <w:tc>
          <w:tcPr>
            <w:tcW w:w="2496" w:type="dxa"/>
            <w:vMerge/>
            <w:tcBorders>
              <w:left w:val="single" w:sz="4" w:space="0" w:color="000000"/>
              <w:bottom w:val="single" w:sz="4" w:space="0" w:color="000000"/>
              <w:right w:val="single" w:sz="4" w:space="0" w:color="000000"/>
            </w:tcBorders>
          </w:tcPr>
          <w:p>
            <w:pPr/>
          </w:p>
        </w:tc>
        <w:tc>
          <w:tcPr>
            <w:tcW w:w="1630" w:type="dxa"/>
            <w:vMerge/>
            <w:tcBorders>
              <w:left w:val="single" w:sz="4" w:space="0" w:color="000000"/>
              <w:bottom w:val="single" w:sz="4" w:space="0" w:color="000000"/>
              <w:right w:val="single" w:sz="4" w:space="0" w:color="000000"/>
            </w:tcBorders>
          </w:tcPr>
          <w:p>
            <w:pPr/>
          </w:p>
        </w:tc>
        <w:tc>
          <w:tcPr>
            <w:tcW w:w="5218" w:type="dxa"/>
            <w:tcBorders>
              <w:top w:val="dotted" w:sz="4" w:space="0" w:color="000000"/>
              <w:left w:val="single" w:sz="4" w:space="0" w:color="000000"/>
              <w:bottom w:val="single" w:sz="4" w:space="0" w:color="000000"/>
              <w:right w:val="single" w:sz="4" w:space="0" w:color="000000"/>
            </w:tcBorders>
          </w:tcPr>
          <w:p>
            <w:pPr>
              <w:pStyle w:val="TableParagraph"/>
              <w:ind w:left="110" w:right="105"/>
              <w:rPr>
                <w:sz w:val="20"/>
              </w:rPr>
            </w:pPr>
            <w:r>
              <w:rPr>
                <w:sz w:val="20"/>
              </w:rPr>
              <w:t>The BRT Project will be the turning point of Karachi as it will play a key role in Karachi transportation system.</w:t>
            </w:r>
          </w:p>
        </w:tc>
        <w:tc>
          <w:tcPr>
            <w:tcW w:w="3291" w:type="dxa"/>
            <w:tcBorders>
              <w:top w:val="dotted" w:sz="4" w:space="0" w:color="000000"/>
              <w:left w:val="single" w:sz="4" w:space="0" w:color="000000"/>
              <w:bottom w:val="single" w:sz="4" w:space="0" w:color="000000"/>
            </w:tcBorders>
          </w:tcPr>
          <w:p>
            <w:pPr>
              <w:pStyle w:val="TableParagraph"/>
              <w:spacing w:before="2"/>
              <w:ind w:left="110"/>
              <w:rPr>
                <w:sz w:val="20"/>
              </w:rPr>
            </w:pPr>
            <w:r>
              <w:rPr>
                <w:sz w:val="20"/>
              </w:rPr>
              <w:t>Noted.</w:t>
            </w:r>
          </w:p>
        </w:tc>
      </w:tr>
      <w:tr>
        <w:trPr>
          <w:trHeight w:val="828" w:hRule="exact"/>
        </w:trPr>
        <w:tc>
          <w:tcPr>
            <w:tcW w:w="1004" w:type="dxa"/>
            <w:tcBorders>
              <w:top w:val="single" w:sz="4" w:space="0" w:color="000000"/>
              <w:right w:val="single" w:sz="4" w:space="0" w:color="000000"/>
            </w:tcBorders>
          </w:tcPr>
          <w:p>
            <w:pPr>
              <w:pStyle w:val="TableParagraph"/>
              <w:ind w:left="101"/>
              <w:rPr>
                <w:sz w:val="20"/>
              </w:rPr>
            </w:pPr>
            <w:r>
              <w:rPr>
                <w:sz w:val="20"/>
              </w:rPr>
              <w:t>Feb 13,</w:t>
            </w:r>
          </w:p>
          <w:p>
            <w:pPr>
              <w:pStyle w:val="TableParagraph"/>
              <w:spacing w:before="0"/>
              <w:ind w:left="101"/>
              <w:rPr>
                <w:sz w:val="20"/>
              </w:rPr>
            </w:pPr>
            <w:r>
              <w:rPr>
                <w:sz w:val="20"/>
              </w:rPr>
              <w:t>2019</w:t>
            </w:r>
          </w:p>
        </w:tc>
        <w:tc>
          <w:tcPr>
            <w:tcW w:w="2496" w:type="dxa"/>
            <w:tcBorders>
              <w:top w:val="single" w:sz="4" w:space="0" w:color="000000"/>
              <w:left w:val="single" w:sz="4" w:space="0" w:color="000000"/>
              <w:right w:val="single" w:sz="4" w:space="0" w:color="000000"/>
            </w:tcBorders>
          </w:tcPr>
          <w:p>
            <w:pPr>
              <w:pStyle w:val="TableParagraph"/>
              <w:ind w:left="110"/>
              <w:rPr>
                <w:sz w:val="20"/>
              </w:rPr>
            </w:pPr>
            <w:r>
              <w:rPr>
                <w:sz w:val="20"/>
              </w:rPr>
              <w:t>Urban Resource Center (URC)</w:t>
            </w:r>
          </w:p>
        </w:tc>
        <w:tc>
          <w:tcPr>
            <w:tcW w:w="1630" w:type="dxa"/>
            <w:tcBorders>
              <w:top w:val="single" w:sz="4" w:space="0" w:color="000000"/>
              <w:left w:val="single" w:sz="4" w:space="0" w:color="000000"/>
              <w:right w:val="single" w:sz="4" w:space="0" w:color="000000"/>
            </w:tcBorders>
          </w:tcPr>
          <w:p>
            <w:pPr>
              <w:pStyle w:val="TableParagraph"/>
              <w:ind w:left="110" w:right="245"/>
              <w:rPr>
                <w:sz w:val="20"/>
              </w:rPr>
            </w:pPr>
            <w:r>
              <w:rPr>
                <w:sz w:val="20"/>
              </w:rPr>
              <w:t>Zahid Farooq, Joint Director</w:t>
            </w:r>
          </w:p>
        </w:tc>
        <w:tc>
          <w:tcPr>
            <w:tcW w:w="5218" w:type="dxa"/>
            <w:tcBorders>
              <w:top w:val="single" w:sz="4" w:space="0" w:color="000000"/>
              <w:left w:val="single" w:sz="4" w:space="0" w:color="000000"/>
              <w:right w:val="single" w:sz="4" w:space="0" w:color="000000"/>
            </w:tcBorders>
          </w:tcPr>
          <w:p>
            <w:pPr>
              <w:pStyle w:val="TableParagraph"/>
              <w:ind w:left="110" w:right="110"/>
              <w:jc w:val="both"/>
              <w:rPr>
                <w:sz w:val="20"/>
              </w:rPr>
            </w:pPr>
            <w:r>
              <w:rPr>
                <w:sz w:val="20"/>
              </w:rPr>
              <w:t>The</w:t>
            </w:r>
            <w:r>
              <w:rPr>
                <w:spacing w:val="-9"/>
                <w:sz w:val="20"/>
              </w:rPr>
              <w:t> </w:t>
            </w:r>
            <w:r>
              <w:rPr>
                <w:sz w:val="20"/>
              </w:rPr>
              <w:t>shortage</w:t>
            </w:r>
            <w:r>
              <w:rPr>
                <w:spacing w:val="-9"/>
                <w:sz w:val="20"/>
              </w:rPr>
              <w:t> </w:t>
            </w:r>
            <w:r>
              <w:rPr>
                <w:sz w:val="20"/>
              </w:rPr>
              <w:t>of</w:t>
            </w:r>
            <w:r>
              <w:rPr>
                <w:spacing w:val="-7"/>
                <w:sz w:val="20"/>
              </w:rPr>
              <w:t> </w:t>
            </w:r>
            <w:r>
              <w:rPr>
                <w:sz w:val="20"/>
              </w:rPr>
              <w:t>public</w:t>
            </w:r>
            <w:r>
              <w:rPr>
                <w:spacing w:val="-8"/>
                <w:sz w:val="20"/>
              </w:rPr>
              <w:t> </w:t>
            </w:r>
            <w:r>
              <w:rPr>
                <w:sz w:val="20"/>
              </w:rPr>
              <w:t>transport</w:t>
            </w:r>
            <w:r>
              <w:rPr>
                <w:spacing w:val="-9"/>
                <w:sz w:val="20"/>
              </w:rPr>
              <w:t> </w:t>
            </w:r>
            <w:r>
              <w:rPr>
                <w:sz w:val="20"/>
              </w:rPr>
              <w:t>widens</w:t>
            </w:r>
            <w:r>
              <w:rPr>
                <w:spacing w:val="-8"/>
                <w:sz w:val="20"/>
              </w:rPr>
              <w:t> </w:t>
            </w:r>
            <w:r>
              <w:rPr>
                <w:sz w:val="20"/>
              </w:rPr>
              <w:t>the</w:t>
            </w:r>
            <w:r>
              <w:rPr>
                <w:spacing w:val="-9"/>
                <w:sz w:val="20"/>
              </w:rPr>
              <w:t> </w:t>
            </w:r>
            <w:r>
              <w:rPr>
                <w:sz w:val="20"/>
              </w:rPr>
              <w:t>gap</w:t>
            </w:r>
            <w:r>
              <w:rPr>
                <w:spacing w:val="-9"/>
                <w:sz w:val="20"/>
              </w:rPr>
              <w:t> </w:t>
            </w:r>
            <w:r>
              <w:rPr>
                <w:sz w:val="20"/>
              </w:rPr>
              <w:t>between the public demand and the availability of buses on the roads. BRT will be a gift for the people of</w:t>
            </w:r>
            <w:r>
              <w:rPr>
                <w:spacing w:val="-14"/>
                <w:sz w:val="20"/>
              </w:rPr>
              <w:t> </w:t>
            </w:r>
            <w:r>
              <w:rPr>
                <w:sz w:val="20"/>
              </w:rPr>
              <w:t>Karachi.</w:t>
            </w:r>
          </w:p>
        </w:tc>
        <w:tc>
          <w:tcPr>
            <w:tcW w:w="3291" w:type="dxa"/>
            <w:tcBorders>
              <w:top w:val="single" w:sz="4" w:space="0" w:color="000000"/>
              <w:left w:val="single" w:sz="4" w:space="0" w:color="000000"/>
            </w:tcBorders>
          </w:tcPr>
          <w:p>
            <w:pPr>
              <w:pStyle w:val="TableParagraph"/>
              <w:spacing w:line="230" w:lineRule="exact" w:before="0"/>
              <w:ind w:left="110"/>
              <w:rPr>
                <w:sz w:val="20"/>
              </w:rPr>
            </w:pPr>
            <w:r>
              <w:rPr>
                <w:sz w:val="20"/>
              </w:rPr>
              <w:t>Noted.</w:t>
            </w:r>
          </w:p>
        </w:tc>
      </w:tr>
    </w:tbl>
    <w:p>
      <w:pPr>
        <w:spacing w:after="0" w:line="230" w:lineRule="exact"/>
        <w:rPr>
          <w:sz w:val="20"/>
        </w:rPr>
        <w:sectPr>
          <w:pgSz w:w="16840" w:h="11910" w:orient="landscape"/>
          <w:pgMar w:header="583" w:footer="575" w:top="840" w:bottom="760" w:left="860" w:right="12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6"/>
        </w:rPr>
      </w:pPr>
    </w:p>
    <w:tbl>
      <w:tblPr>
        <w:tblW w:w="0" w:type="auto"/>
        <w:jc w:val="left"/>
        <w:tblInd w:w="9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04"/>
        <w:gridCol w:w="2496"/>
        <w:gridCol w:w="1630"/>
        <w:gridCol w:w="5218"/>
        <w:gridCol w:w="3291"/>
      </w:tblGrid>
      <w:tr>
        <w:trPr>
          <w:trHeight w:val="600" w:hRule="exact"/>
        </w:trPr>
        <w:tc>
          <w:tcPr>
            <w:tcW w:w="1004" w:type="dxa"/>
            <w:tcBorders>
              <w:bottom w:val="single" w:sz="4" w:space="0" w:color="000000"/>
              <w:right w:val="single" w:sz="4" w:space="0" w:color="000000"/>
            </w:tcBorders>
            <w:shd w:val="clear" w:color="auto" w:fill="D9D9D9"/>
          </w:tcPr>
          <w:p>
            <w:pPr>
              <w:pStyle w:val="TableParagraph"/>
              <w:ind w:left="187" w:right="160" w:hanging="17"/>
              <w:rPr>
                <w:b/>
                <w:sz w:val="20"/>
              </w:rPr>
            </w:pPr>
            <w:r>
              <w:rPr>
                <w:b/>
                <w:sz w:val="20"/>
              </w:rPr>
              <w:t>Date &amp; Venue</w:t>
            </w:r>
          </w:p>
        </w:tc>
        <w:tc>
          <w:tcPr>
            <w:tcW w:w="2496" w:type="dxa"/>
            <w:tcBorders>
              <w:left w:val="single" w:sz="4" w:space="0" w:color="000000"/>
              <w:bottom w:val="single" w:sz="4" w:space="0" w:color="000000"/>
              <w:right w:val="single" w:sz="4" w:space="0" w:color="000000"/>
            </w:tcBorders>
            <w:shd w:val="clear" w:color="auto" w:fill="D9D9D9"/>
          </w:tcPr>
          <w:p>
            <w:pPr>
              <w:pStyle w:val="TableParagraph"/>
              <w:ind w:left="631"/>
              <w:rPr>
                <w:b/>
                <w:sz w:val="20"/>
              </w:rPr>
            </w:pPr>
            <w:r>
              <w:rPr>
                <w:b/>
                <w:sz w:val="20"/>
              </w:rPr>
              <w:t>Organization</w:t>
            </w:r>
          </w:p>
        </w:tc>
        <w:tc>
          <w:tcPr>
            <w:tcW w:w="1630" w:type="dxa"/>
            <w:tcBorders>
              <w:left w:val="single" w:sz="4" w:space="0" w:color="000000"/>
              <w:bottom w:val="single" w:sz="4" w:space="0" w:color="000000"/>
              <w:right w:val="single" w:sz="4" w:space="0" w:color="000000"/>
            </w:tcBorders>
            <w:shd w:val="clear" w:color="auto" w:fill="D9D9D9"/>
          </w:tcPr>
          <w:p>
            <w:pPr>
              <w:pStyle w:val="TableParagraph"/>
              <w:ind w:left="322" w:right="245" w:firstLine="93"/>
              <w:rPr>
                <w:b/>
                <w:sz w:val="20"/>
              </w:rPr>
            </w:pPr>
            <w:r>
              <w:rPr>
                <w:b/>
                <w:sz w:val="20"/>
              </w:rPr>
              <w:t>Persons </w:t>
            </w:r>
            <w:r>
              <w:rPr>
                <w:b/>
                <w:w w:val="95"/>
                <w:sz w:val="20"/>
              </w:rPr>
              <w:t>Consulted</w:t>
            </w:r>
          </w:p>
        </w:tc>
        <w:tc>
          <w:tcPr>
            <w:tcW w:w="5218" w:type="dxa"/>
            <w:tcBorders>
              <w:left w:val="single" w:sz="4" w:space="0" w:color="000000"/>
              <w:bottom w:val="single" w:sz="4" w:space="0" w:color="000000"/>
              <w:right w:val="single" w:sz="4" w:space="0" w:color="000000"/>
            </w:tcBorders>
            <w:shd w:val="clear" w:color="auto" w:fill="D9D9D9"/>
          </w:tcPr>
          <w:p>
            <w:pPr>
              <w:pStyle w:val="TableParagraph"/>
              <w:ind w:left="1521"/>
              <w:rPr>
                <w:b/>
                <w:sz w:val="20"/>
              </w:rPr>
            </w:pPr>
            <w:r>
              <w:rPr>
                <w:b/>
                <w:sz w:val="20"/>
              </w:rPr>
              <w:t>Main Issues/Concerns/</w:t>
            </w:r>
          </w:p>
        </w:tc>
        <w:tc>
          <w:tcPr>
            <w:tcW w:w="3291" w:type="dxa"/>
            <w:tcBorders>
              <w:left w:val="single" w:sz="4" w:space="0" w:color="000000"/>
              <w:bottom w:val="single" w:sz="4" w:space="0" w:color="000000"/>
            </w:tcBorders>
            <w:shd w:val="clear" w:color="auto" w:fill="D9D9D9"/>
          </w:tcPr>
          <w:p>
            <w:pPr>
              <w:pStyle w:val="TableParagraph"/>
              <w:ind w:left="1140" w:right="1135"/>
              <w:jc w:val="center"/>
              <w:rPr>
                <w:b/>
                <w:sz w:val="20"/>
              </w:rPr>
            </w:pPr>
            <w:r>
              <w:rPr>
                <w:b/>
                <w:sz w:val="20"/>
              </w:rPr>
              <w:t>Response</w:t>
            </w:r>
          </w:p>
        </w:tc>
      </w:tr>
      <w:tr>
        <w:trPr>
          <w:trHeight w:val="1051" w:hRule="exact"/>
        </w:trPr>
        <w:tc>
          <w:tcPr>
            <w:tcW w:w="1004" w:type="dxa"/>
            <w:vMerge w:val="restart"/>
            <w:tcBorders>
              <w:top w:val="single" w:sz="4" w:space="0" w:color="000000"/>
              <w:right w:val="single" w:sz="4" w:space="0" w:color="000000"/>
            </w:tcBorders>
          </w:tcPr>
          <w:p>
            <w:pPr/>
          </w:p>
        </w:tc>
        <w:tc>
          <w:tcPr>
            <w:tcW w:w="2496" w:type="dxa"/>
            <w:vMerge w:val="restart"/>
            <w:tcBorders>
              <w:top w:val="single" w:sz="4" w:space="0" w:color="000000"/>
              <w:left w:val="single" w:sz="4" w:space="0" w:color="000000"/>
              <w:right w:val="single" w:sz="4" w:space="0" w:color="000000"/>
            </w:tcBorders>
          </w:tcPr>
          <w:p>
            <w:pPr/>
          </w:p>
        </w:tc>
        <w:tc>
          <w:tcPr>
            <w:tcW w:w="1630" w:type="dxa"/>
            <w:vMerge w:val="restart"/>
            <w:tcBorders>
              <w:top w:val="single" w:sz="4" w:space="0" w:color="000000"/>
              <w:left w:val="single" w:sz="4" w:space="0" w:color="000000"/>
              <w:right w:val="single" w:sz="4" w:space="0" w:color="000000"/>
            </w:tcBorders>
          </w:tcPr>
          <w:p>
            <w:pPr/>
          </w:p>
        </w:tc>
        <w:tc>
          <w:tcPr>
            <w:tcW w:w="5218" w:type="dxa"/>
            <w:tcBorders>
              <w:top w:val="single" w:sz="4" w:space="0" w:color="000000"/>
              <w:left w:val="single" w:sz="4" w:space="0" w:color="000000"/>
              <w:bottom w:val="dotted" w:sz="4" w:space="0" w:color="000000"/>
              <w:right w:val="single" w:sz="4" w:space="0" w:color="000000"/>
            </w:tcBorders>
          </w:tcPr>
          <w:p>
            <w:pPr>
              <w:pStyle w:val="TableParagraph"/>
              <w:ind w:left="110" w:right="109"/>
              <w:jc w:val="both"/>
              <w:rPr>
                <w:sz w:val="20"/>
              </w:rPr>
            </w:pPr>
            <w:r>
              <w:rPr>
                <w:sz w:val="20"/>
              </w:rPr>
              <w:t>The allocation of less space for women in public buses causes seating problems for women and they often</w:t>
            </w:r>
            <w:r>
              <w:rPr>
                <w:spacing w:val="-37"/>
                <w:sz w:val="20"/>
              </w:rPr>
              <w:t> </w:t>
            </w:r>
            <w:r>
              <w:rPr>
                <w:sz w:val="20"/>
              </w:rPr>
              <w:t>have to sit right next to the bus driver. In BRT there should be separate section for</w:t>
            </w:r>
            <w:r>
              <w:rPr>
                <w:spacing w:val="-9"/>
                <w:sz w:val="20"/>
              </w:rPr>
              <w:t> </w:t>
            </w:r>
            <w:r>
              <w:rPr>
                <w:sz w:val="20"/>
              </w:rPr>
              <w:t>women.</w:t>
            </w:r>
          </w:p>
        </w:tc>
        <w:tc>
          <w:tcPr>
            <w:tcW w:w="3291" w:type="dxa"/>
            <w:tcBorders>
              <w:top w:val="single" w:sz="4" w:space="0" w:color="000000"/>
              <w:left w:val="single" w:sz="4" w:space="0" w:color="000000"/>
              <w:bottom w:val="dotted" w:sz="4" w:space="0" w:color="000000"/>
            </w:tcBorders>
          </w:tcPr>
          <w:p>
            <w:pPr>
              <w:pStyle w:val="TableParagraph"/>
              <w:spacing w:line="230" w:lineRule="exact" w:before="0"/>
              <w:ind w:left="110"/>
              <w:rPr>
                <w:sz w:val="20"/>
              </w:rPr>
            </w:pPr>
            <w:r>
              <w:rPr>
                <w:sz w:val="20"/>
              </w:rPr>
              <w:t>Noted.</w:t>
            </w:r>
          </w:p>
        </w:tc>
      </w:tr>
      <w:tr>
        <w:trPr>
          <w:trHeight w:val="819" w:hRule="exact"/>
        </w:trPr>
        <w:tc>
          <w:tcPr>
            <w:tcW w:w="1004" w:type="dxa"/>
            <w:vMerge/>
            <w:tcBorders>
              <w:bottom w:val="single" w:sz="4" w:space="0" w:color="000000"/>
              <w:right w:val="single" w:sz="4" w:space="0" w:color="000000"/>
            </w:tcBorders>
          </w:tcPr>
          <w:p>
            <w:pPr/>
          </w:p>
        </w:tc>
        <w:tc>
          <w:tcPr>
            <w:tcW w:w="2496" w:type="dxa"/>
            <w:vMerge/>
            <w:tcBorders>
              <w:left w:val="single" w:sz="4" w:space="0" w:color="000000"/>
              <w:bottom w:val="single" w:sz="4" w:space="0" w:color="000000"/>
              <w:right w:val="single" w:sz="4" w:space="0" w:color="000000"/>
            </w:tcBorders>
          </w:tcPr>
          <w:p>
            <w:pPr/>
          </w:p>
        </w:tc>
        <w:tc>
          <w:tcPr>
            <w:tcW w:w="1630" w:type="dxa"/>
            <w:vMerge/>
            <w:tcBorders>
              <w:left w:val="single" w:sz="4" w:space="0" w:color="000000"/>
              <w:bottom w:val="single" w:sz="4" w:space="0" w:color="000000"/>
              <w:right w:val="single" w:sz="4" w:space="0" w:color="000000"/>
            </w:tcBorders>
          </w:tcPr>
          <w:p>
            <w:pPr/>
          </w:p>
        </w:tc>
        <w:tc>
          <w:tcPr>
            <w:tcW w:w="5218" w:type="dxa"/>
            <w:tcBorders>
              <w:top w:val="dotted" w:sz="4" w:space="0" w:color="000000"/>
              <w:left w:val="single" w:sz="4" w:space="0" w:color="000000"/>
              <w:bottom w:val="single" w:sz="4" w:space="0" w:color="000000"/>
              <w:right w:val="single" w:sz="4" w:space="0" w:color="000000"/>
            </w:tcBorders>
          </w:tcPr>
          <w:p>
            <w:pPr>
              <w:pStyle w:val="TableParagraph"/>
              <w:spacing w:before="60"/>
              <w:ind w:left="110" w:right="107"/>
              <w:jc w:val="both"/>
              <w:rPr>
                <w:sz w:val="20"/>
              </w:rPr>
            </w:pPr>
            <w:r>
              <w:rPr>
                <w:sz w:val="20"/>
              </w:rPr>
              <w:t>The problems of public transport are increasing and becoming headache for the public and especially a torture for the women and old people.</w:t>
            </w:r>
          </w:p>
        </w:tc>
        <w:tc>
          <w:tcPr>
            <w:tcW w:w="3291" w:type="dxa"/>
            <w:tcBorders>
              <w:top w:val="dotted" w:sz="4" w:space="0" w:color="000000"/>
              <w:left w:val="single" w:sz="4" w:space="0" w:color="000000"/>
              <w:bottom w:val="single" w:sz="4" w:space="0" w:color="000000"/>
            </w:tcBorders>
          </w:tcPr>
          <w:p>
            <w:pPr>
              <w:pStyle w:val="TableParagraph"/>
              <w:spacing w:line="230" w:lineRule="exact" w:before="0"/>
              <w:ind w:left="110"/>
              <w:rPr>
                <w:sz w:val="20"/>
              </w:rPr>
            </w:pPr>
            <w:r>
              <w:rPr>
                <w:sz w:val="20"/>
              </w:rPr>
              <w:t>Noted.</w:t>
            </w:r>
          </w:p>
        </w:tc>
      </w:tr>
      <w:tr>
        <w:trPr>
          <w:trHeight w:val="1282" w:hRule="exact"/>
        </w:trPr>
        <w:tc>
          <w:tcPr>
            <w:tcW w:w="1004" w:type="dxa"/>
            <w:vMerge w:val="restart"/>
            <w:tcBorders>
              <w:top w:val="single" w:sz="4" w:space="0" w:color="000000"/>
              <w:right w:val="single" w:sz="4" w:space="0" w:color="000000"/>
            </w:tcBorders>
          </w:tcPr>
          <w:p>
            <w:pPr>
              <w:pStyle w:val="TableParagraph"/>
              <w:ind w:left="101"/>
              <w:rPr>
                <w:sz w:val="20"/>
              </w:rPr>
            </w:pPr>
            <w:r>
              <w:rPr>
                <w:sz w:val="20"/>
              </w:rPr>
              <w:t>Feb 13,</w:t>
            </w:r>
          </w:p>
          <w:p>
            <w:pPr>
              <w:pStyle w:val="TableParagraph"/>
              <w:spacing w:before="0"/>
              <w:ind w:left="101"/>
              <w:rPr>
                <w:sz w:val="20"/>
              </w:rPr>
            </w:pPr>
            <w:r>
              <w:rPr>
                <w:sz w:val="20"/>
              </w:rPr>
              <w:t>2019</w:t>
            </w:r>
          </w:p>
        </w:tc>
        <w:tc>
          <w:tcPr>
            <w:tcW w:w="2496" w:type="dxa"/>
            <w:vMerge w:val="restart"/>
            <w:tcBorders>
              <w:top w:val="single" w:sz="4" w:space="0" w:color="000000"/>
              <w:left w:val="single" w:sz="4" w:space="0" w:color="000000"/>
              <w:right w:val="single" w:sz="4" w:space="0" w:color="000000"/>
            </w:tcBorders>
          </w:tcPr>
          <w:p>
            <w:pPr>
              <w:pStyle w:val="TableParagraph"/>
              <w:ind w:left="110" w:right="433"/>
              <w:rPr>
                <w:sz w:val="20"/>
              </w:rPr>
            </w:pPr>
            <w:r>
              <w:rPr>
                <w:sz w:val="20"/>
              </w:rPr>
              <w:t>Experts on Urban Planning and Architecture of NED University</w:t>
            </w:r>
          </w:p>
        </w:tc>
        <w:tc>
          <w:tcPr>
            <w:tcW w:w="1630" w:type="dxa"/>
            <w:vMerge w:val="restart"/>
            <w:tcBorders>
              <w:top w:val="single" w:sz="4" w:space="0" w:color="000000"/>
              <w:left w:val="single" w:sz="4" w:space="0" w:color="000000"/>
              <w:right w:val="single" w:sz="4" w:space="0" w:color="000000"/>
            </w:tcBorders>
          </w:tcPr>
          <w:p>
            <w:pPr>
              <w:pStyle w:val="TableParagraph"/>
              <w:ind w:left="110"/>
              <w:rPr>
                <w:sz w:val="20"/>
              </w:rPr>
            </w:pPr>
            <w:r>
              <w:rPr>
                <w:sz w:val="20"/>
              </w:rPr>
              <w:t>Mansoor Raza, Lecturer Development Studies</w:t>
            </w:r>
          </w:p>
        </w:tc>
        <w:tc>
          <w:tcPr>
            <w:tcW w:w="5218" w:type="dxa"/>
            <w:tcBorders>
              <w:top w:val="single" w:sz="4" w:space="0" w:color="000000"/>
              <w:left w:val="single" w:sz="4" w:space="0" w:color="000000"/>
              <w:bottom w:val="dotted" w:sz="4" w:space="0" w:color="000000"/>
              <w:right w:val="single" w:sz="4" w:space="0" w:color="000000"/>
            </w:tcBorders>
          </w:tcPr>
          <w:p>
            <w:pPr>
              <w:pStyle w:val="TableParagraph"/>
              <w:ind w:left="110" w:right="110"/>
              <w:jc w:val="both"/>
              <w:rPr>
                <w:sz w:val="20"/>
              </w:rPr>
            </w:pPr>
            <w:r>
              <w:rPr>
                <w:sz w:val="20"/>
              </w:rPr>
              <w:t>Most of the people of Karachi depend on the buses,</w:t>
            </w:r>
            <w:r>
              <w:rPr>
                <w:spacing w:val="-31"/>
                <w:sz w:val="20"/>
              </w:rPr>
              <w:t> </w:t>
            </w:r>
            <w:r>
              <w:rPr>
                <w:sz w:val="20"/>
              </w:rPr>
              <w:t>mini buses and coaches as many of them do not have their personal cars and bikes and the fares of taxis and rickshaws</w:t>
            </w:r>
            <w:r>
              <w:rPr>
                <w:spacing w:val="-9"/>
                <w:sz w:val="20"/>
              </w:rPr>
              <w:t> </w:t>
            </w:r>
            <w:r>
              <w:rPr>
                <w:sz w:val="20"/>
              </w:rPr>
              <w:t>are</w:t>
            </w:r>
            <w:r>
              <w:rPr>
                <w:spacing w:val="-10"/>
                <w:sz w:val="20"/>
              </w:rPr>
              <w:t> </w:t>
            </w:r>
            <w:r>
              <w:rPr>
                <w:sz w:val="20"/>
              </w:rPr>
              <w:t>not</w:t>
            </w:r>
            <w:r>
              <w:rPr>
                <w:spacing w:val="-11"/>
                <w:sz w:val="20"/>
              </w:rPr>
              <w:t> </w:t>
            </w:r>
            <w:r>
              <w:rPr>
                <w:sz w:val="20"/>
              </w:rPr>
              <w:t>affordable</w:t>
            </w:r>
            <w:r>
              <w:rPr>
                <w:spacing w:val="-10"/>
                <w:sz w:val="20"/>
              </w:rPr>
              <w:t> </w:t>
            </w:r>
            <w:r>
              <w:rPr>
                <w:sz w:val="20"/>
              </w:rPr>
              <w:t>for</w:t>
            </w:r>
            <w:r>
              <w:rPr>
                <w:spacing w:val="-9"/>
                <w:sz w:val="20"/>
              </w:rPr>
              <w:t> </w:t>
            </w:r>
            <w:r>
              <w:rPr>
                <w:sz w:val="20"/>
              </w:rPr>
              <w:t>them.</w:t>
            </w:r>
            <w:r>
              <w:rPr>
                <w:spacing w:val="-14"/>
                <w:sz w:val="20"/>
              </w:rPr>
              <w:t> </w:t>
            </w:r>
            <w:r>
              <w:rPr>
                <w:sz w:val="20"/>
              </w:rPr>
              <w:t>The</w:t>
            </w:r>
            <w:r>
              <w:rPr>
                <w:spacing w:val="-11"/>
                <w:sz w:val="20"/>
              </w:rPr>
              <w:t> </w:t>
            </w:r>
            <w:r>
              <w:rPr>
                <w:sz w:val="20"/>
              </w:rPr>
              <w:t>BRT</w:t>
            </w:r>
            <w:r>
              <w:rPr>
                <w:spacing w:val="-7"/>
                <w:sz w:val="20"/>
              </w:rPr>
              <w:t> </w:t>
            </w:r>
            <w:r>
              <w:rPr>
                <w:sz w:val="20"/>
              </w:rPr>
              <w:t>is</w:t>
            </w:r>
            <w:r>
              <w:rPr>
                <w:spacing w:val="-9"/>
                <w:sz w:val="20"/>
              </w:rPr>
              <w:t> </w:t>
            </w:r>
            <w:r>
              <w:rPr>
                <w:sz w:val="20"/>
              </w:rPr>
              <w:t>a</w:t>
            </w:r>
            <w:r>
              <w:rPr>
                <w:spacing w:val="-10"/>
                <w:sz w:val="20"/>
              </w:rPr>
              <w:t> </w:t>
            </w:r>
            <w:r>
              <w:rPr>
                <w:sz w:val="20"/>
              </w:rPr>
              <w:t>good initiative as it will ease the life of</w:t>
            </w:r>
            <w:r>
              <w:rPr>
                <w:spacing w:val="-17"/>
                <w:sz w:val="20"/>
              </w:rPr>
              <w:t> </w:t>
            </w:r>
            <w:r>
              <w:rPr>
                <w:sz w:val="20"/>
              </w:rPr>
              <w:t>people.</w:t>
            </w:r>
          </w:p>
        </w:tc>
        <w:tc>
          <w:tcPr>
            <w:tcW w:w="3291" w:type="dxa"/>
            <w:tcBorders>
              <w:top w:val="single" w:sz="4" w:space="0" w:color="000000"/>
              <w:left w:val="single" w:sz="4" w:space="0" w:color="000000"/>
              <w:bottom w:val="dotted" w:sz="4" w:space="0" w:color="000000"/>
            </w:tcBorders>
          </w:tcPr>
          <w:p>
            <w:pPr>
              <w:pStyle w:val="TableParagraph"/>
              <w:spacing w:line="230" w:lineRule="exact" w:before="0"/>
              <w:ind w:left="110"/>
              <w:rPr>
                <w:sz w:val="20"/>
              </w:rPr>
            </w:pPr>
            <w:r>
              <w:rPr>
                <w:sz w:val="20"/>
              </w:rPr>
              <w:t>Noted.</w:t>
            </w:r>
          </w:p>
        </w:tc>
      </w:tr>
      <w:tr>
        <w:trPr>
          <w:trHeight w:val="1280" w:hRule="exact"/>
        </w:trPr>
        <w:tc>
          <w:tcPr>
            <w:tcW w:w="1004" w:type="dxa"/>
            <w:vMerge/>
            <w:tcBorders>
              <w:right w:val="single" w:sz="4" w:space="0" w:color="000000"/>
            </w:tcBorders>
          </w:tcPr>
          <w:p>
            <w:pPr/>
          </w:p>
        </w:tc>
        <w:tc>
          <w:tcPr>
            <w:tcW w:w="2496" w:type="dxa"/>
            <w:vMerge/>
            <w:tcBorders>
              <w:left w:val="single" w:sz="4" w:space="0" w:color="000000"/>
              <w:right w:val="single" w:sz="4" w:space="0" w:color="000000"/>
            </w:tcBorders>
          </w:tcPr>
          <w:p>
            <w:pPr/>
          </w:p>
        </w:tc>
        <w:tc>
          <w:tcPr>
            <w:tcW w:w="1630" w:type="dxa"/>
            <w:vMerge/>
            <w:tcBorders>
              <w:left w:val="single" w:sz="4" w:space="0" w:color="000000"/>
              <w:right w:val="single" w:sz="4" w:space="0" w:color="000000"/>
            </w:tcBorders>
          </w:tcPr>
          <w:p>
            <w:pPr/>
          </w:p>
        </w:tc>
        <w:tc>
          <w:tcPr>
            <w:tcW w:w="5218" w:type="dxa"/>
            <w:tcBorders>
              <w:top w:val="dotted" w:sz="4" w:space="0" w:color="000000"/>
              <w:left w:val="single" w:sz="4" w:space="0" w:color="000000"/>
              <w:bottom w:val="dotted" w:sz="4" w:space="0" w:color="000000"/>
              <w:right w:val="single" w:sz="4" w:space="0" w:color="000000"/>
            </w:tcBorders>
          </w:tcPr>
          <w:p>
            <w:pPr>
              <w:pStyle w:val="TableParagraph"/>
              <w:ind w:left="110" w:right="106"/>
              <w:jc w:val="both"/>
              <w:rPr>
                <w:sz w:val="20"/>
              </w:rPr>
            </w:pPr>
            <w:r>
              <w:rPr>
                <w:sz w:val="20"/>
              </w:rPr>
              <w:t>Most of the time, the buses are loaded with more-than- capacity passengers, and the passengers are forced to cling to the doors or perch on the roofs of the buses to take a ride. We hope that in BRT the passengers would not allow to cling to the doors or perch on the roofs.</w:t>
            </w:r>
          </w:p>
        </w:tc>
        <w:tc>
          <w:tcPr>
            <w:tcW w:w="3291" w:type="dxa"/>
            <w:tcBorders>
              <w:top w:val="dotted" w:sz="4" w:space="0" w:color="000000"/>
              <w:left w:val="single" w:sz="4" w:space="0" w:color="000000"/>
              <w:bottom w:val="dotted" w:sz="4" w:space="0" w:color="000000"/>
            </w:tcBorders>
          </w:tcPr>
          <w:p>
            <w:pPr>
              <w:pStyle w:val="TableParagraph"/>
              <w:spacing w:line="230" w:lineRule="exact" w:before="0"/>
              <w:ind w:left="110"/>
              <w:rPr>
                <w:sz w:val="20"/>
              </w:rPr>
            </w:pPr>
            <w:r>
              <w:rPr>
                <w:sz w:val="20"/>
              </w:rPr>
              <w:t>Noted.</w:t>
            </w:r>
          </w:p>
        </w:tc>
      </w:tr>
      <w:tr>
        <w:trPr>
          <w:trHeight w:val="1049" w:hRule="exact"/>
        </w:trPr>
        <w:tc>
          <w:tcPr>
            <w:tcW w:w="1004" w:type="dxa"/>
            <w:vMerge/>
            <w:tcBorders>
              <w:right w:val="single" w:sz="4" w:space="0" w:color="000000"/>
            </w:tcBorders>
          </w:tcPr>
          <w:p>
            <w:pPr/>
          </w:p>
        </w:tc>
        <w:tc>
          <w:tcPr>
            <w:tcW w:w="2496" w:type="dxa"/>
            <w:vMerge/>
            <w:tcBorders>
              <w:left w:val="single" w:sz="4" w:space="0" w:color="000000"/>
              <w:right w:val="single" w:sz="4" w:space="0" w:color="000000"/>
            </w:tcBorders>
          </w:tcPr>
          <w:p>
            <w:pPr/>
          </w:p>
        </w:tc>
        <w:tc>
          <w:tcPr>
            <w:tcW w:w="1630" w:type="dxa"/>
            <w:vMerge/>
            <w:tcBorders>
              <w:left w:val="single" w:sz="4" w:space="0" w:color="000000"/>
              <w:right w:val="single" w:sz="4" w:space="0" w:color="000000"/>
            </w:tcBorders>
          </w:tcPr>
          <w:p>
            <w:pPr/>
          </w:p>
        </w:tc>
        <w:tc>
          <w:tcPr>
            <w:tcW w:w="5218" w:type="dxa"/>
            <w:tcBorders>
              <w:top w:val="dotted" w:sz="4" w:space="0" w:color="000000"/>
              <w:left w:val="single" w:sz="4" w:space="0" w:color="000000"/>
              <w:bottom w:val="dotted" w:sz="4" w:space="0" w:color="000000"/>
              <w:right w:val="single" w:sz="4" w:space="0" w:color="000000"/>
            </w:tcBorders>
          </w:tcPr>
          <w:p>
            <w:pPr>
              <w:pStyle w:val="TableParagraph"/>
              <w:ind w:left="110" w:right="110"/>
              <w:jc w:val="both"/>
              <w:rPr>
                <w:sz w:val="20"/>
              </w:rPr>
            </w:pPr>
            <w:r>
              <w:rPr>
                <w:sz w:val="20"/>
              </w:rPr>
              <w:t>It is the responsibility of the government to provide citizens</w:t>
            </w:r>
            <w:r>
              <w:rPr>
                <w:spacing w:val="-15"/>
                <w:sz w:val="20"/>
              </w:rPr>
              <w:t> </w:t>
            </w:r>
            <w:r>
              <w:rPr>
                <w:sz w:val="20"/>
              </w:rPr>
              <w:t>economical</w:t>
            </w:r>
            <w:r>
              <w:rPr>
                <w:spacing w:val="-19"/>
                <w:sz w:val="20"/>
              </w:rPr>
              <w:t> </w:t>
            </w:r>
            <w:r>
              <w:rPr>
                <w:sz w:val="20"/>
              </w:rPr>
              <w:t>and</w:t>
            </w:r>
            <w:r>
              <w:rPr>
                <w:spacing w:val="-16"/>
                <w:sz w:val="20"/>
              </w:rPr>
              <w:t> </w:t>
            </w:r>
            <w:r>
              <w:rPr>
                <w:sz w:val="20"/>
              </w:rPr>
              <w:t>appropriate</w:t>
            </w:r>
            <w:r>
              <w:rPr>
                <w:spacing w:val="-16"/>
                <w:sz w:val="20"/>
              </w:rPr>
              <w:t> </w:t>
            </w:r>
            <w:r>
              <w:rPr>
                <w:sz w:val="20"/>
              </w:rPr>
              <w:t>transport</w:t>
            </w:r>
            <w:r>
              <w:rPr>
                <w:spacing w:val="-16"/>
                <w:sz w:val="20"/>
              </w:rPr>
              <w:t> </w:t>
            </w:r>
            <w:r>
              <w:rPr>
                <w:sz w:val="20"/>
              </w:rPr>
              <w:t>facilities</w:t>
            </w:r>
            <w:r>
              <w:rPr>
                <w:spacing w:val="-15"/>
                <w:sz w:val="20"/>
              </w:rPr>
              <w:t> </w:t>
            </w:r>
            <w:r>
              <w:rPr>
                <w:sz w:val="20"/>
              </w:rPr>
              <w:t>so that</w:t>
            </w:r>
            <w:r>
              <w:rPr>
                <w:spacing w:val="-10"/>
                <w:sz w:val="20"/>
              </w:rPr>
              <w:t> </w:t>
            </w:r>
            <w:r>
              <w:rPr>
                <w:sz w:val="20"/>
              </w:rPr>
              <w:t>they</w:t>
            </w:r>
            <w:r>
              <w:rPr>
                <w:spacing w:val="-14"/>
                <w:sz w:val="20"/>
              </w:rPr>
              <w:t> </w:t>
            </w:r>
            <w:r>
              <w:rPr>
                <w:sz w:val="20"/>
              </w:rPr>
              <w:t>can</w:t>
            </w:r>
            <w:r>
              <w:rPr>
                <w:spacing w:val="-10"/>
                <w:sz w:val="20"/>
              </w:rPr>
              <w:t> </w:t>
            </w:r>
            <w:r>
              <w:rPr>
                <w:sz w:val="20"/>
              </w:rPr>
              <w:t>reach</w:t>
            </w:r>
            <w:r>
              <w:rPr>
                <w:spacing w:val="-10"/>
                <w:sz w:val="20"/>
              </w:rPr>
              <w:t> </w:t>
            </w:r>
            <w:r>
              <w:rPr>
                <w:sz w:val="20"/>
              </w:rPr>
              <w:t>to</w:t>
            </w:r>
            <w:r>
              <w:rPr>
                <w:spacing w:val="-10"/>
                <w:sz w:val="20"/>
              </w:rPr>
              <w:t> </w:t>
            </w:r>
            <w:r>
              <w:rPr>
                <w:sz w:val="20"/>
              </w:rPr>
              <w:t>their</w:t>
            </w:r>
            <w:r>
              <w:rPr>
                <w:spacing w:val="-7"/>
                <w:sz w:val="20"/>
              </w:rPr>
              <w:t> </w:t>
            </w:r>
            <w:r>
              <w:rPr>
                <w:sz w:val="20"/>
              </w:rPr>
              <w:t>desired</w:t>
            </w:r>
            <w:r>
              <w:rPr>
                <w:spacing w:val="-8"/>
                <w:sz w:val="20"/>
              </w:rPr>
              <w:t> </w:t>
            </w:r>
            <w:r>
              <w:rPr>
                <w:sz w:val="20"/>
              </w:rPr>
              <w:t>destination</w:t>
            </w:r>
            <w:r>
              <w:rPr>
                <w:spacing w:val="-8"/>
                <w:sz w:val="20"/>
              </w:rPr>
              <w:t> </w:t>
            </w:r>
            <w:r>
              <w:rPr>
                <w:sz w:val="20"/>
              </w:rPr>
              <w:t>easily</w:t>
            </w:r>
            <w:r>
              <w:rPr>
                <w:spacing w:val="-11"/>
                <w:sz w:val="20"/>
              </w:rPr>
              <w:t> </w:t>
            </w:r>
            <w:r>
              <w:rPr>
                <w:sz w:val="20"/>
              </w:rPr>
              <w:t>and safely.</w:t>
            </w:r>
          </w:p>
        </w:tc>
        <w:tc>
          <w:tcPr>
            <w:tcW w:w="3291" w:type="dxa"/>
            <w:tcBorders>
              <w:top w:val="dotted" w:sz="4" w:space="0" w:color="000000"/>
              <w:left w:val="single" w:sz="4" w:space="0" w:color="000000"/>
              <w:bottom w:val="dotted" w:sz="4" w:space="0" w:color="000000"/>
            </w:tcBorders>
          </w:tcPr>
          <w:p>
            <w:pPr>
              <w:pStyle w:val="TableParagraph"/>
              <w:spacing w:line="230" w:lineRule="exact" w:before="0"/>
              <w:ind w:left="110"/>
              <w:rPr>
                <w:sz w:val="20"/>
              </w:rPr>
            </w:pPr>
            <w:r>
              <w:rPr>
                <w:sz w:val="20"/>
              </w:rPr>
              <w:t>Noted.</w:t>
            </w:r>
          </w:p>
        </w:tc>
      </w:tr>
      <w:tr>
        <w:trPr>
          <w:trHeight w:val="1292" w:hRule="exact"/>
        </w:trPr>
        <w:tc>
          <w:tcPr>
            <w:tcW w:w="1004" w:type="dxa"/>
            <w:vMerge/>
            <w:tcBorders>
              <w:right w:val="single" w:sz="4" w:space="0" w:color="000000"/>
            </w:tcBorders>
          </w:tcPr>
          <w:p>
            <w:pPr/>
          </w:p>
        </w:tc>
        <w:tc>
          <w:tcPr>
            <w:tcW w:w="2496" w:type="dxa"/>
            <w:vMerge/>
            <w:tcBorders>
              <w:left w:val="single" w:sz="4" w:space="0" w:color="000000"/>
              <w:right w:val="single" w:sz="4" w:space="0" w:color="000000"/>
            </w:tcBorders>
          </w:tcPr>
          <w:p>
            <w:pPr/>
          </w:p>
        </w:tc>
        <w:tc>
          <w:tcPr>
            <w:tcW w:w="1630" w:type="dxa"/>
            <w:vMerge/>
            <w:tcBorders>
              <w:left w:val="single" w:sz="4" w:space="0" w:color="000000"/>
              <w:right w:val="single" w:sz="4" w:space="0" w:color="000000"/>
            </w:tcBorders>
          </w:tcPr>
          <w:p>
            <w:pPr/>
          </w:p>
        </w:tc>
        <w:tc>
          <w:tcPr>
            <w:tcW w:w="5218" w:type="dxa"/>
            <w:tcBorders>
              <w:top w:val="dotted" w:sz="4" w:space="0" w:color="000000"/>
              <w:left w:val="single" w:sz="4" w:space="0" w:color="000000"/>
              <w:bottom w:val="single" w:sz="4" w:space="0" w:color="000000"/>
              <w:right w:val="single" w:sz="4" w:space="0" w:color="000000"/>
            </w:tcBorders>
          </w:tcPr>
          <w:p>
            <w:pPr>
              <w:pStyle w:val="TableParagraph"/>
              <w:ind w:left="110" w:right="107"/>
              <w:jc w:val="both"/>
              <w:rPr>
                <w:sz w:val="20"/>
              </w:rPr>
            </w:pPr>
            <w:r>
              <w:rPr>
                <w:sz w:val="20"/>
              </w:rPr>
              <w:t>Transport has always been a major problem for the citizens</w:t>
            </w:r>
            <w:r>
              <w:rPr>
                <w:spacing w:val="-9"/>
                <w:sz w:val="20"/>
              </w:rPr>
              <w:t> </w:t>
            </w:r>
            <w:r>
              <w:rPr>
                <w:sz w:val="20"/>
              </w:rPr>
              <w:t>of</w:t>
            </w:r>
            <w:r>
              <w:rPr>
                <w:spacing w:val="-8"/>
                <w:sz w:val="20"/>
              </w:rPr>
              <w:t> </w:t>
            </w:r>
            <w:r>
              <w:rPr>
                <w:sz w:val="20"/>
              </w:rPr>
              <w:t>Karachi.</w:t>
            </w:r>
            <w:r>
              <w:rPr>
                <w:spacing w:val="-10"/>
                <w:sz w:val="20"/>
              </w:rPr>
              <w:t> </w:t>
            </w:r>
            <w:r>
              <w:rPr>
                <w:sz w:val="20"/>
              </w:rPr>
              <w:t>Most</w:t>
            </w:r>
            <w:r>
              <w:rPr>
                <w:spacing w:val="-10"/>
                <w:sz w:val="20"/>
              </w:rPr>
              <w:t> </w:t>
            </w:r>
            <w:r>
              <w:rPr>
                <w:sz w:val="20"/>
              </w:rPr>
              <w:t>of</w:t>
            </w:r>
            <w:r>
              <w:rPr>
                <w:spacing w:val="-8"/>
                <w:sz w:val="20"/>
              </w:rPr>
              <w:t> </w:t>
            </w:r>
            <w:r>
              <w:rPr>
                <w:sz w:val="20"/>
              </w:rPr>
              <w:t>the</w:t>
            </w:r>
            <w:r>
              <w:rPr>
                <w:spacing w:val="-11"/>
                <w:sz w:val="20"/>
              </w:rPr>
              <w:t> </w:t>
            </w:r>
            <w:r>
              <w:rPr>
                <w:sz w:val="20"/>
              </w:rPr>
              <w:t>people</w:t>
            </w:r>
            <w:r>
              <w:rPr>
                <w:spacing w:val="-10"/>
                <w:sz w:val="20"/>
              </w:rPr>
              <w:t> </w:t>
            </w:r>
            <w:r>
              <w:rPr>
                <w:sz w:val="20"/>
              </w:rPr>
              <w:t>of</w:t>
            </w:r>
            <w:r>
              <w:rPr>
                <w:spacing w:val="-8"/>
                <w:sz w:val="20"/>
              </w:rPr>
              <w:t> </w:t>
            </w:r>
            <w:r>
              <w:rPr>
                <w:sz w:val="20"/>
              </w:rPr>
              <w:t>Karachi</w:t>
            </w:r>
            <w:r>
              <w:rPr>
                <w:spacing w:val="-11"/>
                <w:sz w:val="20"/>
              </w:rPr>
              <w:t> </w:t>
            </w:r>
            <w:r>
              <w:rPr>
                <w:sz w:val="20"/>
              </w:rPr>
              <w:t>depend on the unreliable, poorly maintained and outdated public transport such as buses. The BRT will be a gift for the people of</w:t>
            </w:r>
            <w:r>
              <w:rPr>
                <w:spacing w:val="-5"/>
                <w:sz w:val="20"/>
              </w:rPr>
              <w:t> </w:t>
            </w:r>
            <w:r>
              <w:rPr>
                <w:sz w:val="20"/>
              </w:rPr>
              <w:t>Karachi</w:t>
            </w:r>
          </w:p>
        </w:tc>
        <w:tc>
          <w:tcPr>
            <w:tcW w:w="3291" w:type="dxa"/>
            <w:tcBorders>
              <w:top w:val="dotted" w:sz="4" w:space="0" w:color="000000"/>
              <w:left w:val="single" w:sz="4" w:space="0" w:color="000000"/>
              <w:bottom w:val="single" w:sz="4" w:space="0" w:color="000000"/>
            </w:tcBorders>
          </w:tcPr>
          <w:p>
            <w:pPr>
              <w:pStyle w:val="TableParagraph"/>
              <w:spacing w:line="230" w:lineRule="exact" w:before="0"/>
              <w:ind w:left="110"/>
              <w:rPr>
                <w:sz w:val="20"/>
              </w:rPr>
            </w:pPr>
            <w:r>
              <w:rPr>
                <w:sz w:val="20"/>
              </w:rPr>
              <w:t>Noted.</w:t>
            </w:r>
          </w:p>
        </w:tc>
      </w:tr>
    </w:tbl>
    <w:p>
      <w:pPr>
        <w:spacing w:after="0" w:line="230" w:lineRule="exact"/>
        <w:rPr>
          <w:sz w:val="20"/>
        </w:rPr>
        <w:sectPr>
          <w:pgSz w:w="16840" w:h="11910" w:orient="landscape"/>
          <w:pgMar w:header="583" w:footer="575" w:top="840" w:bottom="760" w:left="860" w:right="12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1"/>
        <w:spacing w:before="224"/>
        <w:ind w:left="1886"/>
        <w:rPr>
          <w:u w:val="none"/>
        </w:rPr>
      </w:pPr>
      <w:bookmarkStart w:name="_bookmark109" w:id="182"/>
      <w:bookmarkEnd w:id="182"/>
      <w:r>
        <w:rPr>
          <w:b w:val="0"/>
          <w:u w:val="none"/>
        </w:rPr>
      </w:r>
      <w:r>
        <w:rPr>
          <w:u w:val="thick"/>
        </w:rPr>
        <w:t>Annex-VI: TORs for Social Development Specialist</w:t>
      </w:r>
    </w:p>
    <w:p>
      <w:pPr>
        <w:pStyle w:val="BodyText"/>
        <w:spacing w:before="3"/>
        <w:rPr>
          <w:b/>
          <w:sz w:val="24"/>
        </w:rPr>
      </w:pPr>
    </w:p>
    <w:p>
      <w:pPr>
        <w:pStyle w:val="BodyText"/>
        <w:spacing w:before="94"/>
        <w:ind w:left="868" w:right="783"/>
        <w:jc w:val="both"/>
      </w:pPr>
      <w:r>
        <w:rPr/>
        <w:t>The Social Development Specialist will operate within the Sindh Mass Transit Authority and will be responsible for all social development aspects, e.g. social safeguards (resettlement and rehabilitation), stakeholder/community engagement, and grievance redress of SMTA’s infrastructure development projects (including those</w:t>
      </w:r>
      <w:r>
        <w:rPr>
          <w:spacing w:val="-9"/>
        </w:rPr>
        <w:t> </w:t>
      </w:r>
      <w:r>
        <w:rPr/>
        <w:t>supported</w:t>
      </w:r>
      <w:r>
        <w:rPr>
          <w:spacing w:val="-11"/>
        </w:rPr>
        <w:t> </w:t>
      </w:r>
      <w:r>
        <w:rPr/>
        <w:t>by</w:t>
      </w:r>
      <w:r>
        <w:rPr>
          <w:spacing w:val="-11"/>
        </w:rPr>
        <w:t> </w:t>
      </w:r>
      <w:r>
        <w:rPr/>
        <w:t>international</w:t>
      </w:r>
      <w:r>
        <w:rPr>
          <w:spacing w:val="-12"/>
        </w:rPr>
        <w:t> </w:t>
      </w:r>
      <w:r>
        <w:rPr/>
        <w:t>financial</w:t>
      </w:r>
      <w:r>
        <w:rPr>
          <w:spacing w:val="-10"/>
        </w:rPr>
        <w:t> </w:t>
      </w:r>
      <w:r>
        <w:rPr/>
        <w:t>institutions</w:t>
      </w:r>
      <w:r>
        <w:rPr>
          <w:spacing w:val="-8"/>
        </w:rPr>
        <w:t> </w:t>
      </w:r>
      <w:r>
        <w:rPr/>
        <w:t>(IFIs)</w:t>
      </w:r>
      <w:r>
        <w:rPr>
          <w:spacing w:val="-8"/>
        </w:rPr>
        <w:t> </w:t>
      </w:r>
      <w:r>
        <w:rPr/>
        <w:t>and</w:t>
      </w:r>
      <w:r>
        <w:rPr>
          <w:spacing w:val="-11"/>
        </w:rPr>
        <w:t> </w:t>
      </w:r>
      <w:r>
        <w:rPr/>
        <w:t>other</w:t>
      </w:r>
      <w:r>
        <w:rPr>
          <w:spacing w:val="-8"/>
        </w:rPr>
        <w:t> </w:t>
      </w:r>
      <w:r>
        <w:rPr/>
        <w:t>operations</w:t>
      </w:r>
      <w:r>
        <w:rPr>
          <w:spacing w:val="-9"/>
        </w:rPr>
        <w:t> </w:t>
      </w:r>
      <w:r>
        <w:rPr/>
        <w:t>and programs. The responsibility includes developing risk assessments and regulatory compliance programs, monitoring processes; conducting related training activities; and coordinating with relevant stakeholders to ensure compliance with applicable laws and</w:t>
      </w:r>
      <w:r>
        <w:rPr>
          <w:spacing w:val="-6"/>
        </w:rPr>
        <w:t> </w:t>
      </w:r>
      <w:r>
        <w:rPr/>
        <w:t>regulations.</w:t>
      </w:r>
    </w:p>
    <w:p>
      <w:pPr>
        <w:pStyle w:val="BodyText"/>
      </w:pPr>
    </w:p>
    <w:p>
      <w:pPr>
        <w:pStyle w:val="Heading3"/>
        <w:ind w:left="868"/>
      </w:pPr>
      <w:r>
        <w:rPr/>
        <w:t>Key Responsibilities</w:t>
      </w:r>
    </w:p>
    <w:p>
      <w:pPr>
        <w:pStyle w:val="BodyText"/>
        <w:rPr>
          <w:b/>
        </w:rPr>
      </w:pPr>
    </w:p>
    <w:p>
      <w:pPr>
        <w:pStyle w:val="BodyText"/>
        <w:ind w:left="868" w:right="782"/>
        <w:jc w:val="both"/>
      </w:pPr>
      <w:r>
        <w:rPr/>
        <w:t>The social development specialist will identify potential social risks associated with SMTA projects and formulate frameworks/strategies, management and supervision plans to avoid and/or mitigate identified social impacts and manage the social risks. The specialist will also identify opportunities, and influence the design, implementation,</w:t>
      </w:r>
      <w:r>
        <w:rPr>
          <w:spacing w:val="-11"/>
        </w:rPr>
        <w:t> </w:t>
      </w:r>
      <w:r>
        <w:rPr/>
        <w:t>and</w:t>
      </w:r>
      <w:r>
        <w:rPr>
          <w:spacing w:val="-12"/>
        </w:rPr>
        <w:t> </w:t>
      </w:r>
      <w:r>
        <w:rPr/>
        <w:t>supervision</w:t>
      </w:r>
      <w:r>
        <w:rPr>
          <w:spacing w:val="-10"/>
        </w:rPr>
        <w:t> </w:t>
      </w:r>
      <w:r>
        <w:rPr/>
        <w:t>of</w:t>
      </w:r>
      <w:r>
        <w:rPr>
          <w:spacing w:val="-9"/>
        </w:rPr>
        <w:t> </w:t>
      </w:r>
      <w:r>
        <w:rPr/>
        <w:t>SMTA</w:t>
      </w:r>
      <w:r>
        <w:rPr>
          <w:spacing w:val="-10"/>
        </w:rPr>
        <w:t> </w:t>
      </w:r>
      <w:r>
        <w:rPr/>
        <w:t>projects</w:t>
      </w:r>
      <w:r>
        <w:rPr>
          <w:spacing w:val="-9"/>
        </w:rPr>
        <w:t> </w:t>
      </w:r>
      <w:r>
        <w:rPr/>
        <w:t>and</w:t>
      </w:r>
      <w:r>
        <w:rPr>
          <w:spacing w:val="-12"/>
        </w:rPr>
        <w:t> </w:t>
      </w:r>
      <w:r>
        <w:rPr/>
        <w:t>operations</w:t>
      </w:r>
      <w:r>
        <w:rPr>
          <w:spacing w:val="-15"/>
        </w:rPr>
        <w:t> </w:t>
      </w:r>
      <w:r>
        <w:rPr/>
        <w:t>to</w:t>
      </w:r>
      <w:r>
        <w:rPr>
          <w:spacing w:val="-12"/>
        </w:rPr>
        <w:t> </w:t>
      </w:r>
      <w:r>
        <w:rPr/>
        <w:t>enhance</w:t>
      </w:r>
      <w:r>
        <w:rPr>
          <w:spacing w:val="-10"/>
        </w:rPr>
        <w:t> </w:t>
      </w:r>
      <w:r>
        <w:rPr/>
        <w:t>social benefits for directly affected persons, stakeholders and communities (including vulnerable and marginalized groups), and the wider body of</w:t>
      </w:r>
      <w:r>
        <w:rPr>
          <w:spacing w:val="-21"/>
        </w:rPr>
        <w:t> </w:t>
      </w:r>
      <w:r>
        <w:rPr/>
        <w:t>citizens.</w:t>
      </w:r>
    </w:p>
    <w:p>
      <w:pPr>
        <w:pStyle w:val="BodyText"/>
        <w:spacing w:before="9"/>
        <w:rPr>
          <w:sz w:val="21"/>
        </w:rPr>
      </w:pPr>
    </w:p>
    <w:p>
      <w:pPr>
        <w:pStyle w:val="BodyText"/>
        <w:ind w:left="868"/>
        <w:jc w:val="both"/>
      </w:pPr>
      <w:r>
        <w:rPr/>
        <w:t>More specifically, the primary responsibility of the specialist will include:</w:t>
      </w:r>
    </w:p>
    <w:p>
      <w:pPr>
        <w:pStyle w:val="BodyText"/>
        <w:spacing w:before="11"/>
        <w:rPr>
          <w:sz w:val="21"/>
        </w:rPr>
      </w:pPr>
    </w:p>
    <w:p>
      <w:pPr>
        <w:pStyle w:val="ListParagraph"/>
        <w:numPr>
          <w:ilvl w:val="1"/>
          <w:numId w:val="58"/>
        </w:numPr>
        <w:tabs>
          <w:tab w:pos="1949" w:val="left" w:leader="none"/>
        </w:tabs>
        <w:spacing w:line="273" w:lineRule="auto" w:before="0" w:after="0"/>
        <w:ind w:left="1948" w:right="785" w:hanging="360"/>
        <w:jc w:val="both"/>
        <w:rPr>
          <w:sz w:val="22"/>
        </w:rPr>
      </w:pPr>
      <w:r>
        <w:rPr>
          <w:sz w:val="22"/>
        </w:rPr>
        <w:t>providing oversight on the compliance of environmental and social safeguards policies in project preparation and</w:t>
      </w:r>
      <w:r>
        <w:rPr>
          <w:spacing w:val="-12"/>
          <w:sz w:val="22"/>
        </w:rPr>
        <w:t> </w:t>
      </w:r>
      <w:r>
        <w:rPr>
          <w:sz w:val="22"/>
        </w:rPr>
        <w:t>implementation;</w:t>
      </w:r>
    </w:p>
    <w:p>
      <w:pPr>
        <w:pStyle w:val="ListParagraph"/>
        <w:numPr>
          <w:ilvl w:val="1"/>
          <w:numId w:val="58"/>
        </w:numPr>
        <w:tabs>
          <w:tab w:pos="1949" w:val="left" w:leader="none"/>
        </w:tabs>
        <w:spacing w:line="276" w:lineRule="auto" w:before="2" w:after="0"/>
        <w:ind w:left="1948" w:right="785" w:hanging="360"/>
        <w:jc w:val="both"/>
        <w:rPr>
          <w:sz w:val="22"/>
        </w:rPr>
      </w:pPr>
      <w:r>
        <w:rPr>
          <w:sz w:val="22"/>
        </w:rPr>
        <w:t>to periodically review and assess the effectiveness of the activities implemented</w:t>
      </w:r>
      <w:r>
        <w:rPr>
          <w:spacing w:val="-9"/>
          <w:sz w:val="22"/>
        </w:rPr>
        <w:t> </w:t>
      </w:r>
      <w:r>
        <w:rPr>
          <w:sz w:val="22"/>
        </w:rPr>
        <w:t>and</w:t>
      </w:r>
      <w:r>
        <w:rPr>
          <w:spacing w:val="-11"/>
          <w:sz w:val="22"/>
        </w:rPr>
        <w:t> </w:t>
      </w:r>
      <w:r>
        <w:rPr>
          <w:sz w:val="22"/>
        </w:rPr>
        <w:t>their</w:t>
      </w:r>
      <w:r>
        <w:rPr>
          <w:spacing w:val="-8"/>
          <w:sz w:val="22"/>
        </w:rPr>
        <w:t> </w:t>
      </w:r>
      <w:r>
        <w:rPr>
          <w:sz w:val="22"/>
        </w:rPr>
        <w:t>outcomes</w:t>
      </w:r>
      <w:r>
        <w:rPr>
          <w:spacing w:val="-8"/>
          <w:sz w:val="22"/>
        </w:rPr>
        <w:t> </w:t>
      </w:r>
      <w:r>
        <w:rPr>
          <w:sz w:val="22"/>
        </w:rPr>
        <w:t>and</w:t>
      </w:r>
      <w:r>
        <w:rPr>
          <w:spacing w:val="-9"/>
          <w:sz w:val="22"/>
        </w:rPr>
        <w:t> </w:t>
      </w:r>
      <w:r>
        <w:rPr>
          <w:sz w:val="22"/>
        </w:rPr>
        <w:t>impacts</w:t>
      </w:r>
      <w:r>
        <w:rPr>
          <w:spacing w:val="-8"/>
          <w:sz w:val="22"/>
        </w:rPr>
        <w:t> </w:t>
      </w:r>
      <w:r>
        <w:rPr>
          <w:sz w:val="22"/>
        </w:rPr>
        <w:t>as</w:t>
      </w:r>
      <w:r>
        <w:rPr>
          <w:spacing w:val="-11"/>
          <w:sz w:val="22"/>
        </w:rPr>
        <w:t> </w:t>
      </w:r>
      <w:r>
        <w:rPr>
          <w:sz w:val="22"/>
        </w:rPr>
        <w:t>well</w:t>
      </w:r>
      <w:r>
        <w:rPr>
          <w:spacing w:val="-10"/>
          <w:sz w:val="22"/>
        </w:rPr>
        <w:t> </w:t>
      </w:r>
      <w:r>
        <w:rPr>
          <w:sz w:val="22"/>
        </w:rPr>
        <w:t>as</w:t>
      </w:r>
      <w:r>
        <w:rPr>
          <w:spacing w:val="-9"/>
          <w:sz w:val="22"/>
        </w:rPr>
        <w:t> </w:t>
      </w:r>
      <w:r>
        <w:rPr>
          <w:sz w:val="22"/>
        </w:rPr>
        <w:t>compliance</w:t>
      </w:r>
      <w:r>
        <w:rPr>
          <w:spacing w:val="-9"/>
          <w:sz w:val="22"/>
        </w:rPr>
        <w:t> </w:t>
      </w:r>
      <w:r>
        <w:rPr>
          <w:sz w:val="22"/>
        </w:rPr>
        <w:t>with national and international standards and environmental and social safeguards instruments,</w:t>
      </w:r>
      <w:r>
        <w:rPr>
          <w:spacing w:val="-8"/>
          <w:sz w:val="22"/>
        </w:rPr>
        <w:t> </w:t>
      </w:r>
      <w:r>
        <w:rPr>
          <w:sz w:val="22"/>
        </w:rPr>
        <w:t>and</w:t>
      </w:r>
    </w:p>
    <w:p>
      <w:pPr>
        <w:pStyle w:val="ListParagraph"/>
        <w:numPr>
          <w:ilvl w:val="1"/>
          <w:numId w:val="58"/>
        </w:numPr>
        <w:tabs>
          <w:tab w:pos="1949" w:val="left" w:leader="none"/>
        </w:tabs>
        <w:spacing w:line="276" w:lineRule="auto" w:before="0" w:after="0"/>
        <w:ind w:left="1948" w:right="785" w:hanging="360"/>
        <w:jc w:val="both"/>
        <w:rPr>
          <w:sz w:val="22"/>
        </w:rPr>
      </w:pPr>
      <w:r>
        <w:rPr>
          <w:sz w:val="22"/>
        </w:rPr>
        <w:t>providing recommendations and advise SMTA on measures to enhance the effectiveness of the project implementation and achievement of the project development objectives through appropriately addressing the social issues of the</w:t>
      </w:r>
      <w:r>
        <w:rPr>
          <w:spacing w:val="-5"/>
          <w:sz w:val="22"/>
        </w:rPr>
        <w:t> </w:t>
      </w:r>
      <w:r>
        <w:rPr>
          <w:sz w:val="22"/>
        </w:rPr>
        <w:t>project.</w:t>
      </w:r>
    </w:p>
    <w:p>
      <w:pPr>
        <w:pStyle w:val="ListParagraph"/>
        <w:numPr>
          <w:ilvl w:val="1"/>
          <w:numId w:val="58"/>
        </w:numPr>
        <w:tabs>
          <w:tab w:pos="1949" w:val="left" w:leader="none"/>
        </w:tabs>
        <w:spacing w:line="273" w:lineRule="auto" w:before="0" w:after="0"/>
        <w:ind w:left="1948" w:right="785" w:hanging="360"/>
        <w:jc w:val="both"/>
        <w:rPr>
          <w:sz w:val="22"/>
        </w:rPr>
      </w:pPr>
      <w:r>
        <w:rPr>
          <w:sz w:val="22"/>
        </w:rPr>
        <w:t>Preparing internal social guidelines for the preparation, implementation, monitoring and reporting of d social documents required by various safeguards</w:t>
      </w:r>
      <w:r>
        <w:rPr>
          <w:spacing w:val="-7"/>
          <w:sz w:val="22"/>
        </w:rPr>
        <w:t> </w:t>
      </w:r>
      <w:r>
        <w:rPr>
          <w:sz w:val="22"/>
        </w:rPr>
        <w:t>instruments;</w:t>
      </w:r>
    </w:p>
    <w:p>
      <w:pPr>
        <w:pStyle w:val="ListParagraph"/>
        <w:numPr>
          <w:ilvl w:val="1"/>
          <w:numId w:val="58"/>
        </w:numPr>
        <w:tabs>
          <w:tab w:pos="1949" w:val="left" w:leader="none"/>
        </w:tabs>
        <w:spacing w:line="276" w:lineRule="auto" w:before="2" w:after="0"/>
        <w:ind w:left="1948" w:right="783" w:hanging="360"/>
        <w:jc w:val="both"/>
        <w:rPr>
          <w:sz w:val="22"/>
        </w:rPr>
      </w:pPr>
      <w:r>
        <w:rPr>
          <w:sz w:val="22"/>
        </w:rPr>
        <w:t>Reviewing relevant safeguards documents, such as SIA, livelihood rehabilitation plan, prepared by consultants to ensure compliance with relevant</w:t>
      </w:r>
      <w:r>
        <w:rPr>
          <w:spacing w:val="-11"/>
          <w:sz w:val="22"/>
        </w:rPr>
        <w:t> </w:t>
      </w:r>
      <w:r>
        <w:rPr>
          <w:sz w:val="22"/>
        </w:rPr>
        <w:t>safeguards</w:t>
      </w:r>
      <w:r>
        <w:rPr>
          <w:spacing w:val="-15"/>
          <w:sz w:val="22"/>
        </w:rPr>
        <w:t> </w:t>
      </w:r>
      <w:r>
        <w:rPr>
          <w:sz w:val="22"/>
        </w:rPr>
        <w:t>policies</w:t>
      </w:r>
      <w:r>
        <w:rPr>
          <w:spacing w:val="-12"/>
          <w:sz w:val="22"/>
        </w:rPr>
        <w:t> </w:t>
      </w:r>
      <w:r>
        <w:rPr>
          <w:sz w:val="22"/>
        </w:rPr>
        <w:t>of</w:t>
      </w:r>
      <w:r>
        <w:rPr>
          <w:spacing w:val="-9"/>
          <w:sz w:val="22"/>
        </w:rPr>
        <w:t> </w:t>
      </w:r>
      <w:r>
        <w:rPr>
          <w:sz w:val="22"/>
        </w:rPr>
        <w:t>the</w:t>
      </w:r>
      <w:r>
        <w:rPr>
          <w:spacing w:val="-15"/>
          <w:sz w:val="22"/>
        </w:rPr>
        <w:t> </w:t>
      </w:r>
      <w:r>
        <w:rPr>
          <w:sz w:val="22"/>
        </w:rPr>
        <w:t>government</w:t>
      </w:r>
      <w:r>
        <w:rPr>
          <w:spacing w:val="-11"/>
          <w:sz w:val="22"/>
        </w:rPr>
        <w:t> </w:t>
      </w:r>
      <w:r>
        <w:rPr>
          <w:sz w:val="22"/>
        </w:rPr>
        <w:t>of</w:t>
      </w:r>
      <w:r>
        <w:rPr>
          <w:spacing w:val="-14"/>
          <w:sz w:val="22"/>
        </w:rPr>
        <w:t> </w:t>
      </w:r>
      <w:r>
        <w:rPr>
          <w:sz w:val="22"/>
        </w:rPr>
        <w:t>Pakistan</w:t>
      </w:r>
      <w:r>
        <w:rPr>
          <w:spacing w:val="-15"/>
          <w:sz w:val="22"/>
        </w:rPr>
        <w:t> </w:t>
      </w:r>
      <w:r>
        <w:rPr>
          <w:sz w:val="22"/>
        </w:rPr>
        <w:t>and</w:t>
      </w:r>
      <w:r>
        <w:rPr>
          <w:spacing w:val="-12"/>
          <w:sz w:val="22"/>
        </w:rPr>
        <w:t> </w:t>
      </w:r>
      <w:r>
        <w:rPr>
          <w:sz w:val="22"/>
        </w:rPr>
        <w:t>the</w:t>
      </w:r>
      <w:r>
        <w:rPr>
          <w:spacing w:val="-20"/>
          <w:sz w:val="22"/>
        </w:rPr>
        <w:t> </w:t>
      </w:r>
      <w:r>
        <w:rPr>
          <w:sz w:val="22"/>
        </w:rPr>
        <w:t>World Bank;</w:t>
      </w:r>
    </w:p>
    <w:p>
      <w:pPr>
        <w:pStyle w:val="ListParagraph"/>
        <w:numPr>
          <w:ilvl w:val="1"/>
          <w:numId w:val="58"/>
        </w:numPr>
        <w:tabs>
          <w:tab w:pos="1949" w:val="left" w:leader="none"/>
        </w:tabs>
        <w:spacing w:line="276" w:lineRule="auto" w:before="0" w:after="0"/>
        <w:ind w:left="1948" w:right="784" w:hanging="360"/>
        <w:jc w:val="both"/>
        <w:rPr>
          <w:sz w:val="22"/>
        </w:rPr>
      </w:pPr>
      <w:r>
        <w:rPr>
          <w:sz w:val="22"/>
        </w:rPr>
        <w:t>Providing recommendations to SMTA accordingly and make necessary changes prior to submission of relevant safeguard instruments to the World</w:t>
      </w:r>
      <w:r>
        <w:rPr>
          <w:spacing w:val="-6"/>
          <w:sz w:val="22"/>
        </w:rPr>
        <w:t> </w:t>
      </w:r>
      <w:r>
        <w:rPr>
          <w:sz w:val="22"/>
        </w:rPr>
        <w:t>Bank</w:t>
      </w:r>
      <w:r>
        <w:rPr>
          <w:spacing w:val="-6"/>
          <w:sz w:val="22"/>
        </w:rPr>
        <w:t> </w:t>
      </w:r>
      <w:r>
        <w:rPr>
          <w:sz w:val="22"/>
        </w:rPr>
        <w:t>and</w:t>
      </w:r>
      <w:r>
        <w:rPr>
          <w:spacing w:val="-9"/>
          <w:sz w:val="22"/>
        </w:rPr>
        <w:t> </w:t>
      </w:r>
      <w:r>
        <w:rPr>
          <w:sz w:val="22"/>
        </w:rPr>
        <w:t>other</w:t>
      </w:r>
      <w:r>
        <w:rPr>
          <w:spacing w:val="-10"/>
          <w:sz w:val="22"/>
        </w:rPr>
        <w:t> </w:t>
      </w:r>
      <w:r>
        <w:rPr>
          <w:sz w:val="22"/>
        </w:rPr>
        <w:t>IFIs–</w:t>
      </w:r>
      <w:r>
        <w:rPr>
          <w:spacing w:val="-6"/>
          <w:sz w:val="22"/>
        </w:rPr>
        <w:t> </w:t>
      </w:r>
      <w:r>
        <w:rPr>
          <w:sz w:val="22"/>
        </w:rPr>
        <w:t>ensure</w:t>
      </w:r>
      <w:r>
        <w:rPr>
          <w:spacing w:val="-9"/>
          <w:sz w:val="22"/>
        </w:rPr>
        <w:t> </w:t>
      </w:r>
      <w:r>
        <w:rPr>
          <w:sz w:val="22"/>
        </w:rPr>
        <w:t>consistency</w:t>
      </w:r>
      <w:r>
        <w:rPr>
          <w:spacing w:val="-8"/>
          <w:sz w:val="22"/>
        </w:rPr>
        <w:t> </w:t>
      </w:r>
      <w:r>
        <w:rPr>
          <w:sz w:val="22"/>
        </w:rPr>
        <w:t>in</w:t>
      </w:r>
      <w:r>
        <w:rPr>
          <w:spacing w:val="-11"/>
          <w:sz w:val="22"/>
        </w:rPr>
        <w:t> </w:t>
      </w:r>
      <w:r>
        <w:rPr>
          <w:sz w:val="22"/>
        </w:rPr>
        <w:t>the</w:t>
      </w:r>
      <w:r>
        <w:rPr>
          <w:spacing w:val="-7"/>
          <w:sz w:val="22"/>
        </w:rPr>
        <w:t> </w:t>
      </w:r>
      <w:r>
        <w:rPr>
          <w:sz w:val="22"/>
        </w:rPr>
        <w:t>level</w:t>
      </w:r>
      <w:r>
        <w:rPr>
          <w:spacing w:val="-7"/>
          <w:sz w:val="22"/>
        </w:rPr>
        <w:t> </w:t>
      </w:r>
      <w:r>
        <w:rPr>
          <w:sz w:val="22"/>
        </w:rPr>
        <w:t>of</w:t>
      </w:r>
      <w:r>
        <w:rPr>
          <w:spacing w:val="-5"/>
          <w:sz w:val="22"/>
        </w:rPr>
        <w:t> </w:t>
      </w:r>
      <w:r>
        <w:rPr>
          <w:sz w:val="22"/>
        </w:rPr>
        <w:t>proficiency and presentation of the</w:t>
      </w:r>
      <w:r>
        <w:rPr>
          <w:spacing w:val="-8"/>
          <w:sz w:val="22"/>
        </w:rPr>
        <w:t> </w:t>
      </w:r>
      <w:r>
        <w:rPr>
          <w:sz w:val="22"/>
        </w:rPr>
        <w:t>documentation;</w:t>
      </w:r>
    </w:p>
    <w:p>
      <w:pPr>
        <w:pStyle w:val="ListParagraph"/>
        <w:numPr>
          <w:ilvl w:val="1"/>
          <w:numId w:val="58"/>
        </w:numPr>
        <w:tabs>
          <w:tab w:pos="1949" w:val="left" w:leader="none"/>
        </w:tabs>
        <w:spacing w:line="273" w:lineRule="auto" w:before="0" w:after="0"/>
        <w:ind w:left="1948" w:right="783" w:hanging="360"/>
        <w:jc w:val="both"/>
        <w:rPr>
          <w:sz w:val="22"/>
        </w:rPr>
      </w:pPr>
      <w:r>
        <w:rPr>
          <w:sz w:val="22"/>
        </w:rPr>
        <w:t>Supporting SMTA in the review of documentation pertaining to social safeguards compliance (including bidding documents, reviews on-site, reports from contractors etc) during project</w:t>
      </w:r>
      <w:r>
        <w:rPr>
          <w:spacing w:val="-18"/>
          <w:sz w:val="22"/>
        </w:rPr>
        <w:t> </w:t>
      </w:r>
      <w:r>
        <w:rPr>
          <w:sz w:val="22"/>
        </w:rPr>
        <w:t>implementation;</w:t>
      </w:r>
    </w:p>
    <w:p>
      <w:pPr>
        <w:spacing w:after="0" w:line="273" w:lineRule="auto"/>
        <w:jc w:val="both"/>
        <w:rPr>
          <w:sz w:val="22"/>
        </w:rPr>
        <w:sectPr>
          <w:headerReference w:type="default" r:id="rId64"/>
          <w:footerReference w:type="default" r:id="rId65"/>
          <w:pgSz w:w="11910" w:h="16840"/>
          <w:pgMar w:header="583" w:footer="575" w:top="840" w:bottom="760" w:left="860" w:right="1280"/>
          <w:pgNumType w:start="71"/>
        </w:sectPr>
      </w:pPr>
    </w:p>
    <w:p>
      <w:pPr>
        <w:pStyle w:val="BodyText"/>
        <w:rPr>
          <w:sz w:val="20"/>
        </w:rPr>
      </w:pPr>
    </w:p>
    <w:p>
      <w:pPr>
        <w:pStyle w:val="BodyText"/>
        <w:rPr>
          <w:sz w:val="20"/>
        </w:rPr>
      </w:pPr>
    </w:p>
    <w:p>
      <w:pPr>
        <w:pStyle w:val="BodyText"/>
        <w:spacing w:before="2"/>
        <w:rPr>
          <w:sz w:val="27"/>
        </w:rPr>
      </w:pPr>
    </w:p>
    <w:p>
      <w:pPr>
        <w:pStyle w:val="ListParagraph"/>
        <w:numPr>
          <w:ilvl w:val="1"/>
          <w:numId w:val="58"/>
        </w:numPr>
        <w:tabs>
          <w:tab w:pos="1949" w:val="left" w:leader="none"/>
        </w:tabs>
        <w:spacing w:line="271" w:lineRule="auto" w:before="101" w:after="0"/>
        <w:ind w:left="1948" w:right="788" w:hanging="360"/>
        <w:jc w:val="both"/>
        <w:rPr>
          <w:sz w:val="22"/>
        </w:rPr>
      </w:pPr>
      <w:r>
        <w:rPr>
          <w:sz w:val="22"/>
        </w:rPr>
        <w:t>Conducting audits in matters pertaining to timely payments, provision of temporary measures to affected</w:t>
      </w:r>
      <w:r>
        <w:rPr>
          <w:spacing w:val="-12"/>
          <w:sz w:val="22"/>
        </w:rPr>
        <w:t> </w:t>
      </w:r>
      <w:r>
        <w:rPr>
          <w:sz w:val="22"/>
        </w:rPr>
        <w:t>persons;</w:t>
      </w:r>
    </w:p>
    <w:p>
      <w:pPr>
        <w:pStyle w:val="ListParagraph"/>
        <w:numPr>
          <w:ilvl w:val="1"/>
          <w:numId w:val="58"/>
        </w:numPr>
        <w:tabs>
          <w:tab w:pos="1949" w:val="left" w:leader="none"/>
        </w:tabs>
        <w:spacing w:line="271" w:lineRule="auto" w:before="7" w:after="0"/>
        <w:ind w:left="1948" w:right="790" w:hanging="360"/>
        <w:jc w:val="both"/>
        <w:rPr>
          <w:sz w:val="22"/>
        </w:rPr>
      </w:pPr>
      <w:r>
        <w:rPr>
          <w:sz w:val="22"/>
        </w:rPr>
        <w:t>Contribute to project progress reports pertaining to overall implementation of environmental and social requirements of the</w:t>
      </w:r>
      <w:r>
        <w:rPr>
          <w:spacing w:val="-16"/>
          <w:sz w:val="22"/>
        </w:rPr>
        <w:t> </w:t>
      </w:r>
      <w:r>
        <w:rPr>
          <w:sz w:val="22"/>
        </w:rPr>
        <w:t>project;</w:t>
      </w:r>
    </w:p>
    <w:p>
      <w:pPr>
        <w:pStyle w:val="ListParagraph"/>
        <w:numPr>
          <w:ilvl w:val="1"/>
          <w:numId w:val="58"/>
        </w:numPr>
        <w:tabs>
          <w:tab w:pos="1949" w:val="left" w:leader="none"/>
        </w:tabs>
        <w:spacing w:line="273" w:lineRule="auto" w:before="4" w:after="0"/>
        <w:ind w:left="1948" w:right="784" w:hanging="360"/>
        <w:jc w:val="both"/>
        <w:rPr>
          <w:sz w:val="22"/>
        </w:rPr>
      </w:pPr>
      <w:r>
        <w:rPr>
          <w:sz w:val="22"/>
        </w:rPr>
        <w:t>Coordinating</w:t>
      </w:r>
      <w:r>
        <w:rPr>
          <w:spacing w:val="-9"/>
          <w:sz w:val="22"/>
        </w:rPr>
        <w:t> </w:t>
      </w:r>
      <w:r>
        <w:rPr>
          <w:sz w:val="22"/>
        </w:rPr>
        <w:t>and</w:t>
      </w:r>
      <w:r>
        <w:rPr>
          <w:spacing w:val="-11"/>
          <w:sz w:val="22"/>
        </w:rPr>
        <w:t> </w:t>
      </w:r>
      <w:r>
        <w:rPr>
          <w:sz w:val="22"/>
        </w:rPr>
        <w:t>facilitating</w:t>
      </w:r>
      <w:r>
        <w:rPr>
          <w:spacing w:val="-9"/>
          <w:sz w:val="22"/>
        </w:rPr>
        <w:t> </w:t>
      </w:r>
      <w:r>
        <w:rPr>
          <w:sz w:val="22"/>
        </w:rPr>
        <w:t>the</w:t>
      </w:r>
      <w:r>
        <w:rPr>
          <w:spacing w:val="-11"/>
          <w:sz w:val="22"/>
        </w:rPr>
        <w:t> </w:t>
      </w:r>
      <w:r>
        <w:rPr>
          <w:sz w:val="22"/>
        </w:rPr>
        <w:t>work</w:t>
      </w:r>
      <w:r>
        <w:rPr>
          <w:spacing w:val="-8"/>
          <w:sz w:val="22"/>
        </w:rPr>
        <w:t> </w:t>
      </w:r>
      <w:r>
        <w:rPr>
          <w:sz w:val="22"/>
        </w:rPr>
        <w:t>of</w:t>
      </w:r>
      <w:r>
        <w:rPr>
          <w:spacing w:val="-8"/>
          <w:sz w:val="22"/>
        </w:rPr>
        <w:t> </w:t>
      </w:r>
      <w:r>
        <w:rPr>
          <w:sz w:val="22"/>
        </w:rPr>
        <w:t>consultants</w:t>
      </w:r>
      <w:r>
        <w:rPr>
          <w:spacing w:val="-8"/>
          <w:sz w:val="22"/>
        </w:rPr>
        <w:t> </w:t>
      </w:r>
      <w:r>
        <w:rPr>
          <w:sz w:val="22"/>
        </w:rPr>
        <w:t>engaged</w:t>
      </w:r>
      <w:r>
        <w:rPr>
          <w:spacing w:val="-11"/>
          <w:sz w:val="22"/>
        </w:rPr>
        <w:t> </w:t>
      </w:r>
      <w:r>
        <w:rPr>
          <w:sz w:val="22"/>
        </w:rPr>
        <w:t>to</w:t>
      </w:r>
      <w:r>
        <w:rPr>
          <w:spacing w:val="-11"/>
          <w:sz w:val="22"/>
        </w:rPr>
        <w:t> </w:t>
      </w:r>
      <w:r>
        <w:rPr>
          <w:sz w:val="22"/>
        </w:rPr>
        <w:t>carry</w:t>
      </w:r>
      <w:r>
        <w:rPr>
          <w:spacing w:val="-11"/>
          <w:sz w:val="22"/>
        </w:rPr>
        <w:t> </w:t>
      </w:r>
      <w:r>
        <w:rPr>
          <w:sz w:val="22"/>
        </w:rPr>
        <w:t>out social impact assessments and social management planning and monitoring of safeguards instruments</w:t>
      </w:r>
      <w:r>
        <w:rPr>
          <w:spacing w:val="-18"/>
          <w:sz w:val="22"/>
        </w:rPr>
        <w:t> </w:t>
      </w:r>
      <w:r>
        <w:rPr>
          <w:sz w:val="22"/>
        </w:rPr>
        <w:t>implementation;</w:t>
      </w:r>
    </w:p>
    <w:p>
      <w:pPr>
        <w:pStyle w:val="ListParagraph"/>
        <w:numPr>
          <w:ilvl w:val="1"/>
          <w:numId w:val="58"/>
        </w:numPr>
        <w:tabs>
          <w:tab w:pos="1949" w:val="left" w:leader="none"/>
        </w:tabs>
        <w:spacing w:line="273" w:lineRule="auto" w:before="2" w:after="0"/>
        <w:ind w:left="1948" w:right="782" w:hanging="360"/>
        <w:jc w:val="both"/>
        <w:rPr>
          <w:sz w:val="22"/>
        </w:rPr>
      </w:pPr>
      <w:r>
        <w:rPr>
          <w:sz w:val="22"/>
        </w:rPr>
        <w:t>Organising</w:t>
      </w:r>
      <w:r>
        <w:rPr>
          <w:spacing w:val="-7"/>
          <w:sz w:val="22"/>
        </w:rPr>
        <w:t> </w:t>
      </w:r>
      <w:r>
        <w:rPr>
          <w:sz w:val="22"/>
        </w:rPr>
        <w:t>the</w:t>
      </w:r>
      <w:r>
        <w:rPr>
          <w:spacing w:val="-9"/>
          <w:sz w:val="22"/>
        </w:rPr>
        <w:t> </w:t>
      </w:r>
      <w:r>
        <w:rPr>
          <w:sz w:val="22"/>
        </w:rPr>
        <w:t>technical</w:t>
      </w:r>
      <w:r>
        <w:rPr>
          <w:spacing w:val="-10"/>
          <w:sz w:val="22"/>
        </w:rPr>
        <w:t> </w:t>
      </w:r>
      <w:r>
        <w:rPr>
          <w:sz w:val="22"/>
        </w:rPr>
        <w:t>aspects</w:t>
      </w:r>
      <w:r>
        <w:rPr>
          <w:spacing w:val="-8"/>
          <w:sz w:val="22"/>
        </w:rPr>
        <w:t> </w:t>
      </w:r>
      <w:r>
        <w:rPr>
          <w:sz w:val="22"/>
        </w:rPr>
        <w:t>of</w:t>
      </w:r>
      <w:r>
        <w:rPr>
          <w:spacing w:val="-5"/>
          <w:sz w:val="22"/>
        </w:rPr>
        <w:t> </w:t>
      </w:r>
      <w:r>
        <w:rPr>
          <w:sz w:val="22"/>
        </w:rPr>
        <w:t>workshops</w:t>
      </w:r>
      <w:r>
        <w:rPr>
          <w:spacing w:val="-9"/>
          <w:sz w:val="22"/>
        </w:rPr>
        <w:t> </w:t>
      </w:r>
      <w:r>
        <w:rPr>
          <w:sz w:val="22"/>
        </w:rPr>
        <w:t>and</w:t>
      </w:r>
      <w:r>
        <w:rPr>
          <w:spacing w:val="-6"/>
          <w:sz w:val="22"/>
        </w:rPr>
        <w:t> </w:t>
      </w:r>
      <w:r>
        <w:rPr>
          <w:sz w:val="22"/>
        </w:rPr>
        <w:t>meetings</w:t>
      </w:r>
      <w:r>
        <w:rPr>
          <w:spacing w:val="-8"/>
          <w:sz w:val="22"/>
        </w:rPr>
        <w:t> </w:t>
      </w:r>
      <w:r>
        <w:rPr>
          <w:sz w:val="22"/>
        </w:rPr>
        <w:t>as</w:t>
      </w:r>
      <w:r>
        <w:rPr>
          <w:spacing w:val="-5"/>
          <w:sz w:val="22"/>
        </w:rPr>
        <w:t> </w:t>
      </w:r>
      <w:r>
        <w:rPr>
          <w:sz w:val="22"/>
        </w:rPr>
        <w:t>required as needed for preparation and implementation of social management plan;</w:t>
      </w:r>
    </w:p>
    <w:p>
      <w:pPr>
        <w:pStyle w:val="ListParagraph"/>
        <w:numPr>
          <w:ilvl w:val="1"/>
          <w:numId w:val="58"/>
        </w:numPr>
        <w:tabs>
          <w:tab w:pos="1949" w:val="left" w:leader="none"/>
        </w:tabs>
        <w:spacing w:line="273" w:lineRule="auto" w:before="2" w:after="0"/>
        <w:ind w:left="1948" w:right="785" w:hanging="360"/>
        <w:jc w:val="both"/>
        <w:rPr>
          <w:sz w:val="22"/>
        </w:rPr>
      </w:pPr>
      <w:r>
        <w:rPr>
          <w:sz w:val="22"/>
        </w:rPr>
        <w:t>Preparing</w:t>
      </w:r>
      <w:r>
        <w:rPr>
          <w:spacing w:val="-15"/>
          <w:sz w:val="22"/>
        </w:rPr>
        <w:t> </w:t>
      </w:r>
      <w:r>
        <w:rPr>
          <w:sz w:val="22"/>
        </w:rPr>
        <w:t>training</w:t>
      </w:r>
      <w:r>
        <w:rPr>
          <w:spacing w:val="-17"/>
          <w:sz w:val="22"/>
        </w:rPr>
        <w:t> </w:t>
      </w:r>
      <w:r>
        <w:rPr>
          <w:sz w:val="22"/>
        </w:rPr>
        <w:t>materials,</w:t>
      </w:r>
      <w:r>
        <w:rPr>
          <w:spacing w:val="-16"/>
          <w:sz w:val="22"/>
        </w:rPr>
        <w:t> </w:t>
      </w:r>
      <w:r>
        <w:rPr>
          <w:sz w:val="22"/>
        </w:rPr>
        <w:t>and</w:t>
      </w:r>
      <w:r>
        <w:rPr>
          <w:spacing w:val="-17"/>
          <w:sz w:val="22"/>
        </w:rPr>
        <w:t> </w:t>
      </w:r>
      <w:r>
        <w:rPr>
          <w:sz w:val="22"/>
        </w:rPr>
        <w:t>conducting</w:t>
      </w:r>
      <w:r>
        <w:rPr>
          <w:spacing w:val="-17"/>
          <w:sz w:val="22"/>
        </w:rPr>
        <w:t> </w:t>
      </w:r>
      <w:r>
        <w:rPr>
          <w:sz w:val="22"/>
        </w:rPr>
        <w:t>technical</w:t>
      </w:r>
      <w:r>
        <w:rPr>
          <w:spacing w:val="-18"/>
          <w:sz w:val="22"/>
        </w:rPr>
        <w:t> </w:t>
      </w:r>
      <w:r>
        <w:rPr>
          <w:sz w:val="22"/>
        </w:rPr>
        <w:t>training</w:t>
      </w:r>
      <w:r>
        <w:rPr>
          <w:spacing w:val="-17"/>
          <w:sz w:val="22"/>
        </w:rPr>
        <w:t> </w:t>
      </w:r>
      <w:r>
        <w:rPr>
          <w:sz w:val="22"/>
        </w:rPr>
        <w:t>workshops to</w:t>
      </w:r>
      <w:r>
        <w:rPr>
          <w:spacing w:val="-5"/>
          <w:sz w:val="22"/>
        </w:rPr>
        <w:t> </w:t>
      </w:r>
      <w:r>
        <w:rPr>
          <w:sz w:val="22"/>
        </w:rPr>
        <w:t>SMTA</w:t>
      </w:r>
      <w:r>
        <w:rPr>
          <w:spacing w:val="-5"/>
          <w:sz w:val="22"/>
        </w:rPr>
        <w:t> </w:t>
      </w:r>
      <w:r>
        <w:rPr>
          <w:sz w:val="22"/>
        </w:rPr>
        <w:t>staff</w:t>
      </w:r>
      <w:r>
        <w:rPr>
          <w:spacing w:val="-6"/>
          <w:sz w:val="22"/>
        </w:rPr>
        <w:t> </w:t>
      </w:r>
      <w:r>
        <w:rPr>
          <w:sz w:val="22"/>
        </w:rPr>
        <w:t>and</w:t>
      </w:r>
      <w:r>
        <w:rPr>
          <w:spacing w:val="-5"/>
          <w:sz w:val="22"/>
        </w:rPr>
        <w:t> </w:t>
      </w:r>
      <w:r>
        <w:rPr>
          <w:sz w:val="22"/>
        </w:rPr>
        <w:t>project</w:t>
      </w:r>
      <w:r>
        <w:rPr>
          <w:spacing w:val="-4"/>
          <w:sz w:val="22"/>
        </w:rPr>
        <w:t> </w:t>
      </w:r>
      <w:r>
        <w:rPr>
          <w:sz w:val="22"/>
        </w:rPr>
        <w:t>implementation</w:t>
      </w:r>
      <w:r>
        <w:rPr>
          <w:spacing w:val="-5"/>
          <w:sz w:val="22"/>
        </w:rPr>
        <w:t> </w:t>
      </w:r>
      <w:r>
        <w:rPr>
          <w:sz w:val="22"/>
        </w:rPr>
        <w:t>agencies</w:t>
      </w:r>
      <w:r>
        <w:rPr>
          <w:spacing w:val="-5"/>
          <w:sz w:val="22"/>
        </w:rPr>
        <w:t> </w:t>
      </w:r>
      <w:r>
        <w:rPr>
          <w:sz w:val="22"/>
        </w:rPr>
        <w:t>on</w:t>
      </w:r>
      <w:r>
        <w:rPr>
          <w:spacing w:val="-8"/>
          <w:sz w:val="22"/>
        </w:rPr>
        <w:t> </w:t>
      </w:r>
      <w:r>
        <w:rPr>
          <w:sz w:val="22"/>
        </w:rPr>
        <w:t>social</w:t>
      </w:r>
      <w:r>
        <w:rPr>
          <w:spacing w:val="-6"/>
          <w:sz w:val="22"/>
        </w:rPr>
        <w:t> </w:t>
      </w:r>
      <w:r>
        <w:rPr>
          <w:sz w:val="22"/>
        </w:rPr>
        <w:t>safeguards requirements;</w:t>
      </w:r>
    </w:p>
    <w:p>
      <w:pPr>
        <w:pStyle w:val="ListParagraph"/>
        <w:numPr>
          <w:ilvl w:val="1"/>
          <w:numId w:val="58"/>
        </w:numPr>
        <w:tabs>
          <w:tab w:pos="1949" w:val="left" w:leader="none"/>
        </w:tabs>
        <w:spacing w:line="276" w:lineRule="auto" w:before="2" w:after="0"/>
        <w:ind w:left="1948" w:right="785" w:hanging="360"/>
        <w:jc w:val="both"/>
        <w:rPr>
          <w:sz w:val="22"/>
        </w:rPr>
      </w:pPr>
      <w:r>
        <w:rPr>
          <w:sz w:val="22"/>
        </w:rPr>
        <w:t>Undertaking field visits to ascertain if the grievance redress</w:t>
      </w:r>
      <w:r>
        <w:rPr>
          <w:spacing w:val="-33"/>
          <w:sz w:val="22"/>
        </w:rPr>
        <w:t> </w:t>
      </w:r>
      <w:r>
        <w:rPr>
          <w:sz w:val="22"/>
        </w:rPr>
        <w:t>mechanisms established</w:t>
      </w:r>
      <w:r>
        <w:rPr>
          <w:spacing w:val="-16"/>
          <w:sz w:val="22"/>
        </w:rPr>
        <w:t> </w:t>
      </w:r>
      <w:r>
        <w:rPr>
          <w:sz w:val="22"/>
        </w:rPr>
        <w:t>for</w:t>
      </w:r>
      <w:r>
        <w:rPr>
          <w:spacing w:val="-15"/>
          <w:sz w:val="22"/>
        </w:rPr>
        <w:t> </w:t>
      </w:r>
      <w:r>
        <w:rPr>
          <w:sz w:val="22"/>
        </w:rPr>
        <w:t>the</w:t>
      </w:r>
      <w:r>
        <w:rPr>
          <w:spacing w:val="-14"/>
          <w:sz w:val="22"/>
        </w:rPr>
        <w:t> </w:t>
      </w:r>
      <w:r>
        <w:rPr>
          <w:sz w:val="22"/>
        </w:rPr>
        <w:t>project</w:t>
      </w:r>
      <w:r>
        <w:rPr>
          <w:spacing w:val="-12"/>
          <w:sz w:val="22"/>
        </w:rPr>
        <w:t> </w:t>
      </w:r>
      <w:r>
        <w:rPr>
          <w:sz w:val="22"/>
        </w:rPr>
        <w:t>are</w:t>
      </w:r>
      <w:r>
        <w:rPr>
          <w:spacing w:val="-15"/>
          <w:sz w:val="22"/>
        </w:rPr>
        <w:t> </w:t>
      </w:r>
      <w:r>
        <w:rPr>
          <w:sz w:val="22"/>
        </w:rPr>
        <w:t>functioning</w:t>
      </w:r>
      <w:r>
        <w:rPr>
          <w:spacing w:val="-12"/>
          <w:sz w:val="22"/>
        </w:rPr>
        <w:t> </w:t>
      </w:r>
      <w:r>
        <w:rPr>
          <w:sz w:val="22"/>
        </w:rPr>
        <w:t>appropriately</w:t>
      </w:r>
      <w:r>
        <w:rPr>
          <w:spacing w:val="-16"/>
          <w:sz w:val="22"/>
        </w:rPr>
        <w:t> </w:t>
      </w:r>
      <w:r>
        <w:rPr>
          <w:sz w:val="22"/>
        </w:rPr>
        <w:t>and</w:t>
      </w:r>
      <w:r>
        <w:rPr>
          <w:spacing w:val="-13"/>
          <w:sz w:val="22"/>
        </w:rPr>
        <w:t> </w:t>
      </w:r>
      <w:r>
        <w:rPr>
          <w:sz w:val="22"/>
        </w:rPr>
        <w:t>the</w:t>
      </w:r>
      <w:r>
        <w:rPr>
          <w:spacing w:val="-14"/>
          <w:sz w:val="22"/>
        </w:rPr>
        <w:t> </w:t>
      </w:r>
      <w:r>
        <w:rPr>
          <w:sz w:val="22"/>
        </w:rPr>
        <w:t>individual projects are implemented in an environmentally and social sustainable manner;</w:t>
      </w:r>
    </w:p>
    <w:p>
      <w:pPr>
        <w:pStyle w:val="ListParagraph"/>
        <w:numPr>
          <w:ilvl w:val="1"/>
          <w:numId w:val="58"/>
        </w:numPr>
        <w:tabs>
          <w:tab w:pos="1949" w:val="left" w:leader="none"/>
        </w:tabs>
        <w:spacing w:line="271" w:lineRule="auto" w:before="0" w:after="0"/>
        <w:ind w:left="1948" w:right="785" w:hanging="360"/>
        <w:jc w:val="both"/>
        <w:rPr>
          <w:sz w:val="22"/>
        </w:rPr>
      </w:pPr>
      <w:r>
        <w:rPr>
          <w:sz w:val="22"/>
        </w:rPr>
        <w:t>Collation of appropriate performance and monitoring indicators to input into the Monitoring and Evaluation (M&amp;E) Framework of the</w:t>
      </w:r>
      <w:r>
        <w:rPr>
          <w:spacing w:val="-20"/>
          <w:sz w:val="22"/>
        </w:rPr>
        <w:t> </w:t>
      </w:r>
      <w:r>
        <w:rPr>
          <w:sz w:val="22"/>
        </w:rPr>
        <w:t>project;</w:t>
      </w:r>
    </w:p>
    <w:p>
      <w:pPr>
        <w:pStyle w:val="ListParagraph"/>
        <w:numPr>
          <w:ilvl w:val="1"/>
          <w:numId w:val="58"/>
        </w:numPr>
        <w:tabs>
          <w:tab w:pos="1949" w:val="left" w:leader="none"/>
        </w:tabs>
        <w:spacing w:line="276" w:lineRule="auto" w:before="5" w:after="0"/>
        <w:ind w:left="1948" w:right="788" w:hanging="360"/>
        <w:jc w:val="both"/>
        <w:rPr>
          <w:sz w:val="22"/>
        </w:rPr>
      </w:pPr>
      <w:r>
        <w:rPr>
          <w:sz w:val="22"/>
        </w:rPr>
        <w:t>Prepare quarterly progress reports including those required for submission to IFIs (if applicable) and other stakeholders as defined in relevant social risk management/social safeguards frameworks and plans;</w:t>
      </w:r>
    </w:p>
    <w:p>
      <w:pPr>
        <w:pStyle w:val="ListParagraph"/>
        <w:numPr>
          <w:ilvl w:val="1"/>
          <w:numId w:val="58"/>
        </w:numPr>
        <w:tabs>
          <w:tab w:pos="1948" w:val="left" w:leader="none"/>
          <w:tab w:pos="1949" w:val="left" w:leader="none"/>
        </w:tabs>
        <w:spacing w:line="240" w:lineRule="auto" w:before="0" w:after="0"/>
        <w:ind w:left="1948" w:right="0" w:hanging="360"/>
        <w:jc w:val="left"/>
        <w:rPr>
          <w:sz w:val="22"/>
        </w:rPr>
      </w:pPr>
      <w:r>
        <w:rPr>
          <w:sz w:val="22"/>
        </w:rPr>
        <w:t>Perform other such duties that may be assigned from time to</w:t>
      </w:r>
      <w:r>
        <w:rPr>
          <w:spacing w:val="-19"/>
          <w:sz w:val="22"/>
        </w:rPr>
        <w:t> </w:t>
      </w:r>
      <w:r>
        <w:rPr>
          <w:sz w:val="22"/>
        </w:rPr>
        <w:t>time.</w:t>
      </w:r>
    </w:p>
    <w:p>
      <w:pPr>
        <w:pStyle w:val="BodyText"/>
        <w:rPr>
          <w:sz w:val="26"/>
        </w:rPr>
      </w:pPr>
    </w:p>
    <w:p>
      <w:pPr>
        <w:pStyle w:val="Heading3"/>
        <w:spacing w:before="195"/>
        <w:ind w:left="868"/>
        <w:jc w:val="left"/>
      </w:pPr>
      <w:r>
        <w:rPr>
          <w:u w:val="thick"/>
        </w:rPr>
        <w:t>Position Requirements</w:t>
      </w:r>
    </w:p>
    <w:p>
      <w:pPr>
        <w:pStyle w:val="BodyText"/>
        <w:spacing w:before="5"/>
        <w:rPr>
          <w:b/>
          <w:sz w:val="20"/>
        </w:rPr>
      </w:pPr>
    </w:p>
    <w:p>
      <w:pPr>
        <w:pStyle w:val="BodyText"/>
        <w:spacing w:before="1"/>
        <w:ind w:left="868"/>
      </w:pPr>
      <w:r>
        <w:rPr>
          <w:u w:val="single"/>
        </w:rPr>
        <w:t>Qualification</w:t>
      </w:r>
    </w:p>
    <w:p>
      <w:pPr>
        <w:pStyle w:val="BodyText"/>
        <w:spacing w:before="6"/>
        <w:rPr>
          <w:sz w:val="20"/>
        </w:rPr>
      </w:pPr>
    </w:p>
    <w:p>
      <w:pPr>
        <w:pStyle w:val="ListParagraph"/>
        <w:numPr>
          <w:ilvl w:val="0"/>
          <w:numId w:val="57"/>
        </w:numPr>
        <w:tabs>
          <w:tab w:pos="1589" w:val="left" w:leader="none"/>
        </w:tabs>
        <w:spacing w:line="271" w:lineRule="auto" w:before="0" w:after="0"/>
        <w:ind w:left="1588" w:right="157" w:hanging="360"/>
        <w:jc w:val="both"/>
        <w:rPr>
          <w:sz w:val="22"/>
        </w:rPr>
      </w:pPr>
      <w:r>
        <w:rPr>
          <w:sz w:val="22"/>
        </w:rPr>
        <w:t>Graduate degree in social sciences (e.g. development studies, sociology, human geography, anthropology) from a recognized</w:t>
      </w:r>
      <w:r>
        <w:rPr>
          <w:spacing w:val="-21"/>
          <w:sz w:val="22"/>
        </w:rPr>
        <w:t> </w:t>
      </w:r>
      <w:r>
        <w:rPr>
          <w:sz w:val="22"/>
        </w:rPr>
        <w:t>university.</w:t>
      </w:r>
    </w:p>
    <w:p>
      <w:pPr>
        <w:pStyle w:val="BodyText"/>
        <w:spacing w:before="9"/>
      </w:pPr>
    </w:p>
    <w:p>
      <w:pPr>
        <w:pStyle w:val="BodyText"/>
        <w:ind w:left="868"/>
      </w:pPr>
      <w:r>
        <w:rPr>
          <w:u w:val="single"/>
        </w:rPr>
        <w:t>Experience</w:t>
      </w:r>
    </w:p>
    <w:p>
      <w:pPr>
        <w:pStyle w:val="BodyText"/>
        <w:spacing w:before="3"/>
        <w:rPr>
          <w:sz w:val="20"/>
        </w:rPr>
      </w:pPr>
    </w:p>
    <w:p>
      <w:pPr>
        <w:pStyle w:val="ListParagraph"/>
        <w:numPr>
          <w:ilvl w:val="0"/>
          <w:numId w:val="57"/>
        </w:numPr>
        <w:tabs>
          <w:tab w:pos="1589" w:val="left" w:leader="none"/>
        </w:tabs>
        <w:spacing w:line="276" w:lineRule="auto" w:before="1" w:after="0"/>
        <w:ind w:left="1588" w:right="155" w:hanging="360"/>
        <w:jc w:val="both"/>
        <w:rPr>
          <w:sz w:val="22"/>
        </w:rPr>
      </w:pPr>
      <w:r>
        <w:rPr>
          <w:sz w:val="22"/>
        </w:rPr>
        <w:t>at least 10 years of experience in community engagement, planning, implementation and management of resettlement activities, and complaints resolution/grievance redress management. Experience in the preparation of, or assisting in the preparation of, at least 5 resettlement plans for infrastructure projects. Experience in urban settings would be an</w:t>
      </w:r>
      <w:r>
        <w:rPr>
          <w:spacing w:val="-19"/>
          <w:sz w:val="22"/>
        </w:rPr>
        <w:t> </w:t>
      </w:r>
      <w:r>
        <w:rPr>
          <w:sz w:val="22"/>
        </w:rPr>
        <w:t>advantage.</w:t>
      </w:r>
    </w:p>
    <w:p>
      <w:pPr>
        <w:pStyle w:val="BodyText"/>
        <w:spacing w:before="1"/>
      </w:pPr>
    </w:p>
    <w:p>
      <w:pPr>
        <w:pStyle w:val="ListParagraph"/>
        <w:numPr>
          <w:ilvl w:val="0"/>
          <w:numId w:val="57"/>
        </w:numPr>
        <w:tabs>
          <w:tab w:pos="1589" w:val="left" w:leader="none"/>
        </w:tabs>
        <w:spacing w:line="276" w:lineRule="auto" w:before="0" w:after="0"/>
        <w:ind w:left="1588" w:right="156" w:hanging="360"/>
        <w:jc w:val="both"/>
        <w:rPr>
          <w:sz w:val="22"/>
        </w:rPr>
      </w:pPr>
      <w:r>
        <w:rPr>
          <w:sz w:val="22"/>
        </w:rPr>
        <w:t>Strong knowledge of relevant Federal, Provincial, and local laws, standards, regulations, and policies such as those pertaining to land acquisition and resettlement, labour management and protection, special protection legislation, mechanisms and provisions pertaining to women and vulnerable and marginalized groups.</w:t>
      </w:r>
    </w:p>
    <w:p>
      <w:pPr>
        <w:spacing w:after="0" w:line="276" w:lineRule="auto"/>
        <w:jc w:val="both"/>
        <w:rPr>
          <w:sz w:val="22"/>
        </w:rPr>
        <w:sectPr>
          <w:pgSz w:w="11910" w:h="16840"/>
          <w:pgMar w:header="583" w:footer="575" w:top="840" w:bottom="760" w:left="860" w:right="1280"/>
        </w:sectPr>
      </w:pPr>
    </w:p>
    <w:p>
      <w:pPr>
        <w:pStyle w:val="BodyText"/>
        <w:rPr>
          <w:sz w:val="20"/>
        </w:rPr>
      </w:pPr>
    </w:p>
    <w:p>
      <w:pPr>
        <w:pStyle w:val="BodyText"/>
        <w:rPr>
          <w:sz w:val="20"/>
        </w:rPr>
      </w:pPr>
    </w:p>
    <w:p>
      <w:pPr>
        <w:pStyle w:val="BodyText"/>
        <w:spacing w:before="2"/>
        <w:rPr>
          <w:sz w:val="27"/>
        </w:rPr>
      </w:pPr>
    </w:p>
    <w:p>
      <w:pPr>
        <w:pStyle w:val="ListParagraph"/>
        <w:numPr>
          <w:ilvl w:val="0"/>
          <w:numId w:val="57"/>
        </w:numPr>
        <w:tabs>
          <w:tab w:pos="1588" w:val="left" w:leader="none"/>
          <w:tab w:pos="1589" w:val="left" w:leader="none"/>
        </w:tabs>
        <w:spacing w:line="273" w:lineRule="auto" w:before="101" w:after="0"/>
        <w:ind w:left="1588" w:right="698" w:hanging="360"/>
        <w:jc w:val="left"/>
        <w:rPr>
          <w:sz w:val="22"/>
        </w:rPr>
      </w:pPr>
      <w:r>
        <w:rPr>
          <w:sz w:val="22"/>
        </w:rPr>
        <w:t>Strong knowledge of the social safeguards policies and frameworks, and compliance requirements of IFIs (e.g. World Bank, Asian Development</w:t>
      </w:r>
      <w:r>
        <w:rPr>
          <w:spacing w:val="-25"/>
          <w:sz w:val="22"/>
        </w:rPr>
        <w:t> </w:t>
      </w:r>
      <w:r>
        <w:rPr>
          <w:sz w:val="22"/>
        </w:rPr>
        <w:t>Bank, Asian Infrastructure Investment Bank, JICA</w:t>
      </w:r>
      <w:r>
        <w:rPr>
          <w:spacing w:val="-13"/>
          <w:sz w:val="22"/>
        </w:rPr>
        <w:t> </w:t>
      </w:r>
      <w:r>
        <w:rPr>
          <w:sz w:val="22"/>
        </w:rPr>
        <w:t>etc.)</w:t>
      </w:r>
    </w:p>
    <w:p>
      <w:pPr>
        <w:pStyle w:val="BodyText"/>
        <w:spacing w:before="4"/>
      </w:pPr>
    </w:p>
    <w:p>
      <w:pPr>
        <w:pStyle w:val="BodyText"/>
        <w:ind w:left="868"/>
      </w:pPr>
      <w:r>
        <w:rPr>
          <w:u w:val="single"/>
        </w:rPr>
        <w:t>Core Competencies</w:t>
      </w:r>
    </w:p>
    <w:p>
      <w:pPr>
        <w:pStyle w:val="BodyText"/>
        <w:spacing w:before="5"/>
        <w:rPr>
          <w:sz w:val="20"/>
        </w:rPr>
      </w:pPr>
    </w:p>
    <w:p>
      <w:pPr>
        <w:pStyle w:val="ListParagraph"/>
        <w:numPr>
          <w:ilvl w:val="0"/>
          <w:numId w:val="57"/>
        </w:numPr>
        <w:tabs>
          <w:tab w:pos="1588" w:val="left" w:leader="none"/>
          <w:tab w:pos="1589" w:val="left" w:leader="none"/>
        </w:tabs>
        <w:spacing w:line="271" w:lineRule="auto" w:before="1" w:after="0"/>
        <w:ind w:left="1588" w:right="159" w:hanging="360"/>
        <w:jc w:val="left"/>
        <w:rPr>
          <w:sz w:val="22"/>
        </w:rPr>
      </w:pPr>
      <w:r>
        <w:rPr>
          <w:sz w:val="22"/>
        </w:rPr>
        <w:t>Strong knowledge of methods, techniques, and practices for community consultation and</w:t>
      </w:r>
      <w:r>
        <w:rPr>
          <w:spacing w:val="-8"/>
          <w:sz w:val="22"/>
        </w:rPr>
        <w:t> </w:t>
      </w:r>
      <w:r>
        <w:rPr>
          <w:sz w:val="22"/>
        </w:rPr>
        <w:t>engagement.</w:t>
      </w:r>
    </w:p>
    <w:p>
      <w:pPr>
        <w:pStyle w:val="BodyText"/>
        <w:spacing w:before="10"/>
        <w:rPr>
          <w:sz w:val="25"/>
        </w:rPr>
      </w:pPr>
    </w:p>
    <w:p>
      <w:pPr>
        <w:pStyle w:val="ListParagraph"/>
        <w:numPr>
          <w:ilvl w:val="0"/>
          <w:numId w:val="57"/>
        </w:numPr>
        <w:tabs>
          <w:tab w:pos="1588" w:val="left" w:leader="none"/>
          <w:tab w:pos="1589" w:val="left" w:leader="none"/>
        </w:tabs>
        <w:spacing w:line="271" w:lineRule="auto" w:before="0" w:after="0"/>
        <w:ind w:left="1588" w:right="158" w:hanging="360"/>
        <w:jc w:val="left"/>
        <w:rPr>
          <w:sz w:val="22"/>
        </w:rPr>
      </w:pPr>
      <w:r>
        <w:rPr>
          <w:sz w:val="22"/>
        </w:rPr>
        <w:t>Knowledge of methods, techniques, and practices for grievance redress and management of grievance redress</w:t>
      </w:r>
      <w:r>
        <w:rPr>
          <w:spacing w:val="-8"/>
          <w:sz w:val="22"/>
        </w:rPr>
        <w:t> </w:t>
      </w:r>
      <w:r>
        <w:rPr>
          <w:sz w:val="22"/>
        </w:rPr>
        <w:t>systems</w:t>
      </w:r>
    </w:p>
    <w:p>
      <w:pPr>
        <w:pStyle w:val="BodyText"/>
        <w:spacing w:before="7"/>
        <w:rPr>
          <w:sz w:val="25"/>
        </w:rPr>
      </w:pPr>
    </w:p>
    <w:p>
      <w:pPr>
        <w:pStyle w:val="ListParagraph"/>
        <w:numPr>
          <w:ilvl w:val="0"/>
          <w:numId w:val="57"/>
        </w:numPr>
        <w:tabs>
          <w:tab w:pos="1589" w:val="left" w:leader="none"/>
        </w:tabs>
        <w:spacing w:line="276" w:lineRule="auto" w:before="0" w:after="0"/>
        <w:ind w:left="1588" w:right="158" w:hanging="360"/>
        <w:jc w:val="both"/>
        <w:rPr>
          <w:sz w:val="22"/>
        </w:rPr>
      </w:pPr>
      <w:r>
        <w:rPr>
          <w:sz w:val="22"/>
        </w:rPr>
        <w:t>Research, interpret and apply technical information to prepare clear and concise management reports; apply logical supporting information to justify decisions and recommendations.</w:t>
      </w:r>
    </w:p>
    <w:p>
      <w:pPr>
        <w:pStyle w:val="BodyText"/>
        <w:spacing w:before="4"/>
        <w:rPr>
          <w:sz w:val="25"/>
        </w:rPr>
      </w:pPr>
    </w:p>
    <w:p>
      <w:pPr>
        <w:pStyle w:val="ListParagraph"/>
        <w:numPr>
          <w:ilvl w:val="0"/>
          <w:numId w:val="57"/>
        </w:numPr>
        <w:tabs>
          <w:tab w:pos="1588" w:val="left" w:leader="none"/>
          <w:tab w:pos="1589" w:val="left" w:leader="none"/>
        </w:tabs>
        <w:spacing w:line="240" w:lineRule="auto" w:before="1" w:after="0"/>
        <w:ind w:left="1588" w:right="0" w:hanging="360"/>
        <w:jc w:val="left"/>
        <w:rPr>
          <w:sz w:val="22"/>
        </w:rPr>
      </w:pPr>
      <w:r>
        <w:rPr>
          <w:sz w:val="22"/>
        </w:rPr>
        <w:t>Work with diverse groups to achieve desired</w:t>
      </w:r>
      <w:r>
        <w:rPr>
          <w:spacing w:val="-17"/>
          <w:sz w:val="22"/>
        </w:rPr>
        <w:t> </w:t>
      </w:r>
      <w:r>
        <w:rPr>
          <w:sz w:val="22"/>
        </w:rPr>
        <w:t>results.</w:t>
      </w:r>
    </w:p>
    <w:p>
      <w:pPr>
        <w:pStyle w:val="BodyText"/>
        <w:spacing w:before="3"/>
        <w:rPr>
          <w:sz w:val="28"/>
        </w:rPr>
      </w:pPr>
    </w:p>
    <w:p>
      <w:pPr>
        <w:pStyle w:val="ListParagraph"/>
        <w:numPr>
          <w:ilvl w:val="0"/>
          <w:numId w:val="57"/>
        </w:numPr>
        <w:tabs>
          <w:tab w:pos="1588" w:val="left" w:leader="none"/>
          <w:tab w:pos="1589" w:val="left" w:leader="none"/>
        </w:tabs>
        <w:spacing w:line="240" w:lineRule="auto" w:before="1" w:after="0"/>
        <w:ind w:left="1588" w:right="0" w:hanging="360"/>
        <w:jc w:val="left"/>
        <w:rPr>
          <w:sz w:val="22"/>
        </w:rPr>
      </w:pPr>
      <w:r>
        <w:rPr>
          <w:sz w:val="22"/>
        </w:rPr>
        <w:t>Establish and maintain cooperative relations with</w:t>
      </w:r>
      <w:r>
        <w:rPr>
          <w:spacing w:val="-12"/>
          <w:sz w:val="22"/>
        </w:rPr>
        <w:t> </w:t>
      </w:r>
      <w:r>
        <w:rPr>
          <w:sz w:val="22"/>
        </w:rPr>
        <w:t>others.</w:t>
      </w:r>
    </w:p>
    <w:p>
      <w:pPr>
        <w:spacing w:after="0" w:line="240" w:lineRule="auto"/>
        <w:jc w:val="left"/>
        <w:rPr>
          <w:sz w:val="22"/>
        </w:rPr>
        <w:sectPr>
          <w:pgSz w:w="11910" w:h="16840"/>
          <w:pgMar w:header="583" w:footer="575" w:top="840" w:bottom="760" w:left="860" w:right="1280"/>
        </w:sectPr>
      </w:pPr>
    </w:p>
    <w:p>
      <w:pPr>
        <w:pStyle w:val="BodyText"/>
        <w:rPr>
          <w:sz w:val="20"/>
        </w:rPr>
      </w:pPr>
    </w:p>
    <w:p>
      <w:pPr>
        <w:pStyle w:val="BodyText"/>
        <w:rPr>
          <w:sz w:val="20"/>
        </w:rPr>
      </w:pPr>
    </w:p>
    <w:p>
      <w:pPr>
        <w:pStyle w:val="BodyText"/>
        <w:spacing w:before="10"/>
        <w:rPr>
          <w:sz w:val="27"/>
        </w:rPr>
      </w:pPr>
    </w:p>
    <w:p>
      <w:pPr>
        <w:pStyle w:val="Heading1"/>
        <w:ind w:left="2233"/>
        <w:rPr>
          <w:u w:val="none"/>
        </w:rPr>
      </w:pPr>
      <w:bookmarkStart w:name="_bookmark110" w:id="183"/>
      <w:bookmarkEnd w:id="183"/>
      <w:r>
        <w:rPr>
          <w:b w:val="0"/>
          <w:u w:val="none"/>
        </w:rPr>
      </w:r>
      <w:r>
        <w:rPr>
          <w:u w:val="thick"/>
        </w:rPr>
        <w:t>Annex-VII: ToRs for Gender Specialist, SMTA</w:t>
      </w:r>
    </w:p>
    <w:p>
      <w:pPr>
        <w:pStyle w:val="BodyText"/>
        <w:spacing w:line="276" w:lineRule="auto" w:before="120"/>
        <w:ind w:left="868" w:right="152"/>
        <w:jc w:val="both"/>
      </w:pPr>
      <w:r>
        <w:rPr/>
        <w:t>The</w:t>
      </w:r>
      <w:r>
        <w:rPr>
          <w:spacing w:val="-11"/>
        </w:rPr>
        <w:t> </w:t>
      </w:r>
      <w:r>
        <w:rPr/>
        <w:t>Gender</w:t>
      </w:r>
      <w:r>
        <w:rPr>
          <w:spacing w:val="-10"/>
        </w:rPr>
        <w:t> </w:t>
      </w:r>
      <w:r>
        <w:rPr/>
        <w:t>Specialist</w:t>
      </w:r>
      <w:r>
        <w:rPr>
          <w:spacing w:val="-8"/>
        </w:rPr>
        <w:t> </w:t>
      </w:r>
      <w:r>
        <w:rPr/>
        <w:t>will</w:t>
      </w:r>
      <w:r>
        <w:rPr>
          <w:spacing w:val="-10"/>
        </w:rPr>
        <w:t> </w:t>
      </w:r>
      <w:r>
        <w:rPr/>
        <w:t>be</w:t>
      </w:r>
      <w:r>
        <w:rPr>
          <w:spacing w:val="-9"/>
        </w:rPr>
        <w:t> </w:t>
      </w:r>
      <w:r>
        <w:rPr/>
        <w:t>responsible</w:t>
      </w:r>
      <w:r>
        <w:rPr>
          <w:spacing w:val="-9"/>
        </w:rPr>
        <w:t> </w:t>
      </w:r>
      <w:r>
        <w:rPr/>
        <w:t>to</w:t>
      </w:r>
      <w:r>
        <w:rPr>
          <w:spacing w:val="-9"/>
        </w:rPr>
        <w:t> </w:t>
      </w:r>
      <w:r>
        <w:rPr/>
        <w:t>ensure</w:t>
      </w:r>
      <w:r>
        <w:rPr>
          <w:spacing w:val="-9"/>
        </w:rPr>
        <w:t> </w:t>
      </w:r>
      <w:r>
        <w:rPr/>
        <w:t>gender</w:t>
      </w:r>
      <w:r>
        <w:rPr>
          <w:spacing w:val="-8"/>
        </w:rPr>
        <w:t> </w:t>
      </w:r>
      <w:r>
        <w:rPr/>
        <w:t>integration</w:t>
      </w:r>
      <w:r>
        <w:rPr>
          <w:spacing w:val="-9"/>
        </w:rPr>
        <w:t> </w:t>
      </w:r>
      <w:r>
        <w:rPr/>
        <w:t>and</w:t>
      </w:r>
      <w:r>
        <w:rPr>
          <w:spacing w:val="-11"/>
        </w:rPr>
        <w:t> </w:t>
      </w:r>
      <w:r>
        <w:rPr/>
        <w:t>social</w:t>
      </w:r>
      <w:r>
        <w:rPr>
          <w:spacing w:val="-10"/>
        </w:rPr>
        <w:t> </w:t>
      </w:r>
      <w:r>
        <w:rPr/>
        <w:t>inclusion is effectively considered in all projects implemented by Sindh Mass Transit Authority. </w:t>
      </w:r>
      <w:r>
        <w:rPr>
          <w:spacing w:val="-3"/>
        </w:rPr>
        <w:t>He/ </w:t>
      </w:r>
      <w:r>
        <w:rPr/>
        <w:t>She</w:t>
      </w:r>
      <w:r>
        <w:rPr>
          <w:spacing w:val="-12"/>
        </w:rPr>
        <w:t> </w:t>
      </w:r>
      <w:r>
        <w:rPr/>
        <w:t>will</w:t>
      </w:r>
      <w:r>
        <w:rPr>
          <w:spacing w:val="-13"/>
        </w:rPr>
        <w:t> </w:t>
      </w:r>
      <w:r>
        <w:rPr/>
        <w:t>develop</w:t>
      </w:r>
      <w:r>
        <w:rPr>
          <w:spacing w:val="-12"/>
        </w:rPr>
        <w:t> </w:t>
      </w:r>
      <w:r>
        <w:rPr/>
        <w:t>methodologies</w:t>
      </w:r>
      <w:r>
        <w:rPr>
          <w:spacing w:val="-12"/>
        </w:rPr>
        <w:t> </w:t>
      </w:r>
      <w:r>
        <w:rPr/>
        <w:t>in</w:t>
      </w:r>
      <w:r>
        <w:rPr>
          <w:spacing w:val="-15"/>
        </w:rPr>
        <w:t> </w:t>
      </w:r>
      <w:r>
        <w:rPr/>
        <w:t>a</w:t>
      </w:r>
      <w:r>
        <w:rPr>
          <w:spacing w:val="-15"/>
        </w:rPr>
        <w:t> </w:t>
      </w:r>
      <w:r>
        <w:rPr/>
        <w:t>manner</w:t>
      </w:r>
      <w:r>
        <w:rPr>
          <w:spacing w:val="-13"/>
        </w:rPr>
        <w:t> </w:t>
      </w:r>
      <w:r>
        <w:rPr/>
        <w:t>that</w:t>
      </w:r>
      <w:r>
        <w:rPr>
          <w:spacing w:val="-13"/>
        </w:rPr>
        <w:t> </w:t>
      </w:r>
      <w:r>
        <w:rPr/>
        <w:t>is</w:t>
      </w:r>
      <w:r>
        <w:rPr>
          <w:spacing w:val="-12"/>
        </w:rPr>
        <w:t> </w:t>
      </w:r>
      <w:r>
        <w:rPr/>
        <w:t>culturally</w:t>
      </w:r>
      <w:r>
        <w:rPr>
          <w:spacing w:val="-14"/>
        </w:rPr>
        <w:t> </w:t>
      </w:r>
      <w:r>
        <w:rPr/>
        <w:t>sensitive</w:t>
      </w:r>
      <w:r>
        <w:rPr>
          <w:spacing w:val="-12"/>
        </w:rPr>
        <w:t> </w:t>
      </w:r>
      <w:r>
        <w:rPr/>
        <w:t>and</w:t>
      </w:r>
      <w:r>
        <w:rPr>
          <w:spacing w:val="-15"/>
        </w:rPr>
        <w:t> </w:t>
      </w:r>
      <w:r>
        <w:rPr/>
        <w:t>results-oriented. He/she</w:t>
      </w:r>
      <w:r>
        <w:rPr>
          <w:spacing w:val="-11"/>
        </w:rPr>
        <w:t> </w:t>
      </w:r>
      <w:r>
        <w:rPr/>
        <w:t>will</w:t>
      </w:r>
      <w:r>
        <w:rPr>
          <w:spacing w:val="-12"/>
        </w:rPr>
        <w:t> </w:t>
      </w:r>
      <w:r>
        <w:rPr/>
        <w:t>also</w:t>
      </w:r>
      <w:r>
        <w:rPr>
          <w:spacing w:val="-11"/>
        </w:rPr>
        <w:t> </w:t>
      </w:r>
      <w:r>
        <w:rPr/>
        <w:t>work</w:t>
      </w:r>
      <w:r>
        <w:rPr>
          <w:spacing w:val="-10"/>
        </w:rPr>
        <w:t> </w:t>
      </w:r>
      <w:r>
        <w:rPr/>
        <w:t>with</w:t>
      </w:r>
      <w:r>
        <w:rPr>
          <w:spacing w:val="-11"/>
        </w:rPr>
        <w:t> </w:t>
      </w:r>
      <w:r>
        <w:rPr/>
        <w:t>all</w:t>
      </w:r>
      <w:r>
        <w:rPr>
          <w:spacing w:val="-12"/>
        </w:rPr>
        <w:t> </w:t>
      </w:r>
      <w:r>
        <w:rPr/>
        <w:t>stakeholders</w:t>
      </w:r>
      <w:r>
        <w:rPr>
          <w:spacing w:val="-16"/>
        </w:rPr>
        <w:t> </w:t>
      </w:r>
      <w:r>
        <w:rPr/>
        <w:t>to</w:t>
      </w:r>
      <w:r>
        <w:rPr>
          <w:spacing w:val="-14"/>
        </w:rPr>
        <w:t> </w:t>
      </w:r>
      <w:r>
        <w:rPr/>
        <w:t>ensure</w:t>
      </w:r>
      <w:r>
        <w:rPr>
          <w:spacing w:val="-13"/>
        </w:rPr>
        <w:t> </w:t>
      </w:r>
      <w:r>
        <w:rPr/>
        <w:t>gender</w:t>
      </w:r>
      <w:r>
        <w:rPr>
          <w:spacing w:val="-12"/>
        </w:rPr>
        <w:t> </w:t>
      </w:r>
      <w:r>
        <w:rPr/>
        <w:t>integration</w:t>
      </w:r>
      <w:r>
        <w:rPr>
          <w:spacing w:val="-14"/>
        </w:rPr>
        <w:t> </w:t>
      </w:r>
      <w:r>
        <w:rPr/>
        <w:t>and</w:t>
      </w:r>
      <w:r>
        <w:rPr>
          <w:spacing w:val="-14"/>
        </w:rPr>
        <w:t> </w:t>
      </w:r>
      <w:r>
        <w:rPr/>
        <w:t>social</w:t>
      </w:r>
      <w:r>
        <w:rPr>
          <w:spacing w:val="-12"/>
        </w:rPr>
        <w:t> </w:t>
      </w:r>
      <w:r>
        <w:rPr/>
        <w:t>inclusion is applied to the project design and activities, as well as the organizational</w:t>
      </w:r>
      <w:r>
        <w:rPr>
          <w:spacing w:val="-27"/>
        </w:rPr>
        <w:t> </w:t>
      </w:r>
      <w:r>
        <w:rPr/>
        <w:t>structure.</w:t>
      </w:r>
    </w:p>
    <w:p>
      <w:pPr>
        <w:pStyle w:val="Heading3"/>
        <w:spacing w:before="202"/>
        <w:ind w:left="868"/>
      </w:pPr>
      <w:r>
        <w:rPr>
          <w:u w:val="thick"/>
        </w:rPr>
        <w:t>Key Responsibilities</w:t>
      </w:r>
    </w:p>
    <w:p>
      <w:pPr>
        <w:pStyle w:val="BodyText"/>
        <w:spacing w:before="6"/>
        <w:rPr>
          <w:b/>
          <w:sz w:val="20"/>
        </w:rPr>
      </w:pPr>
    </w:p>
    <w:p>
      <w:pPr>
        <w:pStyle w:val="BodyText"/>
        <w:ind w:left="868"/>
        <w:jc w:val="both"/>
      </w:pPr>
      <w:r>
        <w:rPr/>
        <w:t>The major areas of responsibility for the Gender Specialist includes:</w:t>
      </w:r>
    </w:p>
    <w:p>
      <w:pPr>
        <w:pStyle w:val="BodyText"/>
        <w:spacing w:before="5"/>
        <w:rPr>
          <w:sz w:val="20"/>
        </w:rPr>
      </w:pPr>
    </w:p>
    <w:p>
      <w:pPr>
        <w:pStyle w:val="ListParagraph"/>
        <w:numPr>
          <w:ilvl w:val="0"/>
          <w:numId w:val="59"/>
        </w:numPr>
        <w:tabs>
          <w:tab w:pos="868" w:val="left" w:leader="none"/>
          <w:tab w:pos="869" w:val="left" w:leader="none"/>
        </w:tabs>
        <w:spacing w:line="276" w:lineRule="auto" w:before="1" w:after="0"/>
        <w:ind w:left="868" w:right="401" w:hanging="720"/>
        <w:jc w:val="left"/>
        <w:rPr>
          <w:sz w:val="22"/>
        </w:rPr>
      </w:pPr>
      <w:r>
        <w:rPr>
          <w:sz w:val="22"/>
        </w:rPr>
        <w:t>Develop, Coordinate and support the Sindh Mass Transit Authority team in establishing and implementing gender-sensitive monitoring, evaluation, learning and reporting systems. Work closely with the stakeholders to develop the data collection and analysis tools for the baseline assessment to guarantee gender and social inclusion considerations.</w:t>
      </w:r>
    </w:p>
    <w:p>
      <w:pPr>
        <w:pStyle w:val="ListParagraph"/>
        <w:numPr>
          <w:ilvl w:val="0"/>
          <w:numId w:val="59"/>
        </w:numPr>
        <w:tabs>
          <w:tab w:pos="868" w:val="left" w:leader="none"/>
          <w:tab w:pos="869" w:val="left" w:leader="none"/>
        </w:tabs>
        <w:spacing w:line="273" w:lineRule="auto" w:before="0" w:after="0"/>
        <w:ind w:left="868" w:right="322" w:hanging="720"/>
        <w:jc w:val="left"/>
        <w:rPr>
          <w:sz w:val="22"/>
        </w:rPr>
      </w:pPr>
      <w:r>
        <w:rPr>
          <w:sz w:val="22"/>
        </w:rPr>
        <w:t>Draft Gender Action Plan (GAP) for the Yellow BRT Corridor project implementation and SMTA institutional strengthening with timelines and</w:t>
      </w:r>
      <w:r>
        <w:rPr>
          <w:spacing w:val="-18"/>
          <w:sz w:val="22"/>
        </w:rPr>
        <w:t> </w:t>
      </w:r>
      <w:r>
        <w:rPr>
          <w:sz w:val="22"/>
        </w:rPr>
        <w:t>milestones.</w:t>
      </w:r>
    </w:p>
    <w:p>
      <w:pPr>
        <w:pStyle w:val="ListParagraph"/>
        <w:numPr>
          <w:ilvl w:val="0"/>
          <w:numId w:val="59"/>
        </w:numPr>
        <w:tabs>
          <w:tab w:pos="868" w:val="left" w:leader="none"/>
          <w:tab w:pos="869" w:val="left" w:leader="none"/>
        </w:tabs>
        <w:spacing w:line="273" w:lineRule="auto" w:before="2" w:after="0"/>
        <w:ind w:left="868" w:right="458" w:hanging="720"/>
        <w:jc w:val="left"/>
        <w:rPr>
          <w:sz w:val="22"/>
        </w:rPr>
      </w:pPr>
      <w:r>
        <w:rPr>
          <w:sz w:val="22"/>
        </w:rPr>
        <w:t>Facilitate to implement the action plans and undertake capacity strengthening activities on gender for SMTA in line with Gender Action Plan</w:t>
      </w:r>
      <w:r>
        <w:rPr>
          <w:spacing w:val="-18"/>
          <w:sz w:val="22"/>
        </w:rPr>
        <w:t> </w:t>
      </w:r>
      <w:r>
        <w:rPr>
          <w:sz w:val="22"/>
        </w:rPr>
        <w:t>(GAP)</w:t>
      </w:r>
    </w:p>
    <w:p>
      <w:pPr>
        <w:pStyle w:val="ListParagraph"/>
        <w:numPr>
          <w:ilvl w:val="0"/>
          <w:numId w:val="59"/>
        </w:numPr>
        <w:tabs>
          <w:tab w:pos="868" w:val="left" w:leader="none"/>
          <w:tab w:pos="869" w:val="left" w:leader="none"/>
        </w:tabs>
        <w:spacing w:line="273" w:lineRule="auto" w:before="5" w:after="0"/>
        <w:ind w:left="868" w:right="1331" w:hanging="720"/>
        <w:jc w:val="left"/>
        <w:rPr>
          <w:sz w:val="22"/>
        </w:rPr>
      </w:pPr>
      <w:r>
        <w:rPr>
          <w:sz w:val="22"/>
        </w:rPr>
        <w:t>Support the organization of yearly rapid ridership survey, which provides sex disaggregated data (as per provision in the KP Urban Mass Transit Act</w:t>
      </w:r>
      <w:r>
        <w:rPr>
          <w:spacing w:val="-25"/>
          <w:sz w:val="22"/>
        </w:rPr>
        <w:t> </w:t>
      </w:r>
      <w:r>
        <w:rPr>
          <w:sz w:val="22"/>
        </w:rPr>
        <w:t>2016).</w:t>
      </w:r>
    </w:p>
    <w:p>
      <w:pPr>
        <w:pStyle w:val="ListParagraph"/>
        <w:numPr>
          <w:ilvl w:val="0"/>
          <w:numId w:val="59"/>
        </w:numPr>
        <w:tabs>
          <w:tab w:pos="868" w:val="left" w:leader="none"/>
          <w:tab w:pos="869" w:val="left" w:leader="none"/>
        </w:tabs>
        <w:spacing w:line="276" w:lineRule="auto" w:before="3" w:after="0"/>
        <w:ind w:left="868" w:right="218" w:hanging="720"/>
        <w:jc w:val="left"/>
        <w:rPr>
          <w:sz w:val="22"/>
        </w:rPr>
      </w:pPr>
      <w:r>
        <w:rPr>
          <w:sz w:val="22"/>
        </w:rPr>
        <w:t>Support the organization of benchmark and post implementation satisfaction surveys</w:t>
      </w:r>
      <w:r>
        <w:rPr>
          <w:spacing w:val="-24"/>
          <w:sz w:val="22"/>
        </w:rPr>
        <w:t> </w:t>
      </w:r>
      <w:r>
        <w:rPr>
          <w:sz w:val="22"/>
        </w:rPr>
        <w:t>with male and female passengers, including the elderly, people with disability, and minorities such as transgender. Compare surveys and identify successes and problems (as per provision in the KP Urban Mass Transit Act</w:t>
      </w:r>
      <w:r>
        <w:rPr>
          <w:spacing w:val="-13"/>
          <w:sz w:val="22"/>
        </w:rPr>
        <w:t> </w:t>
      </w:r>
      <w:r>
        <w:rPr>
          <w:sz w:val="22"/>
        </w:rPr>
        <w:t>2016).</w:t>
      </w:r>
    </w:p>
    <w:p>
      <w:pPr>
        <w:pStyle w:val="ListParagraph"/>
        <w:numPr>
          <w:ilvl w:val="0"/>
          <w:numId w:val="59"/>
        </w:numPr>
        <w:tabs>
          <w:tab w:pos="868" w:val="left" w:leader="none"/>
          <w:tab w:pos="869" w:val="left" w:leader="none"/>
        </w:tabs>
        <w:spacing w:line="276" w:lineRule="auto" w:before="1" w:after="0"/>
        <w:ind w:left="868" w:right="278" w:hanging="720"/>
        <w:jc w:val="left"/>
        <w:rPr>
          <w:sz w:val="22"/>
        </w:rPr>
      </w:pPr>
      <w:r>
        <w:rPr>
          <w:sz w:val="22"/>
        </w:rPr>
        <w:t>Conduct impact study of the use of the BRT for women, people with disabilities, elderly and other vulnerable and minority groups (as per provision in the KP Urban Mass Transit Act</w:t>
      </w:r>
      <w:r>
        <w:rPr>
          <w:spacing w:val="-1"/>
          <w:sz w:val="22"/>
        </w:rPr>
        <w:t> </w:t>
      </w:r>
      <w:r>
        <w:rPr>
          <w:sz w:val="22"/>
        </w:rPr>
        <w:t>2016).</w:t>
      </w:r>
    </w:p>
    <w:p>
      <w:pPr>
        <w:pStyle w:val="ListParagraph"/>
        <w:numPr>
          <w:ilvl w:val="0"/>
          <w:numId w:val="59"/>
        </w:numPr>
        <w:tabs>
          <w:tab w:pos="868" w:val="left" w:leader="none"/>
          <w:tab w:pos="869" w:val="left" w:leader="none"/>
        </w:tabs>
        <w:spacing w:line="240" w:lineRule="auto" w:before="3" w:after="0"/>
        <w:ind w:left="868" w:right="0" w:hanging="720"/>
        <w:jc w:val="left"/>
        <w:rPr>
          <w:sz w:val="22"/>
        </w:rPr>
      </w:pPr>
      <w:r>
        <w:rPr>
          <w:sz w:val="22"/>
        </w:rPr>
        <w:t>Conduct training for GAP implementation and gender policy for the Project</w:t>
      </w:r>
      <w:r>
        <w:rPr>
          <w:spacing w:val="-21"/>
          <w:sz w:val="22"/>
        </w:rPr>
        <w:t> </w:t>
      </w:r>
      <w:r>
        <w:rPr>
          <w:sz w:val="22"/>
        </w:rPr>
        <w:t>staff.</w:t>
      </w:r>
    </w:p>
    <w:p>
      <w:pPr>
        <w:pStyle w:val="ListParagraph"/>
        <w:numPr>
          <w:ilvl w:val="0"/>
          <w:numId w:val="59"/>
        </w:numPr>
        <w:tabs>
          <w:tab w:pos="868" w:val="left" w:leader="none"/>
          <w:tab w:pos="869" w:val="left" w:leader="none"/>
        </w:tabs>
        <w:spacing w:line="276" w:lineRule="auto" w:before="36" w:after="0"/>
        <w:ind w:left="868" w:right="475" w:hanging="720"/>
        <w:jc w:val="left"/>
        <w:rPr>
          <w:sz w:val="22"/>
        </w:rPr>
      </w:pPr>
      <w:r>
        <w:rPr>
          <w:sz w:val="22"/>
        </w:rPr>
        <w:t>Support the implementation of gender responsive recruitment strategies to hire</w:t>
      </w:r>
      <w:r>
        <w:rPr>
          <w:spacing w:val="-27"/>
          <w:sz w:val="22"/>
        </w:rPr>
        <w:t> </w:t>
      </w:r>
      <w:r>
        <w:rPr>
          <w:sz w:val="22"/>
        </w:rPr>
        <w:t>women staff for Sindh Mass Transit Authority, including new graduates, and people from vulnerable and minority groups including</w:t>
      </w:r>
      <w:r>
        <w:rPr>
          <w:spacing w:val="-15"/>
          <w:sz w:val="22"/>
        </w:rPr>
        <w:t> </w:t>
      </w:r>
      <w:r>
        <w:rPr>
          <w:sz w:val="22"/>
        </w:rPr>
        <w:t>transgender.</w:t>
      </w:r>
    </w:p>
    <w:p>
      <w:pPr>
        <w:pStyle w:val="ListParagraph"/>
        <w:numPr>
          <w:ilvl w:val="0"/>
          <w:numId w:val="59"/>
        </w:numPr>
        <w:tabs>
          <w:tab w:pos="868" w:val="left" w:leader="none"/>
          <w:tab w:pos="869" w:val="left" w:leader="none"/>
        </w:tabs>
        <w:spacing w:line="276" w:lineRule="auto" w:before="2" w:after="0"/>
        <w:ind w:left="868" w:right="704" w:hanging="720"/>
        <w:jc w:val="left"/>
        <w:rPr>
          <w:sz w:val="22"/>
        </w:rPr>
      </w:pPr>
      <w:r>
        <w:rPr>
          <w:sz w:val="22"/>
        </w:rPr>
        <w:t>Design and implement a special initiative to recruit and provide training to women as drivers and bus conductors to have the skills to operate BRT buses. Repeat special initiative each year to reach</w:t>
      </w:r>
      <w:r>
        <w:rPr>
          <w:spacing w:val="-12"/>
          <w:sz w:val="22"/>
        </w:rPr>
        <w:t> </w:t>
      </w:r>
      <w:r>
        <w:rPr>
          <w:sz w:val="22"/>
        </w:rPr>
        <w:t>target.</w:t>
      </w:r>
    </w:p>
    <w:p>
      <w:pPr>
        <w:pStyle w:val="ListParagraph"/>
        <w:numPr>
          <w:ilvl w:val="0"/>
          <w:numId w:val="59"/>
        </w:numPr>
        <w:tabs>
          <w:tab w:pos="868" w:val="left" w:leader="none"/>
          <w:tab w:pos="869" w:val="left" w:leader="none"/>
        </w:tabs>
        <w:spacing w:line="273" w:lineRule="auto" w:before="0" w:after="0"/>
        <w:ind w:left="868" w:right="297" w:hanging="720"/>
        <w:jc w:val="left"/>
        <w:rPr>
          <w:sz w:val="22"/>
        </w:rPr>
      </w:pPr>
      <w:r>
        <w:rPr>
          <w:sz w:val="22"/>
        </w:rPr>
        <w:t>Conduct public campaigns on the quality and safety of the BRT system, encouraging the public, especially women, to use</w:t>
      </w:r>
      <w:r>
        <w:rPr>
          <w:spacing w:val="-11"/>
          <w:sz w:val="22"/>
        </w:rPr>
        <w:t> </w:t>
      </w:r>
      <w:r>
        <w:rPr>
          <w:sz w:val="22"/>
        </w:rPr>
        <w:t>it.</w:t>
      </w:r>
    </w:p>
    <w:p>
      <w:pPr>
        <w:pStyle w:val="ListParagraph"/>
        <w:numPr>
          <w:ilvl w:val="0"/>
          <w:numId w:val="59"/>
        </w:numPr>
        <w:tabs>
          <w:tab w:pos="868" w:val="left" w:leader="none"/>
          <w:tab w:pos="869" w:val="left" w:leader="none"/>
        </w:tabs>
        <w:spacing w:line="276" w:lineRule="auto" w:before="6" w:after="0"/>
        <w:ind w:left="868" w:right="194" w:hanging="720"/>
        <w:jc w:val="left"/>
        <w:rPr>
          <w:sz w:val="22"/>
        </w:rPr>
      </w:pPr>
      <w:r>
        <w:rPr>
          <w:sz w:val="22"/>
        </w:rPr>
        <w:t>Conduct public campaign to raise awareness about safety and security, gender-based violence, including all forms of harassment against women, elderly, children, persons</w:t>
      </w:r>
      <w:r>
        <w:rPr>
          <w:spacing w:val="-29"/>
          <w:sz w:val="22"/>
        </w:rPr>
        <w:t> </w:t>
      </w:r>
      <w:r>
        <w:rPr>
          <w:sz w:val="22"/>
        </w:rPr>
        <w:t>with disability, and minorities such as transgender and people of other ethnic or religious backgrounds. Coordinate with local NGOs with similar concerns and outreach</w:t>
      </w:r>
      <w:r>
        <w:rPr>
          <w:spacing w:val="-24"/>
          <w:sz w:val="22"/>
        </w:rPr>
        <w:t> </w:t>
      </w:r>
      <w:r>
        <w:rPr>
          <w:sz w:val="22"/>
        </w:rPr>
        <w:t>activities.</w:t>
      </w:r>
    </w:p>
    <w:p>
      <w:pPr>
        <w:pStyle w:val="ListParagraph"/>
        <w:numPr>
          <w:ilvl w:val="0"/>
          <w:numId w:val="59"/>
        </w:numPr>
        <w:tabs>
          <w:tab w:pos="868" w:val="left" w:leader="none"/>
          <w:tab w:pos="869" w:val="left" w:leader="none"/>
        </w:tabs>
        <w:spacing w:line="276" w:lineRule="auto" w:before="3" w:after="0"/>
        <w:ind w:left="868" w:right="507" w:hanging="720"/>
        <w:jc w:val="left"/>
        <w:rPr>
          <w:sz w:val="22"/>
        </w:rPr>
      </w:pPr>
      <w:r>
        <w:rPr>
          <w:sz w:val="22"/>
        </w:rPr>
        <w:t>Coordinate with Public (including Women Development Department and Sindh Commission on the Status of Women) and Private Sector entities to support women’s access to economic opportunities especially through Yellow BRT Corridor project. Explore options of identifying women owned enterprises through partners’ support</w:t>
      </w:r>
      <w:r>
        <w:rPr>
          <w:spacing w:val="-20"/>
          <w:sz w:val="22"/>
        </w:rPr>
        <w:t> </w:t>
      </w:r>
      <w:r>
        <w:rPr>
          <w:sz w:val="22"/>
        </w:rPr>
        <w:t>and</w:t>
      </w:r>
    </w:p>
    <w:p>
      <w:pPr>
        <w:spacing w:after="0" w:line="276" w:lineRule="auto"/>
        <w:jc w:val="left"/>
        <w:rPr>
          <w:sz w:val="22"/>
        </w:rPr>
        <w:sectPr>
          <w:pgSz w:w="11910" w:h="16840"/>
          <w:pgMar w:header="583" w:footer="575" w:top="840" w:bottom="760" w:left="860" w:right="1280"/>
        </w:sectPr>
      </w:pPr>
    </w:p>
    <w:p>
      <w:pPr>
        <w:pStyle w:val="BodyText"/>
        <w:rPr>
          <w:sz w:val="20"/>
        </w:rPr>
      </w:pPr>
    </w:p>
    <w:p>
      <w:pPr>
        <w:pStyle w:val="BodyText"/>
        <w:rPr>
          <w:sz w:val="20"/>
        </w:rPr>
      </w:pPr>
    </w:p>
    <w:p>
      <w:pPr>
        <w:pStyle w:val="BodyText"/>
        <w:spacing w:before="10"/>
        <w:rPr>
          <w:sz w:val="27"/>
        </w:rPr>
      </w:pPr>
    </w:p>
    <w:p>
      <w:pPr>
        <w:pStyle w:val="BodyText"/>
        <w:spacing w:line="276" w:lineRule="auto" w:before="93"/>
        <w:ind w:left="868" w:right="444"/>
      </w:pPr>
      <w:r>
        <w:rPr/>
        <w:t>encouraging them to start/extend their businesses across different Corridors in Karachi including yellow Corridor project.</w:t>
      </w:r>
    </w:p>
    <w:p>
      <w:pPr>
        <w:pStyle w:val="ListParagraph"/>
        <w:numPr>
          <w:ilvl w:val="0"/>
          <w:numId w:val="59"/>
        </w:numPr>
        <w:tabs>
          <w:tab w:pos="868" w:val="left" w:leader="none"/>
          <w:tab w:pos="869" w:val="left" w:leader="none"/>
        </w:tabs>
        <w:spacing w:line="276" w:lineRule="auto" w:before="0" w:after="0"/>
        <w:ind w:left="868" w:right="431" w:hanging="720"/>
        <w:jc w:val="left"/>
        <w:rPr>
          <w:sz w:val="22"/>
        </w:rPr>
      </w:pPr>
      <w:r>
        <w:rPr>
          <w:sz w:val="22"/>
        </w:rPr>
        <w:t>Conduct Gender (including gender-based violence) trainings and follow up sessions for bus drivers and conductors operating on different BRT routes especially Yellow BRT Corridor.</w:t>
      </w:r>
    </w:p>
    <w:p>
      <w:pPr>
        <w:pStyle w:val="ListParagraph"/>
        <w:numPr>
          <w:ilvl w:val="0"/>
          <w:numId w:val="59"/>
        </w:numPr>
        <w:tabs>
          <w:tab w:pos="868" w:val="left" w:leader="none"/>
          <w:tab w:pos="869" w:val="left" w:leader="none"/>
        </w:tabs>
        <w:spacing w:line="276" w:lineRule="auto" w:before="0" w:after="0"/>
        <w:ind w:left="868" w:right="385" w:hanging="720"/>
        <w:jc w:val="left"/>
        <w:rPr>
          <w:sz w:val="22"/>
        </w:rPr>
      </w:pPr>
      <w:r>
        <w:rPr>
          <w:sz w:val="22"/>
        </w:rPr>
        <w:t>Train staff with direct passenger interaction (e.g. station staff, ticket staff, bus drivers, guards) on passenger management on stations and buses, priority passengers and the timely and proper handling of sexual harassment and other crimes that threaten women passengers’</w:t>
      </w:r>
      <w:r>
        <w:rPr>
          <w:spacing w:val="-2"/>
          <w:sz w:val="22"/>
        </w:rPr>
        <w:t> </w:t>
      </w:r>
      <w:r>
        <w:rPr>
          <w:sz w:val="22"/>
        </w:rPr>
        <w:t>security.</w:t>
      </w:r>
    </w:p>
    <w:p>
      <w:pPr>
        <w:pStyle w:val="ListParagraph"/>
        <w:numPr>
          <w:ilvl w:val="0"/>
          <w:numId w:val="59"/>
        </w:numPr>
        <w:tabs>
          <w:tab w:pos="868" w:val="left" w:leader="none"/>
          <w:tab w:pos="869" w:val="left" w:leader="none"/>
        </w:tabs>
        <w:spacing w:line="276" w:lineRule="auto" w:before="0" w:after="0"/>
        <w:ind w:left="868" w:right="460" w:hanging="720"/>
        <w:jc w:val="left"/>
        <w:rPr>
          <w:sz w:val="22"/>
        </w:rPr>
      </w:pPr>
      <w:r>
        <w:rPr>
          <w:sz w:val="22"/>
        </w:rPr>
        <w:t>Support the development of campaign messages on sexual harassment on transport, facilitate in designing messages to be displayed in buses and bus stops on BRT routes especially on yellow</w:t>
      </w:r>
      <w:r>
        <w:rPr>
          <w:spacing w:val="-10"/>
          <w:sz w:val="22"/>
        </w:rPr>
        <w:t> </w:t>
      </w:r>
      <w:r>
        <w:rPr>
          <w:sz w:val="22"/>
        </w:rPr>
        <w:t>Corridor.</w:t>
      </w:r>
    </w:p>
    <w:p>
      <w:pPr>
        <w:pStyle w:val="ListParagraph"/>
        <w:numPr>
          <w:ilvl w:val="0"/>
          <w:numId w:val="59"/>
        </w:numPr>
        <w:tabs>
          <w:tab w:pos="868" w:val="left" w:leader="none"/>
          <w:tab w:pos="869" w:val="left" w:leader="none"/>
        </w:tabs>
        <w:spacing w:line="276" w:lineRule="auto" w:before="3" w:after="0"/>
        <w:ind w:left="868" w:right="449" w:hanging="720"/>
        <w:jc w:val="left"/>
        <w:rPr>
          <w:sz w:val="22"/>
        </w:rPr>
      </w:pPr>
      <w:r>
        <w:rPr>
          <w:sz w:val="22"/>
        </w:rPr>
        <w:t>Support and guide the GBV service provider in establishing a GBV grievance redress mechanism and promote grievance/complaints and compliments procedures as part of customer service to deal confidentially with GBV complaints including harassment from women and girls, boys, minorities</w:t>
      </w:r>
      <w:r>
        <w:rPr>
          <w:spacing w:val="-18"/>
          <w:sz w:val="22"/>
        </w:rPr>
        <w:t> </w:t>
      </w:r>
      <w:r>
        <w:rPr>
          <w:sz w:val="22"/>
        </w:rPr>
        <w:t>etc.</w:t>
      </w:r>
    </w:p>
    <w:p>
      <w:pPr>
        <w:pStyle w:val="ListParagraph"/>
        <w:numPr>
          <w:ilvl w:val="0"/>
          <w:numId w:val="59"/>
        </w:numPr>
        <w:tabs>
          <w:tab w:pos="868" w:val="left" w:leader="none"/>
          <w:tab w:pos="869" w:val="left" w:leader="none"/>
        </w:tabs>
        <w:spacing w:line="240" w:lineRule="auto" w:before="3" w:after="0"/>
        <w:ind w:left="868" w:right="0" w:hanging="720"/>
        <w:jc w:val="left"/>
        <w:rPr>
          <w:sz w:val="22"/>
        </w:rPr>
      </w:pPr>
      <w:r>
        <w:rPr>
          <w:sz w:val="22"/>
        </w:rPr>
        <w:t>Participate in regular meetings organized by GBV Service</w:t>
      </w:r>
      <w:r>
        <w:rPr>
          <w:spacing w:val="-20"/>
          <w:sz w:val="22"/>
        </w:rPr>
        <w:t> </w:t>
      </w:r>
      <w:r>
        <w:rPr>
          <w:sz w:val="22"/>
        </w:rPr>
        <w:t>Provider.</w:t>
      </w:r>
    </w:p>
    <w:p>
      <w:pPr>
        <w:pStyle w:val="ListParagraph"/>
        <w:numPr>
          <w:ilvl w:val="0"/>
          <w:numId w:val="59"/>
        </w:numPr>
        <w:tabs>
          <w:tab w:pos="868" w:val="left" w:leader="none"/>
          <w:tab w:pos="869" w:val="left" w:leader="none"/>
        </w:tabs>
        <w:spacing w:line="276" w:lineRule="auto" w:before="36" w:after="0"/>
        <w:ind w:left="868" w:right="247" w:hanging="720"/>
        <w:jc w:val="left"/>
        <w:rPr>
          <w:sz w:val="22"/>
        </w:rPr>
      </w:pPr>
      <w:r>
        <w:rPr>
          <w:sz w:val="22"/>
        </w:rPr>
        <w:t>Establish system of recording instances of harassment of any passenger/or any other GBV incident on yellow corridor, whether reported, observed or directly experienced, and its location &amp; actions taken against offenders/how it was</w:t>
      </w:r>
      <w:r>
        <w:rPr>
          <w:spacing w:val="-28"/>
          <w:sz w:val="22"/>
        </w:rPr>
        <w:t> </w:t>
      </w:r>
      <w:r>
        <w:rPr>
          <w:sz w:val="22"/>
        </w:rPr>
        <w:t>resolved.</w:t>
      </w:r>
    </w:p>
    <w:p>
      <w:pPr>
        <w:pStyle w:val="ListParagraph"/>
        <w:numPr>
          <w:ilvl w:val="0"/>
          <w:numId w:val="59"/>
        </w:numPr>
        <w:tabs>
          <w:tab w:pos="868" w:val="left" w:leader="none"/>
          <w:tab w:pos="869" w:val="left" w:leader="none"/>
        </w:tabs>
        <w:spacing w:line="240" w:lineRule="auto" w:before="0" w:after="0"/>
        <w:ind w:left="868" w:right="0" w:hanging="720"/>
        <w:jc w:val="left"/>
        <w:rPr>
          <w:sz w:val="22"/>
        </w:rPr>
      </w:pPr>
      <w:r>
        <w:rPr>
          <w:sz w:val="22"/>
        </w:rPr>
        <w:t>Any other task relevant to the position and as per</w:t>
      </w:r>
      <w:r>
        <w:rPr>
          <w:spacing w:val="-14"/>
          <w:sz w:val="22"/>
        </w:rPr>
        <w:t> </w:t>
      </w:r>
      <w:r>
        <w:rPr>
          <w:sz w:val="22"/>
        </w:rPr>
        <w:t>requirement.</w:t>
      </w:r>
    </w:p>
    <w:p>
      <w:pPr>
        <w:pStyle w:val="BodyText"/>
        <w:rPr>
          <w:sz w:val="24"/>
        </w:rPr>
      </w:pPr>
    </w:p>
    <w:p>
      <w:pPr>
        <w:pStyle w:val="BodyText"/>
        <w:spacing w:before="1"/>
      </w:pPr>
    </w:p>
    <w:p>
      <w:pPr>
        <w:pStyle w:val="Heading3"/>
        <w:spacing w:before="1"/>
        <w:ind w:left="868"/>
        <w:jc w:val="left"/>
      </w:pPr>
      <w:r>
        <w:rPr>
          <w:u w:val="thick"/>
        </w:rPr>
        <w:t>Position Requirements</w:t>
      </w:r>
    </w:p>
    <w:p>
      <w:pPr>
        <w:pStyle w:val="BodyText"/>
        <w:spacing w:before="9"/>
        <w:rPr>
          <w:b/>
          <w:sz w:val="20"/>
        </w:rPr>
      </w:pPr>
    </w:p>
    <w:p>
      <w:pPr>
        <w:pStyle w:val="BodyText"/>
        <w:ind w:left="868"/>
      </w:pPr>
      <w:r>
        <w:rPr>
          <w:u w:val="single"/>
        </w:rPr>
        <w:t>Qualification</w:t>
      </w:r>
    </w:p>
    <w:p>
      <w:pPr>
        <w:pStyle w:val="BodyText"/>
        <w:spacing w:before="4"/>
        <w:rPr>
          <w:sz w:val="20"/>
        </w:rPr>
      </w:pPr>
    </w:p>
    <w:p>
      <w:pPr>
        <w:pStyle w:val="ListParagraph"/>
        <w:numPr>
          <w:ilvl w:val="1"/>
          <w:numId w:val="59"/>
        </w:numPr>
        <w:tabs>
          <w:tab w:pos="1948" w:val="left" w:leader="none"/>
          <w:tab w:pos="1949" w:val="left" w:leader="none"/>
        </w:tabs>
        <w:spacing w:line="273" w:lineRule="auto" w:before="0" w:after="0"/>
        <w:ind w:left="1948" w:right="491" w:hanging="720"/>
        <w:jc w:val="left"/>
        <w:rPr>
          <w:sz w:val="22"/>
        </w:rPr>
      </w:pPr>
      <w:r>
        <w:rPr>
          <w:sz w:val="22"/>
        </w:rPr>
        <w:t>Master's Degree in Social Sciences, Gender and Development or</w:t>
      </w:r>
      <w:r>
        <w:rPr>
          <w:spacing w:val="-19"/>
          <w:sz w:val="22"/>
        </w:rPr>
        <w:t> </w:t>
      </w:r>
      <w:r>
        <w:rPr>
          <w:sz w:val="22"/>
        </w:rPr>
        <w:t>Women’s Studies, Management or related</w:t>
      </w:r>
      <w:r>
        <w:rPr>
          <w:spacing w:val="-9"/>
          <w:sz w:val="22"/>
        </w:rPr>
        <w:t> </w:t>
      </w:r>
      <w:r>
        <w:rPr>
          <w:sz w:val="22"/>
        </w:rPr>
        <w:t>field.</w:t>
      </w:r>
    </w:p>
    <w:p>
      <w:pPr>
        <w:pStyle w:val="ListParagraph"/>
        <w:numPr>
          <w:ilvl w:val="1"/>
          <w:numId w:val="59"/>
        </w:numPr>
        <w:tabs>
          <w:tab w:pos="1948" w:val="left" w:leader="none"/>
          <w:tab w:pos="1949" w:val="left" w:leader="none"/>
        </w:tabs>
        <w:spacing w:line="276" w:lineRule="auto" w:before="5" w:after="0"/>
        <w:ind w:left="1948" w:right="190" w:hanging="720"/>
        <w:jc w:val="left"/>
        <w:rPr>
          <w:sz w:val="22"/>
        </w:rPr>
      </w:pPr>
      <w:r>
        <w:rPr>
          <w:sz w:val="22"/>
        </w:rPr>
        <w:t>Specialized Training – Gender Awareness/Sensitization, Gender Based Violence, Community Engagement, Strategies Development or any other</w:t>
      </w:r>
      <w:r>
        <w:rPr>
          <w:spacing w:val="-26"/>
          <w:sz w:val="22"/>
        </w:rPr>
        <w:t> </w:t>
      </w:r>
      <w:r>
        <w:rPr>
          <w:sz w:val="22"/>
        </w:rPr>
        <w:t>skills considered relevant for the</w:t>
      </w:r>
      <w:r>
        <w:rPr>
          <w:spacing w:val="-12"/>
          <w:sz w:val="22"/>
        </w:rPr>
        <w:t> </w:t>
      </w:r>
      <w:r>
        <w:rPr>
          <w:sz w:val="22"/>
        </w:rPr>
        <w:t>position.</w:t>
      </w:r>
    </w:p>
    <w:p>
      <w:pPr>
        <w:pStyle w:val="ListParagraph"/>
        <w:numPr>
          <w:ilvl w:val="1"/>
          <w:numId w:val="59"/>
        </w:numPr>
        <w:tabs>
          <w:tab w:pos="1948" w:val="left" w:leader="none"/>
          <w:tab w:pos="1949" w:val="left" w:leader="none"/>
        </w:tabs>
        <w:spacing w:line="276" w:lineRule="auto" w:before="0" w:after="0"/>
        <w:ind w:left="1948" w:right="883" w:hanging="720"/>
        <w:jc w:val="left"/>
        <w:rPr>
          <w:sz w:val="22"/>
        </w:rPr>
      </w:pPr>
      <w:r>
        <w:rPr>
          <w:sz w:val="22"/>
        </w:rPr>
        <w:t>Active affiliations – Membership of Recognised Industry or Professional Organisations.</w:t>
      </w:r>
    </w:p>
    <w:p>
      <w:pPr>
        <w:pStyle w:val="BodyText"/>
        <w:spacing w:before="2"/>
        <w:ind w:left="868"/>
      </w:pPr>
      <w:r>
        <w:rPr>
          <w:u w:val="single"/>
        </w:rPr>
        <w:t>Experience</w:t>
      </w:r>
    </w:p>
    <w:p>
      <w:pPr>
        <w:pStyle w:val="BodyText"/>
        <w:spacing w:before="3"/>
        <w:rPr>
          <w:sz w:val="20"/>
        </w:rPr>
      </w:pPr>
    </w:p>
    <w:p>
      <w:pPr>
        <w:pStyle w:val="ListParagraph"/>
        <w:numPr>
          <w:ilvl w:val="0"/>
          <w:numId w:val="60"/>
        </w:numPr>
        <w:tabs>
          <w:tab w:pos="1588" w:val="left" w:leader="none"/>
          <w:tab w:pos="1589" w:val="left" w:leader="none"/>
        </w:tabs>
        <w:spacing w:line="276" w:lineRule="auto" w:before="0" w:after="0"/>
        <w:ind w:left="1588" w:right="228" w:hanging="360"/>
        <w:jc w:val="left"/>
        <w:rPr>
          <w:sz w:val="22"/>
        </w:rPr>
      </w:pPr>
      <w:r>
        <w:rPr>
          <w:sz w:val="22"/>
        </w:rPr>
        <w:t>At least 5 years of post-qualification relevant experience including a minimum of 2 years of experience in a similar role is highly</w:t>
      </w:r>
      <w:r>
        <w:rPr>
          <w:spacing w:val="-16"/>
          <w:sz w:val="22"/>
        </w:rPr>
        <w:t> </w:t>
      </w:r>
      <w:r>
        <w:rPr>
          <w:sz w:val="22"/>
        </w:rPr>
        <w:t>desirable.</w:t>
      </w:r>
    </w:p>
    <w:p>
      <w:pPr>
        <w:pStyle w:val="ListParagraph"/>
        <w:numPr>
          <w:ilvl w:val="0"/>
          <w:numId w:val="60"/>
        </w:numPr>
        <w:tabs>
          <w:tab w:pos="1588" w:val="left" w:leader="none"/>
          <w:tab w:pos="1589" w:val="left" w:leader="none"/>
        </w:tabs>
        <w:spacing w:line="240" w:lineRule="auto" w:before="197" w:after="0"/>
        <w:ind w:left="1588" w:right="0" w:hanging="360"/>
        <w:jc w:val="left"/>
        <w:rPr>
          <w:sz w:val="22"/>
        </w:rPr>
      </w:pPr>
      <w:r>
        <w:rPr>
          <w:sz w:val="22"/>
        </w:rPr>
        <w:t>Core</w:t>
      </w:r>
      <w:r>
        <w:rPr>
          <w:spacing w:val="-3"/>
          <w:sz w:val="22"/>
        </w:rPr>
        <w:t> </w:t>
      </w:r>
      <w:r>
        <w:rPr>
          <w:sz w:val="22"/>
        </w:rPr>
        <w:t>Competencies</w:t>
      </w:r>
    </w:p>
    <w:p>
      <w:pPr>
        <w:pStyle w:val="ListParagraph"/>
        <w:numPr>
          <w:ilvl w:val="1"/>
          <w:numId w:val="59"/>
        </w:numPr>
        <w:tabs>
          <w:tab w:pos="1948" w:val="left" w:leader="none"/>
          <w:tab w:pos="1949" w:val="left" w:leader="none"/>
        </w:tabs>
        <w:spacing w:line="273" w:lineRule="auto" w:before="38" w:after="0"/>
        <w:ind w:left="1948" w:right="156" w:hanging="720"/>
        <w:jc w:val="left"/>
        <w:rPr>
          <w:sz w:val="22"/>
        </w:rPr>
      </w:pPr>
      <w:r>
        <w:rPr>
          <w:sz w:val="22"/>
        </w:rPr>
        <w:t>Promotes sharing of knowledge and experience, and actively works towards continued personal learning and</w:t>
      </w:r>
      <w:r>
        <w:rPr>
          <w:spacing w:val="-12"/>
          <w:sz w:val="22"/>
        </w:rPr>
        <w:t> </w:t>
      </w:r>
      <w:r>
        <w:rPr>
          <w:sz w:val="22"/>
        </w:rPr>
        <w:t>development;</w:t>
      </w:r>
    </w:p>
    <w:p>
      <w:pPr>
        <w:pStyle w:val="ListParagraph"/>
        <w:numPr>
          <w:ilvl w:val="1"/>
          <w:numId w:val="59"/>
        </w:numPr>
        <w:tabs>
          <w:tab w:pos="1948" w:val="left" w:leader="none"/>
          <w:tab w:pos="1949" w:val="left" w:leader="none"/>
        </w:tabs>
        <w:spacing w:line="273" w:lineRule="auto" w:before="3" w:after="0"/>
        <w:ind w:left="1948" w:right="159" w:hanging="720"/>
        <w:jc w:val="left"/>
        <w:rPr>
          <w:sz w:val="22"/>
        </w:rPr>
      </w:pPr>
      <w:r>
        <w:rPr>
          <w:sz w:val="22"/>
        </w:rPr>
        <w:t>Displays cultural, gender, religion, race, nationality and age sensitivity and adaptability;</w:t>
      </w:r>
    </w:p>
    <w:p>
      <w:pPr>
        <w:pStyle w:val="ListParagraph"/>
        <w:numPr>
          <w:ilvl w:val="1"/>
          <w:numId w:val="59"/>
        </w:numPr>
        <w:tabs>
          <w:tab w:pos="1948" w:val="left" w:leader="none"/>
          <w:tab w:pos="1949" w:val="left" w:leader="none"/>
        </w:tabs>
        <w:spacing w:line="240" w:lineRule="auto" w:before="5" w:after="0"/>
        <w:ind w:left="1948" w:right="0" w:hanging="720"/>
        <w:jc w:val="left"/>
        <w:rPr>
          <w:sz w:val="22"/>
        </w:rPr>
      </w:pPr>
      <w:r>
        <w:rPr>
          <w:sz w:val="22"/>
        </w:rPr>
        <w:t>Good practical knowledge of inter-disciplinary development</w:t>
      </w:r>
      <w:r>
        <w:rPr>
          <w:spacing w:val="-17"/>
          <w:sz w:val="22"/>
        </w:rPr>
        <w:t> </w:t>
      </w:r>
      <w:r>
        <w:rPr>
          <w:sz w:val="22"/>
        </w:rPr>
        <w:t>issues;</w:t>
      </w:r>
    </w:p>
    <w:p>
      <w:pPr>
        <w:pStyle w:val="ListParagraph"/>
        <w:numPr>
          <w:ilvl w:val="1"/>
          <w:numId w:val="59"/>
        </w:numPr>
        <w:tabs>
          <w:tab w:pos="1948" w:val="left" w:leader="none"/>
          <w:tab w:pos="1949" w:val="left" w:leader="none"/>
        </w:tabs>
        <w:spacing w:line="273" w:lineRule="auto" w:before="36" w:after="0"/>
        <w:ind w:left="1948" w:right="159" w:hanging="720"/>
        <w:jc w:val="left"/>
        <w:rPr>
          <w:sz w:val="22"/>
        </w:rPr>
      </w:pPr>
      <w:r>
        <w:rPr>
          <w:sz w:val="22"/>
        </w:rPr>
        <w:t>Ability to go beyond established procedures and models, propose new approaches which expand the range of</w:t>
      </w:r>
      <w:r>
        <w:rPr>
          <w:spacing w:val="-10"/>
          <w:sz w:val="22"/>
        </w:rPr>
        <w:t> </w:t>
      </w:r>
      <w:r>
        <w:rPr>
          <w:sz w:val="22"/>
        </w:rPr>
        <w:t>projects;</w:t>
      </w:r>
    </w:p>
    <w:p>
      <w:pPr>
        <w:spacing w:after="0" w:line="273" w:lineRule="auto"/>
        <w:jc w:val="left"/>
        <w:rPr>
          <w:sz w:val="22"/>
        </w:rPr>
        <w:sectPr>
          <w:pgSz w:w="11910" w:h="16840"/>
          <w:pgMar w:header="583" w:footer="575" w:top="840" w:bottom="760" w:left="860" w:right="1280"/>
        </w:sectPr>
      </w:pPr>
    </w:p>
    <w:p>
      <w:pPr>
        <w:pStyle w:val="BodyText"/>
        <w:rPr>
          <w:sz w:val="20"/>
        </w:rPr>
      </w:pPr>
    </w:p>
    <w:p>
      <w:pPr>
        <w:pStyle w:val="BodyText"/>
        <w:rPr>
          <w:sz w:val="20"/>
        </w:rPr>
      </w:pPr>
    </w:p>
    <w:p>
      <w:pPr>
        <w:pStyle w:val="BodyText"/>
        <w:spacing w:before="10"/>
        <w:rPr>
          <w:sz w:val="27"/>
        </w:rPr>
      </w:pPr>
    </w:p>
    <w:p>
      <w:pPr>
        <w:pStyle w:val="ListParagraph"/>
        <w:numPr>
          <w:ilvl w:val="1"/>
          <w:numId w:val="59"/>
        </w:numPr>
        <w:tabs>
          <w:tab w:pos="1948" w:val="left" w:leader="none"/>
          <w:tab w:pos="1949" w:val="left" w:leader="none"/>
        </w:tabs>
        <w:spacing w:line="273" w:lineRule="auto" w:before="93" w:after="0"/>
        <w:ind w:left="1948" w:right="153" w:hanging="720"/>
        <w:jc w:val="left"/>
        <w:rPr>
          <w:sz w:val="22"/>
        </w:rPr>
      </w:pPr>
      <w:r>
        <w:rPr>
          <w:sz w:val="22"/>
        </w:rPr>
        <w:t>Builds strong relationships with all stakeholders, focuses on impact and results and responds positively to critical</w:t>
      </w:r>
      <w:r>
        <w:rPr>
          <w:spacing w:val="-14"/>
          <w:sz w:val="22"/>
        </w:rPr>
        <w:t> </w:t>
      </w:r>
      <w:r>
        <w:rPr>
          <w:sz w:val="22"/>
        </w:rPr>
        <w:t>feedback;</w:t>
      </w:r>
    </w:p>
    <w:p>
      <w:pPr>
        <w:pStyle w:val="ListParagraph"/>
        <w:numPr>
          <w:ilvl w:val="1"/>
          <w:numId w:val="59"/>
        </w:numPr>
        <w:tabs>
          <w:tab w:pos="1948" w:val="left" w:leader="none"/>
          <w:tab w:pos="1949" w:val="left" w:leader="none"/>
        </w:tabs>
        <w:spacing w:line="240" w:lineRule="auto" w:before="2" w:after="0"/>
        <w:ind w:left="1948" w:right="0" w:hanging="720"/>
        <w:jc w:val="left"/>
        <w:rPr>
          <w:sz w:val="22"/>
        </w:rPr>
      </w:pPr>
      <w:r>
        <w:rPr>
          <w:sz w:val="22"/>
        </w:rPr>
        <w:t>Consistently</w:t>
      </w:r>
      <w:r>
        <w:rPr>
          <w:spacing w:val="-7"/>
          <w:sz w:val="22"/>
        </w:rPr>
        <w:t> </w:t>
      </w:r>
      <w:r>
        <w:rPr>
          <w:sz w:val="22"/>
        </w:rPr>
        <w:t>approaches</w:t>
      </w:r>
      <w:r>
        <w:rPr>
          <w:spacing w:val="-7"/>
          <w:sz w:val="22"/>
        </w:rPr>
        <w:t> </w:t>
      </w:r>
      <w:r>
        <w:rPr>
          <w:sz w:val="22"/>
        </w:rPr>
        <w:t>work</w:t>
      </w:r>
      <w:r>
        <w:rPr>
          <w:spacing w:val="-2"/>
          <w:sz w:val="22"/>
        </w:rPr>
        <w:t> </w:t>
      </w:r>
      <w:r>
        <w:rPr>
          <w:sz w:val="22"/>
        </w:rPr>
        <w:t>with</w:t>
      </w:r>
      <w:r>
        <w:rPr>
          <w:spacing w:val="-5"/>
          <w:sz w:val="22"/>
        </w:rPr>
        <w:t> </w:t>
      </w:r>
      <w:r>
        <w:rPr>
          <w:sz w:val="22"/>
        </w:rPr>
        <w:t>energy</w:t>
      </w:r>
      <w:r>
        <w:rPr>
          <w:spacing w:val="-7"/>
          <w:sz w:val="22"/>
        </w:rPr>
        <w:t> </w:t>
      </w:r>
      <w:r>
        <w:rPr>
          <w:sz w:val="22"/>
        </w:rPr>
        <w:t>and</w:t>
      </w:r>
      <w:r>
        <w:rPr>
          <w:spacing w:val="-5"/>
          <w:sz w:val="22"/>
        </w:rPr>
        <w:t> </w:t>
      </w:r>
      <w:r>
        <w:rPr>
          <w:sz w:val="22"/>
        </w:rPr>
        <w:t>a</w:t>
      </w:r>
      <w:r>
        <w:rPr>
          <w:spacing w:val="-10"/>
          <w:sz w:val="22"/>
        </w:rPr>
        <w:t> </w:t>
      </w:r>
      <w:r>
        <w:rPr>
          <w:sz w:val="22"/>
        </w:rPr>
        <w:t>positive,</w:t>
      </w:r>
      <w:r>
        <w:rPr>
          <w:spacing w:val="-4"/>
          <w:sz w:val="22"/>
        </w:rPr>
        <w:t> </w:t>
      </w:r>
      <w:r>
        <w:rPr>
          <w:sz w:val="22"/>
        </w:rPr>
        <w:t>constructive</w:t>
      </w:r>
      <w:r>
        <w:rPr>
          <w:spacing w:val="-5"/>
          <w:sz w:val="22"/>
        </w:rPr>
        <w:t> </w:t>
      </w:r>
      <w:r>
        <w:rPr>
          <w:sz w:val="22"/>
        </w:rPr>
        <w:t>attitude;</w:t>
      </w:r>
    </w:p>
    <w:p>
      <w:pPr>
        <w:pStyle w:val="ListParagraph"/>
        <w:numPr>
          <w:ilvl w:val="1"/>
          <w:numId w:val="59"/>
        </w:numPr>
        <w:tabs>
          <w:tab w:pos="1948" w:val="left" w:leader="none"/>
          <w:tab w:pos="1949" w:val="left" w:leader="none"/>
        </w:tabs>
        <w:spacing w:line="240" w:lineRule="auto" w:before="38" w:after="0"/>
        <w:ind w:left="1948" w:right="0" w:hanging="720"/>
        <w:jc w:val="left"/>
        <w:rPr>
          <w:sz w:val="22"/>
        </w:rPr>
      </w:pPr>
      <w:r>
        <w:rPr>
          <w:sz w:val="22"/>
        </w:rPr>
        <w:t>Remains calm, in control and good humoured even under</w:t>
      </w:r>
      <w:r>
        <w:rPr>
          <w:spacing w:val="-13"/>
          <w:sz w:val="22"/>
        </w:rPr>
        <w:t> </w:t>
      </w:r>
      <w:r>
        <w:rPr>
          <w:sz w:val="22"/>
        </w:rPr>
        <w:t>pressure;</w:t>
      </w:r>
    </w:p>
    <w:p>
      <w:pPr>
        <w:pStyle w:val="ListParagraph"/>
        <w:numPr>
          <w:ilvl w:val="1"/>
          <w:numId w:val="59"/>
        </w:numPr>
        <w:tabs>
          <w:tab w:pos="1948" w:val="left" w:leader="none"/>
          <w:tab w:pos="1949" w:val="left" w:leader="none"/>
        </w:tabs>
        <w:spacing w:line="240" w:lineRule="auto" w:before="36" w:after="0"/>
        <w:ind w:left="1948" w:right="0" w:hanging="720"/>
        <w:jc w:val="left"/>
        <w:rPr>
          <w:sz w:val="22"/>
        </w:rPr>
      </w:pPr>
      <w:r>
        <w:rPr>
          <w:sz w:val="22"/>
        </w:rPr>
        <w:t>Proven networking, team building, organizational and communication</w:t>
      </w:r>
      <w:r>
        <w:rPr>
          <w:spacing w:val="-22"/>
          <w:sz w:val="22"/>
        </w:rPr>
        <w:t> </w:t>
      </w:r>
      <w:r>
        <w:rPr>
          <w:sz w:val="22"/>
        </w:rPr>
        <w:t>skills;</w:t>
      </w:r>
    </w:p>
    <w:p>
      <w:pPr>
        <w:pStyle w:val="ListParagraph"/>
        <w:numPr>
          <w:ilvl w:val="1"/>
          <w:numId w:val="59"/>
        </w:numPr>
        <w:tabs>
          <w:tab w:pos="1948" w:val="left" w:leader="none"/>
          <w:tab w:pos="1949" w:val="left" w:leader="none"/>
        </w:tabs>
        <w:spacing w:line="240" w:lineRule="auto" w:before="39" w:after="0"/>
        <w:ind w:left="1948" w:right="0" w:hanging="720"/>
        <w:jc w:val="left"/>
        <w:rPr>
          <w:sz w:val="22"/>
        </w:rPr>
      </w:pPr>
      <w:r>
        <w:rPr>
          <w:sz w:val="22"/>
        </w:rPr>
        <w:t>Ability to work in a multi-cultural team environment with a positive</w:t>
      </w:r>
      <w:r>
        <w:rPr>
          <w:spacing w:val="-29"/>
          <w:sz w:val="22"/>
        </w:rPr>
        <w:t> </w:t>
      </w:r>
      <w:r>
        <w:rPr>
          <w:sz w:val="22"/>
        </w:rPr>
        <w:t>attitude;</w:t>
      </w:r>
    </w:p>
    <w:p>
      <w:pPr>
        <w:spacing w:after="0" w:line="240" w:lineRule="auto"/>
        <w:jc w:val="left"/>
        <w:rPr>
          <w:sz w:val="22"/>
        </w:rPr>
        <w:sectPr>
          <w:pgSz w:w="11910" w:h="16840"/>
          <w:pgMar w:header="583" w:footer="575" w:top="840" w:bottom="760" w:left="860" w:right="1280"/>
        </w:sectPr>
      </w:pPr>
    </w:p>
    <w:p>
      <w:pPr>
        <w:pStyle w:val="BodyText"/>
        <w:rPr>
          <w:sz w:val="20"/>
        </w:rPr>
      </w:pPr>
    </w:p>
    <w:p>
      <w:pPr>
        <w:pStyle w:val="BodyText"/>
        <w:rPr>
          <w:sz w:val="20"/>
        </w:rPr>
      </w:pPr>
    </w:p>
    <w:p>
      <w:pPr>
        <w:pStyle w:val="BodyText"/>
        <w:rPr>
          <w:sz w:val="20"/>
        </w:rPr>
      </w:pPr>
    </w:p>
    <w:p>
      <w:pPr>
        <w:pStyle w:val="BodyText"/>
        <w:spacing w:before="4"/>
        <w:rPr>
          <w:sz w:val="18"/>
        </w:rPr>
      </w:pPr>
    </w:p>
    <w:p>
      <w:pPr>
        <w:pStyle w:val="Heading1"/>
        <w:ind w:left="4473"/>
        <w:rPr>
          <w:u w:val="none"/>
        </w:rPr>
      </w:pPr>
      <w:bookmarkStart w:name="_bookmark111" w:id="184"/>
      <w:bookmarkEnd w:id="184"/>
      <w:r>
        <w:rPr>
          <w:b w:val="0"/>
          <w:u w:val="none"/>
        </w:rPr>
      </w:r>
      <w:r>
        <w:rPr>
          <w:u w:val="thick"/>
        </w:rPr>
        <w:t>Annex-VIII: Compensation for Affected Business</w:t>
      </w:r>
    </w:p>
    <w:p>
      <w:pPr>
        <w:pStyle w:val="BodyText"/>
        <w:spacing w:before="5"/>
        <w:rPr>
          <w:b/>
          <w:sz w:val="10"/>
        </w:rPr>
      </w:pPr>
    </w:p>
    <w:tbl>
      <w:tblPr>
        <w:tblW w:w="0" w:type="auto"/>
        <w:jc w:val="left"/>
        <w:tblInd w:w="9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96"/>
        <w:gridCol w:w="989"/>
        <w:gridCol w:w="1104"/>
        <w:gridCol w:w="1210"/>
        <w:gridCol w:w="2546"/>
        <w:gridCol w:w="2506"/>
        <w:gridCol w:w="1786"/>
        <w:gridCol w:w="1333"/>
        <w:gridCol w:w="1570"/>
      </w:tblGrid>
      <w:tr>
        <w:trPr>
          <w:trHeight w:val="370" w:hRule="exact"/>
        </w:trPr>
        <w:tc>
          <w:tcPr>
            <w:tcW w:w="596" w:type="dxa"/>
            <w:vMerge w:val="restart"/>
            <w:tcBorders>
              <w:right w:val="single" w:sz="4" w:space="0" w:color="000000"/>
            </w:tcBorders>
            <w:shd w:val="clear" w:color="auto" w:fill="D9D9D9"/>
          </w:tcPr>
          <w:p>
            <w:pPr>
              <w:pStyle w:val="TableParagraph"/>
              <w:spacing w:before="62"/>
              <w:ind w:left="182"/>
              <w:rPr>
                <w:b/>
                <w:sz w:val="20"/>
              </w:rPr>
            </w:pPr>
            <w:r>
              <w:rPr>
                <w:b/>
                <w:sz w:val="20"/>
              </w:rPr>
              <w:t>ID</w:t>
            </w:r>
          </w:p>
        </w:tc>
        <w:tc>
          <w:tcPr>
            <w:tcW w:w="989" w:type="dxa"/>
            <w:vMerge w:val="restart"/>
            <w:tcBorders>
              <w:left w:val="single" w:sz="4" w:space="0" w:color="000000"/>
              <w:right w:val="single" w:sz="4" w:space="0" w:color="000000"/>
            </w:tcBorders>
            <w:shd w:val="clear" w:color="auto" w:fill="D9D9D9"/>
          </w:tcPr>
          <w:p>
            <w:pPr>
              <w:pStyle w:val="TableParagraph"/>
              <w:ind w:left="328" w:hanging="262"/>
              <w:rPr>
                <w:b/>
                <w:sz w:val="20"/>
              </w:rPr>
            </w:pPr>
            <w:r>
              <w:rPr>
                <w:b/>
                <w:w w:val="95"/>
                <w:sz w:val="20"/>
              </w:rPr>
              <w:t>Segment </w:t>
            </w:r>
            <w:r>
              <w:rPr>
                <w:b/>
                <w:sz w:val="20"/>
              </w:rPr>
              <w:t>No.</w:t>
            </w:r>
          </w:p>
        </w:tc>
        <w:tc>
          <w:tcPr>
            <w:tcW w:w="2314" w:type="dxa"/>
            <w:gridSpan w:val="2"/>
            <w:tcBorders>
              <w:left w:val="single" w:sz="4" w:space="0" w:color="000000"/>
              <w:bottom w:val="single" w:sz="4" w:space="0" w:color="000000"/>
              <w:right w:val="single" w:sz="4" w:space="0" w:color="000000"/>
            </w:tcBorders>
            <w:shd w:val="clear" w:color="auto" w:fill="D9D9D9"/>
          </w:tcPr>
          <w:p>
            <w:pPr>
              <w:pStyle w:val="TableParagraph"/>
              <w:spacing w:before="62"/>
              <w:ind w:left="566"/>
              <w:rPr>
                <w:b/>
                <w:sz w:val="20"/>
              </w:rPr>
            </w:pPr>
            <w:r>
              <w:rPr>
                <w:b/>
                <w:sz w:val="20"/>
              </w:rPr>
              <w:t>Coordinates</w:t>
            </w:r>
          </w:p>
        </w:tc>
        <w:tc>
          <w:tcPr>
            <w:tcW w:w="2546" w:type="dxa"/>
            <w:vMerge w:val="restart"/>
            <w:tcBorders>
              <w:left w:val="single" w:sz="4" w:space="0" w:color="000000"/>
              <w:right w:val="single" w:sz="4" w:space="0" w:color="000000"/>
            </w:tcBorders>
            <w:shd w:val="clear" w:color="auto" w:fill="D9D9D9"/>
          </w:tcPr>
          <w:p>
            <w:pPr>
              <w:pStyle w:val="TableParagraph"/>
              <w:spacing w:before="62"/>
              <w:ind w:left="388"/>
              <w:rPr>
                <w:b/>
                <w:sz w:val="20"/>
              </w:rPr>
            </w:pPr>
            <w:r>
              <w:rPr>
                <w:b/>
                <w:sz w:val="20"/>
              </w:rPr>
              <w:t>Respondent Name</w:t>
            </w:r>
          </w:p>
        </w:tc>
        <w:tc>
          <w:tcPr>
            <w:tcW w:w="2506" w:type="dxa"/>
            <w:vMerge w:val="restart"/>
            <w:tcBorders>
              <w:left w:val="single" w:sz="4" w:space="0" w:color="000000"/>
              <w:right w:val="single" w:sz="4" w:space="0" w:color="000000"/>
            </w:tcBorders>
            <w:shd w:val="clear" w:color="auto" w:fill="D9D9D9"/>
          </w:tcPr>
          <w:p>
            <w:pPr>
              <w:pStyle w:val="TableParagraph"/>
              <w:spacing w:before="62"/>
              <w:ind w:left="561"/>
              <w:rPr>
                <w:b/>
                <w:sz w:val="20"/>
              </w:rPr>
            </w:pPr>
            <w:r>
              <w:rPr>
                <w:b/>
                <w:sz w:val="20"/>
              </w:rPr>
              <w:t>Father's Name</w:t>
            </w:r>
          </w:p>
        </w:tc>
        <w:tc>
          <w:tcPr>
            <w:tcW w:w="1786" w:type="dxa"/>
            <w:vMerge w:val="restart"/>
            <w:tcBorders>
              <w:left w:val="single" w:sz="4" w:space="0" w:color="000000"/>
              <w:right w:val="single" w:sz="4" w:space="0" w:color="000000"/>
            </w:tcBorders>
            <w:shd w:val="clear" w:color="auto" w:fill="D9D9D9"/>
          </w:tcPr>
          <w:p>
            <w:pPr>
              <w:pStyle w:val="TableParagraph"/>
              <w:ind w:left="727" w:hanging="617"/>
              <w:rPr>
                <w:b/>
                <w:sz w:val="20"/>
              </w:rPr>
            </w:pPr>
            <w:r>
              <w:rPr>
                <w:b/>
                <w:sz w:val="20"/>
              </w:rPr>
              <w:t>Respondent NIC No.</w:t>
            </w:r>
          </w:p>
        </w:tc>
        <w:tc>
          <w:tcPr>
            <w:tcW w:w="1333" w:type="dxa"/>
            <w:vMerge w:val="restart"/>
            <w:tcBorders>
              <w:left w:val="single" w:sz="4" w:space="0" w:color="000000"/>
              <w:right w:val="single" w:sz="4" w:space="0" w:color="000000"/>
            </w:tcBorders>
            <w:shd w:val="clear" w:color="auto" w:fill="D9D9D9"/>
          </w:tcPr>
          <w:p>
            <w:pPr>
              <w:pStyle w:val="TableParagraph"/>
              <w:ind w:left="309" w:right="259" w:hanging="32"/>
              <w:rPr>
                <w:b/>
                <w:sz w:val="20"/>
              </w:rPr>
            </w:pPr>
            <w:r>
              <w:rPr>
                <w:b/>
                <w:sz w:val="20"/>
              </w:rPr>
              <w:t>Monthly Income</w:t>
            </w:r>
          </w:p>
        </w:tc>
        <w:tc>
          <w:tcPr>
            <w:tcW w:w="1570" w:type="dxa"/>
            <w:vMerge w:val="restart"/>
            <w:tcBorders>
              <w:left w:val="single" w:sz="4" w:space="0" w:color="000000"/>
            </w:tcBorders>
            <w:shd w:val="clear" w:color="auto" w:fill="D9D9D9"/>
          </w:tcPr>
          <w:p>
            <w:pPr>
              <w:pStyle w:val="TableParagraph"/>
              <w:ind w:left="285" w:right="269" w:firstLine="9"/>
              <w:rPr>
                <w:b/>
                <w:sz w:val="20"/>
              </w:rPr>
            </w:pPr>
            <w:r>
              <w:rPr>
                <w:b/>
                <w:sz w:val="20"/>
              </w:rPr>
              <w:t>Transition </w:t>
            </w:r>
            <w:r>
              <w:rPr>
                <w:b/>
                <w:w w:val="95"/>
                <w:sz w:val="20"/>
              </w:rPr>
              <w:t>Allowance</w:t>
            </w:r>
          </w:p>
        </w:tc>
      </w:tr>
      <w:tr>
        <w:trPr>
          <w:trHeight w:val="360" w:hRule="exact"/>
        </w:trPr>
        <w:tc>
          <w:tcPr>
            <w:tcW w:w="596" w:type="dxa"/>
            <w:vMerge/>
            <w:tcBorders>
              <w:bottom w:val="single" w:sz="4" w:space="0" w:color="000000"/>
              <w:right w:val="single" w:sz="4" w:space="0" w:color="000000"/>
            </w:tcBorders>
            <w:shd w:val="clear" w:color="auto" w:fill="D9D9D9"/>
          </w:tcPr>
          <w:p>
            <w:pPr/>
          </w:p>
        </w:tc>
        <w:tc>
          <w:tcPr>
            <w:tcW w:w="989" w:type="dxa"/>
            <w:vMerge/>
            <w:tcBorders>
              <w:left w:val="single" w:sz="4" w:space="0" w:color="000000"/>
              <w:bottom w:val="single" w:sz="4" w:space="0" w:color="000000"/>
              <w:right w:val="single" w:sz="4" w:space="0" w:color="000000"/>
            </w:tcBorders>
            <w:shd w:val="clear" w:color="auto" w:fill="D9D9D9"/>
          </w:tcPr>
          <w:p>
            <w:pPr/>
          </w:p>
        </w:tc>
        <w:tc>
          <w:tcPr>
            <w:tcW w:w="1104"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62"/>
              <w:ind w:left="129"/>
              <w:rPr>
                <w:b/>
                <w:sz w:val="20"/>
              </w:rPr>
            </w:pPr>
            <w:r>
              <w:rPr>
                <w:b/>
                <w:sz w:val="20"/>
              </w:rPr>
              <w:t>Northing</w:t>
            </w:r>
          </w:p>
        </w:tc>
        <w:tc>
          <w:tcPr>
            <w:tcW w:w="121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62"/>
              <w:ind w:left="131" w:right="135"/>
              <w:jc w:val="center"/>
              <w:rPr>
                <w:b/>
                <w:sz w:val="20"/>
              </w:rPr>
            </w:pPr>
            <w:r>
              <w:rPr>
                <w:b/>
                <w:sz w:val="20"/>
              </w:rPr>
              <w:t>Easting</w:t>
            </w:r>
          </w:p>
        </w:tc>
        <w:tc>
          <w:tcPr>
            <w:tcW w:w="2546" w:type="dxa"/>
            <w:vMerge/>
            <w:tcBorders>
              <w:left w:val="single" w:sz="4" w:space="0" w:color="000000"/>
              <w:bottom w:val="single" w:sz="4" w:space="0" w:color="000000"/>
              <w:right w:val="single" w:sz="4" w:space="0" w:color="000000"/>
            </w:tcBorders>
            <w:shd w:val="clear" w:color="auto" w:fill="D9D9D9"/>
          </w:tcPr>
          <w:p>
            <w:pPr/>
          </w:p>
        </w:tc>
        <w:tc>
          <w:tcPr>
            <w:tcW w:w="2506" w:type="dxa"/>
            <w:vMerge/>
            <w:tcBorders>
              <w:left w:val="single" w:sz="4" w:space="0" w:color="000000"/>
              <w:bottom w:val="single" w:sz="4" w:space="0" w:color="000000"/>
              <w:right w:val="single" w:sz="4" w:space="0" w:color="000000"/>
            </w:tcBorders>
            <w:shd w:val="clear" w:color="auto" w:fill="D9D9D9"/>
          </w:tcPr>
          <w:p>
            <w:pPr/>
          </w:p>
        </w:tc>
        <w:tc>
          <w:tcPr>
            <w:tcW w:w="1786" w:type="dxa"/>
            <w:vMerge/>
            <w:tcBorders>
              <w:left w:val="single" w:sz="4" w:space="0" w:color="000000"/>
              <w:bottom w:val="single" w:sz="4" w:space="0" w:color="000000"/>
              <w:right w:val="single" w:sz="4" w:space="0" w:color="000000"/>
            </w:tcBorders>
            <w:shd w:val="clear" w:color="auto" w:fill="D9D9D9"/>
          </w:tcPr>
          <w:p>
            <w:pPr/>
          </w:p>
        </w:tc>
        <w:tc>
          <w:tcPr>
            <w:tcW w:w="1333" w:type="dxa"/>
            <w:vMerge/>
            <w:tcBorders>
              <w:left w:val="single" w:sz="4" w:space="0" w:color="000000"/>
              <w:bottom w:val="single" w:sz="4" w:space="0" w:color="000000"/>
              <w:right w:val="single" w:sz="4" w:space="0" w:color="000000"/>
            </w:tcBorders>
            <w:shd w:val="clear" w:color="auto" w:fill="D9D9D9"/>
          </w:tcPr>
          <w:p>
            <w:pPr/>
          </w:p>
        </w:tc>
        <w:tc>
          <w:tcPr>
            <w:tcW w:w="1570" w:type="dxa"/>
            <w:vMerge/>
            <w:tcBorders>
              <w:left w:val="single" w:sz="4" w:space="0" w:color="000000"/>
              <w:bottom w:val="single" w:sz="4" w:space="0" w:color="000000"/>
            </w:tcBorders>
            <w:shd w:val="clear" w:color="auto" w:fill="D9D9D9"/>
          </w:tcPr>
          <w:p>
            <w:pP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spacing w:before="62"/>
              <w:ind w:right="6"/>
              <w:jc w:val="center"/>
              <w:rPr>
                <w:sz w:val="20"/>
              </w:rPr>
            </w:pPr>
            <w:r>
              <w:rPr>
                <w:w w:val="99"/>
                <w:sz w:val="20"/>
              </w:rPr>
              <w:t>1</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before="62"/>
              <w:jc w:val="center"/>
              <w:rPr>
                <w:sz w:val="20"/>
              </w:rPr>
            </w:pPr>
            <w:r>
              <w:rPr>
                <w:w w:val="99"/>
                <w:sz w:val="20"/>
              </w:rPr>
              <w:t>2</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before="62"/>
              <w:ind w:left="100"/>
              <w:rPr>
                <w:sz w:val="20"/>
              </w:rPr>
            </w:pPr>
            <w:r>
              <w:rPr>
                <w:sz w:val="20"/>
              </w:rPr>
              <w:t>24 50.986</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spacing w:before="62"/>
              <w:ind w:left="132" w:right="135"/>
              <w:jc w:val="center"/>
              <w:rPr>
                <w:sz w:val="20"/>
              </w:rPr>
            </w:pPr>
            <w:r>
              <w:rPr>
                <w:sz w:val="20"/>
              </w:rPr>
              <w:t>67 10.622</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Muhammad Riaz</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Muhammad Ramzan</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31202-1753298-3</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62"/>
              <w:ind w:left="195" w:right="196"/>
              <w:jc w:val="center"/>
              <w:rPr>
                <w:sz w:val="20"/>
              </w:rPr>
            </w:pPr>
            <w:r>
              <w:rPr>
                <w:sz w:val="20"/>
              </w:rPr>
              <w:t>13,000</w:t>
            </w:r>
          </w:p>
        </w:tc>
        <w:tc>
          <w:tcPr>
            <w:tcW w:w="1570" w:type="dxa"/>
            <w:tcBorders>
              <w:top w:val="single" w:sz="4" w:space="0" w:color="000000"/>
              <w:left w:val="single" w:sz="4" w:space="0" w:color="000000"/>
              <w:bottom w:val="single" w:sz="4" w:space="0" w:color="000000"/>
            </w:tcBorders>
          </w:tcPr>
          <w:p>
            <w:pPr>
              <w:pStyle w:val="TableParagraph"/>
              <w:spacing w:before="62"/>
              <w:ind w:right="314"/>
              <w:jc w:val="right"/>
              <w:rPr>
                <w:sz w:val="20"/>
              </w:rPr>
            </w:pPr>
            <w:r>
              <w:rPr>
                <w:sz w:val="20"/>
              </w:rPr>
              <w:t>156,000</w:t>
            </w:r>
          </w:p>
        </w:tc>
      </w:tr>
      <w:tr>
        <w:trPr>
          <w:trHeight w:val="361" w:hRule="exact"/>
        </w:trPr>
        <w:tc>
          <w:tcPr>
            <w:tcW w:w="596" w:type="dxa"/>
            <w:tcBorders>
              <w:top w:val="single" w:sz="4" w:space="0" w:color="000000"/>
              <w:bottom w:val="single" w:sz="4" w:space="0" w:color="000000"/>
              <w:right w:val="single" w:sz="4" w:space="0" w:color="000000"/>
            </w:tcBorders>
          </w:tcPr>
          <w:p>
            <w:pPr>
              <w:pStyle w:val="TableParagraph"/>
              <w:spacing w:before="62"/>
              <w:ind w:right="6"/>
              <w:jc w:val="center"/>
              <w:rPr>
                <w:sz w:val="20"/>
              </w:rPr>
            </w:pPr>
            <w:r>
              <w:rPr>
                <w:w w:val="99"/>
                <w:sz w:val="20"/>
              </w:rPr>
              <w:t>2</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before="62"/>
              <w:jc w:val="center"/>
              <w:rPr>
                <w:sz w:val="20"/>
              </w:rPr>
            </w:pPr>
            <w:r>
              <w:rPr>
                <w:w w:val="99"/>
                <w:sz w:val="20"/>
              </w:rPr>
              <w:t>2</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before="62"/>
              <w:ind w:left="100"/>
              <w:rPr>
                <w:sz w:val="20"/>
              </w:rPr>
            </w:pPr>
            <w:r>
              <w:rPr>
                <w:sz w:val="20"/>
              </w:rPr>
              <w:t>24 50.904</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spacing w:before="62"/>
              <w:ind w:left="132" w:right="135"/>
              <w:jc w:val="center"/>
              <w:rPr>
                <w:sz w:val="20"/>
              </w:rPr>
            </w:pPr>
            <w:r>
              <w:rPr>
                <w:sz w:val="20"/>
              </w:rPr>
              <w:t>67 10.218</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Meharban</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Murad Ali</w:t>
            </w:r>
          </w:p>
        </w:tc>
        <w:tc>
          <w:tcPr>
            <w:tcW w:w="1786" w:type="dxa"/>
            <w:tcBorders>
              <w:top w:val="single" w:sz="4" w:space="0" w:color="000000"/>
              <w:left w:val="single" w:sz="4" w:space="0" w:color="000000"/>
              <w:bottom w:val="single" w:sz="4" w:space="0" w:color="000000"/>
              <w:right w:val="single" w:sz="4" w:space="0" w:color="000000"/>
            </w:tcBorders>
          </w:tcPr>
          <w:p>
            <w:pP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62"/>
              <w:ind w:left="195" w:right="196"/>
              <w:jc w:val="center"/>
              <w:rPr>
                <w:sz w:val="20"/>
              </w:rPr>
            </w:pPr>
            <w:r>
              <w:rPr>
                <w:sz w:val="20"/>
              </w:rPr>
              <w:t>18,000</w:t>
            </w:r>
          </w:p>
        </w:tc>
        <w:tc>
          <w:tcPr>
            <w:tcW w:w="1570" w:type="dxa"/>
            <w:tcBorders>
              <w:top w:val="single" w:sz="4" w:space="0" w:color="000000"/>
              <w:left w:val="single" w:sz="4" w:space="0" w:color="000000"/>
              <w:bottom w:val="single" w:sz="4" w:space="0" w:color="000000"/>
            </w:tcBorders>
          </w:tcPr>
          <w:p>
            <w:pPr>
              <w:pStyle w:val="TableParagraph"/>
              <w:spacing w:before="62"/>
              <w:ind w:right="314"/>
              <w:jc w:val="right"/>
              <w:rPr>
                <w:sz w:val="20"/>
              </w:rPr>
            </w:pPr>
            <w:r>
              <w:rPr>
                <w:sz w:val="20"/>
              </w:rPr>
              <w:t>216,000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spacing w:before="62"/>
              <w:ind w:right="6"/>
              <w:jc w:val="center"/>
              <w:rPr>
                <w:sz w:val="20"/>
              </w:rPr>
            </w:pPr>
            <w:r>
              <w:rPr>
                <w:w w:val="99"/>
                <w:sz w:val="20"/>
              </w:rPr>
              <w:t>3</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before="62"/>
              <w:jc w:val="center"/>
              <w:rPr>
                <w:sz w:val="20"/>
              </w:rPr>
            </w:pPr>
            <w:r>
              <w:rPr>
                <w:w w:val="99"/>
                <w:sz w:val="20"/>
              </w:rPr>
              <w:t>2</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before="62"/>
              <w:ind w:left="100"/>
              <w:rPr>
                <w:sz w:val="20"/>
              </w:rPr>
            </w:pPr>
            <w:r>
              <w:rPr>
                <w:sz w:val="20"/>
              </w:rPr>
              <w:t>24 50.800</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spacing w:before="62"/>
              <w:ind w:left="132" w:right="135"/>
              <w:jc w:val="center"/>
              <w:rPr>
                <w:sz w:val="20"/>
              </w:rPr>
            </w:pPr>
            <w:r>
              <w:rPr>
                <w:sz w:val="20"/>
              </w:rPr>
              <w:t>67 09.637</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Zahid Khan</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Badshahi Khan</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21103-1737501-7</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62"/>
              <w:ind w:left="195" w:right="196"/>
              <w:jc w:val="center"/>
              <w:rPr>
                <w:sz w:val="20"/>
              </w:rPr>
            </w:pPr>
            <w:r>
              <w:rPr>
                <w:sz w:val="20"/>
              </w:rPr>
              <w:t>28,000</w:t>
            </w:r>
          </w:p>
        </w:tc>
        <w:tc>
          <w:tcPr>
            <w:tcW w:w="1570" w:type="dxa"/>
            <w:tcBorders>
              <w:top w:val="single" w:sz="4" w:space="0" w:color="000000"/>
              <w:left w:val="single" w:sz="4" w:space="0" w:color="000000"/>
              <w:bottom w:val="single" w:sz="4" w:space="0" w:color="000000"/>
            </w:tcBorders>
          </w:tcPr>
          <w:p>
            <w:pPr>
              <w:pStyle w:val="TableParagraph"/>
              <w:spacing w:before="62"/>
              <w:ind w:right="314"/>
              <w:jc w:val="right"/>
              <w:rPr>
                <w:sz w:val="20"/>
              </w:rPr>
            </w:pPr>
            <w:r>
              <w:rPr>
                <w:sz w:val="20"/>
              </w:rPr>
              <w:t>336,000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spacing w:before="62"/>
              <w:ind w:right="6"/>
              <w:jc w:val="center"/>
              <w:rPr>
                <w:sz w:val="20"/>
              </w:rPr>
            </w:pPr>
            <w:r>
              <w:rPr>
                <w:w w:val="99"/>
                <w:sz w:val="20"/>
              </w:rPr>
              <w:t>4</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before="62"/>
              <w:jc w:val="center"/>
              <w:rPr>
                <w:sz w:val="20"/>
              </w:rPr>
            </w:pPr>
            <w:r>
              <w:rPr>
                <w:w w:val="99"/>
                <w:sz w:val="20"/>
              </w:rPr>
              <w:t>2</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before="62"/>
              <w:ind w:left="100"/>
              <w:rPr>
                <w:sz w:val="20"/>
              </w:rPr>
            </w:pPr>
            <w:r>
              <w:rPr>
                <w:sz w:val="20"/>
              </w:rPr>
              <w:t>24 50.800</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spacing w:before="62"/>
              <w:ind w:left="132" w:right="135"/>
              <w:jc w:val="center"/>
              <w:rPr>
                <w:sz w:val="20"/>
              </w:rPr>
            </w:pPr>
            <w:r>
              <w:rPr>
                <w:sz w:val="20"/>
              </w:rPr>
              <w:t>67 09.637</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Rasheed Khan</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Jam Gull</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21104-3463326-1</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62"/>
              <w:ind w:left="195" w:right="196"/>
              <w:jc w:val="center"/>
              <w:rPr>
                <w:sz w:val="20"/>
              </w:rPr>
            </w:pPr>
            <w:r>
              <w:rPr>
                <w:sz w:val="20"/>
              </w:rPr>
              <w:t>24,000</w:t>
            </w:r>
          </w:p>
        </w:tc>
        <w:tc>
          <w:tcPr>
            <w:tcW w:w="1570" w:type="dxa"/>
            <w:tcBorders>
              <w:top w:val="single" w:sz="4" w:space="0" w:color="000000"/>
              <w:left w:val="single" w:sz="4" w:space="0" w:color="000000"/>
              <w:bottom w:val="single" w:sz="4" w:space="0" w:color="000000"/>
            </w:tcBorders>
          </w:tcPr>
          <w:p>
            <w:pPr>
              <w:pStyle w:val="TableParagraph"/>
              <w:spacing w:before="62"/>
              <w:ind w:right="314"/>
              <w:jc w:val="right"/>
              <w:rPr>
                <w:sz w:val="20"/>
              </w:rPr>
            </w:pPr>
            <w:r>
              <w:rPr>
                <w:sz w:val="20"/>
              </w:rPr>
              <w:t>288,000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spacing w:before="62"/>
              <w:ind w:right="6"/>
              <w:jc w:val="center"/>
              <w:rPr>
                <w:sz w:val="20"/>
              </w:rPr>
            </w:pPr>
            <w:r>
              <w:rPr>
                <w:w w:val="99"/>
                <w:sz w:val="20"/>
              </w:rPr>
              <w:t>5</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before="62"/>
              <w:jc w:val="center"/>
              <w:rPr>
                <w:sz w:val="20"/>
              </w:rPr>
            </w:pPr>
            <w:r>
              <w:rPr>
                <w:w w:val="99"/>
                <w:sz w:val="20"/>
              </w:rPr>
              <w:t>2</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before="62"/>
              <w:ind w:left="100"/>
              <w:rPr>
                <w:sz w:val="20"/>
              </w:rPr>
            </w:pPr>
            <w:r>
              <w:rPr>
                <w:sz w:val="20"/>
              </w:rPr>
              <w:t>24 50.800</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spacing w:before="62"/>
              <w:ind w:left="132" w:right="135"/>
              <w:jc w:val="center"/>
              <w:rPr>
                <w:sz w:val="20"/>
              </w:rPr>
            </w:pPr>
            <w:r>
              <w:rPr>
                <w:sz w:val="20"/>
              </w:rPr>
              <w:t>67 09.637</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Bashir Ahmed</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Haji Khuda Bux</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43012-5511554-3</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62"/>
              <w:ind w:left="195" w:right="196"/>
              <w:jc w:val="center"/>
              <w:rPr>
                <w:sz w:val="20"/>
              </w:rPr>
            </w:pPr>
            <w:r>
              <w:rPr>
                <w:sz w:val="20"/>
              </w:rPr>
              <w:t>13,000</w:t>
            </w:r>
          </w:p>
        </w:tc>
        <w:tc>
          <w:tcPr>
            <w:tcW w:w="1570" w:type="dxa"/>
            <w:tcBorders>
              <w:top w:val="single" w:sz="4" w:space="0" w:color="000000"/>
              <w:left w:val="single" w:sz="4" w:space="0" w:color="000000"/>
              <w:bottom w:val="single" w:sz="4" w:space="0" w:color="000000"/>
            </w:tcBorders>
          </w:tcPr>
          <w:p>
            <w:pPr>
              <w:pStyle w:val="TableParagraph"/>
              <w:spacing w:before="62"/>
              <w:ind w:right="314"/>
              <w:jc w:val="right"/>
              <w:rPr>
                <w:sz w:val="20"/>
              </w:rPr>
            </w:pPr>
            <w:r>
              <w:rPr>
                <w:sz w:val="20"/>
              </w:rPr>
              <w:t>156,000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spacing w:before="62"/>
              <w:ind w:right="6"/>
              <w:jc w:val="center"/>
              <w:rPr>
                <w:sz w:val="20"/>
              </w:rPr>
            </w:pPr>
            <w:r>
              <w:rPr>
                <w:w w:val="99"/>
                <w:sz w:val="20"/>
              </w:rPr>
              <w:t>7</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before="62"/>
              <w:jc w:val="center"/>
              <w:rPr>
                <w:sz w:val="20"/>
              </w:rPr>
            </w:pPr>
            <w:r>
              <w:rPr>
                <w:w w:val="99"/>
                <w:sz w:val="20"/>
              </w:rPr>
              <w:t>2</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before="62"/>
              <w:ind w:left="100"/>
              <w:rPr>
                <w:sz w:val="20"/>
              </w:rPr>
            </w:pPr>
            <w:r>
              <w:rPr>
                <w:sz w:val="20"/>
              </w:rPr>
              <w:t>24 50.634</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spacing w:before="62"/>
              <w:ind w:left="132" w:right="135"/>
              <w:jc w:val="center"/>
              <w:rPr>
                <w:sz w:val="20"/>
              </w:rPr>
            </w:pPr>
            <w:r>
              <w:rPr>
                <w:sz w:val="20"/>
              </w:rPr>
              <w:t>67 08.743</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Bahadur Khan</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Ghazi Khan</w:t>
            </w:r>
          </w:p>
        </w:tc>
        <w:tc>
          <w:tcPr>
            <w:tcW w:w="1786" w:type="dxa"/>
            <w:tcBorders>
              <w:top w:val="single" w:sz="4" w:space="0" w:color="000000"/>
              <w:left w:val="single" w:sz="4" w:space="0" w:color="000000"/>
              <w:bottom w:val="single" w:sz="4" w:space="0" w:color="000000"/>
              <w:right w:val="single" w:sz="4" w:space="0" w:color="000000"/>
            </w:tcBorders>
          </w:tcPr>
          <w:p>
            <w:pP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62"/>
              <w:ind w:left="195" w:right="196"/>
              <w:jc w:val="center"/>
              <w:rPr>
                <w:sz w:val="20"/>
              </w:rPr>
            </w:pPr>
            <w:r>
              <w:rPr>
                <w:sz w:val="20"/>
              </w:rPr>
              <w:t>15,000</w:t>
            </w:r>
          </w:p>
        </w:tc>
        <w:tc>
          <w:tcPr>
            <w:tcW w:w="1570" w:type="dxa"/>
            <w:tcBorders>
              <w:top w:val="single" w:sz="4" w:space="0" w:color="000000"/>
              <w:left w:val="single" w:sz="4" w:space="0" w:color="000000"/>
              <w:bottom w:val="single" w:sz="4" w:space="0" w:color="000000"/>
            </w:tcBorders>
          </w:tcPr>
          <w:p>
            <w:pPr>
              <w:pStyle w:val="TableParagraph"/>
              <w:spacing w:before="62"/>
              <w:ind w:right="314"/>
              <w:jc w:val="right"/>
              <w:rPr>
                <w:sz w:val="20"/>
              </w:rPr>
            </w:pPr>
            <w:r>
              <w:rPr>
                <w:sz w:val="20"/>
              </w:rPr>
              <w:t>180,000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spacing w:before="62"/>
              <w:ind w:right="6"/>
              <w:jc w:val="center"/>
              <w:rPr>
                <w:sz w:val="20"/>
              </w:rPr>
            </w:pPr>
            <w:r>
              <w:rPr>
                <w:w w:val="99"/>
                <w:sz w:val="20"/>
              </w:rPr>
              <w:t>8</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before="62"/>
              <w:jc w:val="center"/>
              <w:rPr>
                <w:sz w:val="20"/>
              </w:rPr>
            </w:pPr>
            <w:r>
              <w:rPr>
                <w:w w:val="99"/>
                <w:sz w:val="20"/>
              </w:rPr>
              <w:t>2</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before="62"/>
              <w:ind w:left="100"/>
              <w:rPr>
                <w:sz w:val="20"/>
              </w:rPr>
            </w:pPr>
            <w:r>
              <w:rPr>
                <w:sz w:val="20"/>
              </w:rPr>
              <w:t>24 50.634</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spacing w:before="62"/>
              <w:ind w:left="132" w:right="135"/>
              <w:jc w:val="center"/>
              <w:rPr>
                <w:sz w:val="20"/>
              </w:rPr>
            </w:pPr>
            <w:r>
              <w:rPr>
                <w:sz w:val="20"/>
              </w:rPr>
              <w:t>67 08.743</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Muhammad Lateef</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Ali Daad</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82401-6627074-9</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62"/>
              <w:ind w:left="195" w:right="196"/>
              <w:jc w:val="center"/>
              <w:rPr>
                <w:sz w:val="20"/>
              </w:rPr>
            </w:pPr>
            <w:r>
              <w:rPr>
                <w:sz w:val="20"/>
              </w:rPr>
              <w:t>18,000</w:t>
            </w:r>
          </w:p>
        </w:tc>
        <w:tc>
          <w:tcPr>
            <w:tcW w:w="1570" w:type="dxa"/>
            <w:tcBorders>
              <w:top w:val="single" w:sz="4" w:space="0" w:color="000000"/>
              <w:left w:val="single" w:sz="4" w:space="0" w:color="000000"/>
              <w:bottom w:val="single" w:sz="4" w:space="0" w:color="000000"/>
            </w:tcBorders>
          </w:tcPr>
          <w:p>
            <w:pPr>
              <w:pStyle w:val="TableParagraph"/>
              <w:spacing w:before="62"/>
              <w:ind w:right="314"/>
              <w:jc w:val="right"/>
              <w:rPr>
                <w:sz w:val="20"/>
              </w:rPr>
            </w:pPr>
            <w:r>
              <w:rPr>
                <w:sz w:val="20"/>
              </w:rPr>
              <w:t>216,000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spacing w:before="62"/>
              <w:ind w:right="6"/>
              <w:jc w:val="center"/>
              <w:rPr>
                <w:sz w:val="20"/>
              </w:rPr>
            </w:pPr>
            <w:r>
              <w:rPr>
                <w:w w:val="99"/>
                <w:sz w:val="20"/>
              </w:rPr>
              <w:t>9</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before="62"/>
              <w:jc w:val="center"/>
              <w:rPr>
                <w:sz w:val="20"/>
              </w:rPr>
            </w:pPr>
            <w:r>
              <w:rPr>
                <w:w w:val="99"/>
                <w:sz w:val="20"/>
              </w:rPr>
              <w:t>2</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before="62"/>
              <w:ind w:left="100"/>
              <w:rPr>
                <w:sz w:val="20"/>
              </w:rPr>
            </w:pPr>
            <w:r>
              <w:rPr>
                <w:sz w:val="20"/>
              </w:rPr>
              <w:t>24 50.603</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spacing w:before="62"/>
              <w:ind w:left="133" w:right="134"/>
              <w:jc w:val="center"/>
              <w:rPr>
                <w:sz w:val="20"/>
              </w:rPr>
            </w:pPr>
            <w:r>
              <w:rPr>
                <w:sz w:val="20"/>
              </w:rPr>
              <w:t>67 08.694</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Rehmat Ullah</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Abdul ghafar</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12102-2148272-5</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62"/>
              <w:ind w:left="195" w:right="196"/>
              <w:jc w:val="center"/>
              <w:rPr>
                <w:sz w:val="20"/>
              </w:rPr>
            </w:pPr>
            <w:r>
              <w:rPr>
                <w:sz w:val="20"/>
              </w:rPr>
              <w:t>20,000</w:t>
            </w:r>
          </w:p>
        </w:tc>
        <w:tc>
          <w:tcPr>
            <w:tcW w:w="1570" w:type="dxa"/>
            <w:tcBorders>
              <w:top w:val="single" w:sz="4" w:space="0" w:color="000000"/>
              <w:left w:val="single" w:sz="4" w:space="0" w:color="000000"/>
              <w:bottom w:val="single" w:sz="4" w:space="0" w:color="000000"/>
            </w:tcBorders>
          </w:tcPr>
          <w:p>
            <w:pPr>
              <w:pStyle w:val="TableParagraph"/>
              <w:spacing w:before="62"/>
              <w:ind w:right="314"/>
              <w:jc w:val="right"/>
              <w:rPr>
                <w:sz w:val="20"/>
              </w:rPr>
            </w:pPr>
            <w:r>
              <w:rPr>
                <w:sz w:val="20"/>
              </w:rPr>
              <w:t>240,000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spacing w:before="62"/>
              <w:ind w:left="151" w:right="162"/>
              <w:jc w:val="center"/>
              <w:rPr>
                <w:sz w:val="20"/>
              </w:rPr>
            </w:pPr>
            <w:r>
              <w:rPr>
                <w:sz w:val="20"/>
              </w:rPr>
              <w:t>10</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before="62"/>
              <w:jc w:val="center"/>
              <w:rPr>
                <w:sz w:val="20"/>
              </w:rPr>
            </w:pPr>
            <w:r>
              <w:rPr>
                <w:w w:val="99"/>
                <w:sz w:val="20"/>
              </w:rPr>
              <w:t>2</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before="62"/>
              <w:ind w:left="100"/>
              <w:rPr>
                <w:sz w:val="20"/>
              </w:rPr>
            </w:pPr>
            <w:r>
              <w:rPr>
                <w:sz w:val="20"/>
              </w:rPr>
              <w:t>24 50.534</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spacing w:before="62"/>
              <w:ind w:left="132" w:right="135"/>
              <w:jc w:val="center"/>
              <w:rPr>
                <w:sz w:val="20"/>
              </w:rPr>
            </w:pPr>
            <w:r>
              <w:rPr>
                <w:sz w:val="20"/>
              </w:rPr>
              <w:t>67 08.353</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Imran Shah</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Amman Ullah Shah</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12104-9960363-9</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62"/>
              <w:ind w:left="195" w:right="196"/>
              <w:jc w:val="center"/>
              <w:rPr>
                <w:sz w:val="20"/>
              </w:rPr>
            </w:pPr>
            <w:r>
              <w:rPr>
                <w:sz w:val="20"/>
              </w:rPr>
              <w:t>45,000</w:t>
            </w:r>
          </w:p>
        </w:tc>
        <w:tc>
          <w:tcPr>
            <w:tcW w:w="1570" w:type="dxa"/>
            <w:tcBorders>
              <w:top w:val="single" w:sz="4" w:space="0" w:color="000000"/>
              <w:left w:val="single" w:sz="4" w:space="0" w:color="000000"/>
              <w:bottom w:val="single" w:sz="4" w:space="0" w:color="000000"/>
            </w:tcBorders>
          </w:tcPr>
          <w:p>
            <w:pPr>
              <w:pStyle w:val="TableParagraph"/>
              <w:spacing w:before="62"/>
              <w:ind w:right="314"/>
              <w:jc w:val="right"/>
              <w:rPr>
                <w:sz w:val="20"/>
              </w:rPr>
            </w:pPr>
            <w:r>
              <w:rPr>
                <w:sz w:val="20"/>
              </w:rPr>
              <w:t>540,000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spacing w:before="62"/>
              <w:ind w:left="151" w:right="162"/>
              <w:jc w:val="center"/>
              <w:rPr>
                <w:sz w:val="20"/>
              </w:rPr>
            </w:pPr>
            <w:r>
              <w:rPr>
                <w:sz w:val="20"/>
              </w:rPr>
              <w:t>11</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before="62"/>
              <w:jc w:val="center"/>
              <w:rPr>
                <w:sz w:val="20"/>
              </w:rPr>
            </w:pPr>
            <w:r>
              <w:rPr>
                <w:w w:val="99"/>
                <w:sz w:val="20"/>
              </w:rPr>
              <w:t>2</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before="62"/>
              <w:ind w:left="100"/>
              <w:rPr>
                <w:sz w:val="20"/>
              </w:rPr>
            </w:pPr>
            <w:r>
              <w:rPr>
                <w:sz w:val="20"/>
              </w:rPr>
              <w:t>24 50.260</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spacing w:before="62"/>
              <w:ind w:left="132" w:right="135"/>
              <w:jc w:val="center"/>
              <w:rPr>
                <w:sz w:val="20"/>
              </w:rPr>
            </w:pPr>
            <w:r>
              <w:rPr>
                <w:sz w:val="20"/>
              </w:rPr>
              <w:t>67 06.956</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Babar Ali</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Muhammad Aziz</w:t>
            </w:r>
          </w:p>
        </w:tc>
        <w:tc>
          <w:tcPr>
            <w:tcW w:w="1786" w:type="dxa"/>
            <w:tcBorders>
              <w:top w:val="single" w:sz="4" w:space="0" w:color="000000"/>
              <w:left w:val="single" w:sz="4" w:space="0" w:color="000000"/>
              <w:bottom w:val="single" w:sz="4" w:space="0" w:color="000000"/>
              <w:right w:val="single" w:sz="4" w:space="0" w:color="000000"/>
            </w:tcBorders>
          </w:tcPr>
          <w:p>
            <w:pP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62"/>
              <w:ind w:left="195" w:right="196"/>
              <w:jc w:val="center"/>
              <w:rPr>
                <w:sz w:val="20"/>
              </w:rPr>
            </w:pPr>
            <w:r>
              <w:rPr>
                <w:sz w:val="20"/>
              </w:rPr>
              <w:t>18,000</w:t>
            </w:r>
          </w:p>
        </w:tc>
        <w:tc>
          <w:tcPr>
            <w:tcW w:w="1570" w:type="dxa"/>
            <w:tcBorders>
              <w:top w:val="single" w:sz="4" w:space="0" w:color="000000"/>
              <w:left w:val="single" w:sz="4" w:space="0" w:color="000000"/>
              <w:bottom w:val="single" w:sz="4" w:space="0" w:color="000000"/>
            </w:tcBorders>
          </w:tcPr>
          <w:p>
            <w:pPr>
              <w:pStyle w:val="TableParagraph"/>
              <w:spacing w:before="62"/>
              <w:ind w:right="314"/>
              <w:jc w:val="right"/>
              <w:rPr>
                <w:sz w:val="20"/>
              </w:rPr>
            </w:pPr>
            <w:r>
              <w:rPr>
                <w:sz w:val="20"/>
              </w:rPr>
              <w:t>216,000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spacing w:before="62"/>
              <w:ind w:left="151" w:right="162"/>
              <w:jc w:val="center"/>
              <w:rPr>
                <w:sz w:val="20"/>
              </w:rPr>
            </w:pPr>
            <w:r>
              <w:rPr>
                <w:sz w:val="20"/>
              </w:rPr>
              <w:t>12</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before="62"/>
              <w:jc w:val="center"/>
              <w:rPr>
                <w:sz w:val="20"/>
              </w:rPr>
            </w:pPr>
            <w:r>
              <w:rPr>
                <w:w w:val="99"/>
                <w:sz w:val="20"/>
              </w:rPr>
              <w:t>2</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before="62"/>
              <w:ind w:left="100"/>
              <w:rPr>
                <w:sz w:val="20"/>
              </w:rPr>
            </w:pPr>
            <w:r>
              <w:rPr>
                <w:sz w:val="20"/>
              </w:rPr>
              <w:t>24 50.260</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spacing w:before="62"/>
              <w:ind w:left="132" w:right="135"/>
              <w:jc w:val="center"/>
              <w:rPr>
                <w:sz w:val="20"/>
              </w:rPr>
            </w:pPr>
            <w:r>
              <w:rPr>
                <w:sz w:val="20"/>
              </w:rPr>
              <w:t>67 06.956</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Muhammad Hanif</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Abdul Aziz</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12105-0385416-9</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62"/>
              <w:ind w:left="195" w:right="196"/>
              <w:jc w:val="center"/>
              <w:rPr>
                <w:sz w:val="20"/>
              </w:rPr>
            </w:pPr>
            <w:r>
              <w:rPr>
                <w:sz w:val="20"/>
              </w:rPr>
              <w:t>30,000</w:t>
            </w:r>
          </w:p>
        </w:tc>
        <w:tc>
          <w:tcPr>
            <w:tcW w:w="1570" w:type="dxa"/>
            <w:tcBorders>
              <w:top w:val="single" w:sz="4" w:space="0" w:color="000000"/>
              <w:left w:val="single" w:sz="4" w:space="0" w:color="000000"/>
              <w:bottom w:val="single" w:sz="4" w:space="0" w:color="000000"/>
            </w:tcBorders>
          </w:tcPr>
          <w:p>
            <w:pPr>
              <w:pStyle w:val="TableParagraph"/>
              <w:spacing w:before="62"/>
              <w:ind w:right="314"/>
              <w:jc w:val="right"/>
              <w:rPr>
                <w:sz w:val="20"/>
              </w:rPr>
            </w:pPr>
            <w:r>
              <w:rPr>
                <w:sz w:val="20"/>
              </w:rPr>
              <w:t>360,000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spacing w:before="62"/>
              <w:ind w:left="151" w:right="162"/>
              <w:jc w:val="center"/>
              <w:rPr>
                <w:sz w:val="20"/>
              </w:rPr>
            </w:pPr>
            <w:r>
              <w:rPr>
                <w:sz w:val="20"/>
              </w:rPr>
              <w:t>13</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before="62"/>
              <w:jc w:val="center"/>
              <w:rPr>
                <w:sz w:val="20"/>
              </w:rPr>
            </w:pPr>
            <w:r>
              <w:rPr>
                <w:w w:val="99"/>
                <w:sz w:val="20"/>
              </w:rPr>
              <w:t>2</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before="62"/>
              <w:ind w:left="100"/>
              <w:rPr>
                <w:sz w:val="20"/>
              </w:rPr>
            </w:pPr>
            <w:r>
              <w:rPr>
                <w:sz w:val="20"/>
              </w:rPr>
              <w:t>24 50.168</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spacing w:before="62"/>
              <w:ind w:left="132" w:right="135"/>
              <w:jc w:val="center"/>
              <w:rPr>
                <w:sz w:val="20"/>
              </w:rPr>
            </w:pPr>
            <w:r>
              <w:rPr>
                <w:sz w:val="20"/>
              </w:rPr>
              <w:t>67 06.500</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Allah Ditta</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Kareem bux</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32301-2323674-7</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62"/>
              <w:ind w:left="195" w:right="196"/>
              <w:jc w:val="center"/>
              <w:rPr>
                <w:sz w:val="20"/>
              </w:rPr>
            </w:pPr>
            <w:r>
              <w:rPr>
                <w:sz w:val="20"/>
              </w:rPr>
              <w:t>20,000</w:t>
            </w:r>
          </w:p>
        </w:tc>
        <w:tc>
          <w:tcPr>
            <w:tcW w:w="1570" w:type="dxa"/>
            <w:tcBorders>
              <w:top w:val="single" w:sz="4" w:space="0" w:color="000000"/>
              <w:left w:val="single" w:sz="4" w:space="0" w:color="000000"/>
              <w:bottom w:val="single" w:sz="4" w:space="0" w:color="000000"/>
            </w:tcBorders>
          </w:tcPr>
          <w:p>
            <w:pPr>
              <w:pStyle w:val="TableParagraph"/>
              <w:spacing w:before="62"/>
              <w:ind w:right="314"/>
              <w:jc w:val="right"/>
              <w:rPr>
                <w:sz w:val="20"/>
              </w:rPr>
            </w:pPr>
            <w:r>
              <w:rPr>
                <w:sz w:val="20"/>
              </w:rPr>
              <w:t>240,000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spacing w:before="62"/>
              <w:ind w:left="151" w:right="162"/>
              <w:jc w:val="center"/>
              <w:rPr>
                <w:sz w:val="20"/>
              </w:rPr>
            </w:pPr>
            <w:r>
              <w:rPr>
                <w:sz w:val="20"/>
              </w:rPr>
              <w:t>14</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before="62"/>
              <w:jc w:val="center"/>
              <w:rPr>
                <w:sz w:val="20"/>
              </w:rPr>
            </w:pPr>
            <w:r>
              <w:rPr>
                <w:w w:val="99"/>
                <w:sz w:val="20"/>
              </w:rPr>
              <w:t>2</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before="62"/>
              <w:ind w:left="100"/>
              <w:rPr>
                <w:sz w:val="20"/>
              </w:rPr>
            </w:pPr>
            <w:r>
              <w:rPr>
                <w:sz w:val="20"/>
              </w:rPr>
              <w:t>24 50.168</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spacing w:before="62"/>
              <w:ind w:left="132" w:right="135"/>
              <w:jc w:val="center"/>
              <w:rPr>
                <w:sz w:val="20"/>
              </w:rPr>
            </w:pPr>
            <w:r>
              <w:rPr>
                <w:sz w:val="20"/>
              </w:rPr>
              <w:t>67 06.500</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Rozi Khan</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Haji Khalid Dad</w:t>
            </w:r>
          </w:p>
        </w:tc>
        <w:tc>
          <w:tcPr>
            <w:tcW w:w="1786" w:type="dxa"/>
            <w:tcBorders>
              <w:top w:val="single" w:sz="4" w:space="0" w:color="000000"/>
              <w:left w:val="single" w:sz="4" w:space="0" w:color="000000"/>
              <w:bottom w:val="single" w:sz="4" w:space="0" w:color="000000"/>
              <w:right w:val="single" w:sz="4" w:space="0" w:color="000000"/>
            </w:tcBorders>
          </w:tcPr>
          <w:p>
            <w:pP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62"/>
              <w:ind w:left="195" w:right="196"/>
              <w:jc w:val="center"/>
              <w:rPr>
                <w:sz w:val="20"/>
              </w:rPr>
            </w:pPr>
            <w:r>
              <w:rPr>
                <w:sz w:val="20"/>
              </w:rPr>
              <w:t>35,000</w:t>
            </w:r>
          </w:p>
        </w:tc>
        <w:tc>
          <w:tcPr>
            <w:tcW w:w="1570" w:type="dxa"/>
            <w:tcBorders>
              <w:top w:val="single" w:sz="4" w:space="0" w:color="000000"/>
              <w:left w:val="single" w:sz="4" w:space="0" w:color="000000"/>
              <w:bottom w:val="single" w:sz="4" w:space="0" w:color="000000"/>
            </w:tcBorders>
          </w:tcPr>
          <w:p>
            <w:pPr>
              <w:pStyle w:val="TableParagraph"/>
              <w:spacing w:before="62"/>
              <w:ind w:right="314"/>
              <w:jc w:val="right"/>
              <w:rPr>
                <w:sz w:val="20"/>
              </w:rPr>
            </w:pPr>
            <w:r>
              <w:rPr>
                <w:sz w:val="20"/>
              </w:rPr>
              <w:t>420,000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spacing w:before="62"/>
              <w:ind w:left="151" w:right="162"/>
              <w:jc w:val="center"/>
              <w:rPr>
                <w:sz w:val="20"/>
              </w:rPr>
            </w:pPr>
            <w:r>
              <w:rPr>
                <w:sz w:val="20"/>
              </w:rPr>
              <w:t>15</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before="62"/>
              <w:jc w:val="center"/>
              <w:rPr>
                <w:sz w:val="20"/>
              </w:rPr>
            </w:pPr>
            <w:r>
              <w:rPr>
                <w:w w:val="99"/>
                <w:sz w:val="20"/>
              </w:rPr>
              <w:t>2</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before="62"/>
              <w:ind w:left="100"/>
              <w:rPr>
                <w:sz w:val="20"/>
              </w:rPr>
            </w:pPr>
            <w:r>
              <w:rPr>
                <w:sz w:val="20"/>
              </w:rPr>
              <w:t>24 50.168</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spacing w:before="62"/>
              <w:ind w:left="132" w:right="135"/>
              <w:jc w:val="center"/>
              <w:rPr>
                <w:sz w:val="20"/>
              </w:rPr>
            </w:pPr>
            <w:r>
              <w:rPr>
                <w:sz w:val="20"/>
              </w:rPr>
              <w:t>67 06.500</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Arshad</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Akbar</w:t>
            </w:r>
          </w:p>
        </w:tc>
        <w:tc>
          <w:tcPr>
            <w:tcW w:w="1786" w:type="dxa"/>
            <w:tcBorders>
              <w:top w:val="single" w:sz="4" w:space="0" w:color="000000"/>
              <w:left w:val="single" w:sz="4" w:space="0" w:color="000000"/>
              <w:bottom w:val="single" w:sz="4" w:space="0" w:color="000000"/>
              <w:right w:val="single" w:sz="4" w:space="0" w:color="000000"/>
            </w:tcBorders>
          </w:tcPr>
          <w:p>
            <w:pP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62"/>
              <w:ind w:left="195" w:right="196"/>
              <w:jc w:val="center"/>
              <w:rPr>
                <w:sz w:val="20"/>
              </w:rPr>
            </w:pPr>
            <w:r>
              <w:rPr>
                <w:sz w:val="20"/>
              </w:rPr>
              <w:t>15,000</w:t>
            </w:r>
          </w:p>
        </w:tc>
        <w:tc>
          <w:tcPr>
            <w:tcW w:w="1570" w:type="dxa"/>
            <w:tcBorders>
              <w:top w:val="single" w:sz="4" w:space="0" w:color="000000"/>
              <w:left w:val="single" w:sz="4" w:space="0" w:color="000000"/>
              <w:bottom w:val="single" w:sz="4" w:space="0" w:color="000000"/>
            </w:tcBorders>
          </w:tcPr>
          <w:p>
            <w:pPr>
              <w:pStyle w:val="TableParagraph"/>
              <w:spacing w:before="62"/>
              <w:ind w:right="314"/>
              <w:jc w:val="right"/>
              <w:rPr>
                <w:sz w:val="20"/>
              </w:rPr>
            </w:pPr>
            <w:r>
              <w:rPr>
                <w:sz w:val="20"/>
              </w:rPr>
              <w:t>180,000</w:t>
            </w:r>
          </w:p>
        </w:tc>
      </w:tr>
      <w:tr>
        <w:trPr>
          <w:trHeight w:val="361" w:hRule="exact"/>
        </w:trPr>
        <w:tc>
          <w:tcPr>
            <w:tcW w:w="596" w:type="dxa"/>
            <w:tcBorders>
              <w:top w:val="single" w:sz="4" w:space="0" w:color="000000"/>
              <w:bottom w:val="single" w:sz="4" w:space="0" w:color="000000"/>
              <w:right w:val="single" w:sz="4" w:space="0" w:color="000000"/>
            </w:tcBorders>
          </w:tcPr>
          <w:p>
            <w:pPr>
              <w:pStyle w:val="TableParagraph"/>
              <w:spacing w:before="62"/>
              <w:ind w:left="151" w:right="162"/>
              <w:jc w:val="center"/>
              <w:rPr>
                <w:sz w:val="20"/>
              </w:rPr>
            </w:pPr>
            <w:r>
              <w:rPr>
                <w:sz w:val="20"/>
              </w:rPr>
              <w:t>16</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before="62"/>
              <w:jc w:val="center"/>
              <w:rPr>
                <w:sz w:val="20"/>
              </w:rPr>
            </w:pPr>
            <w:r>
              <w:rPr>
                <w:w w:val="99"/>
                <w:sz w:val="20"/>
              </w:rPr>
              <w:t>2</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before="62"/>
              <w:ind w:left="100"/>
              <w:rPr>
                <w:sz w:val="20"/>
              </w:rPr>
            </w:pPr>
            <w:r>
              <w:rPr>
                <w:sz w:val="20"/>
              </w:rPr>
              <w:t>24 50.139</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spacing w:before="62"/>
              <w:ind w:left="132" w:right="135"/>
              <w:jc w:val="center"/>
              <w:rPr>
                <w:sz w:val="20"/>
              </w:rPr>
            </w:pPr>
            <w:r>
              <w:rPr>
                <w:sz w:val="20"/>
              </w:rPr>
              <w:t>67 06.353</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Muhammad Awais</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Muhammad Quresh</w:t>
            </w:r>
          </w:p>
        </w:tc>
        <w:tc>
          <w:tcPr>
            <w:tcW w:w="1786" w:type="dxa"/>
            <w:tcBorders>
              <w:top w:val="single" w:sz="4" w:space="0" w:color="000000"/>
              <w:left w:val="single" w:sz="4" w:space="0" w:color="000000"/>
              <w:bottom w:val="single" w:sz="4" w:space="0" w:color="000000"/>
              <w:right w:val="single" w:sz="4" w:space="0" w:color="000000"/>
            </w:tcBorders>
          </w:tcPr>
          <w:p>
            <w:pP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62"/>
              <w:ind w:left="195" w:right="196"/>
              <w:jc w:val="center"/>
              <w:rPr>
                <w:sz w:val="20"/>
              </w:rPr>
            </w:pPr>
            <w:r>
              <w:rPr>
                <w:sz w:val="20"/>
              </w:rPr>
              <w:t>45,000</w:t>
            </w:r>
          </w:p>
        </w:tc>
        <w:tc>
          <w:tcPr>
            <w:tcW w:w="1570" w:type="dxa"/>
            <w:tcBorders>
              <w:top w:val="single" w:sz="4" w:space="0" w:color="000000"/>
              <w:left w:val="single" w:sz="4" w:space="0" w:color="000000"/>
              <w:bottom w:val="single" w:sz="4" w:space="0" w:color="000000"/>
            </w:tcBorders>
          </w:tcPr>
          <w:p>
            <w:pPr>
              <w:pStyle w:val="TableParagraph"/>
              <w:spacing w:before="62"/>
              <w:ind w:right="314"/>
              <w:jc w:val="right"/>
              <w:rPr>
                <w:sz w:val="20"/>
              </w:rPr>
            </w:pPr>
            <w:r>
              <w:rPr>
                <w:sz w:val="20"/>
              </w:rPr>
              <w:t>540,000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spacing w:before="62"/>
              <w:ind w:left="151" w:right="162"/>
              <w:jc w:val="center"/>
              <w:rPr>
                <w:sz w:val="20"/>
              </w:rPr>
            </w:pPr>
            <w:r>
              <w:rPr>
                <w:sz w:val="20"/>
              </w:rPr>
              <w:t>17</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before="62"/>
              <w:jc w:val="center"/>
              <w:rPr>
                <w:sz w:val="20"/>
              </w:rPr>
            </w:pPr>
            <w:r>
              <w:rPr>
                <w:w w:val="99"/>
                <w:sz w:val="20"/>
              </w:rPr>
              <w:t>2</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before="62"/>
              <w:ind w:left="100"/>
              <w:rPr>
                <w:sz w:val="20"/>
              </w:rPr>
            </w:pPr>
            <w:r>
              <w:rPr>
                <w:sz w:val="20"/>
              </w:rPr>
              <w:t>24 50.139</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spacing w:before="62"/>
              <w:ind w:left="132" w:right="135"/>
              <w:jc w:val="center"/>
              <w:rPr>
                <w:sz w:val="20"/>
              </w:rPr>
            </w:pPr>
            <w:r>
              <w:rPr>
                <w:sz w:val="20"/>
              </w:rPr>
              <w:t>67 06.353</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Wali Daad</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Haji Khalaq Daad</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22301-7531228-1</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62"/>
              <w:ind w:left="195" w:right="196"/>
              <w:jc w:val="center"/>
              <w:rPr>
                <w:sz w:val="20"/>
              </w:rPr>
            </w:pPr>
            <w:r>
              <w:rPr>
                <w:sz w:val="20"/>
              </w:rPr>
              <w:t>35,000</w:t>
            </w:r>
          </w:p>
        </w:tc>
        <w:tc>
          <w:tcPr>
            <w:tcW w:w="1570" w:type="dxa"/>
            <w:tcBorders>
              <w:top w:val="single" w:sz="4" w:space="0" w:color="000000"/>
              <w:left w:val="single" w:sz="4" w:space="0" w:color="000000"/>
              <w:bottom w:val="single" w:sz="4" w:space="0" w:color="000000"/>
            </w:tcBorders>
          </w:tcPr>
          <w:p>
            <w:pPr>
              <w:pStyle w:val="TableParagraph"/>
              <w:spacing w:before="62"/>
              <w:ind w:right="314"/>
              <w:jc w:val="right"/>
              <w:rPr>
                <w:sz w:val="20"/>
              </w:rPr>
            </w:pPr>
            <w:r>
              <w:rPr>
                <w:sz w:val="20"/>
              </w:rPr>
              <w:t>420,000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spacing w:before="62"/>
              <w:ind w:left="151" w:right="162"/>
              <w:jc w:val="center"/>
              <w:rPr>
                <w:sz w:val="20"/>
              </w:rPr>
            </w:pPr>
            <w:r>
              <w:rPr>
                <w:sz w:val="20"/>
              </w:rPr>
              <w:t>18</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before="62"/>
              <w:jc w:val="center"/>
              <w:rPr>
                <w:sz w:val="20"/>
              </w:rPr>
            </w:pPr>
            <w:r>
              <w:rPr>
                <w:w w:val="99"/>
                <w:sz w:val="20"/>
              </w:rPr>
              <w:t>2</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before="62"/>
              <w:ind w:left="100"/>
              <w:rPr>
                <w:sz w:val="20"/>
              </w:rPr>
            </w:pPr>
            <w:r>
              <w:rPr>
                <w:sz w:val="20"/>
              </w:rPr>
              <w:t>24 50.139</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spacing w:before="62"/>
              <w:ind w:left="132" w:right="135"/>
              <w:jc w:val="center"/>
              <w:rPr>
                <w:sz w:val="20"/>
              </w:rPr>
            </w:pPr>
            <w:r>
              <w:rPr>
                <w:sz w:val="20"/>
              </w:rPr>
              <w:t>67 06.353</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Dilawar khan</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Juma khan</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spacing w:before="62"/>
              <w:ind w:left="67"/>
              <w:rPr>
                <w:sz w:val="20"/>
              </w:rPr>
            </w:pPr>
            <w:r>
              <w:rPr>
                <w:sz w:val="20"/>
              </w:rPr>
              <w:t>43103-3653370-1</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62"/>
              <w:ind w:left="195" w:right="196"/>
              <w:jc w:val="center"/>
              <w:rPr>
                <w:sz w:val="20"/>
              </w:rPr>
            </w:pPr>
            <w:r>
              <w:rPr>
                <w:sz w:val="20"/>
              </w:rPr>
              <w:t>18,000</w:t>
            </w:r>
          </w:p>
        </w:tc>
        <w:tc>
          <w:tcPr>
            <w:tcW w:w="1570" w:type="dxa"/>
            <w:tcBorders>
              <w:top w:val="single" w:sz="4" w:space="0" w:color="000000"/>
              <w:left w:val="single" w:sz="4" w:space="0" w:color="000000"/>
              <w:bottom w:val="single" w:sz="4" w:space="0" w:color="000000"/>
            </w:tcBorders>
          </w:tcPr>
          <w:p>
            <w:pPr>
              <w:pStyle w:val="TableParagraph"/>
              <w:spacing w:before="62"/>
              <w:ind w:right="314"/>
              <w:jc w:val="right"/>
              <w:rPr>
                <w:sz w:val="20"/>
              </w:rPr>
            </w:pPr>
            <w:r>
              <w:rPr>
                <w:sz w:val="20"/>
              </w:rPr>
              <w:t>216,000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19</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2</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24 50.113</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67 06.227</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Suleman</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Gulistan</w:t>
            </w:r>
          </w:p>
        </w:tc>
        <w:tc>
          <w:tcPr>
            <w:tcW w:w="1786" w:type="dxa"/>
            <w:tcBorders>
              <w:top w:val="single" w:sz="4" w:space="0" w:color="000000"/>
              <w:left w:val="single" w:sz="4" w:space="0" w:color="000000"/>
              <w:bottom w:val="single" w:sz="4" w:space="0" w:color="000000"/>
              <w:right w:val="single" w:sz="4" w:space="0" w:color="000000"/>
            </w:tcBorders>
          </w:tcPr>
          <w:p>
            <w:pP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left="195" w:right="196"/>
              <w:jc w:val="center"/>
              <w:rPr>
                <w:sz w:val="20"/>
              </w:rPr>
            </w:pPr>
            <w:r>
              <w:rPr>
                <w:sz w:val="20"/>
              </w:rPr>
              <w:t>40,000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480,000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20</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2</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24 50.113</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67 06.227</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Sher Alam</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Fazzal Rehman</w:t>
            </w:r>
          </w:p>
        </w:tc>
        <w:tc>
          <w:tcPr>
            <w:tcW w:w="1786" w:type="dxa"/>
            <w:tcBorders>
              <w:top w:val="single" w:sz="4" w:space="0" w:color="000000"/>
              <w:left w:val="single" w:sz="4" w:space="0" w:color="000000"/>
              <w:bottom w:val="single" w:sz="4" w:space="0" w:color="000000"/>
              <w:right w:val="single" w:sz="4" w:space="0" w:color="000000"/>
            </w:tcBorders>
          </w:tcPr>
          <w:p>
            <w:pP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left="195" w:right="196"/>
              <w:jc w:val="center"/>
              <w:rPr>
                <w:sz w:val="20"/>
              </w:rPr>
            </w:pPr>
            <w:r>
              <w:rPr>
                <w:sz w:val="20"/>
              </w:rPr>
              <w:t>30,000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360,000</w:t>
            </w:r>
          </w:p>
        </w:tc>
      </w:tr>
      <w:tr>
        <w:trPr>
          <w:trHeight w:val="370" w:hRule="exact"/>
        </w:trPr>
        <w:tc>
          <w:tcPr>
            <w:tcW w:w="596" w:type="dxa"/>
            <w:tcBorders>
              <w:top w:val="single" w:sz="4" w:space="0" w:color="000000"/>
              <w:right w:val="single" w:sz="4" w:space="0" w:color="000000"/>
            </w:tcBorders>
          </w:tcPr>
          <w:p>
            <w:pPr>
              <w:pStyle w:val="TableParagraph"/>
              <w:ind w:left="151" w:right="162"/>
              <w:jc w:val="center"/>
              <w:rPr>
                <w:sz w:val="20"/>
              </w:rPr>
            </w:pPr>
            <w:r>
              <w:rPr>
                <w:sz w:val="20"/>
              </w:rPr>
              <w:t>21</w:t>
            </w:r>
          </w:p>
        </w:tc>
        <w:tc>
          <w:tcPr>
            <w:tcW w:w="989" w:type="dxa"/>
            <w:tcBorders>
              <w:top w:val="single" w:sz="4" w:space="0" w:color="000000"/>
              <w:left w:val="single" w:sz="4" w:space="0" w:color="000000"/>
              <w:right w:val="single" w:sz="4" w:space="0" w:color="000000"/>
            </w:tcBorders>
          </w:tcPr>
          <w:p>
            <w:pPr>
              <w:pStyle w:val="TableParagraph"/>
              <w:jc w:val="center"/>
              <w:rPr>
                <w:sz w:val="20"/>
              </w:rPr>
            </w:pPr>
            <w:r>
              <w:rPr>
                <w:w w:val="99"/>
                <w:sz w:val="20"/>
              </w:rPr>
              <w:t>2</w:t>
            </w:r>
          </w:p>
        </w:tc>
        <w:tc>
          <w:tcPr>
            <w:tcW w:w="1104" w:type="dxa"/>
            <w:tcBorders>
              <w:top w:val="single" w:sz="4" w:space="0" w:color="000000"/>
              <w:left w:val="single" w:sz="4" w:space="0" w:color="000000"/>
              <w:right w:val="single" w:sz="4" w:space="0" w:color="000000"/>
            </w:tcBorders>
          </w:tcPr>
          <w:p>
            <w:pPr>
              <w:pStyle w:val="TableParagraph"/>
              <w:ind w:left="100"/>
              <w:rPr>
                <w:sz w:val="20"/>
              </w:rPr>
            </w:pPr>
            <w:r>
              <w:rPr>
                <w:sz w:val="20"/>
              </w:rPr>
              <w:t>24 50.113</w:t>
            </w:r>
          </w:p>
        </w:tc>
        <w:tc>
          <w:tcPr>
            <w:tcW w:w="1210" w:type="dxa"/>
            <w:tcBorders>
              <w:top w:val="single" w:sz="4" w:space="0" w:color="000000"/>
              <w:left w:val="single" w:sz="4" w:space="0" w:color="000000"/>
              <w:right w:val="single" w:sz="4" w:space="0" w:color="000000"/>
            </w:tcBorders>
          </w:tcPr>
          <w:p>
            <w:pPr>
              <w:pStyle w:val="TableParagraph"/>
              <w:ind w:left="132" w:right="135"/>
              <w:jc w:val="center"/>
              <w:rPr>
                <w:sz w:val="20"/>
              </w:rPr>
            </w:pPr>
            <w:r>
              <w:rPr>
                <w:sz w:val="20"/>
              </w:rPr>
              <w:t>67 06.227</w:t>
            </w:r>
          </w:p>
        </w:tc>
        <w:tc>
          <w:tcPr>
            <w:tcW w:w="2546" w:type="dxa"/>
            <w:tcBorders>
              <w:top w:val="single" w:sz="4" w:space="0" w:color="000000"/>
              <w:left w:val="single" w:sz="4" w:space="0" w:color="000000"/>
              <w:right w:val="single" w:sz="4" w:space="0" w:color="000000"/>
            </w:tcBorders>
          </w:tcPr>
          <w:p>
            <w:pPr>
              <w:pStyle w:val="TableParagraph"/>
              <w:ind w:left="67"/>
              <w:rPr>
                <w:sz w:val="20"/>
              </w:rPr>
            </w:pPr>
            <w:r>
              <w:rPr>
                <w:sz w:val="20"/>
              </w:rPr>
              <w:t>Muhammad Shaziq</w:t>
            </w:r>
          </w:p>
        </w:tc>
        <w:tc>
          <w:tcPr>
            <w:tcW w:w="2506" w:type="dxa"/>
            <w:tcBorders>
              <w:top w:val="single" w:sz="4" w:space="0" w:color="000000"/>
              <w:left w:val="single" w:sz="4" w:space="0" w:color="000000"/>
              <w:right w:val="single" w:sz="4" w:space="0" w:color="000000"/>
            </w:tcBorders>
          </w:tcPr>
          <w:p>
            <w:pPr>
              <w:pStyle w:val="TableParagraph"/>
              <w:ind w:left="67"/>
              <w:rPr>
                <w:sz w:val="20"/>
              </w:rPr>
            </w:pPr>
            <w:r>
              <w:rPr>
                <w:sz w:val="20"/>
              </w:rPr>
              <w:t>Chaudhry Gul Muhammad</w:t>
            </w:r>
          </w:p>
        </w:tc>
        <w:tc>
          <w:tcPr>
            <w:tcW w:w="1786" w:type="dxa"/>
            <w:tcBorders>
              <w:top w:val="single" w:sz="4" w:space="0" w:color="000000"/>
              <w:left w:val="single" w:sz="4" w:space="0" w:color="000000"/>
              <w:right w:val="single" w:sz="4" w:space="0" w:color="000000"/>
            </w:tcBorders>
          </w:tcPr>
          <w:p>
            <w:pPr/>
          </w:p>
        </w:tc>
        <w:tc>
          <w:tcPr>
            <w:tcW w:w="1333" w:type="dxa"/>
            <w:tcBorders>
              <w:top w:val="single" w:sz="4" w:space="0" w:color="000000"/>
              <w:left w:val="single" w:sz="4" w:space="0" w:color="000000"/>
              <w:right w:val="single" w:sz="4" w:space="0" w:color="000000"/>
            </w:tcBorders>
          </w:tcPr>
          <w:p>
            <w:pPr>
              <w:pStyle w:val="TableParagraph"/>
              <w:ind w:left="195" w:right="196"/>
              <w:jc w:val="center"/>
              <w:rPr>
                <w:sz w:val="20"/>
              </w:rPr>
            </w:pPr>
            <w:r>
              <w:rPr>
                <w:sz w:val="20"/>
              </w:rPr>
              <w:t>21,000</w:t>
            </w:r>
          </w:p>
        </w:tc>
        <w:tc>
          <w:tcPr>
            <w:tcW w:w="1570" w:type="dxa"/>
            <w:tcBorders>
              <w:top w:val="single" w:sz="4" w:space="0" w:color="000000"/>
              <w:left w:val="single" w:sz="4" w:space="0" w:color="000000"/>
            </w:tcBorders>
          </w:tcPr>
          <w:p>
            <w:pPr>
              <w:pStyle w:val="TableParagraph"/>
              <w:ind w:right="314"/>
              <w:jc w:val="right"/>
              <w:rPr>
                <w:sz w:val="20"/>
              </w:rPr>
            </w:pPr>
            <w:r>
              <w:rPr>
                <w:sz w:val="20"/>
              </w:rPr>
              <w:t>252,000</w:t>
            </w:r>
          </w:p>
        </w:tc>
      </w:tr>
    </w:tbl>
    <w:p>
      <w:pPr>
        <w:spacing w:after="0"/>
        <w:jc w:val="right"/>
        <w:rPr>
          <w:sz w:val="20"/>
        </w:rPr>
        <w:sectPr>
          <w:headerReference w:type="default" r:id="rId66"/>
          <w:footerReference w:type="default" r:id="rId67"/>
          <w:pgSz w:w="16840" w:h="11910" w:orient="landscape"/>
          <w:pgMar w:header="583" w:footer="575" w:top="840" w:bottom="760" w:left="860" w:right="1280"/>
          <w:pgNumType w:start="77"/>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6"/>
        </w:rPr>
      </w:pPr>
    </w:p>
    <w:tbl>
      <w:tblPr>
        <w:tblW w:w="0" w:type="auto"/>
        <w:jc w:val="left"/>
        <w:tblInd w:w="9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96"/>
        <w:gridCol w:w="989"/>
        <w:gridCol w:w="1104"/>
        <w:gridCol w:w="1210"/>
        <w:gridCol w:w="2546"/>
        <w:gridCol w:w="2506"/>
        <w:gridCol w:w="1786"/>
        <w:gridCol w:w="1333"/>
        <w:gridCol w:w="1570"/>
      </w:tblGrid>
      <w:tr>
        <w:trPr>
          <w:trHeight w:val="370" w:hRule="exact"/>
        </w:trPr>
        <w:tc>
          <w:tcPr>
            <w:tcW w:w="596" w:type="dxa"/>
            <w:vMerge w:val="restart"/>
            <w:tcBorders>
              <w:right w:val="single" w:sz="4" w:space="0" w:color="000000"/>
            </w:tcBorders>
            <w:shd w:val="clear" w:color="auto" w:fill="D9D9D9"/>
          </w:tcPr>
          <w:p>
            <w:pPr>
              <w:pStyle w:val="TableParagraph"/>
              <w:ind w:left="182"/>
              <w:rPr>
                <w:b/>
                <w:sz w:val="20"/>
              </w:rPr>
            </w:pPr>
            <w:r>
              <w:rPr>
                <w:b/>
                <w:sz w:val="20"/>
              </w:rPr>
              <w:t>ID</w:t>
            </w:r>
          </w:p>
        </w:tc>
        <w:tc>
          <w:tcPr>
            <w:tcW w:w="989" w:type="dxa"/>
            <w:vMerge w:val="restart"/>
            <w:tcBorders>
              <w:left w:val="single" w:sz="4" w:space="0" w:color="000000"/>
              <w:right w:val="single" w:sz="4" w:space="0" w:color="000000"/>
            </w:tcBorders>
            <w:shd w:val="clear" w:color="auto" w:fill="D9D9D9"/>
          </w:tcPr>
          <w:p>
            <w:pPr>
              <w:pStyle w:val="TableParagraph"/>
              <w:ind w:left="328" w:hanging="262"/>
              <w:rPr>
                <w:b/>
                <w:sz w:val="20"/>
              </w:rPr>
            </w:pPr>
            <w:r>
              <w:rPr>
                <w:b/>
                <w:w w:val="95"/>
                <w:sz w:val="20"/>
              </w:rPr>
              <w:t>Segment </w:t>
            </w:r>
            <w:r>
              <w:rPr>
                <w:b/>
                <w:sz w:val="20"/>
              </w:rPr>
              <w:t>No.</w:t>
            </w:r>
          </w:p>
        </w:tc>
        <w:tc>
          <w:tcPr>
            <w:tcW w:w="2314" w:type="dxa"/>
            <w:gridSpan w:val="2"/>
            <w:tcBorders>
              <w:left w:val="single" w:sz="4" w:space="0" w:color="000000"/>
              <w:bottom w:val="single" w:sz="4" w:space="0" w:color="000000"/>
              <w:right w:val="single" w:sz="4" w:space="0" w:color="000000"/>
            </w:tcBorders>
            <w:shd w:val="clear" w:color="auto" w:fill="D9D9D9"/>
          </w:tcPr>
          <w:p>
            <w:pPr>
              <w:pStyle w:val="TableParagraph"/>
              <w:ind w:left="566"/>
              <w:rPr>
                <w:b/>
                <w:sz w:val="20"/>
              </w:rPr>
            </w:pPr>
            <w:r>
              <w:rPr>
                <w:b/>
                <w:sz w:val="20"/>
              </w:rPr>
              <w:t>Coordinates</w:t>
            </w:r>
          </w:p>
        </w:tc>
        <w:tc>
          <w:tcPr>
            <w:tcW w:w="2546" w:type="dxa"/>
            <w:vMerge w:val="restart"/>
            <w:tcBorders>
              <w:left w:val="single" w:sz="4" w:space="0" w:color="000000"/>
              <w:right w:val="single" w:sz="4" w:space="0" w:color="000000"/>
            </w:tcBorders>
            <w:shd w:val="clear" w:color="auto" w:fill="D9D9D9"/>
          </w:tcPr>
          <w:p>
            <w:pPr>
              <w:pStyle w:val="TableParagraph"/>
              <w:ind w:left="388"/>
              <w:rPr>
                <w:b/>
                <w:sz w:val="20"/>
              </w:rPr>
            </w:pPr>
            <w:r>
              <w:rPr>
                <w:b/>
                <w:sz w:val="20"/>
              </w:rPr>
              <w:t>Respondent Name</w:t>
            </w:r>
          </w:p>
        </w:tc>
        <w:tc>
          <w:tcPr>
            <w:tcW w:w="2506" w:type="dxa"/>
            <w:vMerge w:val="restart"/>
            <w:tcBorders>
              <w:left w:val="single" w:sz="4" w:space="0" w:color="000000"/>
              <w:right w:val="single" w:sz="4" w:space="0" w:color="000000"/>
            </w:tcBorders>
            <w:shd w:val="clear" w:color="auto" w:fill="D9D9D9"/>
          </w:tcPr>
          <w:p>
            <w:pPr>
              <w:pStyle w:val="TableParagraph"/>
              <w:ind w:left="561"/>
              <w:rPr>
                <w:b/>
                <w:sz w:val="20"/>
              </w:rPr>
            </w:pPr>
            <w:r>
              <w:rPr>
                <w:b/>
                <w:sz w:val="20"/>
              </w:rPr>
              <w:t>Father's Name</w:t>
            </w:r>
          </w:p>
        </w:tc>
        <w:tc>
          <w:tcPr>
            <w:tcW w:w="1786" w:type="dxa"/>
            <w:vMerge w:val="restart"/>
            <w:tcBorders>
              <w:left w:val="single" w:sz="4" w:space="0" w:color="000000"/>
              <w:right w:val="single" w:sz="4" w:space="0" w:color="000000"/>
            </w:tcBorders>
            <w:shd w:val="clear" w:color="auto" w:fill="D9D9D9"/>
          </w:tcPr>
          <w:p>
            <w:pPr>
              <w:pStyle w:val="TableParagraph"/>
              <w:ind w:left="727" w:hanging="617"/>
              <w:rPr>
                <w:b/>
                <w:sz w:val="20"/>
              </w:rPr>
            </w:pPr>
            <w:r>
              <w:rPr>
                <w:b/>
                <w:sz w:val="20"/>
              </w:rPr>
              <w:t>Respondent NIC No.</w:t>
            </w:r>
          </w:p>
        </w:tc>
        <w:tc>
          <w:tcPr>
            <w:tcW w:w="1333" w:type="dxa"/>
            <w:vMerge w:val="restart"/>
            <w:tcBorders>
              <w:left w:val="single" w:sz="4" w:space="0" w:color="000000"/>
              <w:right w:val="single" w:sz="4" w:space="0" w:color="000000"/>
            </w:tcBorders>
            <w:shd w:val="clear" w:color="auto" w:fill="D9D9D9"/>
          </w:tcPr>
          <w:p>
            <w:pPr>
              <w:pStyle w:val="TableParagraph"/>
              <w:ind w:left="309" w:right="259" w:hanging="32"/>
              <w:rPr>
                <w:b/>
                <w:sz w:val="20"/>
              </w:rPr>
            </w:pPr>
            <w:r>
              <w:rPr>
                <w:b/>
                <w:sz w:val="20"/>
              </w:rPr>
              <w:t>Monthly Income</w:t>
            </w:r>
          </w:p>
        </w:tc>
        <w:tc>
          <w:tcPr>
            <w:tcW w:w="1570" w:type="dxa"/>
            <w:vMerge w:val="restart"/>
            <w:tcBorders>
              <w:left w:val="single" w:sz="4" w:space="0" w:color="000000"/>
            </w:tcBorders>
            <w:shd w:val="clear" w:color="auto" w:fill="D9D9D9"/>
          </w:tcPr>
          <w:p>
            <w:pPr>
              <w:pStyle w:val="TableParagraph"/>
              <w:ind w:left="285" w:right="269" w:firstLine="9"/>
              <w:rPr>
                <w:b/>
                <w:sz w:val="20"/>
              </w:rPr>
            </w:pPr>
            <w:r>
              <w:rPr>
                <w:b/>
                <w:sz w:val="20"/>
              </w:rPr>
              <w:t>Transition </w:t>
            </w:r>
            <w:r>
              <w:rPr>
                <w:b/>
                <w:w w:val="95"/>
                <w:sz w:val="20"/>
              </w:rPr>
              <w:t>Allowance</w:t>
            </w:r>
          </w:p>
        </w:tc>
      </w:tr>
      <w:tr>
        <w:trPr>
          <w:trHeight w:val="360" w:hRule="exact"/>
        </w:trPr>
        <w:tc>
          <w:tcPr>
            <w:tcW w:w="596" w:type="dxa"/>
            <w:vMerge/>
            <w:tcBorders>
              <w:bottom w:val="single" w:sz="4" w:space="0" w:color="000000"/>
              <w:right w:val="single" w:sz="4" w:space="0" w:color="000000"/>
            </w:tcBorders>
            <w:shd w:val="clear" w:color="auto" w:fill="D9D9D9"/>
          </w:tcPr>
          <w:p>
            <w:pPr/>
          </w:p>
        </w:tc>
        <w:tc>
          <w:tcPr>
            <w:tcW w:w="989" w:type="dxa"/>
            <w:vMerge/>
            <w:tcBorders>
              <w:left w:val="single" w:sz="4" w:space="0" w:color="000000"/>
              <w:bottom w:val="single" w:sz="4" w:space="0" w:color="000000"/>
              <w:right w:val="single" w:sz="4" w:space="0" w:color="000000"/>
            </w:tcBorders>
            <w:shd w:val="clear" w:color="auto" w:fill="D9D9D9"/>
          </w:tcPr>
          <w:p>
            <w:pPr/>
          </w:p>
        </w:tc>
        <w:tc>
          <w:tcPr>
            <w:tcW w:w="1104"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ind w:left="129"/>
              <w:rPr>
                <w:b/>
                <w:sz w:val="20"/>
              </w:rPr>
            </w:pPr>
            <w:r>
              <w:rPr>
                <w:b/>
                <w:sz w:val="20"/>
              </w:rPr>
              <w:t>Northing</w:t>
            </w:r>
          </w:p>
        </w:tc>
        <w:tc>
          <w:tcPr>
            <w:tcW w:w="121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ind w:left="131" w:right="135"/>
              <w:jc w:val="center"/>
              <w:rPr>
                <w:b/>
                <w:sz w:val="20"/>
              </w:rPr>
            </w:pPr>
            <w:r>
              <w:rPr>
                <w:b/>
                <w:sz w:val="20"/>
              </w:rPr>
              <w:t>Easting</w:t>
            </w:r>
          </w:p>
        </w:tc>
        <w:tc>
          <w:tcPr>
            <w:tcW w:w="2546" w:type="dxa"/>
            <w:vMerge/>
            <w:tcBorders>
              <w:left w:val="single" w:sz="4" w:space="0" w:color="000000"/>
              <w:bottom w:val="single" w:sz="4" w:space="0" w:color="000000"/>
              <w:right w:val="single" w:sz="4" w:space="0" w:color="000000"/>
            </w:tcBorders>
            <w:shd w:val="clear" w:color="auto" w:fill="D9D9D9"/>
          </w:tcPr>
          <w:p>
            <w:pPr/>
          </w:p>
        </w:tc>
        <w:tc>
          <w:tcPr>
            <w:tcW w:w="2506" w:type="dxa"/>
            <w:vMerge/>
            <w:tcBorders>
              <w:left w:val="single" w:sz="4" w:space="0" w:color="000000"/>
              <w:bottom w:val="single" w:sz="4" w:space="0" w:color="000000"/>
              <w:right w:val="single" w:sz="4" w:space="0" w:color="000000"/>
            </w:tcBorders>
            <w:shd w:val="clear" w:color="auto" w:fill="D9D9D9"/>
          </w:tcPr>
          <w:p>
            <w:pPr/>
          </w:p>
        </w:tc>
        <w:tc>
          <w:tcPr>
            <w:tcW w:w="1786" w:type="dxa"/>
            <w:vMerge/>
            <w:tcBorders>
              <w:left w:val="single" w:sz="4" w:space="0" w:color="000000"/>
              <w:bottom w:val="single" w:sz="4" w:space="0" w:color="000000"/>
              <w:right w:val="single" w:sz="4" w:space="0" w:color="000000"/>
            </w:tcBorders>
            <w:shd w:val="clear" w:color="auto" w:fill="D9D9D9"/>
          </w:tcPr>
          <w:p>
            <w:pPr/>
          </w:p>
        </w:tc>
        <w:tc>
          <w:tcPr>
            <w:tcW w:w="1333" w:type="dxa"/>
            <w:vMerge/>
            <w:tcBorders>
              <w:left w:val="single" w:sz="4" w:space="0" w:color="000000"/>
              <w:bottom w:val="single" w:sz="4" w:space="0" w:color="000000"/>
              <w:right w:val="single" w:sz="4" w:space="0" w:color="000000"/>
            </w:tcBorders>
            <w:shd w:val="clear" w:color="auto" w:fill="D9D9D9"/>
          </w:tcPr>
          <w:p>
            <w:pPr/>
          </w:p>
        </w:tc>
        <w:tc>
          <w:tcPr>
            <w:tcW w:w="1570" w:type="dxa"/>
            <w:vMerge/>
            <w:tcBorders>
              <w:left w:val="single" w:sz="4" w:space="0" w:color="000000"/>
              <w:bottom w:val="single" w:sz="4" w:space="0" w:color="000000"/>
            </w:tcBorders>
            <w:shd w:val="clear" w:color="auto" w:fill="D9D9D9"/>
          </w:tcPr>
          <w:p>
            <w:pP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22</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5</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24 49.924</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67 04.629</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Mehboob</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Mehfooz Hussauin</w:t>
            </w:r>
          </w:p>
        </w:tc>
        <w:tc>
          <w:tcPr>
            <w:tcW w:w="1786" w:type="dxa"/>
            <w:tcBorders>
              <w:top w:val="single" w:sz="4" w:space="0" w:color="000000"/>
              <w:left w:val="single" w:sz="4" w:space="0" w:color="000000"/>
              <w:bottom w:val="single" w:sz="4" w:space="0" w:color="000000"/>
              <w:right w:val="single" w:sz="4" w:space="0" w:color="000000"/>
            </w:tcBorders>
          </w:tcPr>
          <w:p>
            <w:pP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left="195" w:right="196"/>
              <w:jc w:val="center"/>
              <w:rPr>
                <w:sz w:val="20"/>
              </w:rPr>
            </w:pPr>
            <w:r>
              <w:rPr>
                <w:sz w:val="20"/>
              </w:rPr>
              <w:t>10,000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120,000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23</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5</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24 49.924</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67 04.629</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Ehsan Ali</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Allah Ditta</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33201-4428945-9</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left="195" w:right="196"/>
              <w:jc w:val="center"/>
              <w:rPr>
                <w:sz w:val="20"/>
              </w:rPr>
            </w:pPr>
            <w:r>
              <w:rPr>
                <w:sz w:val="20"/>
              </w:rPr>
              <w:t>6,000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w w:val="95"/>
                <w:sz w:val="20"/>
              </w:rPr>
              <w:t>72,000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24</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5</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24 49.924</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67 04.629</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Maqsood Ur Rehman</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Muhammad Zaman</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42501-1700905-7</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left="195" w:right="196"/>
              <w:jc w:val="center"/>
              <w:rPr>
                <w:sz w:val="20"/>
              </w:rPr>
            </w:pPr>
            <w:r>
              <w:rPr>
                <w:sz w:val="20"/>
              </w:rPr>
              <w:t>8,000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w w:val="95"/>
                <w:sz w:val="20"/>
              </w:rPr>
              <w:t>96,000</w:t>
            </w:r>
          </w:p>
        </w:tc>
      </w:tr>
      <w:tr>
        <w:trPr>
          <w:trHeight w:val="361" w:hRule="exact"/>
        </w:trPr>
        <w:tc>
          <w:tcPr>
            <w:tcW w:w="596" w:type="dxa"/>
            <w:tcBorders>
              <w:top w:val="single" w:sz="4" w:space="0" w:color="000000"/>
              <w:bottom w:val="single" w:sz="4" w:space="0" w:color="000000"/>
              <w:right w:val="single" w:sz="4" w:space="0" w:color="000000"/>
            </w:tcBorders>
          </w:tcPr>
          <w:p>
            <w:pPr>
              <w:pStyle w:val="TableParagraph"/>
              <w:spacing w:before="60"/>
              <w:ind w:left="151" w:right="162"/>
              <w:jc w:val="center"/>
              <w:rPr>
                <w:sz w:val="20"/>
              </w:rPr>
            </w:pPr>
            <w:r>
              <w:rPr>
                <w:sz w:val="20"/>
              </w:rPr>
              <w:t>25</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before="60"/>
              <w:jc w:val="center"/>
              <w:rPr>
                <w:sz w:val="20"/>
              </w:rPr>
            </w:pPr>
            <w:r>
              <w:rPr>
                <w:w w:val="99"/>
                <w:sz w:val="20"/>
              </w:rPr>
              <w:t>5</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before="60"/>
              <w:ind w:left="100"/>
              <w:rPr>
                <w:sz w:val="20"/>
              </w:rPr>
            </w:pPr>
            <w:r>
              <w:rPr>
                <w:sz w:val="20"/>
              </w:rPr>
              <w:t>24 49.943</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spacing w:before="60"/>
              <w:ind w:left="132" w:right="135"/>
              <w:jc w:val="center"/>
              <w:rPr>
                <w:sz w:val="20"/>
              </w:rPr>
            </w:pPr>
            <w:r>
              <w:rPr>
                <w:sz w:val="20"/>
              </w:rPr>
              <w:t>67 04.607</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spacing w:before="60"/>
              <w:ind w:left="67"/>
              <w:rPr>
                <w:sz w:val="20"/>
              </w:rPr>
            </w:pPr>
            <w:r>
              <w:rPr>
                <w:sz w:val="20"/>
              </w:rPr>
              <w:t>Essa Kaleem</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spacing w:before="60"/>
              <w:ind w:left="67"/>
              <w:rPr>
                <w:sz w:val="20"/>
              </w:rPr>
            </w:pPr>
            <w:r>
              <w:rPr>
                <w:sz w:val="20"/>
              </w:rPr>
              <w:t>Abdul Qayyum</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spacing w:before="60"/>
              <w:ind w:left="67"/>
              <w:rPr>
                <w:sz w:val="20"/>
              </w:rPr>
            </w:pPr>
            <w:r>
              <w:rPr>
                <w:sz w:val="20"/>
              </w:rPr>
              <w:t>54203-8733983-5</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60"/>
              <w:ind w:left="195" w:right="196"/>
              <w:jc w:val="center"/>
              <w:rPr>
                <w:sz w:val="20"/>
              </w:rPr>
            </w:pPr>
            <w:r>
              <w:rPr>
                <w:sz w:val="20"/>
              </w:rPr>
              <w:t>10,000</w:t>
            </w:r>
          </w:p>
        </w:tc>
        <w:tc>
          <w:tcPr>
            <w:tcW w:w="1570" w:type="dxa"/>
            <w:tcBorders>
              <w:top w:val="single" w:sz="4" w:space="0" w:color="000000"/>
              <w:left w:val="single" w:sz="4" w:space="0" w:color="000000"/>
              <w:bottom w:val="single" w:sz="4" w:space="0" w:color="000000"/>
            </w:tcBorders>
          </w:tcPr>
          <w:p>
            <w:pPr>
              <w:pStyle w:val="TableParagraph"/>
              <w:spacing w:before="60"/>
              <w:ind w:right="314"/>
              <w:jc w:val="right"/>
              <w:rPr>
                <w:sz w:val="20"/>
              </w:rPr>
            </w:pPr>
            <w:r>
              <w:rPr>
                <w:sz w:val="20"/>
              </w:rPr>
              <w:t>120,000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26</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5</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24 49.943</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67 04.607</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Ramesh Kumar</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Sheroo</w:t>
            </w:r>
          </w:p>
        </w:tc>
        <w:tc>
          <w:tcPr>
            <w:tcW w:w="1786" w:type="dxa"/>
            <w:tcBorders>
              <w:top w:val="single" w:sz="4" w:space="0" w:color="000000"/>
              <w:left w:val="single" w:sz="4" w:space="0" w:color="000000"/>
              <w:bottom w:val="single" w:sz="4" w:space="0" w:color="000000"/>
              <w:right w:val="single" w:sz="4" w:space="0" w:color="000000"/>
            </w:tcBorders>
          </w:tcPr>
          <w:p>
            <w:pP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left="195" w:right="196"/>
              <w:jc w:val="center"/>
              <w:rPr>
                <w:sz w:val="20"/>
              </w:rPr>
            </w:pPr>
            <w:r>
              <w:rPr>
                <w:sz w:val="20"/>
              </w:rPr>
              <w:t>20,000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240,000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27</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5</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24 49.960</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67 04.581</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Kishnoo</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Umeriyo</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45206-1942084-3</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left="195" w:right="196"/>
              <w:jc w:val="center"/>
              <w:rPr>
                <w:sz w:val="20"/>
              </w:rPr>
            </w:pPr>
            <w:r>
              <w:rPr>
                <w:sz w:val="20"/>
              </w:rPr>
              <w:t>15,000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180,000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28</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5</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24 49.965</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67 04.570</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Manoj Kumar</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Dano Ji</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45304-6728173-1</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left="195" w:right="196"/>
              <w:jc w:val="center"/>
              <w:rPr>
                <w:sz w:val="20"/>
              </w:rPr>
            </w:pPr>
            <w:r>
              <w:rPr>
                <w:sz w:val="20"/>
              </w:rPr>
              <w:t>30,000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360,000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29</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5</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24 49.965</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67 04.570</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Badal</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Moosa</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44203-7917542-1</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left="195" w:right="196"/>
              <w:jc w:val="center"/>
              <w:rPr>
                <w:sz w:val="20"/>
              </w:rPr>
            </w:pPr>
            <w:r>
              <w:rPr>
                <w:sz w:val="20"/>
              </w:rPr>
              <w:t>30,000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360,000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30</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5</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24 49.965</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67 04.570</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Ashok</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Suriya</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45304-0498606-1</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left="195" w:right="196"/>
              <w:jc w:val="center"/>
              <w:rPr>
                <w:sz w:val="20"/>
              </w:rPr>
            </w:pPr>
            <w:r>
              <w:rPr>
                <w:sz w:val="20"/>
              </w:rPr>
              <w:t>20,000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240,000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31</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5</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24 49.968</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67 04.561</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Aakash</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Suriya</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45304-1538746-1</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left="195" w:right="196"/>
              <w:jc w:val="center"/>
              <w:rPr>
                <w:sz w:val="20"/>
              </w:rPr>
            </w:pPr>
            <w:r>
              <w:rPr>
                <w:sz w:val="20"/>
              </w:rPr>
              <w:t>25,000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300,000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32</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5</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24 49.968</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67 04.561</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Sonu</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Sheroo</w:t>
            </w:r>
          </w:p>
        </w:tc>
        <w:tc>
          <w:tcPr>
            <w:tcW w:w="1786" w:type="dxa"/>
            <w:tcBorders>
              <w:top w:val="single" w:sz="4" w:space="0" w:color="000000"/>
              <w:left w:val="single" w:sz="4" w:space="0" w:color="000000"/>
              <w:bottom w:val="single" w:sz="4" w:space="0" w:color="000000"/>
              <w:right w:val="single" w:sz="4" w:space="0" w:color="000000"/>
            </w:tcBorders>
          </w:tcPr>
          <w:p>
            <w:pP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left="195" w:right="196"/>
              <w:jc w:val="center"/>
              <w:rPr>
                <w:sz w:val="20"/>
              </w:rPr>
            </w:pPr>
            <w:r>
              <w:rPr>
                <w:sz w:val="20"/>
              </w:rPr>
              <w:t>15,000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180,000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33</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5</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24 49.968</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67 04.561</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Rakesh Kumar</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Gulzari Lal</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45304-4696309-9</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left="195" w:right="196"/>
              <w:jc w:val="center"/>
              <w:rPr>
                <w:sz w:val="20"/>
              </w:rPr>
            </w:pPr>
            <w:r>
              <w:rPr>
                <w:sz w:val="20"/>
              </w:rPr>
              <w:t>18,000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216,000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34</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5</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24 49.968</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67 04.561</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Jimmy</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Molanji</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45304-8391144-5</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left="195" w:right="196"/>
              <w:jc w:val="center"/>
              <w:rPr>
                <w:sz w:val="20"/>
              </w:rPr>
            </w:pPr>
            <w:r>
              <w:rPr>
                <w:sz w:val="20"/>
              </w:rPr>
              <w:t>15,000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180,000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35</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5</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24 49.979</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67 04.544</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Phoolji</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Misri</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45304-2309063-5</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left="195" w:right="196"/>
              <w:jc w:val="center"/>
              <w:rPr>
                <w:sz w:val="20"/>
              </w:rPr>
            </w:pPr>
            <w:r>
              <w:rPr>
                <w:sz w:val="20"/>
              </w:rPr>
              <w:t>14,000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168,000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36</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5</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24 49.979</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67 04.544</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Sanjay</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Dilo</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45403-9785366-1</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left="195" w:right="196"/>
              <w:jc w:val="center"/>
              <w:rPr>
                <w:sz w:val="20"/>
              </w:rPr>
            </w:pPr>
            <w:r>
              <w:rPr>
                <w:sz w:val="20"/>
              </w:rPr>
              <w:t>30,000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360,000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37</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5</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24 49.979</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67 04.544</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Ram Chand</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Chala</w:t>
            </w:r>
          </w:p>
        </w:tc>
        <w:tc>
          <w:tcPr>
            <w:tcW w:w="1786" w:type="dxa"/>
            <w:tcBorders>
              <w:top w:val="single" w:sz="4" w:space="0" w:color="000000"/>
              <w:left w:val="single" w:sz="4" w:space="0" w:color="000000"/>
              <w:bottom w:val="single" w:sz="4" w:space="0" w:color="000000"/>
              <w:right w:val="single" w:sz="4" w:space="0" w:color="000000"/>
            </w:tcBorders>
          </w:tcPr>
          <w:p>
            <w:pP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left="195" w:right="196"/>
              <w:jc w:val="center"/>
              <w:rPr>
                <w:sz w:val="20"/>
              </w:rPr>
            </w:pPr>
            <w:r>
              <w:rPr>
                <w:sz w:val="20"/>
              </w:rPr>
              <w:t>32,000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384,000</w:t>
            </w:r>
          </w:p>
        </w:tc>
      </w:tr>
      <w:tr>
        <w:trPr>
          <w:trHeight w:val="361" w:hRule="exact"/>
        </w:trPr>
        <w:tc>
          <w:tcPr>
            <w:tcW w:w="596" w:type="dxa"/>
            <w:tcBorders>
              <w:top w:val="single" w:sz="4" w:space="0" w:color="000000"/>
              <w:bottom w:val="single" w:sz="4" w:space="0" w:color="000000"/>
              <w:right w:val="single" w:sz="4" w:space="0" w:color="000000"/>
            </w:tcBorders>
          </w:tcPr>
          <w:p>
            <w:pPr>
              <w:pStyle w:val="TableParagraph"/>
              <w:spacing w:before="60"/>
              <w:ind w:left="151" w:right="162"/>
              <w:jc w:val="center"/>
              <w:rPr>
                <w:sz w:val="20"/>
              </w:rPr>
            </w:pPr>
            <w:r>
              <w:rPr>
                <w:sz w:val="20"/>
              </w:rPr>
              <w:t>38</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before="60"/>
              <w:jc w:val="center"/>
              <w:rPr>
                <w:sz w:val="20"/>
              </w:rPr>
            </w:pPr>
            <w:r>
              <w:rPr>
                <w:w w:val="99"/>
                <w:sz w:val="20"/>
              </w:rPr>
              <w:t>5</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before="60"/>
              <w:ind w:left="100"/>
              <w:rPr>
                <w:sz w:val="20"/>
              </w:rPr>
            </w:pPr>
            <w:r>
              <w:rPr>
                <w:sz w:val="20"/>
              </w:rPr>
              <w:t>24 50.013</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spacing w:before="60"/>
              <w:ind w:left="132" w:right="135"/>
              <w:jc w:val="center"/>
              <w:rPr>
                <w:sz w:val="20"/>
              </w:rPr>
            </w:pPr>
            <w:r>
              <w:rPr>
                <w:sz w:val="20"/>
              </w:rPr>
              <w:t>67 04.492</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spacing w:before="60"/>
              <w:ind w:left="67"/>
              <w:rPr>
                <w:sz w:val="20"/>
              </w:rPr>
            </w:pPr>
            <w:r>
              <w:rPr>
                <w:sz w:val="20"/>
              </w:rPr>
              <w:t>Muhammad Saeed</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spacing w:before="60"/>
              <w:ind w:left="67"/>
              <w:rPr>
                <w:sz w:val="20"/>
              </w:rPr>
            </w:pPr>
            <w:r>
              <w:rPr>
                <w:sz w:val="20"/>
              </w:rPr>
              <w:t>Adam Gull</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spacing w:before="60"/>
              <w:ind w:left="67"/>
              <w:rPr>
                <w:sz w:val="20"/>
              </w:rPr>
            </w:pPr>
            <w:r>
              <w:rPr>
                <w:sz w:val="20"/>
              </w:rPr>
              <w:t>42301-7039746-1</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60"/>
              <w:ind w:left="195" w:right="196"/>
              <w:jc w:val="center"/>
              <w:rPr>
                <w:sz w:val="20"/>
              </w:rPr>
            </w:pPr>
            <w:r>
              <w:rPr>
                <w:sz w:val="20"/>
              </w:rPr>
              <w:t>30,000</w:t>
            </w:r>
          </w:p>
        </w:tc>
        <w:tc>
          <w:tcPr>
            <w:tcW w:w="1570" w:type="dxa"/>
            <w:tcBorders>
              <w:top w:val="single" w:sz="4" w:space="0" w:color="000000"/>
              <w:left w:val="single" w:sz="4" w:space="0" w:color="000000"/>
              <w:bottom w:val="single" w:sz="4" w:space="0" w:color="000000"/>
            </w:tcBorders>
          </w:tcPr>
          <w:p>
            <w:pPr>
              <w:pStyle w:val="TableParagraph"/>
              <w:spacing w:before="60"/>
              <w:ind w:right="314"/>
              <w:jc w:val="right"/>
              <w:rPr>
                <w:sz w:val="20"/>
              </w:rPr>
            </w:pPr>
            <w:r>
              <w:rPr>
                <w:sz w:val="20"/>
              </w:rPr>
              <w:t>360,000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39</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5</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24 50.013</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67 04.492</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Hazrat Bilal</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Tahay Zar</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15701-2264888-3</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left="195" w:right="196"/>
              <w:jc w:val="center"/>
              <w:rPr>
                <w:sz w:val="20"/>
              </w:rPr>
            </w:pPr>
            <w:r>
              <w:rPr>
                <w:sz w:val="20"/>
              </w:rPr>
              <w:t>30,000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360,000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40</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2</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24 50.152</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67 06.318</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Jazeb</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Khadim Hussain</w:t>
            </w:r>
          </w:p>
        </w:tc>
        <w:tc>
          <w:tcPr>
            <w:tcW w:w="1786" w:type="dxa"/>
            <w:tcBorders>
              <w:top w:val="single" w:sz="4" w:space="0" w:color="000000"/>
              <w:left w:val="single" w:sz="4" w:space="0" w:color="000000"/>
              <w:bottom w:val="single" w:sz="4" w:space="0" w:color="000000"/>
              <w:right w:val="single" w:sz="4" w:space="0" w:color="000000"/>
            </w:tcBorders>
          </w:tcPr>
          <w:p>
            <w:pP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left="195" w:right="196"/>
              <w:jc w:val="center"/>
              <w:rPr>
                <w:sz w:val="20"/>
              </w:rPr>
            </w:pPr>
            <w:r>
              <w:rPr>
                <w:sz w:val="20"/>
              </w:rPr>
              <w:t>30,000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360,000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41</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2</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24 50.347</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67 07.299</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Ali Hussain</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Khadim Hussain</w:t>
            </w:r>
          </w:p>
        </w:tc>
        <w:tc>
          <w:tcPr>
            <w:tcW w:w="1786" w:type="dxa"/>
            <w:tcBorders>
              <w:top w:val="single" w:sz="4" w:space="0" w:color="000000"/>
              <w:left w:val="single" w:sz="4" w:space="0" w:color="000000"/>
              <w:bottom w:val="single" w:sz="4" w:space="0" w:color="000000"/>
              <w:right w:val="single" w:sz="4" w:space="0" w:color="000000"/>
            </w:tcBorders>
          </w:tcPr>
          <w:p>
            <w:pP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left="195" w:right="196"/>
              <w:jc w:val="center"/>
              <w:rPr>
                <w:sz w:val="20"/>
              </w:rPr>
            </w:pPr>
            <w:r>
              <w:rPr>
                <w:sz w:val="20"/>
              </w:rPr>
              <w:t>25,000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300,000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42</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2</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24 50.347</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67 07.299</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Muhammad Umar</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Rahim Khan</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21104-4484466-9</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left="195" w:right="196"/>
              <w:jc w:val="center"/>
              <w:rPr>
                <w:sz w:val="20"/>
              </w:rPr>
            </w:pPr>
            <w:r>
              <w:rPr>
                <w:sz w:val="20"/>
              </w:rPr>
              <w:t>15,000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180,000</w:t>
            </w:r>
          </w:p>
        </w:tc>
      </w:tr>
      <w:tr>
        <w:trPr>
          <w:trHeight w:val="370" w:hRule="exact"/>
        </w:trPr>
        <w:tc>
          <w:tcPr>
            <w:tcW w:w="596" w:type="dxa"/>
            <w:tcBorders>
              <w:top w:val="single" w:sz="4" w:space="0" w:color="000000"/>
              <w:right w:val="single" w:sz="4" w:space="0" w:color="000000"/>
            </w:tcBorders>
          </w:tcPr>
          <w:p>
            <w:pPr>
              <w:pStyle w:val="TableParagraph"/>
              <w:ind w:left="151" w:right="162"/>
              <w:jc w:val="center"/>
              <w:rPr>
                <w:sz w:val="20"/>
              </w:rPr>
            </w:pPr>
            <w:r>
              <w:rPr>
                <w:sz w:val="20"/>
              </w:rPr>
              <w:t>43</w:t>
            </w:r>
          </w:p>
        </w:tc>
        <w:tc>
          <w:tcPr>
            <w:tcW w:w="989" w:type="dxa"/>
            <w:tcBorders>
              <w:top w:val="single" w:sz="4" w:space="0" w:color="000000"/>
              <w:left w:val="single" w:sz="4" w:space="0" w:color="000000"/>
              <w:right w:val="single" w:sz="4" w:space="0" w:color="000000"/>
            </w:tcBorders>
          </w:tcPr>
          <w:p>
            <w:pPr>
              <w:pStyle w:val="TableParagraph"/>
              <w:jc w:val="center"/>
              <w:rPr>
                <w:sz w:val="20"/>
              </w:rPr>
            </w:pPr>
            <w:r>
              <w:rPr>
                <w:w w:val="99"/>
                <w:sz w:val="20"/>
              </w:rPr>
              <w:t>2</w:t>
            </w:r>
          </w:p>
        </w:tc>
        <w:tc>
          <w:tcPr>
            <w:tcW w:w="1104" w:type="dxa"/>
            <w:tcBorders>
              <w:top w:val="single" w:sz="4" w:space="0" w:color="000000"/>
              <w:left w:val="single" w:sz="4" w:space="0" w:color="000000"/>
              <w:right w:val="single" w:sz="4" w:space="0" w:color="000000"/>
            </w:tcBorders>
          </w:tcPr>
          <w:p>
            <w:pPr>
              <w:pStyle w:val="TableParagraph"/>
              <w:ind w:left="100"/>
              <w:rPr>
                <w:sz w:val="20"/>
              </w:rPr>
            </w:pPr>
            <w:r>
              <w:rPr>
                <w:sz w:val="20"/>
              </w:rPr>
              <w:t>24 50.347</w:t>
            </w:r>
          </w:p>
        </w:tc>
        <w:tc>
          <w:tcPr>
            <w:tcW w:w="1210" w:type="dxa"/>
            <w:tcBorders>
              <w:top w:val="single" w:sz="4" w:space="0" w:color="000000"/>
              <w:left w:val="single" w:sz="4" w:space="0" w:color="000000"/>
              <w:right w:val="single" w:sz="4" w:space="0" w:color="000000"/>
            </w:tcBorders>
          </w:tcPr>
          <w:p>
            <w:pPr>
              <w:pStyle w:val="TableParagraph"/>
              <w:ind w:left="132" w:right="135"/>
              <w:jc w:val="center"/>
              <w:rPr>
                <w:sz w:val="20"/>
              </w:rPr>
            </w:pPr>
            <w:r>
              <w:rPr>
                <w:sz w:val="20"/>
              </w:rPr>
              <w:t>67 07.299</w:t>
            </w:r>
          </w:p>
        </w:tc>
        <w:tc>
          <w:tcPr>
            <w:tcW w:w="2546" w:type="dxa"/>
            <w:tcBorders>
              <w:top w:val="single" w:sz="4" w:space="0" w:color="000000"/>
              <w:left w:val="single" w:sz="4" w:space="0" w:color="000000"/>
              <w:right w:val="single" w:sz="4" w:space="0" w:color="000000"/>
            </w:tcBorders>
          </w:tcPr>
          <w:p>
            <w:pPr>
              <w:pStyle w:val="TableParagraph"/>
              <w:ind w:left="67"/>
              <w:rPr>
                <w:sz w:val="20"/>
              </w:rPr>
            </w:pPr>
            <w:r>
              <w:rPr>
                <w:sz w:val="20"/>
              </w:rPr>
              <w:t>Peer Muhammad</w:t>
            </w:r>
          </w:p>
        </w:tc>
        <w:tc>
          <w:tcPr>
            <w:tcW w:w="2506" w:type="dxa"/>
            <w:tcBorders>
              <w:top w:val="single" w:sz="4" w:space="0" w:color="000000"/>
              <w:left w:val="single" w:sz="4" w:space="0" w:color="000000"/>
              <w:right w:val="single" w:sz="4" w:space="0" w:color="000000"/>
            </w:tcBorders>
          </w:tcPr>
          <w:p>
            <w:pPr>
              <w:pStyle w:val="TableParagraph"/>
              <w:ind w:left="67"/>
              <w:rPr>
                <w:sz w:val="20"/>
              </w:rPr>
            </w:pPr>
            <w:r>
              <w:rPr>
                <w:sz w:val="20"/>
              </w:rPr>
              <w:t>Gull Nawaz</w:t>
            </w:r>
          </w:p>
        </w:tc>
        <w:tc>
          <w:tcPr>
            <w:tcW w:w="1786" w:type="dxa"/>
            <w:tcBorders>
              <w:top w:val="single" w:sz="4" w:space="0" w:color="000000"/>
              <w:left w:val="single" w:sz="4" w:space="0" w:color="000000"/>
              <w:right w:val="single" w:sz="4" w:space="0" w:color="000000"/>
            </w:tcBorders>
          </w:tcPr>
          <w:p>
            <w:pPr/>
          </w:p>
        </w:tc>
        <w:tc>
          <w:tcPr>
            <w:tcW w:w="1333" w:type="dxa"/>
            <w:tcBorders>
              <w:top w:val="single" w:sz="4" w:space="0" w:color="000000"/>
              <w:left w:val="single" w:sz="4" w:space="0" w:color="000000"/>
              <w:right w:val="single" w:sz="4" w:space="0" w:color="000000"/>
            </w:tcBorders>
          </w:tcPr>
          <w:p>
            <w:pPr>
              <w:pStyle w:val="TableParagraph"/>
              <w:ind w:left="195" w:right="196"/>
              <w:jc w:val="center"/>
              <w:rPr>
                <w:sz w:val="20"/>
              </w:rPr>
            </w:pPr>
            <w:r>
              <w:rPr>
                <w:sz w:val="20"/>
              </w:rPr>
              <w:t>30,000</w:t>
            </w:r>
          </w:p>
        </w:tc>
        <w:tc>
          <w:tcPr>
            <w:tcW w:w="1570" w:type="dxa"/>
            <w:tcBorders>
              <w:top w:val="single" w:sz="4" w:space="0" w:color="000000"/>
              <w:left w:val="single" w:sz="4" w:space="0" w:color="000000"/>
            </w:tcBorders>
          </w:tcPr>
          <w:p>
            <w:pPr>
              <w:pStyle w:val="TableParagraph"/>
              <w:ind w:right="314"/>
              <w:jc w:val="right"/>
              <w:rPr>
                <w:sz w:val="20"/>
              </w:rPr>
            </w:pPr>
            <w:r>
              <w:rPr>
                <w:sz w:val="20"/>
              </w:rPr>
              <w:t>360,000</w:t>
            </w:r>
          </w:p>
        </w:tc>
      </w:tr>
    </w:tbl>
    <w:p>
      <w:pPr>
        <w:spacing w:after="0"/>
        <w:jc w:val="right"/>
        <w:rPr>
          <w:sz w:val="20"/>
        </w:rPr>
        <w:sectPr>
          <w:pgSz w:w="16840" w:h="11910" w:orient="landscape"/>
          <w:pgMar w:header="583" w:footer="575" w:top="840" w:bottom="760" w:left="860" w:right="12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6"/>
        </w:rPr>
      </w:pPr>
    </w:p>
    <w:tbl>
      <w:tblPr>
        <w:tblW w:w="0" w:type="auto"/>
        <w:jc w:val="left"/>
        <w:tblInd w:w="9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96"/>
        <w:gridCol w:w="989"/>
        <w:gridCol w:w="1104"/>
        <w:gridCol w:w="1210"/>
        <w:gridCol w:w="2546"/>
        <w:gridCol w:w="2506"/>
        <w:gridCol w:w="1786"/>
        <w:gridCol w:w="1333"/>
        <w:gridCol w:w="1570"/>
      </w:tblGrid>
      <w:tr>
        <w:trPr>
          <w:trHeight w:val="370" w:hRule="exact"/>
        </w:trPr>
        <w:tc>
          <w:tcPr>
            <w:tcW w:w="596" w:type="dxa"/>
            <w:vMerge w:val="restart"/>
            <w:tcBorders>
              <w:right w:val="single" w:sz="4" w:space="0" w:color="000000"/>
            </w:tcBorders>
            <w:shd w:val="clear" w:color="auto" w:fill="D9D9D9"/>
          </w:tcPr>
          <w:p>
            <w:pPr>
              <w:pStyle w:val="TableParagraph"/>
              <w:ind w:left="182"/>
              <w:rPr>
                <w:b/>
                <w:sz w:val="20"/>
              </w:rPr>
            </w:pPr>
            <w:r>
              <w:rPr>
                <w:b/>
                <w:sz w:val="20"/>
              </w:rPr>
              <w:t>ID</w:t>
            </w:r>
          </w:p>
        </w:tc>
        <w:tc>
          <w:tcPr>
            <w:tcW w:w="989" w:type="dxa"/>
            <w:vMerge w:val="restart"/>
            <w:tcBorders>
              <w:left w:val="single" w:sz="4" w:space="0" w:color="000000"/>
              <w:right w:val="single" w:sz="4" w:space="0" w:color="000000"/>
            </w:tcBorders>
            <w:shd w:val="clear" w:color="auto" w:fill="D9D9D9"/>
          </w:tcPr>
          <w:p>
            <w:pPr>
              <w:pStyle w:val="TableParagraph"/>
              <w:ind w:left="328" w:hanging="262"/>
              <w:rPr>
                <w:b/>
                <w:sz w:val="20"/>
              </w:rPr>
            </w:pPr>
            <w:r>
              <w:rPr>
                <w:b/>
                <w:w w:val="95"/>
                <w:sz w:val="20"/>
              </w:rPr>
              <w:t>Segment </w:t>
            </w:r>
            <w:r>
              <w:rPr>
                <w:b/>
                <w:sz w:val="20"/>
              </w:rPr>
              <w:t>No.</w:t>
            </w:r>
          </w:p>
        </w:tc>
        <w:tc>
          <w:tcPr>
            <w:tcW w:w="2314" w:type="dxa"/>
            <w:gridSpan w:val="2"/>
            <w:tcBorders>
              <w:left w:val="single" w:sz="4" w:space="0" w:color="000000"/>
              <w:bottom w:val="single" w:sz="4" w:space="0" w:color="000000"/>
              <w:right w:val="single" w:sz="4" w:space="0" w:color="000000"/>
            </w:tcBorders>
            <w:shd w:val="clear" w:color="auto" w:fill="D9D9D9"/>
          </w:tcPr>
          <w:p>
            <w:pPr>
              <w:pStyle w:val="TableParagraph"/>
              <w:ind w:left="566"/>
              <w:rPr>
                <w:b/>
                <w:sz w:val="20"/>
              </w:rPr>
            </w:pPr>
            <w:r>
              <w:rPr>
                <w:b/>
                <w:sz w:val="20"/>
              </w:rPr>
              <w:t>Coordinates</w:t>
            </w:r>
          </w:p>
        </w:tc>
        <w:tc>
          <w:tcPr>
            <w:tcW w:w="2546" w:type="dxa"/>
            <w:vMerge w:val="restart"/>
            <w:tcBorders>
              <w:left w:val="single" w:sz="4" w:space="0" w:color="000000"/>
              <w:right w:val="single" w:sz="4" w:space="0" w:color="000000"/>
            </w:tcBorders>
            <w:shd w:val="clear" w:color="auto" w:fill="D9D9D9"/>
          </w:tcPr>
          <w:p>
            <w:pPr>
              <w:pStyle w:val="TableParagraph"/>
              <w:ind w:left="388"/>
              <w:rPr>
                <w:b/>
                <w:sz w:val="20"/>
              </w:rPr>
            </w:pPr>
            <w:r>
              <w:rPr>
                <w:b/>
                <w:sz w:val="20"/>
              </w:rPr>
              <w:t>Respondent Name</w:t>
            </w:r>
          </w:p>
        </w:tc>
        <w:tc>
          <w:tcPr>
            <w:tcW w:w="2506" w:type="dxa"/>
            <w:vMerge w:val="restart"/>
            <w:tcBorders>
              <w:left w:val="single" w:sz="4" w:space="0" w:color="000000"/>
              <w:right w:val="single" w:sz="4" w:space="0" w:color="000000"/>
            </w:tcBorders>
            <w:shd w:val="clear" w:color="auto" w:fill="D9D9D9"/>
          </w:tcPr>
          <w:p>
            <w:pPr>
              <w:pStyle w:val="TableParagraph"/>
              <w:ind w:left="561"/>
              <w:rPr>
                <w:b/>
                <w:sz w:val="20"/>
              </w:rPr>
            </w:pPr>
            <w:r>
              <w:rPr>
                <w:b/>
                <w:sz w:val="20"/>
              </w:rPr>
              <w:t>Father's Name</w:t>
            </w:r>
          </w:p>
        </w:tc>
        <w:tc>
          <w:tcPr>
            <w:tcW w:w="1786" w:type="dxa"/>
            <w:vMerge w:val="restart"/>
            <w:tcBorders>
              <w:left w:val="single" w:sz="4" w:space="0" w:color="000000"/>
              <w:right w:val="single" w:sz="4" w:space="0" w:color="000000"/>
            </w:tcBorders>
            <w:shd w:val="clear" w:color="auto" w:fill="D9D9D9"/>
          </w:tcPr>
          <w:p>
            <w:pPr>
              <w:pStyle w:val="TableParagraph"/>
              <w:ind w:left="727" w:hanging="617"/>
              <w:rPr>
                <w:b/>
                <w:sz w:val="20"/>
              </w:rPr>
            </w:pPr>
            <w:r>
              <w:rPr>
                <w:b/>
                <w:sz w:val="20"/>
              </w:rPr>
              <w:t>Respondent NIC No.</w:t>
            </w:r>
          </w:p>
        </w:tc>
        <w:tc>
          <w:tcPr>
            <w:tcW w:w="1333" w:type="dxa"/>
            <w:vMerge w:val="restart"/>
            <w:tcBorders>
              <w:left w:val="single" w:sz="4" w:space="0" w:color="000000"/>
              <w:right w:val="single" w:sz="4" w:space="0" w:color="000000"/>
            </w:tcBorders>
            <w:shd w:val="clear" w:color="auto" w:fill="D9D9D9"/>
          </w:tcPr>
          <w:p>
            <w:pPr>
              <w:pStyle w:val="TableParagraph"/>
              <w:ind w:left="309" w:right="259" w:hanging="32"/>
              <w:rPr>
                <w:b/>
                <w:sz w:val="20"/>
              </w:rPr>
            </w:pPr>
            <w:r>
              <w:rPr>
                <w:b/>
                <w:sz w:val="20"/>
              </w:rPr>
              <w:t>Monthly Income</w:t>
            </w:r>
          </w:p>
        </w:tc>
        <w:tc>
          <w:tcPr>
            <w:tcW w:w="1570" w:type="dxa"/>
            <w:vMerge w:val="restart"/>
            <w:tcBorders>
              <w:left w:val="single" w:sz="4" w:space="0" w:color="000000"/>
            </w:tcBorders>
            <w:shd w:val="clear" w:color="auto" w:fill="D9D9D9"/>
          </w:tcPr>
          <w:p>
            <w:pPr>
              <w:pStyle w:val="TableParagraph"/>
              <w:ind w:left="285" w:right="269" w:firstLine="9"/>
              <w:rPr>
                <w:b/>
                <w:sz w:val="20"/>
              </w:rPr>
            </w:pPr>
            <w:r>
              <w:rPr>
                <w:b/>
                <w:sz w:val="20"/>
              </w:rPr>
              <w:t>Transition </w:t>
            </w:r>
            <w:r>
              <w:rPr>
                <w:b/>
                <w:w w:val="95"/>
                <w:sz w:val="20"/>
              </w:rPr>
              <w:t>Allowance</w:t>
            </w:r>
          </w:p>
        </w:tc>
      </w:tr>
      <w:tr>
        <w:trPr>
          <w:trHeight w:val="360" w:hRule="exact"/>
        </w:trPr>
        <w:tc>
          <w:tcPr>
            <w:tcW w:w="596" w:type="dxa"/>
            <w:vMerge/>
            <w:tcBorders>
              <w:bottom w:val="single" w:sz="4" w:space="0" w:color="000000"/>
              <w:right w:val="single" w:sz="4" w:space="0" w:color="000000"/>
            </w:tcBorders>
            <w:shd w:val="clear" w:color="auto" w:fill="D9D9D9"/>
          </w:tcPr>
          <w:p>
            <w:pPr/>
          </w:p>
        </w:tc>
        <w:tc>
          <w:tcPr>
            <w:tcW w:w="989" w:type="dxa"/>
            <w:vMerge/>
            <w:tcBorders>
              <w:left w:val="single" w:sz="4" w:space="0" w:color="000000"/>
              <w:bottom w:val="single" w:sz="4" w:space="0" w:color="000000"/>
              <w:right w:val="single" w:sz="4" w:space="0" w:color="000000"/>
            </w:tcBorders>
            <w:shd w:val="clear" w:color="auto" w:fill="D9D9D9"/>
          </w:tcPr>
          <w:p>
            <w:pPr/>
          </w:p>
        </w:tc>
        <w:tc>
          <w:tcPr>
            <w:tcW w:w="1104"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ind w:left="129"/>
              <w:rPr>
                <w:b/>
                <w:sz w:val="20"/>
              </w:rPr>
            </w:pPr>
            <w:r>
              <w:rPr>
                <w:b/>
                <w:sz w:val="20"/>
              </w:rPr>
              <w:t>Northing</w:t>
            </w:r>
          </w:p>
        </w:tc>
        <w:tc>
          <w:tcPr>
            <w:tcW w:w="121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ind w:left="131" w:right="135"/>
              <w:jc w:val="center"/>
              <w:rPr>
                <w:b/>
                <w:sz w:val="20"/>
              </w:rPr>
            </w:pPr>
            <w:r>
              <w:rPr>
                <w:b/>
                <w:sz w:val="20"/>
              </w:rPr>
              <w:t>Easting</w:t>
            </w:r>
          </w:p>
        </w:tc>
        <w:tc>
          <w:tcPr>
            <w:tcW w:w="2546" w:type="dxa"/>
            <w:vMerge/>
            <w:tcBorders>
              <w:left w:val="single" w:sz="4" w:space="0" w:color="000000"/>
              <w:bottom w:val="single" w:sz="4" w:space="0" w:color="000000"/>
              <w:right w:val="single" w:sz="4" w:space="0" w:color="000000"/>
            </w:tcBorders>
            <w:shd w:val="clear" w:color="auto" w:fill="D9D9D9"/>
          </w:tcPr>
          <w:p>
            <w:pPr/>
          </w:p>
        </w:tc>
        <w:tc>
          <w:tcPr>
            <w:tcW w:w="2506" w:type="dxa"/>
            <w:vMerge/>
            <w:tcBorders>
              <w:left w:val="single" w:sz="4" w:space="0" w:color="000000"/>
              <w:bottom w:val="single" w:sz="4" w:space="0" w:color="000000"/>
              <w:right w:val="single" w:sz="4" w:space="0" w:color="000000"/>
            </w:tcBorders>
            <w:shd w:val="clear" w:color="auto" w:fill="D9D9D9"/>
          </w:tcPr>
          <w:p>
            <w:pPr/>
          </w:p>
        </w:tc>
        <w:tc>
          <w:tcPr>
            <w:tcW w:w="1786" w:type="dxa"/>
            <w:vMerge/>
            <w:tcBorders>
              <w:left w:val="single" w:sz="4" w:space="0" w:color="000000"/>
              <w:bottom w:val="single" w:sz="4" w:space="0" w:color="000000"/>
              <w:right w:val="single" w:sz="4" w:space="0" w:color="000000"/>
            </w:tcBorders>
            <w:shd w:val="clear" w:color="auto" w:fill="D9D9D9"/>
          </w:tcPr>
          <w:p>
            <w:pPr/>
          </w:p>
        </w:tc>
        <w:tc>
          <w:tcPr>
            <w:tcW w:w="1333" w:type="dxa"/>
            <w:vMerge/>
            <w:tcBorders>
              <w:left w:val="single" w:sz="4" w:space="0" w:color="000000"/>
              <w:bottom w:val="single" w:sz="4" w:space="0" w:color="000000"/>
              <w:right w:val="single" w:sz="4" w:space="0" w:color="000000"/>
            </w:tcBorders>
            <w:shd w:val="clear" w:color="auto" w:fill="D9D9D9"/>
          </w:tcPr>
          <w:p>
            <w:pPr/>
          </w:p>
        </w:tc>
        <w:tc>
          <w:tcPr>
            <w:tcW w:w="1570" w:type="dxa"/>
            <w:vMerge/>
            <w:tcBorders>
              <w:left w:val="single" w:sz="4" w:space="0" w:color="000000"/>
              <w:bottom w:val="single" w:sz="4" w:space="0" w:color="000000"/>
            </w:tcBorders>
            <w:shd w:val="clear" w:color="auto" w:fill="D9D9D9"/>
          </w:tcPr>
          <w:p>
            <w:pP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44</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2</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24 50.632</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67 07.372</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Shakeel Ahmed</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Rustam Ali</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31303-6023764-5</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right="355"/>
              <w:jc w:val="right"/>
              <w:rPr>
                <w:sz w:val="20"/>
              </w:rPr>
            </w:pPr>
            <w:r>
              <w:rPr>
                <w:w w:val="95"/>
                <w:sz w:val="20"/>
              </w:rPr>
              <w:t>60,000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720,000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45</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2</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24 50.475</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67 07.942</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Sher Khan</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Ghaffar Khan</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21104-7171348-3</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right="355"/>
              <w:jc w:val="right"/>
              <w:rPr>
                <w:sz w:val="20"/>
              </w:rPr>
            </w:pPr>
            <w:r>
              <w:rPr>
                <w:w w:val="95"/>
                <w:sz w:val="20"/>
              </w:rPr>
              <w:t>18,000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216,000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46</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2</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24 50.309</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67 07.205</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Noor Muhammad</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Gulai</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42201-6020342-7</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right="355"/>
              <w:jc w:val="right"/>
              <w:rPr>
                <w:sz w:val="20"/>
              </w:rPr>
            </w:pPr>
            <w:r>
              <w:rPr>
                <w:w w:val="95"/>
                <w:sz w:val="20"/>
              </w:rPr>
              <w:t>15,000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180,000</w:t>
            </w:r>
          </w:p>
        </w:tc>
      </w:tr>
      <w:tr>
        <w:trPr>
          <w:trHeight w:val="361" w:hRule="exact"/>
        </w:trPr>
        <w:tc>
          <w:tcPr>
            <w:tcW w:w="596" w:type="dxa"/>
            <w:tcBorders>
              <w:top w:val="single" w:sz="4" w:space="0" w:color="000000"/>
              <w:bottom w:val="single" w:sz="4" w:space="0" w:color="000000"/>
              <w:right w:val="single" w:sz="4" w:space="0" w:color="000000"/>
            </w:tcBorders>
          </w:tcPr>
          <w:p>
            <w:pPr>
              <w:pStyle w:val="TableParagraph"/>
              <w:spacing w:before="60"/>
              <w:ind w:left="151" w:right="162"/>
              <w:jc w:val="center"/>
              <w:rPr>
                <w:sz w:val="20"/>
              </w:rPr>
            </w:pPr>
            <w:r>
              <w:rPr>
                <w:sz w:val="20"/>
              </w:rPr>
              <w:t>47</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before="60"/>
              <w:jc w:val="center"/>
              <w:rPr>
                <w:sz w:val="20"/>
              </w:rPr>
            </w:pPr>
            <w:r>
              <w:rPr>
                <w:w w:val="99"/>
                <w:sz w:val="20"/>
              </w:rPr>
              <w:t>1</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before="60"/>
              <w:ind w:left="100"/>
              <w:rPr>
                <w:sz w:val="20"/>
              </w:rPr>
            </w:pPr>
            <w:r>
              <w:rPr>
                <w:sz w:val="20"/>
              </w:rPr>
              <w:t>24 50.859</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spacing w:before="60"/>
              <w:ind w:left="132" w:right="135"/>
              <w:jc w:val="center"/>
              <w:rPr>
                <w:sz w:val="20"/>
              </w:rPr>
            </w:pPr>
            <w:r>
              <w:rPr>
                <w:sz w:val="20"/>
              </w:rPr>
              <w:t>67 12.726</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spacing w:before="60"/>
              <w:ind w:left="67"/>
              <w:rPr>
                <w:sz w:val="20"/>
              </w:rPr>
            </w:pPr>
            <w:r>
              <w:rPr>
                <w:sz w:val="20"/>
              </w:rPr>
              <w:t>Uzair Khan</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spacing w:before="60"/>
              <w:ind w:left="67"/>
              <w:rPr>
                <w:sz w:val="20"/>
              </w:rPr>
            </w:pPr>
            <w:r>
              <w:rPr>
                <w:sz w:val="20"/>
              </w:rPr>
              <w:t>Janat Gull</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spacing w:before="60"/>
              <w:ind w:left="67"/>
              <w:rPr>
                <w:sz w:val="20"/>
              </w:rPr>
            </w:pPr>
            <w:r>
              <w:rPr>
                <w:sz w:val="20"/>
              </w:rPr>
              <w:t>17102-1754148-7</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60"/>
              <w:ind w:right="355"/>
              <w:jc w:val="right"/>
              <w:rPr>
                <w:sz w:val="20"/>
              </w:rPr>
            </w:pPr>
            <w:r>
              <w:rPr>
                <w:w w:val="95"/>
                <w:sz w:val="20"/>
              </w:rPr>
              <w:t>30,000</w:t>
            </w:r>
          </w:p>
        </w:tc>
        <w:tc>
          <w:tcPr>
            <w:tcW w:w="1570" w:type="dxa"/>
            <w:tcBorders>
              <w:top w:val="single" w:sz="4" w:space="0" w:color="000000"/>
              <w:left w:val="single" w:sz="4" w:space="0" w:color="000000"/>
              <w:bottom w:val="single" w:sz="4" w:space="0" w:color="000000"/>
            </w:tcBorders>
          </w:tcPr>
          <w:p>
            <w:pPr>
              <w:pStyle w:val="TableParagraph"/>
              <w:spacing w:before="60"/>
              <w:ind w:right="314"/>
              <w:jc w:val="right"/>
              <w:rPr>
                <w:sz w:val="20"/>
              </w:rPr>
            </w:pPr>
            <w:r>
              <w:rPr>
                <w:sz w:val="20"/>
              </w:rPr>
              <w:t>360,000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48</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1</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25 50.859</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67 12.727</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Kareem Mohiuddin</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Khawaja Mohiuddin</w:t>
            </w:r>
          </w:p>
        </w:tc>
        <w:tc>
          <w:tcPr>
            <w:tcW w:w="1786" w:type="dxa"/>
            <w:tcBorders>
              <w:top w:val="single" w:sz="4" w:space="0" w:color="000000"/>
              <w:left w:val="single" w:sz="4" w:space="0" w:color="000000"/>
              <w:bottom w:val="single" w:sz="4" w:space="0" w:color="000000"/>
              <w:right w:val="single" w:sz="4" w:space="0" w:color="000000"/>
            </w:tcBorders>
          </w:tcPr>
          <w:p>
            <w:pP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right="355"/>
              <w:jc w:val="right"/>
              <w:rPr>
                <w:sz w:val="20"/>
              </w:rPr>
            </w:pPr>
            <w:r>
              <w:rPr>
                <w:w w:val="95"/>
                <w:sz w:val="20"/>
              </w:rPr>
              <w:t>20,000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240,000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49</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1</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26 50.859</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67 12.728</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Syed Sultan Ali</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Syed Turab Ali</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42501-1410930-5</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right="355"/>
              <w:jc w:val="right"/>
              <w:rPr>
                <w:sz w:val="20"/>
              </w:rPr>
            </w:pPr>
            <w:r>
              <w:rPr>
                <w:w w:val="95"/>
                <w:sz w:val="20"/>
              </w:rPr>
              <w:t>12,000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144,000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50</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1</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27 50.859</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67 12.729</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Ikram Ullah</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Umer Khan</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21703-2958140-3</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right="355"/>
              <w:jc w:val="right"/>
              <w:rPr>
                <w:sz w:val="20"/>
              </w:rPr>
            </w:pPr>
            <w:r>
              <w:rPr>
                <w:w w:val="95"/>
                <w:sz w:val="20"/>
              </w:rPr>
              <w:t>40,000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480,000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51</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1</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28 50.859</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67 12.730</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Muhammad Shafique</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Khalil Khan</w:t>
            </w:r>
          </w:p>
        </w:tc>
        <w:tc>
          <w:tcPr>
            <w:tcW w:w="1786" w:type="dxa"/>
            <w:tcBorders>
              <w:top w:val="single" w:sz="4" w:space="0" w:color="000000"/>
              <w:left w:val="single" w:sz="4" w:space="0" w:color="000000"/>
              <w:bottom w:val="single" w:sz="4" w:space="0" w:color="000000"/>
              <w:right w:val="single" w:sz="4" w:space="0" w:color="000000"/>
            </w:tcBorders>
          </w:tcPr>
          <w:p>
            <w:pP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right="355"/>
              <w:jc w:val="right"/>
              <w:rPr>
                <w:sz w:val="20"/>
              </w:rPr>
            </w:pPr>
            <w:r>
              <w:rPr>
                <w:w w:val="95"/>
                <w:sz w:val="20"/>
              </w:rPr>
              <w:t>15,000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180,000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52</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1</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29 50.859</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67 12.731</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Muhammad Hamza</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Mohammad Ibrahim</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42501-6108091-9</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right="355"/>
              <w:jc w:val="right"/>
              <w:rPr>
                <w:sz w:val="20"/>
              </w:rPr>
            </w:pPr>
            <w:r>
              <w:rPr>
                <w:w w:val="95"/>
                <w:sz w:val="20"/>
              </w:rPr>
              <w:t>60,000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720,000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53</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1</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30 50.859</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67 12.732</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Faisal</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Ghareeb Ullah</w:t>
            </w:r>
          </w:p>
        </w:tc>
        <w:tc>
          <w:tcPr>
            <w:tcW w:w="1786" w:type="dxa"/>
            <w:tcBorders>
              <w:top w:val="single" w:sz="4" w:space="0" w:color="000000"/>
              <w:left w:val="single" w:sz="4" w:space="0" w:color="000000"/>
              <w:bottom w:val="single" w:sz="4" w:space="0" w:color="000000"/>
              <w:right w:val="single" w:sz="4" w:space="0" w:color="000000"/>
            </w:tcBorders>
          </w:tcPr>
          <w:p>
            <w:pP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right="355"/>
              <w:jc w:val="right"/>
              <w:rPr>
                <w:sz w:val="20"/>
              </w:rPr>
            </w:pPr>
            <w:r>
              <w:rPr>
                <w:w w:val="95"/>
                <w:sz w:val="20"/>
              </w:rPr>
              <w:t>16,000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192,000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54</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1</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31 50.859</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67 12.733</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Sifat Ullah</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Shafeeq Ullah</w:t>
            </w:r>
          </w:p>
        </w:tc>
        <w:tc>
          <w:tcPr>
            <w:tcW w:w="1786" w:type="dxa"/>
            <w:tcBorders>
              <w:top w:val="single" w:sz="4" w:space="0" w:color="000000"/>
              <w:left w:val="single" w:sz="4" w:space="0" w:color="000000"/>
              <w:bottom w:val="single" w:sz="4" w:space="0" w:color="000000"/>
              <w:right w:val="single" w:sz="4" w:space="0" w:color="000000"/>
            </w:tcBorders>
          </w:tcPr>
          <w:p>
            <w:pP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right="355"/>
              <w:jc w:val="right"/>
              <w:rPr>
                <w:sz w:val="20"/>
              </w:rPr>
            </w:pPr>
            <w:r>
              <w:rPr>
                <w:w w:val="95"/>
                <w:sz w:val="20"/>
              </w:rPr>
              <w:t>25,000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300,000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56</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3</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24 50.031</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67 05.700</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Ghulam Hussain</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Azeem Bux</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42201-5240559-5</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right="355"/>
              <w:jc w:val="right"/>
              <w:rPr>
                <w:sz w:val="20"/>
              </w:rPr>
            </w:pPr>
            <w:r>
              <w:rPr>
                <w:w w:val="95"/>
                <w:sz w:val="20"/>
              </w:rPr>
              <w:t>60,000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720,000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57</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3</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24 50.031</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67 05.700</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Mukhtiar Hussain</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Haji Muhammad</w:t>
            </w:r>
          </w:p>
        </w:tc>
        <w:tc>
          <w:tcPr>
            <w:tcW w:w="1786" w:type="dxa"/>
            <w:tcBorders>
              <w:top w:val="single" w:sz="4" w:space="0" w:color="000000"/>
              <w:left w:val="single" w:sz="4" w:space="0" w:color="000000"/>
              <w:bottom w:val="single" w:sz="4" w:space="0" w:color="000000"/>
              <w:right w:val="single" w:sz="4" w:space="0" w:color="000000"/>
            </w:tcBorders>
          </w:tcPr>
          <w:p>
            <w:pP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right="355"/>
              <w:jc w:val="right"/>
              <w:rPr>
                <w:sz w:val="20"/>
              </w:rPr>
            </w:pPr>
            <w:r>
              <w:rPr>
                <w:w w:val="95"/>
                <w:sz w:val="20"/>
              </w:rPr>
              <w:t>50,000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600,000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59</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3</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24 50.059</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67 05.802</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Muhammad Sarfraz Khan</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Umer Draz</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42301-3299171-7</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right="301"/>
              <w:jc w:val="right"/>
              <w:rPr>
                <w:sz w:val="20"/>
              </w:rPr>
            </w:pPr>
            <w:r>
              <w:rPr>
                <w:sz w:val="20"/>
              </w:rPr>
              <w:t>100,000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w w:val="95"/>
                <w:sz w:val="20"/>
              </w:rPr>
              <w:t>1,200,000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60</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3</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24 50.067</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67 05.840</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Asif Masih</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Niyamat Masih</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31301-1919901-9</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right="355"/>
              <w:jc w:val="right"/>
              <w:rPr>
                <w:sz w:val="20"/>
              </w:rPr>
            </w:pPr>
            <w:r>
              <w:rPr>
                <w:w w:val="95"/>
                <w:sz w:val="20"/>
              </w:rPr>
              <w:t>30,000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360,000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61</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3</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24 50.076</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67 05.866</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Salman Akhtar</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Akhtar Hussain</w:t>
            </w:r>
          </w:p>
        </w:tc>
        <w:tc>
          <w:tcPr>
            <w:tcW w:w="1786" w:type="dxa"/>
            <w:tcBorders>
              <w:top w:val="single" w:sz="4" w:space="0" w:color="000000"/>
              <w:left w:val="single" w:sz="4" w:space="0" w:color="000000"/>
              <w:bottom w:val="single" w:sz="4" w:space="0" w:color="000000"/>
              <w:right w:val="single" w:sz="4" w:space="0" w:color="000000"/>
            </w:tcBorders>
          </w:tcPr>
          <w:p>
            <w:pP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right="355"/>
              <w:jc w:val="right"/>
              <w:rPr>
                <w:sz w:val="20"/>
              </w:rPr>
            </w:pPr>
            <w:r>
              <w:rPr>
                <w:w w:val="95"/>
                <w:sz w:val="20"/>
              </w:rPr>
              <w:t>50,000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600,000</w:t>
            </w:r>
          </w:p>
        </w:tc>
      </w:tr>
      <w:tr>
        <w:trPr>
          <w:trHeight w:val="361" w:hRule="exact"/>
        </w:trPr>
        <w:tc>
          <w:tcPr>
            <w:tcW w:w="596" w:type="dxa"/>
            <w:tcBorders>
              <w:top w:val="single" w:sz="4" w:space="0" w:color="000000"/>
              <w:bottom w:val="single" w:sz="4" w:space="0" w:color="000000"/>
              <w:right w:val="single" w:sz="4" w:space="0" w:color="000000"/>
            </w:tcBorders>
          </w:tcPr>
          <w:p>
            <w:pPr>
              <w:pStyle w:val="TableParagraph"/>
              <w:spacing w:before="60"/>
              <w:ind w:left="151" w:right="162"/>
              <w:jc w:val="center"/>
              <w:rPr>
                <w:sz w:val="20"/>
              </w:rPr>
            </w:pPr>
            <w:r>
              <w:rPr>
                <w:sz w:val="20"/>
              </w:rPr>
              <w:t>67</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before="60"/>
              <w:jc w:val="center"/>
              <w:rPr>
                <w:sz w:val="20"/>
              </w:rPr>
            </w:pPr>
            <w:r>
              <w:rPr>
                <w:w w:val="99"/>
                <w:sz w:val="20"/>
              </w:rPr>
              <w:t>5</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before="60"/>
              <w:ind w:left="100"/>
              <w:rPr>
                <w:sz w:val="20"/>
              </w:rPr>
            </w:pPr>
            <w:r>
              <w:rPr>
                <w:sz w:val="20"/>
              </w:rPr>
              <w:t>24 50.792</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spacing w:before="60"/>
              <w:ind w:left="132" w:right="135"/>
              <w:jc w:val="center"/>
              <w:rPr>
                <w:sz w:val="20"/>
              </w:rPr>
            </w:pPr>
            <w:r>
              <w:rPr>
                <w:sz w:val="20"/>
              </w:rPr>
              <w:t>67 03.301</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spacing w:before="60"/>
              <w:ind w:left="67"/>
              <w:rPr>
                <w:sz w:val="20"/>
              </w:rPr>
            </w:pPr>
            <w:r>
              <w:rPr>
                <w:sz w:val="20"/>
              </w:rPr>
              <w:t>Muhammad Saddeeq</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spacing w:before="60"/>
              <w:ind w:left="67"/>
              <w:rPr>
                <w:sz w:val="20"/>
              </w:rPr>
            </w:pPr>
            <w:r>
              <w:rPr>
                <w:sz w:val="20"/>
              </w:rPr>
              <w:t>Ghulam Jan</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spacing w:before="60"/>
              <w:ind w:left="67"/>
              <w:rPr>
                <w:sz w:val="20"/>
              </w:rPr>
            </w:pPr>
            <w:r>
              <w:rPr>
                <w:sz w:val="20"/>
              </w:rPr>
              <w:t>13503-4457420-1</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60"/>
              <w:ind w:right="355"/>
              <w:jc w:val="right"/>
              <w:rPr>
                <w:sz w:val="20"/>
              </w:rPr>
            </w:pPr>
            <w:r>
              <w:rPr>
                <w:w w:val="95"/>
                <w:sz w:val="20"/>
              </w:rPr>
              <w:t>15,000</w:t>
            </w:r>
          </w:p>
        </w:tc>
        <w:tc>
          <w:tcPr>
            <w:tcW w:w="1570" w:type="dxa"/>
            <w:tcBorders>
              <w:top w:val="single" w:sz="4" w:space="0" w:color="000000"/>
              <w:left w:val="single" w:sz="4" w:space="0" w:color="000000"/>
              <w:bottom w:val="single" w:sz="4" w:space="0" w:color="000000"/>
            </w:tcBorders>
          </w:tcPr>
          <w:p>
            <w:pPr>
              <w:pStyle w:val="TableParagraph"/>
              <w:spacing w:before="60"/>
              <w:ind w:right="314"/>
              <w:jc w:val="right"/>
              <w:rPr>
                <w:sz w:val="20"/>
              </w:rPr>
            </w:pPr>
            <w:r>
              <w:rPr>
                <w:sz w:val="20"/>
              </w:rPr>
              <w:t>180,000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68</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5</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24 50.792</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67 03.301</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Muhammad Rafiq</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Faiz Muhammad</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36301-5701180-5</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right="355"/>
              <w:jc w:val="right"/>
              <w:rPr>
                <w:sz w:val="20"/>
              </w:rPr>
            </w:pPr>
            <w:r>
              <w:rPr>
                <w:w w:val="95"/>
                <w:sz w:val="20"/>
              </w:rPr>
              <w:t>25,000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300,000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69</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5</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24 50.916</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67 03.236</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Muhammad Naseer</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Muhammad Irfan</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42301-0947235-1</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right="355"/>
              <w:jc w:val="right"/>
              <w:rPr>
                <w:sz w:val="20"/>
              </w:rPr>
            </w:pPr>
            <w:r>
              <w:rPr>
                <w:w w:val="95"/>
                <w:sz w:val="20"/>
              </w:rPr>
              <w:t>25,000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300,000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70</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5</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24 50.916</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67 03.236</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Fazal Muhammad</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Noor Muhammad</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13504-4709012-1</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right="355"/>
              <w:jc w:val="right"/>
              <w:rPr>
                <w:sz w:val="20"/>
              </w:rPr>
            </w:pPr>
            <w:r>
              <w:rPr>
                <w:w w:val="95"/>
                <w:sz w:val="20"/>
              </w:rPr>
              <w:t>15,000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180,000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71</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5</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24 50.916</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67 03.236</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Hamid</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Sher Muhammad</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42301-6225138-1</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right="355"/>
              <w:jc w:val="right"/>
              <w:rPr>
                <w:sz w:val="20"/>
              </w:rPr>
            </w:pPr>
            <w:r>
              <w:rPr>
                <w:w w:val="95"/>
                <w:sz w:val="20"/>
              </w:rPr>
              <w:t>60,000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720,000</w:t>
            </w:r>
          </w:p>
        </w:tc>
      </w:tr>
      <w:tr>
        <w:trPr>
          <w:trHeight w:val="370" w:hRule="exact"/>
        </w:trPr>
        <w:tc>
          <w:tcPr>
            <w:tcW w:w="596" w:type="dxa"/>
            <w:tcBorders>
              <w:top w:val="single" w:sz="4" w:space="0" w:color="000000"/>
              <w:right w:val="single" w:sz="4" w:space="0" w:color="000000"/>
            </w:tcBorders>
          </w:tcPr>
          <w:p>
            <w:pPr>
              <w:pStyle w:val="TableParagraph"/>
              <w:ind w:left="151" w:right="162"/>
              <w:jc w:val="center"/>
              <w:rPr>
                <w:sz w:val="20"/>
              </w:rPr>
            </w:pPr>
            <w:r>
              <w:rPr>
                <w:sz w:val="20"/>
              </w:rPr>
              <w:t>72</w:t>
            </w:r>
          </w:p>
        </w:tc>
        <w:tc>
          <w:tcPr>
            <w:tcW w:w="989" w:type="dxa"/>
            <w:tcBorders>
              <w:top w:val="single" w:sz="4" w:space="0" w:color="000000"/>
              <w:left w:val="single" w:sz="4" w:space="0" w:color="000000"/>
              <w:right w:val="single" w:sz="4" w:space="0" w:color="000000"/>
            </w:tcBorders>
          </w:tcPr>
          <w:p>
            <w:pPr>
              <w:pStyle w:val="TableParagraph"/>
              <w:jc w:val="center"/>
              <w:rPr>
                <w:sz w:val="20"/>
              </w:rPr>
            </w:pPr>
            <w:r>
              <w:rPr>
                <w:w w:val="99"/>
                <w:sz w:val="20"/>
              </w:rPr>
              <w:t>5</w:t>
            </w:r>
          </w:p>
        </w:tc>
        <w:tc>
          <w:tcPr>
            <w:tcW w:w="1104" w:type="dxa"/>
            <w:tcBorders>
              <w:top w:val="single" w:sz="4" w:space="0" w:color="000000"/>
              <w:left w:val="single" w:sz="4" w:space="0" w:color="000000"/>
              <w:right w:val="single" w:sz="4" w:space="0" w:color="000000"/>
            </w:tcBorders>
          </w:tcPr>
          <w:p>
            <w:pPr>
              <w:pStyle w:val="TableParagraph"/>
              <w:ind w:left="100"/>
              <w:rPr>
                <w:sz w:val="20"/>
              </w:rPr>
            </w:pPr>
            <w:r>
              <w:rPr>
                <w:sz w:val="20"/>
              </w:rPr>
              <w:t>24 50.916</w:t>
            </w:r>
          </w:p>
        </w:tc>
        <w:tc>
          <w:tcPr>
            <w:tcW w:w="1210" w:type="dxa"/>
            <w:tcBorders>
              <w:top w:val="single" w:sz="4" w:space="0" w:color="000000"/>
              <w:left w:val="single" w:sz="4" w:space="0" w:color="000000"/>
              <w:right w:val="single" w:sz="4" w:space="0" w:color="000000"/>
            </w:tcBorders>
          </w:tcPr>
          <w:p>
            <w:pPr>
              <w:pStyle w:val="TableParagraph"/>
              <w:ind w:left="132" w:right="135"/>
              <w:jc w:val="center"/>
              <w:rPr>
                <w:sz w:val="20"/>
              </w:rPr>
            </w:pPr>
            <w:r>
              <w:rPr>
                <w:sz w:val="20"/>
              </w:rPr>
              <w:t>67 03.236</w:t>
            </w:r>
          </w:p>
        </w:tc>
        <w:tc>
          <w:tcPr>
            <w:tcW w:w="2546" w:type="dxa"/>
            <w:tcBorders>
              <w:top w:val="single" w:sz="4" w:space="0" w:color="000000"/>
              <w:left w:val="single" w:sz="4" w:space="0" w:color="000000"/>
              <w:right w:val="single" w:sz="4" w:space="0" w:color="000000"/>
            </w:tcBorders>
          </w:tcPr>
          <w:p>
            <w:pPr>
              <w:pStyle w:val="TableParagraph"/>
              <w:ind w:left="67"/>
              <w:rPr>
                <w:sz w:val="20"/>
              </w:rPr>
            </w:pPr>
            <w:r>
              <w:rPr>
                <w:sz w:val="20"/>
              </w:rPr>
              <w:t>Muhammad Ilyas</w:t>
            </w:r>
          </w:p>
        </w:tc>
        <w:tc>
          <w:tcPr>
            <w:tcW w:w="2506" w:type="dxa"/>
            <w:tcBorders>
              <w:top w:val="single" w:sz="4" w:space="0" w:color="000000"/>
              <w:left w:val="single" w:sz="4" w:space="0" w:color="000000"/>
              <w:right w:val="single" w:sz="4" w:space="0" w:color="000000"/>
            </w:tcBorders>
          </w:tcPr>
          <w:p>
            <w:pPr>
              <w:pStyle w:val="TableParagraph"/>
              <w:ind w:left="67"/>
              <w:rPr>
                <w:sz w:val="20"/>
              </w:rPr>
            </w:pPr>
            <w:r>
              <w:rPr>
                <w:sz w:val="20"/>
              </w:rPr>
              <w:t>Wali Muhammad</w:t>
            </w:r>
          </w:p>
        </w:tc>
        <w:tc>
          <w:tcPr>
            <w:tcW w:w="1786" w:type="dxa"/>
            <w:tcBorders>
              <w:top w:val="single" w:sz="4" w:space="0" w:color="000000"/>
              <w:left w:val="single" w:sz="4" w:space="0" w:color="000000"/>
              <w:right w:val="single" w:sz="4" w:space="0" w:color="000000"/>
            </w:tcBorders>
          </w:tcPr>
          <w:p>
            <w:pPr>
              <w:pStyle w:val="TableParagraph"/>
              <w:ind w:left="67"/>
              <w:rPr>
                <w:sz w:val="20"/>
              </w:rPr>
            </w:pPr>
            <w:r>
              <w:rPr>
                <w:sz w:val="20"/>
              </w:rPr>
              <w:t>42501-0816023-1</w:t>
            </w:r>
          </w:p>
        </w:tc>
        <w:tc>
          <w:tcPr>
            <w:tcW w:w="1333" w:type="dxa"/>
            <w:tcBorders>
              <w:top w:val="single" w:sz="4" w:space="0" w:color="000000"/>
              <w:left w:val="single" w:sz="4" w:space="0" w:color="000000"/>
              <w:right w:val="single" w:sz="4" w:space="0" w:color="000000"/>
            </w:tcBorders>
          </w:tcPr>
          <w:p>
            <w:pPr>
              <w:pStyle w:val="TableParagraph"/>
              <w:ind w:right="355"/>
              <w:jc w:val="right"/>
              <w:rPr>
                <w:sz w:val="20"/>
              </w:rPr>
            </w:pPr>
            <w:r>
              <w:rPr>
                <w:w w:val="95"/>
                <w:sz w:val="20"/>
              </w:rPr>
              <w:t>16,000</w:t>
            </w:r>
          </w:p>
        </w:tc>
        <w:tc>
          <w:tcPr>
            <w:tcW w:w="1570" w:type="dxa"/>
            <w:tcBorders>
              <w:top w:val="single" w:sz="4" w:space="0" w:color="000000"/>
              <w:left w:val="single" w:sz="4" w:space="0" w:color="000000"/>
            </w:tcBorders>
          </w:tcPr>
          <w:p>
            <w:pPr>
              <w:pStyle w:val="TableParagraph"/>
              <w:ind w:right="314"/>
              <w:jc w:val="right"/>
              <w:rPr>
                <w:sz w:val="20"/>
              </w:rPr>
            </w:pPr>
            <w:r>
              <w:rPr>
                <w:sz w:val="20"/>
              </w:rPr>
              <w:t>192,000</w:t>
            </w:r>
          </w:p>
        </w:tc>
      </w:tr>
    </w:tbl>
    <w:p>
      <w:pPr>
        <w:spacing w:after="0"/>
        <w:jc w:val="right"/>
        <w:rPr>
          <w:sz w:val="20"/>
        </w:rPr>
        <w:sectPr>
          <w:pgSz w:w="16840" w:h="11910" w:orient="landscape"/>
          <w:pgMar w:header="583" w:footer="575" w:top="840" w:bottom="760" w:left="860" w:right="12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6"/>
        </w:rPr>
      </w:pPr>
    </w:p>
    <w:tbl>
      <w:tblPr>
        <w:tblW w:w="0" w:type="auto"/>
        <w:jc w:val="left"/>
        <w:tblInd w:w="9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96"/>
        <w:gridCol w:w="989"/>
        <w:gridCol w:w="1104"/>
        <w:gridCol w:w="1210"/>
        <w:gridCol w:w="2546"/>
        <w:gridCol w:w="2506"/>
        <w:gridCol w:w="1786"/>
        <w:gridCol w:w="1333"/>
        <w:gridCol w:w="1570"/>
      </w:tblGrid>
      <w:tr>
        <w:trPr>
          <w:trHeight w:val="370" w:hRule="exact"/>
        </w:trPr>
        <w:tc>
          <w:tcPr>
            <w:tcW w:w="596" w:type="dxa"/>
            <w:vMerge w:val="restart"/>
            <w:tcBorders>
              <w:right w:val="single" w:sz="4" w:space="0" w:color="000000"/>
            </w:tcBorders>
            <w:shd w:val="clear" w:color="auto" w:fill="D9D9D9"/>
          </w:tcPr>
          <w:p>
            <w:pPr>
              <w:pStyle w:val="TableParagraph"/>
              <w:ind w:left="182"/>
              <w:rPr>
                <w:b/>
                <w:sz w:val="20"/>
              </w:rPr>
            </w:pPr>
            <w:r>
              <w:rPr>
                <w:b/>
                <w:sz w:val="20"/>
              </w:rPr>
              <w:t>ID</w:t>
            </w:r>
          </w:p>
        </w:tc>
        <w:tc>
          <w:tcPr>
            <w:tcW w:w="989" w:type="dxa"/>
            <w:vMerge w:val="restart"/>
            <w:tcBorders>
              <w:left w:val="single" w:sz="4" w:space="0" w:color="000000"/>
              <w:right w:val="single" w:sz="4" w:space="0" w:color="000000"/>
            </w:tcBorders>
            <w:shd w:val="clear" w:color="auto" w:fill="D9D9D9"/>
          </w:tcPr>
          <w:p>
            <w:pPr>
              <w:pStyle w:val="TableParagraph"/>
              <w:ind w:left="328" w:hanging="262"/>
              <w:rPr>
                <w:b/>
                <w:sz w:val="20"/>
              </w:rPr>
            </w:pPr>
            <w:r>
              <w:rPr>
                <w:b/>
                <w:w w:val="95"/>
                <w:sz w:val="20"/>
              </w:rPr>
              <w:t>Segment </w:t>
            </w:r>
            <w:r>
              <w:rPr>
                <w:b/>
                <w:sz w:val="20"/>
              </w:rPr>
              <w:t>No.</w:t>
            </w:r>
          </w:p>
        </w:tc>
        <w:tc>
          <w:tcPr>
            <w:tcW w:w="2314" w:type="dxa"/>
            <w:gridSpan w:val="2"/>
            <w:tcBorders>
              <w:left w:val="single" w:sz="4" w:space="0" w:color="000000"/>
              <w:bottom w:val="single" w:sz="4" w:space="0" w:color="000000"/>
              <w:right w:val="single" w:sz="4" w:space="0" w:color="000000"/>
            </w:tcBorders>
            <w:shd w:val="clear" w:color="auto" w:fill="D9D9D9"/>
          </w:tcPr>
          <w:p>
            <w:pPr>
              <w:pStyle w:val="TableParagraph"/>
              <w:ind w:left="566"/>
              <w:rPr>
                <w:b/>
                <w:sz w:val="20"/>
              </w:rPr>
            </w:pPr>
            <w:r>
              <w:rPr>
                <w:b/>
                <w:sz w:val="20"/>
              </w:rPr>
              <w:t>Coordinates</w:t>
            </w:r>
          </w:p>
        </w:tc>
        <w:tc>
          <w:tcPr>
            <w:tcW w:w="2546" w:type="dxa"/>
            <w:vMerge w:val="restart"/>
            <w:tcBorders>
              <w:left w:val="single" w:sz="4" w:space="0" w:color="000000"/>
              <w:right w:val="single" w:sz="4" w:space="0" w:color="000000"/>
            </w:tcBorders>
            <w:shd w:val="clear" w:color="auto" w:fill="D9D9D9"/>
          </w:tcPr>
          <w:p>
            <w:pPr>
              <w:pStyle w:val="TableParagraph"/>
              <w:ind w:left="388"/>
              <w:rPr>
                <w:b/>
                <w:sz w:val="20"/>
              </w:rPr>
            </w:pPr>
            <w:r>
              <w:rPr>
                <w:b/>
                <w:sz w:val="20"/>
              </w:rPr>
              <w:t>Respondent Name</w:t>
            </w:r>
          </w:p>
        </w:tc>
        <w:tc>
          <w:tcPr>
            <w:tcW w:w="2506" w:type="dxa"/>
            <w:vMerge w:val="restart"/>
            <w:tcBorders>
              <w:left w:val="single" w:sz="4" w:space="0" w:color="000000"/>
              <w:right w:val="single" w:sz="4" w:space="0" w:color="000000"/>
            </w:tcBorders>
            <w:shd w:val="clear" w:color="auto" w:fill="D9D9D9"/>
          </w:tcPr>
          <w:p>
            <w:pPr>
              <w:pStyle w:val="TableParagraph"/>
              <w:ind w:left="561"/>
              <w:rPr>
                <w:b/>
                <w:sz w:val="20"/>
              </w:rPr>
            </w:pPr>
            <w:r>
              <w:rPr>
                <w:b/>
                <w:sz w:val="20"/>
              </w:rPr>
              <w:t>Father's Name</w:t>
            </w:r>
          </w:p>
        </w:tc>
        <w:tc>
          <w:tcPr>
            <w:tcW w:w="1786" w:type="dxa"/>
            <w:vMerge w:val="restart"/>
            <w:tcBorders>
              <w:left w:val="single" w:sz="4" w:space="0" w:color="000000"/>
              <w:right w:val="single" w:sz="4" w:space="0" w:color="000000"/>
            </w:tcBorders>
            <w:shd w:val="clear" w:color="auto" w:fill="D9D9D9"/>
          </w:tcPr>
          <w:p>
            <w:pPr>
              <w:pStyle w:val="TableParagraph"/>
              <w:ind w:left="727" w:hanging="617"/>
              <w:rPr>
                <w:b/>
                <w:sz w:val="20"/>
              </w:rPr>
            </w:pPr>
            <w:r>
              <w:rPr>
                <w:b/>
                <w:sz w:val="20"/>
              </w:rPr>
              <w:t>Respondent NIC No.</w:t>
            </w:r>
          </w:p>
        </w:tc>
        <w:tc>
          <w:tcPr>
            <w:tcW w:w="1333" w:type="dxa"/>
            <w:vMerge w:val="restart"/>
            <w:tcBorders>
              <w:left w:val="single" w:sz="4" w:space="0" w:color="000000"/>
              <w:right w:val="single" w:sz="4" w:space="0" w:color="000000"/>
            </w:tcBorders>
            <w:shd w:val="clear" w:color="auto" w:fill="D9D9D9"/>
          </w:tcPr>
          <w:p>
            <w:pPr>
              <w:pStyle w:val="TableParagraph"/>
              <w:ind w:left="309" w:right="259" w:hanging="32"/>
              <w:rPr>
                <w:b/>
                <w:sz w:val="20"/>
              </w:rPr>
            </w:pPr>
            <w:r>
              <w:rPr>
                <w:b/>
                <w:sz w:val="20"/>
              </w:rPr>
              <w:t>Monthly Income</w:t>
            </w:r>
          </w:p>
        </w:tc>
        <w:tc>
          <w:tcPr>
            <w:tcW w:w="1570" w:type="dxa"/>
            <w:vMerge w:val="restart"/>
            <w:tcBorders>
              <w:left w:val="single" w:sz="4" w:space="0" w:color="000000"/>
            </w:tcBorders>
            <w:shd w:val="clear" w:color="auto" w:fill="D9D9D9"/>
          </w:tcPr>
          <w:p>
            <w:pPr>
              <w:pStyle w:val="TableParagraph"/>
              <w:ind w:left="285" w:right="269" w:firstLine="9"/>
              <w:rPr>
                <w:b/>
                <w:sz w:val="20"/>
              </w:rPr>
            </w:pPr>
            <w:r>
              <w:rPr>
                <w:b/>
                <w:sz w:val="20"/>
              </w:rPr>
              <w:t>Transition </w:t>
            </w:r>
            <w:r>
              <w:rPr>
                <w:b/>
                <w:w w:val="95"/>
                <w:sz w:val="20"/>
              </w:rPr>
              <w:t>Allowance</w:t>
            </w:r>
          </w:p>
        </w:tc>
      </w:tr>
      <w:tr>
        <w:trPr>
          <w:trHeight w:val="360" w:hRule="exact"/>
        </w:trPr>
        <w:tc>
          <w:tcPr>
            <w:tcW w:w="596" w:type="dxa"/>
            <w:vMerge/>
            <w:tcBorders>
              <w:bottom w:val="single" w:sz="4" w:space="0" w:color="000000"/>
              <w:right w:val="single" w:sz="4" w:space="0" w:color="000000"/>
            </w:tcBorders>
            <w:shd w:val="clear" w:color="auto" w:fill="D9D9D9"/>
          </w:tcPr>
          <w:p>
            <w:pPr/>
          </w:p>
        </w:tc>
        <w:tc>
          <w:tcPr>
            <w:tcW w:w="989" w:type="dxa"/>
            <w:vMerge/>
            <w:tcBorders>
              <w:left w:val="single" w:sz="4" w:space="0" w:color="000000"/>
              <w:bottom w:val="single" w:sz="4" w:space="0" w:color="000000"/>
              <w:right w:val="single" w:sz="4" w:space="0" w:color="000000"/>
            </w:tcBorders>
            <w:shd w:val="clear" w:color="auto" w:fill="D9D9D9"/>
          </w:tcPr>
          <w:p>
            <w:pPr/>
          </w:p>
        </w:tc>
        <w:tc>
          <w:tcPr>
            <w:tcW w:w="1104"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ind w:left="129"/>
              <w:rPr>
                <w:b/>
                <w:sz w:val="20"/>
              </w:rPr>
            </w:pPr>
            <w:r>
              <w:rPr>
                <w:b/>
                <w:sz w:val="20"/>
              </w:rPr>
              <w:t>Northing</w:t>
            </w:r>
          </w:p>
        </w:tc>
        <w:tc>
          <w:tcPr>
            <w:tcW w:w="121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ind w:left="131" w:right="135"/>
              <w:jc w:val="center"/>
              <w:rPr>
                <w:b/>
                <w:sz w:val="20"/>
              </w:rPr>
            </w:pPr>
            <w:r>
              <w:rPr>
                <w:b/>
                <w:sz w:val="20"/>
              </w:rPr>
              <w:t>Easting</w:t>
            </w:r>
          </w:p>
        </w:tc>
        <w:tc>
          <w:tcPr>
            <w:tcW w:w="2546" w:type="dxa"/>
            <w:vMerge/>
            <w:tcBorders>
              <w:left w:val="single" w:sz="4" w:space="0" w:color="000000"/>
              <w:bottom w:val="single" w:sz="4" w:space="0" w:color="000000"/>
              <w:right w:val="single" w:sz="4" w:space="0" w:color="000000"/>
            </w:tcBorders>
            <w:shd w:val="clear" w:color="auto" w:fill="D9D9D9"/>
          </w:tcPr>
          <w:p>
            <w:pPr/>
          </w:p>
        </w:tc>
        <w:tc>
          <w:tcPr>
            <w:tcW w:w="2506" w:type="dxa"/>
            <w:vMerge/>
            <w:tcBorders>
              <w:left w:val="single" w:sz="4" w:space="0" w:color="000000"/>
              <w:bottom w:val="single" w:sz="4" w:space="0" w:color="000000"/>
              <w:right w:val="single" w:sz="4" w:space="0" w:color="000000"/>
            </w:tcBorders>
            <w:shd w:val="clear" w:color="auto" w:fill="D9D9D9"/>
          </w:tcPr>
          <w:p>
            <w:pPr/>
          </w:p>
        </w:tc>
        <w:tc>
          <w:tcPr>
            <w:tcW w:w="1786" w:type="dxa"/>
            <w:vMerge/>
            <w:tcBorders>
              <w:left w:val="single" w:sz="4" w:space="0" w:color="000000"/>
              <w:bottom w:val="single" w:sz="4" w:space="0" w:color="000000"/>
              <w:right w:val="single" w:sz="4" w:space="0" w:color="000000"/>
            </w:tcBorders>
            <w:shd w:val="clear" w:color="auto" w:fill="D9D9D9"/>
          </w:tcPr>
          <w:p>
            <w:pPr/>
          </w:p>
        </w:tc>
        <w:tc>
          <w:tcPr>
            <w:tcW w:w="1333" w:type="dxa"/>
            <w:vMerge/>
            <w:tcBorders>
              <w:left w:val="single" w:sz="4" w:space="0" w:color="000000"/>
              <w:bottom w:val="single" w:sz="4" w:space="0" w:color="000000"/>
              <w:right w:val="single" w:sz="4" w:space="0" w:color="000000"/>
            </w:tcBorders>
            <w:shd w:val="clear" w:color="auto" w:fill="D9D9D9"/>
          </w:tcPr>
          <w:p>
            <w:pPr/>
          </w:p>
        </w:tc>
        <w:tc>
          <w:tcPr>
            <w:tcW w:w="1570" w:type="dxa"/>
            <w:vMerge/>
            <w:tcBorders>
              <w:left w:val="single" w:sz="4" w:space="0" w:color="000000"/>
              <w:bottom w:val="single" w:sz="4" w:space="0" w:color="000000"/>
            </w:tcBorders>
            <w:shd w:val="clear" w:color="auto" w:fill="D9D9D9"/>
          </w:tcPr>
          <w:p>
            <w:pP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73</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5</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24 50.916</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67 03.236</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Rashid Ahmed</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Muhammad Aslam</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42301-224362-1</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left="195" w:right="196"/>
              <w:jc w:val="center"/>
              <w:rPr>
                <w:sz w:val="20"/>
              </w:rPr>
            </w:pPr>
            <w:r>
              <w:rPr>
                <w:sz w:val="20"/>
              </w:rPr>
              <w:t>20,000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240,000</w:t>
            </w:r>
          </w:p>
        </w:tc>
      </w:tr>
      <w:tr>
        <w:trPr>
          <w:trHeight w:val="59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74</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5</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24 50.916</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67 03.236</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Syed Zafar Iqbal Gilani</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ight="453"/>
              <w:rPr>
                <w:sz w:val="20"/>
              </w:rPr>
            </w:pPr>
            <w:r>
              <w:rPr>
                <w:sz w:val="20"/>
              </w:rPr>
              <w:t>Syed Ghulam Qumias Gilani</w:t>
            </w:r>
          </w:p>
        </w:tc>
        <w:tc>
          <w:tcPr>
            <w:tcW w:w="1786" w:type="dxa"/>
            <w:tcBorders>
              <w:top w:val="single" w:sz="4" w:space="0" w:color="000000"/>
              <w:left w:val="single" w:sz="4" w:space="0" w:color="000000"/>
              <w:bottom w:val="single" w:sz="4" w:space="0" w:color="000000"/>
              <w:right w:val="single" w:sz="4" w:space="0" w:color="000000"/>
            </w:tcBorders>
          </w:tcPr>
          <w:p>
            <w:pP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left="195" w:right="196"/>
              <w:jc w:val="center"/>
              <w:rPr>
                <w:sz w:val="20"/>
              </w:rPr>
            </w:pPr>
            <w:r>
              <w:rPr>
                <w:sz w:val="20"/>
              </w:rPr>
              <w:t>50,000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600,000</w:t>
            </w:r>
          </w:p>
        </w:tc>
      </w:tr>
      <w:tr>
        <w:trPr>
          <w:trHeight w:val="361" w:hRule="exact"/>
        </w:trPr>
        <w:tc>
          <w:tcPr>
            <w:tcW w:w="596" w:type="dxa"/>
            <w:tcBorders>
              <w:top w:val="single" w:sz="4" w:space="0" w:color="000000"/>
              <w:bottom w:val="single" w:sz="4" w:space="0" w:color="000000"/>
              <w:right w:val="single" w:sz="4" w:space="0" w:color="000000"/>
            </w:tcBorders>
          </w:tcPr>
          <w:p>
            <w:pPr>
              <w:pStyle w:val="TableParagraph"/>
              <w:spacing w:before="60"/>
              <w:ind w:left="151" w:right="162"/>
              <w:jc w:val="center"/>
              <w:rPr>
                <w:sz w:val="20"/>
              </w:rPr>
            </w:pPr>
            <w:r>
              <w:rPr>
                <w:sz w:val="20"/>
              </w:rPr>
              <w:t>75</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before="60"/>
              <w:jc w:val="center"/>
              <w:rPr>
                <w:sz w:val="20"/>
              </w:rPr>
            </w:pPr>
            <w:r>
              <w:rPr>
                <w:w w:val="99"/>
                <w:sz w:val="20"/>
              </w:rPr>
              <w:t>5</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before="60"/>
              <w:ind w:left="100"/>
              <w:rPr>
                <w:sz w:val="20"/>
              </w:rPr>
            </w:pPr>
            <w:r>
              <w:rPr>
                <w:sz w:val="20"/>
              </w:rPr>
              <w:t>24 50.916</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spacing w:before="60"/>
              <w:ind w:left="132" w:right="135"/>
              <w:jc w:val="center"/>
              <w:rPr>
                <w:sz w:val="20"/>
              </w:rPr>
            </w:pPr>
            <w:r>
              <w:rPr>
                <w:sz w:val="20"/>
              </w:rPr>
              <w:t>67 03.236</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spacing w:before="60"/>
              <w:ind w:left="67"/>
              <w:rPr>
                <w:sz w:val="20"/>
              </w:rPr>
            </w:pPr>
            <w:r>
              <w:rPr>
                <w:sz w:val="20"/>
              </w:rPr>
              <w:t>Shakir Ali Qureshi</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spacing w:before="60"/>
              <w:ind w:left="67"/>
              <w:rPr>
                <w:sz w:val="20"/>
              </w:rPr>
            </w:pPr>
            <w:r>
              <w:rPr>
                <w:sz w:val="20"/>
              </w:rPr>
              <w:t>Muhammad Farooq</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spacing w:before="60"/>
              <w:ind w:left="67"/>
              <w:rPr>
                <w:sz w:val="20"/>
              </w:rPr>
            </w:pPr>
            <w:r>
              <w:rPr>
                <w:sz w:val="20"/>
              </w:rPr>
              <w:t>42301-6345104-7</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60"/>
              <w:ind w:left="195" w:right="196"/>
              <w:jc w:val="center"/>
              <w:rPr>
                <w:sz w:val="20"/>
              </w:rPr>
            </w:pPr>
            <w:r>
              <w:rPr>
                <w:sz w:val="20"/>
              </w:rPr>
              <w:t>25,000</w:t>
            </w:r>
          </w:p>
        </w:tc>
        <w:tc>
          <w:tcPr>
            <w:tcW w:w="1570" w:type="dxa"/>
            <w:tcBorders>
              <w:top w:val="single" w:sz="4" w:space="0" w:color="000000"/>
              <w:left w:val="single" w:sz="4" w:space="0" w:color="000000"/>
              <w:bottom w:val="single" w:sz="4" w:space="0" w:color="000000"/>
            </w:tcBorders>
          </w:tcPr>
          <w:p>
            <w:pPr>
              <w:pStyle w:val="TableParagraph"/>
              <w:spacing w:before="60"/>
              <w:ind w:right="314"/>
              <w:jc w:val="right"/>
              <w:rPr>
                <w:sz w:val="20"/>
              </w:rPr>
            </w:pPr>
            <w:r>
              <w:rPr>
                <w:sz w:val="20"/>
              </w:rPr>
              <w:t>300,000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76</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5</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24 50.916</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67 03.236</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Sabz Ali</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Abdul Majeed</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21103-0122822-5</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left="195" w:right="196"/>
              <w:jc w:val="center"/>
              <w:rPr>
                <w:sz w:val="20"/>
              </w:rPr>
            </w:pPr>
            <w:r>
              <w:rPr>
                <w:sz w:val="20"/>
              </w:rPr>
              <w:t>25,000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300,000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78</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5</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24 50.934</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67 03.258</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Muhammad Junaid</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Behram Khan</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15402-2484096-9</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left="195" w:right="196"/>
              <w:jc w:val="center"/>
              <w:rPr>
                <w:sz w:val="20"/>
              </w:rPr>
            </w:pPr>
            <w:r>
              <w:rPr>
                <w:sz w:val="20"/>
              </w:rPr>
              <w:t>70,000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840,000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79</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5</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24 50.934</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67 03.258</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Aamir Khan</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Khadi Khan</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42301-6171652-5</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left="195" w:right="196"/>
              <w:jc w:val="center"/>
              <w:rPr>
                <w:sz w:val="20"/>
              </w:rPr>
            </w:pPr>
            <w:r>
              <w:rPr>
                <w:sz w:val="20"/>
              </w:rPr>
              <w:t>25,000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300,000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80</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5</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24 50.934</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67 03.258</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Dildar Khan</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Shahwazir Khan</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17201-9814157-3</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left="195" w:right="196"/>
              <w:jc w:val="center"/>
              <w:rPr>
                <w:sz w:val="20"/>
              </w:rPr>
            </w:pPr>
            <w:r>
              <w:rPr>
                <w:sz w:val="20"/>
              </w:rPr>
              <w:t>30,000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360,000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81</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5</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24 50.934</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67 03.258</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Nisar Khan</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Raza Khan</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42301-1008738-1</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left="195" w:right="196"/>
              <w:jc w:val="center"/>
              <w:rPr>
                <w:sz w:val="20"/>
              </w:rPr>
            </w:pPr>
            <w:r>
              <w:rPr>
                <w:sz w:val="20"/>
              </w:rPr>
              <w:t>20,000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240,000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82</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5</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24 50.934</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67 03.258</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Noor ul Haq</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Muhammad Afzal</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42301-9470020-7</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left="195" w:right="196"/>
              <w:jc w:val="center"/>
              <w:rPr>
                <w:sz w:val="20"/>
              </w:rPr>
            </w:pPr>
            <w:r>
              <w:rPr>
                <w:sz w:val="20"/>
              </w:rPr>
              <w:t>30,000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360,000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spacing w:before="60"/>
              <w:ind w:left="151" w:right="162"/>
              <w:jc w:val="center"/>
              <w:rPr>
                <w:sz w:val="20"/>
              </w:rPr>
            </w:pPr>
            <w:r>
              <w:rPr>
                <w:sz w:val="20"/>
              </w:rPr>
              <w:t>83</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before="60"/>
              <w:jc w:val="center"/>
              <w:rPr>
                <w:sz w:val="20"/>
              </w:rPr>
            </w:pPr>
            <w:r>
              <w:rPr>
                <w:w w:val="99"/>
                <w:sz w:val="20"/>
              </w:rPr>
              <w:t>5</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before="60"/>
              <w:ind w:left="100"/>
              <w:rPr>
                <w:sz w:val="20"/>
              </w:rPr>
            </w:pPr>
            <w:r>
              <w:rPr>
                <w:sz w:val="20"/>
              </w:rPr>
              <w:t>24 50.934</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spacing w:before="60"/>
              <w:ind w:left="132" w:right="135"/>
              <w:jc w:val="center"/>
              <w:rPr>
                <w:sz w:val="20"/>
              </w:rPr>
            </w:pPr>
            <w:r>
              <w:rPr>
                <w:sz w:val="20"/>
              </w:rPr>
              <w:t>67 03.258</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spacing w:before="60"/>
              <w:ind w:left="67"/>
              <w:rPr>
                <w:sz w:val="20"/>
              </w:rPr>
            </w:pPr>
            <w:r>
              <w:rPr>
                <w:sz w:val="20"/>
              </w:rPr>
              <w:t>Asghar Ali</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spacing w:before="60"/>
              <w:ind w:left="67"/>
              <w:rPr>
                <w:sz w:val="20"/>
              </w:rPr>
            </w:pPr>
            <w:r>
              <w:rPr>
                <w:sz w:val="20"/>
              </w:rPr>
              <w:t>Shah Badshah</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spacing w:before="60"/>
              <w:ind w:left="67"/>
              <w:rPr>
                <w:sz w:val="20"/>
              </w:rPr>
            </w:pPr>
            <w:r>
              <w:rPr>
                <w:sz w:val="20"/>
              </w:rPr>
              <w:t>42301-6401793-7</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60"/>
              <w:ind w:left="195" w:right="196"/>
              <w:jc w:val="center"/>
              <w:rPr>
                <w:sz w:val="20"/>
              </w:rPr>
            </w:pPr>
            <w:r>
              <w:rPr>
                <w:sz w:val="20"/>
              </w:rPr>
              <w:t>15,000</w:t>
            </w:r>
          </w:p>
        </w:tc>
        <w:tc>
          <w:tcPr>
            <w:tcW w:w="1570" w:type="dxa"/>
            <w:tcBorders>
              <w:top w:val="single" w:sz="4" w:space="0" w:color="000000"/>
              <w:left w:val="single" w:sz="4" w:space="0" w:color="000000"/>
              <w:bottom w:val="single" w:sz="4" w:space="0" w:color="000000"/>
            </w:tcBorders>
          </w:tcPr>
          <w:p>
            <w:pPr>
              <w:pStyle w:val="TableParagraph"/>
              <w:spacing w:before="60"/>
              <w:ind w:right="314"/>
              <w:jc w:val="right"/>
              <w:rPr>
                <w:sz w:val="20"/>
              </w:rPr>
            </w:pPr>
            <w:r>
              <w:rPr>
                <w:sz w:val="20"/>
              </w:rPr>
              <w:t>180,000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84</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5</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24 50.934</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67 03.258</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Khalil ur Rahman</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Muhammad Afzal</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42301-6407693-3</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left="195" w:right="196"/>
              <w:jc w:val="center"/>
              <w:rPr>
                <w:sz w:val="20"/>
              </w:rPr>
            </w:pPr>
            <w:r>
              <w:rPr>
                <w:sz w:val="20"/>
              </w:rPr>
              <w:t>30,000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360,000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85</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5</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24 50.934</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67 03.258</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Imam ul Haq</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Fazal Haq</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42301-8542491-3</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left="195" w:right="196"/>
              <w:jc w:val="center"/>
              <w:rPr>
                <w:sz w:val="20"/>
              </w:rPr>
            </w:pPr>
            <w:r>
              <w:rPr>
                <w:sz w:val="20"/>
              </w:rPr>
              <w:t>60,000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720,000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86</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5</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24 50.934</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67 03.258</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Ayaz Ahmed</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Abdul Razzaq</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16201-0700148-9</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left="195" w:right="196"/>
              <w:jc w:val="center"/>
              <w:rPr>
                <w:sz w:val="20"/>
              </w:rPr>
            </w:pPr>
            <w:r>
              <w:rPr>
                <w:sz w:val="20"/>
              </w:rPr>
              <w:t>30,000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360,000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87</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5</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24 50.170</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67 04.180</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Abdul Rauf</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Allah Bux</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31201-6302313-1</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left="195" w:right="196"/>
              <w:jc w:val="center"/>
              <w:rPr>
                <w:sz w:val="20"/>
              </w:rPr>
            </w:pPr>
            <w:r>
              <w:rPr>
                <w:sz w:val="20"/>
              </w:rPr>
              <w:t>30,000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360,000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88</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5</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24 50.110</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67 04.301</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Zafar Ali</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Muhammad Umer</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41407-6593334-9</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left="195" w:right="196"/>
              <w:jc w:val="center"/>
              <w:rPr>
                <w:sz w:val="20"/>
              </w:rPr>
            </w:pPr>
            <w:r>
              <w:rPr>
                <w:sz w:val="20"/>
              </w:rPr>
              <w:t>15,000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180,000</w:t>
            </w:r>
          </w:p>
        </w:tc>
      </w:tr>
      <w:tr>
        <w:trPr>
          <w:trHeight w:val="361"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89</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3</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24 49.891</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67 05.030</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Qamar Ali</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Qasid Jan</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21103-8474622-3</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left="195" w:right="196"/>
              <w:jc w:val="center"/>
              <w:rPr>
                <w:sz w:val="20"/>
              </w:rPr>
            </w:pPr>
            <w:r>
              <w:rPr>
                <w:sz w:val="20"/>
              </w:rPr>
              <w:t>25,000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300,000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90</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1</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24 51.245</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67 11.885</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Umer Farooq</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Ramzan</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12105-0354558-5</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left="195" w:right="196"/>
              <w:jc w:val="center"/>
              <w:rPr>
                <w:sz w:val="20"/>
              </w:rPr>
            </w:pPr>
            <w:r>
              <w:rPr>
                <w:sz w:val="20"/>
              </w:rPr>
              <w:t>20,000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240,000</w:t>
            </w:r>
          </w:p>
        </w:tc>
      </w:tr>
      <w:tr>
        <w:trPr>
          <w:trHeight w:val="360" w:hRule="exact"/>
        </w:trPr>
        <w:tc>
          <w:tcPr>
            <w:tcW w:w="596" w:type="dxa"/>
            <w:tcBorders>
              <w:top w:val="single" w:sz="4" w:space="0" w:color="000000"/>
              <w:bottom w:val="single" w:sz="4" w:space="0" w:color="000000"/>
              <w:right w:val="single" w:sz="4" w:space="0" w:color="000000"/>
            </w:tcBorders>
          </w:tcPr>
          <w:p>
            <w:pPr>
              <w:pStyle w:val="TableParagraph"/>
              <w:ind w:left="151" w:right="162"/>
              <w:jc w:val="center"/>
              <w:rPr>
                <w:sz w:val="20"/>
              </w:rPr>
            </w:pPr>
            <w:r>
              <w:rPr>
                <w:sz w:val="20"/>
              </w:rPr>
              <w:t>91</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jc w:val="center"/>
              <w:rPr>
                <w:sz w:val="20"/>
              </w:rPr>
            </w:pPr>
            <w:r>
              <w:rPr>
                <w:w w:val="99"/>
                <w:sz w:val="20"/>
              </w:rPr>
              <w:t>1</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ind w:left="100"/>
              <w:rPr>
                <w:sz w:val="20"/>
              </w:rPr>
            </w:pPr>
            <w:r>
              <w:rPr>
                <w:sz w:val="20"/>
              </w:rPr>
              <w:t>24 51.245</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132" w:right="135"/>
              <w:jc w:val="center"/>
              <w:rPr>
                <w:sz w:val="20"/>
              </w:rPr>
            </w:pPr>
            <w:r>
              <w:rPr>
                <w:sz w:val="20"/>
              </w:rPr>
              <w:t>67 11.885</w:t>
            </w:r>
          </w:p>
        </w:tc>
        <w:tc>
          <w:tcPr>
            <w:tcW w:w="254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Akhtar Shah</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ind w:left="67"/>
              <w:rPr>
                <w:sz w:val="20"/>
              </w:rPr>
            </w:pPr>
            <w:r>
              <w:rPr>
                <w:sz w:val="20"/>
              </w:rPr>
              <w:t>Faqeer Shah</w:t>
            </w:r>
          </w:p>
        </w:tc>
        <w:tc>
          <w:tcPr>
            <w:tcW w:w="1786" w:type="dxa"/>
            <w:tcBorders>
              <w:top w:val="single" w:sz="4" w:space="0" w:color="000000"/>
              <w:left w:val="single" w:sz="4" w:space="0" w:color="000000"/>
              <w:bottom w:val="single" w:sz="4" w:space="0" w:color="000000"/>
              <w:right w:val="single" w:sz="4" w:space="0" w:color="000000"/>
            </w:tcBorders>
          </w:tcPr>
          <w:p>
            <w:pPr/>
          </w:p>
        </w:tc>
        <w:tc>
          <w:tcPr>
            <w:tcW w:w="1333" w:type="dxa"/>
            <w:tcBorders>
              <w:top w:val="single" w:sz="4" w:space="0" w:color="000000"/>
              <w:left w:val="single" w:sz="4" w:space="0" w:color="000000"/>
              <w:bottom w:val="single" w:sz="4" w:space="0" w:color="000000"/>
              <w:right w:val="single" w:sz="4" w:space="0" w:color="000000"/>
            </w:tcBorders>
          </w:tcPr>
          <w:p>
            <w:pPr>
              <w:pStyle w:val="TableParagraph"/>
              <w:ind w:left="195" w:right="196"/>
              <w:jc w:val="center"/>
              <w:rPr>
                <w:sz w:val="20"/>
              </w:rPr>
            </w:pPr>
            <w:r>
              <w:rPr>
                <w:sz w:val="20"/>
              </w:rPr>
              <w:t>16,000</w:t>
            </w:r>
          </w:p>
        </w:tc>
        <w:tc>
          <w:tcPr>
            <w:tcW w:w="1570" w:type="dxa"/>
            <w:tcBorders>
              <w:top w:val="single" w:sz="4" w:space="0" w:color="000000"/>
              <w:left w:val="single" w:sz="4" w:space="0" w:color="000000"/>
              <w:bottom w:val="single" w:sz="4" w:space="0" w:color="000000"/>
            </w:tcBorders>
          </w:tcPr>
          <w:p>
            <w:pPr>
              <w:pStyle w:val="TableParagraph"/>
              <w:ind w:right="314"/>
              <w:jc w:val="right"/>
              <w:rPr>
                <w:sz w:val="20"/>
              </w:rPr>
            </w:pPr>
            <w:r>
              <w:rPr>
                <w:sz w:val="20"/>
              </w:rPr>
              <w:t>192,000</w:t>
            </w:r>
          </w:p>
        </w:tc>
      </w:tr>
      <w:tr>
        <w:trPr>
          <w:trHeight w:val="367" w:hRule="exact"/>
        </w:trPr>
        <w:tc>
          <w:tcPr>
            <w:tcW w:w="596" w:type="dxa"/>
            <w:tcBorders>
              <w:top w:val="single" w:sz="4" w:space="0" w:color="000000"/>
              <w:right w:val="single" w:sz="4" w:space="0" w:color="000000"/>
            </w:tcBorders>
          </w:tcPr>
          <w:p>
            <w:pPr/>
          </w:p>
        </w:tc>
        <w:tc>
          <w:tcPr>
            <w:tcW w:w="989" w:type="dxa"/>
            <w:tcBorders>
              <w:top w:val="single" w:sz="4" w:space="0" w:color="000000"/>
              <w:left w:val="single" w:sz="4" w:space="0" w:color="000000"/>
              <w:right w:val="single" w:sz="4" w:space="0" w:color="000000"/>
            </w:tcBorders>
          </w:tcPr>
          <w:p>
            <w:pPr/>
          </w:p>
        </w:tc>
        <w:tc>
          <w:tcPr>
            <w:tcW w:w="1104" w:type="dxa"/>
            <w:tcBorders>
              <w:top w:val="single" w:sz="4" w:space="0" w:color="000000"/>
              <w:left w:val="single" w:sz="4" w:space="0" w:color="000000"/>
              <w:right w:val="single" w:sz="4" w:space="0" w:color="000000"/>
            </w:tcBorders>
          </w:tcPr>
          <w:p>
            <w:pPr/>
          </w:p>
        </w:tc>
        <w:tc>
          <w:tcPr>
            <w:tcW w:w="1210" w:type="dxa"/>
            <w:tcBorders>
              <w:top w:val="single" w:sz="4" w:space="0" w:color="000000"/>
              <w:left w:val="single" w:sz="4" w:space="0" w:color="000000"/>
              <w:right w:val="single" w:sz="4" w:space="0" w:color="000000"/>
            </w:tcBorders>
          </w:tcPr>
          <w:p>
            <w:pPr/>
          </w:p>
        </w:tc>
        <w:tc>
          <w:tcPr>
            <w:tcW w:w="2546" w:type="dxa"/>
            <w:tcBorders>
              <w:top w:val="single" w:sz="4" w:space="0" w:color="000000"/>
              <w:left w:val="single" w:sz="4" w:space="0" w:color="000000"/>
              <w:right w:val="single" w:sz="4" w:space="0" w:color="000000"/>
            </w:tcBorders>
          </w:tcPr>
          <w:p>
            <w:pPr/>
          </w:p>
        </w:tc>
        <w:tc>
          <w:tcPr>
            <w:tcW w:w="2506" w:type="dxa"/>
            <w:tcBorders>
              <w:top w:val="single" w:sz="4" w:space="0" w:color="000000"/>
              <w:left w:val="single" w:sz="4" w:space="0" w:color="000000"/>
              <w:right w:val="single" w:sz="4" w:space="0" w:color="000000"/>
            </w:tcBorders>
          </w:tcPr>
          <w:p>
            <w:pPr/>
          </w:p>
        </w:tc>
        <w:tc>
          <w:tcPr>
            <w:tcW w:w="1786" w:type="dxa"/>
            <w:tcBorders>
              <w:top w:val="single" w:sz="4" w:space="0" w:color="000000"/>
              <w:left w:val="single" w:sz="4" w:space="0" w:color="000000"/>
              <w:right w:val="single" w:sz="4" w:space="0" w:color="000000"/>
            </w:tcBorders>
          </w:tcPr>
          <w:p>
            <w:pPr/>
          </w:p>
        </w:tc>
        <w:tc>
          <w:tcPr>
            <w:tcW w:w="1333" w:type="dxa"/>
            <w:tcBorders>
              <w:top w:val="single" w:sz="4" w:space="0" w:color="000000"/>
              <w:left w:val="single" w:sz="4" w:space="0" w:color="000000"/>
              <w:right w:val="single" w:sz="4" w:space="0" w:color="000000"/>
            </w:tcBorders>
          </w:tcPr>
          <w:p>
            <w:pPr>
              <w:pStyle w:val="TableParagraph"/>
              <w:ind w:left="196" w:right="196"/>
              <w:jc w:val="center"/>
              <w:rPr>
                <w:b/>
                <w:sz w:val="20"/>
              </w:rPr>
            </w:pPr>
            <w:r>
              <w:rPr>
                <w:b/>
                <w:sz w:val="20"/>
              </w:rPr>
              <w:t>2,252,000</w:t>
            </w:r>
          </w:p>
        </w:tc>
        <w:tc>
          <w:tcPr>
            <w:tcW w:w="1570" w:type="dxa"/>
            <w:tcBorders>
              <w:top w:val="single" w:sz="4" w:space="0" w:color="000000"/>
              <w:left w:val="single" w:sz="4" w:space="0" w:color="000000"/>
            </w:tcBorders>
          </w:tcPr>
          <w:p>
            <w:pPr>
              <w:pStyle w:val="TableParagraph"/>
              <w:ind w:right="314"/>
              <w:jc w:val="right"/>
              <w:rPr>
                <w:b/>
                <w:sz w:val="20"/>
              </w:rPr>
            </w:pPr>
            <w:r>
              <w:rPr>
                <w:b/>
                <w:w w:val="95"/>
                <w:sz w:val="20"/>
              </w:rPr>
              <w:t>27,024,000</w:t>
            </w:r>
          </w:p>
        </w:tc>
      </w:tr>
    </w:tbl>
    <w:p>
      <w:pPr>
        <w:spacing w:after="0"/>
        <w:jc w:val="right"/>
        <w:rPr>
          <w:sz w:val="20"/>
        </w:rPr>
        <w:sectPr>
          <w:pgSz w:w="16840" w:h="11910" w:orient="landscape"/>
          <w:pgMar w:header="583" w:footer="575" w:top="840" w:bottom="760" w:left="860" w:right="1280"/>
        </w:sectPr>
      </w:pPr>
    </w:p>
    <w:p>
      <w:pPr>
        <w:pStyle w:val="BodyText"/>
        <w:rPr>
          <w:rFonts w:ascii="Times New Roman"/>
          <w:sz w:val="20"/>
        </w:rPr>
      </w:pPr>
    </w:p>
    <w:p>
      <w:pPr>
        <w:pStyle w:val="BodyText"/>
        <w:rPr>
          <w:rFonts w:ascii="Times New Roman"/>
          <w:sz w:val="20"/>
        </w:rPr>
      </w:pPr>
    </w:p>
    <w:p>
      <w:pPr>
        <w:pStyle w:val="BodyText"/>
        <w:spacing w:before="10"/>
        <w:rPr>
          <w:rFonts w:ascii="Times New Roman"/>
          <w:sz w:val="27"/>
        </w:rPr>
      </w:pPr>
    </w:p>
    <w:p>
      <w:pPr>
        <w:spacing w:before="92"/>
        <w:ind w:left="4651" w:right="0" w:firstLine="0"/>
        <w:jc w:val="left"/>
        <w:rPr>
          <w:b/>
          <w:sz w:val="28"/>
        </w:rPr>
      </w:pPr>
      <w:bookmarkStart w:name="_bookmark112" w:id="185"/>
      <w:bookmarkEnd w:id="185"/>
      <w:r>
        <w:rPr/>
      </w:r>
      <w:r>
        <w:rPr>
          <w:b/>
          <w:sz w:val="28"/>
          <w:u w:val="thick"/>
        </w:rPr>
        <w:t>Annex-IX: Compensation for Vulnerable PAPs</w:t>
      </w:r>
    </w:p>
    <w:p>
      <w:pPr>
        <w:pStyle w:val="BodyText"/>
        <w:spacing w:before="5"/>
        <w:rPr>
          <w:b/>
          <w:sz w:val="10"/>
        </w:rPr>
      </w:pPr>
    </w:p>
    <w:tbl>
      <w:tblPr>
        <w:tblW w:w="0" w:type="auto"/>
        <w:jc w:val="left"/>
        <w:tblInd w:w="9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84"/>
        <w:gridCol w:w="1046"/>
        <w:gridCol w:w="1178"/>
        <w:gridCol w:w="1157"/>
        <w:gridCol w:w="2453"/>
        <w:gridCol w:w="2096"/>
        <w:gridCol w:w="1817"/>
        <w:gridCol w:w="1532"/>
        <w:gridCol w:w="1675"/>
      </w:tblGrid>
      <w:tr>
        <w:trPr>
          <w:trHeight w:val="311" w:hRule="exact"/>
        </w:trPr>
        <w:tc>
          <w:tcPr>
            <w:tcW w:w="684" w:type="dxa"/>
            <w:vMerge w:val="restart"/>
            <w:tcBorders>
              <w:right w:val="single" w:sz="4" w:space="0" w:color="000000"/>
            </w:tcBorders>
            <w:shd w:val="clear" w:color="auto" w:fill="D9D9D9"/>
          </w:tcPr>
          <w:p>
            <w:pPr>
              <w:pStyle w:val="TableParagraph"/>
              <w:spacing w:before="43"/>
              <w:ind w:left="209" w:right="216"/>
              <w:jc w:val="center"/>
              <w:rPr>
                <w:b/>
                <w:sz w:val="20"/>
              </w:rPr>
            </w:pPr>
            <w:r>
              <w:rPr>
                <w:b/>
                <w:sz w:val="20"/>
              </w:rPr>
              <w:t>ID</w:t>
            </w:r>
          </w:p>
        </w:tc>
        <w:tc>
          <w:tcPr>
            <w:tcW w:w="1046" w:type="dxa"/>
            <w:vMerge w:val="restart"/>
            <w:tcBorders>
              <w:left w:val="single" w:sz="4" w:space="0" w:color="000000"/>
              <w:right w:val="single" w:sz="4" w:space="0" w:color="000000"/>
            </w:tcBorders>
            <w:shd w:val="clear" w:color="auto" w:fill="D9D9D9"/>
          </w:tcPr>
          <w:p>
            <w:pPr>
              <w:pStyle w:val="TableParagraph"/>
              <w:spacing w:before="40"/>
              <w:ind w:left="357" w:hanging="262"/>
              <w:rPr>
                <w:b/>
                <w:sz w:val="20"/>
              </w:rPr>
            </w:pPr>
            <w:r>
              <w:rPr>
                <w:b/>
                <w:w w:val="95"/>
                <w:sz w:val="20"/>
              </w:rPr>
              <w:t>Segment </w:t>
            </w:r>
            <w:r>
              <w:rPr>
                <w:b/>
                <w:sz w:val="20"/>
              </w:rPr>
              <w:t>No.</w:t>
            </w:r>
          </w:p>
        </w:tc>
        <w:tc>
          <w:tcPr>
            <w:tcW w:w="2336" w:type="dxa"/>
            <w:gridSpan w:val="2"/>
            <w:tcBorders>
              <w:left w:val="single" w:sz="4" w:space="0" w:color="000000"/>
              <w:bottom w:val="single" w:sz="4" w:space="0" w:color="000000"/>
              <w:right w:val="single" w:sz="4" w:space="0" w:color="000000"/>
            </w:tcBorders>
            <w:shd w:val="clear" w:color="auto" w:fill="D9D9D9"/>
          </w:tcPr>
          <w:p>
            <w:pPr>
              <w:pStyle w:val="TableParagraph"/>
              <w:spacing w:before="43"/>
              <w:ind w:left="578"/>
              <w:rPr>
                <w:b/>
                <w:sz w:val="20"/>
              </w:rPr>
            </w:pPr>
            <w:r>
              <w:rPr>
                <w:b/>
                <w:sz w:val="20"/>
              </w:rPr>
              <w:t>Coordinates</w:t>
            </w:r>
          </w:p>
        </w:tc>
        <w:tc>
          <w:tcPr>
            <w:tcW w:w="2453" w:type="dxa"/>
            <w:vMerge w:val="restart"/>
            <w:tcBorders>
              <w:left w:val="single" w:sz="4" w:space="0" w:color="000000"/>
              <w:right w:val="single" w:sz="4" w:space="0" w:color="000000"/>
            </w:tcBorders>
            <w:shd w:val="clear" w:color="auto" w:fill="D9D9D9"/>
          </w:tcPr>
          <w:p>
            <w:pPr>
              <w:pStyle w:val="TableParagraph"/>
              <w:spacing w:before="43"/>
              <w:ind w:left="343"/>
              <w:rPr>
                <w:b/>
                <w:sz w:val="20"/>
              </w:rPr>
            </w:pPr>
            <w:r>
              <w:rPr>
                <w:b/>
                <w:sz w:val="20"/>
              </w:rPr>
              <w:t>Respondent Name</w:t>
            </w:r>
          </w:p>
        </w:tc>
        <w:tc>
          <w:tcPr>
            <w:tcW w:w="2096" w:type="dxa"/>
            <w:vMerge w:val="restart"/>
            <w:tcBorders>
              <w:left w:val="single" w:sz="4" w:space="0" w:color="000000"/>
              <w:right w:val="single" w:sz="4" w:space="0" w:color="000000"/>
            </w:tcBorders>
            <w:shd w:val="clear" w:color="auto" w:fill="D9D9D9"/>
          </w:tcPr>
          <w:p>
            <w:pPr>
              <w:pStyle w:val="TableParagraph"/>
              <w:spacing w:before="43"/>
              <w:ind w:left="357"/>
              <w:rPr>
                <w:b/>
                <w:sz w:val="20"/>
              </w:rPr>
            </w:pPr>
            <w:r>
              <w:rPr>
                <w:b/>
                <w:sz w:val="20"/>
              </w:rPr>
              <w:t>Father's Name</w:t>
            </w:r>
          </w:p>
        </w:tc>
        <w:tc>
          <w:tcPr>
            <w:tcW w:w="1817" w:type="dxa"/>
            <w:vMerge w:val="restart"/>
            <w:tcBorders>
              <w:left w:val="single" w:sz="4" w:space="0" w:color="000000"/>
              <w:right w:val="single" w:sz="4" w:space="0" w:color="000000"/>
            </w:tcBorders>
            <w:shd w:val="clear" w:color="auto" w:fill="D9D9D9"/>
          </w:tcPr>
          <w:p>
            <w:pPr>
              <w:pStyle w:val="TableParagraph"/>
              <w:spacing w:before="40"/>
              <w:ind w:left="741" w:hanging="615"/>
              <w:rPr>
                <w:b/>
                <w:sz w:val="20"/>
              </w:rPr>
            </w:pPr>
            <w:r>
              <w:rPr>
                <w:b/>
                <w:sz w:val="20"/>
              </w:rPr>
              <w:t>Respondent NIC No.</w:t>
            </w:r>
          </w:p>
        </w:tc>
        <w:tc>
          <w:tcPr>
            <w:tcW w:w="1532" w:type="dxa"/>
            <w:vMerge w:val="restart"/>
            <w:tcBorders>
              <w:left w:val="single" w:sz="4" w:space="0" w:color="000000"/>
              <w:right w:val="single" w:sz="4" w:space="0" w:color="000000"/>
            </w:tcBorders>
            <w:shd w:val="clear" w:color="auto" w:fill="D9D9D9"/>
          </w:tcPr>
          <w:p>
            <w:pPr>
              <w:pStyle w:val="TableParagraph"/>
              <w:spacing w:before="40"/>
              <w:ind w:left="410" w:right="359" w:hanging="34"/>
              <w:rPr>
                <w:b/>
                <w:sz w:val="20"/>
              </w:rPr>
            </w:pPr>
            <w:r>
              <w:rPr>
                <w:b/>
                <w:sz w:val="20"/>
              </w:rPr>
              <w:t>Monthly Income</w:t>
            </w:r>
          </w:p>
        </w:tc>
        <w:tc>
          <w:tcPr>
            <w:tcW w:w="1675" w:type="dxa"/>
            <w:vMerge w:val="restart"/>
            <w:tcBorders>
              <w:left w:val="single" w:sz="4" w:space="0" w:color="000000"/>
            </w:tcBorders>
            <w:shd w:val="clear" w:color="auto" w:fill="D9D9D9"/>
          </w:tcPr>
          <w:p>
            <w:pPr>
              <w:pStyle w:val="TableParagraph"/>
              <w:spacing w:before="40"/>
              <w:ind w:left="338" w:right="308" w:hanging="17"/>
              <w:rPr>
                <w:b/>
                <w:sz w:val="20"/>
              </w:rPr>
            </w:pPr>
            <w:r>
              <w:rPr>
                <w:b/>
                <w:w w:val="95"/>
                <w:sz w:val="20"/>
              </w:rPr>
              <w:t>Vulnerable </w:t>
            </w:r>
            <w:r>
              <w:rPr>
                <w:b/>
                <w:sz w:val="20"/>
              </w:rPr>
              <w:t>Allowance</w:t>
            </w:r>
          </w:p>
        </w:tc>
      </w:tr>
      <w:tr>
        <w:trPr>
          <w:trHeight w:val="299" w:hRule="exact"/>
        </w:trPr>
        <w:tc>
          <w:tcPr>
            <w:tcW w:w="684" w:type="dxa"/>
            <w:vMerge/>
            <w:tcBorders>
              <w:bottom w:val="single" w:sz="4" w:space="0" w:color="000000"/>
              <w:right w:val="single" w:sz="4" w:space="0" w:color="000000"/>
            </w:tcBorders>
            <w:shd w:val="clear" w:color="auto" w:fill="D9D9D9"/>
          </w:tcPr>
          <w:p>
            <w:pPr/>
          </w:p>
        </w:tc>
        <w:tc>
          <w:tcPr>
            <w:tcW w:w="1046" w:type="dxa"/>
            <w:vMerge/>
            <w:tcBorders>
              <w:left w:val="single" w:sz="4" w:space="0" w:color="000000"/>
              <w:bottom w:val="single" w:sz="4" w:space="0" w:color="000000"/>
              <w:right w:val="single" w:sz="4" w:space="0" w:color="000000"/>
            </w:tcBorders>
            <w:shd w:val="clear" w:color="auto" w:fill="D9D9D9"/>
          </w:tcPr>
          <w:p>
            <w:pPr/>
          </w:p>
        </w:tc>
        <w:tc>
          <w:tcPr>
            <w:tcW w:w="1178"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41"/>
              <w:ind w:left="165"/>
              <w:rPr>
                <w:b/>
                <w:sz w:val="20"/>
              </w:rPr>
            </w:pPr>
            <w:r>
              <w:rPr>
                <w:b/>
                <w:sz w:val="20"/>
              </w:rPr>
              <w:t>Northing</w:t>
            </w:r>
          </w:p>
        </w:tc>
        <w:tc>
          <w:tcPr>
            <w:tcW w:w="1157"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41"/>
              <w:ind w:left="109" w:right="109"/>
              <w:jc w:val="center"/>
              <w:rPr>
                <w:b/>
                <w:sz w:val="20"/>
              </w:rPr>
            </w:pPr>
            <w:r>
              <w:rPr>
                <w:b/>
                <w:sz w:val="20"/>
              </w:rPr>
              <w:t>Easting</w:t>
            </w:r>
          </w:p>
        </w:tc>
        <w:tc>
          <w:tcPr>
            <w:tcW w:w="2453" w:type="dxa"/>
            <w:vMerge/>
            <w:tcBorders>
              <w:left w:val="single" w:sz="4" w:space="0" w:color="000000"/>
              <w:bottom w:val="single" w:sz="4" w:space="0" w:color="000000"/>
              <w:right w:val="single" w:sz="4" w:space="0" w:color="000000"/>
            </w:tcBorders>
            <w:shd w:val="clear" w:color="auto" w:fill="D9D9D9"/>
          </w:tcPr>
          <w:p>
            <w:pPr/>
          </w:p>
        </w:tc>
        <w:tc>
          <w:tcPr>
            <w:tcW w:w="2096" w:type="dxa"/>
            <w:vMerge/>
            <w:tcBorders>
              <w:left w:val="single" w:sz="4" w:space="0" w:color="000000"/>
              <w:bottom w:val="single" w:sz="4" w:space="0" w:color="000000"/>
              <w:right w:val="single" w:sz="4" w:space="0" w:color="000000"/>
            </w:tcBorders>
            <w:shd w:val="clear" w:color="auto" w:fill="D9D9D9"/>
          </w:tcPr>
          <w:p>
            <w:pPr/>
          </w:p>
        </w:tc>
        <w:tc>
          <w:tcPr>
            <w:tcW w:w="1817" w:type="dxa"/>
            <w:vMerge/>
            <w:tcBorders>
              <w:left w:val="single" w:sz="4" w:space="0" w:color="000000"/>
              <w:bottom w:val="single" w:sz="4" w:space="0" w:color="000000"/>
              <w:right w:val="single" w:sz="4" w:space="0" w:color="000000"/>
            </w:tcBorders>
            <w:shd w:val="clear" w:color="auto" w:fill="D9D9D9"/>
          </w:tcPr>
          <w:p>
            <w:pPr/>
          </w:p>
        </w:tc>
        <w:tc>
          <w:tcPr>
            <w:tcW w:w="1532" w:type="dxa"/>
            <w:vMerge/>
            <w:tcBorders>
              <w:left w:val="single" w:sz="4" w:space="0" w:color="000000"/>
              <w:bottom w:val="single" w:sz="4" w:space="0" w:color="000000"/>
              <w:right w:val="single" w:sz="4" w:space="0" w:color="000000"/>
            </w:tcBorders>
            <w:shd w:val="clear" w:color="auto" w:fill="D9D9D9"/>
          </w:tcPr>
          <w:p>
            <w:pPr/>
          </w:p>
        </w:tc>
        <w:tc>
          <w:tcPr>
            <w:tcW w:w="1675" w:type="dxa"/>
            <w:vMerge/>
            <w:tcBorders>
              <w:left w:val="single" w:sz="4" w:space="0" w:color="000000"/>
              <w:bottom w:val="single" w:sz="4" w:space="0" w:color="000000"/>
            </w:tcBorders>
            <w:shd w:val="clear" w:color="auto" w:fill="D9D9D9"/>
          </w:tcPr>
          <w:p>
            <w:pPr/>
          </w:p>
        </w:tc>
      </w:tr>
      <w:tr>
        <w:trPr>
          <w:trHeight w:val="300" w:hRule="exact"/>
        </w:trPr>
        <w:tc>
          <w:tcPr>
            <w:tcW w:w="2909" w:type="dxa"/>
            <w:gridSpan w:val="3"/>
            <w:tcBorders>
              <w:top w:val="single" w:sz="4" w:space="0" w:color="000000"/>
              <w:bottom w:val="single" w:sz="4" w:space="0" w:color="000000"/>
              <w:right w:val="single" w:sz="4" w:space="0" w:color="000000"/>
            </w:tcBorders>
          </w:tcPr>
          <w:p>
            <w:pPr>
              <w:pStyle w:val="TableParagraph"/>
              <w:spacing w:before="43"/>
              <w:ind w:left="58"/>
              <w:rPr>
                <w:b/>
                <w:sz w:val="20"/>
              </w:rPr>
            </w:pPr>
            <w:r>
              <w:rPr>
                <w:b/>
                <w:sz w:val="20"/>
              </w:rPr>
              <w:t>BPL (16,000)</w:t>
            </w:r>
          </w:p>
        </w:tc>
        <w:tc>
          <w:tcPr>
            <w:tcW w:w="1157" w:type="dxa"/>
            <w:tcBorders>
              <w:top w:val="single" w:sz="4" w:space="0" w:color="000000"/>
              <w:left w:val="single" w:sz="4" w:space="0" w:color="000000"/>
              <w:bottom w:val="single" w:sz="4" w:space="0" w:color="000000"/>
              <w:right w:val="single" w:sz="4" w:space="0" w:color="000000"/>
            </w:tcBorders>
          </w:tcPr>
          <w:p>
            <w:pPr/>
          </w:p>
        </w:tc>
        <w:tc>
          <w:tcPr>
            <w:tcW w:w="2453" w:type="dxa"/>
            <w:tcBorders>
              <w:top w:val="single" w:sz="4" w:space="0" w:color="000000"/>
              <w:left w:val="single" w:sz="4" w:space="0" w:color="000000"/>
              <w:bottom w:val="single" w:sz="4" w:space="0" w:color="000000"/>
              <w:right w:val="single" w:sz="4" w:space="0" w:color="000000"/>
            </w:tcBorders>
          </w:tcPr>
          <w:p>
            <w:pPr/>
          </w:p>
        </w:tc>
        <w:tc>
          <w:tcPr>
            <w:tcW w:w="2096" w:type="dxa"/>
            <w:tcBorders>
              <w:top w:val="single" w:sz="4" w:space="0" w:color="000000"/>
              <w:left w:val="single" w:sz="4" w:space="0" w:color="000000"/>
              <w:bottom w:val="single" w:sz="4" w:space="0" w:color="000000"/>
              <w:right w:val="single" w:sz="4" w:space="0" w:color="000000"/>
            </w:tcBorders>
          </w:tcPr>
          <w:p>
            <w:pPr/>
          </w:p>
        </w:tc>
        <w:tc>
          <w:tcPr>
            <w:tcW w:w="1817" w:type="dxa"/>
            <w:tcBorders>
              <w:top w:val="single" w:sz="4" w:space="0" w:color="000000"/>
              <w:left w:val="single" w:sz="4" w:space="0" w:color="000000"/>
              <w:bottom w:val="single" w:sz="4" w:space="0" w:color="000000"/>
              <w:right w:val="single" w:sz="4" w:space="0" w:color="000000"/>
            </w:tcBorders>
          </w:tcPr>
          <w:p>
            <w:pPr/>
          </w:p>
        </w:tc>
        <w:tc>
          <w:tcPr>
            <w:tcW w:w="1532" w:type="dxa"/>
            <w:tcBorders>
              <w:top w:val="single" w:sz="4" w:space="0" w:color="000000"/>
              <w:left w:val="single" w:sz="4" w:space="0" w:color="000000"/>
              <w:bottom w:val="single" w:sz="4" w:space="0" w:color="000000"/>
              <w:right w:val="single" w:sz="4" w:space="0" w:color="000000"/>
            </w:tcBorders>
          </w:tcPr>
          <w:p>
            <w:pPr/>
          </w:p>
        </w:tc>
        <w:tc>
          <w:tcPr>
            <w:tcW w:w="1675" w:type="dxa"/>
            <w:tcBorders>
              <w:top w:val="single" w:sz="4" w:space="0" w:color="000000"/>
              <w:left w:val="single" w:sz="4" w:space="0" w:color="000000"/>
              <w:bottom w:val="single" w:sz="4" w:space="0" w:color="000000"/>
            </w:tcBorders>
          </w:tcPr>
          <w:p>
            <w:pPr/>
          </w:p>
        </w:tc>
      </w:tr>
      <w:tr>
        <w:trPr>
          <w:trHeight w:val="300" w:hRule="exact"/>
        </w:trPr>
        <w:tc>
          <w:tcPr>
            <w:tcW w:w="684" w:type="dxa"/>
            <w:tcBorders>
              <w:top w:val="single" w:sz="4" w:space="0" w:color="000000"/>
              <w:bottom w:val="single" w:sz="4" w:space="0" w:color="000000"/>
              <w:right w:val="single" w:sz="4" w:space="0" w:color="000000"/>
            </w:tcBorders>
          </w:tcPr>
          <w:p>
            <w:pPr>
              <w:pStyle w:val="TableParagraph"/>
              <w:spacing w:before="43"/>
              <w:ind w:left="271"/>
              <w:rPr>
                <w:sz w:val="20"/>
              </w:rPr>
            </w:pPr>
            <w:r>
              <w:rPr>
                <w:w w:val="99"/>
                <w:sz w:val="20"/>
              </w:rPr>
              <w:t>1</w:t>
            </w:r>
          </w:p>
        </w:tc>
        <w:tc>
          <w:tcPr>
            <w:tcW w:w="1046" w:type="dxa"/>
            <w:tcBorders>
              <w:top w:val="single" w:sz="4" w:space="0" w:color="000000"/>
              <w:left w:val="single" w:sz="4" w:space="0" w:color="000000"/>
              <w:bottom w:val="single" w:sz="4" w:space="0" w:color="000000"/>
              <w:right w:val="single" w:sz="4" w:space="0" w:color="000000"/>
            </w:tcBorders>
          </w:tcPr>
          <w:p>
            <w:pPr>
              <w:pStyle w:val="TableParagraph"/>
              <w:spacing w:before="43"/>
              <w:jc w:val="center"/>
              <w:rPr>
                <w:sz w:val="20"/>
              </w:rPr>
            </w:pPr>
            <w:r>
              <w:rPr>
                <w:w w:val="99"/>
                <w:sz w:val="20"/>
              </w:rPr>
              <w:t>2</w:t>
            </w:r>
          </w:p>
        </w:tc>
        <w:tc>
          <w:tcPr>
            <w:tcW w:w="1178" w:type="dxa"/>
            <w:tcBorders>
              <w:top w:val="single" w:sz="4" w:space="0" w:color="000000"/>
              <w:left w:val="single" w:sz="4" w:space="0" w:color="000000"/>
              <w:bottom w:val="single" w:sz="4" w:space="0" w:color="000000"/>
              <w:right w:val="single" w:sz="4" w:space="0" w:color="000000"/>
            </w:tcBorders>
          </w:tcPr>
          <w:p>
            <w:pPr>
              <w:pStyle w:val="TableParagraph"/>
              <w:spacing w:before="43"/>
              <w:ind w:left="136"/>
              <w:rPr>
                <w:sz w:val="20"/>
              </w:rPr>
            </w:pPr>
            <w:r>
              <w:rPr>
                <w:sz w:val="20"/>
              </w:rPr>
              <w:t>24 50.986</w:t>
            </w:r>
          </w:p>
        </w:tc>
        <w:tc>
          <w:tcPr>
            <w:tcW w:w="1157" w:type="dxa"/>
            <w:tcBorders>
              <w:top w:val="single" w:sz="4" w:space="0" w:color="000000"/>
              <w:left w:val="single" w:sz="4" w:space="0" w:color="000000"/>
              <w:bottom w:val="single" w:sz="4" w:space="0" w:color="000000"/>
              <w:right w:val="single" w:sz="4" w:space="0" w:color="000000"/>
            </w:tcBorders>
          </w:tcPr>
          <w:p>
            <w:pPr>
              <w:pStyle w:val="TableParagraph"/>
              <w:spacing w:before="43"/>
              <w:ind w:left="109" w:right="109"/>
              <w:jc w:val="center"/>
              <w:rPr>
                <w:sz w:val="20"/>
              </w:rPr>
            </w:pPr>
            <w:r>
              <w:rPr>
                <w:sz w:val="20"/>
              </w:rPr>
              <w:t>67 10.622</w:t>
            </w:r>
          </w:p>
        </w:tc>
        <w:tc>
          <w:tcPr>
            <w:tcW w:w="2453" w:type="dxa"/>
            <w:tcBorders>
              <w:top w:val="single" w:sz="4" w:space="0" w:color="000000"/>
              <w:left w:val="single" w:sz="4" w:space="0" w:color="000000"/>
              <w:bottom w:val="single" w:sz="4" w:space="0" w:color="000000"/>
              <w:right w:val="single" w:sz="4" w:space="0" w:color="000000"/>
            </w:tcBorders>
          </w:tcPr>
          <w:p>
            <w:pPr>
              <w:pStyle w:val="TableParagraph"/>
              <w:spacing w:before="43"/>
              <w:ind w:left="69"/>
              <w:rPr>
                <w:sz w:val="20"/>
              </w:rPr>
            </w:pPr>
            <w:r>
              <w:rPr>
                <w:sz w:val="20"/>
              </w:rPr>
              <w:t>Muhammad Riaz</w:t>
            </w:r>
          </w:p>
        </w:tc>
        <w:tc>
          <w:tcPr>
            <w:tcW w:w="2096" w:type="dxa"/>
            <w:tcBorders>
              <w:top w:val="single" w:sz="4" w:space="0" w:color="000000"/>
              <w:left w:val="single" w:sz="4" w:space="0" w:color="000000"/>
              <w:bottom w:val="single" w:sz="4" w:space="0" w:color="000000"/>
              <w:right w:val="single" w:sz="4" w:space="0" w:color="000000"/>
            </w:tcBorders>
          </w:tcPr>
          <w:p>
            <w:pPr>
              <w:pStyle w:val="TableParagraph"/>
              <w:spacing w:before="43"/>
              <w:ind w:left="67"/>
              <w:rPr>
                <w:sz w:val="20"/>
              </w:rPr>
            </w:pPr>
            <w:r>
              <w:rPr>
                <w:sz w:val="20"/>
              </w:rPr>
              <w:t>Muhammad Ramzan</w:t>
            </w:r>
          </w:p>
        </w:tc>
        <w:tc>
          <w:tcPr>
            <w:tcW w:w="1817" w:type="dxa"/>
            <w:tcBorders>
              <w:top w:val="single" w:sz="4" w:space="0" w:color="000000"/>
              <w:left w:val="single" w:sz="4" w:space="0" w:color="000000"/>
              <w:bottom w:val="single" w:sz="4" w:space="0" w:color="000000"/>
              <w:right w:val="single" w:sz="4" w:space="0" w:color="000000"/>
            </w:tcBorders>
          </w:tcPr>
          <w:p>
            <w:pPr>
              <w:pStyle w:val="TableParagraph"/>
              <w:spacing w:before="43"/>
              <w:ind w:right="160"/>
              <w:jc w:val="right"/>
              <w:rPr>
                <w:sz w:val="20"/>
              </w:rPr>
            </w:pPr>
            <w:r>
              <w:rPr>
                <w:w w:val="95"/>
                <w:sz w:val="20"/>
              </w:rPr>
              <w:t>31202-1753298-3</w:t>
            </w:r>
          </w:p>
        </w:tc>
        <w:tc>
          <w:tcPr>
            <w:tcW w:w="1532" w:type="dxa"/>
            <w:tcBorders>
              <w:top w:val="single" w:sz="4" w:space="0" w:color="000000"/>
              <w:left w:val="single" w:sz="4" w:space="0" w:color="000000"/>
              <w:bottom w:val="single" w:sz="4" w:space="0" w:color="000000"/>
              <w:right w:val="single" w:sz="4" w:space="0" w:color="000000"/>
            </w:tcBorders>
          </w:tcPr>
          <w:p>
            <w:pPr>
              <w:pStyle w:val="TableParagraph"/>
              <w:spacing w:before="43"/>
              <w:ind w:left="433" w:right="436"/>
              <w:jc w:val="center"/>
              <w:rPr>
                <w:sz w:val="20"/>
              </w:rPr>
            </w:pPr>
            <w:r>
              <w:rPr>
                <w:sz w:val="20"/>
              </w:rPr>
              <w:t>13,000</w:t>
            </w:r>
          </w:p>
        </w:tc>
        <w:tc>
          <w:tcPr>
            <w:tcW w:w="1675" w:type="dxa"/>
            <w:tcBorders>
              <w:top w:val="single" w:sz="4" w:space="0" w:color="000000"/>
              <w:left w:val="single" w:sz="4" w:space="0" w:color="000000"/>
              <w:bottom w:val="single" w:sz="4" w:space="0" w:color="000000"/>
            </w:tcBorders>
          </w:tcPr>
          <w:p>
            <w:pPr>
              <w:pStyle w:val="TableParagraph"/>
              <w:spacing w:before="43"/>
              <w:ind w:right="518"/>
              <w:jc w:val="right"/>
              <w:rPr>
                <w:sz w:val="20"/>
              </w:rPr>
            </w:pPr>
            <w:r>
              <w:rPr>
                <w:sz w:val="20"/>
              </w:rPr>
              <w:t>48,000</w:t>
            </w:r>
          </w:p>
        </w:tc>
      </w:tr>
      <w:tr>
        <w:trPr>
          <w:trHeight w:val="301" w:hRule="exact"/>
        </w:trPr>
        <w:tc>
          <w:tcPr>
            <w:tcW w:w="684" w:type="dxa"/>
            <w:tcBorders>
              <w:top w:val="single" w:sz="4" w:space="0" w:color="000000"/>
              <w:bottom w:val="single" w:sz="4" w:space="0" w:color="000000"/>
              <w:right w:val="single" w:sz="4" w:space="0" w:color="000000"/>
            </w:tcBorders>
          </w:tcPr>
          <w:p>
            <w:pPr>
              <w:pStyle w:val="TableParagraph"/>
              <w:spacing w:before="43"/>
              <w:ind w:left="271"/>
              <w:rPr>
                <w:sz w:val="20"/>
              </w:rPr>
            </w:pPr>
            <w:r>
              <w:rPr>
                <w:w w:val="99"/>
                <w:sz w:val="20"/>
              </w:rPr>
              <w:t>7</w:t>
            </w:r>
          </w:p>
        </w:tc>
        <w:tc>
          <w:tcPr>
            <w:tcW w:w="1046" w:type="dxa"/>
            <w:tcBorders>
              <w:top w:val="single" w:sz="4" w:space="0" w:color="000000"/>
              <w:left w:val="single" w:sz="4" w:space="0" w:color="000000"/>
              <w:bottom w:val="single" w:sz="4" w:space="0" w:color="000000"/>
              <w:right w:val="single" w:sz="4" w:space="0" w:color="000000"/>
            </w:tcBorders>
          </w:tcPr>
          <w:p>
            <w:pPr>
              <w:pStyle w:val="TableParagraph"/>
              <w:spacing w:before="43"/>
              <w:jc w:val="center"/>
              <w:rPr>
                <w:sz w:val="20"/>
              </w:rPr>
            </w:pPr>
            <w:r>
              <w:rPr>
                <w:w w:val="99"/>
                <w:sz w:val="20"/>
              </w:rPr>
              <w:t>2</w:t>
            </w:r>
          </w:p>
        </w:tc>
        <w:tc>
          <w:tcPr>
            <w:tcW w:w="1178" w:type="dxa"/>
            <w:tcBorders>
              <w:top w:val="single" w:sz="4" w:space="0" w:color="000000"/>
              <w:left w:val="single" w:sz="4" w:space="0" w:color="000000"/>
              <w:bottom w:val="single" w:sz="4" w:space="0" w:color="000000"/>
              <w:right w:val="single" w:sz="4" w:space="0" w:color="000000"/>
            </w:tcBorders>
          </w:tcPr>
          <w:p>
            <w:pPr>
              <w:pStyle w:val="TableParagraph"/>
              <w:spacing w:before="43"/>
              <w:ind w:left="136"/>
              <w:rPr>
                <w:sz w:val="20"/>
              </w:rPr>
            </w:pPr>
            <w:r>
              <w:rPr>
                <w:sz w:val="20"/>
              </w:rPr>
              <w:t>24 50.634</w:t>
            </w:r>
          </w:p>
        </w:tc>
        <w:tc>
          <w:tcPr>
            <w:tcW w:w="1157" w:type="dxa"/>
            <w:tcBorders>
              <w:top w:val="single" w:sz="4" w:space="0" w:color="000000"/>
              <w:left w:val="single" w:sz="4" w:space="0" w:color="000000"/>
              <w:bottom w:val="single" w:sz="4" w:space="0" w:color="000000"/>
              <w:right w:val="single" w:sz="4" w:space="0" w:color="000000"/>
            </w:tcBorders>
          </w:tcPr>
          <w:p>
            <w:pPr>
              <w:pStyle w:val="TableParagraph"/>
              <w:spacing w:before="43"/>
              <w:ind w:left="109" w:right="109"/>
              <w:jc w:val="center"/>
              <w:rPr>
                <w:sz w:val="20"/>
              </w:rPr>
            </w:pPr>
            <w:r>
              <w:rPr>
                <w:sz w:val="20"/>
              </w:rPr>
              <w:t>67 08.743</w:t>
            </w:r>
          </w:p>
        </w:tc>
        <w:tc>
          <w:tcPr>
            <w:tcW w:w="2453" w:type="dxa"/>
            <w:tcBorders>
              <w:top w:val="single" w:sz="4" w:space="0" w:color="000000"/>
              <w:left w:val="single" w:sz="4" w:space="0" w:color="000000"/>
              <w:bottom w:val="single" w:sz="4" w:space="0" w:color="000000"/>
              <w:right w:val="single" w:sz="4" w:space="0" w:color="000000"/>
            </w:tcBorders>
          </w:tcPr>
          <w:p>
            <w:pPr>
              <w:pStyle w:val="TableParagraph"/>
              <w:spacing w:before="43"/>
              <w:ind w:left="69"/>
              <w:rPr>
                <w:sz w:val="20"/>
              </w:rPr>
            </w:pPr>
            <w:r>
              <w:rPr>
                <w:sz w:val="20"/>
              </w:rPr>
              <w:t>Bahadur Khan</w:t>
            </w:r>
          </w:p>
        </w:tc>
        <w:tc>
          <w:tcPr>
            <w:tcW w:w="2096" w:type="dxa"/>
            <w:tcBorders>
              <w:top w:val="single" w:sz="4" w:space="0" w:color="000000"/>
              <w:left w:val="single" w:sz="4" w:space="0" w:color="000000"/>
              <w:bottom w:val="single" w:sz="4" w:space="0" w:color="000000"/>
              <w:right w:val="single" w:sz="4" w:space="0" w:color="000000"/>
            </w:tcBorders>
          </w:tcPr>
          <w:p>
            <w:pPr>
              <w:pStyle w:val="TableParagraph"/>
              <w:spacing w:before="43"/>
              <w:ind w:left="67"/>
              <w:rPr>
                <w:sz w:val="20"/>
              </w:rPr>
            </w:pPr>
            <w:r>
              <w:rPr>
                <w:sz w:val="20"/>
              </w:rPr>
              <w:t>Ghazi Khan</w:t>
            </w:r>
          </w:p>
        </w:tc>
        <w:tc>
          <w:tcPr>
            <w:tcW w:w="1817" w:type="dxa"/>
            <w:tcBorders>
              <w:top w:val="single" w:sz="4" w:space="0" w:color="000000"/>
              <w:left w:val="single" w:sz="4" w:space="0" w:color="000000"/>
              <w:bottom w:val="single" w:sz="4" w:space="0" w:color="000000"/>
              <w:right w:val="single" w:sz="4" w:space="0" w:color="000000"/>
            </w:tcBorders>
          </w:tcPr>
          <w:p>
            <w:pPr/>
          </w:p>
        </w:tc>
        <w:tc>
          <w:tcPr>
            <w:tcW w:w="1532" w:type="dxa"/>
            <w:tcBorders>
              <w:top w:val="single" w:sz="4" w:space="0" w:color="000000"/>
              <w:left w:val="single" w:sz="4" w:space="0" w:color="000000"/>
              <w:bottom w:val="single" w:sz="4" w:space="0" w:color="000000"/>
              <w:right w:val="single" w:sz="4" w:space="0" w:color="000000"/>
            </w:tcBorders>
          </w:tcPr>
          <w:p>
            <w:pPr>
              <w:pStyle w:val="TableParagraph"/>
              <w:spacing w:before="43"/>
              <w:ind w:left="433" w:right="435"/>
              <w:jc w:val="center"/>
              <w:rPr>
                <w:sz w:val="20"/>
              </w:rPr>
            </w:pPr>
            <w:r>
              <w:rPr>
                <w:sz w:val="20"/>
              </w:rPr>
              <w:t>15,000</w:t>
            </w:r>
          </w:p>
        </w:tc>
        <w:tc>
          <w:tcPr>
            <w:tcW w:w="1675" w:type="dxa"/>
            <w:tcBorders>
              <w:top w:val="single" w:sz="4" w:space="0" w:color="000000"/>
              <w:left w:val="single" w:sz="4" w:space="0" w:color="000000"/>
              <w:bottom w:val="single" w:sz="4" w:space="0" w:color="000000"/>
            </w:tcBorders>
          </w:tcPr>
          <w:p>
            <w:pPr>
              <w:pStyle w:val="TableParagraph"/>
              <w:spacing w:before="43"/>
              <w:ind w:right="518"/>
              <w:jc w:val="right"/>
              <w:rPr>
                <w:sz w:val="20"/>
              </w:rPr>
            </w:pPr>
            <w:r>
              <w:rPr>
                <w:sz w:val="20"/>
              </w:rPr>
              <w:t>48,000</w:t>
            </w:r>
          </w:p>
        </w:tc>
      </w:tr>
      <w:tr>
        <w:trPr>
          <w:trHeight w:val="300" w:hRule="exact"/>
        </w:trPr>
        <w:tc>
          <w:tcPr>
            <w:tcW w:w="684" w:type="dxa"/>
            <w:tcBorders>
              <w:top w:val="single" w:sz="4" w:space="0" w:color="000000"/>
              <w:bottom w:val="single" w:sz="4" w:space="0" w:color="000000"/>
              <w:right w:val="single" w:sz="4" w:space="0" w:color="000000"/>
            </w:tcBorders>
          </w:tcPr>
          <w:p>
            <w:pPr>
              <w:pStyle w:val="TableParagraph"/>
              <w:spacing w:before="43"/>
              <w:ind w:left="216"/>
              <w:rPr>
                <w:sz w:val="20"/>
              </w:rPr>
            </w:pPr>
            <w:r>
              <w:rPr>
                <w:sz w:val="20"/>
              </w:rPr>
              <w:t>15</w:t>
            </w:r>
          </w:p>
        </w:tc>
        <w:tc>
          <w:tcPr>
            <w:tcW w:w="1046" w:type="dxa"/>
            <w:tcBorders>
              <w:top w:val="single" w:sz="4" w:space="0" w:color="000000"/>
              <w:left w:val="single" w:sz="4" w:space="0" w:color="000000"/>
              <w:bottom w:val="single" w:sz="4" w:space="0" w:color="000000"/>
              <w:right w:val="single" w:sz="4" w:space="0" w:color="000000"/>
            </w:tcBorders>
          </w:tcPr>
          <w:p>
            <w:pPr>
              <w:pStyle w:val="TableParagraph"/>
              <w:spacing w:before="43"/>
              <w:jc w:val="center"/>
              <w:rPr>
                <w:sz w:val="20"/>
              </w:rPr>
            </w:pPr>
            <w:r>
              <w:rPr>
                <w:w w:val="99"/>
                <w:sz w:val="20"/>
              </w:rPr>
              <w:t>2</w:t>
            </w:r>
          </w:p>
        </w:tc>
        <w:tc>
          <w:tcPr>
            <w:tcW w:w="1178" w:type="dxa"/>
            <w:tcBorders>
              <w:top w:val="single" w:sz="4" w:space="0" w:color="000000"/>
              <w:left w:val="single" w:sz="4" w:space="0" w:color="000000"/>
              <w:bottom w:val="single" w:sz="4" w:space="0" w:color="000000"/>
              <w:right w:val="single" w:sz="4" w:space="0" w:color="000000"/>
            </w:tcBorders>
          </w:tcPr>
          <w:p>
            <w:pPr>
              <w:pStyle w:val="TableParagraph"/>
              <w:spacing w:before="43"/>
              <w:ind w:left="136"/>
              <w:rPr>
                <w:sz w:val="20"/>
              </w:rPr>
            </w:pPr>
            <w:r>
              <w:rPr>
                <w:sz w:val="20"/>
              </w:rPr>
              <w:t>24 50.168</w:t>
            </w:r>
          </w:p>
        </w:tc>
        <w:tc>
          <w:tcPr>
            <w:tcW w:w="1157" w:type="dxa"/>
            <w:tcBorders>
              <w:top w:val="single" w:sz="4" w:space="0" w:color="000000"/>
              <w:left w:val="single" w:sz="4" w:space="0" w:color="000000"/>
              <w:bottom w:val="single" w:sz="4" w:space="0" w:color="000000"/>
              <w:right w:val="single" w:sz="4" w:space="0" w:color="000000"/>
            </w:tcBorders>
          </w:tcPr>
          <w:p>
            <w:pPr>
              <w:pStyle w:val="TableParagraph"/>
              <w:spacing w:before="43"/>
              <w:ind w:left="109" w:right="109"/>
              <w:jc w:val="center"/>
              <w:rPr>
                <w:sz w:val="20"/>
              </w:rPr>
            </w:pPr>
            <w:r>
              <w:rPr>
                <w:sz w:val="20"/>
              </w:rPr>
              <w:t>67 06.500</w:t>
            </w:r>
          </w:p>
        </w:tc>
        <w:tc>
          <w:tcPr>
            <w:tcW w:w="2453" w:type="dxa"/>
            <w:tcBorders>
              <w:top w:val="single" w:sz="4" w:space="0" w:color="000000"/>
              <w:left w:val="single" w:sz="4" w:space="0" w:color="000000"/>
              <w:bottom w:val="single" w:sz="4" w:space="0" w:color="000000"/>
              <w:right w:val="single" w:sz="4" w:space="0" w:color="000000"/>
            </w:tcBorders>
          </w:tcPr>
          <w:p>
            <w:pPr>
              <w:pStyle w:val="TableParagraph"/>
              <w:spacing w:before="43"/>
              <w:ind w:left="69"/>
              <w:rPr>
                <w:sz w:val="20"/>
              </w:rPr>
            </w:pPr>
            <w:r>
              <w:rPr>
                <w:sz w:val="20"/>
              </w:rPr>
              <w:t>Arshad</w:t>
            </w:r>
          </w:p>
        </w:tc>
        <w:tc>
          <w:tcPr>
            <w:tcW w:w="2096" w:type="dxa"/>
            <w:tcBorders>
              <w:top w:val="single" w:sz="4" w:space="0" w:color="000000"/>
              <w:left w:val="single" w:sz="4" w:space="0" w:color="000000"/>
              <w:bottom w:val="single" w:sz="4" w:space="0" w:color="000000"/>
              <w:right w:val="single" w:sz="4" w:space="0" w:color="000000"/>
            </w:tcBorders>
          </w:tcPr>
          <w:p>
            <w:pPr>
              <w:pStyle w:val="TableParagraph"/>
              <w:spacing w:before="43"/>
              <w:ind w:left="67"/>
              <w:rPr>
                <w:sz w:val="20"/>
              </w:rPr>
            </w:pPr>
            <w:r>
              <w:rPr>
                <w:sz w:val="20"/>
              </w:rPr>
              <w:t>Akbar</w:t>
            </w:r>
          </w:p>
        </w:tc>
        <w:tc>
          <w:tcPr>
            <w:tcW w:w="1817" w:type="dxa"/>
            <w:tcBorders>
              <w:top w:val="single" w:sz="4" w:space="0" w:color="000000"/>
              <w:left w:val="single" w:sz="4" w:space="0" w:color="000000"/>
              <w:bottom w:val="single" w:sz="4" w:space="0" w:color="000000"/>
              <w:right w:val="single" w:sz="4" w:space="0" w:color="000000"/>
            </w:tcBorders>
          </w:tcPr>
          <w:p>
            <w:pPr/>
          </w:p>
        </w:tc>
        <w:tc>
          <w:tcPr>
            <w:tcW w:w="1532" w:type="dxa"/>
            <w:tcBorders>
              <w:top w:val="single" w:sz="4" w:space="0" w:color="000000"/>
              <w:left w:val="single" w:sz="4" w:space="0" w:color="000000"/>
              <w:bottom w:val="single" w:sz="4" w:space="0" w:color="000000"/>
              <w:right w:val="single" w:sz="4" w:space="0" w:color="000000"/>
            </w:tcBorders>
          </w:tcPr>
          <w:p>
            <w:pPr>
              <w:pStyle w:val="TableParagraph"/>
              <w:spacing w:before="43"/>
              <w:ind w:left="433" w:right="436"/>
              <w:jc w:val="center"/>
              <w:rPr>
                <w:sz w:val="20"/>
              </w:rPr>
            </w:pPr>
            <w:r>
              <w:rPr>
                <w:sz w:val="20"/>
              </w:rPr>
              <w:t>15,000</w:t>
            </w:r>
          </w:p>
        </w:tc>
        <w:tc>
          <w:tcPr>
            <w:tcW w:w="1675" w:type="dxa"/>
            <w:tcBorders>
              <w:top w:val="single" w:sz="4" w:space="0" w:color="000000"/>
              <w:left w:val="single" w:sz="4" w:space="0" w:color="000000"/>
              <w:bottom w:val="single" w:sz="4" w:space="0" w:color="000000"/>
            </w:tcBorders>
          </w:tcPr>
          <w:p>
            <w:pPr>
              <w:pStyle w:val="TableParagraph"/>
              <w:spacing w:before="43"/>
              <w:ind w:right="518"/>
              <w:jc w:val="right"/>
              <w:rPr>
                <w:sz w:val="20"/>
              </w:rPr>
            </w:pPr>
            <w:r>
              <w:rPr>
                <w:sz w:val="20"/>
              </w:rPr>
              <w:t>48,000</w:t>
            </w:r>
          </w:p>
        </w:tc>
      </w:tr>
      <w:tr>
        <w:trPr>
          <w:trHeight w:val="300" w:hRule="exact"/>
        </w:trPr>
        <w:tc>
          <w:tcPr>
            <w:tcW w:w="684" w:type="dxa"/>
            <w:tcBorders>
              <w:top w:val="single" w:sz="4" w:space="0" w:color="000000"/>
              <w:bottom w:val="single" w:sz="4" w:space="0" w:color="000000"/>
              <w:right w:val="single" w:sz="4" w:space="0" w:color="000000"/>
            </w:tcBorders>
          </w:tcPr>
          <w:p>
            <w:pPr>
              <w:pStyle w:val="TableParagraph"/>
              <w:spacing w:before="43"/>
              <w:ind w:left="216"/>
              <w:rPr>
                <w:sz w:val="20"/>
              </w:rPr>
            </w:pPr>
            <w:r>
              <w:rPr>
                <w:sz w:val="20"/>
              </w:rPr>
              <w:t>22</w:t>
            </w:r>
          </w:p>
        </w:tc>
        <w:tc>
          <w:tcPr>
            <w:tcW w:w="1046" w:type="dxa"/>
            <w:tcBorders>
              <w:top w:val="single" w:sz="4" w:space="0" w:color="000000"/>
              <w:left w:val="single" w:sz="4" w:space="0" w:color="000000"/>
              <w:bottom w:val="single" w:sz="4" w:space="0" w:color="000000"/>
              <w:right w:val="single" w:sz="4" w:space="0" w:color="000000"/>
            </w:tcBorders>
          </w:tcPr>
          <w:p>
            <w:pPr>
              <w:pStyle w:val="TableParagraph"/>
              <w:spacing w:before="43"/>
              <w:jc w:val="center"/>
              <w:rPr>
                <w:sz w:val="20"/>
              </w:rPr>
            </w:pPr>
            <w:r>
              <w:rPr>
                <w:w w:val="99"/>
                <w:sz w:val="20"/>
              </w:rPr>
              <w:t>5</w:t>
            </w:r>
          </w:p>
        </w:tc>
        <w:tc>
          <w:tcPr>
            <w:tcW w:w="1178" w:type="dxa"/>
            <w:tcBorders>
              <w:top w:val="single" w:sz="4" w:space="0" w:color="000000"/>
              <w:left w:val="single" w:sz="4" w:space="0" w:color="000000"/>
              <w:bottom w:val="single" w:sz="4" w:space="0" w:color="000000"/>
              <w:right w:val="single" w:sz="4" w:space="0" w:color="000000"/>
            </w:tcBorders>
          </w:tcPr>
          <w:p>
            <w:pPr>
              <w:pStyle w:val="TableParagraph"/>
              <w:spacing w:before="43"/>
              <w:ind w:left="136"/>
              <w:rPr>
                <w:sz w:val="20"/>
              </w:rPr>
            </w:pPr>
            <w:r>
              <w:rPr>
                <w:sz w:val="20"/>
              </w:rPr>
              <w:t>24 49.924</w:t>
            </w:r>
          </w:p>
        </w:tc>
        <w:tc>
          <w:tcPr>
            <w:tcW w:w="1157" w:type="dxa"/>
            <w:tcBorders>
              <w:top w:val="single" w:sz="4" w:space="0" w:color="000000"/>
              <w:left w:val="single" w:sz="4" w:space="0" w:color="000000"/>
              <w:bottom w:val="single" w:sz="4" w:space="0" w:color="000000"/>
              <w:right w:val="single" w:sz="4" w:space="0" w:color="000000"/>
            </w:tcBorders>
          </w:tcPr>
          <w:p>
            <w:pPr>
              <w:pStyle w:val="TableParagraph"/>
              <w:spacing w:before="43"/>
              <w:ind w:left="109" w:right="109"/>
              <w:jc w:val="center"/>
              <w:rPr>
                <w:sz w:val="20"/>
              </w:rPr>
            </w:pPr>
            <w:r>
              <w:rPr>
                <w:sz w:val="20"/>
              </w:rPr>
              <w:t>67 04.629</w:t>
            </w:r>
          </w:p>
        </w:tc>
        <w:tc>
          <w:tcPr>
            <w:tcW w:w="2453" w:type="dxa"/>
            <w:tcBorders>
              <w:top w:val="single" w:sz="4" w:space="0" w:color="000000"/>
              <w:left w:val="single" w:sz="4" w:space="0" w:color="000000"/>
              <w:bottom w:val="single" w:sz="4" w:space="0" w:color="000000"/>
              <w:right w:val="single" w:sz="4" w:space="0" w:color="000000"/>
            </w:tcBorders>
          </w:tcPr>
          <w:p>
            <w:pPr>
              <w:pStyle w:val="TableParagraph"/>
              <w:spacing w:before="43"/>
              <w:ind w:left="69"/>
              <w:rPr>
                <w:sz w:val="20"/>
              </w:rPr>
            </w:pPr>
            <w:r>
              <w:rPr>
                <w:sz w:val="20"/>
              </w:rPr>
              <w:t>Mehboob</w:t>
            </w:r>
          </w:p>
        </w:tc>
        <w:tc>
          <w:tcPr>
            <w:tcW w:w="2096" w:type="dxa"/>
            <w:tcBorders>
              <w:top w:val="single" w:sz="4" w:space="0" w:color="000000"/>
              <w:left w:val="single" w:sz="4" w:space="0" w:color="000000"/>
              <w:bottom w:val="single" w:sz="4" w:space="0" w:color="000000"/>
              <w:right w:val="single" w:sz="4" w:space="0" w:color="000000"/>
            </w:tcBorders>
          </w:tcPr>
          <w:p>
            <w:pPr>
              <w:pStyle w:val="TableParagraph"/>
              <w:spacing w:before="43"/>
              <w:ind w:left="67"/>
              <w:rPr>
                <w:sz w:val="20"/>
              </w:rPr>
            </w:pPr>
            <w:r>
              <w:rPr>
                <w:sz w:val="20"/>
              </w:rPr>
              <w:t>Mehfooz Hussauin</w:t>
            </w:r>
          </w:p>
        </w:tc>
        <w:tc>
          <w:tcPr>
            <w:tcW w:w="1817" w:type="dxa"/>
            <w:tcBorders>
              <w:top w:val="single" w:sz="4" w:space="0" w:color="000000"/>
              <w:left w:val="single" w:sz="4" w:space="0" w:color="000000"/>
              <w:bottom w:val="single" w:sz="4" w:space="0" w:color="000000"/>
              <w:right w:val="single" w:sz="4" w:space="0" w:color="000000"/>
            </w:tcBorders>
          </w:tcPr>
          <w:p>
            <w:pPr/>
          </w:p>
        </w:tc>
        <w:tc>
          <w:tcPr>
            <w:tcW w:w="1532" w:type="dxa"/>
            <w:tcBorders>
              <w:top w:val="single" w:sz="4" w:space="0" w:color="000000"/>
              <w:left w:val="single" w:sz="4" w:space="0" w:color="000000"/>
              <w:bottom w:val="single" w:sz="4" w:space="0" w:color="000000"/>
              <w:right w:val="single" w:sz="4" w:space="0" w:color="000000"/>
            </w:tcBorders>
          </w:tcPr>
          <w:p>
            <w:pPr>
              <w:pStyle w:val="TableParagraph"/>
              <w:spacing w:before="43"/>
              <w:ind w:left="433" w:right="436"/>
              <w:jc w:val="center"/>
              <w:rPr>
                <w:sz w:val="20"/>
              </w:rPr>
            </w:pPr>
            <w:r>
              <w:rPr>
                <w:sz w:val="20"/>
              </w:rPr>
              <w:t>10,000</w:t>
            </w:r>
          </w:p>
        </w:tc>
        <w:tc>
          <w:tcPr>
            <w:tcW w:w="1675" w:type="dxa"/>
            <w:tcBorders>
              <w:top w:val="single" w:sz="4" w:space="0" w:color="000000"/>
              <w:left w:val="single" w:sz="4" w:space="0" w:color="000000"/>
              <w:bottom w:val="single" w:sz="4" w:space="0" w:color="000000"/>
            </w:tcBorders>
          </w:tcPr>
          <w:p>
            <w:pPr>
              <w:pStyle w:val="TableParagraph"/>
              <w:spacing w:before="43"/>
              <w:ind w:right="518"/>
              <w:jc w:val="right"/>
              <w:rPr>
                <w:sz w:val="20"/>
              </w:rPr>
            </w:pPr>
            <w:r>
              <w:rPr>
                <w:sz w:val="20"/>
              </w:rPr>
              <w:t>48,000</w:t>
            </w:r>
          </w:p>
        </w:tc>
      </w:tr>
      <w:tr>
        <w:trPr>
          <w:trHeight w:val="300" w:hRule="exact"/>
        </w:trPr>
        <w:tc>
          <w:tcPr>
            <w:tcW w:w="684" w:type="dxa"/>
            <w:tcBorders>
              <w:top w:val="single" w:sz="4" w:space="0" w:color="000000"/>
              <w:bottom w:val="single" w:sz="4" w:space="0" w:color="000000"/>
              <w:right w:val="single" w:sz="4" w:space="0" w:color="000000"/>
            </w:tcBorders>
          </w:tcPr>
          <w:p>
            <w:pPr>
              <w:pStyle w:val="TableParagraph"/>
              <w:spacing w:before="43"/>
              <w:ind w:left="216"/>
              <w:rPr>
                <w:sz w:val="20"/>
              </w:rPr>
            </w:pPr>
            <w:r>
              <w:rPr>
                <w:sz w:val="20"/>
              </w:rPr>
              <w:t>24</w:t>
            </w:r>
          </w:p>
        </w:tc>
        <w:tc>
          <w:tcPr>
            <w:tcW w:w="1046" w:type="dxa"/>
            <w:tcBorders>
              <w:top w:val="single" w:sz="4" w:space="0" w:color="000000"/>
              <w:left w:val="single" w:sz="4" w:space="0" w:color="000000"/>
              <w:bottom w:val="single" w:sz="4" w:space="0" w:color="000000"/>
              <w:right w:val="single" w:sz="4" w:space="0" w:color="000000"/>
            </w:tcBorders>
          </w:tcPr>
          <w:p>
            <w:pPr>
              <w:pStyle w:val="TableParagraph"/>
              <w:spacing w:before="43"/>
              <w:jc w:val="center"/>
              <w:rPr>
                <w:sz w:val="20"/>
              </w:rPr>
            </w:pPr>
            <w:r>
              <w:rPr>
                <w:w w:val="99"/>
                <w:sz w:val="20"/>
              </w:rPr>
              <w:t>5</w:t>
            </w:r>
          </w:p>
        </w:tc>
        <w:tc>
          <w:tcPr>
            <w:tcW w:w="1178" w:type="dxa"/>
            <w:tcBorders>
              <w:top w:val="single" w:sz="4" w:space="0" w:color="000000"/>
              <w:left w:val="single" w:sz="4" w:space="0" w:color="000000"/>
              <w:bottom w:val="single" w:sz="4" w:space="0" w:color="000000"/>
              <w:right w:val="single" w:sz="4" w:space="0" w:color="000000"/>
            </w:tcBorders>
          </w:tcPr>
          <w:p>
            <w:pPr>
              <w:pStyle w:val="TableParagraph"/>
              <w:spacing w:before="43"/>
              <w:ind w:left="136"/>
              <w:rPr>
                <w:sz w:val="20"/>
              </w:rPr>
            </w:pPr>
            <w:r>
              <w:rPr>
                <w:sz w:val="20"/>
              </w:rPr>
              <w:t>24 49.924</w:t>
            </w:r>
          </w:p>
        </w:tc>
        <w:tc>
          <w:tcPr>
            <w:tcW w:w="1157" w:type="dxa"/>
            <w:tcBorders>
              <w:top w:val="single" w:sz="4" w:space="0" w:color="000000"/>
              <w:left w:val="single" w:sz="4" w:space="0" w:color="000000"/>
              <w:bottom w:val="single" w:sz="4" w:space="0" w:color="000000"/>
              <w:right w:val="single" w:sz="4" w:space="0" w:color="000000"/>
            </w:tcBorders>
          </w:tcPr>
          <w:p>
            <w:pPr>
              <w:pStyle w:val="TableParagraph"/>
              <w:spacing w:before="43"/>
              <w:ind w:left="109" w:right="109"/>
              <w:jc w:val="center"/>
              <w:rPr>
                <w:sz w:val="20"/>
              </w:rPr>
            </w:pPr>
            <w:r>
              <w:rPr>
                <w:sz w:val="20"/>
              </w:rPr>
              <w:t>67 04.629</w:t>
            </w:r>
          </w:p>
        </w:tc>
        <w:tc>
          <w:tcPr>
            <w:tcW w:w="2453" w:type="dxa"/>
            <w:tcBorders>
              <w:top w:val="single" w:sz="4" w:space="0" w:color="000000"/>
              <w:left w:val="single" w:sz="4" w:space="0" w:color="000000"/>
              <w:bottom w:val="single" w:sz="4" w:space="0" w:color="000000"/>
              <w:right w:val="single" w:sz="4" w:space="0" w:color="000000"/>
            </w:tcBorders>
          </w:tcPr>
          <w:p>
            <w:pPr>
              <w:pStyle w:val="TableParagraph"/>
              <w:spacing w:before="43"/>
              <w:ind w:left="69"/>
              <w:rPr>
                <w:sz w:val="20"/>
              </w:rPr>
            </w:pPr>
            <w:r>
              <w:rPr>
                <w:sz w:val="20"/>
              </w:rPr>
              <w:t>Maqsood Ur Rehman</w:t>
            </w:r>
          </w:p>
        </w:tc>
        <w:tc>
          <w:tcPr>
            <w:tcW w:w="2096" w:type="dxa"/>
            <w:tcBorders>
              <w:top w:val="single" w:sz="4" w:space="0" w:color="000000"/>
              <w:left w:val="single" w:sz="4" w:space="0" w:color="000000"/>
              <w:bottom w:val="single" w:sz="4" w:space="0" w:color="000000"/>
              <w:right w:val="single" w:sz="4" w:space="0" w:color="000000"/>
            </w:tcBorders>
          </w:tcPr>
          <w:p>
            <w:pPr>
              <w:pStyle w:val="TableParagraph"/>
              <w:spacing w:before="43"/>
              <w:ind w:left="67"/>
              <w:rPr>
                <w:sz w:val="20"/>
              </w:rPr>
            </w:pPr>
            <w:r>
              <w:rPr>
                <w:sz w:val="20"/>
              </w:rPr>
              <w:t>Muhammad Zaman</w:t>
            </w:r>
          </w:p>
        </w:tc>
        <w:tc>
          <w:tcPr>
            <w:tcW w:w="1817" w:type="dxa"/>
            <w:tcBorders>
              <w:top w:val="single" w:sz="4" w:space="0" w:color="000000"/>
              <w:left w:val="single" w:sz="4" w:space="0" w:color="000000"/>
              <w:bottom w:val="single" w:sz="4" w:space="0" w:color="000000"/>
              <w:right w:val="single" w:sz="4" w:space="0" w:color="000000"/>
            </w:tcBorders>
          </w:tcPr>
          <w:p>
            <w:pPr>
              <w:pStyle w:val="TableParagraph"/>
              <w:spacing w:before="43"/>
              <w:ind w:right="115"/>
              <w:jc w:val="right"/>
              <w:rPr>
                <w:sz w:val="20"/>
              </w:rPr>
            </w:pPr>
            <w:r>
              <w:rPr>
                <w:w w:val="95"/>
                <w:sz w:val="20"/>
              </w:rPr>
              <w:t>42501-1700905-7</w:t>
            </w:r>
          </w:p>
        </w:tc>
        <w:tc>
          <w:tcPr>
            <w:tcW w:w="1532" w:type="dxa"/>
            <w:tcBorders>
              <w:top w:val="single" w:sz="4" w:space="0" w:color="000000"/>
              <w:left w:val="single" w:sz="4" w:space="0" w:color="000000"/>
              <w:bottom w:val="single" w:sz="4" w:space="0" w:color="000000"/>
              <w:right w:val="single" w:sz="4" w:space="0" w:color="000000"/>
            </w:tcBorders>
          </w:tcPr>
          <w:p>
            <w:pPr>
              <w:pStyle w:val="TableParagraph"/>
              <w:spacing w:before="43"/>
              <w:ind w:left="433" w:right="436"/>
              <w:jc w:val="center"/>
              <w:rPr>
                <w:sz w:val="20"/>
              </w:rPr>
            </w:pPr>
            <w:r>
              <w:rPr>
                <w:sz w:val="20"/>
              </w:rPr>
              <w:t>8,000</w:t>
            </w:r>
          </w:p>
        </w:tc>
        <w:tc>
          <w:tcPr>
            <w:tcW w:w="1675" w:type="dxa"/>
            <w:tcBorders>
              <w:top w:val="single" w:sz="4" w:space="0" w:color="000000"/>
              <w:left w:val="single" w:sz="4" w:space="0" w:color="000000"/>
              <w:bottom w:val="single" w:sz="4" w:space="0" w:color="000000"/>
            </w:tcBorders>
          </w:tcPr>
          <w:p>
            <w:pPr>
              <w:pStyle w:val="TableParagraph"/>
              <w:spacing w:before="43"/>
              <w:ind w:right="518"/>
              <w:jc w:val="right"/>
              <w:rPr>
                <w:sz w:val="20"/>
              </w:rPr>
            </w:pPr>
            <w:r>
              <w:rPr>
                <w:sz w:val="20"/>
              </w:rPr>
              <w:t>48,000</w:t>
            </w:r>
          </w:p>
        </w:tc>
      </w:tr>
      <w:tr>
        <w:trPr>
          <w:trHeight w:val="300" w:hRule="exact"/>
        </w:trPr>
        <w:tc>
          <w:tcPr>
            <w:tcW w:w="684" w:type="dxa"/>
            <w:tcBorders>
              <w:top w:val="single" w:sz="4" w:space="0" w:color="000000"/>
              <w:bottom w:val="single" w:sz="4" w:space="0" w:color="000000"/>
              <w:right w:val="single" w:sz="4" w:space="0" w:color="000000"/>
            </w:tcBorders>
          </w:tcPr>
          <w:p>
            <w:pPr>
              <w:pStyle w:val="TableParagraph"/>
              <w:spacing w:before="43"/>
              <w:ind w:left="216"/>
              <w:rPr>
                <w:sz w:val="20"/>
              </w:rPr>
            </w:pPr>
            <w:r>
              <w:rPr>
                <w:sz w:val="20"/>
              </w:rPr>
              <w:t>25</w:t>
            </w:r>
          </w:p>
        </w:tc>
        <w:tc>
          <w:tcPr>
            <w:tcW w:w="1046" w:type="dxa"/>
            <w:tcBorders>
              <w:top w:val="single" w:sz="4" w:space="0" w:color="000000"/>
              <w:left w:val="single" w:sz="4" w:space="0" w:color="000000"/>
              <w:bottom w:val="single" w:sz="4" w:space="0" w:color="000000"/>
              <w:right w:val="single" w:sz="4" w:space="0" w:color="000000"/>
            </w:tcBorders>
          </w:tcPr>
          <w:p>
            <w:pPr>
              <w:pStyle w:val="TableParagraph"/>
              <w:spacing w:before="43"/>
              <w:jc w:val="center"/>
              <w:rPr>
                <w:sz w:val="20"/>
              </w:rPr>
            </w:pPr>
            <w:r>
              <w:rPr>
                <w:w w:val="99"/>
                <w:sz w:val="20"/>
              </w:rPr>
              <w:t>5</w:t>
            </w:r>
          </w:p>
        </w:tc>
        <w:tc>
          <w:tcPr>
            <w:tcW w:w="1178" w:type="dxa"/>
            <w:tcBorders>
              <w:top w:val="single" w:sz="4" w:space="0" w:color="000000"/>
              <w:left w:val="single" w:sz="4" w:space="0" w:color="000000"/>
              <w:bottom w:val="single" w:sz="4" w:space="0" w:color="000000"/>
              <w:right w:val="single" w:sz="4" w:space="0" w:color="000000"/>
            </w:tcBorders>
          </w:tcPr>
          <w:p>
            <w:pPr>
              <w:pStyle w:val="TableParagraph"/>
              <w:spacing w:before="43"/>
              <w:ind w:left="136"/>
              <w:rPr>
                <w:sz w:val="20"/>
              </w:rPr>
            </w:pPr>
            <w:r>
              <w:rPr>
                <w:sz w:val="20"/>
              </w:rPr>
              <w:t>24 49.943</w:t>
            </w:r>
          </w:p>
        </w:tc>
        <w:tc>
          <w:tcPr>
            <w:tcW w:w="1157" w:type="dxa"/>
            <w:tcBorders>
              <w:top w:val="single" w:sz="4" w:space="0" w:color="000000"/>
              <w:left w:val="single" w:sz="4" w:space="0" w:color="000000"/>
              <w:bottom w:val="single" w:sz="4" w:space="0" w:color="000000"/>
              <w:right w:val="single" w:sz="4" w:space="0" w:color="000000"/>
            </w:tcBorders>
          </w:tcPr>
          <w:p>
            <w:pPr>
              <w:pStyle w:val="TableParagraph"/>
              <w:spacing w:before="43"/>
              <w:ind w:left="109" w:right="109"/>
              <w:jc w:val="center"/>
              <w:rPr>
                <w:sz w:val="20"/>
              </w:rPr>
            </w:pPr>
            <w:r>
              <w:rPr>
                <w:sz w:val="20"/>
              </w:rPr>
              <w:t>67 04.607</w:t>
            </w:r>
          </w:p>
        </w:tc>
        <w:tc>
          <w:tcPr>
            <w:tcW w:w="2453" w:type="dxa"/>
            <w:tcBorders>
              <w:top w:val="single" w:sz="4" w:space="0" w:color="000000"/>
              <w:left w:val="single" w:sz="4" w:space="0" w:color="000000"/>
              <w:bottom w:val="single" w:sz="4" w:space="0" w:color="000000"/>
              <w:right w:val="single" w:sz="4" w:space="0" w:color="000000"/>
            </w:tcBorders>
          </w:tcPr>
          <w:p>
            <w:pPr>
              <w:pStyle w:val="TableParagraph"/>
              <w:spacing w:before="43"/>
              <w:ind w:left="69"/>
              <w:rPr>
                <w:sz w:val="20"/>
              </w:rPr>
            </w:pPr>
            <w:r>
              <w:rPr>
                <w:sz w:val="20"/>
              </w:rPr>
              <w:t>Essa Kaleem</w:t>
            </w:r>
          </w:p>
        </w:tc>
        <w:tc>
          <w:tcPr>
            <w:tcW w:w="2096" w:type="dxa"/>
            <w:tcBorders>
              <w:top w:val="single" w:sz="4" w:space="0" w:color="000000"/>
              <w:left w:val="single" w:sz="4" w:space="0" w:color="000000"/>
              <w:bottom w:val="single" w:sz="4" w:space="0" w:color="000000"/>
              <w:right w:val="single" w:sz="4" w:space="0" w:color="000000"/>
            </w:tcBorders>
          </w:tcPr>
          <w:p>
            <w:pPr>
              <w:pStyle w:val="TableParagraph"/>
              <w:spacing w:before="43"/>
              <w:ind w:left="67"/>
              <w:rPr>
                <w:sz w:val="20"/>
              </w:rPr>
            </w:pPr>
            <w:r>
              <w:rPr>
                <w:sz w:val="20"/>
              </w:rPr>
              <w:t>Abdul Qayyum</w:t>
            </w:r>
          </w:p>
        </w:tc>
        <w:tc>
          <w:tcPr>
            <w:tcW w:w="1817" w:type="dxa"/>
            <w:tcBorders>
              <w:top w:val="single" w:sz="4" w:space="0" w:color="000000"/>
              <w:left w:val="single" w:sz="4" w:space="0" w:color="000000"/>
              <w:bottom w:val="single" w:sz="4" w:space="0" w:color="000000"/>
              <w:right w:val="single" w:sz="4" w:space="0" w:color="000000"/>
            </w:tcBorders>
          </w:tcPr>
          <w:p>
            <w:pPr>
              <w:pStyle w:val="TableParagraph"/>
              <w:spacing w:before="43"/>
              <w:ind w:right="115"/>
              <w:jc w:val="right"/>
              <w:rPr>
                <w:sz w:val="20"/>
              </w:rPr>
            </w:pPr>
            <w:r>
              <w:rPr>
                <w:w w:val="95"/>
                <w:sz w:val="20"/>
              </w:rPr>
              <w:t>54203-8733983-5</w:t>
            </w:r>
          </w:p>
        </w:tc>
        <w:tc>
          <w:tcPr>
            <w:tcW w:w="1532" w:type="dxa"/>
            <w:tcBorders>
              <w:top w:val="single" w:sz="4" w:space="0" w:color="000000"/>
              <w:left w:val="single" w:sz="4" w:space="0" w:color="000000"/>
              <w:bottom w:val="single" w:sz="4" w:space="0" w:color="000000"/>
              <w:right w:val="single" w:sz="4" w:space="0" w:color="000000"/>
            </w:tcBorders>
          </w:tcPr>
          <w:p>
            <w:pPr>
              <w:pStyle w:val="TableParagraph"/>
              <w:spacing w:before="43"/>
              <w:ind w:left="433" w:right="436"/>
              <w:jc w:val="center"/>
              <w:rPr>
                <w:sz w:val="20"/>
              </w:rPr>
            </w:pPr>
            <w:r>
              <w:rPr>
                <w:sz w:val="20"/>
              </w:rPr>
              <w:t>16,000</w:t>
            </w:r>
          </w:p>
        </w:tc>
        <w:tc>
          <w:tcPr>
            <w:tcW w:w="1675" w:type="dxa"/>
            <w:tcBorders>
              <w:top w:val="single" w:sz="4" w:space="0" w:color="000000"/>
              <w:left w:val="single" w:sz="4" w:space="0" w:color="000000"/>
              <w:bottom w:val="single" w:sz="4" w:space="0" w:color="000000"/>
            </w:tcBorders>
          </w:tcPr>
          <w:p>
            <w:pPr>
              <w:pStyle w:val="TableParagraph"/>
              <w:spacing w:before="43"/>
              <w:ind w:right="518"/>
              <w:jc w:val="right"/>
              <w:rPr>
                <w:sz w:val="20"/>
              </w:rPr>
            </w:pPr>
            <w:r>
              <w:rPr>
                <w:sz w:val="20"/>
              </w:rPr>
              <w:t>48,000</w:t>
            </w:r>
          </w:p>
        </w:tc>
      </w:tr>
      <w:tr>
        <w:trPr>
          <w:trHeight w:val="300" w:hRule="exact"/>
        </w:trPr>
        <w:tc>
          <w:tcPr>
            <w:tcW w:w="684" w:type="dxa"/>
            <w:tcBorders>
              <w:top w:val="single" w:sz="4" w:space="0" w:color="000000"/>
              <w:bottom w:val="single" w:sz="4" w:space="0" w:color="000000"/>
              <w:right w:val="single" w:sz="4" w:space="0" w:color="000000"/>
            </w:tcBorders>
          </w:tcPr>
          <w:p>
            <w:pPr>
              <w:pStyle w:val="TableParagraph"/>
              <w:spacing w:before="43"/>
              <w:ind w:left="216"/>
              <w:rPr>
                <w:sz w:val="20"/>
              </w:rPr>
            </w:pPr>
            <w:r>
              <w:rPr>
                <w:sz w:val="20"/>
              </w:rPr>
              <w:t>27</w:t>
            </w:r>
          </w:p>
        </w:tc>
        <w:tc>
          <w:tcPr>
            <w:tcW w:w="1046" w:type="dxa"/>
            <w:tcBorders>
              <w:top w:val="single" w:sz="4" w:space="0" w:color="000000"/>
              <w:left w:val="single" w:sz="4" w:space="0" w:color="000000"/>
              <w:bottom w:val="single" w:sz="4" w:space="0" w:color="000000"/>
              <w:right w:val="single" w:sz="4" w:space="0" w:color="000000"/>
            </w:tcBorders>
          </w:tcPr>
          <w:p>
            <w:pPr>
              <w:pStyle w:val="TableParagraph"/>
              <w:spacing w:before="43"/>
              <w:jc w:val="center"/>
              <w:rPr>
                <w:sz w:val="20"/>
              </w:rPr>
            </w:pPr>
            <w:r>
              <w:rPr>
                <w:w w:val="99"/>
                <w:sz w:val="20"/>
              </w:rPr>
              <w:t>5</w:t>
            </w:r>
          </w:p>
        </w:tc>
        <w:tc>
          <w:tcPr>
            <w:tcW w:w="1178" w:type="dxa"/>
            <w:tcBorders>
              <w:top w:val="single" w:sz="4" w:space="0" w:color="000000"/>
              <w:left w:val="single" w:sz="4" w:space="0" w:color="000000"/>
              <w:bottom w:val="single" w:sz="4" w:space="0" w:color="000000"/>
              <w:right w:val="single" w:sz="4" w:space="0" w:color="000000"/>
            </w:tcBorders>
          </w:tcPr>
          <w:p>
            <w:pPr>
              <w:pStyle w:val="TableParagraph"/>
              <w:spacing w:before="43"/>
              <w:ind w:left="136"/>
              <w:rPr>
                <w:sz w:val="20"/>
              </w:rPr>
            </w:pPr>
            <w:r>
              <w:rPr>
                <w:sz w:val="20"/>
              </w:rPr>
              <w:t>24 49.960</w:t>
            </w:r>
          </w:p>
        </w:tc>
        <w:tc>
          <w:tcPr>
            <w:tcW w:w="1157" w:type="dxa"/>
            <w:tcBorders>
              <w:top w:val="single" w:sz="4" w:space="0" w:color="000000"/>
              <w:left w:val="single" w:sz="4" w:space="0" w:color="000000"/>
              <w:bottom w:val="single" w:sz="4" w:space="0" w:color="000000"/>
              <w:right w:val="single" w:sz="4" w:space="0" w:color="000000"/>
            </w:tcBorders>
          </w:tcPr>
          <w:p>
            <w:pPr>
              <w:pStyle w:val="TableParagraph"/>
              <w:spacing w:before="43"/>
              <w:ind w:left="109" w:right="109"/>
              <w:jc w:val="center"/>
              <w:rPr>
                <w:sz w:val="20"/>
              </w:rPr>
            </w:pPr>
            <w:r>
              <w:rPr>
                <w:sz w:val="20"/>
              </w:rPr>
              <w:t>67 04.581</w:t>
            </w:r>
          </w:p>
        </w:tc>
        <w:tc>
          <w:tcPr>
            <w:tcW w:w="2453" w:type="dxa"/>
            <w:tcBorders>
              <w:top w:val="single" w:sz="4" w:space="0" w:color="000000"/>
              <w:left w:val="single" w:sz="4" w:space="0" w:color="000000"/>
              <w:bottom w:val="single" w:sz="4" w:space="0" w:color="000000"/>
              <w:right w:val="single" w:sz="4" w:space="0" w:color="000000"/>
            </w:tcBorders>
          </w:tcPr>
          <w:p>
            <w:pPr>
              <w:pStyle w:val="TableParagraph"/>
              <w:spacing w:before="43"/>
              <w:ind w:left="69"/>
              <w:rPr>
                <w:sz w:val="20"/>
              </w:rPr>
            </w:pPr>
            <w:r>
              <w:rPr>
                <w:sz w:val="20"/>
              </w:rPr>
              <w:t>Kishnoo</w:t>
            </w:r>
          </w:p>
        </w:tc>
        <w:tc>
          <w:tcPr>
            <w:tcW w:w="2096" w:type="dxa"/>
            <w:tcBorders>
              <w:top w:val="single" w:sz="4" w:space="0" w:color="000000"/>
              <w:left w:val="single" w:sz="4" w:space="0" w:color="000000"/>
              <w:bottom w:val="single" w:sz="4" w:space="0" w:color="000000"/>
              <w:right w:val="single" w:sz="4" w:space="0" w:color="000000"/>
            </w:tcBorders>
          </w:tcPr>
          <w:p>
            <w:pPr>
              <w:pStyle w:val="TableParagraph"/>
              <w:spacing w:before="43"/>
              <w:ind w:left="67"/>
              <w:rPr>
                <w:sz w:val="20"/>
              </w:rPr>
            </w:pPr>
            <w:r>
              <w:rPr>
                <w:sz w:val="20"/>
              </w:rPr>
              <w:t>Umeriyo</w:t>
            </w:r>
          </w:p>
        </w:tc>
        <w:tc>
          <w:tcPr>
            <w:tcW w:w="1817" w:type="dxa"/>
            <w:tcBorders>
              <w:top w:val="single" w:sz="4" w:space="0" w:color="000000"/>
              <w:left w:val="single" w:sz="4" w:space="0" w:color="000000"/>
              <w:bottom w:val="single" w:sz="4" w:space="0" w:color="000000"/>
              <w:right w:val="single" w:sz="4" w:space="0" w:color="000000"/>
            </w:tcBorders>
          </w:tcPr>
          <w:p>
            <w:pPr>
              <w:pStyle w:val="TableParagraph"/>
              <w:spacing w:before="43"/>
              <w:ind w:right="115"/>
              <w:jc w:val="right"/>
              <w:rPr>
                <w:sz w:val="20"/>
              </w:rPr>
            </w:pPr>
            <w:r>
              <w:rPr>
                <w:w w:val="95"/>
                <w:sz w:val="20"/>
              </w:rPr>
              <w:t>45206-1942084-3</w:t>
            </w:r>
          </w:p>
        </w:tc>
        <w:tc>
          <w:tcPr>
            <w:tcW w:w="1532" w:type="dxa"/>
            <w:tcBorders>
              <w:top w:val="single" w:sz="4" w:space="0" w:color="000000"/>
              <w:left w:val="single" w:sz="4" w:space="0" w:color="000000"/>
              <w:bottom w:val="single" w:sz="4" w:space="0" w:color="000000"/>
              <w:right w:val="single" w:sz="4" w:space="0" w:color="000000"/>
            </w:tcBorders>
          </w:tcPr>
          <w:p>
            <w:pPr>
              <w:pStyle w:val="TableParagraph"/>
              <w:spacing w:before="43"/>
              <w:ind w:left="433" w:right="436"/>
              <w:jc w:val="center"/>
              <w:rPr>
                <w:sz w:val="20"/>
              </w:rPr>
            </w:pPr>
            <w:r>
              <w:rPr>
                <w:sz w:val="20"/>
              </w:rPr>
              <w:t>15,000</w:t>
            </w:r>
          </w:p>
        </w:tc>
        <w:tc>
          <w:tcPr>
            <w:tcW w:w="1675" w:type="dxa"/>
            <w:tcBorders>
              <w:top w:val="single" w:sz="4" w:space="0" w:color="000000"/>
              <w:left w:val="single" w:sz="4" w:space="0" w:color="000000"/>
              <w:bottom w:val="single" w:sz="4" w:space="0" w:color="000000"/>
            </w:tcBorders>
          </w:tcPr>
          <w:p>
            <w:pPr>
              <w:pStyle w:val="TableParagraph"/>
              <w:spacing w:before="43"/>
              <w:ind w:right="518"/>
              <w:jc w:val="right"/>
              <w:rPr>
                <w:sz w:val="20"/>
              </w:rPr>
            </w:pPr>
            <w:r>
              <w:rPr>
                <w:sz w:val="20"/>
              </w:rPr>
              <w:t>48,000</w:t>
            </w:r>
          </w:p>
        </w:tc>
      </w:tr>
      <w:tr>
        <w:trPr>
          <w:trHeight w:val="300" w:hRule="exact"/>
        </w:trPr>
        <w:tc>
          <w:tcPr>
            <w:tcW w:w="684" w:type="dxa"/>
            <w:tcBorders>
              <w:top w:val="single" w:sz="4" w:space="0" w:color="000000"/>
              <w:bottom w:val="single" w:sz="4" w:space="0" w:color="000000"/>
              <w:right w:val="single" w:sz="4" w:space="0" w:color="000000"/>
            </w:tcBorders>
          </w:tcPr>
          <w:p>
            <w:pPr>
              <w:pStyle w:val="TableParagraph"/>
              <w:spacing w:before="43"/>
              <w:ind w:left="216"/>
              <w:rPr>
                <w:sz w:val="20"/>
              </w:rPr>
            </w:pPr>
            <w:r>
              <w:rPr>
                <w:sz w:val="20"/>
              </w:rPr>
              <w:t>34</w:t>
            </w:r>
          </w:p>
        </w:tc>
        <w:tc>
          <w:tcPr>
            <w:tcW w:w="1046" w:type="dxa"/>
            <w:tcBorders>
              <w:top w:val="single" w:sz="4" w:space="0" w:color="000000"/>
              <w:left w:val="single" w:sz="4" w:space="0" w:color="000000"/>
              <w:bottom w:val="single" w:sz="4" w:space="0" w:color="000000"/>
              <w:right w:val="single" w:sz="4" w:space="0" w:color="000000"/>
            </w:tcBorders>
          </w:tcPr>
          <w:p>
            <w:pPr>
              <w:pStyle w:val="TableParagraph"/>
              <w:spacing w:before="43"/>
              <w:jc w:val="center"/>
              <w:rPr>
                <w:sz w:val="20"/>
              </w:rPr>
            </w:pPr>
            <w:r>
              <w:rPr>
                <w:w w:val="99"/>
                <w:sz w:val="20"/>
              </w:rPr>
              <w:t>5</w:t>
            </w:r>
          </w:p>
        </w:tc>
        <w:tc>
          <w:tcPr>
            <w:tcW w:w="1178" w:type="dxa"/>
            <w:tcBorders>
              <w:top w:val="single" w:sz="4" w:space="0" w:color="000000"/>
              <w:left w:val="single" w:sz="4" w:space="0" w:color="000000"/>
              <w:bottom w:val="single" w:sz="4" w:space="0" w:color="000000"/>
              <w:right w:val="single" w:sz="4" w:space="0" w:color="000000"/>
            </w:tcBorders>
          </w:tcPr>
          <w:p>
            <w:pPr>
              <w:pStyle w:val="TableParagraph"/>
              <w:spacing w:before="43"/>
              <w:ind w:left="136"/>
              <w:rPr>
                <w:sz w:val="20"/>
              </w:rPr>
            </w:pPr>
            <w:r>
              <w:rPr>
                <w:sz w:val="20"/>
              </w:rPr>
              <w:t>24 49.968</w:t>
            </w:r>
          </w:p>
        </w:tc>
        <w:tc>
          <w:tcPr>
            <w:tcW w:w="1157" w:type="dxa"/>
            <w:tcBorders>
              <w:top w:val="single" w:sz="4" w:space="0" w:color="000000"/>
              <w:left w:val="single" w:sz="4" w:space="0" w:color="000000"/>
              <w:bottom w:val="single" w:sz="4" w:space="0" w:color="000000"/>
              <w:right w:val="single" w:sz="4" w:space="0" w:color="000000"/>
            </w:tcBorders>
          </w:tcPr>
          <w:p>
            <w:pPr>
              <w:pStyle w:val="TableParagraph"/>
              <w:spacing w:before="43"/>
              <w:ind w:left="109" w:right="109"/>
              <w:jc w:val="center"/>
              <w:rPr>
                <w:sz w:val="20"/>
              </w:rPr>
            </w:pPr>
            <w:r>
              <w:rPr>
                <w:sz w:val="20"/>
              </w:rPr>
              <w:t>67 04.561</w:t>
            </w:r>
          </w:p>
        </w:tc>
        <w:tc>
          <w:tcPr>
            <w:tcW w:w="2453" w:type="dxa"/>
            <w:tcBorders>
              <w:top w:val="single" w:sz="4" w:space="0" w:color="000000"/>
              <w:left w:val="single" w:sz="4" w:space="0" w:color="000000"/>
              <w:bottom w:val="single" w:sz="4" w:space="0" w:color="000000"/>
              <w:right w:val="single" w:sz="4" w:space="0" w:color="000000"/>
            </w:tcBorders>
          </w:tcPr>
          <w:p>
            <w:pPr>
              <w:pStyle w:val="TableParagraph"/>
              <w:spacing w:before="43"/>
              <w:ind w:left="69"/>
              <w:rPr>
                <w:sz w:val="20"/>
              </w:rPr>
            </w:pPr>
            <w:r>
              <w:rPr>
                <w:sz w:val="20"/>
              </w:rPr>
              <w:t>Jimmy</w:t>
            </w:r>
          </w:p>
        </w:tc>
        <w:tc>
          <w:tcPr>
            <w:tcW w:w="2096" w:type="dxa"/>
            <w:tcBorders>
              <w:top w:val="single" w:sz="4" w:space="0" w:color="000000"/>
              <w:left w:val="single" w:sz="4" w:space="0" w:color="000000"/>
              <w:bottom w:val="single" w:sz="4" w:space="0" w:color="000000"/>
              <w:right w:val="single" w:sz="4" w:space="0" w:color="000000"/>
            </w:tcBorders>
          </w:tcPr>
          <w:p>
            <w:pPr>
              <w:pStyle w:val="TableParagraph"/>
              <w:spacing w:before="43"/>
              <w:ind w:left="67"/>
              <w:rPr>
                <w:sz w:val="20"/>
              </w:rPr>
            </w:pPr>
            <w:r>
              <w:rPr>
                <w:sz w:val="20"/>
              </w:rPr>
              <w:t>Molanji</w:t>
            </w:r>
          </w:p>
        </w:tc>
        <w:tc>
          <w:tcPr>
            <w:tcW w:w="1817" w:type="dxa"/>
            <w:tcBorders>
              <w:top w:val="single" w:sz="4" w:space="0" w:color="000000"/>
              <w:left w:val="single" w:sz="4" w:space="0" w:color="000000"/>
              <w:bottom w:val="single" w:sz="4" w:space="0" w:color="000000"/>
              <w:right w:val="single" w:sz="4" w:space="0" w:color="000000"/>
            </w:tcBorders>
          </w:tcPr>
          <w:p>
            <w:pPr>
              <w:pStyle w:val="TableParagraph"/>
              <w:spacing w:before="43"/>
              <w:ind w:right="115"/>
              <w:jc w:val="right"/>
              <w:rPr>
                <w:sz w:val="20"/>
              </w:rPr>
            </w:pPr>
            <w:r>
              <w:rPr>
                <w:w w:val="95"/>
                <w:sz w:val="20"/>
              </w:rPr>
              <w:t>45304-8391144-5</w:t>
            </w:r>
          </w:p>
        </w:tc>
        <w:tc>
          <w:tcPr>
            <w:tcW w:w="1532" w:type="dxa"/>
            <w:tcBorders>
              <w:top w:val="single" w:sz="4" w:space="0" w:color="000000"/>
              <w:left w:val="single" w:sz="4" w:space="0" w:color="000000"/>
              <w:bottom w:val="single" w:sz="4" w:space="0" w:color="000000"/>
              <w:right w:val="single" w:sz="4" w:space="0" w:color="000000"/>
            </w:tcBorders>
          </w:tcPr>
          <w:p>
            <w:pPr>
              <w:pStyle w:val="TableParagraph"/>
              <w:spacing w:before="43"/>
              <w:ind w:left="433" w:right="436"/>
              <w:jc w:val="center"/>
              <w:rPr>
                <w:sz w:val="20"/>
              </w:rPr>
            </w:pPr>
            <w:r>
              <w:rPr>
                <w:sz w:val="20"/>
              </w:rPr>
              <w:t>15,000</w:t>
            </w:r>
          </w:p>
        </w:tc>
        <w:tc>
          <w:tcPr>
            <w:tcW w:w="1675" w:type="dxa"/>
            <w:tcBorders>
              <w:top w:val="single" w:sz="4" w:space="0" w:color="000000"/>
              <w:left w:val="single" w:sz="4" w:space="0" w:color="000000"/>
              <w:bottom w:val="single" w:sz="4" w:space="0" w:color="000000"/>
            </w:tcBorders>
          </w:tcPr>
          <w:p>
            <w:pPr>
              <w:pStyle w:val="TableParagraph"/>
              <w:spacing w:before="43"/>
              <w:ind w:right="518"/>
              <w:jc w:val="right"/>
              <w:rPr>
                <w:sz w:val="20"/>
              </w:rPr>
            </w:pPr>
            <w:r>
              <w:rPr>
                <w:sz w:val="20"/>
              </w:rPr>
              <w:t>48,000</w:t>
            </w:r>
          </w:p>
        </w:tc>
      </w:tr>
      <w:tr>
        <w:trPr>
          <w:trHeight w:val="300" w:hRule="exact"/>
        </w:trPr>
        <w:tc>
          <w:tcPr>
            <w:tcW w:w="684" w:type="dxa"/>
            <w:tcBorders>
              <w:top w:val="single" w:sz="4" w:space="0" w:color="000000"/>
              <w:bottom w:val="single" w:sz="4" w:space="0" w:color="000000"/>
              <w:right w:val="single" w:sz="4" w:space="0" w:color="000000"/>
            </w:tcBorders>
          </w:tcPr>
          <w:p>
            <w:pPr>
              <w:pStyle w:val="TableParagraph"/>
              <w:spacing w:before="43"/>
              <w:ind w:left="216"/>
              <w:rPr>
                <w:sz w:val="20"/>
              </w:rPr>
            </w:pPr>
            <w:r>
              <w:rPr>
                <w:sz w:val="20"/>
              </w:rPr>
              <w:t>35</w:t>
            </w:r>
          </w:p>
        </w:tc>
        <w:tc>
          <w:tcPr>
            <w:tcW w:w="1046" w:type="dxa"/>
            <w:tcBorders>
              <w:top w:val="single" w:sz="4" w:space="0" w:color="000000"/>
              <w:left w:val="single" w:sz="4" w:space="0" w:color="000000"/>
              <w:bottom w:val="single" w:sz="4" w:space="0" w:color="000000"/>
              <w:right w:val="single" w:sz="4" w:space="0" w:color="000000"/>
            </w:tcBorders>
          </w:tcPr>
          <w:p>
            <w:pPr>
              <w:pStyle w:val="TableParagraph"/>
              <w:spacing w:before="43"/>
              <w:jc w:val="center"/>
              <w:rPr>
                <w:sz w:val="20"/>
              </w:rPr>
            </w:pPr>
            <w:r>
              <w:rPr>
                <w:w w:val="99"/>
                <w:sz w:val="20"/>
              </w:rPr>
              <w:t>5</w:t>
            </w:r>
          </w:p>
        </w:tc>
        <w:tc>
          <w:tcPr>
            <w:tcW w:w="1178" w:type="dxa"/>
            <w:tcBorders>
              <w:top w:val="single" w:sz="4" w:space="0" w:color="000000"/>
              <w:left w:val="single" w:sz="4" w:space="0" w:color="000000"/>
              <w:bottom w:val="single" w:sz="4" w:space="0" w:color="000000"/>
              <w:right w:val="single" w:sz="4" w:space="0" w:color="000000"/>
            </w:tcBorders>
          </w:tcPr>
          <w:p>
            <w:pPr>
              <w:pStyle w:val="TableParagraph"/>
              <w:spacing w:before="43"/>
              <w:ind w:left="136"/>
              <w:rPr>
                <w:sz w:val="20"/>
              </w:rPr>
            </w:pPr>
            <w:r>
              <w:rPr>
                <w:sz w:val="20"/>
              </w:rPr>
              <w:t>24 49.979</w:t>
            </w:r>
          </w:p>
        </w:tc>
        <w:tc>
          <w:tcPr>
            <w:tcW w:w="1157" w:type="dxa"/>
            <w:tcBorders>
              <w:top w:val="single" w:sz="4" w:space="0" w:color="000000"/>
              <w:left w:val="single" w:sz="4" w:space="0" w:color="000000"/>
              <w:bottom w:val="single" w:sz="4" w:space="0" w:color="000000"/>
              <w:right w:val="single" w:sz="4" w:space="0" w:color="000000"/>
            </w:tcBorders>
          </w:tcPr>
          <w:p>
            <w:pPr>
              <w:pStyle w:val="TableParagraph"/>
              <w:spacing w:before="43"/>
              <w:ind w:left="109" w:right="109"/>
              <w:jc w:val="center"/>
              <w:rPr>
                <w:sz w:val="20"/>
              </w:rPr>
            </w:pPr>
            <w:r>
              <w:rPr>
                <w:sz w:val="20"/>
              </w:rPr>
              <w:t>67 04.544</w:t>
            </w:r>
          </w:p>
        </w:tc>
        <w:tc>
          <w:tcPr>
            <w:tcW w:w="2453" w:type="dxa"/>
            <w:tcBorders>
              <w:top w:val="single" w:sz="4" w:space="0" w:color="000000"/>
              <w:left w:val="single" w:sz="4" w:space="0" w:color="000000"/>
              <w:bottom w:val="single" w:sz="4" w:space="0" w:color="000000"/>
              <w:right w:val="single" w:sz="4" w:space="0" w:color="000000"/>
            </w:tcBorders>
          </w:tcPr>
          <w:p>
            <w:pPr>
              <w:pStyle w:val="TableParagraph"/>
              <w:spacing w:before="43"/>
              <w:ind w:left="69"/>
              <w:rPr>
                <w:sz w:val="20"/>
              </w:rPr>
            </w:pPr>
            <w:r>
              <w:rPr>
                <w:sz w:val="20"/>
              </w:rPr>
              <w:t>Phoolji</w:t>
            </w:r>
          </w:p>
        </w:tc>
        <w:tc>
          <w:tcPr>
            <w:tcW w:w="2096" w:type="dxa"/>
            <w:tcBorders>
              <w:top w:val="single" w:sz="4" w:space="0" w:color="000000"/>
              <w:left w:val="single" w:sz="4" w:space="0" w:color="000000"/>
              <w:bottom w:val="single" w:sz="4" w:space="0" w:color="000000"/>
              <w:right w:val="single" w:sz="4" w:space="0" w:color="000000"/>
            </w:tcBorders>
          </w:tcPr>
          <w:p>
            <w:pPr>
              <w:pStyle w:val="TableParagraph"/>
              <w:spacing w:before="43"/>
              <w:ind w:left="67"/>
              <w:rPr>
                <w:sz w:val="20"/>
              </w:rPr>
            </w:pPr>
            <w:r>
              <w:rPr>
                <w:sz w:val="20"/>
              </w:rPr>
              <w:t>Misri</w:t>
            </w:r>
          </w:p>
        </w:tc>
        <w:tc>
          <w:tcPr>
            <w:tcW w:w="1817" w:type="dxa"/>
            <w:tcBorders>
              <w:top w:val="single" w:sz="4" w:space="0" w:color="000000"/>
              <w:left w:val="single" w:sz="4" w:space="0" w:color="000000"/>
              <w:bottom w:val="single" w:sz="4" w:space="0" w:color="000000"/>
              <w:right w:val="single" w:sz="4" w:space="0" w:color="000000"/>
            </w:tcBorders>
          </w:tcPr>
          <w:p>
            <w:pPr>
              <w:pStyle w:val="TableParagraph"/>
              <w:spacing w:before="43"/>
              <w:ind w:right="115"/>
              <w:jc w:val="right"/>
              <w:rPr>
                <w:sz w:val="20"/>
              </w:rPr>
            </w:pPr>
            <w:r>
              <w:rPr>
                <w:w w:val="95"/>
                <w:sz w:val="20"/>
              </w:rPr>
              <w:t>45304-2309063-5</w:t>
            </w:r>
          </w:p>
        </w:tc>
        <w:tc>
          <w:tcPr>
            <w:tcW w:w="1532" w:type="dxa"/>
            <w:tcBorders>
              <w:top w:val="single" w:sz="4" w:space="0" w:color="000000"/>
              <w:left w:val="single" w:sz="4" w:space="0" w:color="000000"/>
              <w:bottom w:val="single" w:sz="4" w:space="0" w:color="000000"/>
              <w:right w:val="single" w:sz="4" w:space="0" w:color="000000"/>
            </w:tcBorders>
          </w:tcPr>
          <w:p>
            <w:pPr>
              <w:pStyle w:val="TableParagraph"/>
              <w:spacing w:before="43"/>
              <w:ind w:left="433" w:right="436"/>
              <w:jc w:val="center"/>
              <w:rPr>
                <w:sz w:val="20"/>
              </w:rPr>
            </w:pPr>
            <w:r>
              <w:rPr>
                <w:sz w:val="20"/>
              </w:rPr>
              <w:t>14,000</w:t>
            </w:r>
          </w:p>
        </w:tc>
        <w:tc>
          <w:tcPr>
            <w:tcW w:w="1675" w:type="dxa"/>
            <w:tcBorders>
              <w:top w:val="single" w:sz="4" w:space="0" w:color="000000"/>
              <w:left w:val="single" w:sz="4" w:space="0" w:color="000000"/>
              <w:bottom w:val="single" w:sz="4" w:space="0" w:color="000000"/>
            </w:tcBorders>
          </w:tcPr>
          <w:p>
            <w:pPr>
              <w:pStyle w:val="TableParagraph"/>
              <w:spacing w:before="43"/>
              <w:ind w:right="518"/>
              <w:jc w:val="right"/>
              <w:rPr>
                <w:sz w:val="20"/>
              </w:rPr>
            </w:pPr>
            <w:r>
              <w:rPr>
                <w:sz w:val="20"/>
              </w:rPr>
              <w:t>48,000</w:t>
            </w:r>
          </w:p>
        </w:tc>
      </w:tr>
      <w:tr>
        <w:trPr>
          <w:trHeight w:val="300" w:hRule="exact"/>
        </w:trPr>
        <w:tc>
          <w:tcPr>
            <w:tcW w:w="684" w:type="dxa"/>
            <w:tcBorders>
              <w:top w:val="single" w:sz="4" w:space="0" w:color="000000"/>
              <w:bottom w:val="single" w:sz="4" w:space="0" w:color="000000"/>
              <w:right w:val="single" w:sz="4" w:space="0" w:color="000000"/>
            </w:tcBorders>
          </w:tcPr>
          <w:p>
            <w:pPr>
              <w:pStyle w:val="TableParagraph"/>
              <w:spacing w:before="43"/>
              <w:ind w:left="216"/>
              <w:rPr>
                <w:sz w:val="20"/>
              </w:rPr>
            </w:pPr>
            <w:r>
              <w:rPr>
                <w:sz w:val="20"/>
              </w:rPr>
              <w:t>46</w:t>
            </w:r>
          </w:p>
        </w:tc>
        <w:tc>
          <w:tcPr>
            <w:tcW w:w="1046" w:type="dxa"/>
            <w:tcBorders>
              <w:top w:val="single" w:sz="4" w:space="0" w:color="000000"/>
              <w:left w:val="single" w:sz="4" w:space="0" w:color="000000"/>
              <w:bottom w:val="single" w:sz="4" w:space="0" w:color="000000"/>
              <w:right w:val="single" w:sz="4" w:space="0" w:color="000000"/>
            </w:tcBorders>
          </w:tcPr>
          <w:p>
            <w:pPr>
              <w:pStyle w:val="TableParagraph"/>
              <w:spacing w:before="43"/>
              <w:jc w:val="center"/>
              <w:rPr>
                <w:sz w:val="20"/>
              </w:rPr>
            </w:pPr>
            <w:r>
              <w:rPr>
                <w:w w:val="99"/>
                <w:sz w:val="20"/>
              </w:rPr>
              <w:t>2</w:t>
            </w:r>
          </w:p>
        </w:tc>
        <w:tc>
          <w:tcPr>
            <w:tcW w:w="1178" w:type="dxa"/>
            <w:tcBorders>
              <w:top w:val="single" w:sz="4" w:space="0" w:color="000000"/>
              <w:left w:val="single" w:sz="4" w:space="0" w:color="000000"/>
              <w:bottom w:val="single" w:sz="4" w:space="0" w:color="000000"/>
              <w:right w:val="single" w:sz="4" w:space="0" w:color="000000"/>
            </w:tcBorders>
          </w:tcPr>
          <w:p>
            <w:pPr>
              <w:pStyle w:val="TableParagraph"/>
              <w:spacing w:before="43"/>
              <w:ind w:left="136"/>
              <w:rPr>
                <w:sz w:val="20"/>
              </w:rPr>
            </w:pPr>
            <w:r>
              <w:rPr>
                <w:sz w:val="20"/>
              </w:rPr>
              <w:t>24 50.309</w:t>
            </w:r>
          </w:p>
        </w:tc>
        <w:tc>
          <w:tcPr>
            <w:tcW w:w="1157" w:type="dxa"/>
            <w:tcBorders>
              <w:top w:val="single" w:sz="4" w:space="0" w:color="000000"/>
              <w:left w:val="single" w:sz="4" w:space="0" w:color="000000"/>
              <w:bottom w:val="single" w:sz="4" w:space="0" w:color="000000"/>
              <w:right w:val="single" w:sz="4" w:space="0" w:color="000000"/>
            </w:tcBorders>
          </w:tcPr>
          <w:p>
            <w:pPr>
              <w:pStyle w:val="TableParagraph"/>
              <w:spacing w:before="43"/>
              <w:ind w:left="109" w:right="109"/>
              <w:jc w:val="center"/>
              <w:rPr>
                <w:sz w:val="20"/>
              </w:rPr>
            </w:pPr>
            <w:r>
              <w:rPr>
                <w:sz w:val="20"/>
              </w:rPr>
              <w:t>67 07.205</w:t>
            </w:r>
          </w:p>
        </w:tc>
        <w:tc>
          <w:tcPr>
            <w:tcW w:w="2453" w:type="dxa"/>
            <w:tcBorders>
              <w:top w:val="single" w:sz="4" w:space="0" w:color="000000"/>
              <w:left w:val="single" w:sz="4" w:space="0" w:color="000000"/>
              <w:bottom w:val="single" w:sz="4" w:space="0" w:color="000000"/>
              <w:right w:val="single" w:sz="4" w:space="0" w:color="000000"/>
            </w:tcBorders>
          </w:tcPr>
          <w:p>
            <w:pPr>
              <w:pStyle w:val="TableParagraph"/>
              <w:spacing w:before="43"/>
              <w:ind w:left="69"/>
              <w:rPr>
                <w:sz w:val="20"/>
              </w:rPr>
            </w:pPr>
            <w:r>
              <w:rPr>
                <w:sz w:val="20"/>
              </w:rPr>
              <w:t>Noor Muhammad</w:t>
            </w:r>
          </w:p>
        </w:tc>
        <w:tc>
          <w:tcPr>
            <w:tcW w:w="2096" w:type="dxa"/>
            <w:tcBorders>
              <w:top w:val="single" w:sz="4" w:space="0" w:color="000000"/>
              <w:left w:val="single" w:sz="4" w:space="0" w:color="000000"/>
              <w:bottom w:val="single" w:sz="4" w:space="0" w:color="000000"/>
              <w:right w:val="single" w:sz="4" w:space="0" w:color="000000"/>
            </w:tcBorders>
          </w:tcPr>
          <w:p>
            <w:pPr>
              <w:pStyle w:val="TableParagraph"/>
              <w:spacing w:before="43"/>
              <w:ind w:left="67"/>
              <w:rPr>
                <w:sz w:val="20"/>
              </w:rPr>
            </w:pPr>
            <w:r>
              <w:rPr>
                <w:sz w:val="20"/>
              </w:rPr>
              <w:t>Gulai</w:t>
            </w:r>
          </w:p>
        </w:tc>
        <w:tc>
          <w:tcPr>
            <w:tcW w:w="1817" w:type="dxa"/>
            <w:tcBorders>
              <w:top w:val="single" w:sz="4" w:space="0" w:color="000000"/>
              <w:left w:val="single" w:sz="4" w:space="0" w:color="000000"/>
              <w:bottom w:val="single" w:sz="4" w:space="0" w:color="000000"/>
              <w:right w:val="single" w:sz="4" w:space="0" w:color="000000"/>
            </w:tcBorders>
          </w:tcPr>
          <w:p>
            <w:pPr>
              <w:pStyle w:val="TableParagraph"/>
              <w:spacing w:before="43"/>
              <w:ind w:right="115"/>
              <w:jc w:val="right"/>
              <w:rPr>
                <w:sz w:val="20"/>
              </w:rPr>
            </w:pPr>
            <w:r>
              <w:rPr>
                <w:w w:val="95"/>
                <w:sz w:val="20"/>
              </w:rPr>
              <w:t>42201-6020342-7</w:t>
            </w:r>
          </w:p>
        </w:tc>
        <w:tc>
          <w:tcPr>
            <w:tcW w:w="1532" w:type="dxa"/>
            <w:tcBorders>
              <w:top w:val="single" w:sz="4" w:space="0" w:color="000000"/>
              <w:left w:val="single" w:sz="4" w:space="0" w:color="000000"/>
              <w:bottom w:val="single" w:sz="4" w:space="0" w:color="000000"/>
              <w:right w:val="single" w:sz="4" w:space="0" w:color="000000"/>
            </w:tcBorders>
          </w:tcPr>
          <w:p>
            <w:pPr>
              <w:pStyle w:val="TableParagraph"/>
              <w:spacing w:before="43"/>
              <w:ind w:left="433" w:right="436"/>
              <w:jc w:val="center"/>
              <w:rPr>
                <w:sz w:val="20"/>
              </w:rPr>
            </w:pPr>
            <w:r>
              <w:rPr>
                <w:sz w:val="20"/>
              </w:rPr>
              <w:t>15,000</w:t>
            </w:r>
          </w:p>
        </w:tc>
        <w:tc>
          <w:tcPr>
            <w:tcW w:w="1675" w:type="dxa"/>
            <w:tcBorders>
              <w:top w:val="single" w:sz="4" w:space="0" w:color="000000"/>
              <w:left w:val="single" w:sz="4" w:space="0" w:color="000000"/>
              <w:bottom w:val="single" w:sz="4" w:space="0" w:color="000000"/>
            </w:tcBorders>
          </w:tcPr>
          <w:p>
            <w:pPr>
              <w:pStyle w:val="TableParagraph"/>
              <w:spacing w:before="43"/>
              <w:ind w:right="518"/>
              <w:jc w:val="right"/>
              <w:rPr>
                <w:sz w:val="20"/>
              </w:rPr>
            </w:pPr>
            <w:r>
              <w:rPr>
                <w:sz w:val="20"/>
              </w:rPr>
              <w:t>48,000</w:t>
            </w:r>
          </w:p>
        </w:tc>
      </w:tr>
      <w:tr>
        <w:trPr>
          <w:trHeight w:val="300" w:hRule="exact"/>
        </w:trPr>
        <w:tc>
          <w:tcPr>
            <w:tcW w:w="684" w:type="dxa"/>
            <w:tcBorders>
              <w:top w:val="single" w:sz="4" w:space="0" w:color="000000"/>
              <w:bottom w:val="single" w:sz="4" w:space="0" w:color="000000"/>
              <w:right w:val="single" w:sz="4" w:space="0" w:color="000000"/>
            </w:tcBorders>
          </w:tcPr>
          <w:p>
            <w:pPr>
              <w:pStyle w:val="TableParagraph"/>
              <w:spacing w:before="43"/>
              <w:ind w:left="216"/>
              <w:rPr>
                <w:sz w:val="20"/>
              </w:rPr>
            </w:pPr>
            <w:r>
              <w:rPr>
                <w:sz w:val="20"/>
              </w:rPr>
              <w:t>49</w:t>
            </w:r>
          </w:p>
        </w:tc>
        <w:tc>
          <w:tcPr>
            <w:tcW w:w="1046" w:type="dxa"/>
            <w:tcBorders>
              <w:top w:val="single" w:sz="4" w:space="0" w:color="000000"/>
              <w:left w:val="single" w:sz="4" w:space="0" w:color="000000"/>
              <w:bottom w:val="single" w:sz="4" w:space="0" w:color="000000"/>
              <w:right w:val="single" w:sz="4" w:space="0" w:color="000000"/>
            </w:tcBorders>
          </w:tcPr>
          <w:p>
            <w:pPr>
              <w:pStyle w:val="TableParagraph"/>
              <w:spacing w:before="43"/>
              <w:jc w:val="center"/>
              <w:rPr>
                <w:sz w:val="20"/>
              </w:rPr>
            </w:pPr>
            <w:r>
              <w:rPr>
                <w:w w:val="99"/>
                <w:sz w:val="20"/>
              </w:rPr>
              <w:t>1</w:t>
            </w:r>
          </w:p>
        </w:tc>
        <w:tc>
          <w:tcPr>
            <w:tcW w:w="1178" w:type="dxa"/>
            <w:tcBorders>
              <w:top w:val="single" w:sz="4" w:space="0" w:color="000000"/>
              <w:left w:val="single" w:sz="4" w:space="0" w:color="000000"/>
              <w:bottom w:val="single" w:sz="4" w:space="0" w:color="000000"/>
              <w:right w:val="single" w:sz="4" w:space="0" w:color="000000"/>
            </w:tcBorders>
          </w:tcPr>
          <w:p>
            <w:pPr>
              <w:pStyle w:val="TableParagraph"/>
              <w:spacing w:before="43"/>
              <w:ind w:left="136"/>
              <w:rPr>
                <w:sz w:val="20"/>
              </w:rPr>
            </w:pPr>
            <w:r>
              <w:rPr>
                <w:sz w:val="20"/>
              </w:rPr>
              <w:t>26 50.859</w:t>
            </w:r>
          </w:p>
        </w:tc>
        <w:tc>
          <w:tcPr>
            <w:tcW w:w="1157" w:type="dxa"/>
            <w:tcBorders>
              <w:top w:val="single" w:sz="4" w:space="0" w:color="000000"/>
              <w:left w:val="single" w:sz="4" w:space="0" w:color="000000"/>
              <w:bottom w:val="single" w:sz="4" w:space="0" w:color="000000"/>
              <w:right w:val="single" w:sz="4" w:space="0" w:color="000000"/>
            </w:tcBorders>
          </w:tcPr>
          <w:p>
            <w:pPr>
              <w:pStyle w:val="TableParagraph"/>
              <w:spacing w:before="43"/>
              <w:ind w:left="109" w:right="109"/>
              <w:jc w:val="center"/>
              <w:rPr>
                <w:sz w:val="20"/>
              </w:rPr>
            </w:pPr>
            <w:r>
              <w:rPr>
                <w:sz w:val="20"/>
              </w:rPr>
              <w:t>67 12.728</w:t>
            </w:r>
          </w:p>
        </w:tc>
        <w:tc>
          <w:tcPr>
            <w:tcW w:w="2453" w:type="dxa"/>
            <w:tcBorders>
              <w:top w:val="single" w:sz="4" w:space="0" w:color="000000"/>
              <w:left w:val="single" w:sz="4" w:space="0" w:color="000000"/>
              <w:bottom w:val="single" w:sz="4" w:space="0" w:color="000000"/>
              <w:right w:val="single" w:sz="4" w:space="0" w:color="000000"/>
            </w:tcBorders>
          </w:tcPr>
          <w:p>
            <w:pPr>
              <w:pStyle w:val="TableParagraph"/>
              <w:spacing w:before="43"/>
              <w:ind w:left="69"/>
              <w:rPr>
                <w:sz w:val="20"/>
              </w:rPr>
            </w:pPr>
            <w:r>
              <w:rPr>
                <w:sz w:val="20"/>
              </w:rPr>
              <w:t>Syed Sultan Ali</w:t>
            </w:r>
          </w:p>
        </w:tc>
        <w:tc>
          <w:tcPr>
            <w:tcW w:w="2096" w:type="dxa"/>
            <w:tcBorders>
              <w:top w:val="single" w:sz="4" w:space="0" w:color="000000"/>
              <w:left w:val="single" w:sz="4" w:space="0" w:color="000000"/>
              <w:bottom w:val="single" w:sz="4" w:space="0" w:color="000000"/>
              <w:right w:val="single" w:sz="4" w:space="0" w:color="000000"/>
            </w:tcBorders>
          </w:tcPr>
          <w:p>
            <w:pPr>
              <w:pStyle w:val="TableParagraph"/>
              <w:spacing w:before="43"/>
              <w:ind w:left="67"/>
              <w:rPr>
                <w:sz w:val="20"/>
              </w:rPr>
            </w:pPr>
            <w:r>
              <w:rPr>
                <w:sz w:val="20"/>
              </w:rPr>
              <w:t>Syed Turab Ali</w:t>
            </w:r>
          </w:p>
        </w:tc>
        <w:tc>
          <w:tcPr>
            <w:tcW w:w="1817" w:type="dxa"/>
            <w:tcBorders>
              <w:top w:val="single" w:sz="4" w:space="0" w:color="000000"/>
              <w:left w:val="single" w:sz="4" w:space="0" w:color="000000"/>
              <w:bottom w:val="single" w:sz="4" w:space="0" w:color="000000"/>
              <w:right w:val="single" w:sz="4" w:space="0" w:color="000000"/>
            </w:tcBorders>
          </w:tcPr>
          <w:p>
            <w:pPr>
              <w:pStyle w:val="TableParagraph"/>
              <w:spacing w:before="43"/>
              <w:ind w:right="115"/>
              <w:jc w:val="right"/>
              <w:rPr>
                <w:sz w:val="20"/>
              </w:rPr>
            </w:pPr>
            <w:r>
              <w:rPr>
                <w:w w:val="95"/>
                <w:sz w:val="20"/>
              </w:rPr>
              <w:t>42501-1410930-5</w:t>
            </w:r>
          </w:p>
        </w:tc>
        <w:tc>
          <w:tcPr>
            <w:tcW w:w="1532" w:type="dxa"/>
            <w:tcBorders>
              <w:top w:val="single" w:sz="4" w:space="0" w:color="000000"/>
              <w:left w:val="single" w:sz="4" w:space="0" w:color="000000"/>
              <w:bottom w:val="single" w:sz="4" w:space="0" w:color="000000"/>
              <w:right w:val="single" w:sz="4" w:space="0" w:color="000000"/>
            </w:tcBorders>
          </w:tcPr>
          <w:p>
            <w:pPr>
              <w:pStyle w:val="TableParagraph"/>
              <w:spacing w:before="43"/>
              <w:ind w:left="433" w:right="436"/>
              <w:jc w:val="center"/>
              <w:rPr>
                <w:sz w:val="20"/>
              </w:rPr>
            </w:pPr>
            <w:r>
              <w:rPr>
                <w:sz w:val="20"/>
              </w:rPr>
              <w:t>12,000</w:t>
            </w:r>
          </w:p>
        </w:tc>
        <w:tc>
          <w:tcPr>
            <w:tcW w:w="1675" w:type="dxa"/>
            <w:tcBorders>
              <w:top w:val="single" w:sz="4" w:space="0" w:color="000000"/>
              <w:left w:val="single" w:sz="4" w:space="0" w:color="000000"/>
              <w:bottom w:val="single" w:sz="4" w:space="0" w:color="000000"/>
            </w:tcBorders>
          </w:tcPr>
          <w:p>
            <w:pPr>
              <w:pStyle w:val="TableParagraph"/>
              <w:spacing w:before="43"/>
              <w:ind w:right="518"/>
              <w:jc w:val="right"/>
              <w:rPr>
                <w:sz w:val="20"/>
              </w:rPr>
            </w:pPr>
            <w:r>
              <w:rPr>
                <w:sz w:val="20"/>
              </w:rPr>
              <w:t>48,000</w:t>
            </w:r>
          </w:p>
        </w:tc>
      </w:tr>
      <w:tr>
        <w:trPr>
          <w:trHeight w:val="300" w:hRule="exact"/>
        </w:trPr>
        <w:tc>
          <w:tcPr>
            <w:tcW w:w="684" w:type="dxa"/>
            <w:tcBorders>
              <w:top w:val="single" w:sz="4" w:space="0" w:color="000000"/>
              <w:bottom w:val="single" w:sz="4" w:space="0" w:color="000000"/>
              <w:right w:val="single" w:sz="4" w:space="0" w:color="000000"/>
            </w:tcBorders>
          </w:tcPr>
          <w:p>
            <w:pPr>
              <w:pStyle w:val="TableParagraph"/>
              <w:spacing w:before="43"/>
              <w:ind w:left="216"/>
              <w:rPr>
                <w:sz w:val="20"/>
              </w:rPr>
            </w:pPr>
            <w:r>
              <w:rPr>
                <w:sz w:val="20"/>
              </w:rPr>
              <w:t>53</w:t>
            </w:r>
          </w:p>
        </w:tc>
        <w:tc>
          <w:tcPr>
            <w:tcW w:w="1046" w:type="dxa"/>
            <w:tcBorders>
              <w:top w:val="single" w:sz="4" w:space="0" w:color="000000"/>
              <w:left w:val="single" w:sz="4" w:space="0" w:color="000000"/>
              <w:bottom w:val="single" w:sz="4" w:space="0" w:color="000000"/>
              <w:right w:val="single" w:sz="4" w:space="0" w:color="000000"/>
            </w:tcBorders>
          </w:tcPr>
          <w:p>
            <w:pPr>
              <w:pStyle w:val="TableParagraph"/>
              <w:spacing w:before="43"/>
              <w:jc w:val="center"/>
              <w:rPr>
                <w:sz w:val="20"/>
              </w:rPr>
            </w:pPr>
            <w:r>
              <w:rPr>
                <w:w w:val="99"/>
                <w:sz w:val="20"/>
              </w:rPr>
              <w:t>1</w:t>
            </w:r>
          </w:p>
        </w:tc>
        <w:tc>
          <w:tcPr>
            <w:tcW w:w="1178" w:type="dxa"/>
            <w:tcBorders>
              <w:top w:val="single" w:sz="4" w:space="0" w:color="000000"/>
              <w:left w:val="single" w:sz="4" w:space="0" w:color="000000"/>
              <w:bottom w:val="single" w:sz="4" w:space="0" w:color="000000"/>
              <w:right w:val="single" w:sz="4" w:space="0" w:color="000000"/>
            </w:tcBorders>
          </w:tcPr>
          <w:p>
            <w:pPr>
              <w:pStyle w:val="TableParagraph"/>
              <w:spacing w:before="43"/>
              <w:ind w:left="136"/>
              <w:rPr>
                <w:sz w:val="20"/>
              </w:rPr>
            </w:pPr>
            <w:r>
              <w:rPr>
                <w:sz w:val="20"/>
              </w:rPr>
              <w:t>30 50.859</w:t>
            </w:r>
          </w:p>
        </w:tc>
        <w:tc>
          <w:tcPr>
            <w:tcW w:w="1157" w:type="dxa"/>
            <w:tcBorders>
              <w:top w:val="single" w:sz="4" w:space="0" w:color="000000"/>
              <w:left w:val="single" w:sz="4" w:space="0" w:color="000000"/>
              <w:bottom w:val="single" w:sz="4" w:space="0" w:color="000000"/>
              <w:right w:val="single" w:sz="4" w:space="0" w:color="000000"/>
            </w:tcBorders>
          </w:tcPr>
          <w:p>
            <w:pPr>
              <w:pStyle w:val="TableParagraph"/>
              <w:spacing w:before="43"/>
              <w:ind w:left="109" w:right="109"/>
              <w:jc w:val="center"/>
              <w:rPr>
                <w:sz w:val="20"/>
              </w:rPr>
            </w:pPr>
            <w:r>
              <w:rPr>
                <w:sz w:val="20"/>
              </w:rPr>
              <w:t>67 12.732</w:t>
            </w:r>
          </w:p>
        </w:tc>
        <w:tc>
          <w:tcPr>
            <w:tcW w:w="2453" w:type="dxa"/>
            <w:tcBorders>
              <w:top w:val="single" w:sz="4" w:space="0" w:color="000000"/>
              <w:left w:val="single" w:sz="4" w:space="0" w:color="000000"/>
              <w:bottom w:val="single" w:sz="4" w:space="0" w:color="000000"/>
              <w:right w:val="single" w:sz="4" w:space="0" w:color="000000"/>
            </w:tcBorders>
          </w:tcPr>
          <w:p>
            <w:pPr>
              <w:pStyle w:val="TableParagraph"/>
              <w:spacing w:before="43"/>
              <w:ind w:left="69"/>
              <w:rPr>
                <w:sz w:val="20"/>
              </w:rPr>
            </w:pPr>
            <w:r>
              <w:rPr>
                <w:sz w:val="20"/>
              </w:rPr>
              <w:t>Faisal</w:t>
            </w:r>
          </w:p>
        </w:tc>
        <w:tc>
          <w:tcPr>
            <w:tcW w:w="2096" w:type="dxa"/>
            <w:tcBorders>
              <w:top w:val="single" w:sz="4" w:space="0" w:color="000000"/>
              <w:left w:val="single" w:sz="4" w:space="0" w:color="000000"/>
              <w:bottom w:val="single" w:sz="4" w:space="0" w:color="000000"/>
              <w:right w:val="single" w:sz="4" w:space="0" w:color="000000"/>
            </w:tcBorders>
          </w:tcPr>
          <w:p>
            <w:pPr>
              <w:pStyle w:val="TableParagraph"/>
              <w:spacing w:before="43"/>
              <w:ind w:left="67"/>
              <w:rPr>
                <w:sz w:val="20"/>
              </w:rPr>
            </w:pPr>
            <w:r>
              <w:rPr>
                <w:sz w:val="20"/>
              </w:rPr>
              <w:t>Ghareeb Ullah</w:t>
            </w:r>
          </w:p>
        </w:tc>
        <w:tc>
          <w:tcPr>
            <w:tcW w:w="1817" w:type="dxa"/>
            <w:tcBorders>
              <w:top w:val="single" w:sz="4" w:space="0" w:color="000000"/>
              <w:left w:val="single" w:sz="4" w:space="0" w:color="000000"/>
              <w:bottom w:val="single" w:sz="4" w:space="0" w:color="000000"/>
              <w:right w:val="single" w:sz="4" w:space="0" w:color="000000"/>
            </w:tcBorders>
          </w:tcPr>
          <w:p>
            <w:pPr/>
          </w:p>
        </w:tc>
        <w:tc>
          <w:tcPr>
            <w:tcW w:w="1532" w:type="dxa"/>
            <w:tcBorders>
              <w:top w:val="single" w:sz="4" w:space="0" w:color="000000"/>
              <w:left w:val="single" w:sz="4" w:space="0" w:color="000000"/>
              <w:bottom w:val="single" w:sz="4" w:space="0" w:color="000000"/>
              <w:right w:val="single" w:sz="4" w:space="0" w:color="000000"/>
            </w:tcBorders>
          </w:tcPr>
          <w:p>
            <w:pPr>
              <w:pStyle w:val="TableParagraph"/>
              <w:spacing w:before="43"/>
              <w:ind w:left="433" w:right="436"/>
              <w:jc w:val="center"/>
              <w:rPr>
                <w:sz w:val="20"/>
              </w:rPr>
            </w:pPr>
            <w:r>
              <w:rPr>
                <w:sz w:val="20"/>
              </w:rPr>
              <w:t>16,000</w:t>
            </w:r>
          </w:p>
        </w:tc>
        <w:tc>
          <w:tcPr>
            <w:tcW w:w="1675" w:type="dxa"/>
            <w:tcBorders>
              <w:top w:val="single" w:sz="4" w:space="0" w:color="000000"/>
              <w:left w:val="single" w:sz="4" w:space="0" w:color="000000"/>
              <w:bottom w:val="single" w:sz="4" w:space="0" w:color="000000"/>
            </w:tcBorders>
          </w:tcPr>
          <w:p>
            <w:pPr>
              <w:pStyle w:val="TableParagraph"/>
              <w:spacing w:before="43"/>
              <w:ind w:right="518"/>
              <w:jc w:val="right"/>
              <w:rPr>
                <w:sz w:val="20"/>
              </w:rPr>
            </w:pPr>
            <w:r>
              <w:rPr>
                <w:sz w:val="20"/>
              </w:rPr>
              <w:t>48,000</w:t>
            </w:r>
          </w:p>
        </w:tc>
      </w:tr>
      <w:tr>
        <w:trPr>
          <w:trHeight w:val="300" w:hRule="exact"/>
        </w:trPr>
        <w:tc>
          <w:tcPr>
            <w:tcW w:w="684" w:type="dxa"/>
            <w:tcBorders>
              <w:top w:val="single" w:sz="4" w:space="0" w:color="000000"/>
              <w:bottom w:val="single" w:sz="4" w:space="0" w:color="000000"/>
              <w:right w:val="single" w:sz="4" w:space="0" w:color="000000"/>
            </w:tcBorders>
          </w:tcPr>
          <w:p>
            <w:pPr>
              <w:pStyle w:val="TableParagraph"/>
              <w:spacing w:before="43"/>
              <w:ind w:left="216"/>
              <w:rPr>
                <w:sz w:val="20"/>
              </w:rPr>
            </w:pPr>
            <w:r>
              <w:rPr>
                <w:sz w:val="20"/>
              </w:rPr>
              <w:t>67</w:t>
            </w:r>
          </w:p>
        </w:tc>
        <w:tc>
          <w:tcPr>
            <w:tcW w:w="1046" w:type="dxa"/>
            <w:tcBorders>
              <w:top w:val="single" w:sz="4" w:space="0" w:color="000000"/>
              <w:left w:val="single" w:sz="4" w:space="0" w:color="000000"/>
              <w:bottom w:val="single" w:sz="4" w:space="0" w:color="000000"/>
              <w:right w:val="single" w:sz="4" w:space="0" w:color="000000"/>
            </w:tcBorders>
          </w:tcPr>
          <w:p>
            <w:pPr>
              <w:pStyle w:val="TableParagraph"/>
              <w:spacing w:before="43"/>
              <w:jc w:val="center"/>
              <w:rPr>
                <w:sz w:val="20"/>
              </w:rPr>
            </w:pPr>
            <w:r>
              <w:rPr>
                <w:w w:val="99"/>
                <w:sz w:val="20"/>
              </w:rPr>
              <w:t>5</w:t>
            </w:r>
          </w:p>
        </w:tc>
        <w:tc>
          <w:tcPr>
            <w:tcW w:w="1178" w:type="dxa"/>
            <w:tcBorders>
              <w:top w:val="single" w:sz="4" w:space="0" w:color="000000"/>
              <w:left w:val="single" w:sz="4" w:space="0" w:color="000000"/>
              <w:bottom w:val="single" w:sz="4" w:space="0" w:color="000000"/>
              <w:right w:val="single" w:sz="4" w:space="0" w:color="000000"/>
            </w:tcBorders>
          </w:tcPr>
          <w:p>
            <w:pPr>
              <w:pStyle w:val="TableParagraph"/>
              <w:spacing w:before="43"/>
              <w:ind w:left="136"/>
              <w:rPr>
                <w:sz w:val="20"/>
              </w:rPr>
            </w:pPr>
            <w:r>
              <w:rPr>
                <w:sz w:val="20"/>
              </w:rPr>
              <w:t>24 50.792</w:t>
            </w:r>
          </w:p>
        </w:tc>
        <w:tc>
          <w:tcPr>
            <w:tcW w:w="1157" w:type="dxa"/>
            <w:tcBorders>
              <w:top w:val="single" w:sz="4" w:space="0" w:color="000000"/>
              <w:left w:val="single" w:sz="4" w:space="0" w:color="000000"/>
              <w:bottom w:val="single" w:sz="4" w:space="0" w:color="000000"/>
              <w:right w:val="single" w:sz="4" w:space="0" w:color="000000"/>
            </w:tcBorders>
          </w:tcPr>
          <w:p>
            <w:pPr>
              <w:pStyle w:val="TableParagraph"/>
              <w:spacing w:before="43"/>
              <w:ind w:left="109" w:right="109"/>
              <w:jc w:val="center"/>
              <w:rPr>
                <w:sz w:val="20"/>
              </w:rPr>
            </w:pPr>
            <w:r>
              <w:rPr>
                <w:sz w:val="20"/>
              </w:rPr>
              <w:t>67 03.301</w:t>
            </w:r>
          </w:p>
        </w:tc>
        <w:tc>
          <w:tcPr>
            <w:tcW w:w="2453" w:type="dxa"/>
            <w:tcBorders>
              <w:top w:val="single" w:sz="4" w:space="0" w:color="000000"/>
              <w:left w:val="single" w:sz="4" w:space="0" w:color="000000"/>
              <w:bottom w:val="single" w:sz="4" w:space="0" w:color="000000"/>
              <w:right w:val="single" w:sz="4" w:space="0" w:color="000000"/>
            </w:tcBorders>
          </w:tcPr>
          <w:p>
            <w:pPr>
              <w:pStyle w:val="TableParagraph"/>
              <w:spacing w:before="43"/>
              <w:ind w:left="69"/>
              <w:rPr>
                <w:sz w:val="20"/>
              </w:rPr>
            </w:pPr>
            <w:r>
              <w:rPr>
                <w:sz w:val="20"/>
              </w:rPr>
              <w:t>Muhammad Saddeeq</w:t>
            </w:r>
          </w:p>
        </w:tc>
        <w:tc>
          <w:tcPr>
            <w:tcW w:w="2096" w:type="dxa"/>
            <w:tcBorders>
              <w:top w:val="single" w:sz="4" w:space="0" w:color="000000"/>
              <w:left w:val="single" w:sz="4" w:space="0" w:color="000000"/>
              <w:bottom w:val="single" w:sz="4" w:space="0" w:color="000000"/>
              <w:right w:val="single" w:sz="4" w:space="0" w:color="000000"/>
            </w:tcBorders>
          </w:tcPr>
          <w:p>
            <w:pPr>
              <w:pStyle w:val="TableParagraph"/>
              <w:spacing w:before="43"/>
              <w:ind w:left="67"/>
              <w:rPr>
                <w:sz w:val="20"/>
              </w:rPr>
            </w:pPr>
            <w:r>
              <w:rPr>
                <w:sz w:val="20"/>
              </w:rPr>
              <w:t>Ghulam Jan</w:t>
            </w:r>
          </w:p>
        </w:tc>
        <w:tc>
          <w:tcPr>
            <w:tcW w:w="1817" w:type="dxa"/>
            <w:tcBorders>
              <w:top w:val="single" w:sz="4" w:space="0" w:color="000000"/>
              <w:left w:val="single" w:sz="4" w:space="0" w:color="000000"/>
              <w:bottom w:val="single" w:sz="4" w:space="0" w:color="000000"/>
              <w:right w:val="single" w:sz="4" w:space="0" w:color="000000"/>
            </w:tcBorders>
          </w:tcPr>
          <w:p>
            <w:pPr>
              <w:pStyle w:val="TableParagraph"/>
              <w:spacing w:before="43"/>
              <w:ind w:right="115"/>
              <w:jc w:val="right"/>
              <w:rPr>
                <w:sz w:val="20"/>
              </w:rPr>
            </w:pPr>
            <w:r>
              <w:rPr>
                <w:w w:val="95"/>
                <w:sz w:val="20"/>
              </w:rPr>
              <w:t>13503-4457420-1</w:t>
            </w:r>
          </w:p>
        </w:tc>
        <w:tc>
          <w:tcPr>
            <w:tcW w:w="1532" w:type="dxa"/>
            <w:tcBorders>
              <w:top w:val="single" w:sz="4" w:space="0" w:color="000000"/>
              <w:left w:val="single" w:sz="4" w:space="0" w:color="000000"/>
              <w:bottom w:val="single" w:sz="4" w:space="0" w:color="000000"/>
              <w:right w:val="single" w:sz="4" w:space="0" w:color="000000"/>
            </w:tcBorders>
          </w:tcPr>
          <w:p>
            <w:pPr>
              <w:pStyle w:val="TableParagraph"/>
              <w:spacing w:before="43"/>
              <w:ind w:left="433" w:right="436"/>
              <w:jc w:val="center"/>
              <w:rPr>
                <w:sz w:val="20"/>
              </w:rPr>
            </w:pPr>
            <w:r>
              <w:rPr>
                <w:sz w:val="20"/>
              </w:rPr>
              <w:t>15,000</w:t>
            </w:r>
          </w:p>
        </w:tc>
        <w:tc>
          <w:tcPr>
            <w:tcW w:w="1675" w:type="dxa"/>
            <w:tcBorders>
              <w:top w:val="single" w:sz="4" w:space="0" w:color="000000"/>
              <w:left w:val="single" w:sz="4" w:space="0" w:color="000000"/>
              <w:bottom w:val="single" w:sz="4" w:space="0" w:color="000000"/>
            </w:tcBorders>
          </w:tcPr>
          <w:p>
            <w:pPr>
              <w:pStyle w:val="TableParagraph"/>
              <w:spacing w:before="43"/>
              <w:ind w:right="518"/>
              <w:jc w:val="right"/>
              <w:rPr>
                <w:sz w:val="20"/>
              </w:rPr>
            </w:pPr>
            <w:r>
              <w:rPr>
                <w:sz w:val="20"/>
              </w:rPr>
              <w:t>48,000</w:t>
            </w:r>
          </w:p>
        </w:tc>
      </w:tr>
      <w:tr>
        <w:trPr>
          <w:trHeight w:val="300" w:hRule="exact"/>
        </w:trPr>
        <w:tc>
          <w:tcPr>
            <w:tcW w:w="684" w:type="dxa"/>
            <w:tcBorders>
              <w:top w:val="single" w:sz="4" w:space="0" w:color="000000"/>
              <w:bottom w:val="single" w:sz="4" w:space="0" w:color="000000"/>
              <w:right w:val="single" w:sz="4" w:space="0" w:color="000000"/>
            </w:tcBorders>
          </w:tcPr>
          <w:p>
            <w:pPr>
              <w:pStyle w:val="TableParagraph"/>
              <w:spacing w:before="43"/>
              <w:ind w:left="216"/>
              <w:rPr>
                <w:sz w:val="20"/>
              </w:rPr>
            </w:pPr>
            <w:r>
              <w:rPr>
                <w:sz w:val="20"/>
              </w:rPr>
              <w:t>70</w:t>
            </w:r>
          </w:p>
        </w:tc>
        <w:tc>
          <w:tcPr>
            <w:tcW w:w="1046" w:type="dxa"/>
            <w:tcBorders>
              <w:top w:val="single" w:sz="4" w:space="0" w:color="000000"/>
              <w:left w:val="single" w:sz="4" w:space="0" w:color="000000"/>
              <w:bottom w:val="single" w:sz="4" w:space="0" w:color="000000"/>
              <w:right w:val="single" w:sz="4" w:space="0" w:color="000000"/>
            </w:tcBorders>
          </w:tcPr>
          <w:p>
            <w:pPr>
              <w:pStyle w:val="TableParagraph"/>
              <w:spacing w:before="43"/>
              <w:jc w:val="center"/>
              <w:rPr>
                <w:sz w:val="20"/>
              </w:rPr>
            </w:pPr>
            <w:r>
              <w:rPr>
                <w:w w:val="99"/>
                <w:sz w:val="20"/>
              </w:rPr>
              <w:t>5</w:t>
            </w:r>
          </w:p>
        </w:tc>
        <w:tc>
          <w:tcPr>
            <w:tcW w:w="1178" w:type="dxa"/>
            <w:tcBorders>
              <w:top w:val="single" w:sz="4" w:space="0" w:color="000000"/>
              <w:left w:val="single" w:sz="4" w:space="0" w:color="000000"/>
              <w:bottom w:val="single" w:sz="4" w:space="0" w:color="000000"/>
              <w:right w:val="single" w:sz="4" w:space="0" w:color="000000"/>
            </w:tcBorders>
          </w:tcPr>
          <w:p>
            <w:pPr>
              <w:pStyle w:val="TableParagraph"/>
              <w:spacing w:before="43"/>
              <w:ind w:left="136"/>
              <w:rPr>
                <w:sz w:val="20"/>
              </w:rPr>
            </w:pPr>
            <w:r>
              <w:rPr>
                <w:sz w:val="20"/>
              </w:rPr>
              <w:t>24 50.916</w:t>
            </w:r>
          </w:p>
        </w:tc>
        <w:tc>
          <w:tcPr>
            <w:tcW w:w="1157" w:type="dxa"/>
            <w:tcBorders>
              <w:top w:val="single" w:sz="4" w:space="0" w:color="000000"/>
              <w:left w:val="single" w:sz="4" w:space="0" w:color="000000"/>
              <w:bottom w:val="single" w:sz="4" w:space="0" w:color="000000"/>
              <w:right w:val="single" w:sz="4" w:space="0" w:color="000000"/>
            </w:tcBorders>
          </w:tcPr>
          <w:p>
            <w:pPr>
              <w:pStyle w:val="TableParagraph"/>
              <w:spacing w:before="43"/>
              <w:ind w:left="109" w:right="109"/>
              <w:jc w:val="center"/>
              <w:rPr>
                <w:sz w:val="20"/>
              </w:rPr>
            </w:pPr>
            <w:r>
              <w:rPr>
                <w:sz w:val="20"/>
              </w:rPr>
              <w:t>67 03.236</w:t>
            </w:r>
          </w:p>
        </w:tc>
        <w:tc>
          <w:tcPr>
            <w:tcW w:w="2453" w:type="dxa"/>
            <w:tcBorders>
              <w:top w:val="single" w:sz="4" w:space="0" w:color="000000"/>
              <w:left w:val="single" w:sz="4" w:space="0" w:color="000000"/>
              <w:bottom w:val="single" w:sz="4" w:space="0" w:color="000000"/>
              <w:right w:val="single" w:sz="4" w:space="0" w:color="000000"/>
            </w:tcBorders>
          </w:tcPr>
          <w:p>
            <w:pPr>
              <w:pStyle w:val="TableParagraph"/>
              <w:spacing w:before="43"/>
              <w:ind w:left="69"/>
              <w:rPr>
                <w:sz w:val="20"/>
              </w:rPr>
            </w:pPr>
            <w:r>
              <w:rPr>
                <w:sz w:val="20"/>
              </w:rPr>
              <w:t>Fazal Muhammad</w:t>
            </w:r>
          </w:p>
        </w:tc>
        <w:tc>
          <w:tcPr>
            <w:tcW w:w="2096" w:type="dxa"/>
            <w:tcBorders>
              <w:top w:val="single" w:sz="4" w:space="0" w:color="000000"/>
              <w:left w:val="single" w:sz="4" w:space="0" w:color="000000"/>
              <w:bottom w:val="single" w:sz="4" w:space="0" w:color="000000"/>
              <w:right w:val="single" w:sz="4" w:space="0" w:color="000000"/>
            </w:tcBorders>
          </w:tcPr>
          <w:p>
            <w:pPr>
              <w:pStyle w:val="TableParagraph"/>
              <w:spacing w:before="43"/>
              <w:ind w:left="67"/>
              <w:rPr>
                <w:sz w:val="20"/>
              </w:rPr>
            </w:pPr>
            <w:r>
              <w:rPr>
                <w:sz w:val="20"/>
              </w:rPr>
              <w:t>Noor Muhammad</w:t>
            </w:r>
          </w:p>
        </w:tc>
        <w:tc>
          <w:tcPr>
            <w:tcW w:w="1817" w:type="dxa"/>
            <w:tcBorders>
              <w:top w:val="single" w:sz="4" w:space="0" w:color="000000"/>
              <w:left w:val="single" w:sz="4" w:space="0" w:color="000000"/>
              <w:bottom w:val="single" w:sz="4" w:space="0" w:color="000000"/>
              <w:right w:val="single" w:sz="4" w:space="0" w:color="000000"/>
            </w:tcBorders>
          </w:tcPr>
          <w:p>
            <w:pPr>
              <w:pStyle w:val="TableParagraph"/>
              <w:spacing w:before="43"/>
              <w:ind w:right="115"/>
              <w:jc w:val="right"/>
              <w:rPr>
                <w:sz w:val="20"/>
              </w:rPr>
            </w:pPr>
            <w:r>
              <w:rPr>
                <w:w w:val="95"/>
                <w:sz w:val="20"/>
              </w:rPr>
              <w:t>13504-4709012-1</w:t>
            </w:r>
          </w:p>
        </w:tc>
        <w:tc>
          <w:tcPr>
            <w:tcW w:w="1532" w:type="dxa"/>
            <w:tcBorders>
              <w:top w:val="single" w:sz="4" w:space="0" w:color="000000"/>
              <w:left w:val="single" w:sz="4" w:space="0" w:color="000000"/>
              <w:bottom w:val="single" w:sz="4" w:space="0" w:color="000000"/>
              <w:right w:val="single" w:sz="4" w:space="0" w:color="000000"/>
            </w:tcBorders>
          </w:tcPr>
          <w:p>
            <w:pPr>
              <w:pStyle w:val="TableParagraph"/>
              <w:spacing w:before="43"/>
              <w:ind w:left="433" w:right="436"/>
              <w:jc w:val="center"/>
              <w:rPr>
                <w:sz w:val="20"/>
              </w:rPr>
            </w:pPr>
            <w:r>
              <w:rPr>
                <w:sz w:val="20"/>
              </w:rPr>
              <w:t>15,000</w:t>
            </w:r>
          </w:p>
        </w:tc>
        <w:tc>
          <w:tcPr>
            <w:tcW w:w="1675" w:type="dxa"/>
            <w:tcBorders>
              <w:top w:val="single" w:sz="4" w:space="0" w:color="000000"/>
              <w:left w:val="single" w:sz="4" w:space="0" w:color="000000"/>
              <w:bottom w:val="single" w:sz="4" w:space="0" w:color="000000"/>
            </w:tcBorders>
          </w:tcPr>
          <w:p>
            <w:pPr>
              <w:pStyle w:val="TableParagraph"/>
              <w:spacing w:before="43"/>
              <w:ind w:right="518"/>
              <w:jc w:val="right"/>
              <w:rPr>
                <w:sz w:val="20"/>
              </w:rPr>
            </w:pPr>
            <w:r>
              <w:rPr>
                <w:sz w:val="20"/>
              </w:rPr>
              <w:t>48,000</w:t>
            </w:r>
          </w:p>
        </w:tc>
      </w:tr>
      <w:tr>
        <w:trPr>
          <w:trHeight w:val="300" w:hRule="exact"/>
        </w:trPr>
        <w:tc>
          <w:tcPr>
            <w:tcW w:w="684" w:type="dxa"/>
            <w:tcBorders>
              <w:top w:val="single" w:sz="4" w:space="0" w:color="000000"/>
              <w:bottom w:val="single" w:sz="4" w:space="0" w:color="000000"/>
              <w:right w:val="single" w:sz="4" w:space="0" w:color="000000"/>
            </w:tcBorders>
          </w:tcPr>
          <w:p>
            <w:pPr>
              <w:pStyle w:val="TableParagraph"/>
              <w:spacing w:before="43"/>
              <w:ind w:left="216"/>
              <w:rPr>
                <w:sz w:val="20"/>
              </w:rPr>
            </w:pPr>
            <w:r>
              <w:rPr>
                <w:sz w:val="20"/>
              </w:rPr>
              <w:t>72</w:t>
            </w:r>
          </w:p>
        </w:tc>
        <w:tc>
          <w:tcPr>
            <w:tcW w:w="1046" w:type="dxa"/>
            <w:tcBorders>
              <w:top w:val="single" w:sz="4" w:space="0" w:color="000000"/>
              <w:left w:val="single" w:sz="4" w:space="0" w:color="000000"/>
              <w:bottom w:val="single" w:sz="4" w:space="0" w:color="000000"/>
              <w:right w:val="single" w:sz="4" w:space="0" w:color="000000"/>
            </w:tcBorders>
          </w:tcPr>
          <w:p>
            <w:pPr>
              <w:pStyle w:val="TableParagraph"/>
              <w:spacing w:before="43"/>
              <w:jc w:val="center"/>
              <w:rPr>
                <w:sz w:val="20"/>
              </w:rPr>
            </w:pPr>
            <w:r>
              <w:rPr>
                <w:w w:val="99"/>
                <w:sz w:val="20"/>
              </w:rPr>
              <w:t>5</w:t>
            </w:r>
          </w:p>
        </w:tc>
        <w:tc>
          <w:tcPr>
            <w:tcW w:w="1178" w:type="dxa"/>
            <w:tcBorders>
              <w:top w:val="single" w:sz="4" w:space="0" w:color="000000"/>
              <w:left w:val="single" w:sz="4" w:space="0" w:color="000000"/>
              <w:bottom w:val="single" w:sz="4" w:space="0" w:color="000000"/>
              <w:right w:val="single" w:sz="4" w:space="0" w:color="000000"/>
            </w:tcBorders>
          </w:tcPr>
          <w:p>
            <w:pPr>
              <w:pStyle w:val="TableParagraph"/>
              <w:spacing w:before="43"/>
              <w:ind w:left="136"/>
              <w:rPr>
                <w:sz w:val="20"/>
              </w:rPr>
            </w:pPr>
            <w:r>
              <w:rPr>
                <w:sz w:val="20"/>
              </w:rPr>
              <w:t>24 50.916</w:t>
            </w:r>
          </w:p>
        </w:tc>
        <w:tc>
          <w:tcPr>
            <w:tcW w:w="1157" w:type="dxa"/>
            <w:tcBorders>
              <w:top w:val="single" w:sz="4" w:space="0" w:color="000000"/>
              <w:left w:val="single" w:sz="4" w:space="0" w:color="000000"/>
              <w:bottom w:val="single" w:sz="4" w:space="0" w:color="000000"/>
              <w:right w:val="single" w:sz="4" w:space="0" w:color="000000"/>
            </w:tcBorders>
          </w:tcPr>
          <w:p>
            <w:pPr>
              <w:pStyle w:val="TableParagraph"/>
              <w:spacing w:before="43"/>
              <w:ind w:left="109" w:right="109"/>
              <w:jc w:val="center"/>
              <w:rPr>
                <w:sz w:val="20"/>
              </w:rPr>
            </w:pPr>
            <w:r>
              <w:rPr>
                <w:sz w:val="20"/>
              </w:rPr>
              <w:t>67 03.236</w:t>
            </w:r>
          </w:p>
        </w:tc>
        <w:tc>
          <w:tcPr>
            <w:tcW w:w="2453" w:type="dxa"/>
            <w:tcBorders>
              <w:top w:val="single" w:sz="4" w:space="0" w:color="000000"/>
              <w:left w:val="single" w:sz="4" w:space="0" w:color="000000"/>
              <w:bottom w:val="single" w:sz="4" w:space="0" w:color="000000"/>
              <w:right w:val="single" w:sz="4" w:space="0" w:color="000000"/>
            </w:tcBorders>
          </w:tcPr>
          <w:p>
            <w:pPr>
              <w:pStyle w:val="TableParagraph"/>
              <w:spacing w:before="43"/>
              <w:ind w:left="69"/>
              <w:rPr>
                <w:sz w:val="20"/>
              </w:rPr>
            </w:pPr>
            <w:r>
              <w:rPr>
                <w:sz w:val="20"/>
              </w:rPr>
              <w:t>Muhammad Ilyas</w:t>
            </w:r>
          </w:p>
        </w:tc>
        <w:tc>
          <w:tcPr>
            <w:tcW w:w="2096" w:type="dxa"/>
            <w:tcBorders>
              <w:top w:val="single" w:sz="4" w:space="0" w:color="000000"/>
              <w:left w:val="single" w:sz="4" w:space="0" w:color="000000"/>
              <w:bottom w:val="single" w:sz="4" w:space="0" w:color="000000"/>
              <w:right w:val="single" w:sz="4" w:space="0" w:color="000000"/>
            </w:tcBorders>
          </w:tcPr>
          <w:p>
            <w:pPr>
              <w:pStyle w:val="TableParagraph"/>
              <w:spacing w:before="43"/>
              <w:ind w:left="67"/>
              <w:rPr>
                <w:sz w:val="20"/>
              </w:rPr>
            </w:pPr>
            <w:r>
              <w:rPr>
                <w:sz w:val="20"/>
              </w:rPr>
              <w:t>Wali Muhammad</w:t>
            </w:r>
          </w:p>
        </w:tc>
        <w:tc>
          <w:tcPr>
            <w:tcW w:w="1817" w:type="dxa"/>
            <w:tcBorders>
              <w:top w:val="single" w:sz="4" w:space="0" w:color="000000"/>
              <w:left w:val="single" w:sz="4" w:space="0" w:color="000000"/>
              <w:bottom w:val="single" w:sz="4" w:space="0" w:color="000000"/>
              <w:right w:val="single" w:sz="4" w:space="0" w:color="000000"/>
            </w:tcBorders>
          </w:tcPr>
          <w:p>
            <w:pPr>
              <w:pStyle w:val="TableParagraph"/>
              <w:spacing w:before="43"/>
              <w:ind w:right="115"/>
              <w:jc w:val="right"/>
              <w:rPr>
                <w:sz w:val="20"/>
              </w:rPr>
            </w:pPr>
            <w:r>
              <w:rPr>
                <w:w w:val="95"/>
                <w:sz w:val="20"/>
              </w:rPr>
              <w:t>42501-0816023-1</w:t>
            </w:r>
          </w:p>
        </w:tc>
        <w:tc>
          <w:tcPr>
            <w:tcW w:w="1532" w:type="dxa"/>
            <w:tcBorders>
              <w:top w:val="single" w:sz="4" w:space="0" w:color="000000"/>
              <w:left w:val="single" w:sz="4" w:space="0" w:color="000000"/>
              <w:bottom w:val="single" w:sz="4" w:space="0" w:color="000000"/>
              <w:right w:val="single" w:sz="4" w:space="0" w:color="000000"/>
            </w:tcBorders>
          </w:tcPr>
          <w:p>
            <w:pPr>
              <w:pStyle w:val="TableParagraph"/>
              <w:spacing w:before="43"/>
              <w:ind w:left="433" w:right="436"/>
              <w:jc w:val="center"/>
              <w:rPr>
                <w:sz w:val="20"/>
              </w:rPr>
            </w:pPr>
            <w:r>
              <w:rPr>
                <w:sz w:val="20"/>
              </w:rPr>
              <w:t>16,000</w:t>
            </w:r>
          </w:p>
        </w:tc>
        <w:tc>
          <w:tcPr>
            <w:tcW w:w="1675" w:type="dxa"/>
            <w:tcBorders>
              <w:top w:val="single" w:sz="4" w:space="0" w:color="000000"/>
              <w:left w:val="single" w:sz="4" w:space="0" w:color="000000"/>
              <w:bottom w:val="single" w:sz="4" w:space="0" w:color="000000"/>
            </w:tcBorders>
          </w:tcPr>
          <w:p>
            <w:pPr>
              <w:pStyle w:val="TableParagraph"/>
              <w:spacing w:before="43"/>
              <w:ind w:right="518"/>
              <w:jc w:val="right"/>
              <w:rPr>
                <w:sz w:val="20"/>
              </w:rPr>
            </w:pPr>
            <w:r>
              <w:rPr>
                <w:sz w:val="20"/>
              </w:rPr>
              <w:t>48,000</w:t>
            </w:r>
          </w:p>
        </w:tc>
      </w:tr>
      <w:tr>
        <w:trPr>
          <w:trHeight w:val="300" w:hRule="exact"/>
        </w:trPr>
        <w:tc>
          <w:tcPr>
            <w:tcW w:w="684" w:type="dxa"/>
            <w:tcBorders>
              <w:top w:val="single" w:sz="4" w:space="0" w:color="000000"/>
              <w:bottom w:val="single" w:sz="4" w:space="0" w:color="000000"/>
              <w:right w:val="single" w:sz="4" w:space="0" w:color="000000"/>
            </w:tcBorders>
          </w:tcPr>
          <w:p>
            <w:pPr>
              <w:pStyle w:val="TableParagraph"/>
              <w:spacing w:before="43"/>
              <w:ind w:left="216"/>
              <w:rPr>
                <w:sz w:val="20"/>
              </w:rPr>
            </w:pPr>
            <w:r>
              <w:rPr>
                <w:sz w:val="20"/>
              </w:rPr>
              <w:t>91</w:t>
            </w:r>
          </w:p>
        </w:tc>
        <w:tc>
          <w:tcPr>
            <w:tcW w:w="1046" w:type="dxa"/>
            <w:tcBorders>
              <w:top w:val="single" w:sz="4" w:space="0" w:color="000000"/>
              <w:left w:val="single" w:sz="4" w:space="0" w:color="000000"/>
              <w:bottom w:val="single" w:sz="4" w:space="0" w:color="000000"/>
              <w:right w:val="single" w:sz="4" w:space="0" w:color="000000"/>
            </w:tcBorders>
          </w:tcPr>
          <w:p>
            <w:pPr>
              <w:pStyle w:val="TableParagraph"/>
              <w:spacing w:before="43"/>
              <w:jc w:val="center"/>
              <w:rPr>
                <w:sz w:val="20"/>
              </w:rPr>
            </w:pPr>
            <w:r>
              <w:rPr>
                <w:w w:val="99"/>
                <w:sz w:val="20"/>
              </w:rPr>
              <w:t>1</w:t>
            </w:r>
          </w:p>
        </w:tc>
        <w:tc>
          <w:tcPr>
            <w:tcW w:w="1178" w:type="dxa"/>
            <w:tcBorders>
              <w:top w:val="single" w:sz="4" w:space="0" w:color="000000"/>
              <w:left w:val="single" w:sz="4" w:space="0" w:color="000000"/>
              <w:bottom w:val="single" w:sz="4" w:space="0" w:color="000000"/>
              <w:right w:val="single" w:sz="4" w:space="0" w:color="000000"/>
            </w:tcBorders>
          </w:tcPr>
          <w:p>
            <w:pPr>
              <w:pStyle w:val="TableParagraph"/>
              <w:spacing w:before="43"/>
              <w:ind w:left="136"/>
              <w:rPr>
                <w:sz w:val="20"/>
              </w:rPr>
            </w:pPr>
            <w:r>
              <w:rPr>
                <w:sz w:val="20"/>
              </w:rPr>
              <w:t>24 51.245</w:t>
            </w:r>
          </w:p>
        </w:tc>
        <w:tc>
          <w:tcPr>
            <w:tcW w:w="1157" w:type="dxa"/>
            <w:tcBorders>
              <w:top w:val="single" w:sz="4" w:space="0" w:color="000000"/>
              <w:left w:val="single" w:sz="4" w:space="0" w:color="000000"/>
              <w:bottom w:val="single" w:sz="4" w:space="0" w:color="000000"/>
              <w:right w:val="single" w:sz="4" w:space="0" w:color="000000"/>
            </w:tcBorders>
          </w:tcPr>
          <w:p>
            <w:pPr>
              <w:pStyle w:val="TableParagraph"/>
              <w:spacing w:before="43"/>
              <w:ind w:left="109" w:right="109"/>
              <w:jc w:val="center"/>
              <w:rPr>
                <w:sz w:val="20"/>
              </w:rPr>
            </w:pPr>
            <w:r>
              <w:rPr>
                <w:sz w:val="20"/>
              </w:rPr>
              <w:t>67 11.885</w:t>
            </w:r>
          </w:p>
        </w:tc>
        <w:tc>
          <w:tcPr>
            <w:tcW w:w="2453" w:type="dxa"/>
            <w:tcBorders>
              <w:top w:val="single" w:sz="4" w:space="0" w:color="000000"/>
              <w:left w:val="single" w:sz="4" w:space="0" w:color="000000"/>
              <w:bottom w:val="single" w:sz="4" w:space="0" w:color="000000"/>
              <w:right w:val="single" w:sz="4" w:space="0" w:color="000000"/>
            </w:tcBorders>
          </w:tcPr>
          <w:p>
            <w:pPr>
              <w:pStyle w:val="TableParagraph"/>
              <w:spacing w:before="43"/>
              <w:ind w:left="69"/>
              <w:rPr>
                <w:sz w:val="20"/>
              </w:rPr>
            </w:pPr>
            <w:r>
              <w:rPr>
                <w:sz w:val="20"/>
              </w:rPr>
              <w:t>Akhtar Shah</w:t>
            </w:r>
          </w:p>
        </w:tc>
        <w:tc>
          <w:tcPr>
            <w:tcW w:w="2096" w:type="dxa"/>
            <w:tcBorders>
              <w:top w:val="single" w:sz="4" w:space="0" w:color="000000"/>
              <w:left w:val="single" w:sz="4" w:space="0" w:color="000000"/>
              <w:bottom w:val="single" w:sz="4" w:space="0" w:color="000000"/>
              <w:right w:val="single" w:sz="4" w:space="0" w:color="000000"/>
            </w:tcBorders>
          </w:tcPr>
          <w:p>
            <w:pPr>
              <w:pStyle w:val="TableParagraph"/>
              <w:spacing w:before="43"/>
              <w:ind w:left="67"/>
              <w:rPr>
                <w:sz w:val="20"/>
              </w:rPr>
            </w:pPr>
            <w:r>
              <w:rPr>
                <w:sz w:val="20"/>
              </w:rPr>
              <w:t>Faqeer Shah</w:t>
            </w:r>
          </w:p>
        </w:tc>
        <w:tc>
          <w:tcPr>
            <w:tcW w:w="1817" w:type="dxa"/>
            <w:tcBorders>
              <w:top w:val="single" w:sz="4" w:space="0" w:color="000000"/>
              <w:left w:val="single" w:sz="4" w:space="0" w:color="000000"/>
              <w:bottom w:val="single" w:sz="4" w:space="0" w:color="000000"/>
              <w:right w:val="single" w:sz="4" w:space="0" w:color="000000"/>
            </w:tcBorders>
          </w:tcPr>
          <w:p>
            <w:pPr/>
          </w:p>
        </w:tc>
        <w:tc>
          <w:tcPr>
            <w:tcW w:w="1532" w:type="dxa"/>
            <w:tcBorders>
              <w:top w:val="single" w:sz="4" w:space="0" w:color="000000"/>
              <w:left w:val="single" w:sz="4" w:space="0" w:color="000000"/>
              <w:bottom w:val="single" w:sz="4" w:space="0" w:color="000000"/>
              <w:right w:val="single" w:sz="4" w:space="0" w:color="000000"/>
            </w:tcBorders>
          </w:tcPr>
          <w:p>
            <w:pPr>
              <w:pStyle w:val="TableParagraph"/>
              <w:spacing w:before="43"/>
              <w:ind w:left="433" w:right="436"/>
              <w:jc w:val="center"/>
              <w:rPr>
                <w:sz w:val="20"/>
              </w:rPr>
            </w:pPr>
            <w:r>
              <w:rPr>
                <w:sz w:val="20"/>
              </w:rPr>
              <w:t>16,000</w:t>
            </w:r>
          </w:p>
        </w:tc>
        <w:tc>
          <w:tcPr>
            <w:tcW w:w="1675" w:type="dxa"/>
            <w:tcBorders>
              <w:top w:val="single" w:sz="4" w:space="0" w:color="000000"/>
              <w:left w:val="single" w:sz="4" w:space="0" w:color="000000"/>
              <w:bottom w:val="single" w:sz="4" w:space="0" w:color="000000"/>
            </w:tcBorders>
          </w:tcPr>
          <w:p>
            <w:pPr>
              <w:pStyle w:val="TableParagraph"/>
              <w:spacing w:before="43"/>
              <w:ind w:right="518"/>
              <w:jc w:val="right"/>
              <w:rPr>
                <w:sz w:val="20"/>
              </w:rPr>
            </w:pPr>
            <w:r>
              <w:rPr>
                <w:sz w:val="20"/>
              </w:rPr>
              <w:t>48,000</w:t>
            </w:r>
          </w:p>
        </w:tc>
      </w:tr>
      <w:tr>
        <w:trPr>
          <w:trHeight w:val="300" w:hRule="exact"/>
        </w:trPr>
        <w:tc>
          <w:tcPr>
            <w:tcW w:w="1731" w:type="dxa"/>
            <w:gridSpan w:val="2"/>
            <w:tcBorders>
              <w:top w:val="single" w:sz="4" w:space="0" w:color="000000"/>
              <w:bottom w:val="single" w:sz="4" w:space="0" w:color="000000"/>
              <w:right w:val="single" w:sz="4" w:space="0" w:color="000000"/>
            </w:tcBorders>
          </w:tcPr>
          <w:p>
            <w:pPr/>
          </w:p>
        </w:tc>
        <w:tc>
          <w:tcPr>
            <w:tcW w:w="1178" w:type="dxa"/>
            <w:tcBorders>
              <w:top w:val="single" w:sz="4" w:space="0" w:color="000000"/>
              <w:left w:val="single" w:sz="4" w:space="0" w:color="000000"/>
              <w:bottom w:val="single" w:sz="4" w:space="0" w:color="000000"/>
              <w:right w:val="single" w:sz="4" w:space="0" w:color="000000"/>
            </w:tcBorders>
          </w:tcPr>
          <w:p>
            <w:pPr/>
          </w:p>
        </w:tc>
        <w:tc>
          <w:tcPr>
            <w:tcW w:w="1157" w:type="dxa"/>
            <w:tcBorders>
              <w:top w:val="single" w:sz="4" w:space="0" w:color="000000"/>
              <w:left w:val="single" w:sz="4" w:space="0" w:color="000000"/>
              <w:bottom w:val="single" w:sz="4" w:space="0" w:color="000000"/>
              <w:right w:val="single" w:sz="4" w:space="0" w:color="000000"/>
            </w:tcBorders>
          </w:tcPr>
          <w:p>
            <w:pPr/>
          </w:p>
        </w:tc>
        <w:tc>
          <w:tcPr>
            <w:tcW w:w="2453" w:type="dxa"/>
            <w:tcBorders>
              <w:top w:val="single" w:sz="4" w:space="0" w:color="000000"/>
              <w:left w:val="single" w:sz="4" w:space="0" w:color="000000"/>
              <w:bottom w:val="single" w:sz="4" w:space="0" w:color="000000"/>
              <w:right w:val="single" w:sz="4" w:space="0" w:color="000000"/>
            </w:tcBorders>
          </w:tcPr>
          <w:p>
            <w:pPr/>
          </w:p>
        </w:tc>
        <w:tc>
          <w:tcPr>
            <w:tcW w:w="2096" w:type="dxa"/>
            <w:tcBorders>
              <w:top w:val="single" w:sz="4" w:space="0" w:color="000000"/>
              <w:left w:val="single" w:sz="4" w:space="0" w:color="000000"/>
              <w:bottom w:val="single" w:sz="4" w:space="0" w:color="000000"/>
              <w:right w:val="single" w:sz="4" w:space="0" w:color="000000"/>
            </w:tcBorders>
          </w:tcPr>
          <w:p>
            <w:pPr>
              <w:pStyle w:val="TableParagraph"/>
              <w:spacing w:before="40"/>
              <w:ind w:left="67"/>
              <w:rPr>
                <w:b/>
                <w:sz w:val="20"/>
              </w:rPr>
            </w:pPr>
            <w:r>
              <w:rPr>
                <w:b/>
                <w:sz w:val="20"/>
              </w:rPr>
              <w:t>Sub-total</w:t>
            </w:r>
          </w:p>
        </w:tc>
        <w:tc>
          <w:tcPr>
            <w:tcW w:w="1817" w:type="dxa"/>
            <w:tcBorders>
              <w:top w:val="single" w:sz="4" w:space="0" w:color="000000"/>
              <w:left w:val="single" w:sz="4" w:space="0" w:color="000000"/>
              <w:bottom w:val="single" w:sz="4" w:space="0" w:color="000000"/>
              <w:right w:val="single" w:sz="4" w:space="0" w:color="000000"/>
            </w:tcBorders>
          </w:tcPr>
          <w:p>
            <w:pPr/>
          </w:p>
        </w:tc>
        <w:tc>
          <w:tcPr>
            <w:tcW w:w="1532" w:type="dxa"/>
            <w:tcBorders>
              <w:top w:val="single" w:sz="4" w:space="0" w:color="000000"/>
              <w:left w:val="single" w:sz="4" w:space="0" w:color="000000"/>
              <w:bottom w:val="single" w:sz="4" w:space="0" w:color="000000"/>
              <w:right w:val="single" w:sz="4" w:space="0" w:color="000000"/>
            </w:tcBorders>
          </w:tcPr>
          <w:p>
            <w:pPr/>
          </w:p>
        </w:tc>
        <w:tc>
          <w:tcPr>
            <w:tcW w:w="1675" w:type="dxa"/>
            <w:tcBorders>
              <w:top w:val="single" w:sz="4" w:space="0" w:color="000000"/>
              <w:left w:val="single" w:sz="4" w:space="0" w:color="000000"/>
              <w:bottom w:val="single" w:sz="4" w:space="0" w:color="000000"/>
            </w:tcBorders>
          </w:tcPr>
          <w:p>
            <w:pPr>
              <w:pStyle w:val="TableParagraph"/>
              <w:spacing w:before="40"/>
              <w:ind w:right="494"/>
              <w:jc w:val="right"/>
              <w:rPr>
                <w:b/>
                <w:sz w:val="20"/>
              </w:rPr>
            </w:pPr>
            <w:r>
              <w:rPr>
                <w:b/>
                <w:sz w:val="20"/>
              </w:rPr>
              <w:t>768,000</w:t>
            </w:r>
          </w:p>
        </w:tc>
      </w:tr>
      <w:tr>
        <w:trPr>
          <w:trHeight w:val="301" w:hRule="exact"/>
        </w:trPr>
        <w:tc>
          <w:tcPr>
            <w:tcW w:w="1731" w:type="dxa"/>
            <w:gridSpan w:val="2"/>
            <w:tcBorders>
              <w:top w:val="single" w:sz="4" w:space="0" w:color="000000"/>
              <w:bottom w:val="single" w:sz="4" w:space="0" w:color="000000"/>
              <w:right w:val="single" w:sz="4" w:space="0" w:color="000000"/>
            </w:tcBorders>
          </w:tcPr>
          <w:p>
            <w:pPr>
              <w:pStyle w:val="TableParagraph"/>
              <w:spacing w:before="41"/>
              <w:ind w:left="58"/>
              <w:rPr>
                <w:b/>
                <w:sz w:val="20"/>
              </w:rPr>
            </w:pPr>
            <w:r>
              <w:rPr>
                <w:b/>
                <w:sz w:val="20"/>
              </w:rPr>
              <w:t>Disable Persons</w:t>
            </w:r>
          </w:p>
        </w:tc>
        <w:tc>
          <w:tcPr>
            <w:tcW w:w="1178" w:type="dxa"/>
            <w:tcBorders>
              <w:top w:val="single" w:sz="4" w:space="0" w:color="000000"/>
              <w:left w:val="single" w:sz="4" w:space="0" w:color="000000"/>
              <w:bottom w:val="single" w:sz="4" w:space="0" w:color="000000"/>
              <w:right w:val="single" w:sz="4" w:space="0" w:color="000000"/>
            </w:tcBorders>
          </w:tcPr>
          <w:p>
            <w:pPr/>
          </w:p>
        </w:tc>
        <w:tc>
          <w:tcPr>
            <w:tcW w:w="1157" w:type="dxa"/>
            <w:tcBorders>
              <w:top w:val="single" w:sz="4" w:space="0" w:color="000000"/>
              <w:left w:val="single" w:sz="4" w:space="0" w:color="000000"/>
              <w:bottom w:val="single" w:sz="4" w:space="0" w:color="000000"/>
              <w:right w:val="single" w:sz="4" w:space="0" w:color="000000"/>
            </w:tcBorders>
          </w:tcPr>
          <w:p>
            <w:pPr/>
          </w:p>
        </w:tc>
        <w:tc>
          <w:tcPr>
            <w:tcW w:w="2453" w:type="dxa"/>
            <w:tcBorders>
              <w:top w:val="single" w:sz="4" w:space="0" w:color="000000"/>
              <w:left w:val="single" w:sz="4" w:space="0" w:color="000000"/>
              <w:bottom w:val="single" w:sz="4" w:space="0" w:color="000000"/>
              <w:right w:val="single" w:sz="4" w:space="0" w:color="000000"/>
            </w:tcBorders>
          </w:tcPr>
          <w:p>
            <w:pPr/>
          </w:p>
        </w:tc>
        <w:tc>
          <w:tcPr>
            <w:tcW w:w="2096" w:type="dxa"/>
            <w:tcBorders>
              <w:top w:val="single" w:sz="4" w:space="0" w:color="000000"/>
              <w:left w:val="single" w:sz="4" w:space="0" w:color="000000"/>
              <w:bottom w:val="single" w:sz="4" w:space="0" w:color="000000"/>
              <w:right w:val="single" w:sz="4" w:space="0" w:color="000000"/>
            </w:tcBorders>
          </w:tcPr>
          <w:p>
            <w:pPr/>
          </w:p>
        </w:tc>
        <w:tc>
          <w:tcPr>
            <w:tcW w:w="1817" w:type="dxa"/>
            <w:tcBorders>
              <w:top w:val="single" w:sz="4" w:space="0" w:color="000000"/>
              <w:left w:val="single" w:sz="4" w:space="0" w:color="000000"/>
              <w:bottom w:val="single" w:sz="4" w:space="0" w:color="000000"/>
              <w:right w:val="single" w:sz="4" w:space="0" w:color="000000"/>
            </w:tcBorders>
          </w:tcPr>
          <w:p>
            <w:pPr/>
          </w:p>
        </w:tc>
        <w:tc>
          <w:tcPr>
            <w:tcW w:w="1532" w:type="dxa"/>
            <w:tcBorders>
              <w:top w:val="single" w:sz="4" w:space="0" w:color="000000"/>
              <w:left w:val="single" w:sz="4" w:space="0" w:color="000000"/>
              <w:bottom w:val="single" w:sz="4" w:space="0" w:color="000000"/>
              <w:right w:val="single" w:sz="4" w:space="0" w:color="000000"/>
            </w:tcBorders>
          </w:tcPr>
          <w:p>
            <w:pPr/>
          </w:p>
        </w:tc>
        <w:tc>
          <w:tcPr>
            <w:tcW w:w="1675" w:type="dxa"/>
            <w:tcBorders>
              <w:top w:val="single" w:sz="4" w:space="0" w:color="000000"/>
              <w:left w:val="single" w:sz="4" w:space="0" w:color="000000"/>
              <w:bottom w:val="single" w:sz="4" w:space="0" w:color="000000"/>
            </w:tcBorders>
          </w:tcPr>
          <w:p>
            <w:pPr/>
          </w:p>
        </w:tc>
      </w:tr>
      <w:tr>
        <w:trPr>
          <w:trHeight w:val="300" w:hRule="exact"/>
        </w:trPr>
        <w:tc>
          <w:tcPr>
            <w:tcW w:w="684" w:type="dxa"/>
            <w:tcBorders>
              <w:top w:val="single" w:sz="4" w:space="0" w:color="000000"/>
              <w:bottom w:val="single" w:sz="4" w:space="0" w:color="000000"/>
              <w:right w:val="single" w:sz="4" w:space="0" w:color="000000"/>
            </w:tcBorders>
          </w:tcPr>
          <w:p>
            <w:pPr>
              <w:pStyle w:val="TableParagraph"/>
              <w:spacing w:before="40"/>
              <w:ind w:left="216"/>
              <w:rPr>
                <w:sz w:val="20"/>
              </w:rPr>
            </w:pPr>
            <w:r>
              <w:rPr>
                <w:sz w:val="20"/>
              </w:rPr>
              <w:t>18</w:t>
            </w:r>
          </w:p>
        </w:tc>
        <w:tc>
          <w:tcPr>
            <w:tcW w:w="1046" w:type="dxa"/>
            <w:tcBorders>
              <w:top w:val="single" w:sz="4" w:space="0" w:color="000000"/>
              <w:left w:val="single" w:sz="4" w:space="0" w:color="000000"/>
              <w:bottom w:val="single" w:sz="4" w:space="0" w:color="000000"/>
              <w:right w:val="single" w:sz="4" w:space="0" w:color="000000"/>
            </w:tcBorders>
          </w:tcPr>
          <w:p>
            <w:pPr>
              <w:pStyle w:val="TableParagraph"/>
              <w:spacing w:before="40"/>
              <w:jc w:val="center"/>
              <w:rPr>
                <w:sz w:val="20"/>
              </w:rPr>
            </w:pPr>
            <w:r>
              <w:rPr>
                <w:w w:val="99"/>
                <w:sz w:val="20"/>
              </w:rPr>
              <w:t>2</w:t>
            </w:r>
          </w:p>
        </w:tc>
        <w:tc>
          <w:tcPr>
            <w:tcW w:w="1178" w:type="dxa"/>
            <w:tcBorders>
              <w:top w:val="single" w:sz="4" w:space="0" w:color="000000"/>
              <w:left w:val="single" w:sz="4" w:space="0" w:color="000000"/>
              <w:bottom w:val="single" w:sz="4" w:space="0" w:color="000000"/>
              <w:right w:val="single" w:sz="4" w:space="0" w:color="000000"/>
            </w:tcBorders>
          </w:tcPr>
          <w:p>
            <w:pPr>
              <w:pStyle w:val="TableParagraph"/>
              <w:spacing w:before="40"/>
              <w:ind w:left="136"/>
              <w:rPr>
                <w:sz w:val="20"/>
              </w:rPr>
            </w:pPr>
            <w:r>
              <w:rPr>
                <w:sz w:val="20"/>
              </w:rPr>
              <w:t>24 50.139</w:t>
            </w:r>
          </w:p>
        </w:tc>
        <w:tc>
          <w:tcPr>
            <w:tcW w:w="1157" w:type="dxa"/>
            <w:tcBorders>
              <w:top w:val="single" w:sz="4" w:space="0" w:color="000000"/>
              <w:left w:val="single" w:sz="4" w:space="0" w:color="000000"/>
              <w:bottom w:val="single" w:sz="4" w:space="0" w:color="000000"/>
              <w:right w:val="single" w:sz="4" w:space="0" w:color="000000"/>
            </w:tcBorders>
          </w:tcPr>
          <w:p>
            <w:pPr>
              <w:pStyle w:val="TableParagraph"/>
              <w:spacing w:before="40"/>
              <w:ind w:left="109" w:right="109"/>
              <w:jc w:val="center"/>
              <w:rPr>
                <w:sz w:val="20"/>
              </w:rPr>
            </w:pPr>
            <w:r>
              <w:rPr>
                <w:sz w:val="20"/>
              </w:rPr>
              <w:t>67 06.353</w:t>
            </w:r>
          </w:p>
        </w:tc>
        <w:tc>
          <w:tcPr>
            <w:tcW w:w="2453" w:type="dxa"/>
            <w:tcBorders>
              <w:top w:val="single" w:sz="4" w:space="0" w:color="000000"/>
              <w:left w:val="single" w:sz="4" w:space="0" w:color="000000"/>
              <w:bottom w:val="single" w:sz="4" w:space="0" w:color="000000"/>
              <w:right w:val="single" w:sz="4" w:space="0" w:color="000000"/>
            </w:tcBorders>
          </w:tcPr>
          <w:p>
            <w:pPr>
              <w:pStyle w:val="TableParagraph"/>
              <w:spacing w:before="40"/>
              <w:ind w:left="69"/>
              <w:rPr>
                <w:sz w:val="20"/>
              </w:rPr>
            </w:pPr>
            <w:r>
              <w:rPr>
                <w:sz w:val="20"/>
              </w:rPr>
              <w:t>Dilawar khan</w:t>
            </w:r>
          </w:p>
        </w:tc>
        <w:tc>
          <w:tcPr>
            <w:tcW w:w="2096" w:type="dxa"/>
            <w:tcBorders>
              <w:top w:val="single" w:sz="4" w:space="0" w:color="000000"/>
              <w:left w:val="single" w:sz="4" w:space="0" w:color="000000"/>
              <w:bottom w:val="single" w:sz="4" w:space="0" w:color="000000"/>
              <w:right w:val="single" w:sz="4" w:space="0" w:color="000000"/>
            </w:tcBorders>
          </w:tcPr>
          <w:p>
            <w:pPr>
              <w:pStyle w:val="TableParagraph"/>
              <w:spacing w:before="40"/>
              <w:ind w:left="67"/>
              <w:rPr>
                <w:sz w:val="20"/>
              </w:rPr>
            </w:pPr>
            <w:r>
              <w:rPr>
                <w:sz w:val="20"/>
              </w:rPr>
              <w:t>Juma khan</w:t>
            </w:r>
          </w:p>
        </w:tc>
        <w:tc>
          <w:tcPr>
            <w:tcW w:w="1817" w:type="dxa"/>
            <w:tcBorders>
              <w:top w:val="single" w:sz="4" w:space="0" w:color="000000"/>
              <w:left w:val="single" w:sz="4" w:space="0" w:color="000000"/>
              <w:bottom w:val="single" w:sz="4" w:space="0" w:color="000000"/>
              <w:right w:val="single" w:sz="4" w:space="0" w:color="000000"/>
            </w:tcBorders>
          </w:tcPr>
          <w:p>
            <w:pPr>
              <w:pStyle w:val="TableParagraph"/>
              <w:spacing w:before="40"/>
              <w:ind w:right="115"/>
              <w:jc w:val="right"/>
              <w:rPr>
                <w:sz w:val="20"/>
              </w:rPr>
            </w:pPr>
            <w:r>
              <w:rPr>
                <w:w w:val="95"/>
                <w:sz w:val="20"/>
              </w:rPr>
              <w:t>43103-3653370-1</w:t>
            </w:r>
          </w:p>
        </w:tc>
        <w:tc>
          <w:tcPr>
            <w:tcW w:w="1532" w:type="dxa"/>
            <w:tcBorders>
              <w:top w:val="single" w:sz="4" w:space="0" w:color="000000"/>
              <w:left w:val="single" w:sz="4" w:space="0" w:color="000000"/>
              <w:bottom w:val="single" w:sz="4" w:space="0" w:color="000000"/>
              <w:right w:val="single" w:sz="4" w:space="0" w:color="000000"/>
            </w:tcBorders>
          </w:tcPr>
          <w:p>
            <w:pPr>
              <w:pStyle w:val="TableParagraph"/>
              <w:spacing w:before="40"/>
              <w:ind w:left="433" w:right="436"/>
              <w:jc w:val="center"/>
              <w:rPr>
                <w:sz w:val="20"/>
              </w:rPr>
            </w:pPr>
            <w:r>
              <w:rPr>
                <w:sz w:val="20"/>
              </w:rPr>
              <w:t>18,000</w:t>
            </w:r>
          </w:p>
        </w:tc>
        <w:tc>
          <w:tcPr>
            <w:tcW w:w="1675" w:type="dxa"/>
            <w:tcBorders>
              <w:top w:val="single" w:sz="4" w:space="0" w:color="000000"/>
              <w:left w:val="single" w:sz="4" w:space="0" w:color="000000"/>
              <w:bottom w:val="single" w:sz="4" w:space="0" w:color="000000"/>
            </w:tcBorders>
          </w:tcPr>
          <w:p>
            <w:pPr>
              <w:pStyle w:val="TableParagraph"/>
              <w:spacing w:before="40"/>
              <w:ind w:right="518"/>
              <w:jc w:val="right"/>
              <w:rPr>
                <w:sz w:val="20"/>
              </w:rPr>
            </w:pPr>
            <w:r>
              <w:rPr>
                <w:sz w:val="20"/>
              </w:rPr>
              <w:t>48,000</w:t>
            </w:r>
          </w:p>
        </w:tc>
      </w:tr>
      <w:tr>
        <w:trPr>
          <w:trHeight w:val="300" w:hRule="exact"/>
        </w:trPr>
        <w:tc>
          <w:tcPr>
            <w:tcW w:w="684" w:type="dxa"/>
            <w:tcBorders>
              <w:top w:val="single" w:sz="4" w:space="0" w:color="000000"/>
              <w:bottom w:val="single" w:sz="4" w:space="0" w:color="000000"/>
              <w:right w:val="single" w:sz="4" w:space="0" w:color="000000"/>
            </w:tcBorders>
          </w:tcPr>
          <w:p>
            <w:pPr>
              <w:pStyle w:val="TableParagraph"/>
              <w:spacing w:before="40"/>
              <w:ind w:left="216"/>
              <w:rPr>
                <w:sz w:val="20"/>
              </w:rPr>
            </w:pPr>
            <w:r>
              <w:rPr>
                <w:sz w:val="20"/>
              </w:rPr>
              <w:t>73</w:t>
            </w:r>
          </w:p>
        </w:tc>
        <w:tc>
          <w:tcPr>
            <w:tcW w:w="1046" w:type="dxa"/>
            <w:tcBorders>
              <w:top w:val="single" w:sz="4" w:space="0" w:color="000000"/>
              <w:left w:val="single" w:sz="4" w:space="0" w:color="000000"/>
              <w:bottom w:val="single" w:sz="4" w:space="0" w:color="000000"/>
              <w:right w:val="single" w:sz="4" w:space="0" w:color="000000"/>
            </w:tcBorders>
          </w:tcPr>
          <w:p>
            <w:pPr>
              <w:pStyle w:val="TableParagraph"/>
              <w:spacing w:before="40"/>
              <w:jc w:val="center"/>
              <w:rPr>
                <w:sz w:val="20"/>
              </w:rPr>
            </w:pPr>
            <w:r>
              <w:rPr>
                <w:w w:val="99"/>
                <w:sz w:val="20"/>
              </w:rPr>
              <w:t>5</w:t>
            </w:r>
          </w:p>
        </w:tc>
        <w:tc>
          <w:tcPr>
            <w:tcW w:w="1178" w:type="dxa"/>
            <w:tcBorders>
              <w:top w:val="single" w:sz="4" w:space="0" w:color="000000"/>
              <w:left w:val="single" w:sz="4" w:space="0" w:color="000000"/>
              <w:bottom w:val="single" w:sz="4" w:space="0" w:color="000000"/>
              <w:right w:val="single" w:sz="4" w:space="0" w:color="000000"/>
            </w:tcBorders>
          </w:tcPr>
          <w:p>
            <w:pPr>
              <w:pStyle w:val="TableParagraph"/>
              <w:spacing w:before="40"/>
              <w:ind w:left="136"/>
              <w:rPr>
                <w:sz w:val="20"/>
              </w:rPr>
            </w:pPr>
            <w:r>
              <w:rPr>
                <w:sz w:val="20"/>
              </w:rPr>
              <w:t>24 50.916</w:t>
            </w:r>
          </w:p>
        </w:tc>
        <w:tc>
          <w:tcPr>
            <w:tcW w:w="1157" w:type="dxa"/>
            <w:tcBorders>
              <w:top w:val="single" w:sz="4" w:space="0" w:color="000000"/>
              <w:left w:val="single" w:sz="4" w:space="0" w:color="000000"/>
              <w:bottom w:val="single" w:sz="4" w:space="0" w:color="000000"/>
              <w:right w:val="single" w:sz="4" w:space="0" w:color="000000"/>
            </w:tcBorders>
          </w:tcPr>
          <w:p>
            <w:pPr>
              <w:pStyle w:val="TableParagraph"/>
              <w:spacing w:before="40"/>
              <w:ind w:left="109" w:right="109"/>
              <w:jc w:val="center"/>
              <w:rPr>
                <w:sz w:val="20"/>
              </w:rPr>
            </w:pPr>
            <w:r>
              <w:rPr>
                <w:sz w:val="20"/>
              </w:rPr>
              <w:t>67 03.236</w:t>
            </w:r>
          </w:p>
        </w:tc>
        <w:tc>
          <w:tcPr>
            <w:tcW w:w="2453" w:type="dxa"/>
            <w:tcBorders>
              <w:top w:val="single" w:sz="4" w:space="0" w:color="000000"/>
              <w:left w:val="single" w:sz="4" w:space="0" w:color="000000"/>
              <w:bottom w:val="single" w:sz="4" w:space="0" w:color="000000"/>
              <w:right w:val="single" w:sz="4" w:space="0" w:color="000000"/>
            </w:tcBorders>
          </w:tcPr>
          <w:p>
            <w:pPr>
              <w:pStyle w:val="TableParagraph"/>
              <w:spacing w:before="40"/>
              <w:ind w:left="69"/>
              <w:rPr>
                <w:sz w:val="20"/>
              </w:rPr>
            </w:pPr>
            <w:r>
              <w:rPr>
                <w:sz w:val="20"/>
              </w:rPr>
              <w:t>Rashid Ahmed</w:t>
            </w:r>
          </w:p>
        </w:tc>
        <w:tc>
          <w:tcPr>
            <w:tcW w:w="2096" w:type="dxa"/>
            <w:tcBorders>
              <w:top w:val="single" w:sz="4" w:space="0" w:color="000000"/>
              <w:left w:val="single" w:sz="4" w:space="0" w:color="000000"/>
              <w:bottom w:val="single" w:sz="4" w:space="0" w:color="000000"/>
              <w:right w:val="single" w:sz="4" w:space="0" w:color="000000"/>
            </w:tcBorders>
          </w:tcPr>
          <w:p>
            <w:pPr>
              <w:pStyle w:val="TableParagraph"/>
              <w:spacing w:before="40"/>
              <w:ind w:left="67"/>
              <w:rPr>
                <w:sz w:val="20"/>
              </w:rPr>
            </w:pPr>
            <w:r>
              <w:rPr>
                <w:sz w:val="20"/>
              </w:rPr>
              <w:t>Muhammad Aslam</w:t>
            </w:r>
          </w:p>
        </w:tc>
        <w:tc>
          <w:tcPr>
            <w:tcW w:w="1817" w:type="dxa"/>
            <w:tcBorders>
              <w:top w:val="single" w:sz="4" w:space="0" w:color="000000"/>
              <w:left w:val="single" w:sz="4" w:space="0" w:color="000000"/>
              <w:bottom w:val="single" w:sz="4" w:space="0" w:color="000000"/>
              <w:right w:val="single" w:sz="4" w:space="0" w:color="000000"/>
            </w:tcBorders>
          </w:tcPr>
          <w:p>
            <w:pPr>
              <w:pStyle w:val="TableParagraph"/>
              <w:spacing w:before="40"/>
              <w:ind w:right="170"/>
              <w:jc w:val="right"/>
              <w:rPr>
                <w:sz w:val="20"/>
              </w:rPr>
            </w:pPr>
            <w:r>
              <w:rPr>
                <w:w w:val="95"/>
                <w:sz w:val="20"/>
              </w:rPr>
              <w:t>42301-224362-1</w:t>
            </w:r>
          </w:p>
        </w:tc>
        <w:tc>
          <w:tcPr>
            <w:tcW w:w="1532" w:type="dxa"/>
            <w:tcBorders>
              <w:top w:val="single" w:sz="4" w:space="0" w:color="000000"/>
              <w:left w:val="single" w:sz="4" w:space="0" w:color="000000"/>
              <w:bottom w:val="single" w:sz="4" w:space="0" w:color="000000"/>
              <w:right w:val="single" w:sz="4" w:space="0" w:color="000000"/>
            </w:tcBorders>
          </w:tcPr>
          <w:p>
            <w:pPr>
              <w:pStyle w:val="TableParagraph"/>
              <w:spacing w:before="40"/>
              <w:ind w:left="433" w:right="436"/>
              <w:jc w:val="center"/>
              <w:rPr>
                <w:sz w:val="20"/>
              </w:rPr>
            </w:pPr>
            <w:r>
              <w:rPr>
                <w:sz w:val="20"/>
              </w:rPr>
              <w:t>20,000</w:t>
            </w:r>
          </w:p>
        </w:tc>
        <w:tc>
          <w:tcPr>
            <w:tcW w:w="1675" w:type="dxa"/>
            <w:tcBorders>
              <w:top w:val="single" w:sz="4" w:space="0" w:color="000000"/>
              <w:left w:val="single" w:sz="4" w:space="0" w:color="000000"/>
              <w:bottom w:val="single" w:sz="4" w:space="0" w:color="000000"/>
            </w:tcBorders>
          </w:tcPr>
          <w:p>
            <w:pPr>
              <w:pStyle w:val="TableParagraph"/>
              <w:spacing w:before="40"/>
              <w:ind w:right="518"/>
              <w:jc w:val="right"/>
              <w:rPr>
                <w:sz w:val="20"/>
              </w:rPr>
            </w:pPr>
            <w:r>
              <w:rPr>
                <w:sz w:val="20"/>
              </w:rPr>
              <w:t>48,000</w:t>
            </w:r>
          </w:p>
        </w:tc>
      </w:tr>
      <w:tr>
        <w:trPr>
          <w:trHeight w:val="300" w:hRule="exact"/>
        </w:trPr>
        <w:tc>
          <w:tcPr>
            <w:tcW w:w="684" w:type="dxa"/>
            <w:tcBorders>
              <w:top w:val="single" w:sz="4" w:space="0" w:color="000000"/>
              <w:bottom w:val="single" w:sz="4" w:space="0" w:color="000000"/>
              <w:right w:val="single" w:sz="4" w:space="0" w:color="000000"/>
            </w:tcBorders>
          </w:tcPr>
          <w:p>
            <w:pPr>
              <w:pStyle w:val="TableParagraph"/>
              <w:spacing w:before="40"/>
              <w:ind w:left="216"/>
              <w:rPr>
                <w:sz w:val="20"/>
              </w:rPr>
            </w:pPr>
            <w:r>
              <w:rPr>
                <w:sz w:val="20"/>
              </w:rPr>
              <w:t>91</w:t>
            </w:r>
          </w:p>
        </w:tc>
        <w:tc>
          <w:tcPr>
            <w:tcW w:w="1046" w:type="dxa"/>
            <w:tcBorders>
              <w:top w:val="single" w:sz="4" w:space="0" w:color="000000"/>
              <w:left w:val="single" w:sz="4" w:space="0" w:color="000000"/>
              <w:bottom w:val="single" w:sz="4" w:space="0" w:color="000000"/>
              <w:right w:val="single" w:sz="4" w:space="0" w:color="000000"/>
            </w:tcBorders>
          </w:tcPr>
          <w:p>
            <w:pPr>
              <w:pStyle w:val="TableParagraph"/>
              <w:spacing w:before="40"/>
              <w:jc w:val="center"/>
              <w:rPr>
                <w:sz w:val="20"/>
              </w:rPr>
            </w:pPr>
            <w:r>
              <w:rPr>
                <w:w w:val="99"/>
                <w:sz w:val="20"/>
              </w:rPr>
              <w:t>1</w:t>
            </w:r>
          </w:p>
        </w:tc>
        <w:tc>
          <w:tcPr>
            <w:tcW w:w="1178" w:type="dxa"/>
            <w:tcBorders>
              <w:top w:val="single" w:sz="4" w:space="0" w:color="000000"/>
              <w:left w:val="single" w:sz="4" w:space="0" w:color="000000"/>
              <w:bottom w:val="single" w:sz="4" w:space="0" w:color="000000"/>
              <w:right w:val="single" w:sz="4" w:space="0" w:color="000000"/>
            </w:tcBorders>
          </w:tcPr>
          <w:p>
            <w:pPr>
              <w:pStyle w:val="TableParagraph"/>
              <w:spacing w:before="40"/>
              <w:ind w:left="136"/>
              <w:rPr>
                <w:sz w:val="20"/>
              </w:rPr>
            </w:pPr>
            <w:r>
              <w:rPr>
                <w:sz w:val="20"/>
              </w:rPr>
              <w:t>24 51.245</w:t>
            </w:r>
          </w:p>
        </w:tc>
        <w:tc>
          <w:tcPr>
            <w:tcW w:w="1157" w:type="dxa"/>
            <w:tcBorders>
              <w:top w:val="single" w:sz="4" w:space="0" w:color="000000"/>
              <w:left w:val="single" w:sz="4" w:space="0" w:color="000000"/>
              <w:bottom w:val="single" w:sz="4" w:space="0" w:color="000000"/>
              <w:right w:val="single" w:sz="4" w:space="0" w:color="000000"/>
            </w:tcBorders>
          </w:tcPr>
          <w:p>
            <w:pPr>
              <w:pStyle w:val="TableParagraph"/>
              <w:spacing w:before="40"/>
              <w:ind w:left="109" w:right="109"/>
              <w:jc w:val="center"/>
              <w:rPr>
                <w:sz w:val="20"/>
              </w:rPr>
            </w:pPr>
            <w:r>
              <w:rPr>
                <w:sz w:val="20"/>
              </w:rPr>
              <w:t>67 11.885</w:t>
            </w:r>
          </w:p>
        </w:tc>
        <w:tc>
          <w:tcPr>
            <w:tcW w:w="2453" w:type="dxa"/>
            <w:tcBorders>
              <w:top w:val="single" w:sz="4" w:space="0" w:color="000000"/>
              <w:left w:val="single" w:sz="4" w:space="0" w:color="000000"/>
              <w:bottom w:val="single" w:sz="4" w:space="0" w:color="000000"/>
              <w:right w:val="single" w:sz="4" w:space="0" w:color="000000"/>
            </w:tcBorders>
          </w:tcPr>
          <w:p>
            <w:pPr>
              <w:pStyle w:val="TableParagraph"/>
              <w:spacing w:before="40"/>
              <w:ind w:left="69"/>
              <w:rPr>
                <w:sz w:val="20"/>
              </w:rPr>
            </w:pPr>
            <w:r>
              <w:rPr>
                <w:sz w:val="20"/>
              </w:rPr>
              <w:t>Akhtar Shah</w:t>
            </w:r>
          </w:p>
        </w:tc>
        <w:tc>
          <w:tcPr>
            <w:tcW w:w="2096" w:type="dxa"/>
            <w:tcBorders>
              <w:top w:val="single" w:sz="4" w:space="0" w:color="000000"/>
              <w:left w:val="single" w:sz="4" w:space="0" w:color="000000"/>
              <w:bottom w:val="single" w:sz="4" w:space="0" w:color="000000"/>
              <w:right w:val="single" w:sz="4" w:space="0" w:color="000000"/>
            </w:tcBorders>
          </w:tcPr>
          <w:p>
            <w:pPr>
              <w:pStyle w:val="TableParagraph"/>
              <w:spacing w:before="40"/>
              <w:ind w:left="67"/>
              <w:rPr>
                <w:sz w:val="20"/>
              </w:rPr>
            </w:pPr>
            <w:r>
              <w:rPr>
                <w:sz w:val="20"/>
              </w:rPr>
              <w:t>Faqeer Shah</w:t>
            </w:r>
          </w:p>
        </w:tc>
        <w:tc>
          <w:tcPr>
            <w:tcW w:w="1817" w:type="dxa"/>
            <w:tcBorders>
              <w:top w:val="single" w:sz="4" w:space="0" w:color="000000"/>
              <w:left w:val="single" w:sz="4" w:space="0" w:color="000000"/>
              <w:bottom w:val="single" w:sz="4" w:space="0" w:color="000000"/>
              <w:right w:val="single" w:sz="4" w:space="0" w:color="000000"/>
            </w:tcBorders>
          </w:tcPr>
          <w:p>
            <w:pPr/>
          </w:p>
        </w:tc>
        <w:tc>
          <w:tcPr>
            <w:tcW w:w="1532" w:type="dxa"/>
            <w:tcBorders>
              <w:top w:val="single" w:sz="4" w:space="0" w:color="000000"/>
              <w:left w:val="single" w:sz="4" w:space="0" w:color="000000"/>
              <w:bottom w:val="single" w:sz="4" w:space="0" w:color="000000"/>
              <w:right w:val="single" w:sz="4" w:space="0" w:color="000000"/>
            </w:tcBorders>
          </w:tcPr>
          <w:p>
            <w:pPr>
              <w:pStyle w:val="TableParagraph"/>
              <w:spacing w:before="40"/>
              <w:ind w:left="433" w:right="436"/>
              <w:jc w:val="center"/>
              <w:rPr>
                <w:sz w:val="20"/>
              </w:rPr>
            </w:pPr>
            <w:r>
              <w:rPr>
                <w:sz w:val="20"/>
              </w:rPr>
              <w:t>16,000</w:t>
            </w:r>
          </w:p>
        </w:tc>
        <w:tc>
          <w:tcPr>
            <w:tcW w:w="1675" w:type="dxa"/>
            <w:tcBorders>
              <w:top w:val="single" w:sz="4" w:space="0" w:color="000000"/>
              <w:left w:val="single" w:sz="4" w:space="0" w:color="000000"/>
              <w:bottom w:val="single" w:sz="4" w:space="0" w:color="000000"/>
            </w:tcBorders>
          </w:tcPr>
          <w:p>
            <w:pPr>
              <w:pStyle w:val="TableParagraph"/>
              <w:spacing w:before="40"/>
              <w:ind w:right="518"/>
              <w:jc w:val="right"/>
              <w:rPr>
                <w:sz w:val="20"/>
              </w:rPr>
            </w:pPr>
            <w:r>
              <w:rPr>
                <w:sz w:val="20"/>
              </w:rPr>
              <w:t>48,000</w:t>
            </w:r>
          </w:p>
        </w:tc>
      </w:tr>
      <w:tr>
        <w:trPr>
          <w:trHeight w:val="300" w:hRule="exact"/>
        </w:trPr>
        <w:tc>
          <w:tcPr>
            <w:tcW w:w="684" w:type="dxa"/>
            <w:tcBorders>
              <w:top w:val="single" w:sz="4" w:space="0" w:color="000000"/>
              <w:bottom w:val="single" w:sz="4" w:space="0" w:color="000000"/>
              <w:right w:val="single" w:sz="4" w:space="0" w:color="000000"/>
            </w:tcBorders>
          </w:tcPr>
          <w:p>
            <w:pPr/>
          </w:p>
        </w:tc>
        <w:tc>
          <w:tcPr>
            <w:tcW w:w="1046" w:type="dxa"/>
            <w:tcBorders>
              <w:top w:val="single" w:sz="4" w:space="0" w:color="000000"/>
              <w:left w:val="single" w:sz="4" w:space="0" w:color="000000"/>
              <w:bottom w:val="single" w:sz="4" w:space="0" w:color="000000"/>
              <w:right w:val="single" w:sz="4" w:space="0" w:color="000000"/>
            </w:tcBorders>
          </w:tcPr>
          <w:p>
            <w:pPr/>
          </w:p>
        </w:tc>
        <w:tc>
          <w:tcPr>
            <w:tcW w:w="1178" w:type="dxa"/>
            <w:tcBorders>
              <w:top w:val="single" w:sz="4" w:space="0" w:color="000000"/>
              <w:left w:val="single" w:sz="4" w:space="0" w:color="000000"/>
              <w:bottom w:val="single" w:sz="4" w:space="0" w:color="000000"/>
              <w:right w:val="single" w:sz="4" w:space="0" w:color="000000"/>
            </w:tcBorders>
          </w:tcPr>
          <w:p>
            <w:pPr/>
          </w:p>
        </w:tc>
        <w:tc>
          <w:tcPr>
            <w:tcW w:w="1157" w:type="dxa"/>
            <w:tcBorders>
              <w:top w:val="single" w:sz="4" w:space="0" w:color="000000"/>
              <w:left w:val="single" w:sz="4" w:space="0" w:color="000000"/>
              <w:bottom w:val="single" w:sz="4" w:space="0" w:color="000000"/>
              <w:right w:val="single" w:sz="4" w:space="0" w:color="000000"/>
            </w:tcBorders>
          </w:tcPr>
          <w:p>
            <w:pPr/>
          </w:p>
        </w:tc>
        <w:tc>
          <w:tcPr>
            <w:tcW w:w="2453" w:type="dxa"/>
            <w:tcBorders>
              <w:top w:val="single" w:sz="4" w:space="0" w:color="000000"/>
              <w:left w:val="single" w:sz="4" w:space="0" w:color="000000"/>
              <w:bottom w:val="single" w:sz="4" w:space="0" w:color="000000"/>
              <w:right w:val="single" w:sz="4" w:space="0" w:color="000000"/>
            </w:tcBorders>
          </w:tcPr>
          <w:p>
            <w:pPr/>
          </w:p>
        </w:tc>
        <w:tc>
          <w:tcPr>
            <w:tcW w:w="2096" w:type="dxa"/>
            <w:tcBorders>
              <w:top w:val="single" w:sz="4" w:space="0" w:color="000000"/>
              <w:left w:val="single" w:sz="4" w:space="0" w:color="000000"/>
              <w:bottom w:val="single" w:sz="4" w:space="0" w:color="000000"/>
              <w:right w:val="single" w:sz="4" w:space="0" w:color="000000"/>
            </w:tcBorders>
          </w:tcPr>
          <w:p>
            <w:pPr>
              <w:pStyle w:val="TableParagraph"/>
              <w:spacing w:before="40"/>
              <w:ind w:left="67"/>
              <w:rPr>
                <w:b/>
                <w:sz w:val="20"/>
              </w:rPr>
            </w:pPr>
            <w:r>
              <w:rPr>
                <w:b/>
                <w:sz w:val="20"/>
              </w:rPr>
              <w:t>Sub-total</w:t>
            </w:r>
          </w:p>
        </w:tc>
        <w:tc>
          <w:tcPr>
            <w:tcW w:w="1817" w:type="dxa"/>
            <w:tcBorders>
              <w:top w:val="single" w:sz="4" w:space="0" w:color="000000"/>
              <w:left w:val="single" w:sz="4" w:space="0" w:color="000000"/>
              <w:bottom w:val="single" w:sz="4" w:space="0" w:color="000000"/>
              <w:right w:val="single" w:sz="4" w:space="0" w:color="000000"/>
            </w:tcBorders>
          </w:tcPr>
          <w:p>
            <w:pPr/>
          </w:p>
        </w:tc>
        <w:tc>
          <w:tcPr>
            <w:tcW w:w="1532" w:type="dxa"/>
            <w:tcBorders>
              <w:top w:val="single" w:sz="4" w:space="0" w:color="000000"/>
              <w:left w:val="single" w:sz="4" w:space="0" w:color="000000"/>
              <w:bottom w:val="single" w:sz="4" w:space="0" w:color="000000"/>
              <w:right w:val="single" w:sz="4" w:space="0" w:color="000000"/>
            </w:tcBorders>
            <w:shd w:val="clear" w:color="auto" w:fill="D9D9D9"/>
          </w:tcPr>
          <w:p>
            <w:pPr/>
          </w:p>
        </w:tc>
        <w:tc>
          <w:tcPr>
            <w:tcW w:w="1675" w:type="dxa"/>
            <w:tcBorders>
              <w:top w:val="single" w:sz="4" w:space="0" w:color="000000"/>
              <w:left w:val="single" w:sz="4" w:space="0" w:color="000000"/>
              <w:bottom w:val="single" w:sz="4" w:space="0" w:color="000000"/>
            </w:tcBorders>
            <w:shd w:val="clear" w:color="auto" w:fill="D9D9D9"/>
          </w:tcPr>
          <w:p>
            <w:pPr>
              <w:pStyle w:val="TableParagraph"/>
              <w:spacing w:before="40"/>
              <w:ind w:right="463"/>
              <w:jc w:val="right"/>
              <w:rPr>
                <w:b/>
                <w:sz w:val="20"/>
              </w:rPr>
            </w:pPr>
            <w:r>
              <w:rPr>
                <w:b/>
                <w:sz w:val="20"/>
              </w:rPr>
              <w:t>144,000</w:t>
            </w:r>
          </w:p>
        </w:tc>
      </w:tr>
      <w:tr>
        <w:trPr>
          <w:trHeight w:val="310" w:hRule="exact"/>
        </w:trPr>
        <w:tc>
          <w:tcPr>
            <w:tcW w:w="684" w:type="dxa"/>
            <w:tcBorders>
              <w:top w:val="single" w:sz="4" w:space="0" w:color="000000"/>
              <w:right w:val="single" w:sz="4" w:space="0" w:color="000000"/>
            </w:tcBorders>
          </w:tcPr>
          <w:p>
            <w:pPr/>
          </w:p>
        </w:tc>
        <w:tc>
          <w:tcPr>
            <w:tcW w:w="1046" w:type="dxa"/>
            <w:tcBorders>
              <w:top w:val="single" w:sz="4" w:space="0" w:color="000000"/>
              <w:left w:val="single" w:sz="4" w:space="0" w:color="000000"/>
              <w:right w:val="single" w:sz="4" w:space="0" w:color="000000"/>
            </w:tcBorders>
          </w:tcPr>
          <w:p>
            <w:pPr/>
          </w:p>
        </w:tc>
        <w:tc>
          <w:tcPr>
            <w:tcW w:w="1178" w:type="dxa"/>
            <w:tcBorders>
              <w:top w:val="single" w:sz="4" w:space="0" w:color="000000"/>
              <w:left w:val="single" w:sz="4" w:space="0" w:color="000000"/>
              <w:right w:val="single" w:sz="4" w:space="0" w:color="000000"/>
            </w:tcBorders>
          </w:tcPr>
          <w:p>
            <w:pPr/>
          </w:p>
        </w:tc>
        <w:tc>
          <w:tcPr>
            <w:tcW w:w="1157" w:type="dxa"/>
            <w:tcBorders>
              <w:top w:val="single" w:sz="4" w:space="0" w:color="000000"/>
              <w:left w:val="single" w:sz="4" w:space="0" w:color="000000"/>
              <w:right w:val="single" w:sz="4" w:space="0" w:color="000000"/>
            </w:tcBorders>
          </w:tcPr>
          <w:p>
            <w:pPr/>
          </w:p>
        </w:tc>
        <w:tc>
          <w:tcPr>
            <w:tcW w:w="2453" w:type="dxa"/>
            <w:tcBorders>
              <w:top w:val="single" w:sz="4" w:space="0" w:color="000000"/>
              <w:left w:val="single" w:sz="4" w:space="0" w:color="000000"/>
              <w:right w:val="single" w:sz="4" w:space="0" w:color="000000"/>
            </w:tcBorders>
          </w:tcPr>
          <w:p>
            <w:pPr/>
          </w:p>
        </w:tc>
        <w:tc>
          <w:tcPr>
            <w:tcW w:w="2096" w:type="dxa"/>
            <w:tcBorders>
              <w:top w:val="single" w:sz="4" w:space="0" w:color="000000"/>
              <w:left w:val="single" w:sz="4" w:space="0" w:color="000000"/>
              <w:right w:val="single" w:sz="4" w:space="0" w:color="000000"/>
            </w:tcBorders>
          </w:tcPr>
          <w:p>
            <w:pPr>
              <w:pStyle w:val="TableParagraph"/>
              <w:spacing w:before="40"/>
              <w:ind w:left="67"/>
              <w:rPr>
                <w:b/>
                <w:sz w:val="20"/>
              </w:rPr>
            </w:pPr>
            <w:r>
              <w:rPr>
                <w:b/>
                <w:sz w:val="20"/>
              </w:rPr>
              <w:t>Total</w:t>
            </w:r>
          </w:p>
        </w:tc>
        <w:tc>
          <w:tcPr>
            <w:tcW w:w="1817" w:type="dxa"/>
            <w:tcBorders>
              <w:top w:val="single" w:sz="4" w:space="0" w:color="000000"/>
              <w:left w:val="single" w:sz="4" w:space="0" w:color="000000"/>
              <w:right w:val="single" w:sz="4" w:space="0" w:color="000000"/>
            </w:tcBorders>
          </w:tcPr>
          <w:p>
            <w:pPr/>
          </w:p>
        </w:tc>
        <w:tc>
          <w:tcPr>
            <w:tcW w:w="1532" w:type="dxa"/>
            <w:tcBorders>
              <w:top w:val="single" w:sz="4" w:space="0" w:color="000000"/>
              <w:left w:val="single" w:sz="4" w:space="0" w:color="000000"/>
              <w:right w:val="single" w:sz="4" w:space="0" w:color="000000"/>
            </w:tcBorders>
            <w:shd w:val="clear" w:color="auto" w:fill="D9D9D9"/>
          </w:tcPr>
          <w:p>
            <w:pPr/>
          </w:p>
        </w:tc>
        <w:tc>
          <w:tcPr>
            <w:tcW w:w="1675" w:type="dxa"/>
            <w:tcBorders>
              <w:top w:val="single" w:sz="4" w:space="0" w:color="000000"/>
              <w:left w:val="single" w:sz="4" w:space="0" w:color="000000"/>
            </w:tcBorders>
            <w:shd w:val="clear" w:color="auto" w:fill="D9D9D9"/>
          </w:tcPr>
          <w:p>
            <w:pPr>
              <w:pStyle w:val="TableParagraph"/>
              <w:spacing w:before="40"/>
              <w:ind w:right="463"/>
              <w:jc w:val="right"/>
              <w:rPr>
                <w:b/>
                <w:sz w:val="20"/>
              </w:rPr>
            </w:pPr>
            <w:r>
              <w:rPr>
                <w:b/>
                <w:sz w:val="20"/>
              </w:rPr>
              <w:t>912,000</w:t>
            </w:r>
          </w:p>
        </w:tc>
      </w:tr>
    </w:tbl>
    <w:p>
      <w:pPr>
        <w:spacing w:after="0"/>
        <w:jc w:val="right"/>
        <w:rPr>
          <w:sz w:val="20"/>
        </w:rPr>
        <w:sectPr>
          <w:pgSz w:w="16840" w:h="11910" w:orient="landscape"/>
          <w:pgMar w:header="583" w:footer="575" w:top="840" w:bottom="760" w:left="860" w:right="1280"/>
        </w:sectPr>
      </w:pPr>
    </w:p>
    <w:p>
      <w:pPr>
        <w:pStyle w:val="BodyText"/>
        <w:rPr>
          <w:b/>
          <w:sz w:val="20"/>
        </w:rPr>
      </w:pPr>
    </w:p>
    <w:p>
      <w:pPr>
        <w:pStyle w:val="BodyText"/>
        <w:rPr>
          <w:b/>
          <w:sz w:val="20"/>
        </w:rPr>
      </w:pPr>
    </w:p>
    <w:p>
      <w:pPr>
        <w:pStyle w:val="BodyText"/>
        <w:spacing w:before="10"/>
        <w:rPr>
          <w:b/>
          <w:sz w:val="27"/>
        </w:rPr>
      </w:pPr>
    </w:p>
    <w:p>
      <w:pPr>
        <w:spacing w:before="92"/>
        <w:ind w:left="4605" w:right="0" w:firstLine="0"/>
        <w:jc w:val="left"/>
        <w:rPr>
          <w:b/>
          <w:sz w:val="28"/>
        </w:rPr>
      </w:pPr>
      <w:bookmarkStart w:name="_bookmark113" w:id="186"/>
      <w:bookmarkEnd w:id="186"/>
      <w:r>
        <w:rPr/>
      </w:r>
      <w:r>
        <w:rPr>
          <w:b/>
          <w:sz w:val="28"/>
          <w:u w:val="thick"/>
        </w:rPr>
        <w:t>Annex-X: Compensation for Employment Loss</w:t>
      </w:r>
    </w:p>
    <w:p>
      <w:pPr>
        <w:pStyle w:val="BodyText"/>
        <w:spacing w:before="6"/>
        <w:rPr>
          <w:b/>
          <w:sz w:val="10"/>
        </w:rPr>
      </w:pPr>
    </w:p>
    <w:tbl>
      <w:tblPr>
        <w:tblW w:w="0" w:type="auto"/>
        <w:jc w:val="left"/>
        <w:tblInd w:w="90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97"/>
        <w:gridCol w:w="612"/>
        <w:gridCol w:w="1049"/>
        <w:gridCol w:w="1135"/>
        <w:gridCol w:w="2091"/>
        <w:gridCol w:w="2004"/>
        <w:gridCol w:w="1755"/>
        <w:gridCol w:w="1692"/>
        <w:gridCol w:w="1436"/>
        <w:gridCol w:w="1368"/>
      </w:tblGrid>
      <w:tr>
        <w:trPr>
          <w:trHeight w:val="330" w:hRule="exact"/>
        </w:trPr>
        <w:tc>
          <w:tcPr>
            <w:tcW w:w="497" w:type="dxa"/>
            <w:vMerge w:val="restart"/>
            <w:tcBorders>
              <w:right w:val="single" w:sz="4" w:space="0" w:color="000000"/>
            </w:tcBorders>
            <w:shd w:val="clear" w:color="auto" w:fill="D9D9D9"/>
          </w:tcPr>
          <w:p>
            <w:pPr>
              <w:pStyle w:val="TableParagraph"/>
              <w:spacing w:before="0"/>
              <w:rPr>
                <w:b/>
                <w:sz w:val="22"/>
              </w:rPr>
            </w:pPr>
          </w:p>
          <w:p>
            <w:pPr>
              <w:pStyle w:val="TableParagraph"/>
              <w:spacing w:before="132"/>
              <w:ind w:left="50"/>
              <w:rPr>
                <w:b/>
                <w:sz w:val="20"/>
              </w:rPr>
            </w:pPr>
            <w:r>
              <w:rPr>
                <w:b/>
                <w:sz w:val="20"/>
              </w:rPr>
              <w:t>ID #</w:t>
            </w:r>
          </w:p>
        </w:tc>
        <w:tc>
          <w:tcPr>
            <w:tcW w:w="612" w:type="dxa"/>
            <w:vMerge w:val="restart"/>
            <w:tcBorders>
              <w:left w:val="single" w:sz="4" w:space="0" w:color="000000"/>
              <w:right w:val="single" w:sz="4" w:space="0" w:color="000000"/>
            </w:tcBorders>
            <w:shd w:val="clear" w:color="auto" w:fill="D9D9D9"/>
            <w:textDirection w:val="btLr"/>
          </w:tcPr>
          <w:p>
            <w:pPr>
              <w:pStyle w:val="TableParagraph"/>
              <w:spacing w:line="244" w:lineRule="auto" w:before="95"/>
              <w:ind w:left="112" w:right="215"/>
              <w:rPr>
                <w:b/>
                <w:sz w:val="20"/>
              </w:rPr>
            </w:pPr>
            <w:r>
              <w:rPr>
                <w:b/>
                <w:spacing w:val="-1"/>
                <w:w w:val="99"/>
                <w:sz w:val="20"/>
              </w:rPr>
              <w:t>S</w:t>
            </w:r>
            <w:r>
              <w:rPr>
                <w:b/>
                <w:w w:val="99"/>
                <w:sz w:val="20"/>
              </w:rPr>
              <w:t>egm</w:t>
            </w:r>
            <w:r>
              <w:rPr>
                <w:b/>
                <w:w w:val="99"/>
                <w:sz w:val="20"/>
              </w:rPr>
              <w:t>e </w:t>
            </w:r>
            <w:r>
              <w:rPr>
                <w:b/>
                <w:w w:val="99"/>
                <w:sz w:val="20"/>
              </w:rPr>
              <w:t>n</w:t>
            </w:r>
            <w:r>
              <w:rPr>
                <w:b/>
                <w:w w:val="99"/>
                <w:sz w:val="20"/>
              </w:rPr>
              <w:t>t</w:t>
            </w:r>
            <w:r>
              <w:rPr>
                <w:b/>
                <w:sz w:val="20"/>
              </w:rPr>
              <w:t> </w:t>
            </w:r>
            <w:r>
              <w:rPr>
                <w:b/>
                <w:w w:val="99"/>
                <w:sz w:val="20"/>
              </w:rPr>
              <w:t>No</w:t>
            </w:r>
            <w:r>
              <w:rPr>
                <w:b/>
                <w:w w:val="99"/>
                <w:sz w:val="20"/>
              </w:rPr>
              <w:t>.</w:t>
            </w:r>
          </w:p>
        </w:tc>
        <w:tc>
          <w:tcPr>
            <w:tcW w:w="2184" w:type="dxa"/>
            <w:gridSpan w:val="2"/>
            <w:tcBorders>
              <w:left w:val="single" w:sz="4" w:space="0" w:color="000000"/>
              <w:bottom w:val="single" w:sz="4" w:space="0" w:color="000000"/>
              <w:right w:val="single" w:sz="4" w:space="0" w:color="000000"/>
            </w:tcBorders>
            <w:shd w:val="clear" w:color="auto" w:fill="D9D9D9"/>
          </w:tcPr>
          <w:p>
            <w:pPr>
              <w:pStyle w:val="TableParagraph"/>
              <w:spacing w:before="41"/>
              <w:ind w:left="501"/>
              <w:rPr>
                <w:b/>
                <w:sz w:val="20"/>
              </w:rPr>
            </w:pPr>
            <w:r>
              <w:rPr>
                <w:b/>
                <w:sz w:val="20"/>
              </w:rPr>
              <w:t>Coordinates</w:t>
            </w:r>
          </w:p>
        </w:tc>
        <w:tc>
          <w:tcPr>
            <w:tcW w:w="2091" w:type="dxa"/>
            <w:vMerge w:val="restart"/>
            <w:tcBorders>
              <w:left w:val="single" w:sz="4" w:space="0" w:color="000000"/>
              <w:right w:val="single" w:sz="4" w:space="0" w:color="000000"/>
            </w:tcBorders>
            <w:shd w:val="clear" w:color="auto" w:fill="D9D9D9"/>
          </w:tcPr>
          <w:p>
            <w:pPr>
              <w:pStyle w:val="TableParagraph"/>
              <w:spacing w:before="0"/>
              <w:rPr>
                <w:b/>
                <w:sz w:val="22"/>
              </w:rPr>
            </w:pPr>
          </w:p>
          <w:p>
            <w:pPr>
              <w:pStyle w:val="TableParagraph"/>
              <w:spacing w:before="132"/>
              <w:ind w:left="430"/>
              <w:rPr>
                <w:b/>
                <w:sz w:val="20"/>
              </w:rPr>
            </w:pPr>
            <w:r>
              <w:rPr>
                <w:b/>
                <w:sz w:val="20"/>
              </w:rPr>
              <w:t>Owner Name</w:t>
            </w:r>
          </w:p>
        </w:tc>
        <w:tc>
          <w:tcPr>
            <w:tcW w:w="2004" w:type="dxa"/>
            <w:vMerge w:val="restart"/>
            <w:tcBorders>
              <w:left w:val="single" w:sz="4" w:space="0" w:color="000000"/>
              <w:right w:val="single" w:sz="4" w:space="0" w:color="000000"/>
            </w:tcBorders>
            <w:shd w:val="clear" w:color="auto" w:fill="D9D9D9"/>
          </w:tcPr>
          <w:p>
            <w:pPr>
              <w:pStyle w:val="TableParagraph"/>
              <w:spacing w:before="0"/>
              <w:rPr>
                <w:b/>
                <w:sz w:val="22"/>
              </w:rPr>
            </w:pPr>
          </w:p>
          <w:p>
            <w:pPr>
              <w:pStyle w:val="TableParagraph"/>
              <w:spacing w:before="132"/>
              <w:ind w:left="307"/>
              <w:rPr>
                <w:b/>
                <w:sz w:val="20"/>
              </w:rPr>
            </w:pPr>
            <w:r>
              <w:rPr>
                <w:b/>
                <w:sz w:val="20"/>
              </w:rPr>
              <w:t>Father’s Name</w:t>
            </w:r>
          </w:p>
        </w:tc>
        <w:tc>
          <w:tcPr>
            <w:tcW w:w="1755" w:type="dxa"/>
            <w:vMerge w:val="restart"/>
            <w:tcBorders>
              <w:left w:val="single" w:sz="4" w:space="0" w:color="000000"/>
              <w:right w:val="single" w:sz="4" w:space="0" w:color="000000"/>
            </w:tcBorders>
            <w:shd w:val="clear" w:color="auto" w:fill="D9D9D9"/>
          </w:tcPr>
          <w:p>
            <w:pPr>
              <w:pStyle w:val="TableParagraph"/>
              <w:spacing w:before="2"/>
              <w:rPr>
                <w:b/>
                <w:sz w:val="23"/>
              </w:rPr>
            </w:pPr>
          </w:p>
          <w:p>
            <w:pPr>
              <w:pStyle w:val="TableParagraph"/>
              <w:spacing w:line="242" w:lineRule="auto" w:before="0"/>
              <w:ind w:left="598" w:hanging="281"/>
              <w:rPr>
                <w:b/>
                <w:sz w:val="20"/>
              </w:rPr>
            </w:pPr>
            <w:r>
              <w:rPr>
                <w:b/>
                <w:w w:val="95"/>
                <w:sz w:val="20"/>
              </w:rPr>
              <w:t>Employee’s </w:t>
            </w:r>
            <w:r>
              <w:rPr>
                <w:b/>
                <w:sz w:val="20"/>
              </w:rPr>
              <w:t>Name</w:t>
            </w:r>
          </w:p>
        </w:tc>
        <w:tc>
          <w:tcPr>
            <w:tcW w:w="1692" w:type="dxa"/>
            <w:vMerge w:val="restart"/>
            <w:tcBorders>
              <w:left w:val="single" w:sz="4" w:space="0" w:color="000000"/>
              <w:right w:val="single" w:sz="4" w:space="0" w:color="000000"/>
            </w:tcBorders>
            <w:shd w:val="clear" w:color="auto" w:fill="D9D9D9"/>
          </w:tcPr>
          <w:p>
            <w:pPr>
              <w:pStyle w:val="TableParagraph"/>
              <w:spacing w:before="0"/>
              <w:rPr>
                <w:b/>
                <w:sz w:val="22"/>
              </w:rPr>
            </w:pPr>
          </w:p>
          <w:p>
            <w:pPr>
              <w:pStyle w:val="TableParagraph"/>
              <w:spacing w:before="132"/>
              <w:ind w:left="408"/>
              <w:rPr>
                <w:b/>
                <w:sz w:val="20"/>
              </w:rPr>
            </w:pPr>
            <w:r>
              <w:rPr>
                <w:b/>
                <w:sz w:val="20"/>
              </w:rPr>
              <w:t>CNIC No.</w:t>
            </w:r>
          </w:p>
        </w:tc>
        <w:tc>
          <w:tcPr>
            <w:tcW w:w="1436" w:type="dxa"/>
            <w:vMerge w:val="restart"/>
            <w:tcBorders>
              <w:left w:val="single" w:sz="4" w:space="0" w:color="000000"/>
              <w:right w:val="single" w:sz="4" w:space="0" w:color="000000"/>
            </w:tcBorders>
            <w:shd w:val="clear" w:color="auto" w:fill="D9D9D9"/>
          </w:tcPr>
          <w:p>
            <w:pPr>
              <w:pStyle w:val="TableParagraph"/>
              <w:spacing w:before="0"/>
              <w:rPr>
                <w:b/>
                <w:sz w:val="22"/>
              </w:rPr>
            </w:pPr>
          </w:p>
          <w:p>
            <w:pPr>
              <w:pStyle w:val="TableParagraph"/>
              <w:spacing w:before="132"/>
              <w:ind w:left="206"/>
              <w:rPr>
                <w:b/>
                <w:sz w:val="20"/>
              </w:rPr>
            </w:pPr>
            <w:r>
              <w:rPr>
                <w:b/>
                <w:sz w:val="20"/>
              </w:rPr>
              <w:t>Mobile No.</w:t>
            </w:r>
          </w:p>
        </w:tc>
        <w:tc>
          <w:tcPr>
            <w:tcW w:w="1368" w:type="dxa"/>
            <w:vMerge w:val="restart"/>
            <w:tcBorders>
              <w:left w:val="single" w:sz="4" w:space="0" w:color="000000"/>
            </w:tcBorders>
            <w:shd w:val="clear" w:color="auto" w:fill="D9D9D9"/>
          </w:tcPr>
          <w:p>
            <w:pPr>
              <w:pStyle w:val="TableParagraph"/>
              <w:spacing w:before="39"/>
              <w:ind w:left="88" w:right="80"/>
              <w:jc w:val="center"/>
              <w:rPr>
                <w:b/>
                <w:sz w:val="20"/>
              </w:rPr>
            </w:pPr>
            <w:r>
              <w:rPr>
                <w:b/>
                <w:w w:val="95"/>
                <w:sz w:val="20"/>
              </w:rPr>
              <w:t>Employment </w:t>
            </w:r>
            <w:r>
              <w:rPr>
                <w:b/>
                <w:sz w:val="20"/>
              </w:rPr>
              <w:t>Loss Allowance (PKR)</w:t>
            </w:r>
          </w:p>
        </w:tc>
      </w:tr>
      <w:tr>
        <w:trPr>
          <w:trHeight w:val="689" w:hRule="exact"/>
        </w:trPr>
        <w:tc>
          <w:tcPr>
            <w:tcW w:w="497" w:type="dxa"/>
            <w:vMerge/>
            <w:tcBorders>
              <w:bottom w:val="single" w:sz="4" w:space="0" w:color="000000"/>
              <w:right w:val="single" w:sz="4" w:space="0" w:color="000000"/>
            </w:tcBorders>
            <w:shd w:val="clear" w:color="auto" w:fill="D9D9D9"/>
          </w:tcPr>
          <w:p>
            <w:pPr/>
          </w:p>
        </w:tc>
        <w:tc>
          <w:tcPr>
            <w:tcW w:w="612" w:type="dxa"/>
            <w:vMerge/>
            <w:tcBorders>
              <w:left w:val="single" w:sz="4" w:space="0" w:color="000000"/>
              <w:bottom w:val="single" w:sz="4" w:space="0" w:color="000000"/>
              <w:right w:val="single" w:sz="4" w:space="0" w:color="000000"/>
            </w:tcBorders>
            <w:shd w:val="clear" w:color="auto" w:fill="D9D9D9"/>
            <w:textDirection w:val="btLr"/>
          </w:tcPr>
          <w:p>
            <w:pPr/>
          </w:p>
        </w:tc>
        <w:tc>
          <w:tcPr>
            <w:tcW w:w="1049"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6"/>
              <w:rPr>
                <w:b/>
                <w:sz w:val="19"/>
              </w:rPr>
            </w:pPr>
          </w:p>
          <w:p>
            <w:pPr>
              <w:pStyle w:val="TableParagraph"/>
              <w:spacing w:before="0"/>
              <w:ind w:left="52" w:right="56"/>
              <w:jc w:val="center"/>
              <w:rPr>
                <w:b/>
                <w:sz w:val="20"/>
              </w:rPr>
            </w:pPr>
            <w:r>
              <w:rPr>
                <w:b/>
                <w:sz w:val="20"/>
              </w:rPr>
              <w:t>Northing</w:t>
            </w:r>
          </w:p>
        </w:tc>
        <w:tc>
          <w:tcPr>
            <w:tcW w:w="1135"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6"/>
              <w:rPr>
                <w:b/>
                <w:sz w:val="19"/>
              </w:rPr>
            </w:pPr>
          </w:p>
          <w:p>
            <w:pPr>
              <w:pStyle w:val="TableParagraph"/>
              <w:spacing w:before="0"/>
              <w:ind w:left="96" w:right="97"/>
              <w:jc w:val="center"/>
              <w:rPr>
                <w:b/>
                <w:sz w:val="20"/>
              </w:rPr>
            </w:pPr>
            <w:r>
              <w:rPr>
                <w:b/>
                <w:sz w:val="20"/>
              </w:rPr>
              <w:t>Easting</w:t>
            </w:r>
          </w:p>
        </w:tc>
        <w:tc>
          <w:tcPr>
            <w:tcW w:w="2091" w:type="dxa"/>
            <w:vMerge/>
            <w:tcBorders>
              <w:left w:val="single" w:sz="4" w:space="0" w:color="000000"/>
              <w:bottom w:val="single" w:sz="4" w:space="0" w:color="000000"/>
              <w:right w:val="single" w:sz="4" w:space="0" w:color="000000"/>
            </w:tcBorders>
            <w:shd w:val="clear" w:color="auto" w:fill="D9D9D9"/>
          </w:tcPr>
          <w:p>
            <w:pPr/>
          </w:p>
        </w:tc>
        <w:tc>
          <w:tcPr>
            <w:tcW w:w="2004" w:type="dxa"/>
            <w:vMerge/>
            <w:tcBorders>
              <w:left w:val="single" w:sz="4" w:space="0" w:color="000000"/>
              <w:bottom w:val="single" w:sz="4" w:space="0" w:color="000000"/>
              <w:right w:val="single" w:sz="4" w:space="0" w:color="000000"/>
            </w:tcBorders>
            <w:shd w:val="clear" w:color="auto" w:fill="D9D9D9"/>
          </w:tcPr>
          <w:p>
            <w:pPr/>
          </w:p>
        </w:tc>
        <w:tc>
          <w:tcPr>
            <w:tcW w:w="1755" w:type="dxa"/>
            <w:vMerge/>
            <w:tcBorders>
              <w:left w:val="single" w:sz="4" w:space="0" w:color="000000"/>
              <w:bottom w:val="single" w:sz="4" w:space="0" w:color="000000"/>
              <w:right w:val="single" w:sz="4" w:space="0" w:color="000000"/>
            </w:tcBorders>
            <w:shd w:val="clear" w:color="auto" w:fill="D9D9D9"/>
          </w:tcPr>
          <w:p>
            <w:pPr/>
          </w:p>
        </w:tc>
        <w:tc>
          <w:tcPr>
            <w:tcW w:w="1692" w:type="dxa"/>
            <w:vMerge/>
            <w:tcBorders>
              <w:left w:val="single" w:sz="4" w:space="0" w:color="000000"/>
              <w:bottom w:val="single" w:sz="4" w:space="0" w:color="000000"/>
              <w:right w:val="single" w:sz="4" w:space="0" w:color="000000"/>
            </w:tcBorders>
            <w:shd w:val="clear" w:color="auto" w:fill="D9D9D9"/>
          </w:tcPr>
          <w:p>
            <w:pPr/>
          </w:p>
        </w:tc>
        <w:tc>
          <w:tcPr>
            <w:tcW w:w="1436" w:type="dxa"/>
            <w:vMerge/>
            <w:tcBorders>
              <w:left w:val="single" w:sz="4" w:space="0" w:color="000000"/>
              <w:bottom w:val="single" w:sz="4" w:space="0" w:color="000000"/>
              <w:right w:val="single" w:sz="4" w:space="0" w:color="000000"/>
            </w:tcBorders>
            <w:shd w:val="clear" w:color="auto" w:fill="D9D9D9"/>
          </w:tcPr>
          <w:p>
            <w:pPr/>
          </w:p>
        </w:tc>
        <w:tc>
          <w:tcPr>
            <w:tcW w:w="1368" w:type="dxa"/>
            <w:vMerge/>
            <w:tcBorders>
              <w:left w:val="single" w:sz="4" w:space="0" w:color="000000"/>
              <w:bottom w:val="single" w:sz="4" w:space="0" w:color="000000"/>
            </w:tcBorders>
            <w:shd w:val="clear" w:color="auto" w:fill="D9D9D9"/>
          </w:tcPr>
          <w:p>
            <w:pPr/>
          </w:p>
        </w:tc>
      </w:tr>
      <w:tr>
        <w:trPr>
          <w:trHeight w:val="550" w:hRule="exact"/>
        </w:trPr>
        <w:tc>
          <w:tcPr>
            <w:tcW w:w="497" w:type="dxa"/>
            <w:tcBorders>
              <w:top w:val="single" w:sz="4" w:space="0" w:color="000000"/>
              <w:bottom w:val="single" w:sz="4" w:space="0" w:color="000000"/>
              <w:right w:val="single" w:sz="4" w:space="0" w:color="000000"/>
            </w:tcBorders>
          </w:tcPr>
          <w:p>
            <w:pPr>
              <w:pStyle w:val="TableParagraph"/>
              <w:spacing w:before="6"/>
              <w:rPr>
                <w:b/>
                <w:sz w:val="23"/>
              </w:rPr>
            </w:pPr>
          </w:p>
          <w:p>
            <w:pPr>
              <w:pStyle w:val="TableParagraph"/>
              <w:spacing w:before="1"/>
              <w:ind w:right="132"/>
              <w:jc w:val="right"/>
              <w:rPr>
                <w:sz w:val="20"/>
              </w:rPr>
            </w:pPr>
            <w:r>
              <w:rPr>
                <w:sz w:val="20"/>
              </w:rPr>
              <w:t>56</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155"/>
              <w:ind w:right="244"/>
              <w:jc w:val="right"/>
              <w:rPr>
                <w:sz w:val="20"/>
              </w:rPr>
            </w:pPr>
            <w:r>
              <w:rPr>
                <w:w w:val="99"/>
                <w:sz w:val="20"/>
              </w:rPr>
              <w:t>3</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6"/>
              <w:rPr>
                <w:b/>
                <w:sz w:val="23"/>
              </w:rPr>
            </w:pPr>
          </w:p>
          <w:p>
            <w:pPr>
              <w:pStyle w:val="TableParagraph"/>
              <w:spacing w:before="1"/>
              <w:ind w:left="52" w:right="57"/>
              <w:jc w:val="center"/>
              <w:rPr>
                <w:sz w:val="20"/>
              </w:rPr>
            </w:pPr>
            <w:r>
              <w:rPr>
                <w:sz w:val="20"/>
              </w:rPr>
              <w:t>24 50.031</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6"/>
              <w:rPr>
                <w:b/>
                <w:sz w:val="23"/>
              </w:rPr>
            </w:pPr>
          </w:p>
          <w:p>
            <w:pPr>
              <w:pStyle w:val="TableParagraph"/>
              <w:spacing w:before="1"/>
              <w:ind w:left="97" w:right="97"/>
              <w:jc w:val="center"/>
              <w:rPr>
                <w:sz w:val="20"/>
              </w:rPr>
            </w:pPr>
            <w:r>
              <w:rPr>
                <w:sz w:val="20"/>
              </w:rPr>
              <w:t>67 05.700</w:t>
            </w:r>
          </w:p>
        </w:tc>
        <w:tc>
          <w:tcPr>
            <w:tcW w:w="2091" w:type="dxa"/>
            <w:tcBorders>
              <w:top w:val="single" w:sz="4" w:space="0" w:color="000000"/>
              <w:left w:val="single" w:sz="4" w:space="0" w:color="000000"/>
              <w:bottom w:val="single" w:sz="4" w:space="0" w:color="000000"/>
              <w:right w:val="single" w:sz="4" w:space="0" w:color="000000"/>
            </w:tcBorders>
          </w:tcPr>
          <w:p>
            <w:pPr>
              <w:pStyle w:val="TableParagraph"/>
              <w:spacing w:before="6"/>
              <w:rPr>
                <w:b/>
                <w:sz w:val="23"/>
              </w:rPr>
            </w:pPr>
          </w:p>
          <w:p>
            <w:pPr>
              <w:pStyle w:val="TableParagraph"/>
              <w:spacing w:before="1"/>
              <w:ind w:left="52"/>
              <w:rPr>
                <w:sz w:val="20"/>
              </w:rPr>
            </w:pPr>
            <w:r>
              <w:rPr>
                <w:sz w:val="20"/>
              </w:rPr>
              <w:t>Ghulam Hussain</w:t>
            </w:r>
          </w:p>
        </w:tc>
        <w:tc>
          <w:tcPr>
            <w:tcW w:w="2004" w:type="dxa"/>
            <w:tcBorders>
              <w:top w:val="single" w:sz="4" w:space="0" w:color="000000"/>
              <w:left w:val="single" w:sz="4" w:space="0" w:color="000000"/>
              <w:bottom w:val="single" w:sz="4" w:space="0" w:color="000000"/>
              <w:right w:val="single" w:sz="4" w:space="0" w:color="000000"/>
            </w:tcBorders>
          </w:tcPr>
          <w:p>
            <w:pPr>
              <w:pStyle w:val="TableParagraph"/>
              <w:spacing w:before="6"/>
              <w:rPr>
                <w:b/>
                <w:sz w:val="23"/>
              </w:rPr>
            </w:pPr>
          </w:p>
          <w:p>
            <w:pPr>
              <w:pStyle w:val="TableParagraph"/>
              <w:spacing w:before="1"/>
              <w:ind w:left="52"/>
              <w:rPr>
                <w:sz w:val="20"/>
              </w:rPr>
            </w:pPr>
            <w:r>
              <w:rPr>
                <w:sz w:val="20"/>
              </w:rPr>
              <w:t>Azeem Bux</w:t>
            </w:r>
          </w:p>
        </w:tc>
        <w:tc>
          <w:tcPr>
            <w:tcW w:w="1755"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38"/>
              <w:ind w:left="53" w:right="616"/>
              <w:rPr>
                <w:sz w:val="20"/>
              </w:rPr>
            </w:pPr>
            <w:r>
              <w:rPr>
                <w:sz w:val="20"/>
              </w:rPr>
              <w:t>Muhammad Ibrahim</w:t>
            </w:r>
          </w:p>
        </w:tc>
        <w:tc>
          <w:tcPr>
            <w:tcW w:w="1692" w:type="dxa"/>
            <w:tcBorders>
              <w:top w:val="single" w:sz="4" w:space="0" w:color="000000"/>
              <w:left w:val="single" w:sz="4" w:space="0" w:color="000000"/>
              <w:bottom w:val="single" w:sz="4" w:space="0" w:color="000000"/>
              <w:right w:val="single" w:sz="4" w:space="0" w:color="000000"/>
            </w:tcBorders>
          </w:tcPr>
          <w:p>
            <w:pPr/>
          </w:p>
        </w:tc>
        <w:tc>
          <w:tcPr>
            <w:tcW w:w="1436" w:type="dxa"/>
            <w:tcBorders>
              <w:top w:val="single" w:sz="4" w:space="0" w:color="000000"/>
              <w:left w:val="single" w:sz="4" w:space="0" w:color="000000"/>
              <w:bottom w:val="single" w:sz="4" w:space="0" w:color="000000"/>
              <w:right w:val="single" w:sz="4" w:space="0" w:color="000000"/>
            </w:tcBorders>
          </w:tcPr>
          <w:p>
            <w:pPr/>
          </w:p>
        </w:tc>
        <w:tc>
          <w:tcPr>
            <w:tcW w:w="1368" w:type="dxa"/>
            <w:tcBorders>
              <w:top w:val="single" w:sz="4" w:space="0" w:color="000000"/>
              <w:left w:val="single" w:sz="4" w:space="0" w:color="000000"/>
              <w:bottom w:val="single" w:sz="4" w:space="0" w:color="000000"/>
            </w:tcBorders>
          </w:tcPr>
          <w:p>
            <w:pPr>
              <w:pStyle w:val="TableParagraph"/>
              <w:spacing w:before="40"/>
              <w:ind w:right="227"/>
              <w:jc w:val="right"/>
              <w:rPr>
                <w:sz w:val="20"/>
              </w:rPr>
            </w:pPr>
            <w:r>
              <w:rPr>
                <w:sz w:val="20"/>
              </w:rPr>
              <w:t>48,000</w:t>
            </w:r>
          </w:p>
        </w:tc>
      </w:tr>
      <w:tr>
        <w:trPr>
          <w:trHeight w:val="552" w:hRule="exact"/>
        </w:trPr>
        <w:tc>
          <w:tcPr>
            <w:tcW w:w="497" w:type="dxa"/>
            <w:tcBorders>
              <w:top w:val="single" w:sz="4" w:space="0" w:color="000000"/>
              <w:bottom w:val="single" w:sz="4" w:space="0" w:color="000000"/>
              <w:right w:val="single" w:sz="4" w:space="0" w:color="000000"/>
            </w:tcBorders>
          </w:tcPr>
          <w:p>
            <w:pPr>
              <w:pStyle w:val="TableParagraph"/>
              <w:spacing w:before="6"/>
              <w:rPr>
                <w:b/>
                <w:sz w:val="23"/>
              </w:rPr>
            </w:pPr>
          </w:p>
          <w:p>
            <w:pPr>
              <w:pStyle w:val="TableParagraph"/>
              <w:spacing w:before="0"/>
              <w:ind w:right="132"/>
              <w:jc w:val="right"/>
              <w:rPr>
                <w:sz w:val="20"/>
              </w:rPr>
            </w:pPr>
            <w:r>
              <w:rPr>
                <w:sz w:val="20"/>
              </w:rPr>
              <w:t>56</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158"/>
              <w:ind w:right="244"/>
              <w:jc w:val="right"/>
              <w:rPr>
                <w:sz w:val="20"/>
              </w:rPr>
            </w:pPr>
            <w:r>
              <w:rPr>
                <w:w w:val="99"/>
                <w:sz w:val="20"/>
              </w:rPr>
              <w:t>3</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6"/>
              <w:rPr>
                <w:b/>
                <w:sz w:val="23"/>
              </w:rPr>
            </w:pPr>
          </w:p>
          <w:p>
            <w:pPr>
              <w:pStyle w:val="TableParagraph"/>
              <w:spacing w:before="0"/>
              <w:ind w:left="52" w:right="57"/>
              <w:jc w:val="center"/>
              <w:rPr>
                <w:sz w:val="20"/>
              </w:rPr>
            </w:pPr>
            <w:r>
              <w:rPr>
                <w:sz w:val="20"/>
              </w:rPr>
              <w:t>24 50.031</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6"/>
              <w:rPr>
                <w:b/>
                <w:sz w:val="23"/>
              </w:rPr>
            </w:pPr>
          </w:p>
          <w:p>
            <w:pPr>
              <w:pStyle w:val="TableParagraph"/>
              <w:spacing w:before="0"/>
              <w:ind w:left="97" w:right="97"/>
              <w:jc w:val="center"/>
              <w:rPr>
                <w:sz w:val="20"/>
              </w:rPr>
            </w:pPr>
            <w:r>
              <w:rPr>
                <w:sz w:val="20"/>
              </w:rPr>
              <w:t>67 05.700</w:t>
            </w:r>
          </w:p>
        </w:tc>
        <w:tc>
          <w:tcPr>
            <w:tcW w:w="2091" w:type="dxa"/>
            <w:tcBorders>
              <w:top w:val="single" w:sz="4" w:space="0" w:color="000000"/>
              <w:left w:val="single" w:sz="4" w:space="0" w:color="000000"/>
              <w:bottom w:val="single" w:sz="4" w:space="0" w:color="000000"/>
              <w:right w:val="single" w:sz="4" w:space="0" w:color="000000"/>
            </w:tcBorders>
          </w:tcPr>
          <w:p>
            <w:pPr>
              <w:pStyle w:val="TableParagraph"/>
              <w:spacing w:before="6"/>
              <w:rPr>
                <w:b/>
                <w:sz w:val="23"/>
              </w:rPr>
            </w:pPr>
          </w:p>
          <w:p>
            <w:pPr>
              <w:pStyle w:val="TableParagraph"/>
              <w:spacing w:before="0"/>
              <w:ind w:left="52"/>
              <w:rPr>
                <w:sz w:val="20"/>
              </w:rPr>
            </w:pPr>
            <w:r>
              <w:rPr>
                <w:sz w:val="20"/>
              </w:rPr>
              <w:t>Ghulam Hussain</w:t>
            </w:r>
          </w:p>
        </w:tc>
        <w:tc>
          <w:tcPr>
            <w:tcW w:w="2004" w:type="dxa"/>
            <w:tcBorders>
              <w:top w:val="single" w:sz="4" w:space="0" w:color="000000"/>
              <w:left w:val="single" w:sz="4" w:space="0" w:color="000000"/>
              <w:bottom w:val="single" w:sz="4" w:space="0" w:color="000000"/>
              <w:right w:val="single" w:sz="4" w:space="0" w:color="000000"/>
            </w:tcBorders>
          </w:tcPr>
          <w:p>
            <w:pPr>
              <w:pStyle w:val="TableParagraph"/>
              <w:spacing w:before="6"/>
              <w:rPr>
                <w:b/>
                <w:sz w:val="23"/>
              </w:rPr>
            </w:pPr>
          </w:p>
          <w:p>
            <w:pPr>
              <w:pStyle w:val="TableParagraph"/>
              <w:spacing w:before="0"/>
              <w:ind w:left="52"/>
              <w:rPr>
                <w:sz w:val="20"/>
              </w:rPr>
            </w:pPr>
            <w:r>
              <w:rPr>
                <w:sz w:val="20"/>
              </w:rPr>
              <w:t>Azeem Bux</w:t>
            </w:r>
          </w:p>
        </w:tc>
        <w:tc>
          <w:tcPr>
            <w:tcW w:w="1755" w:type="dxa"/>
            <w:tcBorders>
              <w:top w:val="single" w:sz="4" w:space="0" w:color="000000"/>
              <w:left w:val="single" w:sz="4" w:space="0" w:color="000000"/>
              <w:bottom w:val="single" w:sz="4" w:space="0" w:color="000000"/>
              <w:right w:val="single" w:sz="4" w:space="0" w:color="000000"/>
            </w:tcBorders>
          </w:tcPr>
          <w:p>
            <w:pPr>
              <w:pStyle w:val="TableParagraph"/>
              <w:spacing w:before="40"/>
              <w:ind w:left="53" w:right="616"/>
              <w:rPr>
                <w:sz w:val="20"/>
              </w:rPr>
            </w:pPr>
            <w:r>
              <w:rPr>
                <w:sz w:val="20"/>
              </w:rPr>
              <w:t>Muhammad Ashraf</w:t>
            </w:r>
          </w:p>
        </w:tc>
        <w:tc>
          <w:tcPr>
            <w:tcW w:w="1692"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Pr>
                <w:sz w:val="20"/>
              </w:rPr>
            </w:pPr>
            <w:r>
              <w:rPr>
                <w:sz w:val="20"/>
              </w:rPr>
              <w:t>42301-7323002-</w:t>
            </w:r>
          </w:p>
          <w:p>
            <w:pPr>
              <w:pStyle w:val="TableParagraph"/>
              <w:spacing w:before="0"/>
              <w:ind w:left="52"/>
              <w:rPr>
                <w:sz w:val="20"/>
              </w:rPr>
            </w:pPr>
            <w:r>
              <w:rPr>
                <w:w w:val="99"/>
                <w:sz w:val="20"/>
              </w:rPr>
              <w:t>3</w:t>
            </w:r>
          </w:p>
        </w:tc>
        <w:tc>
          <w:tcPr>
            <w:tcW w:w="1436" w:type="dxa"/>
            <w:tcBorders>
              <w:top w:val="single" w:sz="4" w:space="0" w:color="000000"/>
              <w:left w:val="single" w:sz="4" w:space="0" w:color="000000"/>
              <w:bottom w:val="single" w:sz="4" w:space="0" w:color="000000"/>
              <w:right w:val="single" w:sz="4" w:space="0" w:color="000000"/>
            </w:tcBorders>
          </w:tcPr>
          <w:p>
            <w:pPr/>
          </w:p>
        </w:tc>
        <w:tc>
          <w:tcPr>
            <w:tcW w:w="1368" w:type="dxa"/>
            <w:tcBorders>
              <w:top w:val="single" w:sz="4" w:space="0" w:color="000000"/>
              <w:left w:val="single" w:sz="4" w:space="0" w:color="000000"/>
              <w:bottom w:val="single" w:sz="4" w:space="0" w:color="000000"/>
            </w:tcBorders>
          </w:tcPr>
          <w:p>
            <w:pPr>
              <w:pStyle w:val="TableParagraph"/>
              <w:spacing w:before="43"/>
              <w:ind w:right="227"/>
              <w:jc w:val="right"/>
              <w:rPr>
                <w:sz w:val="20"/>
              </w:rPr>
            </w:pPr>
            <w:r>
              <w:rPr>
                <w:sz w:val="20"/>
              </w:rPr>
              <w:t>48,000</w:t>
            </w:r>
          </w:p>
        </w:tc>
      </w:tr>
      <w:tr>
        <w:trPr>
          <w:trHeight w:val="550" w:hRule="exact"/>
        </w:trPr>
        <w:tc>
          <w:tcPr>
            <w:tcW w:w="497" w:type="dxa"/>
            <w:tcBorders>
              <w:top w:val="single" w:sz="4" w:space="0" w:color="000000"/>
              <w:bottom w:val="single" w:sz="4" w:space="0" w:color="000000"/>
              <w:right w:val="single" w:sz="4" w:space="0" w:color="000000"/>
            </w:tcBorders>
          </w:tcPr>
          <w:p>
            <w:pPr>
              <w:pStyle w:val="TableParagraph"/>
              <w:spacing w:before="6"/>
              <w:rPr>
                <w:b/>
                <w:sz w:val="23"/>
              </w:rPr>
            </w:pPr>
          </w:p>
          <w:p>
            <w:pPr>
              <w:pStyle w:val="TableParagraph"/>
              <w:spacing w:before="0"/>
              <w:ind w:right="132"/>
              <w:jc w:val="right"/>
              <w:rPr>
                <w:sz w:val="20"/>
              </w:rPr>
            </w:pPr>
            <w:r>
              <w:rPr>
                <w:sz w:val="20"/>
              </w:rPr>
              <w:t>56</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155"/>
              <w:ind w:right="244"/>
              <w:jc w:val="right"/>
              <w:rPr>
                <w:sz w:val="20"/>
              </w:rPr>
            </w:pPr>
            <w:r>
              <w:rPr>
                <w:w w:val="99"/>
                <w:sz w:val="20"/>
              </w:rPr>
              <w:t>3</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6"/>
              <w:rPr>
                <w:b/>
                <w:sz w:val="23"/>
              </w:rPr>
            </w:pPr>
          </w:p>
          <w:p>
            <w:pPr>
              <w:pStyle w:val="TableParagraph"/>
              <w:spacing w:before="0"/>
              <w:ind w:left="52" w:right="57"/>
              <w:jc w:val="center"/>
              <w:rPr>
                <w:sz w:val="20"/>
              </w:rPr>
            </w:pPr>
            <w:r>
              <w:rPr>
                <w:sz w:val="20"/>
              </w:rPr>
              <w:t>24 50.031</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6"/>
              <w:rPr>
                <w:b/>
                <w:sz w:val="23"/>
              </w:rPr>
            </w:pPr>
          </w:p>
          <w:p>
            <w:pPr>
              <w:pStyle w:val="TableParagraph"/>
              <w:spacing w:before="0"/>
              <w:ind w:left="97" w:right="97"/>
              <w:jc w:val="center"/>
              <w:rPr>
                <w:sz w:val="20"/>
              </w:rPr>
            </w:pPr>
            <w:r>
              <w:rPr>
                <w:sz w:val="20"/>
              </w:rPr>
              <w:t>67 05.700</w:t>
            </w:r>
          </w:p>
        </w:tc>
        <w:tc>
          <w:tcPr>
            <w:tcW w:w="2091" w:type="dxa"/>
            <w:tcBorders>
              <w:top w:val="single" w:sz="4" w:space="0" w:color="000000"/>
              <w:left w:val="single" w:sz="4" w:space="0" w:color="000000"/>
              <w:bottom w:val="single" w:sz="4" w:space="0" w:color="000000"/>
              <w:right w:val="single" w:sz="4" w:space="0" w:color="000000"/>
            </w:tcBorders>
          </w:tcPr>
          <w:p>
            <w:pPr>
              <w:pStyle w:val="TableParagraph"/>
              <w:spacing w:before="6"/>
              <w:rPr>
                <w:b/>
                <w:sz w:val="23"/>
              </w:rPr>
            </w:pPr>
          </w:p>
          <w:p>
            <w:pPr>
              <w:pStyle w:val="TableParagraph"/>
              <w:spacing w:before="0"/>
              <w:ind w:left="52"/>
              <w:rPr>
                <w:sz w:val="20"/>
              </w:rPr>
            </w:pPr>
            <w:r>
              <w:rPr>
                <w:sz w:val="20"/>
              </w:rPr>
              <w:t>Ghulam Hussain</w:t>
            </w:r>
          </w:p>
        </w:tc>
        <w:tc>
          <w:tcPr>
            <w:tcW w:w="2004" w:type="dxa"/>
            <w:tcBorders>
              <w:top w:val="single" w:sz="4" w:space="0" w:color="000000"/>
              <w:left w:val="single" w:sz="4" w:space="0" w:color="000000"/>
              <w:bottom w:val="single" w:sz="4" w:space="0" w:color="000000"/>
              <w:right w:val="single" w:sz="4" w:space="0" w:color="000000"/>
            </w:tcBorders>
          </w:tcPr>
          <w:p>
            <w:pPr>
              <w:pStyle w:val="TableParagraph"/>
              <w:spacing w:before="6"/>
              <w:rPr>
                <w:b/>
                <w:sz w:val="23"/>
              </w:rPr>
            </w:pPr>
          </w:p>
          <w:p>
            <w:pPr>
              <w:pStyle w:val="TableParagraph"/>
              <w:spacing w:before="0"/>
              <w:ind w:left="52"/>
              <w:rPr>
                <w:sz w:val="20"/>
              </w:rPr>
            </w:pPr>
            <w:r>
              <w:rPr>
                <w:sz w:val="20"/>
              </w:rPr>
              <w:t>Azeem Bux</w:t>
            </w:r>
          </w:p>
        </w:tc>
        <w:tc>
          <w:tcPr>
            <w:tcW w:w="1755" w:type="dxa"/>
            <w:tcBorders>
              <w:top w:val="single" w:sz="4" w:space="0" w:color="000000"/>
              <w:left w:val="single" w:sz="4" w:space="0" w:color="000000"/>
              <w:bottom w:val="single" w:sz="4" w:space="0" w:color="000000"/>
              <w:right w:val="single" w:sz="4" w:space="0" w:color="000000"/>
            </w:tcBorders>
          </w:tcPr>
          <w:p>
            <w:pPr>
              <w:pStyle w:val="TableParagraph"/>
              <w:spacing w:before="6"/>
              <w:rPr>
                <w:b/>
                <w:sz w:val="23"/>
              </w:rPr>
            </w:pPr>
          </w:p>
          <w:p>
            <w:pPr>
              <w:pStyle w:val="TableParagraph"/>
              <w:spacing w:before="0"/>
              <w:ind w:left="53"/>
              <w:rPr>
                <w:sz w:val="20"/>
              </w:rPr>
            </w:pPr>
            <w:r>
              <w:rPr>
                <w:sz w:val="20"/>
              </w:rPr>
              <w:t>Muhammad Arif</w:t>
            </w:r>
          </w:p>
        </w:tc>
        <w:tc>
          <w:tcPr>
            <w:tcW w:w="1692" w:type="dxa"/>
            <w:tcBorders>
              <w:top w:val="single" w:sz="4" w:space="0" w:color="000000"/>
              <w:left w:val="single" w:sz="4" w:space="0" w:color="000000"/>
              <w:bottom w:val="single" w:sz="4" w:space="0" w:color="000000"/>
              <w:right w:val="single" w:sz="4" w:space="0" w:color="000000"/>
            </w:tcBorders>
          </w:tcPr>
          <w:p>
            <w:pPr>
              <w:pStyle w:val="TableParagraph"/>
              <w:spacing w:before="38"/>
              <w:ind w:left="52"/>
              <w:rPr>
                <w:sz w:val="20"/>
              </w:rPr>
            </w:pPr>
            <w:r>
              <w:rPr>
                <w:sz w:val="20"/>
              </w:rPr>
              <w:t>42201-7097666-</w:t>
            </w:r>
          </w:p>
          <w:p>
            <w:pPr>
              <w:pStyle w:val="TableParagraph"/>
              <w:spacing w:before="0"/>
              <w:ind w:left="52"/>
              <w:rPr>
                <w:sz w:val="20"/>
              </w:rPr>
            </w:pPr>
            <w:r>
              <w:rPr>
                <w:w w:val="99"/>
                <w:sz w:val="20"/>
              </w:rPr>
              <w:t>1</w:t>
            </w:r>
          </w:p>
        </w:tc>
        <w:tc>
          <w:tcPr>
            <w:tcW w:w="1436" w:type="dxa"/>
            <w:tcBorders>
              <w:top w:val="single" w:sz="4" w:space="0" w:color="000000"/>
              <w:left w:val="single" w:sz="4" w:space="0" w:color="000000"/>
              <w:bottom w:val="single" w:sz="4" w:space="0" w:color="000000"/>
              <w:right w:val="single" w:sz="4" w:space="0" w:color="000000"/>
            </w:tcBorders>
          </w:tcPr>
          <w:p>
            <w:pPr/>
          </w:p>
        </w:tc>
        <w:tc>
          <w:tcPr>
            <w:tcW w:w="1368" w:type="dxa"/>
            <w:tcBorders>
              <w:top w:val="single" w:sz="4" w:space="0" w:color="000000"/>
              <w:left w:val="single" w:sz="4" w:space="0" w:color="000000"/>
              <w:bottom w:val="single" w:sz="4" w:space="0" w:color="000000"/>
            </w:tcBorders>
          </w:tcPr>
          <w:p>
            <w:pPr>
              <w:pStyle w:val="TableParagraph"/>
              <w:spacing w:before="40"/>
              <w:ind w:right="227"/>
              <w:jc w:val="right"/>
              <w:rPr>
                <w:sz w:val="20"/>
              </w:rPr>
            </w:pPr>
            <w:r>
              <w:rPr>
                <w:sz w:val="20"/>
              </w:rPr>
              <w:t>48,000</w:t>
            </w:r>
          </w:p>
        </w:tc>
      </w:tr>
      <w:tr>
        <w:trPr>
          <w:trHeight w:val="319" w:hRule="exact"/>
        </w:trPr>
        <w:tc>
          <w:tcPr>
            <w:tcW w:w="497" w:type="dxa"/>
            <w:tcBorders>
              <w:top w:val="single" w:sz="4" w:space="0" w:color="000000"/>
              <w:bottom w:val="single" w:sz="4" w:space="0" w:color="000000"/>
              <w:right w:val="single" w:sz="4" w:space="0" w:color="000000"/>
            </w:tcBorders>
          </w:tcPr>
          <w:p>
            <w:pPr>
              <w:pStyle w:val="TableParagraph"/>
              <w:spacing w:before="40"/>
              <w:ind w:right="132"/>
              <w:jc w:val="right"/>
              <w:rPr>
                <w:sz w:val="20"/>
              </w:rPr>
            </w:pPr>
            <w:r>
              <w:rPr>
                <w:sz w:val="20"/>
              </w:rPr>
              <w:t>56</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40"/>
              <w:ind w:right="244"/>
              <w:jc w:val="right"/>
              <w:rPr>
                <w:sz w:val="20"/>
              </w:rPr>
            </w:pPr>
            <w:r>
              <w:rPr>
                <w:w w:val="99"/>
                <w:sz w:val="20"/>
              </w:rPr>
              <w:t>3</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ight="57"/>
              <w:jc w:val="center"/>
              <w:rPr>
                <w:sz w:val="20"/>
              </w:rPr>
            </w:pPr>
            <w:r>
              <w:rPr>
                <w:sz w:val="20"/>
              </w:rPr>
              <w:t>24 50.031</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40"/>
              <w:ind w:left="97" w:right="97"/>
              <w:jc w:val="center"/>
              <w:rPr>
                <w:sz w:val="20"/>
              </w:rPr>
            </w:pPr>
            <w:r>
              <w:rPr>
                <w:sz w:val="20"/>
              </w:rPr>
              <w:t>67 05.700</w:t>
            </w:r>
          </w:p>
        </w:tc>
        <w:tc>
          <w:tcPr>
            <w:tcW w:w="2091"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Pr>
                <w:sz w:val="20"/>
              </w:rPr>
            </w:pPr>
            <w:r>
              <w:rPr>
                <w:sz w:val="20"/>
              </w:rPr>
              <w:t>Ghulam Hussain</w:t>
            </w:r>
          </w:p>
        </w:tc>
        <w:tc>
          <w:tcPr>
            <w:tcW w:w="2004"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Pr>
                <w:sz w:val="20"/>
              </w:rPr>
            </w:pPr>
            <w:r>
              <w:rPr>
                <w:sz w:val="20"/>
              </w:rPr>
              <w:t>Azeem Bux</w:t>
            </w:r>
          </w:p>
        </w:tc>
        <w:tc>
          <w:tcPr>
            <w:tcW w:w="1755" w:type="dxa"/>
            <w:tcBorders>
              <w:top w:val="single" w:sz="4" w:space="0" w:color="000000"/>
              <w:left w:val="single" w:sz="4" w:space="0" w:color="000000"/>
              <w:bottom w:val="single" w:sz="4" w:space="0" w:color="000000"/>
              <w:right w:val="single" w:sz="4" w:space="0" w:color="000000"/>
            </w:tcBorders>
          </w:tcPr>
          <w:p>
            <w:pPr>
              <w:pStyle w:val="TableParagraph"/>
              <w:spacing w:before="40"/>
              <w:ind w:left="53"/>
              <w:rPr>
                <w:sz w:val="20"/>
              </w:rPr>
            </w:pPr>
            <w:r>
              <w:rPr>
                <w:sz w:val="20"/>
              </w:rPr>
              <w:t>Asif</w:t>
            </w:r>
          </w:p>
        </w:tc>
        <w:tc>
          <w:tcPr>
            <w:tcW w:w="1692" w:type="dxa"/>
            <w:tcBorders>
              <w:top w:val="single" w:sz="4" w:space="0" w:color="000000"/>
              <w:left w:val="single" w:sz="4" w:space="0" w:color="000000"/>
              <w:bottom w:val="single" w:sz="4" w:space="0" w:color="000000"/>
              <w:right w:val="single" w:sz="4" w:space="0" w:color="000000"/>
            </w:tcBorders>
          </w:tcPr>
          <w:p>
            <w:pPr/>
          </w:p>
        </w:tc>
        <w:tc>
          <w:tcPr>
            <w:tcW w:w="1436" w:type="dxa"/>
            <w:tcBorders>
              <w:top w:val="single" w:sz="4" w:space="0" w:color="000000"/>
              <w:left w:val="single" w:sz="4" w:space="0" w:color="000000"/>
              <w:bottom w:val="single" w:sz="4" w:space="0" w:color="000000"/>
              <w:right w:val="single" w:sz="4" w:space="0" w:color="000000"/>
            </w:tcBorders>
          </w:tcPr>
          <w:p>
            <w:pPr/>
          </w:p>
        </w:tc>
        <w:tc>
          <w:tcPr>
            <w:tcW w:w="1368" w:type="dxa"/>
            <w:tcBorders>
              <w:top w:val="single" w:sz="4" w:space="0" w:color="000000"/>
              <w:left w:val="single" w:sz="4" w:space="0" w:color="000000"/>
              <w:bottom w:val="single" w:sz="4" w:space="0" w:color="000000"/>
            </w:tcBorders>
          </w:tcPr>
          <w:p>
            <w:pPr>
              <w:pStyle w:val="TableParagraph"/>
              <w:spacing w:before="40"/>
              <w:ind w:right="227"/>
              <w:jc w:val="right"/>
              <w:rPr>
                <w:sz w:val="20"/>
              </w:rPr>
            </w:pPr>
            <w:r>
              <w:rPr>
                <w:sz w:val="20"/>
              </w:rPr>
              <w:t>48,000</w:t>
            </w:r>
          </w:p>
        </w:tc>
      </w:tr>
      <w:tr>
        <w:trPr>
          <w:trHeight w:val="319" w:hRule="exact"/>
        </w:trPr>
        <w:tc>
          <w:tcPr>
            <w:tcW w:w="497" w:type="dxa"/>
            <w:tcBorders>
              <w:top w:val="single" w:sz="4" w:space="0" w:color="000000"/>
              <w:bottom w:val="single" w:sz="4" w:space="0" w:color="000000"/>
              <w:right w:val="single" w:sz="4" w:space="0" w:color="000000"/>
            </w:tcBorders>
          </w:tcPr>
          <w:p>
            <w:pPr>
              <w:pStyle w:val="TableParagraph"/>
              <w:spacing w:before="40"/>
              <w:ind w:right="132"/>
              <w:jc w:val="right"/>
              <w:rPr>
                <w:sz w:val="20"/>
              </w:rPr>
            </w:pPr>
            <w:r>
              <w:rPr>
                <w:sz w:val="20"/>
              </w:rPr>
              <w:t>56</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40"/>
              <w:ind w:right="244"/>
              <w:jc w:val="right"/>
              <w:rPr>
                <w:sz w:val="20"/>
              </w:rPr>
            </w:pPr>
            <w:r>
              <w:rPr>
                <w:w w:val="99"/>
                <w:sz w:val="20"/>
              </w:rPr>
              <w:t>3</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ight="57"/>
              <w:jc w:val="center"/>
              <w:rPr>
                <w:sz w:val="20"/>
              </w:rPr>
            </w:pPr>
            <w:r>
              <w:rPr>
                <w:sz w:val="20"/>
              </w:rPr>
              <w:t>24 50.031</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40"/>
              <w:ind w:left="97" w:right="97"/>
              <w:jc w:val="center"/>
              <w:rPr>
                <w:sz w:val="20"/>
              </w:rPr>
            </w:pPr>
            <w:r>
              <w:rPr>
                <w:sz w:val="20"/>
              </w:rPr>
              <w:t>67 05.700</w:t>
            </w:r>
          </w:p>
        </w:tc>
        <w:tc>
          <w:tcPr>
            <w:tcW w:w="2091"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Pr>
                <w:sz w:val="20"/>
              </w:rPr>
            </w:pPr>
            <w:r>
              <w:rPr>
                <w:sz w:val="20"/>
              </w:rPr>
              <w:t>Ghulam Hussain</w:t>
            </w:r>
          </w:p>
        </w:tc>
        <w:tc>
          <w:tcPr>
            <w:tcW w:w="2004"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Pr>
                <w:sz w:val="20"/>
              </w:rPr>
            </w:pPr>
            <w:r>
              <w:rPr>
                <w:sz w:val="20"/>
              </w:rPr>
              <w:t>Azeem Bux</w:t>
            </w:r>
          </w:p>
        </w:tc>
        <w:tc>
          <w:tcPr>
            <w:tcW w:w="1755" w:type="dxa"/>
            <w:tcBorders>
              <w:top w:val="single" w:sz="4" w:space="0" w:color="000000"/>
              <w:left w:val="single" w:sz="4" w:space="0" w:color="000000"/>
              <w:bottom w:val="single" w:sz="4" w:space="0" w:color="000000"/>
              <w:right w:val="single" w:sz="4" w:space="0" w:color="000000"/>
            </w:tcBorders>
          </w:tcPr>
          <w:p>
            <w:pPr>
              <w:pStyle w:val="TableParagraph"/>
              <w:spacing w:before="40"/>
              <w:ind w:left="53"/>
              <w:rPr>
                <w:sz w:val="20"/>
              </w:rPr>
            </w:pPr>
            <w:r>
              <w:rPr>
                <w:sz w:val="20"/>
              </w:rPr>
              <w:t>Nazir Chohan</w:t>
            </w:r>
          </w:p>
        </w:tc>
        <w:tc>
          <w:tcPr>
            <w:tcW w:w="1692" w:type="dxa"/>
            <w:tcBorders>
              <w:top w:val="single" w:sz="4" w:space="0" w:color="000000"/>
              <w:left w:val="single" w:sz="4" w:space="0" w:color="000000"/>
              <w:bottom w:val="single" w:sz="4" w:space="0" w:color="000000"/>
              <w:right w:val="single" w:sz="4" w:space="0" w:color="000000"/>
            </w:tcBorders>
          </w:tcPr>
          <w:p>
            <w:pPr/>
          </w:p>
        </w:tc>
        <w:tc>
          <w:tcPr>
            <w:tcW w:w="1436" w:type="dxa"/>
            <w:tcBorders>
              <w:top w:val="single" w:sz="4" w:space="0" w:color="000000"/>
              <w:left w:val="single" w:sz="4" w:space="0" w:color="000000"/>
              <w:bottom w:val="single" w:sz="4" w:space="0" w:color="000000"/>
              <w:right w:val="single" w:sz="4" w:space="0" w:color="000000"/>
            </w:tcBorders>
          </w:tcPr>
          <w:p>
            <w:pPr/>
          </w:p>
        </w:tc>
        <w:tc>
          <w:tcPr>
            <w:tcW w:w="1368" w:type="dxa"/>
            <w:tcBorders>
              <w:top w:val="single" w:sz="4" w:space="0" w:color="000000"/>
              <w:left w:val="single" w:sz="4" w:space="0" w:color="000000"/>
              <w:bottom w:val="single" w:sz="4" w:space="0" w:color="000000"/>
            </w:tcBorders>
          </w:tcPr>
          <w:p>
            <w:pPr>
              <w:pStyle w:val="TableParagraph"/>
              <w:spacing w:before="40"/>
              <w:ind w:right="227"/>
              <w:jc w:val="right"/>
              <w:rPr>
                <w:sz w:val="20"/>
              </w:rPr>
            </w:pPr>
            <w:r>
              <w:rPr>
                <w:sz w:val="20"/>
              </w:rPr>
              <w:t>48,000</w:t>
            </w:r>
          </w:p>
        </w:tc>
      </w:tr>
      <w:tr>
        <w:trPr>
          <w:trHeight w:val="322" w:hRule="exact"/>
        </w:trPr>
        <w:tc>
          <w:tcPr>
            <w:tcW w:w="497" w:type="dxa"/>
            <w:tcBorders>
              <w:top w:val="single" w:sz="4" w:space="0" w:color="000000"/>
              <w:bottom w:val="single" w:sz="4" w:space="0" w:color="000000"/>
              <w:right w:val="single" w:sz="4" w:space="0" w:color="000000"/>
            </w:tcBorders>
          </w:tcPr>
          <w:p>
            <w:pPr>
              <w:pStyle w:val="TableParagraph"/>
              <w:spacing w:before="43"/>
              <w:ind w:right="132"/>
              <w:jc w:val="right"/>
              <w:rPr>
                <w:sz w:val="20"/>
              </w:rPr>
            </w:pPr>
            <w:r>
              <w:rPr>
                <w:sz w:val="20"/>
              </w:rPr>
              <w:t>56</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43"/>
              <w:ind w:right="244"/>
              <w:jc w:val="right"/>
              <w:rPr>
                <w:sz w:val="20"/>
              </w:rPr>
            </w:pPr>
            <w:r>
              <w:rPr>
                <w:w w:val="99"/>
                <w:sz w:val="20"/>
              </w:rPr>
              <w:t>3</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43"/>
              <w:ind w:left="52" w:right="57"/>
              <w:jc w:val="center"/>
              <w:rPr>
                <w:sz w:val="20"/>
              </w:rPr>
            </w:pPr>
            <w:r>
              <w:rPr>
                <w:sz w:val="20"/>
              </w:rPr>
              <w:t>24 50.031</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43"/>
              <w:ind w:left="97" w:right="97"/>
              <w:jc w:val="center"/>
              <w:rPr>
                <w:sz w:val="20"/>
              </w:rPr>
            </w:pPr>
            <w:r>
              <w:rPr>
                <w:sz w:val="20"/>
              </w:rPr>
              <w:t>67 05.700</w:t>
            </w:r>
          </w:p>
        </w:tc>
        <w:tc>
          <w:tcPr>
            <w:tcW w:w="2091" w:type="dxa"/>
            <w:tcBorders>
              <w:top w:val="single" w:sz="4" w:space="0" w:color="000000"/>
              <w:left w:val="single" w:sz="4" w:space="0" w:color="000000"/>
              <w:bottom w:val="single" w:sz="4" w:space="0" w:color="000000"/>
              <w:right w:val="single" w:sz="4" w:space="0" w:color="000000"/>
            </w:tcBorders>
          </w:tcPr>
          <w:p>
            <w:pPr>
              <w:pStyle w:val="TableParagraph"/>
              <w:spacing w:before="43"/>
              <w:ind w:left="52"/>
              <w:rPr>
                <w:sz w:val="20"/>
              </w:rPr>
            </w:pPr>
            <w:r>
              <w:rPr>
                <w:sz w:val="20"/>
              </w:rPr>
              <w:t>Ghulam Hussain</w:t>
            </w:r>
          </w:p>
        </w:tc>
        <w:tc>
          <w:tcPr>
            <w:tcW w:w="2004" w:type="dxa"/>
            <w:tcBorders>
              <w:top w:val="single" w:sz="4" w:space="0" w:color="000000"/>
              <w:left w:val="single" w:sz="4" w:space="0" w:color="000000"/>
              <w:bottom w:val="single" w:sz="4" w:space="0" w:color="000000"/>
              <w:right w:val="single" w:sz="4" w:space="0" w:color="000000"/>
            </w:tcBorders>
          </w:tcPr>
          <w:p>
            <w:pPr>
              <w:pStyle w:val="TableParagraph"/>
              <w:spacing w:before="43"/>
              <w:ind w:left="52"/>
              <w:rPr>
                <w:sz w:val="20"/>
              </w:rPr>
            </w:pPr>
            <w:r>
              <w:rPr>
                <w:sz w:val="20"/>
              </w:rPr>
              <w:t>Azeem Bux</w:t>
            </w:r>
          </w:p>
        </w:tc>
        <w:tc>
          <w:tcPr>
            <w:tcW w:w="1755" w:type="dxa"/>
            <w:tcBorders>
              <w:top w:val="single" w:sz="4" w:space="0" w:color="000000"/>
              <w:left w:val="single" w:sz="4" w:space="0" w:color="000000"/>
              <w:bottom w:val="single" w:sz="4" w:space="0" w:color="000000"/>
              <w:right w:val="single" w:sz="4" w:space="0" w:color="000000"/>
            </w:tcBorders>
          </w:tcPr>
          <w:p>
            <w:pPr>
              <w:pStyle w:val="TableParagraph"/>
              <w:spacing w:before="43"/>
              <w:ind w:left="53"/>
              <w:rPr>
                <w:sz w:val="20"/>
              </w:rPr>
            </w:pPr>
            <w:r>
              <w:rPr>
                <w:sz w:val="20"/>
              </w:rPr>
              <w:t>Babu Chohan</w:t>
            </w:r>
          </w:p>
        </w:tc>
        <w:tc>
          <w:tcPr>
            <w:tcW w:w="1692" w:type="dxa"/>
            <w:tcBorders>
              <w:top w:val="single" w:sz="4" w:space="0" w:color="000000"/>
              <w:left w:val="single" w:sz="4" w:space="0" w:color="000000"/>
              <w:bottom w:val="single" w:sz="4" w:space="0" w:color="000000"/>
              <w:right w:val="single" w:sz="4" w:space="0" w:color="000000"/>
            </w:tcBorders>
          </w:tcPr>
          <w:p>
            <w:pPr/>
          </w:p>
        </w:tc>
        <w:tc>
          <w:tcPr>
            <w:tcW w:w="1436" w:type="dxa"/>
            <w:tcBorders>
              <w:top w:val="single" w:sz="4" w:space="0" w:color="000000"/>
              <w:left w:val="single" w:sz="4" w:space="0" w:color="000000"/>
              <w:bottom w:val="single" w:sz="4" w:space="0" w:color="000000"/>
              <w:right w:val="single" w:sz="4" w:space="0" w:color="000000"/>
            </w:tcBorders>
          </w:tcPr>
          <w:p>
            <w:pPr/>
          </w:p>
        </w:tc>
        <w:tc>
          <w:tcPr>
            <w:tcW w:w="1368" w:type="dxa"/>
            <w:tcBorders>
              <w:top w:val="single" w:sz="4" w:space="0" w:color="000000"/>
              <w:left w:val="single" w:sz="4" w:space="0" w:color="000000"/>
              <w:bottom w:val="single" w:sz="4" w:space="0" w:color="000000"/>
            </w:tcBorders>
          </w:tcPr>
          <w:p>
            <w:pPr>
              <w:pStyle w:val="TableParagraph"/>
              <w:spacing w:before="43"/>
              <w:ind w:right="227"/>
              <w:jc w:val="right"/>
              <w:rPr>
                <w:sz w:val="20"/>
              </w:rPr>
            </w:pPr>
            <w:r>
              <w:rPr>
                <w:sz w:val="20"/>
              </w:rPr>
              <w:t>48,000</w:t>
            </w:r>
          </w:p>
        </w:tc>
      </w:tr>
      <w:tr>
        <w:trPr>
          <w:trHeight w:val="320" w:hRule="exact"/>
        </w:trPr>
        <w:tc>
          <w:tcPr>
            <w:tcW w:w="497" w:type="dxa"/>
            <w:tcBorders>
              <w:top w:val="single" w:sz="4" w:space="0" w:color="000000"/>
              <w:bottom w:val="single" w:sz="4" w:space="0" w:color="000000"/>
              <w:right w:val="single" w:sz="4" w:space="0" w:color="000000"/>
            </w:tcBorders>
          </w:tcPr>
          <w:p>
            <w:pPr>
              <w:pStyle w:val="TableParagraph"/>
              <w:spacing w:before="41"/>
              <w:ind w:right="132"/>
              <w:jc w:val="right"/>
              <w:rPr>
                <w:sz w:val="20"/>
              </w:rPr>
            </w:pPr>
            <w:r>
              <w:rPr>
                <w:sz w:val="20"/>
              </w:rPr>
              <w:t>56</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41"/>
              <w:ind w:right="244"/>
              <w:jc w:val="right"/>
              <w:rPr>
                <w:sz w:val="20"/>
              </w:rPr>
            </w:pPr>
            <w:r>
              <w:rPr>
                <w:w w:val="99"/>
                <w:sz w:val="20"/>
              </w:rPr>
              <w:t>3</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41"/>
              <w:ind w:left="52" w:right="57"/>
              <w:jc w:val="center"/>
              <w:rPr>
                <w:sz w:val="20"/>
              </w:rPr>
            </w:pPr>
            <w:r>
              <w:rPr>
                <w:sz w:val="20"/>
              </w:rPr>
              <w:t>24 50.031</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41"/>
              <w:ind w:left="97" w:right="97"/>
              <w:jc w:val="center"/>
              <w:rPr>
                <w:sz w:val="20"/>
              </w:rPr>
            </w:pPr>
            <w:r>
              <w:rPr>
                <w:sz w:val="20"/>
              </w:rPr>
              <w:t>67 05.700</w:t>
            </w:r>
          </w:p>
        </w:tc>
        <w:tc>
          <w:tcPr>
            <w:tcW w:w="2091" w:type="dxa"/>
            <w:tcBorders>
              <w:top w:val="single" w:sz="4" w:space="0" w:color="000000"/>
              <w:left w:val="single" w:sz="4" w:space="0" w:color="000000"/>
              <w:bottom w:val="single" w:sz="4" w:space="0" w:color="000000"/>
              <w:right w:val="single" w:sz="4" w:space="0" w:color="000000"/>
            </w:tcBorders>
          </w:tcPr>
          <w:p>
            <w:pPr>
              <w:pStyle w:val="TableParagraph"/>
              <w:spacing w:before="41"/>
              <w:ind w:left="52"/>
              <w:rPr>
                <w:sz w:val="20"/>
              </w:rPr>
            </w:pPr>
            <w:r>
              <w:rPr>
                <w:sz w:val="20"/>
              </w:rPr>
              <w:t>Ghulam Hussain</w:t>
            </w:r>
          </w:p>
        </w:tc>
        <w:tc>
          <w:tcPr>
            <w:tcW w:w="2004" w:type="dxa"/>
            <w:tcBorders>
              <w:top w:val="single" w:sz="4" w:space="0" w:color="000000"/>
              <w:left w:val="single" w:sz="4" w:space="0" w:color="000000"/>
              <w:bottom w:val="single" w:sz="4" w:space="0" w:color="000000"/>
              <w:right w:val="single" w:sz="4" w:space="0" w:color="000000"/>
            </w:tcBorders>
          </w:tcPr>
          <w:p>
            <w:pPr>
              <w:pStyle w:val="TableParagraph"/>
              <w:spacing w:before="41"/>
              <w:ind w:left="52"/>
              <w:rPr>
                <w:sz w:val="20"/>
              </w:rPr>
            </w:pPr>
            <w:r>
              <w:rPr>
                <w:sz w:val="20"/>
              </w:rPr>
              <w:t>Azeem Bux</w:t>
            </w:r>
          </w:p>
        </w:tc>
        <w:tc>
          <w:tcPr>
            <w:tcW w:w="1755" w:type="dxa"/>
            <w:tcBorders>
              <w:top w:val="single" w:sz="4" w:space="0" w:color="000000"/>
              <w:left w:val="single" w:sz="4" w:space="0" w:color="000000"/>
              <w:bottom w:val="single" w:sz="4" w:space="0" w:color="000000"/>
              <w:right w:val="single" w:sz="4" w:space="0" w:color="000000"/>
            </w:tcBorders>
          </w:tcPr>
          <w:p>
            <w:pPr>
              <w:pStyle w:val="TableParagraph"/>
              <w:spacing w:before="41"/>
              <w:ind w:left="53"/>
              <w:rPr>
                <w:sz w:val="20"/>
              </w:rPr>
            </w:pPr>
            <w:r>
              <w:rPr>
                <w:sz w:val="20"/>
              </w:rPr>
              <w:t>Hussain Chohan</w:t>
            </w:r>
          </w:p>
        </w:tc>
        <w:tc>
          <w:tcPr>
            <w:tcW w:w="1692" w:type="dxa"/>
            <w:tcBorders>
              <w:top w:val="single" w:sz="4" w:space="0" w:color="000000"/>
              <w:left w:val="single" w:sz="4" w:space="0" w:color="000000"/>
              <w:bottom w:val="single" w:sz="4" w:space="0" w:color="000000"/>
              <w:right w:val="single" w:sz="4" w:space="0" w:color="000000"/>
            </w:tcBorders>
          </w:tcPr>
          <w:p>
            <w:pPr/>
          </w:p>
        </w:tc>
        <w:tc>
          <w:tcPr>
            <w:tcW w:w="1436" w:type="dxa"/>
            <w:tcBorders>
              <w:top w:val="single" w:sz="4" w:space="0" w:color="000000"/>
              <w:left w:val="single" w:sz="4" w:space="0" w:color="000000"/>
              <w:bottom w:val="single" w:sz="4" w:space="0" w:color="000000"/>
              <w:right w:val="single" w:sz="4" w:space="0" w:color="000000"/>
            </w:tcBorders>
          </w:tcPr>
          <w:p>
            <w:pPr/>
          </w:p>
        </w:tc>
        <w:tc>
          <w:tcPr>
            <w:tcW w:w="1368" w:type="dxa"/>
            <w:tcBorders>
              <w:top w:val="single" w:sz="4" w:space="0" w:color="000000"/>
              <w:left w:val="single" w:sz="4" w:space="0" w:color="000000"/>
              <w:bottom w:val="single" w:sz="4" w:space="0" w:color="000000"/>
            </w:tcBorders>
          </w:tcPr>
          <w:p>
            <w:pPr>
              <w:pStyle w:val="TableParagraph"/>
              <w:spacing w:before="41"/>
              <w:ind w:right="227"/>
              <w:jc w:val="right"/>
              <w:rPr>
                <w:sz w:val="20"/>
              </w:rPr>
            </w:pPr>
            <w:r>
              <w:rPr>
                <w:sz w:val="20"/>
              </w:rPr>
              <w:t>48,000</w:t>
            </w:r>
          </w:p>
        </w:tc>
      </w:tr>
      <w:tr>
        <w:trPr>
          <w:trHeight w:val="319" w:hRule="exact"/>
        </w:trPr>
        <w:tc>
          <w:tcPr>
            <w:tcW w:w="497" w:type="dxa"/>
            <w:tcBorders>
              <w:top w:val="single" w:sz="4" w:space="0" w:color="000000"/>
              <w:bottom w:val="single" w:sz="4" w:space="0" w:color="000000"/>
              <w:right w:val="single" w:sz="4" w:space="0" w:color="000000"/>
            </w:tcBorders>
          </w:tcPr>
          <w:p>
            <w:pPr>
              <w:pStyle w:val="TableParagraph"/>
              <w:spacing w:before="40"/>
              <w:ind w:right="132"/>
              <w:jc w:val="right"/>
              <w:rPr>
                <w:sz w:val="20"/>
              </w:rPr>
            </w:pPr>
            <w:r>
              <w:rPr>
                <w:sz w:val="20"/>
              </w:rPr>
              <w:t>57</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40"/>
              <w:ind w:right="244"/>
              <w:jc w:val="right"/>
              <w:rPr>
                <w:sz w:val="20"/>
              </w:rPr>
            </w:pPr>
            <w:r>
              <w:rPr>
                <w:w w:val="99"/>
                <w:sz w:val="20"/>
              </w:rPr>
              <w:t>3</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ight="57"/>
              <w:jc w:val="center"/>
              <w:rPr>
                <w:sz w:val="20"/>
              </w:rPr>
            </w:pPr>
            <w:r>
              <w:rPr>
                <w:sz w:val="20"/>
              </w:rPr>
              <w:t>24 50.031</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40"/>
              <w:ind w:left="97" w:right="97"/>
              <w:jc w:val="center"/>
              <w:rPr>
                <w:sz w:val="20"/>
              </w:rPr>
            </w:pPr>
            <w:r>
              <w:rPr>
                <w:sz w:val="20"/>
              </w:rPr>
              <w:t>67 05.700</w:t>
            </w:r>
          </w:p>
        </w:tc>
        <w:tc>
          <w:tcPr>
            <w:tcW w:w="2091"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Pr>
                <w:sz w:val="20"/>
              </w:rPr>
            </w:pPr>
            <w:r>
              <w:rPr>
                <w:sz w:val="20"/>
              </w:rPr>
              <w:t>Mukhtiar Hussain</w:t>
            </w:r>
          </w:p>
        </w:tc>
        <w:tc>
          <w:tcPr>
            <w:tcW w:w="2004"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Pr>
                <w:sz w:val="20"/>
              </w:rPr>
            </w:pPr>
            <w:r>
              <w:rPr>
                <w:sz w:val="20"/>
              </w:rPr>
              <w:t>Haji Muhammad</w:t>
            </w:r>
          </w:p>
        </w:tc>
        <w:tc>
          <w:tcPr>
            <w:tcW w:w="1755" w:type="dxa"/>
            <w:tcBorders>
              <w:top w:val="single" w:sz="4" w:space="0" w:color="000000"/>
              <w:left w:val="single" w:sz="4" w:space="0" w:color="000000"/>
              <w:bottom w:val="single" w:sz="4" w:space="0" w:color="000000"/>
              <w:right w:val="single" w:sz="4" w:space="0" w:color="000000"/>
            </w:tcBorders>
          </w:tcPr>
          <w:p>
            <w:pPr>
              <w:pStyle w:val="TableParagraph"/>
              <w:spacing w:before="40"/>
              <w:ind w:left="53"/>
              <w:rPr>
                <w:sz w:val="20"/>
              </w:rPr>
            </w:pPr>
            <w:r>
              <w:rPr>
                <w:sz w:val="20"/>
              </w:rPr>
              <w:t>Nasir Shah</w:t>
            </w:r>
          </w:p>
        </w:tc>
        <w:tc>
          <w:tcPr>
            <w:tcW w:w="1692" w:type="dxa"/>
            <w:tcBorders>
              <w:top w:val="single" w:sz="4" w:space="0" w:color="000000"/>
              <w:left w:val="single" w:sz="4" w:space="0" w:color="000000"/>
              <w:bottom w:val="single" w:sz="4" w:space="0" w:color="000000"/>
              <w:right w:val="single" w:sz="4" w:space="0" w:color="000000"/>
            </w:tcBorders>
          </w:tcPr>
          <w:p>
            <w:pPr/>
          </w:p>
        </w:tc>
        <w:tc>
          <w:tcPr>
            <w:tcW w:w="1436" w:type="dxa"/>
            <w:tcBorders>
              <w:top w:val="single" w:sz="4" w:space="0" w:color="000000"/>
              <w:left w:val="single" w:sz="4" w:space="0" w:color="000000"/>
              <w:bottom w:val="single" w:sz="4" w:space="0" w:color="000000"/>
              <w:right w:val="single" w:sz="4" w:space="0" w:color="000000"/>
            </w:tcBorders>
          </w:tcPr>
          <w:p>
            <w:pPr/>
          </w:p>
        </w:tc>
        <w:tc>
          <w:tcPr>
            <w:tcW w:w="1368" w:type="dxa"/>
            <w:tcBorders>
              <w:top w:val="single" w:sz="4" w:space="0" w:color="000000"/>
              <w:left w:val="single" w:sz="4" w:space="0" w:color="000000"/>
              <w:bottom w:val="single" w:sz="4" w:space="0" w:color="000000"/>
            </w:tcBorders>
          </w:tcPr>
          <w:p>
            <w:pPr>
              <w:pStyle w:val="TableParagraph"/>
              <w:spacing w:before="40"/>
              <w:ind w:right="227"/>
              <w:jc w:val="right"/>
              <w:rPr>
                <w:sz w:val="20"/>
              </w:rPr>
            </w:pPr>
            <w:r>
              <w:rPr>
                <w:sz w:val="20"/>
              </w:rPr>
              <w:t>48,000</w:t>
            </w:r>
          </w:p>
        </w:tc>
      </w:tr>
      <w:tr>
        <w:trPr>
          <w:trHeight w:val="322" w:hRule="exact"/>
        </w:trPr>
        <w:tc>
          <w:tcPr>
            <w:tcW w:w="497" w:type="dxa"/>
            <w:tcBorders>
              <w:top w:val="single" w:sz="4" w:space="0" w:color="000000"/>
              <w:bottom w:val="single" w:sz="4" w:space="0" w:color="000000"/>
              <w:right w:val="single" w:sz="4" w:space="0" w:color="000000"/>
            </w:tcBorders>
          </w:tcPr>
          <w:p>
            <w:pPr>
              <w:pStyle w:val="TableParagraph"/>
              <w:spacing w:before="43"/>
              <w:ind w:right="132"/>
              <w:jc w:val="right"/>
              <w:rPr>
                <w:sz w:val="20"/>
              </w:rPr>
            </w:pPr>
            <w:r>
              <w:rPr>
                <w:sz w:val="20"/>
              </w:rPr>
              <w:t>57</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43"/>
              <w:ind w:right="244"/>
              <w:jc w:val="right"/>
              <w:rPr>
                <w:sz w:val="20"/>
              </w:rPr>
            </w:pPr>
            <w:r>
              <w:rPr>
                <w:w w:val="99"/>
                <w:sz w:val="20"/>
              </w:rPr>
              <w:t>3</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43"/>
              <w:ind w:left="52" w:right="57"/>
              <w:jc w:val="center"/>
              <w:rPr>
                <w:sz w:val="20"/>
              </w:rPr>
            </w:pPr>
            <w:r>
              <w:rPr>
                <w:sz w:val="20"/>
              </w:rPr>
              <w:t>24 50.031</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43"/>
              <w:ind w:left="97" w:right="97"/>
              <w:jc w:val="center"/>
              <w:rPr>
                <w:sz w:val="20"/>
              </w:rPr>
            </w:pPr>
            <w:r>
              <w:rPr>
                <w:sz w:val="20"/>
              </w:rPr>
              <w:t>67 05.700</w:t>
            </w:r>
          </w:p>
        </w:tc>
        <w:tc>
          <w:tcPr>
            <w:tcW w:w="2091" w:type="dxa"/>
            <w:tcBorders>
              <w:top w:val="single" w:sz="4" w:space="0" w:color="000000"/>
              <w:left w:val="single" w:sz="4" w:space="0" w:color="000000"/>
              <w:bottom w:val="single" w:sz="4" w:space="0" w:color="000000"/>
              <w:right w:val="single" w:sz="4" w:space="0" w:color="000000"/>
            </w:tcBorders>
          </w:tcPr>
          <w:p>
            <w:pPr>
              <w:pStyle w:val="TableParagraph"/>
              <w:spacing w:before="43"/>
              <w:ind w:left="52"/>
              <w:rPr>
                <w:sz w:val="20"/>
              </w:rPr>
            </w:pPr>
            <w:r>
              <w:rPr>
                <w:sz w:val="20"/>
              </w:rPr>
              <w:t>Mukhtiar Hussain</w:t>
            </w:r>
          </w:p>
        </w:tc>
        <w:tc>
          <w:tcPr>
            <w:tcW w:w="2004" w:type="dxa"/>
            <w:tcBorders>
              <w:top w:val="single" w:sz="4" w:space="0" w:color="000000"/>
              <w:left w:val="single" w:sz="4" w:space="0" w:color="000000"/>
              <w:bottom w:val="single" w:sz="4" w:space="0" w:color="000000"/>
              <w:right w:val="single" w:sz="4" w:space="0" w:color="000000"/>
            </w:tcBorders>
          </w:tcPr>
          <w:p>
            <w:pPr>
              <w:pStyle w:val="TableParagraph"/>
              <w:spacing w:before="43"/>
              <w:ind w:left="52"/>
              <w:rPr>
                <w:sz w:val="20"/>
              </w:rPr>
            </w:pPr>
            <w:r>
              <w:rPr>
                <w:sz w:val="20"/>
              </w:rPr>
              <w:t>Haji Muhammad</w:t>
            </w:r>
          </w:p>
        </w:tc>
        <w:tc>
          <w:tcPr>
            <w:tcW w:w="1755" w:type="dxa"/>
            <w:tcBorders>
              <w:top w:val="single" w:sz="4" w:space="0" w:color="000000"/>
              <w:left w:val="single" w:sz="4" w:space="0" w:color="000000"/>
              <w:bottom w:val="single" w:sz="4" w:space="0" w:color="000000"/>
              <w:right w:val="single" w:sz="4" w:space="0" w:color="000000"/>
            </w:tcBorders>
          </w:tcPr>
          <w:p>
            <w:pPr>
              <w:pStyle w:val="TableParagraph"/>
              <w:spacing w:before="43"/>
              <w:ind w:left="53"/>
              <w:rPr>
                <w:sz w:val="20"/>
              </w:rPr>
            </w:pPr>
            <w:r>
              <w:rPr>
                <w:sz w:val="20"/>
              </w:rPr>
              <w:t>Muzaffar</w:t>
            </w:r>
          </w:p>
        </w:tc>
        <w:tc>
          <w:tcPr>
            <w:tcW w:w="1692" w:type="dxa"/>
            <w:tcBorders>
              <w:top w:val="single" w:sz="4" w:space="0" w:color="000000"/>
              <w:left w:val="single" w:sz="4" w:space="0" w:color="000000"/>
              <w:bottom w:val="single" w:sz="4" w:space="0" w:color="000000"/>
              <w:right w:val="single" w:sz="4" w:space="0" w:color="000000"/>
            </w:tcBorders>
          </w:tcPr>
          <w:p>
            <w:pPr/>
          </w:p>
        </w:tc>
        <w:tc>
          <w:tcPr>
            <w:tcW w:w="1436" w:type="dxa"/>
            <w:tcBorders>
              <w:top w:val="single" w:sz="4" w:space="0" w:color="000000"/>
              <w:left w:val="single" w:sz="4" w:space="0" w:color="000000"/>
              <w:bottom w:val="single" w:sz="4" w:space="0" w:color="000000"/>
              <w:right w:val="single" w:sz="4" w:space="0" w:color="000000"/>
            </w:tcBorders>
          </w:tcPr>
          <w:p>
            <w:pPr/>
          </w:p>
        </w:tc>
        <w:tc>
          <w:tcPr>
            <w:tcW w:w="1368" w:type="dxa"/>
            <w:tcBorders>
              <w:top w:val="single" w:sz="4" w:space="0" w:color="000000"/>
              <w:left w:val="single" w:sz="4" w:space="0" w:color="000000"/>
              <w:bottom w:val="single" w:sz="4" w:space="0" w:color="000000"/>
            </w:tcBorders>
          </w:tcPr>
          <w:p>
            <w:pPr>
              <w:pStyle w:val="TableParagraph"/>
              <w:spacing w:before="43"/>
              <w:ind w:right="227"/>
              <w:jc w:val="right"/>
              <w:rPr>
                <w:sz w:val="20"/>
              </w:rPr>
            </w:pPr>
            <w:r>
              <w:rPr>
                <w:sz w:val="20"/>
              </w:rPr>
              <w:t>48,000</w:t>
            </w:r>
          </w:p>
        </w:tc>
      </w:tr>
      <w:tr>
        <w:trPr>
          <w:trHeight w:val="550" w:hRule="exact"/>
        </w:trPr>
        <w:tc>
          <w:tcPr>
            <w:tcW w:w="497" w:type="dxa"/>
            <w:tcBorders>
              <w:top w:val="single" w:sz="4" w:space="0" w:color="000000"/>
              <w:bottom w:val="single" w:sz="4" w:space="0" w:color="000000"/>
              <w:right w:val="single" w:sz="4" w:space="0" w:color="000000"/>
            </w:tcBorders>
          </w:tcPr>
          <w:p>
            <w:pPr>
              <w:pStyle w:val="TableParagraph"/>
              <w:spacing w:before="6"/>
              <w:rPr>
                <w:b/>
                <w:sz w:val="23"/>
              </w:rPr>
            </w:pPr>
          </w:p>
          <w:p>
            <w:pPr>
              <w:pStyle w:val="TableParagraph"/>
              <w:spacing w:before="0"/>
              <w:ind w:right="132"/>
              <w:jc w:val="right"/>
              <w:rPr>
                <w:sz w:val="20"/>
              </w:rPr>
            </w:pPr>
            <w:r>
              <w:rPr>
                <w:sz w:val="20"/>
              </w:rPr>
              <w:t>60</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155"/>
              <w:ind w:right="244"/>
              <w:jc w:val="right"/>
              <w:rPr>
                <w:sz w:val="20"/>
              </w:rPr>
            </w:pPr>
            <w:r>
              <w:rPr>
                <w:w w:val="99"/>
                <w:sz w:val="20"/>
              </w:rPr>
              <w:t>3</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6"/>
              <w:rPr>
                <w:b/>
                <w:sz w:val="23"/>
              </w:rPr>
            </w:pPr>
          </w:p>
          <w:p>
            <w:pPr>
              <w:pStyle w:val="TableParagraph"/>
              <w:spacing w:before="0"/>
              <w:ind w:left="52" w:right="57"/>
              <w:jc w:val="center"/>
              <w:rPr>
                <w:sz w:val="20"/>
              </w:rPr>
            </w:pPr>
            <w:r>
              <w:rPr>
                <w:sz w:val="20"/>
              </w:rPr>
              <w:t>24 50.067</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6"/>
              <w:rPr>
                <w:b/>
                <w:sz w:val="23"/>
              </w:rPr>
            </w:pPr>
          </w:p>
          <w:p>
            <w:pPr>
              <w:pStyle w:val="TableParagraph"/>
              <w:spacing w:before="0"/>
              <w:ind w:left="97" w:right="97"/>
              <w:jc w:val="center"/>
              <w:rPr>
                <w:sz w:val="20"/>
              </w:rPr>
            </w:pPr>
            <w:r>
              <w:rPr>
                <w:sz w:val="20"/>
              </w:rPr>
              <w:t>67 05.840</w:t>
            </w:r>
          </w:p>
        </w:tc>
        <w:tc>
          <w:tcPr>
            <w:tcW w:w="2091" w:type="dxa"/>
            <w:tcBorders>
              <w:top w:val="single" w:sz="4" w:space="0" w:color="000000"/>
              <w:left w:val="single" w:sz="4" w:space="0" w:color="000000"/>
              <w:bottom w:val="single" w:sz="4" w:space="0" w:color="000000"/>
              <w:right w:val="single" w:sz="4" w:space="0" w:color="000000"/>
            </w:tcBorders>
          </w:tcPr>
          <w:p>
            <w:pPr>
              <w:pStyle w:val="TableParagraph"/>
              <w:spacing w:before="155"/>
              <w:ind w:left="52"/>
              <w:rPr>
                <w:sz w:val="20"/>
              </w:rPr>
            </w:pPr>
            <w:r>
              <w:rPr>
                <w:sz w:val="20"/>
              </w:rPr>
              <w:t>Asif Masih</w:t>
            </w:r>
          </w:p>
        </w:tc>
        <w:tc>
          <w:tcPr>
            <w:tcW w:w="2004" w:type="dxa"/>
            <w:tcBorders>
              <w:top w:val="single" w:sz="4" w:space="0" w:color="000000"/>
              <w:left w:val="single" w:sz="4" w:space="0" w:color="000000"/>
              <w:bottom w:val="single" w:sz="4" w:space="0" w:color="000000"/>
              <w:right w:val="single" w:sz="4" w:space="0" w:color="000000"/>
            </w:tcBorders>
          </w:tcPr>
          <w:p>
            <w:pPr>
              <w:pStyle w:val="TableParagraph"/>
              <w:spacing w:before="155"/>
              <w:ind w:left="52"/>
              <w:rPr>
                <w:sz w:val="20"/>
              </w:rPr>
            </w:pPr>
            <w:r>
              <w:rPr>
                <w:sz w:val="20"/>
              </w:rPr>
              <w:t>Niyamat Masih</w:t>
            </w:r>
          </w:p>
        </w:tc>
        <w:tc>
          <w:tcPr>
            <w:tcW w:w="1755" w:type="dxa"/>
            <w:tcBorders>
              <w:top w:val="single" w:sz="4" w:space="0" w:color="000000"/>
              <w:left w:val="single" w:sz="4" w:space="0" w:color="000000"/>
              <w:bottom w:val="single" w:sz="4" w:space="0" w:color="000000"/>
              <w:right w:val="single" w:sz="4" w:space="0" w:color="000000"/>
            </w:tcBorders>
          </w:tcPr>
          <w:p>
            <w:pPr>
              <w:pStyle w:val="TableParagraph"/>
              <w:spacing w:before="6"/>
              <w:rPr>
                <w:b/>
                <w:sz w:val="23"/>
              </w:rPr>
            </w:pPr>
          </w:p>
          <w:p>
            <w:pPr>
              <w:pStyle w:val="TableParagraph"/>
              <w:spacing w:before="0"/>
              <w:ind w:left="53"/>
              <w:rPr>
                <w:sz w:val="20"/>
              </w:rPr>
            </w:pPr>
            <w:r>
              <w:rPr>
                <w:sz w:val="20"/>
              </w:rPr>
              <w:t>Aamir Sajjad</w:t>
            </w:r>
          </w:p>
        </w:tc>
        <w:tc>
          <w:tcPr>
            <w:tcW w:w="1692" w:type="dxa"/>
            <w:tcBorders>
              <w:top w:val="single" w:sz="4" w:space="0" w:color="000000"/>
              <w:left w:val="single" w:sz="4" w:space="0" w:color="000000"/>
              <w:bottom w:val="single" w:sz="4" w:space="0" w:color="000000"/>
              <w:right w:val="single" w:sz="4" w:space="0" w:color="000000"/>
            </w:tcBorders>
          </w:tcPr>
          <w:p>
            <w:pPr>
              <w:pStyle w:val="TableParagraph"/>
              <w:spacing w:before="38"/>
              <w:ind w:left="52"/>
              <w:rPr>
                <w:sz w:val="20"/>
              </w:rPr>
            </w:pPr>
            <w:r>
              <w:rPr>
                <w:sz w:val="20"/>
              </w:rPr>
              <w:t>31302-9564151-</w:t>
            </w:r>
          </w:p>
          <w:p>
            <w:pPr>
              <w:pStyle w:val="TableParagraph"/>
              <w:spacing w:before="0"/>
              <w:ind w:left="52"/>
              <w:rPr>
                <w:sz w:val="20"/>
              </w:rPr>
            </w:pPr>
            <w:r>
              <w:rPr>
                <w:w w:val="99"/>
                <w:sz w:val="20"/>
              </w:rPr>
              <w:t>3</w:t>
            </w:r>
          </w:p>
        </w:tc>
        <w:tc>
          <w:tcPr>
            <w:tcW w:w="1436" w:type="dxa"/>
            <w:tcBorders>
              <w:top w:val="single" w:sz="4" w:space="0" w:color="000000"/>
              <w:left w:val="single" w:sz="4" w:space="0" w:color="000000"/>
              <w:bottom w:val="single" w:sz="4" w:space="0" w:color="000000"/>
              <w:right w:val="single" w:sz="4" w:space="0" w:color="000000"/>
            </w:tcBorders>
          </w:tcPr>
          <w:p>
            <w:pPr>
              <w:pStyle w:val="TableParagraph"/>
              <w:spacing w:before="6"/>
              <w:rPr>
                <w:b/>
                <w:sz w:val="23"/>
              </w:rPr>
            </w:pPr>
          </w:p>
          <w:p>
            <w:pPr>
              <w:pStyle w:val="TableParagraph"/>
              <w:spacing w:before="0"/>
              <w:ind w:left="52"/>
              <w:rPr>
                <w:sz w:val="20"/>
              </w:rPr>
            </w:pPr>
            <w:r>
              <w:rPr>
                <w:sz w:val="20"/>
              </w:rPr>
              <w:t>03469835206</w:t>
            </w:r>
          </w:p>
        </w:tc>
        <w:tc>
          <w:tcPr>
            <w:tcW w:w="1368" w:type="dxa"/>
            <w:tcBorders>
              <w:top w:val="single" w:sz="4" w:space="0" w:color="000000"/>
              <w:left w:val="single" w:sz="4" w:space="0" w:color="000000"/>
              <w:bottom w:val="single" w:sz="4" w:space="0" w:color="000000"/>
            </w:tcBorders>
          </w:tcPr>
          <w:p>
            <w:pPr>
              <w:pStyle w:val="TableParagraph"/>
              <w:spacing w:before="40"/>
              <w:ind w:right="227"/>
              <w:jc w:val="right"/>
              <w:rPr>
                <w:sz w:val="20"/>
              </w:rPr>
            </w:pPr>
            <w:r>
              <w:rPr>
                <w:sz w:val="20"/>
              </w:rPr>
              <w:t>48,000</w:t>
            </w:r>
          </w:p>
        </w:tc>
      </w:tr>
      <w:tr>
        <w:trPr>
          <w:trHeight w:val="319" w:hRule="exact"/>
        </w:trPr>
        <w:tc>
          <w:tcPr>
            <w:tcW w:w="497" w:type="dxa"/>
            <w:tcBorders>
              <w:top w:val="single" w:sz="4" w:space="0" w:color="000000"/>
              <w:bottom w:val="single" w:sz="4" w:space="0" w:color="000000"/>
              <w:right w:val="single" w:sz="4" w:space="0" w:color="000000"/>
            </w:tcBorders>
          </w:tcPr>
          <w:p>
            <w:pPr>
              <w:pStyle w:val="TableParagraph"/>
              <w:spacing w:before="40"/>
              <w:ind w:right="132"/>
              <w:jc w:val="right"/>
              <w:rPr>
                <w:sz w:val="20"/>
              </w:rPr>
            </w:pPr>
            <w:r>
              <w:rPr>
                <w:sz w:val="20"/>
              </w:rPr>
              <w:t>61</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40"/>
              <w:ind w:right="244"/>
              <w:jc w:val="right"/>
              <w:rPr>
                <w:sz w:val="20"/>
              </w:rPr>
            </w:pPr>
            <w:r>
              <w:rPr>
                <w:w w:val="99"/>
                <w:sz w:val="20"/>
              </w:rPr>
              <w:t>3</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ight="57"/>
              <w:jc w:val="center"/>
              <w:rPr>
                <w:sz w:val="20"/>
              </w:rPr>
            </w:pPr>
            <w:r>
              <w:rPr>
                <w:sz w:val="20"/>
              </w:rPr>
              <w:t>24 50.076</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40"/>
              <w:ind w:left="97" w:right="97"/>
              <w:jc w:val="center"/>
              <w:rPr>
                <w:sz w:val="20"/>
              </w:rPr>
            </w:pPr>
            <w:r>
              <w:rPr>
                <w:sz w:val="20"/>
              </w:rPr>
              <w:t>67 05.866</w:t>
            </w:r>
          </w:p>
        </w:tc>
        <w:tc>
          <w:tcPr>
            <w:tcW w:w="2091"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Pr>
                <w:sz w:val="20"/>
              </w:rPr>
            </w:pPr>
            <w:r>
              <w:rPr>
                <w:sz w:val="20"/>
              </w:rPr>
              <w:t>Salman Akhtar</w:t>
            </w:r>
          </w:p>
        </w:tc>
        <w:tc>
          <w:tcPr>
            <w:tcW w:w="2004"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Pr>
                <w:sz w:val="20"/>
              </w:rPr>
            </w:pPr>
            <w:r>
              <w:rPr>
                <w:sz w:val="20"/>
              </w:rPr>
              <w:t>Akhtar Hussain</w:t>
            </w:r>
          </w:p>
        </w:tc>
        <w:tc>
          <w:tcPr>
            <w:tcW w:w="1755" w:type="dxa"/>
            <w:tcBorders>
              <w:top w:val="single" w:sz="4" w:space="0" w:color="000000"/>
              <w:left w:val="single" w:sz="4" w:space="0" w:color="000000"/>
              <w:bottom w:val="single" w:sz="4" w:space="0" w:color="000000"/>
              <w:right w:val="single" w:sz="4" w:space="0" w:color="000000"/>
            </w:tcBorders>
          </w:tcPr>
          <w:p>
            <w:pPr>
              <w:pStyle w:val="TableParagraph"/>
              <w:spacing w:before="40"/>
              <w:ind w:left="53"/>
              <w:rPr>
                <w:sz w:val="20"/>
              </w:rPr>
            </w:pPr>
            <w:r>
              <w:rPr>
                <w:sz w:val="20"/>
              </w:rPr>
              <w:t>Qamar Ahmed</w:t>
            </w:r>
          </w:p>
        </w:tc>
        <w:tc>
          <w:tcPr>
            <w:tcW w:w="1692" w:type="dxa"/>
            <w:tcBorders>
              <w:top w:val="single" w:sz="4" w:space="0" w:color="000000"/>
              <w:left w:val="single" w:sz="4" w:space="0" w:color="000000"/>
              <w:bottom w:val="single" w:sz="4" w:space="0" w:color="000000"/>
              <w:right w:val="single" w:sz="4" w:space="0" w:color="000000"/>
            </w:tcBorders>
          </w:tcPr>
          <w:p>
            <w:pPr/>
          </w:p>
        </w:tc>
        <w:tc>
          <w:tcPr>
            <w:tcW w:w="1436"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Pr>
                <w:sz w:val="20"/>
              </w:rPr>
            </w:pPr>
            <w:r>
              <w:rPr>
                <w:sz w:val="20"/>
              </w:rPr>
              <w:t>03062007062</w:t>
            </w:r>
          </w:p>
        </w:tc>
        <w:tc>
          <w:tcPr>
            <w:tcW w:w="1368" w:type="dxa"/>
            <w:tcBorders>
              <w:top w:val="single" w:sz="4" w:space="0" w:color="000000"/>
              <w:left w:val="single" w:sz="4" w:space="0" w:color="000000"/>
              <w:bottom w:val="single" w:sz="4" w:space="0" w:color="000000"/>
            </w:tcBorders>
          </w:tcPr>
          <w:p>
            <w:pPr>
              <w:pStyle w:val="TableParagraph"/>
              <w:spacing w:before="40"/>
              <w:ind w:right="227"/>
              <w:jc w:val="right"/>
              <w:rPr>
                <w:sz w:val="20"/>
              </w:rPr>
            </w:pPr>
            <w:r>
              <w:rPr>
                <w:sz w:val="20"/>
              </w:rPr>
              <w:t>48,000</w:t>
            </w:r>
          </w:p>
        </w:tc>
      </w:tr>
      <w:tr>
        <w:trPr>
          <w:trHeight w:val="319" w:hRule="exact"/>
        </w:trPr>
        <w:tc>
          <w:tcPr>
            <w:tcW w:w="497" w:type="dxa"/>
            <w:tcBorders>
              <w:top w:val="single" w:sz="4" w:space="0" w:color="000000"/>
              <w:bottom w:val="single" w:sz="4" w:space="0" w:color="000000"/>
              <w:right w:val="single" w:sz="4" w:space="0" w:color="000000"/>
            </w:tcBorders>
          </w:tcPr>
          <w:p>
            <w:pPr>
              <w:pStyle w:val="TableParagraph"/>
              <w:spacing w:before="40"/>
              <w:ind w:right="132"/>
              <w:jc w:val="right"/>
              <w:rPr>
                <w:sz w:val="20"/>
              </w:rPr>
            </w:pPr>
            <w:r>
              <w:rPr>
                <w:sz w:val="20"/>
              </w:rPr>
              <w:t>61</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40"/>
              <w:ind w:right="244"/>
              <w:jc w:val="right"/>
              <w:rPr>
                <w:sz w:val="20"/>
              </w:rPr>
            </w:pPr>
            <w:r>
              <w:rPr>
                <w:w w:val="99"/>
                <w:sz w:val="20"/>
              </w:rPr>
              <w:t>3</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ight="57"/>
              <w:jc w:val="center"/>
              <w:rPr>
                <w:sz w:val="20"/>
              </w:rPr>
            </w:pPr>
            <w:r>
              <w:rPr>
                <w:sz w:val="20"/>
              </w:rPr>
              <w:t>24 50.076</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40"/>
              <w:ind w:left="97" w:right="97"/>
              <w:jc w:val="center"/>
              <w:rPr>
                <w:sz w:val="20"/>
              </w:rPr>
            </w:pPr>
            <w:r>
              <w:rPr>
                <w:sz w:val="20"/>
              </w:rPr>
              <w:t>67 05.866</w:t>
            </w:r>
          </w:p>
        </w:tc>
        <w:tc>
          <w:tcPr>
            <w:tcW w:w="2091"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Pr>
                <w:sz w:val="20"/>
              </w:rPr>
            </w:pPr>
            <w:r>
              <w:rPr>
                <w:sz w:val="20"/>
              </w:rPr>
              <w:t>Salman Akhtar</w:t>
            </w:r>
          </w:p>
        </w:tc>
        <w:tc>
          <w:tcPr>
            <w:tcW w:w="2004"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Pr>
                <w:sz w:val="20"/>
              </w:rPr>
            </w:pPr>
            <w:r>
              <w:rPr>
                <w:sz w:val="20"/>
              </w:rPr>
              <w:t>Akhtar Hussain</w:t>
            </w:r>
          </w:p>
        </w:tc>
        <w:tc>
          <w:tcPr>
            <w:tcW w:w="1755" w:type="dxa"/>
            <w:tcBorders>
              <w:top w:val="single" w:sz="4" w:space="0" w:color="000000"/>
              <w:left w:val="single" w:sz="4" w:space="0" w:color="000000"/>
              <w:bottom w:val="single" w:sz="4" w:space="0" w:color="000000"/>
              <w:right w:val="single" w:sz="4" w:space="0" w:color="000000"/>
            </w:tcBorders>
          </w:tcPr>
          <w:p>
            <w:pPr>
              <w:pStyle w:val="TableParagraph"/>
              <w:spacing w:before="40"/>
              <w:ind w:left="53"/>
              <w:rPr>
                <w:sz w:val="20"/>
              </w:rPr>
            </w:pPr>
            <w:r>
              <w:rPr>
                <w:sz w:val="20"/>
              </w:rPr>
              <w:t>Munsif</w:t>
            </w:r>
          </w:p>
        </w:tc>
        <w:tc>
          <w:tcPr>
            <w:tcW w:w="1692" w:type="dxa"/>
            <w:tcBorders>
              <w:top w:val="single" w:sz="4" w:space="0" w:color="000000"/>
              <w:left w:val="single" w:sz="4" w:space="0" w:color="000000"/>
              <w:bottom w:val="single" w:sz="4" w:space="0" w:color="000000"/>
              <w:right w:val="single" w:sz="4" w:space="0" w:color="000000"/>
            </w:tcBorders>
          </w:tcPr>
          <w:p>
            <w:pPr/>
          </w:p>
        </w:tc>
        <w:tc>
          <w:tcPr>
            <w:tcW w:w="1436"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Pr>
                <w:sz w:val="20"/>
              </w:rPr>
            </w:pPr>
            <w:r>
              <w:rPr>
                <w:sz w:val="20"/>
              </w:rPr>
              <w:t>03229221951</w:t>
            </w:r>
          </w:p>
        </w:tc>
        <w:tc>
          <w:tcPr>
            <w:tcW w:w="1368" w:type="dxa"/>
            <w:tcBorders>
              <w:top w:val="single" w:sz="4" w:space="0" w:color="000000"/>
              <w:left w:val="single" w:sz="4" w:space="0" w:color="000000"/>
              <w:bottom w:val="single" w:sz="4" w:space="0" w:color="000000"/>
            </w:tcBorders>
          </w:tcPr>
          <w:p>
            <w:pPr>
              <w:pStyle w:val="TableParagraph"/>
              <w:spacing w:before="40"/>
              <w:ind w:right="227"/>
              <w:jc w:val="right"/>
              <w:rPr>
                <w:sz w:val="20"/>
              </w:rPr>
            </w:pPr>
            <w:r>
              <w:rPr>
                <w:sz w:val="20"/>
              </w:rPr>
              <w:t>48,000</w:t>
            </w:r>
          </w:p>
        </w:tc>
      </w:tr>
      <w:tr>
        <w:trPr>
          <w:trHeight w:val="553" w:hRule="exact"/>
        </w:trPr>
        <w:tc>
          <w:tcPr>
            <w:tcW w:w="497" w:type="dxa"/>
            <w:tcBorders>
              <w:top w:val="single" w:sz="4" w:space="0" w:color="000000"/>
              <w:bottom w:val="single" w:sz="4" w:space="0" w:color="000000"/>
              <w:right w:val="single" w:sz="4" w:space="0" w:color="000000"/>
            </w:tcBorders>
          </w:tcPr>
          <w:p>
            <w:pPr>
              <w:pStyle w:val="TableParagraph"/>
              <w:spacing w:before="158"/>
              <w:ind w:right="132"/>
              <w:jc w:val="right"/>
              <w:rPr>
                <w:sz w:val="20"/>
              </w:rPr>
            </w:pPr>
            <w:r>
              <w:rPr>
                <w:sz w:val="20"/>
              </w:rPr>
              <w:t>63</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158"/>
              <w:ind w:right="244"/>
              <w:jc w:val="right"/>
              <w:rPr>
                <w:sz w:val="20"/>
              </w:rPr>
            </w:pPr>
            <w:r>
              <w:rPr>
                <w:w w:val="99"/>
                <w:sz w:val="20"/>
              </w:rPr>
              <w:t>3</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6"/>
              <w:rPr>
                <w:b/>
                <w:sz w:val="23"/>
              </w:rPr>
            </w:pPr>
          </w:p>
          <w:p>
            <w:pPr>
              <w:pStyle w:val="TableParagraph"/>
              <w:spacing w:before="1"/>
              <w:ind w:left="52" w:right="57"/>
              <w:jc w:val="center"/>
              <w:rPr>
                <w:sz w:val="20"/>
              </w:rPr>
            </w:pPr>
            <w:r>
              <w:rPr>
                <w:sz w:val="20"/>
              </w:rPr>
              <w:t>24 50.065</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6"/>
              <w:rPr>
                <w:b/>
                <w:sz w:val="23"/>
              </w:rPr>
            </w:pPr>
          </w:p>
          <w:p>
            <w:pPr>
              <w:pStyle w:val="TableParagraph"/>
              <w:spacing w:before="1"/>
              <w:ind w:left="97" w:right="97"/>
              <w:jc w:val="center"/>
              <w:rPr>
                <w:sz w:val="20"/>
              </w:rPr>
            </w:pPr>
            <w:r>
              <w:rPr>
                <w:sz w:val="20"/>
              </w:rPr>
              <w:t>67 05.825</w:t>
            </w:r>
          </w:p>
        </w:tc>
        <w:tc>
          <w:tcPr>
            <w:tcW w:w="2091" w:type="dxa"/>
            <w:tcBorders>
              <w:top w:val="single" w:sz="4" w:space="0" w:color="000000"/>
              <w:left w:val="single" w:sz="4" w:space="0" w:color="000000"/>
              <w:bottom w:val="single" w:sz="4" w:space="0" w:color="000000"/>
              <w:right w:val="single" w:sz="4" w:space="0" w:color="000000"/>
            </w:tcBorders>
          </w:tcPr>
          <w:p>
            <w:pPr>
              <w:pStyle w:val="TableParagraph"/>
              <w:spacing w:before="158"/>
              <w:ind w:left="52"/>
              <w:rPr>
                <w:sz w:val="20"/>
              </w:rPr>
            </w:pPr>
            <w:r>
              <w:rPr>
                <w:sz w:val="20"/>
              </w:rPr>
              <w:t>Rao Khalil</w:t>
            </w:r>
          </w:p>
        </w:tc>
        <w:tc>
          <w:tcPr>
            <w:tcW w:w="2004" w:type="dxa"/>
            <w:tcBorders>
              <w:top w:val="single" w:sz="4" w:space="0" w:color="000000"/>
              <w:left w:val="single" w:sz="4" w:space="0" w:color="000000"/>
              <w:bottom w:val="single" w:sz="4" w:space="0" w:color="000000"/>
              <w:right w:val="single" w:sz="4" w:space="0" w:color="000000"/>
            </w:tcBorders>
          </w:tcPr>
          <w:p>
            <w:pPr>
              <w:pStyle w:val="TableParagraph"/>
              <w:spacing w:before="158"/>
              <w:ind w:left="52"/>
              <w:rPr>
                <w:sz w:val="20"/>
              </w:rPr>
            </w:pPr>
            <w:r>
              <w:rPr>
                <w:sz w:val="20"/>
              </w:rPr>
              <w:t>Akbar Ali</w:t>
            </w:r>
          </w:p>
        </w:tc>
        <w:tc>
          <w:tcPr>
            <w:tcW w:w="1755" w:type="dxa"/>
            <w:tcBorders>
              <w:top w:val="single" w:sz="4" w:space="0" w:color="000000"/>
              <w:left w:val="single" w:sz="4" w:space="0" w:color="000000"/>
              <w:bottom w:val="single" w:sz="4" w:space="0" w:color="000000"/>
              <w:right w:val="single" w:sz="4" w:space="0" w:color="000000"/>
            </w:tcBorders>
          </w:tcPr>
          <w:p>
            <w:pPr>
              <w:pStyle w:val="TableParagraph"/>
              <w:spacing w:before="6"/>
              <w:rPr>
                <w:b/>
                <w:sz w:val="23"/>
              </w:rPr>
            </w:pPr>
          </w:p>
          <w:p>
            <w:pPr>
              <w:pStyle w:val="TableParagraph"/>
              <w:spacing w:before="1"/>
              <w:ind w:left="53"/>
              <w:rPr>
                <w:sz w:val="20"/>
              </w:rPr>
            </w:pPr>
            <w:r>
              <w:rPr>
                <w:sz w:val="20"/>
              </w:rPr>
              <w:t>Sher Muhammad</w:t>
            </w:r>
          </w:p>
        </w:tc>
        <w:tc>
          <w:tcPr>
            <w:tcW w:w="1692"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Pr>
                <w:sz w:val="20"/>
              </w:rPr>
            </w:pPr>
            <w:r>
              <w:rPr>
                <w:sz w:val="20"/>
              </w:rPr>
              <w:t>37105-0978106-</w:t>
            </w:r>
          </w:p>
          <w:p>
            <w:pPr>
              <w:pStyle w:val="TableParagraph"/>
              <w:spacing w:before="0"/>
              <w:ind w:left="52"/>
              <w:rPr>
                <w:sz w:val="20"/>
              </w:rPr>
            </w:pPr>
            <w:r>
              <w:rPr>
                <w:w w:val="99"/>
                <w:sz w:val="20"/>
              </w:rPr>
              <w:t>5</w:t>
            </w:r>
          </w:p>
        </w:tc>
        <w:tc>
          <w:tcPr>
            <w:tcW w:w="1436" w:type="dxa"/>
            <w:tcBorders>
              <w:top w:val="single" w:sz="4" w:space="0" w:color="000000"/>
              <w:left w:val="single" w:sz="4" w:space="0" w:color="000000"/>
              <w:bottom w:val="single" w:sz="4" w:space="0" w:color="000000"/>
              <w:right w:val="single" w:sz="4" w:space="0" w:color="000000"/>
            </w:tcBorders>
          </w:tcPr>
          <w:p>
            <w:pPr>
              <w:pStyle w:val="TableParagraph"/>
              <w:spacing w:before="6"/>
              <w:rPr>
                <w:b/>
                <w:sz w:val="23"/>
              </w:rPr>
            </w:pPr>
          </w:p>
          <w:p>
            <w:pPr>
              <w:pStyle w:val="TableParagraph"/>
              <w:spacing w:before="1"/>
              <w:ind w:left="52"/>
              <w:rPr>
                <w:sz w:val="20"/>
              </w:rPr>
            </w:pPr>
            <w:r>
              <w:rPr>
                <w:sz w:val="20"/>
              </w:rPr>
              <w:t>03032651210</w:t>
            </w:r>
          </w:p>
        </w:tc>
        <w:tc>
          <w:tcPr>
            <w:tcW w:w="1368" w:type="dxa"/>
            <w:tcBorders>
              <w:top w:val="single" w:sz="4" w:space="0" w:color="000000"/>
              <w:left w:val="single" w:sz="4" w:space="0" w:color="000000"/>
              <w:bottom w:val="single" w:sz="4" w:space="0" w:color="000000"/>
            </w:tcBorders>
          </w:tcPr>
          <w:p>
            <w:pPr>
              <w:pStyle w:val="TableParagraph"/>
              <w:spacing w:before="43"/>
              <w:ind w:right="227"/>
              <w:jc w:val="right"/>
              <w:rPr>
                <w:sz w:val="20"/>
              </w:rPr>
            </w:pPr>
            <w:r>
              <w:rPr>
                <w:sz w:val="20"/>
              </w:rPr>
              <w:t>48,000</w:t>
            </w:r>
          </w:p>
        </w:tc>
      </w:tr>
      <w:tr>
        <w:trPr>
          <w:trHeight w:val="550" w:hRule="exact"/>
        </w:trPr>
        <w:tc>
          <w:tcPr>
            <w:tcW w:w="497" w:type="dxa"/>
            <w:tcBorders>
              <w:top w:val="single" w:sz="4" w:space="0" w:color="000000"/>
              <w:bottom w:val="single" w:sz="4" w:space="0" w:color="000000"/>
              <w:right w:val="single" w:sz="4" w:space="0" w:color="000000"/>
            </w:tcBorders>
          </w:tcPr>
          <w:p>
            <w:pPr>
              <w:pStyle w:val="TableParagraph"/>
              <w:spacing w:before="155"/>
              <w:ind w:right="132"/>
              <w:jc w:val="right"/>
              <w:rPr>
                <w:sz w:val="20"/>
              </w:rPr>
            </w:pPr>
            <w:r>
              <w:rPr>
                <w:sz w:val="20"/>
              </w:rPr>
              <w:t>66</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155"/>
              <w:ind w:right="244"/>
              <w:jc w:val="right"/>
              <w:rPr>
                <w:sz w:val="20"/>
              </w:rPr>
            </w:pPr>
            <w:r>
              <w:rPr>
                <w:w w:val="99"/>
                <w:sz w:val="20"/>
              </w:rPr>
              <w:t>5</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6"/>
              <w:rPr>
                <w:b/>
                <w:sz w:val="23"/>
              </w:rPr>
            </w:pPr>
          </w:p>
          <w:p>
            <w:pPr>
              <w:pStyle w:val="TableParagraph"/>
              <w:spacing w:before="0"/>
              <w:ind w:left="52" w:right="57"/>
              <w:jc w:val="center"/>
              <w:rPr>
                <w:sz w:val="20"/>
              </w:rPr>
            </w:pPr>
            <w:r>
              <w:rPr>
                <w:sz w:val="20"/>
              </w:rPr>
              <w:t>24 50.546</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6"/>
              <w:rPr>
                <w:b/>
                <w:sz w:val="23"/>
              </w:rPr>
            </w:pPr>
          </w:p>
          <w:p>
            <w:pPr>
              <w:pStyle w:val="TableParagraph"/>
              <w:spacing w:before="0"/>
              <w:ind w:left="97" w:right="97"/>
              <w:jc w:val="center"/>
              <w:rPr>
                <w:sz w:val="20"/>
              </w:rPr>
            </w:pPr>
            <w:r>
              <w:rPr>
                <w:sz w:val="20"/>
              </w:rPr>
              <w:t>67 03.435</w:t>
            </w:r>
          </w:p>
        </w:tc>
        <w:tc>
          <w:tcPr>
            <w:tcW w:w="2091" w:type="dxa"/>
            <w:tcBorders>
              <w:top w:val="single" w:sz="4" w:space="0" w:color="000000"/>
              <w:left w:val="single" w:sz="4" w:space="0" w:color="000000"/>
              <w:bottom w:val="single" w:sz="4" w:space="0" w:color="000000"/>
              <w:right w:val="single" w:sz="4" w:space="0" w:color="000000"/>
            </w:tcBorders>
          </w:tcPr>
          <w:p>
            <w:pPr>
              <w:pStyle w:val="TableParagraph"/>
              <w:spacing w:before="155"/>
              <w:ind w:left="52"/>
              <w:rPr>
                <w:sz w:val="20"/>
              </w:rPr>
            </w:pPr>
            <w:r>
              <w:rPr>
                <w:sz w:val="20"/>
              </w:rPr>
              <w:t>Ishfaq Ahmed</w:t>
            </w:r>
          </w:p>
        </w:tc>
        <w:tc>
          <w:tcPr>
            <w:tcW w:w="2004" w:type="dxa"/>
            <w:tcBorders>
              <w:top w:val="single" w:sz="4" w:space="0" w:color="000000"/>
              <w:left w:val="single" w:sz="4" w:space="0" w:color="000000"/>
              <w:bottom w:val="single" w:sz="4" w:space="0" w:color="000000"/>
              <w:right w:val="single" w:sz="4" w:space="0" w:color="000000"/>
            </w:tcBorders>
          </w:tcPr>
          <w:p>
            <w:pPr/>
          </w:p>
        </w:tc>
        <w:tc>
          <w:tcPr>
            <w:tcW w:w="1755" w:type="dxa"/>
            <w:tcBorders>
              <w:top w:val="single" w:sz="4" w:space="0" w:color="000000"/>
              <w:left w:val="single" w:sz="4" w:space="0" w:color="000000"/>
              <w:bottom w:val="single" w:sz="4" w:space="0" w:color="000000"/>
              <w:right w:val="single" w:sz="4" w:space="0" w:color="000000"/>
            </w:tcBorders>
          </w:tcPr>
          <w:p>
            <w:pPr>
              <w:pStyle w:val="TableParagraph"/>
              <w:spacing w:before="6"/>
              <w:rPr>
                <w:b/>
                <w:sz w:val="23"/>
              </w:rPr>
            </w:pPr>
          </w:p>
          <w:p>
            <w:pPr>
              <w:pStyle w:val="TableParagraph"/>
              <w:spacing w:before="0"/>
              <w:ind w:left="53"/>
              <w:rPr>
                <w:sz w:val="20"/>
              </w:rPr>
            </w:pPr>
            <w:r>
              <w:rPr>
                <w:sz w:val="20"/>
              </w:rPr>
              <w:t>Mumtaz Iqbal</w:t>
            </w:r>
          </w:p>
        </w:tc>
        <w:tc>
          <w:tcPr>
            <w:tcW w:w="1692" w:type="dxa"/>
            <w:tcBorders>
              <w:top w:val="single" w:sz="4" w:space="0" w:color="000000"/>
              <w:left w:val="single" w:sz="4" w:space="0" w:color="000000"/>
              <w:bottom w:val="single" w:sz="4" w:space="0" w:color="000000"/>
              <w:right w:val="single" w:sz="4" w:space="0" w:color="000000"/>
            </w:tcBorders>
          </w:tcPr>
          <w:p>
            <w:pPr>
              <w:pStyle w:val="TableParagraph"/>
              <w:spacing w:before="38"/>
              <w:ind w:left="52"/>
              <w:rPr>
                <w:sz w:val="20"/>
              </w:rPr>
            </w:pPr>
            <w:r>
              <w:rPr>
                <w:sz w:val="20"/>
              </w:rPr>
              <w:t>33203-4125235-</w:t>
            </w:r>
          </w:p>
          <w:p>
            <w:pPr>
              <w:pStyle w:val="TableParagraph"/>
              <w:spacing w:before="0"/>
              <w:ind w:left="52"/>
              <w:rPr>
                <w:sz w:val="20"/>
              </w:rPr>
            </w:pPr>
            <w:r>
              <w:rPr>
                <w:w w:val="99"/>
                <w:sz w:val="20"/>
              </w:rPr>
              <w:t>7</w:t>
            </w:r>
          </w:p>
        </w:tc>
        <w:tc>
          <w:tcPr>
            <w:tcW w:w="1436" w:type="dxa"/>
            <w:tcBorders>
              <w:top w:val="single" w:sz="4" w:space="0" w:color="000000"/>
              <w:left w:val="single" w:sz="4" w:space="0" w:color="000000"/>
              <w:bottom w:val="single" w:sz="4" w:space="0" w:color="000000"/>
              <w:right w:val="single" w:sz="4" w:space="0" w:color="000000"/>
            </w:tcBorders>
          </w:tcPr>
          <w:p>
            <w:pPr>
              <w:pStyle w:val="TableParagraph"/>
              <w:spacing w:before="6"/>
              <w:rPr>
                <w:b/>
                <w:sz w:val="23"/>
              </w:rPr>
            </w:pPr>
          </w:p>
          <w:p>
            <w:pPr>
              <w:pStyle w:val="TableParagraph"/>
              <w:spacing w:before="0"/>
              <w:ind w:left="52"/>
              <w:rPr>
                <w:sz w:val="20"/>
              </w:rPr>
            </w:pPr>
            <w:r>
              <w:rPr>
                <w:sz w:val="20"/>
              </w:rPr>
              <w:t>03457566682</w:t>
            </w:r>
          </w:p>
        </w:tc>
        <w:tc>
          <w:tcPr>
            <w:tcW w:w="1368" w:type="dxa"/>
            <w:tcBorders>
              <w:top w:val="single" w:sz="4" w:space="0" w:color="000000"/>
              <w:left w:val="single" w:sz="4" w:space="0" w:color="000000"/>
              <w:bottom w:val="single" w:sz="4" w:space="0" w:color="000000"/>
            </w:tcBorders>
          </w:tcPr>
          <w:p>
            <w:pPr>
              <w:pStyle w:val="TableParagraph"/>
              <w:spacing w:before="40"/>
              <w:ind w:right="227"/>
              <w:jc w:val="right"/>
              <w:rPr>
                <w:sz w:val="20"/>
              </w:rPr>
            </w:pPr>
            <w:r>
              <w:rPr>
                <w:sz w:val="20"/>
              </w:rPr>
              <w:t>48,000</w:t>
            </w:r>
          </w:p>
        </w:tc>
      </w:tr>
      <w:tr>
        <w:trPr>
          <w:trHeight w:val="319" w:hRule="exact"/>
        </w:trPr>
        <w:tc>
          <w:tcPr>
            <w:tcW w:w="497" w:type="dxa"/>
            <w:tcBorders>
              <w:top w:val="single" w:sz="4" w:space="0" w:color="000000"/>
              <w:bottom w:val="single" w:sz="4" w:space="0" w:color="000000"/>
              <w:right w:val="single" w:sz="4" w:space="0" w:color="000000"/>
            </w:tcBorders>
          </w:tcPr>
          <w:p>
            <w:pPr>
              <w:pStyle w:val="TableParagraph"/>
              <w:spacing w:before="40"/>
              <w:ind w:right="132"/>
              <w:jc w:val="right"/>
              <w:rPr>
                <w:sz w:val="20"/>
              </w:rPr>
            </w:pPr>
            <w:r>
              <w:rPr>
                <w:sz w:val="20"/>
              </w:rPr>
              <w:t>68</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40"/>
              <w:ind w:right="244"/>
              <w:jc w:val="right"/>
              <w:rPr>
                <w:sz w:val="20"/>
              </w:rPr>
            </w:pPr>
            <w:r>
              <w:rPr>
                <w:w w:val="99"/>
                <w:sz w:val="20"/>
              </w:rPr>
              <w:t>5</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ight="57"/>
              <w:jc w:val="center"/>
              <w:rPr>
                <w:sz w:val="20"/>
              </w:rPr>
            </w:pPr>
            <w:r>
              <w:rPr>
                <w:sz w:val="20"/>
              </w:rPr>
              <w:t>24 50.792</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40"/>
              <w:ind w:left="97" w:right="97"/>
              <w:jc w:val="center"/>
              <w:rPr>
                <w:sz w:val="20"/>
              </w:rPr>
            </w:pPr>
            <w:r>
              <w:rPr>
                <w:sz w:val="20"/>
              </w:rPr>
              <w:t>67 03.301</w:t>
            </w:r>
          </w:p>
        </w:tc>
        <w:tc>
          <w:tcPr>
            <w:tcW w:w="2091"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Pr>
                <w:sz w:val="20"/>
              </w:rPr>
            </w:pPr>
            <w:r>
              <w:rPr>
                <w:sz w:val="20"/>
              </w:rPr>
              <w:t>Muhammad Rafiq</w:t>
            </w:r>
          </w:p>
        </w:tc>
        <w:tc>
          <w:tcPr>
            <w:tcW w:w="2004"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Pr>
                <w:sz w:val="20"/>
              </w:rPr>
            </w:pPr>
            <w:r>
              <w:rPr>
                <w:sz w:val="20"/>
              </w:rPr>
              <w:t>Faiz Muhammad</w:t>
            </w:r>
          </w:p>
        </w:tc>
        <w:tc>
          <w:tcPr>
            <w:tcW w:w="1755" w:type="dxa"/>
            <w:tcBorders>
              <w:top w:val="single" w:sz="4" w:space="0" w:color="000000"/>
              <w:left w:val="single" w:sz="4" w:space="0" w:color="000000"/>
              <w:bottom w:val="single" w:sz="4" w:space="0" w:color="000000"/>
              <w:right w:val="single" w:sz="4" w:space="0" w:color="000000"/>
            </w:tcBorders>
          </w:tcPr>
          <w:p>
            <w:pPr>
              <w:pStyle w:val="TableParagraph"/>
              <w:spacing w:before="40"/>
              <w:ind w:left="53"/>
              <w:rPr>
                <w:sz w:val="20"/>
              </w:rPr>
            </w:pPr>
            <w:r>
              <w:rPr>
                <w:sz w:val="20"/>
              </w:rPr>
              <w:t>Muhammad Rafiq</w:t>
            </w:r>
          </w:p>
        </w:tc>
        <w:tc>
          <w:tcPr>
            <w:tcW w:w="1692" w:type="dxa"/>
            <w:tcBorders>
              <w:top w:val="single" w:sz="4" w:space="0" w:color="000000"/>
              <w:left w:val="single" w:sz="4" w:space="0" w:color="000000"/>
              <w:bottom w:val="single" w:sz="4" w:space="0" w:color="000000"/>
              <w:right w:val="single" w:sz="4" w:space="0" w:color="000000"/>
            </w:tcBorders>
          </w:tcPr>
          <w:p>
            <w:pPr/>
          </w:p>
        </w:tc>
        <w:tc>
          <w:tcPr>
            <w:tcW w:w="1436" w:type="dxa"/>
            <w:tcBorders>
              <w:top w:val="single" w:sz="4" w:space="0" w:color="000000"/>
              <w:left w:val="single" w:sz="4" w:space="0" w:color="000000"/>
              <w:bottom w:val="single" w:sz="4" w:space="0" w:color="000000"/>
              <w:right w:val="single" w:sz="4" w:space="0" w:color="000000"/>
            </w:tcBorders>
          </w:tcPr>
          <w:p>
            <w:pPr/>
          </w:p>
        </w:tc>
        <w:tc>
          <w:tcPr>
            <w:tcW w:w="1368" w:type="dxa"/>
            <w:tcBorders>
              <w:top w:val="single" w:sz="4" w:space="0" w:color="000000"/>
              <w:left w:val="single" w:sz="4" w:space="0" w:color="000000"/>
              <w:bottom w:val="single" w:sz="4" w:space="0" w:color="000000"/>
            </w:tcBorders>
          </w:tcPr>
          <w:p>
            <w:pPr>
              <w:pStyle w:val="TableParagraph"/>
              <w:spacing w:before="40"/>
              <w:ind w:right="227"/>
              <w:jc w:val="right"/>
              <w:rPr>
                <w:sz w:val="20"/>
              </w:rPr>
            </w:pPr>
            <w:r>
              <w:rPr>
                <w:sz w:val="20"/>
              </w:rPr>
              <w:t>48,000</w:t>
            </w:r>
          </w:p>
        </w:tc>
      </w:tr>
      <w:tr>
        <w:trPr>
          <w:trHeight w:val="319" w:hRule="exact"/>
        </w:trPr>
        <w:tc>
          <w:tcPr>
            <w:tcW w:w="497" w:type="dxa"/>
            <w:tcBorders>
              <w:top w:val="single" w:sz="4" w:space="0" w:color="000000"/>
              <w:bottom w:val="single" w:sz="4" w:space="0" w:color="000000"/>
              <w:right w:val="single" w:sz="4" w:space="0" w:color="000000"/>
            </w:tcBorders>
          </w:tcPr>
          <w:p>
            <w:pPr>
              <w:pStyle w:val="TableParagraph"/>
              <w:spacing w:before="40"/>
              <w:ind w:right="132"/>
              <w:jc w:val="right"/>
              <w:rPr>
                <w:sz w:val="20"/>
              </w:rPr>
            </w:pPr>
            <w:r>
              <w:rPr>
                <w:sz w:val="20"/>
              </w:rPr>
              <w:t>68</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40"/>
              <w:ind w:right="244"/>
              <w:jc w:val="right"/>
              <w:rPr>
                <w:sz w:val="20"/>
              </w:rPr>
            </w:pPr>
            <w:r>
              <w:rPr>
                <w:w w:val="99"/>
                <w:sz w:val="20"/>
              </w:rPr>
              <w:t>5</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ight="57"/>
              <w:jc w:val="center"/>
              <w:rPr>
                <w:sz w:val="20"/>
              </w:rPr>
            </w:pPr>
            <w:r>
              <w:rPr>
                <w:sz w:val="20"/>
              </w:rPr>
              <w:t>24 50.792</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40"/>
              <w:ind w:left="97" w:right="97"/>
              <w:jc w:val="center"/>
              <w:rPr>
                <w:sz w:val="20"/>
              </w:rPr>
            </w:pPr>
            <w:r>
              <w:rPr>
                <w:sz w:val="20"/>
              </w:rPr>
              <w:t>67 03.301</w:t>
            </w:r>
          </w:p>
        </w:tc>
        <w:tc>
          <w:tcPr>
            <w:tcW w:w="2091"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Pr>
                <w:sz w:val="20"/>
              </w:rPr>
            </w:pPr>
            <w:r>
              <w:rPr>
                <w:sz w:val="20"/>
              </w:rPr>
              <w:t>Muhammad Rafiq</w:t>
            </w:r>
          </w:p>
        </w:tc>
        <w:tc>
          <w:tcPr>
            <w:tcW w:w="2004"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Pr>
                <w:sz w:val="20"/>
              </w:rPr>
            </w:pPr>
            <w:r>
              <w:rPr>
                <w:sz w:val="20"/>
              </w:rPr>
              <w:t>Faiz Muhammad</w:t>
            </w:r>
          </w:p>
        </w:tc>
        <w:tc>
          <w:tcPr>
            <w:tcW w:w="1755" w:type="dxa"/>
            <w:tcBorders>
              <w:top w:val="single" w:sz="4" w:space="0" w:color="000000"/>
              <w:left w:val="single" w:sz="4" w:space="0" w:color="000000"/>
              <w:bottom w:val="single" w:sz="4" w:space="0" w:color="000000"/>
              <w:right w:val="single" w:sz="4" w:space="0" w:color="000000"/>
            </w:tcBorders>
          </w:tcPr>
          <w:p>
            <w:pPr>
              <w:pStyle w:val="TableParagraph"/>
              <w:spacing w:before="40"/>
              <w:ind w:left="53"/>
              <w:rPr>
                <w:sz w:val="20"/>
              </w:rPr>
            </w:pPr>
            <w:r>
              <w:rPr>
                <w:sz w:val="20"/>
              </w:rPr>
              <w:t>Muhammad Zamir</w:t>
            </w:r>
          </w:p>
        </w:tc>
        <w:tc>
          <w:tcPr>
            <w:tcW w:w="1692" w:type="dxa"/>
            <w:tcBorders>
              <w:top w:val="single" w:sz="4" w:space="0" w:color="000000"/>
              <w:left w:val="single" w:sz="4" w:space="0" w:color="000000"/>
              <w:bottom w:val="single" w:sz="4" w:space="0" w:color="000000"/>
              <w:right w:val="single" w:sz="4" w:space="0" w:color="000000"/>
            </w:tcBorders>
          </w:tcPr>
          <w:p>
            <w:pPr/>
          </w:p>
        </w:tc>
        <w:tc>
          <w:tcPr>
            <w:tcW w:w="1436"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Pr>
                <w:sz w:val="20"/>
              </w:rPr>
            </w:pPr>
            <w:r>
              <w:rPr>
                <w:sz w:val="20"/>
              </w:rPr>
              <w:t>03052485145</w:t>
            </w:r>
          </w:p>
        </w:tc>
        <w:tc>
          <w:tcPr>
            <w:tcW w:w="1368" w:type="dxa"/>
            <w:tcBorders>
              <w:top w:val="single" w:sz="4" w:space="0" w:color="000000"/>
              <w:left w:val="single" w:sz="4" w:space="0" w:color="000000"/>
              <w:bottom w:val="single" w:sz="4" w:space="0" w:color="000000"/>
            </w:tcBorders>
          </w:tcPr>
          <w:p>
            <w:pPr>
              <w:pStyle w:val="TableParagraph"/>
              <w:spacing w:before="40"/>
              <w:ind w:right="227"/>
              <w:jc w:val="right"/>
              <w:rPr>
                <w:sz w:val="20"/>
              </w:rPr>
            </w:pPr>
            <w:r>
              <w:rPr>
                <w:sz w:val="20"/>
              </w:rPr>
              <w:t>48,000</w:t>
            </w:r>
          </w:p>
        </w:tc>
      </w:tr>
      <w:tr>
        <w:trPr>
          <w:trHeight w:val="329" w:hRule="exact"/>
        </w:trPr>
        <w:tc>
          <w:tcPr>
            <w:tcW w:w="497" w:type="dxa"/>
            <w:tcBorders>
              <w:top w:val="single" w:sz="4" w:space="0" w:color="000000"/>
              <w:right w:val="single" w:sz="4" w:space="0" w:color="000000"/>
            </w:tcBorders>
          </w:tcPr>
          <w:p>
            <w:pPr>
              <w:pStyle w:val="TableParagraph"/>
              <w:spacing w:before="42"/>
              <w:ind w:right="132"/>
              <w:jc w:val="right"/>
              <w:rPr>
                <w:sz w:val="20"/>
              </w:rPr>
            </w:pPr>
            <w:r>
              <w:rPr>
                <w:sz w:val="20"/>
              </w:rPr>
              <w:t>68</w:t>
            </w:r>
          </w:p>
        </w:tc>
        <w:tc>
          <w:tcPr>
            <w:tcW w:w="612" w:type="dxa"/>
            <w:tcBorders>
              <w:top w:val="single" w:sz="4" w:space="0" w:color="000000"/>
              <w:left w:val="single" w:sz="4" w:space="0" w:color="000000"/>
              <w:right w:val="single" w:sz="4" w:space="0" w:color="000000"/>
            </w:tcBorders>
          </w:tcPr>
          <w:p>
            <w:pPr>
              <w:pStyle w:val="TableParagraph"/>
              <w:spacing w:before="42"/>
              <w:ind w:right="244"/>
              <w:jc w:val="right"/>
              <w:rPr>
                <w:sz w:val="20"/>
              </w:rPr>
            </w:pPr>
            <w:r>
              <w:rPr>
                <w:w w:val="99"/>
                <w:sz w:val="20"/>
              </w:rPr>
              <w:t>5</w:t>
            </w:r>
          </w:p>
        </w:tc>
        <w:tc>
          <w:tcPr>
            <w:tcW w:w="1049" w:type="dxa"/>
            <w:tcBorders>
              <w:top w:val="single" w:sz="4" w:space="0" w:color="000000"/>
              <w:left w:val="single" w:sz="4" w:space="0" w:color="000000"/>
              <w:right w:val="single" w:sz="4" w:space="0" w:color="000000"/>
            </w:tcBorders>
          </w:tcPr>
          <w:p>
            <w:pPr>
              <w:pStyle w:val="TableParagraph"/>
              <w:spacing w:before="42"/>
              <w:ind w:left="52" w:right="57"/>
              <w:jc w:val="center"/>
              <w:rPr>
                <w:sz w:val="20"/>
              </w:rPr>
            </w:pPr>
            <w:r>
              <w:rPr>
                <w:sz w:val="20"/>
              </w:rPr>
              <w:t>24 50.792</w:t>
            </w:r>
          </w:p>
        </w:tc>
        <w:tc>
          <w:tcPr>
            <w:tcW w:w="1135" w:type="dxa"/>
            <w:tcBorders>
              <w:top w:val="single" w:sz="4" w:space="0" w:color="000000"/>
              <w:left w:val="single" w:sz="4" w:space="0" w:color="000000"/>
              <w:right w:val="single" w:sz="4" w:space="0" w:color="000000"/>
            </w:tcBorders>
          </w:tcPr>
          <w:p>
            <w:pPr>
              <w:pStyle w:val="TableParagraph"/>
              <w:spacing w:before="42"/>
              <w:ind w:left="97" w:right="97"/>
              <w:jc w:val="center"/>
              <w:rPr>
                <w:sz w:val="20"/>
              </w:rPr>
            </w:pPr>
            <w:r>
              <w:rPr>
                <w:sz w:val="20"/>
              </w:rPr>
              <w:t>67 03.301</w:t>
            </w:r>
          </w:p>
        </w:tc>
        <w:tc>
          <w:tcPr>
            <w:tcW w:w="2091" w:type="dxa"/>
            <w:tcBorders>
              <w:top w:val="single" w:sz="4" w:space="0" w:color="000000"/>
              <w:left w:val="single" w:sz="4" w:space="0" w:color="000000"/>
              <w:right w:val="single" w:sz="4" w:space="0" w:color="000000"/>
            </w:tcBorders>
          </w:tcPr>
          <w:p>
            <w:pPr>
              <w:pStyle w:val="TableParagraph"/>
              <w:spacing w:before="42"/>
              <w:ind w:left="52"/>
              <w:rPr>
                <w:sz w:val="20"/>
              </w:rPr>
            </w:pPr>
            <w:r>
              <w:rPr>
                <w:sz w:val="20"/>
              </w:rPr>
              <w:t>Muhammad Rafiq</w:t>
            </w:r>
          </w:p>
        </w:tc>
        <w:tc>
          <w:tcPr>
            <w:tcW w:w="2004" w:type="dxa"/>
            <w:tcBorders>
              <w:top w:val="single" w:sz="4" w:space="0" w:color="000000"/>
              <w:left w:val="single" w:sz="4" w:space="0" w:color="000000"/>
              <w:right w:val="single" w:sz="4" w:space="0" w:color="000000"/>
            </w:tcBorders>
          </w:tcPr>
          <w:p>
            <w:pPr>
              <w:pStyle w:val="TableParagraph"/>
              <w:spacing w:before="42"/>
              <w:ind w:left="52"/>
              <w:rPr>
                <w:sz w:val="20"/>
              </w:rPr>
            </w:pPr>
            <w:r>
              <w:rPr>
                <w:sz w:val="20"/>
              </w:rPr>
              <w:t>Faiz Muhammad</w:t>
            </w:r>
          </w:p>
        </w:tc>
        <w:tc>
          <w:tcPr>
            <w:tcW w:w="1755" w:type="dxa"/>
            <w:tcBorders>
              <w:top w:val="single" w:sz="4" w:space="0" w:color="000000"/>
              <w:left w:val="single" w:sz="4" w:space="0" w:color="000000"/>
              <w:right w:val="single" w:sz="4" w:space="0" w:color="000000"/>
            </w:tcBorders>
          </w:tcPr>
          <w:p>
            <w:pPr>
              <w:pStyle w:val="TableParagraph"/>
              <w:spacing w:before="42"/>
              <w:ind w:left="53"/>
              <w:rPr>
                <w:sz w:val="20"/>
              </w:rPr>
            </w:pPr>
            <w:r>
              <w:rPr>
                <w:sz w:val="20"/>
              </w:rPr>
              <w:t>Abdullah</w:t>
            </w:r>
          </w:p>
        </w:tc>
        <w:tc>
          <w:tcPr>
            <w:tcW w:w="1692" w:type="dxa"/>
            <w:tcBorders>
              <w:top w:val="single" w:sz="4" w:space="0" w:color="000000"/>
              <w:left w:val="single" w:sz="4" w:space="0" w:color="000000"/>
              <w:right w:val="single" w:sz="4" w:space="0" w:color="000000"/>
            </w:tcBorders>
          </w:tcPr>
          <w:p>
            <w:pPr/>
          </w:p>
        </w:tc>
        <w:tc>
          <w:tcPr>
            <w:tcW w:w="1436" w:type="dxa"/>
            <w:tcBorders>
              <w:top w:val="single" w:sz="4" w:space="0" w:color="000000"/>
              <w:left w:val="single" w:sz="4" w:space="0" w:color="000000"/>
              <w:right w:val="single" w:sz="4" w:space="0" w:color="000000"/>
            </w:tcBorders>
          </w:tcPr>
          <w:p>
            <w:pPr/>
          </w:p>
        </w:tc>
        <w:tc>
          <w:tcPr>
            <w:tcW w:w="1368" w:type="dxa"/>
            <w:tcBorders>
              <w:top w:val="single" w:sz="4" w:space="0" w:color="000000"/>
              <w:left w:val="single" w:sz="4" w:space="0" w:color="000000"/>
            </w:tcBorders>
          </w:tcPr>
          <w:p>
            <w:pPr>
              <w:pStyle w:val="TableParagraph"/>
              <w:spacing w:before="42"/>
              <w:ind w:right="227"/>
              <w:jc w:val="right"/>
              <w:rPr>
                <w:sz w:val="20"/>
              </w:rPr>
            </w:pPr>
            <w:r>
              <w:rPr>
                <w:sz w:val="20"/>
              </w:rPr>
              <w:t>48,000</w:t>
            </w:r>
          </w:p>
        </w:tc>
      </w:tr>
    </w:tbl>
    <w:p>
      <w:pPr>
        <w:spacing w:after="0"/>
        <w:jc w:val="right"/>
        <w:rPr>
          <w:sz w:val="20"/>
        </w:rPr>
        <w:sectPr>
          <w:pgSz w:w="16840" w:h="11910" w:orient="landscape"/>
          <w:pgMar w:header="583" w:footer="575" w:top="840" w:bottom="760" w:left="860" w:right="12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6"/>
        </w:rPr>
      </w:pPr>
    </w:p>
    <w:tbl>
      <w:tblPr>
        <w:tblW w:w="0" w:type="auto"/>
        <w:jc w:val="left"/>
        <w:tblInd w:w="90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97"/>
        <w:gridCol w:w="612"/>
        <w:gridCol w:w="1049"/>
        <w:gridCol w:w="1135"/>
        <w:gridCol w:w="2091"/>
        <w:gridCol w:w="2004"/>
        <w:gridCol w:w="1755"/>
        <w:gridCol w:w="1692"/>
        <w:gridCol w:w="1436"/>
        <w:gridCol w:w="1368"/>
      </w:tblGrid>
      <w:tr>
        <w:trPr>
          <w:trHeight w:val="331" w:hRule="exact"/>
        </w:trPr>
        <w:tc>
          <w:tcPr>
            <w:tcW w:w="497" w:type="dxa"/>
            <w:vMerge w:val="restart"/>
            <w:tcBorders>
              <w:right w:val="single" w:sz="4" w:space="0" w:color="000000"/>
            </w:tcBorders>
            <w:shd w:val="clear" w:color="auto" w:fill="D9D9D9"/>
          </w:tcPr>
          <w:p>
            <w:pPr>
              <w:pStyle w:val="TableParagraph"/>
              <w:spacing w:before="0"/>
              <w:rPr>
                <w:rFonts w:ascii="Times New Roman"/>
                <w:sz w:val="22"/>
              </w:rPr>
            </w:pPr>
          </w:p>
          <w:p>
            <w:pPr>
              <w:pStyle w:val="TableParagraph"/>
              <w:spacing w:before="133"/>
              <w:ind w:left="50"/>
              <w:rPr>
                <w:b/>
                <w:sz w:val="20"/>
              </w:rPr>
            </w:pPr>
            <w:r>
              <w:rPr>
                <w:b/>
                <w:sz w:val="20"/>
              </w:rPr>
              <w:t>ID #</w:t>
            </w:r>
          </w:p>
        </w:tc>
        <w:tc>
          <w:tcPr>
            <w:tcW w:w="612" w:type="dxa"/>
            <w:vMerge w:val="restart"/>
            <w:tcBorders>
              <w:left w:val="single" w:sz="4" w:space="0" w:color="000000"/>
              <w:right w:val="single" w:sz="4" w:space="0" w:color="000000"/>
            </w:tcBorders>
            <w:shd w:val="clear" w:color="auto" w:fill="D9D9D9"/>
            <w:textDirection w:val="btLr"/>
          </w:tcPr>
          <w:p>
            <w:pPr>
              <w:pStyle w:val="TableParagraph"/>
              <w:spacing w:line="244" w:lineRule="auto" w:before="95"/>
              <w:ind w:left="112" w:right="216"/>
              <w:rPr>
                <w:b/>
                <w:sz w:val="20"/>
              </w:rPr>
            </w:pPr>
            <w:r>
              <w:rPr>
                <w:b/>
                <w:spacing w:val="-1"/>
                <w:w w:val="99"/>
                <w:sz w:val="20"/>
              </w:rPr>
              <w:t>S</w:t>
            </w:r>
            <w:r>
              <w:rPr>
                <w:b/>
                <w:w w:val="99"/>
                <w:sz w:val="20"/>
              </w:rPr>
              <w:t>egm</w:t>
            </w:r>
            <w:r>
              <w:rPr>
                <w:b/>
                <w:w w:val="99"/>
                <w:sz w:val="20"/>
              </w:rPr>
              <w:t>e </w:t>
            </w:r>
            <w:r>
              <w:rPr>
                <w:b/>
                <w:w w:val="99"/>
                <w:sz w:val="20"/>
              </w:rPr>
              <w:t>n</w:t>
            </w:r>
            <w:r>
              <w:rPr>
                <w:b/>
                <w:w w:val="99"/>
                <w:sz w:val="20"/>
              </w:rPr>
              <w:t>t</w:t>
            </w:r>
            <w:r>
              <w:rPr>
                <w:b/>
                <w:sz w:val="20"/>
              </w:rPr>
              <w:t> </w:t>
            </w:r>
            <w:r>
              <w:rPr>
                <w:b/>
                <w:w w:val="99"/>
                <w:sz w:val="20"/>
              </w:rPr>
              <w:t>No</w:t>
            </w:r>
            <w:r>
              <w:rPr>
                <w:b/>
                <w:w w:val="99"/>
                <w:sz w:val="20"/>
              </w:rPr>
              <w:t>.</w:t>
            </w:r>
          </w:p>
        </w:tc>
        <w:tc>
          <w:tcPr>
            <w:tcW w:w="2184" w:type="dxa"/>
            <w:gridSpan w:val="2"/>
            <w:tcBorders>
              <w:left w:val="single" w:sz="4" w:space="0" w:color="000000"/>
              <w:bottom w:val="single" w:sz="4" w:space="0" w:color="000000"/>
              <w:right w:val="single" w:sz="4" w:space="0" w:color="000000"/>
            </w:tcBorders>
            <w:shd w:val="clear" w:color="auto" w:fill="D9D9D9"/>
          </w:tcPr>
          <w:p>
            <w:pPr>
              <w:pStyle w:val="TableParagraph"/>
              <w:spacing w:before="40"/>
              <w:ind w:left="501"/>
              <w:rPr>
                <w:b/>
                <w:sz w:val="20"/>
              </w:rPr>
            </w:pPr>
            <w:r>
              <w:rPr>
                <w:b/>
                <w:sz w:val="20"/>
              </w:rPr>
              <w:t>Coordinates</w:t>
            </w:r>
          </w:p>
        </w:tc>
        <w:tc>
          <w:tcPr>
            <w:tcW w:w="2091" w:type="dxa"/>
            <w:vMerge w:val="restart"/>
            <w:tcBorders>
              <w:left w:val="single" w:sz="4" w:space="0" w:color="000000"/>
              <w:right w:val="single" w:sz="4" w:space="0" w:color="000000"/>
            </w:tcBorders>
            <w:shd w:val="clear" w:color="auto" w:fill="D9D9D9"/>
          </w:tcPr>
          <w:p>
            <w:pPr>
              <w:pStyle w:val="TableParagraph"/>
              <w:spacing w:before="0"/>
              <w:rPr>
                <w:rFonts w:ascii="Times New Roman"/>
                <w:sz w:val="22"/>
              </w:rPr>
            </w:pPr>
          </w:p>
          <w:p>
            <w:pPr>
              <w:pStyle w:val="TableParagraph"/>
              <w:spacing w:before="133"/>
              <w:ind w:left="430"/>
              <w:rPr>
                <w:b/>
                <w:sz w:val="20"/>
              </w:rPr>
            </w:pPr>
            <w:r>
              <w:rPr>
                <w:b/>
                <w:sz w:val="20"/>
              </w:rPr>
              <w:t>Owner Name</w:t>
            </w:r>
          </w:p>
        </w:tc>
        <w:tc>
          <w:tcPr>
            <w:tcW w:w="2004" w:type="dxa"/>
            <w:vMerge w:val="restart"/>
            <w:tcBorders>
              <w:left w:val="single" w:sz="4" w:space="0" w:color="000000"/>
              <w:right w:val="single" w:sz="4" w:space="0" w:color="000000"/>
            </w:tcBorders>
            <w:shd w:val="clear" w:color="auto" w:fill="D9D9D9"/>
          </w:tcPr>
          <w:p>
            <w:pPr>
              <w:pStyle w:val="TableParagraph"/>
              <w:spacing w:before="0"/>
              <w:rPr>
                <w:rFonts w:ascii="Times New Roman"/>
                <w:sz w:val="22"/>
              </w:rPr>
            </w:pPr>
          </w:p>
          <w:p>
            <w:pPr>
              <w:pStyle w:val="TableParagraph"/>
              <w:spacing w:before="133"/>
              <w:ind w:left="307"/>
              <w:rPr>
                <w:b/>
                <w:sz w:val="20"/>
              </w:rPr>
            </w:pPr>
            <w:r>
              <w:rPr>
                <w:b/>
                <w:sz w:val="20"/>
              </w:rPr>
              <w:t>Father’s Name</w:t>
            </w:r>
          </w:p>
        </w:tc>
        <w:tc>
          <w:tcPr>
            <w:tcW w:w="1755" w:type="dxa"/>
            <w:vMerge w:val="restart"/>
            <w:tcBorders>
              <w:left w:val="single" w:sz="4" w:space="0" w:color="000000"/>
              <w:right w:val="single" w:sz="4" w:space="0" w:color="000000"/>
            </w:tcBorders>
            <w:shd w:val="clear" w:color="auto" w:fill="D9D9D9"/>
          </w:tcPr>
          <w:p>
            <w:pPr>
              <w:pStyle w:val="TableParagraph"/>
              <w:spacing w:before="3"/>
              <w:rPr>
                <w:rFonts w:ascii="Times New Roman"/>
                <w:sz w:val="23"/>
              </w:rPr>
            </w:pPr>
          </w:p>
          <w:p>
            <w:pPr>
              <w:pStyle w:val="TableParagraph"/>
              <w:spacing w:line="242" w:lineRule="auto" w:before="1"/>
              <w:ind w:left="598" w:hanging="281"/>
              <w:rPr>
                <w:b/>
                <w:sz w:val="20"/>
              </w:rPr>
            </w:pPr>
            <w:r>
              <w:rPr>
                <w:b/>
                <w:w w:val="95"/>
                <w:sz w:val="20"/>
              </w:rPr>
              <w:t>Employee’s </w:t>
            </w:r>
            <w:r>
              <w:rPr>
                <w:b/>
                <w:sz w:val="20"/>
              </w:rPr>
              <w:t>Name</w:t>
            </w:r>
          </w:p>
        </w:tc>
        <w:tc>
          <w:tcPr>
            <w:tcW w:w="1692" w:type="dxa"/>
            <w:vMerge w:val="restart"/>
            <w:tcBorders>
              <w:left w:val="single" w:sz="4" w:space="0" w:color="000000"/>
              <w:right w:val="single" w:sz="4" w:space="0" w:color="000000"/>
            </w:tcBorders>
            <w:shd w:val="clear" w:color="auto" w:fill="D9D9D9"/>
          </w:tcPr>
          <w:p>
            <w:pPr>
              <w:pStyle w:val="TableParagraph"/>
              <w:spacing w:before="0"/>
              <w:rPr>
                <w:rFonts w:ascii="Times New Roman"/>
                <w:sz w:val="22"/>
              </w:rPr>
            </w:pPr>
          </w:p>
          <w:p>
            <w:pPr>
              <w:pStyle w:val="TableParagraph"/>
              <w:spacing w:before="133"/>
              <w:ind w:left="408"/>
              <w:rPr>
                <w:b/>
                <w:sz w:val="20"/>
              </w:rPr>
            </w:pPr>
            <w:r>
              <w:rPr>
                <w:b/>
                <w:sz w:val="20"/>
              </w:rPr>
              <w:t>CNIC No.</w:t>
            </w:r>
          </w:p>
        </w:tc>
        <w:tc>
          <w:tcPr>
            <w:tcW w:w="1436" w:type="dxa"/>
            <w:vMerge w:val="restart"/>
            <w:tcBorders>
              <w:left w:val="single" w:sz="4" w:space="0" w:color="000000"/>
              <w:right w:val="single" w:sz="4" w:space="0" w:color="000000"/>
            </w:tcBorders>
            <w:shd w:val="clear" w:color="auto" w:fill="D9D9D9"/>
          </w:tcPr>
          <w:p>
            <w:pPr>
              <w:pStyle w:val="TableParagraph"/>
              <w:spacing w:before="0"/>
              <w:rPr>
                <w:rFonts w:ascii="Times New Roman"/>
                <w:sz w:val="22"/>
              </w:rPr>
            </w:pPr>
          </w:p>
          <w:p>
            <w:pPr>
              <w:pStyle w:val="TableParagraph"/>
              <w:spacing w:before="133"/>
              <w:ind w:left="206"/>
              <w:rPr>
                <w:b/>
                <w:sz w:val="20"/>
              </w:rPr>
            </w:pPr>
            <w:r>
              <w:rPr>
                <w:b/>
                <w:sz w:val="20"/>
              </w:rPr>
              <w:t>Mobile No.</w:t>
            </w:r>
          </w:p>
        </w:tc>
        <w:tc>
          <w:tcPr>
            <w:tcW w:w="1368" w:type="dxa"/>
            <w:vMerge w:val="restart"/>
            <w:tcBorders>
              <w:left w:val="single" w:sz="4" w:space="0" w:color="000000"/>
            </w:tcBorders>
            <w:shd w:val="clear" w:color="auto" w:fill="D9D9D9"/>
          </w:tcPr>
          <w:p>
            <w:pPr>
              <w:pStyle w:val="TableParagraph"/>
              <w:spacing w:line="242" w:lineRule="auto" w:before="38"/>
              <w:ind w:left="88" w:right="80"/>
              <w:jc w:val="center"/>
              <w:rPr>
                <w:b/>
                <w:sz w:val="20"/>
              </w:rPr>
            </w:pPr>
            <w:r>
              <w:rPr>
                <w:b/>
                <w:w w:val="95"/>
                <w:sz w:val="20"/>
              </w:rPr>
              <w:t>Employment </w:t>
            </w:r>
            <w:r>
              <w:rPr>
                <w:b/>
                <w:sz w:val="20"/>
              </w:rPr>
              <w:t>Loss Allowance (PKR)</w:t>
            </w:r>
          </w:p>
        </w:tc>
      </w:tr>
      <w:tr>
        <w:trPr>
          <w:trHeight w:val="689" w:hRule="exact"/>
        </w:trPr>
        <w:tc>
          <w:tcPr>
            <w:tcW w:w="497" w:type="dxa"/>
            <w:vMerge/>
            <w:tcBorders>
              <w:bottom w:val="single" w:sz="4" w:space="0" w:color="000000"/>
              <w:right w:val="single" w:sz="4" w:space="0" w:color="000000"/>
            </w:tcBorders>
            <w:shd w:val="clear" w:color="auto" w:fill="D9D9D9"/>
          </w:tcPr>
          <w:p>
            <w:pPr/>
          </w:p>
        </w:tc>
        <w:tc>
          <w:tcPr>
            <w:tcW w:w="612" w:type="dxa"/>
            <w:vMerge/>
            <w:tcBorders>
              <w:left w:val="single" w:sz="4" w:space="0" w:color="000000"/>
              <w:bottom w:val="single" w:sz="4" w:space="0" w:color="000000"/>
              <w:right w:val="single" w:sz="4" w:space="0" w:color="000000"/>
            </w:tcBorders>
            <w:shd w:val="clear" w:color="auto" w:fill="D9D9D9"/>
            <w:textDirection w:val="btLr"/>
          </w:tcPr>
          <w:p>
            <w:pPr/>
          </w:p>
        </w:tc>
        <w:tc>
          <w:tcPr>
            <w:tcW w:w="1049"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6"/>
              <w:rPr>
                <w:rFonts w:ascii="Times New Roman"/>
                <w:sz w:val="19"/>
              </w:rPr>
            </w:pPr>
          </w:p>
          <w:p>
            <w:pPr>
              <w:pStyle w:val="TableParagraph"/>
              <w:spacing w:before="0"/>
              <w:ind w:left="52" w:right="56"/>
              <w:jc w:val="center"/>
              <w:rPr>
                <w:b/>
                <w:sz w:val="20"/>
              </w:rPr>
            </w:pPr>
            <w:r>
              <w:rPr>
                <w:b/>
                <w:sz w:val="20"/>
              </w:rPr>
              <w:t>Northing</w:t>
            </w:r>
          </w:p>
        </w:tc>
        <w:tc>
          <w:tcPr>
            <w:tcW w:w="1135"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6"/>
              <w:rPr>
                <w:rFonts w:ascii="Times New Roman"/>
                <w:sz w:val="19"/>
              </w:rPr>
            </w:pPr>
          </w:p>
          <w:p>
            <w:pPr>
              <w:pStyle w:val="TableParagraph"/>
              <w:spacing w:before="0"/>
              <w:ind w:left="96" w:right="97"/>
              <w:jc w:val="center"/>
              <w:rPr>
                <w:b/>
                <w:sz w:val="20"/>
              </w:rPr>
            </w:pPr>
            <w:r>
              <w:rPr>
                <w:b/>
                <w:sz w:val="20"/>
              </w:rPr>
              <w:t>Easting</w:t>
            </w:r>
          </w:p>
        </w:tc>
        <w:tc>
          <w:tcPr>
            <w:tcW w:w="2091" w:type="dxa"/>
            <w:vMerge/>
            <w:tcBorders>
              <w:left w:val="single" w:sz="4" w:space="0" w:color="000000"/>
              <w:bottom w:val="single" w:sz="4" w:space="0" w:color="000000"/>
              <w:right w:val="single" w:sz="4" w:space="0" w:color="000000"/>
            </w:tcBorders>
            <w:shd w:val="clear" w:color="auto" w:fill="D9D9D9"/>
          </w:tcPr>
          <w:p>
            <w:pPr/>
          </w:p>
        </w:tc>
        <w:tc>
          <w:tcPr>
            <w:tcW w:w="2004" w:type="dxa"/>
            <w:vMerge/>
            <w:tcBorders>
              <w:left w:val="single" w:sz="4" w:space="0" w:color="000000"/>
              <w:bottom w:val="single" w:sz="4" w:space="0" w:color="000000"/>
              <w:right w:val="single" w:sz="4" w:space="0" w:color="000000"/>
            </w:tcBorders>
            <w:shd w:val="clear" w:color="auto" w:fill="D9D9D9"/>
          </w:tcPr>
          <w:p>
            <w:pPr/>
          </w:p>
        </w:tc>
        <w:tc>
          <w:tcPr>
            <w:tcW w:w="1755" w:type="dxa"/>
            <w:vMerge/>
            <w:tcBorders>
              <w:left w:val="single" w:sz="4" w:space="0" w:color="000000"/>
              <w:bottom w:val="single" w:sz="4" w:space="0" w:color="000000"/>
              <w:right w:val="single" w:sz="4" w:space="0" w:color="000000"/>
            </w:tcBorders>
            <w:shd w:val="clear" w:color="auto" w:fill="D9D9D9"/>
          </w:tcPr>
          <w:p>
            <w:pPr/>
          </w:p>
        </w:tc>
        <w:tc>
          <w:tcPr>
            <w:tcW w:w="1692" w:type="dxa"/>
            <w:vMerge/>
            <w:tcBorders>
              <w:left w:val="single" w:sz="4" w:space="0" w:color="000000"/>
              <w:bottom w:val="single" w:sz="4" w:space="0" w:color="000000"/>
              <w:right w:val="single" w:sz="4" w:space="0" w:color="000000"/>
            </w:tcBorders>
            <w:shd w:val="clear" w:color="auto" w:fill="D9D9D9"/>
          </w:tcPr>
          <w:p>
            <w:pPr/>
          </w:p>
        </w:tc>
        <w:tc>
          <w:tcPr>
            <w:tcW w:w="1436" w:type="dxa"/>
            <w:vMerge/>
            <w:tcBorders>
              <w:left w:val="single" w:sz="4" w:space="0" w:color="000000"/>
              <w:bottom w:val="single" w:sz="4" w:space="0" w:color="000000"/>
              <w:right w:val="single" w:sz="4" w:space="0" w:color="000000"/>
            </w:tcBorders>
            <w:shd w:val="clear" w:color="auto" w:fill="D9D9D9"/>
          </w:tcPr>
          <w:p>
            <w:pPr/>
          </w:p>
        </w:tc>
        <w:tc>
          <w:tcPr>
            <w:tcW w:w="1368" w:type="dxa"/>
            <w:vMerge/>
            <w:tcBorders>
              <w:left w:val="single" w:sz="4" w:space="0" w:color="000000"/>
              <w:bottom w:val="single" w:sz="4" w:space="0" w:color="000000"/>
            </w:tcBorders>
            <w:shd w:val="clear" w:color="auto" w:fill="D9D9D9"/>
          </w:tcPr>
          <w:p>
            <w:pPr/>
          </w:p>
        </w:tc>
      </w:tr>
      <w:tr>
        <w:trPr>
          <w:trHeight w:val="550" w:hRule="exact"/>
        </w:trPr>
        <w:tc>
          <w:tcPr>
            <w:tcW w:w="497" w:type="dxa"/>
            <w:tcBorders>
              <w:top w:val="single" w:sz="4" w:space="0" w:color="000000"/>
              <w:bottom w:val="single" w:sz="4" w:space="0" w:color="000000"/>
              <w:right w:val="single" w:sz="4" w:space="0" w:color="000000"/>
            </w:tcBorders>
          </w:tcPr>
          <w:p>
            <w:pPr>
              <w:pStyle w:val="TableParagraph"/>
              <w:spacing w:before="155"/>
              <w:ind w:right="132"/>
              <w:jc w:val="right"/>
              <w:rPr>
                <w:sz w:val="20"/>
              </w:rPr>
            </w:pPr>
            <w:r>
              <w:rPr>
                <w:sz w:val="20"/>
              </w:rPr>
              <w:t>70</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155"/>
              <w:ind w:right="244"/>
              <w:jc w:val="right"/>
              <w:rPr>
                <w:sz w:val="20"/>
              </w:rPr>
            </w:pPr>
            <w:r>
              <w:rPr>
                <w:w w:val="99"/>
                <w:sz w:val="20"/>
              </w:rPr>
              <w:t>5</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6"/>
              <w:rPr>
                <w:rFonts w:ascii="Times New Roman"/>
                <w:sz w:val="23"/>
              </w:rPr>
            </w:pPr>
          </w:p>
          <w:p>
            <w:pPr>
              <w:pStyle w:val="TableParagraph"/>
              <w:spacing w:before="0"/>
              <w:ind w:left="52" w:right="57"/>
              <w:jc w:val="center"/>
              <w:rPr>
                <w:sz w:val="20"/>
              </w:rPr>
            </w:pPr>
            <w:r>
              <w:rPr>
                <w:sz w:val="20"/>
              </w:rPr>
              <w:t>24 50.916</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6"/>
              <w:rPr>
                <w:rFonts w:ascii="Times New Roman"/>
                <w:sz w:val="23"/>
              </w:rPr>
            </w:pPr>
          </w:p>
          <w:p>
            <w:pPr>
              <w:pStyle w:val="TableParagraph"/>
              <w:spacing w:before="0"/>
              <w:ind w:left="97" w:right="97"/>
              <w:jc w:val="center"/>
              <w:rPr>
                <w:sz w:val="20"/>
              </w:rPr>
            </w:pPr>
            <w:r>
              <w:rPr>
                <w:sz w:val="20"/>
              </w:rPr>
              <w:t>67 03.236</w:t>
            </w:r>
          </w:p>
        </w:tc>
        <w:tc>
          <w:tcPr>
            <w:tcW w:w="2091" w:type="dxa"/>
            <w:tcBorders>
              <w:top w:val="single" w:sz="4" w:space="0" w:color="000000"/>
              <w:left w:val="single" w:sz="4" w:space="0" w:color="000000"/>
              <w:bottom w:val="single" w:sz="4" w:space="0" w:color="000000"/>
              <w:right w:val="single" w:sz="4" w:space="0" w:color="000000"/>
            </w:tcBorders>
          </w:tcPr>
          <w:p>
            <w:pPr>
              <w:pStyle w:val="TableParagraph"/>
              <w:spacing w:before="155"/>
              <w:ind w:left="52"/>
              <w:rPr>
                <w:sz w:val="20"/>
              </w:rPr>
            </w:pPr>
            <w:r>
              <w:rPr>
                <w:sz w:val="20"/>
              </w:rPr>
              <w:t>Fazal Muhammad</w:t>
            </w:r>
          </w:p>
        </w:tc>
        <w:tc>
          <w:tcPr>
            <w:tcW w:w="2004" w:type="dxa"/>
            <w:tcBorders>
              <w:top w:val="single" w:sz="4" w:space="0" w:color="000000"/>
              <w:left w:val="single" w:sz="4" w:space="0" w:color="000000"/>
              <w:bottom w:val="single" w:sz="4" w:space="0" w:color="000000"/>
              <w:right w:val="single" w:sz="4" w:space="0" w:color="000000"/>
            </w:tcBorders>
          </w:tcPr>
          <w:p>
            <w:pPr>
              <w:pStyle w:val="TableParagraph"/>
              <w:spacing w:before="155"/>
              <w:ind w:left="52"/>
              <w:rPr>
                <w:sz w:val="20"/>
              </w:rPr>
            </w:pPr>
            <w:r>
              <w:rPr>
                <w:sz w:val="20"/>
              </w:rPr>
              <w:t>Noor Muhammad</w:t>
            </w:r>
          </w:p>
        </w:tc>
        <w:tc>
          <w:tcPr>
            <w:tcW w:w="1755" w:type="dxa"/>
            <w:tcBorders>
              <w:top w:val="single" w:sz="4" w:space="0" w:color="000000"/>
              <w:left w:val="single" w:sz="4" w:space="0" w:color="000000"/>
              <w:bottom w:val="single" w:sz="4" w:space="0" w:color="000000"/>
              <w:right w:val="single" w:sz="4" w:space="0" w:color="000000"/>
            </w:tcBorders>
          </w:tcPr>
          <w:p>
            <w:pPr>
              <w:pStyle w:val="TableParagraph"/>
              <w:spacing w:before="6"/>
              <w:rPr>
                <w:rFonts w:ascii="Times New Roman"/>
                <w:sz w:val="23"/>
              </w:rPr>
            </w:pPr>
          </w:p>
          <w:p>
            <w:pPr>
              <w:pStyle w:val="TableParagraph"/>
              <w:spacing w:before="0"/>
              <w:ind w:left="53"/>
              <w:rPr>
                <w:sz w:val="20"/>
              </w:rPr>
            </w:pPr>
            <w:r>
              <w:rPr>
                <w:sz w:val="20"/>
              </w:rPr>
              <w:t>Bacha Rahman</w:t>
            </w:r>
          </w:p>
        </w:tc>
        <w:tc>
          <w:tcPr>
            <w:tcW w:w="1692" w:type="dxa"/>
            <w:tcBorders>
              <w:top w:val="single" w:sz="4" w:space="0" w:color="000000"/>
              <w:left w:val="single" w:sz="4" w:space="0" w:color="000000"/>
              <w:bottom w:val="single" w:sz="4" w:space="0" w:color="000000"/>
              <w:right w:val="single" w:sz="4" w:space="0" w:color="000000"/>
            </w:tcBorders>
          </w:tcPr>
          <w:p>
            <w:pPr>
              <w:pStyle w:val="TableParagraph"/>
              <w:spacing w:before="38"/>
              <w:ind w:left="52"/>
              <w:rPr>
                <w:sz w:val="20"/>
              </w:rPr>
            </w:pPr>
            <w:r>
              <w:rPr>
                <w:sz w:val="20"/>
              </w:rPr>
              <w:t>13504-7429762-</w:t>
            </w:r>
          </w:p>
          <w:p>
            <w:pPr>
              <w:pStyle w:val="TableParagraph"/>
              <w:spacing w:before="3"/>
              <w:ind w:left="52"/>
              <w:rPr>
                <w:sz w:val="20"/>
              </w:rPr>
            </w:pPr>
            <w:r>
              <w:rPr>
                <w:w w:val="99"/>
                <w:sz w:val="20"/>
              </w:rPr>
              <w:t>5</w:t>
            </w:r>
          </w:p>
        </w:tc>
        <w:tc>
          <w:tcPr>
            <w:tcW w:w="1436" w:type="dxa"/>
            <w:tcBorders>
              <w:top w:val="single" w:sz="4" w:space="0" w:color="000000"/>
              <w:left w:val="single" w:sz="4" w:space="0" w:color="000000"/>
              <w:bottom w:val="single" w:sz="4" w:space="0" w:color="000000"/>
              <w:right w:val="single" w:sz="4" w:space="0" w:color="000000"/>
            </w:tcBorders>
          </w:tcPr>
          <w:p>
            <w:pPr>
              <w:pStyle w:val="TableParagraph"/>
              <w:spacing w:before="6"/>
              <w:rPr>
                <w:rFonts w:ascii="Times New Roman"/>
                <w:sz w:val="23"/>
              </w:rPr>
            </w:pPr>
          </w:p>
          <w:p>
            <w:pPr>
              <w:pStyle w:val="TableParagraph"/>
              <w:spacing w:before="0"/>
              <w:ind w:left="52"/>
              <w:rPr>
                <w:sz w:val="20"/>
              </w:rPr>
            </w:pPr>
            <w:r>
              <w:rPr>
                <w:sz w:val="20"/>
              </w:rPr>
              <w:t>03084331939</w:t>
            </w:r>
          </w:p>
        </w:tc>
        <w:tc>
          <w:tcPr>
            <w:tcW w:w="1368" w:type="dxa"/>
            <w:tcBorders>
              <w:top w:val="single" w:sz="4" w:space="0" w:color="000000"/>
              <w:left w:val="single" w:sz="4" w:space="0" w:color="000000"/>
              <w:bottom w:val="single" w:sz="4" w:space="0" w:color="000000"/>
            </w:tcBorders>
          </w:tcPr>
          <w:p>
            <w:pPr>
              <w:pStyle w:val="TableParagraph"/>
              <w:spacing w:before="40"/>
              <w:ind w:right="227"/>
              <w:jc w:val="right"/>
              <w:rPr>
                <w:sz w:val="20"/>
              </w:rPr>
            </w:pPr>
            <w:r>
              <w:rPr>
                <w:sz w:val="20"/>
              </w:rPr>
              <w:t>48,000</w:t>
            </w:r>
          </w:p>
        </w:tc>
      </w:tr>
      <w:tr>
        <w:trPr>
          <w:trHeight w:val="550" w:hRule="exact"/>
        </w:trPr>
        <w:tc>
          <w:tcPr>
            <w:tcW w:w="497" w:type="dxa"/>
            <w:tcBorders>
              <w:top w:val="single" w:sz="4" w:space="0" w:color="000000"/>
              <w:bottom w:val="single" w:sz="4" w:space="0" w:color="000000"/>
              <w:right w:val="single" w:sz="4" w:space="0" w:color="000000"/>
            </w:tcBorders>
          </w:tcPr>
          <w:p>
            <w:pPr>
              <w:pStyle w:val="TableParagraph"/>
              <w:spacing w:before="156"/>
              <w:ind w:right="132"/>
              <w:jc w:val="right"/>
              <w:rPr>
                <w:sz w:val="20"/>
              </w:rPr>
            </w:pPr>
            <w:r>
              <w:rPr>
                <w:sz w:val="20"/>
              </w:rPr>
              <w:t>74</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156"/>
              <w:ind w:right="244"/>
              <w:jc w:val="right"/>
              <w:rPr>
                <w:sz w:val="20"/>
              </w:rPr>
            </w:pPr>
            <w:r>
              <w:rPr>
                <w:w w:val="99"/>
                <w:sz w:val="20"/>
              </w:rPr>
              <w:t>5</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6"/>
              <w:rPr>
                <w:rFonts w:ascii="Times New Roman"/>
                <w:sz w:val="23"/>
              </w:rPr>
            </w:pPr>
          </w:p>
          <w:p>
            <w:pPr>
              <w:pStyle w:val="TableParagraph"/>
              <w:spacing w:before="1"/>
              <w:ind w:left="52" w:right="57"/>
              <w:jc w:val="center"/>
              <w:rPr>
                <w:sz w:val="20"/>
              </w:rPr>
            </w:pPr>
            <w:r>
              <w:rPr>
                <w:sz w:val="20"/>
              </w:rPr>
              <w:t>24 50.916</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6"/>
              <w:rPr>
                <w:rFonts w:ascii="Times New Roman"/>
                <w:sz w:val="23"/>
              </w:rPr>
            </w:pPr>
          </w:p>
          <w:p>
            <w:pPr>
              <w:pStyle w:val="TableParagraph"/>
              <w:spacing w:before="1"/>
              <w:ind w:left="97" w:right="97"/>
              <w:jc w:val="center"/>
              <w:rPr>
                <w:sz w:val="20"/>
              </w:rPr>
            </w:pPr>
            <w:r>
              <w:rPr>
                <w:sz w:val="20"/>
              </w:rPr>
              <w:t>67 03.236</w:t>
            </w:r>
          </w:p>
        </w:tc>
        <w:tc>
          <w:tcPr>
            <w:tcW w:w="2091"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38"/>
              <w:ind w:left="52" w:right="70"/>
              <w:rPr>
                <w:sz w:val="20"/>
              </w:rPr>
            </w:pPr>
            <w:r>
              <w:rPr>
                <w:sz w:val="20"/>
              </w:rPr>
              <w:t>Syed Zafar Iqbal Gilani</w:t>
            </w:r>
          </w:p>
        </w:tc>
        <w:tc>
          <w:tcPr>
            <w:tcW w:w="2004"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38"/>
              <w:ind w:left="52" w:right="666"/>
              <w:rPr>
                <w:sz w:val="20"/>
              </w:rPr>
            </w:pPr>
            <w:r>
              <w:rPr>
                <w:sz w:val="20"/>
              </w:rPr>
              <w:t>Syed Ghulam Qumias Gilani</w:t>
            </w:r>
          </w:p>
        </w:tc>
        <w:tc>
          <w:tcPr>
            <w:tcW w:w="1755" w:type="dxa"/>
            <w:tcBorders>
              <w:top w:val="single" w:sz="4" w:space="0" w:color="000000"/>
              <w:left w:val="single" w:sz="4" w:space="0" w:color="000000"/>
              <w:bottom w:val="single" w:sz="4" w:space="0" w:color="000000"/>
              <w:right w:val="single" w:sz="4" w:space="0" w:color="000000"/>
            </w:tcBorders>
          </w:tcPr>
          <w:p>
            <w:pPr>
              <w:pStyle w:val="TableParagraph"/>
              <w:spacing w:before="6"/>
              <w:rPr>
                <w:rFonts w:ascii="Times New Roman"/>
                <w:sz w:val="23"/>
              </w:rPr>
            </w:pPr>
          </w:p>
          <w:p>
            <w:pPr>
              <w:pStyle w:val="TableParagraph"/>
              <w:spacing w:before="1"/>
              <w:ind w:left="53"/>
              <w:rPr>
                <w:sz w:val="20"/>
              </w:rPr>
            </w:pPr>
            <w:r>
              <w:rPr>
                <w:sz w:val="20"/>
              </w:rPr>
              <w:t>Syed Raza Gilani</w:t>
            </w:r>
          </w:p>
        </w:tc>
        <w:tc>
          <w:tcPr>
            <w:tcW w:w="1692" w:type="dxa"/>
            <w:tcBorders>
              <w:top w:val="single" w:sz="4" w:space="0" w:color="000000"/>
              <w:left w:val="single" w:sz="4" w:space="0" w:color="000000"/>
              <w:bottom w:val="single" w:sz="4" w:space="0" w:color="000000"/>
              <w:right w:val="single" w:sz="4" w:space="0" w:color="000000"/>
            </w:tcBorders>
          </w:tcPr>
          <w:p>
            <w:pPr/>
          </w:p>
        </w:tc>
        <w:tc>
          <w:tcPr>
            <w:tcW w:w="1436" w:type="dxa"/>
            <w:tcBorders>
              <w:top w:val="single" w:sz="4" w:space="0" w:color="000000"/>
              <w:left w:val="single" w:sz="4" w:space="0" w:color="000000"/>
              <w:bottom w:val="single" w:sz="4" w:space="0" w:color="000000"/>
              <w:right w:val="single" w:sz="4" w:space="0" w:color="000000"/>
            </w:tcBorders>
          </w:tcPr>
          <w:p>
            <w:pPr>
              <w:pStyle w:val="TableParagraph"/>
              <w:spacing w:before="6"/>
              <w:rPr>
                <w:rFonts w:ascii="Times New Roman"/>
                <w:sz w:val="23"/>
              </w:rPr>
            </w:pPr>
          </w:p>
          <w:p>
            <w:pPr>
              <w:pStyle w:val="TableParagraph"/>
              <w:spacing w:before="1"/>
              <w:ind w:left="52"/>
              <w:rPr>
                <w:sz w:val="20"/>
              </w:rPr>
            </w:pPr>
            <w:r>
              <w:rPr>
                <w:sz w:val="20"/>
              </w:rPr>
              <w:t>03111052215</w:t>
            </w:r>
          </w:p>
        </w:tc>
        <w:tc>
          <w:tcPr>
            <w:tcW w:w="1368" w:type="dxa"/>
            <w:tcBorders>
              <w:top w:val="single" w:sz="4" w:space="0" w:color="000000"/>
              <w:left w:val="single" w:sz="4" w:space="0" w:color="000000"/>
              <w:bottom w:val="single" w:sz="4" w:space="0" w:color="000000"/>
            </w:tcBorders>
          </w:tcPr>
          <w:p>
            <w:pPr>
              <w:pStyle w:val="TableParagraph"/>
              <w:spacing w:before="40"/>
              <w:ind w:right="227"/>
              <w:jc w:val="right"/>
              <w:rPr>
                <w:sz w:val="20"/>
              </w:rPr>
            </w:pPr>
            <w:r>
              <w:rPr>
                <w:sz w:val="20"/>
              </w:rPr>
              <w:t>48,000</w:t>
            </w:r>
          </w:p>
        </w:tc>
      </w:tr>
      <w:tr>
        <w:trPr>
          <w:trHeight w:val="552" w:hRule="exact"/>
        </w:trPr>
        <w:tc>
          <w:tcPr>
            <w:tcW w:w="497" w:type="dxa"/>
            <w:tcBorders>
              <w:top w:val="single" w:sz="4" w:space="0" w:color="000000"/>
              <w:bottom w:val="single" w:sz="4" w:space="0" w:color="000000"/>
              <w:right w:val="single" w:sz="4" w:space="0" w:color="000000"/>
            </w:tcBorders>
          </w:tcPr>
          <w:p>
            <w:pPr>
              <w:pStyle w:val="TableParagraph"/>
              <w:spacing w:before="158"/>
              <w:ind w:right="132"/>
              <w:jc w:val="right"/>
              <w:rPr>
                <w:sz w:val="20"/>
              </w:rPr>
            </w:pPr>
            <w:r>
              <w:rPr>
                <w:sz w:val="20"/>
              </w:rPr>
              <w:t>75</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158"/>
              <w:ind w:right="244"/>
              <w:jc w:val="right"/>
              <w:rPr>
                <w:sz w:val="20"/>
              </w:rPr>
            </w:pPr>
            <w:r>
              <w:rPr>
                <w:w w:val="99"/>
                <w:sz w:val="20"/>
              </w:rPr>
              <w:t>5</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6"/>
              <w:rPr>
                <w:rFonts w:ascii="Times New Roman"/>
                <w:sz w:val="23"/>
              </w:rPr>
            </w:pPr>
          </w:p>
          <w:p>
            <w:pPr>
              <w:pStyle w:val="TableParagraph"/>
              <w:spacing w:before="0"/>
              <w:ind w:left="52" w:right="57"/>
              <w:jc w:val="center"/>
              <w:rPr>
                <w:sz w:val="20"/>
              </w:rPr>
            </w:pPr>
            <w:r>
              <w:rPr>
                <w:sz w:val="20"/>
              </w:rPr>
              <w:t>24 50.916</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6"/>
              <w:rPr>
                <w:rFonts w:ascii="Times New Roman"/>
                <w:sz w:val="23"/>
              </w:rPr>
            </w:pPr>
          </w:p>
          <w:p>
            <w:pPr>
              <w:pStyle w:val="TableParagraph"/>
              <w:spacing w:before="0"/>
              <w:ind w:left="97" w:right="97"/>
              <w:jc w:val="center"/>
              <w:rPr>
                <w:sz w:val="20"/>
              </w:rPr>
            </w:pPr>
            <w:r>
              <w:rPr>
                <w:sz w:val="20"/>
              </w:rPr>
              <w:t>67 03.236</w:t>
            </w:r>
          </w:p>
        </w:tc>
        <w:tc>
          <w:tcPr>
            <w:tcW w:w="2091" w:type="dxa"/>
            <w:tcBorders>
              <w:top w:val="single" w:sz="4" w:space="0" w:color="000000"/>
              <w:left w:val="single" w:sz="4" w:space="0" w:color="000000"/>
              <w:bottom w:val="single" w:sz="4" w:space="0" w:color="000000"/>
              <w:right w:val="single" w:sz="4" w:space="0" w:color="000000"/>
            </w:tcBorders>
          </w:tcPr>
          <w:p>
            <w:pPr>
              <w:pStyle w:val="TableParagraph"/>
              <w:spacing w:before="158"/>
              <w:ind w:left="52"/>
              <w:rPr>
                <w:sz w:val="20"/>
              </w:rPr>
            </w:pPr>
            <w:r>
              <w:rPr>
                <w:sz w:val="20"/>
              </w:rPr>
              <w:t>Shakir Ali Qureshi</w:t>
            </w:r>
          </w:p>
        </w:tc>
        <w:tc>
          <w:tcPr>
            <w:tcW w:w="2004" w:type="dxa"/>
            <w:tcBorders>
              <w:top w:val="single" w:sz="4" w:space="0" w:color="000000"/>
              <w:left w:val="single" w:sz="4" w:space="0" w:color="000000"/>
              <w:bottom w:val="single" w:sz="4" w:space="0" w:color="000000"/>
              <w:right w:val="single" w:sz="4" w:space="0" w:color="000000"/>
            </w:tcBorders>
          </w:tcPr>
          <w:p>
            <w:pPr>
              <w:pStyle w:val="TableParagraph"/>
              <w:spacing w:before="158"/>
              <w:ind w:left="52"/>
              <w:rPr>
                <w:sz w:val="20"/>
              </w:rPr>
            </w:pPr>
            <w:r>
              <w:rPr>
                <w:sz w:val="20"/>
              </w:rPr>
              <w:t>Muhammad Farooq</w:t>
            </w:r>
          </w:p>
        </w:tc>
        <w:tc>
          <w:tcPr>
            <w:tcW w:w="1755" w:type="dxa"/>
            <w:tcBorders>
              <w:top w:val="single" w:sz="4" w:space="0" w:color="000000"/>
              <w:left w:val="single" w:sz="4" w:space="0" w:color="000000"/>
              <w:bottom w:val="single" w:sz="4" w:space="0" w:color="000000"/>
              <w:right w:val="single" w:sz="4" w:space="0" w:color="000000"/>
            </w:tcBorders>
          </w:tcPr>
          <w:p>
            <w:pPr>
              <w:pStyle w:val="TableParagraph"/>
              <w:spacing w:before="6"/>
              <w:rPr>
                <w:rFonts w:ascii="Times New Roman"/>
                <w:sz w:val="23"/>
              </w:rPr>
            </w:pPr>
          </w:p>
          <w:p>
            <w:pPr>
              <w:pStyle w:val="TableParagraph"/>
              <w:spacing w:before="0"/>
              <w:ind w:left="53"/>
              <w:rPr>
                <w:sz w:val="20"/>
              </w:rPr>
            </w:pPr>
            <w:r>
              <w:rPr>
                <w:sz w:val="20"/>
              </w:rPr>
              <w:t>Bahadur Khan</w:t>
            </w:r>
          </w:p>
        </w:tc>
        <w:tc>
          <w:tcPr>
            <w:tcW w:w="1692"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Pr>
                <w:sz w:val="20"/>
              </w:rPr>
            </w:pPr>
            <w:r>
              <w:rPr>
                <w:sz w:val="20"/>
              </w:rPr>
              <w:t>42501-0192271-</w:t>
            </w:r>
          </w:p>
          <w:p>
            <w:pPr>
              <w:pStyle w:val="TableParagraph"/>
              <w:spacing w:before="0"/>
              <w:ind w:left="52"/>
              <w:rPr>
                <w:sz w:val="20"/>
              </w:rPr>
            </w:pPr>
            <w:r>
              <w:rPr>
                <w:w w:val="99"/>
                <w:sz w:val="20"/>
              </w:rPr>
              <w:t>1</w:t>
            </w:r>
          </w:p>
        </w:tc>
        <w:tc>
          <w:tcPr>
            <w:tcW w:w="1436" w:type="dxa"/>
            <w:tcBorders>
              <w:top w:val="single" w:sz="4" w:space="0" w:color="000000"/>
              <w:left w:val="single" w:sz="4" w:space="0" w:color="000000"/>
              <w:bottom w:val="single" w:sz="4" w:space="0" w:color="000000"/>
              <w:right w:val="single" w:sz="4" w:space="0" w:color="000000"/>
            </w:tcBorders>
          </w:tcPr>
          <w:p>
            <w:pPr>
              <w:pStyle w:val="TableParagraph"/>
              <w:spacing w:before="6"/>
              <w:rPr>
                <w:rFonts w:ascii="Times New Roman"/>
                <w:sz w:val="23"/>
              </w:rPr>
            </w:pPr>
          </w:p>
          <w:p>
            <w:pPr>
              <w:pStyle w:val="TableParagraph"/>
              <w:spacing w:before="0"/>
              <w:ind w:left="52"/>
              <w:rPr>
                <w:sz w:val="20"/>
              </w:rPr>
            </w:pPr>
            <w:r>
              <w:rPr>
                <w:sz w:val="20"/>
              </w:rPr>
              <w:t>03162696212</w:t>
            </w:r>
          </w:p>
        </w:tc>
        <w:tc>
          <w:tcPr>
            <w:tcW w:w="1368" w:type="dxa"/>
            <w:tcBorders>
              <w:top w:val="single" w:sz="4" w:space="0" w:color="000000"/>
              <w:left w:val="single" w:sz="4" w:space="0" w:color="000000"/>
              <w:bottom w:val="single" w:sz="4" w:space="0" w:color="000000"/>
            </w:tcBorders>
          </w:tcPr>
          <w:p>
            <w:pPr>
              <w:pStyle w:val="TableParagraph"/>
              <w:spacing w:before="43"/>
              <w:ind w:right="227"/>
              <w:jc w:val="right"/>
              <w:rPr>
                <w:sz w:val="20"/>
              </w:rPr>
            </w:pPr>
            <w:r>
              <w:rPr>
                <w:sz w:val="20"/>
              </w:rPr>
              <w:t>48,000</w:t>
            </w:r>
          </w:p>
        </w:tc>
      </w:tr>
      <w:tr>
        <w:trPr>
          <w:trHeight w:val="550" w:hRule="exact"/>
        </w:trPr>
        <w:tc>
          <w:tcPr>
            <w:tcW w:w="497" w:type="dxa"/>
            <w:tcBorders>
              <w:top w:val="single" w:sz="4" w:space="0" w:color="000000"/>
              <w:bottom w:val="single" w:sz="4" w:space="0" w:color="000000"/>
              <w:right w:val="single" w:sz="4" w:space="0" w:color="000000"/>
            </w:tcBorders>
          </w:tcPr>
          <w:p>
            <w:pPr>
              <w:pStyle w:val="TableParagraph"/>
              <w:spacing w:before="155"/>
              <w:ind w:right="132"/>
              <w:jc w:val="right"/>
              <w:rPr>
                <w:sz w:val="20"/>
              </w:rPr>
            </w:pPr>
            <w:r>
              <w:rPr>
                <w:sz w:val="20"/>
              </w:rPr>
              <w:t>75</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155"/>
              <w:ind w:right="244"/>
              <w:jc w:val="right"/>
              <w:rPr>
                <w:sz w:val="20"/>
              </w:rPr>
            </w:pPr>
            <w:r>
              <w:rPr>
                <w:w w:val="99"/>
                <w:sz w:val="20"/>
              </w:rPr>
              <w:t>5</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6"/>
              <w:rPr>
                <w:rFonts w:ascii="Times New Roman"/>
                <w:sz w:val="23"/>
              </w:rPr>
            </w:pPr>
          </w:p>
          <w:p>
            <w:pPr>
              <w:pStyle w:val="TableParagraph"/>
              <w:spacing w:before="0"/>
              <w:ind w:left="52" w:right="57"/>
              <w:jc w:val="center"/>
              <w:rPr>
                <w:sz w:val="20"/>
              </w:rPr>
            </w:pPr>
            <w:r>
              <w:rPr>
                <w:sz w:val="20"/>
              </w:rPr>
              <w:t>24 50.916</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6"/>
              <w:rPr>
                <w:rFonts w:ascii="Times New Roman"/>
                <w:sz w:val="23"/>
              </w:rPr>
            </w:pPr>
          </w:p>
          <w:p>
            <w:pPr>
              <w:pStyle w:val="TableParagraph"/>
              <w:spacing w:before="0"/>
              <w:ind w:left="97" w:right="97"/>
              <w:jc w:val="center"/>
              <w:rPr>
                <w:sz w:val="20"/>
              </w:rPr>
            </w:pPr>
            <w:r>
              <w:rPr>
                <w:sz w:val="20"/>
              </w:rPr>
              <w:t>67 03.236</w:t>
            </w:r>
          </w:p>
        </w:tc>
        <w:tc>
          <w:tcPr>
            <w:tcW w:w="2091" w:type="dxa"/>
            <w:tcBorders>
              <w:top w:val="single" w:sz="4" w:space="0" w:color="000000"/>
              <w:left w:val="single" w:sz="4" w:space="0" w:color="000000"/>
              <w:bottom w:val="single" w:sz="4" w:space="0" w:color="000000"/>
              <w:right w:val="single" w:sz="4" w:space="0" w:color="000000"/>
            </w:tcBorders>
          </w:tcPr>
          <w:p>
            <w:pPr>
              <w:pStyle w:val="TableParagraph"/>
              <w:spacing w:before="155"/>
              <w:ind w:left="52"/>
              <w:rPr>
                <w:sz w:val="20"/>
              </w:rPr>
            </w:pPr>
            <w:r>
              <w:rPr>
                <w:sz w:val="20"/>
              </w:rPr>
              <w:t>Shakir Ali Qureshi</w:t>
            </w:r>
          </w:p>
        </w:tc>
        <w:tc>
          <w:tcPr>
            <w:tcW w:w="2004" w:type="dxa"/>
            <w:tcBorders>
              <w:top w:val="single" w:sz="4" w:space="0" w:color="000000"/>
              <w:left w:val="single" w:sz="4" w:space="0" w:color="000000"/>
              <w:bottom w:val="single" w:sz="4" w:space="0" w:color="000000"/>
              <w:right w:val="single" w:sz="4" w:space="0" w:color="000000"/>
            </w:tcBorders>
          </w:tcPr>
          <w:p>
            <w:pPr>
              <w:pStyle w:val="TableParagraph"/>
              <w:spacing w:before="155"/>
              <w:ind w:left="52"/>
              <w:rPr>
                <w:sz w:val="20"/>
              </w:rPr>
            </w:pPr>
            <w:r>
              <w:rPr>
                <w:sz w:val="20"/>
              </w:rPr>
              <w:t>Muhammad Farooq</w:t>
            </w:r>
          </w:p>
        </w:tc>
        <w:tc>
          <w:tcPr>
            <w:tcW w:w="1755" w:type="dxa"/>
            <w:tcBorders>
              <w:top w:val="single" w:sz="4" w:space="0" w:color="000000"/>
              <w:left w:val="single" w:sz="4" w:space="0" w:color="000000"/>
              <w:bottom w:val="single" w:sz="4" w:space="0" w:color="000000"/>
              <w:right w:val="single" w:sz="4" w:space="0" w:color="000000"/>
            </w:tcBorders>
          </w:tcPr>
          <w:p>
            <w:pPr>
              <w:pStyle w:val="TableParagraph"/>
              <w:spacing w:before="6"/>
              <w:rPr>
                <w:rFonts w:ascii="Times New Roman"/>
                <w:sz w:val="23"/>
              </w:rPr>
            </w:pPr>
          </w:p>
          <w:p>
            <w:pPr>
              <w:pStyle w:val="TableParagraph"/>
              <w:spacing w:before="0"/>
              <w:ind w:left="53"/>
              <w:rPr>
                <w:sz w:val="20"/>
              </w:rPr>
            </w:pPr>
            <w:r>
              <w:rPr>
                <w:sz w:val="20"/>
              </w:rPr>
              <w:t>Abdul Rahman</w:t>
            </w:r>
          </w:p>
        </w:tc>
        <w:tc>
          <w:tcPr>
            <w:tcW w:w="1692" w:type="dxa"/>
            <w:tcBorders>
              <w:top w:val="single" w:sz="4" w:space="0" w:color="000000"/>
              <w:left w:val="single" w:sz="4" w:space="0" w:color="000000"/>
              <w:bottom w:val="single" w:sz="4" w:space="0" w:color="000000"/>
              <w:right w:val="single" w:sz="4" w:space="0" w:color="000000"/>
            </w:tcBorders>
          </w:tcPr>
          <w:p>
            <w:pPr>
              <w:pStyle w:val="TableParagraph"/>
              <w:spacing w:before="38"/>
              <w:ind w:left="52"/>
              <w:rPr>
                <w:sz w:val="20"/>
              </w:rPr>
            </w:pPr>
            <w:r>
              <w:rPr>
                <w:sz w:val="20"/>
              </w:rPr>
              <w:t>42301-6273922-</w:t>
            </w:r>
          </w:p>
          <w:p>
            <w:pPr>
              <w:pStyle w:val="TableParagraph"/>
              <w:spacing w:before="0"/>
              <w:ind w:left="52"/>
              <w:rPr>
                <w:sz w:val="20"/>
              </w:rPr>
            </w:pPr>
            <w:r>
              <w:rPr>
                <w:w w:val="99"/>
                <w:sz w:val="20"/>
              </w:rPr>
              <w:t>5</w:t>
            </w:r>
          </w:p>
        </w:tc>
        <w:tc>
          <w:tcPr>
            <w:tcW w:w="1436" w:type="dxa"/>
            <w:tcBorders>
              <w:top w:val="single" w:sz="4" w:space="0" w:color="000000"/>
              <w:left w:val="single" w:sz="4" w:space="0" w:color="000000"/>
              <w:bottom w:val="single" w:sz="4" w:space="0" w:color="000000"/>
              <w:right w:val="single" w:sz="4" w:space="0" w:color="000000"/>
            </w:tcBorders>
          </w:tcPr>
          <w:p>
            <w:pPr>
              <w:pStyle w:val="TableParagraph"/>
              <w:spacing w:before="6"/>
              <w:rPr>
                <w:rFonts w:ascii="Times New Roman"/>
                <w:sz w:val="23"/>
              </w:rPr>
            </w:pPr>
          </w:p>
          <w:p>
            <w:pPr>
              <w:pStyle w:val="TableParagraph"/>
              <w:spacing w:before="0"/>
              <w:ind w:left="52"/>
              <w:rPr>
                <w:sz w:val="20"/>
              </w:rPr>
            </w:pPr>
            <w:r>
              <w:rPr>
                <w:sz w:val="20"/>
              </w:rPr>
              <w:t>03168635610</w:t>
            </w:r>
          </w:p>
        </w:tc>
        <w:tc>
          <w:tcPr>
            <w:tcW w:w="1368" w:type="dxa"/>
            <w:tcBorders>
              <w:top w:val="single" w:sz="4" w:space="0" w:color="000000"/>
              <w:left w:val="single" w:sz="4" w:space="0" w:color="000000"/>
              <w:bottom w:val="single" w:sz="4" w:space="0" w:color="000000"/>
            </w:tcBorders>
          </w:tcPr>
          <w:p>
            <w:pPr>
              <w:pStyle w:val="TableParagraph"/>
              <w:spacing w:before="40"/>
              <w:ind w:right="227"/>
              <w:jc w:val="right"/>
              <w:rPr>
                <w:sz w:val="20"/>
              </w:rPr>
            </w:pPr>
            <w:r>
              <w:rPr>
                <w:sz w:val="20"/>
              </w:rPr>
              <w:t>48,000</w:t>
            </w:r>
          </w:p>
        </w:tc>
      </w:tr>
      <w:tr>
        <w:trPr>
          <w:trHeight w:val="550" w:hRule="exact"/>
        </w:trPr>
        <w:tc>
          <w:tcPr>
            <w:tcW w:w="497" w:type="dxa"/>
            <w:tcBorders>
              <w:top w:val="single" w:sz="4" w:space="0" w:color="000000"/>
              <w:bottom w:val="single" w:sz="4" w:space="0" w:color="000000"/>
              <w:right w:val="single" w:sz="4" w:space="0" w:color="000000"/>
            </w:tcBorders>
          </w:tcPr>
          <w:p>
            <w:pPr>
              <w:pStyle w:val="TableParagraph"/>
              <w:spacing w:before="155"/>
              <w:ind w:right="132"/>
              <w:jc w:val="right"/>
              <w:rPr>
                <w:sz w:val="20"/>
              </w:rPr>
            </w:pPr>
            <w:r>
              <w:rPr>
                <w:sz w:val="20"/>
              </w:rPr>
              <w:t>75</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155"/>
              <w:ind w:right="244"/>
              <w:jc w:val="right"/>
              <w:rPr>
                <w:sz w:val="20"/>
              </w:rPr>
            </w:pPr>
            <w:r>
              <w:rPr>
                <w:w w:val="99"/>
                <w:sz w:val="20"/>
              </w:rPr>
              <w:t>5</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6"/>
              <w:rPr>
                <w:rFonts w:ascii="Times New Roman"/>
                <w:sz w:val="23"/>
              </w:rPr>
            </w:pPr>
          </w:p>
          <w:p>
            <w:pPr>
              <w:pStyle w:val="TableParagraph"/>
              <w:spacing w:before="0"/>
              <w:ind w:left="52" w:right="57"/>
              <w:jc w:val="center"/>
              <w:rPr>
                <w:sz w:val="20"/>
              </w:rPr>
            </w:pPr>
            <w:r>
              <w:rPr>
                <w:sz w:val="20"/>
              </w:rPr>
              <w:t>24 50.916</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6"/>
              <w:rPr>
                <w:rFonts w:ascii="Times New Roman"/>
                <w:sz w:val="23"/>
              </w:rPr>
            </w:pPr>
          </w:p>
          <w:p>
            <w:pPr>
              <w:pStyle w:val="TableParagraph"/>
              <w:spacing w:before="0"/>
              <w:ind w:left="97" w:right="97"/>
              <w:jc w:val="center"/>
              <w:rPr>
                <w:sz w:val="20"/>
              </w:rPr>
            </w:pPr>
            <w:r>
              <w:rPr>
                <w:sz w:val="20"/>
              </w:rPr>
              <w:t>67 03.236</w:t>
            </w:r>
          </w:p>
        </w:tc>
        <w:tc>
          <w:tcPr>
            <w:tcW w:w="2091" w:type="dxa"/>
            <w:tcBorders>
              <w:top w:val="single" w:sz="4" w:space="0" w:color="000000"/>
              <w:left w:val="single" w:sz="4" w:space="0" w:color="000000"/>
              <w:bottom w:val="single" w:sz="4" w:space="0" w:color="000000"/>
              <w:right w:val="single" w:sz="4" w:space="0" w:color="000000"/>
            </w:tcBorders>
          </w:tcPr>
          <w:p>
            <w:pPr>
              <w:pStyle w:val="TableParagraph"/>
              <w:spacing w:before="155"/>
              <w:ind w:left="52"/>
              <w:rPr>
                <w:sz w:val="20"/>
              </w:rPr>
            </w:pPr>
            <w:r>
              <w:rPr>
                <w:sz w:val="20"/>
              </w:rPr>
              <w:t>Shakir Ali Qureshi</w:t>
            </w:r>
          </w:p>
        </w:tc>
        <w:tc>
          <w:tcPr>
            <w:tcW w:w="2004" w:type="dxa"/>
            <w:tcBorders>
              <w:top w:val="single" w:sz="4" w:space="0" w:color="000000"/>
              <w:left w:val="single" w:sz="4" w:space="0" w:color="000000"/>
              <w:bottom w:val="single" w:sz="4" w:space="0" w:color="000000"/>
              <w:right w:val="single" w:sz="4" w:space="0" w:color="000000"/>
            </w:tcBorders>
          </w:tcPr>
          <w:p>
            <w:pPr>
              <w:pStyle w:val="TableParagraph"/>
              <w:spacing w:before="155"/>
              <w:ind w:left="52"/>
              <w:rPr>
                <w:sz w:val="20"/>
              </w:rPr>
            </w:pPr>
            <w:r>
              <w:rPr>
                <w:sz w:val="20"/>
              </w:rPr>
              <w:t>Muhammad Farooq</w:t>
            </w:r>
          </w:p>
        </w:tc>
        <w:tc>
          <w:tcPr>
            <w:tcW w:w="1755" w:type="dxa"/>
            <w:tcBorders>
              <w:top w:val="single" w:sz="4" w:space="0" w:color="000000"/>
              <w:left w:val="single" w:sz="4" w:space="0" w:color="000000"/>
              <w:bottom w:val="single" w:sz="4" w:space="0" w:color="000000"/>
              <w:right w:val="single" w:sz="4" w:space="0" w:color="000000"/>
            </w:tcBorders>
          </w:tcPr>
          <w:p>
            <w:pPr>
              <w:pStyle w:val="TableParagraph"/>
              <w:spacing w:before="6"/>
              <w:rPr>
                <w:rFonts w:ascii="Times New Roman"/>
                <w:sz w:val="23"/>
              </w:rPr>
            </w:pPr>
          </w:p>
          <w:p>
            <w:pPr>
              <w:pStyle w:val="TableParagraph"/>
              <w:spacing w:before="0"/>
              <w:ind w:left="53"/>
              <w:rPr>
                <w:sz w:val="20"/>
              </w:rPr>
            </w:pPr>
            <w:r>
              <w:rPr>
                <w:sz w:val="20"/>
              </w:rPr>
              <w:t>Mudassar</w:t>
            </w:r>
          </w:p>
        </w:tc>
        <w:tc>
          <w:tcPr>
            <w:tcW w:w="1692" w:type="dxa"/>
            <w:tcBorders>
              <w:top w:val="single" w:sz="4" w:space="0" w:color="000000"/>
              <w:left w:val="single" w:sz="4" w:space="0" w:color="000000"/>
              <w:bottom w:val="single" w:sz="4" w:space="0" w:color="000000"/>
              <w:right w:val="single" w:sz="4" w:space="0" w:color="000000"/>
            </w:tcBorders>
          </w:tcPr>
          <w:p>
            <w:pPr>
              <w:pStyle w:val="TableParagraph"/>
              <w:spacing w:before="38"/>
              <w:ind w:left="52"/>
              <w:rPr>
                <w:sz w:val="20"/>
              </w:rPr>
            </w:pPr>
            <w:r>
              <w:rPr>
                <w:sz w:val="20"/>
              </w:rPr>
              <w:t>42201-8281873-</w:t>
            </w:r>
          </w:p>
          <w:p>
            <w:pPr>
              <w:pStyle w:val="TableParagraph"/>
              <w:spacing w:before="0"/>
              <w:ind w:left="52"/>
              <w:rPr>
                <w:sz w:val="20"/>
              </w:rPr>
            </w:pPr>
            <w:r>
              <w:rPr>
                <w:w w:val="99"/>
                <w:sz w:val="20"/>
              </w:rPr>
              <w:t>7</w:t>
            </w:r>
          </w:p>
        </w:tc>
        <w:tc>
          <w:tcPr>
            <w:tcW w:w="1436" w:type="dxa"/>
            <w:tcBorders>
              <w:top w:val="single" w:sz="4" w:space="0" w:color="000000"/>
              <w:left w:val="single" w:sz="4" w:space="0" w:color="000000"/>
              <w:bottom w:val="single" w:sz="4" w:space="0" w:color="000000"/>
              <w:right w:val="single" w:sz="4" w:space="0" w:color="000000"/>
            </w:tcBorders>
          </w:tcPr>
          <w:p>
            <w:pPr>
              <w:pStyle w:val="TableParagraph"/>
              <w:spacing w:before="6"/>
              <w:rPr>
                <w:rFonts w:ascii="Times New Roman"/>
                <w:sz w:val="23"/>
              </w:rPr>
            </w:pPr>
          </w:p>
          <w:p>
            <w:pPr>
              <w:pStyle w:val="TableParagraph"/>
              <w:spacing w:before="0"/>
              <w:ind w:left="52"/>
              <w:rPr>
                <w:sz w:val="20"/>
              </w:rPr>
            </w:pPr>
            <w:r>
              <w:rPr>
                <w:sz w:val="20"/>
              </w:rPr>
              <w:t>03232535519</w:t>
            </w:r>
          </w:p>
        </w:tc>
        <w:tc>
          <w:tcPr>
            <w:tcW w:w="1368" w:type="dxa"/>
            <w:tcBorders>
              <w:top w:val="single" w:sz="4" w:space="0" w:color="000000"/>
              <w:left w:val="single" w:sz="4" w:space="0" w:color="000000"/>
              <w:bottom w:val="single" w:sz="4" w:space="0" w:color="000000"/>
            </w:tcBorders>
          </w:tcPr>
          <w:p>
            <w:pPr>
              <w:pStyle w:val="TableParagraph"/>
              <w:spacing w:before="40"/>
              <w:ind w:right="227"/>
              <w:jc w:val="right"/>
              <w:rPr>
                <w:sz w:val="20"/>
              </w:rPr>
            </w:pPr>
            <w:r>
              <w:rPr>
                <w:sz w:val="20"/>
              </w:rPr>
              <w:t>48,000</w:t>
            </w:r>
          </w:p>
        </w:tc>
      </w:tr>
      <w:tr>
        <w:trPr>
          <w:trHeight w:val="550" w:hRule="exact"/>
        </w:trPr>
        <w:tc>
          <w:tcPr>
            <w:tcW w:w="497" w:type="dxa"/>
            <w:tcBorders>
              <w:top w:val="single" w:sz="4" w:space="0" w:color="000000"/>
              <w:bottom w:val="single" w:sz="4" w:space="0" w:color="000000"/>
              <w:right w:val="single" w:sz="4" w:space="0" w:color="000000"/>
            </w:tcBorders>
          </w:tcPr>
          <w:p>
            <w:pPr>
              <w:pStyle w:val="TableParagraph"/>
              <w:spacing w:before="155"/>
              <w:ind w:right="132"/>
              <w:jc w:val="right"/>
              <w:rPr>
                <w:sz w:val="20"/>
              </w:rPr>
            </w:pPr>
            <w:r>
              <w:rPr>
                <w:sz w:val="20"/>
              </w:rPr>
              <w:t>75</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155"/>
              <w:ind w:right="244"/>
              <w:jc w:val="right"/>
              <w:rPr>
                <w:sz w:val="20"/>
              </w:rPr>
            </w:pPr>
            <w:r>
              <w:rPr>
                <w:w w:val="99"/>
                <w:sz w:val="20"/>
              </w:rPr>
              <w:t>5</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6"/>
              <w:rPr>
                <w:rFonts w:ascii="Times New Roman"/>
                <w:sz w:val="23"/>
              </w:rPr>
            </w:pPr>
          </w:p>
          <w:p>
            <w:pPr>
              <w:pStyle w:val="TableParagraph"/>
              <w:spacing w:before="0"/>
              <w:ind w:left="52" w:right="57"/>
              <w:jc w:val="center"/>
              <w:rPr>
                <w:sz w:val="20"/>
              </w:rPr>
            </w:pPr>
            <w:r>
              <w:rPr>
                <w:sz w:val="20"/>
              </w:rPr>
              <w:t>24 50.916</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6"/>
              <w:rPr>
                <w:rFonts w:ascii="Times New Roman"/>
                <w:sz w:val="23"/>
              </w:rPr>
            </w:pPr>
          </w:p>
          <w:p>
            <w:pPr>
              <w:pStyle w:val="TableParagraph"/>
              <w:spacing w:before="0"/>
              <w:ind w:left="97" w:right="97"/>
              <w:jc w:val="center"/>
              <w:rPr>
                <w:sz w:val="20"/>
              </w:rPr>
            </w:pPr>
            <w:r>
              <w:rPr>
                <w:sz w:val="20"/>
              </w:rPr>
              <w:t>67 03.236</w:t>
            </w:r>
          </w:p>
        </w:tc>
        <w:tc>
          <w:tcPr>
            <w:tcW w:w="2091" w:type="dxa"/>
            <w:tcBorders>
              <w:top w:val="single" w:sz="4" w:space="0" w:color="000000"/>
              <w:left w:val="single" w:sz="4" w:space="0" w:color="000000"/>
              <w:bottom w:val="single" w:sz="4" w:space="0" w:color="000000"/>
              <w:right w:val="single" w:sz="4" w:space="0" w:color="000000"/>
            </w:tcBorders>
          </w:tcPr>
          <w:p>
            <w:pPr>
              <w:pStyle w:val="TableParagraph"/>
              <w:spacing w:before="155"/>
              <w:ind w:left="52"/>
              <w:rPr>
                <w:sz w:val="20"/>
              </w:rPr>
            </w:pPr>
            <w:r>
              <w:rPr>
                <w:sz w:val="20"/>
              </w:rPr>
              <w:t>Shakir Ali Qureshi</w:t>
            </w:r>
          </w:p>
        </w:tc>
        <w:tc>
          <w:tcPr>
            <w:tcW w:w="2004" w:type="dxa"/>
            <w:tcBorders>
              <w:top w:val="single" w:sz="4" w:space="0" w:color="000000"/>
              <w:left w:val="single" w:sz="4" w:space="0" w:color="000000"/>
              <w:bottom w:val="single" w:sz="4" w:space="0" w:color="000000"/>
              <w:right w:val="single" w:sz="4" w:space="0" w:color="000000"/>
            </w:tcBorders>
          </w:tcPr>
          <w:p>
            <w:pPr>
              <w:pStyle w:val="TableParagraph"/>
              <w:spacing w:before="155"/>
              <w:ind w:left="52"/>
              <w:rPr>
                <w:sz w:val="20"/>
              </w:rPr>
            </w:pPr>
            <w:r>
              <w:rPr>
                <w:sz w:val="20"/>
              </w:rPr>
              <w:t>Muhammad Farooq</w:t>
            </w:r>
          </w:p>
        </w:tc>
        <w:tc>
          <w:tcPr>
            <w:tcW w:w="1755" w:type="dxa"/>
            <w:tcBorders>
              <w:top w:val="single" w:sz="4" w:space="0" w:color="000000"/>
              <w:left w:val="single" w:sz="4" w:space="0" w:color="000000"/>
              <w:bottom w:val="single" w:sz="4" w:space="0" w:color="000000"/>
              <w:right w:val="single" w:sz="4" w:space="0" w:color="000000"/>
            </w:tcBorders>
          </w:tcPr>
          <w:p>
            <w:pPr>
              <w:pStyle w:val="TableParagraph"/>
              <w:spacing w:before="6"/>
              <w:rPr>
                <w:rFonts w:ascii="Times New Roman"/>
                <w:sz w:val="23"/>
              </w:rPr>
            </w:pPr>
          </w:p>
          <w:p>
            <w:pPr>
              <w:pStyle w:val="TableParagraph"/>
              <w:spacing w:before="0"/>
              <w:ind w:left="53"/>
              <w:rPr>
                <w:sz w:val="20"/>
              </w:rPr>
            </w:pPr>
            <w:r>
              <w:rPr>
                <w:sz w:val="20"/>
              </w:rPr>
              <w:t>Munir</w:t>
            </w:r>
          </w:p>
        </w:tc>
        <w:tc>
          <w:tcPr>
            <w:tcW w:w="1692" w:type="dxa"/>
            <w:tcBorders>
              <w:top w:val="single" w:sz="4" w:space="0" w:color="000000"/>
              <w:left w:val="single" w:sz="4" w:space="0" w:color="000000"/>
              <w:bottom w:val="single" w:sz="4" w:space="0" w:color="000000"/>
              <w:right w:val="single" w:sz="4" w:space="0" w:color="000000"/>
            </w:tcBorders>
          </w:tcPr>
          <w:p>
            <w:pPr>
              <w:pStyle w:val="TableParagraph"/>
              <w:spacing w:before="38"/>
              <w:ind w:left="52"/>
              <w:rPr>
                <w:sz w:val="20"/>
              </w:rPr>
            </w:pPr>
            <w:r>
              <w:rPr>
                <w:sz w:val="20"/>
              </w:rPr>
              <w:t>42301-0989711-</w:t>
            </w:r>
          </w:p>
          <w:p>
            <w:pPr>
              <w:pStyle w:val="TableParagraph"/>
              <w:spacing w:before="3"/>
              <w:ind w:left="52"/>
              <w:rPr>
                <w:sz w:val="20"/>
              </w:rPr>
            </w:pPr>
            <w:r>
              <w:rPr>
                <w:w w:val="99"/>
                <w:sz w:val="20"/>
              </w:rPr>
              <w:t>5</w:t>
            </w:r>
          </w:p>
        </w:tc>
        <w:tc>
          <w:tcPr>
            <w:tcW w:w="1436" w:type="dxa"/>
            <w:tcBorders>
              <w:top w:val="single" w:sz="4" w:space="0" w:color="000000"/>
              <w:left w:val="single" w:sz="4" w:space="0" w:color="000000"/>
              <w:bottom w:val="single" w:sz="4" w:space="0" w:color="000000"/>
              <w:right w:val="single" w:sz="4" w:space="0" w:color="000000"/>
            </w:tcBorders>
          </w:tcPr>
          <w:p>
            <w:pPr>
              <w:pStyle w:val="TableParagraph"/>
              <w:spacing w:before="6"/>
              <w:rPr>
                <w:rFonts w:ascii="Times New Roman"/>
                <w:sz w:val="23"/>
              </w:rPr>
            </w:pPr>
          </w:p>
          <w:p>
            <w:pPr>
              <w:pStyle w:val="TableParagraph"/>
              <w:spacing w:before="0"/>
              <w:ind w:left="52"/>
              <w:rPr>
                <w:sz w:val="20"/>
              </w:rPr>
            </w:pPr>
            <w:r>
              <w:rPr>
                <w:sz w:val="20"/>
              </w:rPr>
              <w:t>03462933372</w:t>
            </w:r>
          </w:p>
        </w:tc>
        <w:tc>
          <w:tcPr>
            <w:tcW w:w="1368" w:type="dxa"/>
            <w:tcBorders>
              <w:top w:val="single" w:sz="4" w:space="0" w:color="000000"/>
              <w:left w:val="single" w:sz="4" w:space="0" w:color="000000"/>
              <w:bottom w:val="single" w:sz="4" w:space="0" w:color="000000"/>
            </w:tcBorders>
          </w:tcPr>
          <w:p>
            <w:pPr>
              <w:pStyle w:val="TableParagraph"/>
              <w:spacing w:before="40"/>
              <w:ind w:right="227"/>
              <w:jc w:val="right"/>
              <w:rPr>
                <w:sz w:val="20"/>
              </w:rPr>
            </w:pPr>
            <w:r>
              <w:rPr>
                <w:sz w:val="20"/>
              </w:rPr>
              <w:t>48,000</w:t>
            </w:r>
          </w:p>
        </w:tc>
      </w:tr>
      <w:tr>
        <w:trPr>
          <w:trHeight w:val="319" w:hRule="exact"/>
        </w:trPr>
        <w:tc>
          <w:tcPr>
            <w:tcW w:w="497" w:type="dxa"/>
            <w:tcBorders>
              <w:top w:val="single" w:sz="4" w:space="0" w:color="000000"/>
              <w:bottom w:val="single" w:sz="4" w:space="0" w:color="000000"/>
              <w:right w:val="single" w:sz="4" w:space="0" w:color="000000"/>
            </w:tcBorders>
          </w:tcPr>
          <w:p>
            <w:pPr>
              <w:pStyle w:val="TableParagraph"/>
              <w:spacing w:before="40"/>
              <w:ind w:right="132"/>
              <w:jc w:val="right"/>
              <w:rPr>
                <w:sz w:val="20"/>
              </w:rPr>
            </w:pPr>
            <w:r>
              <w:rPr>
                <w:sz w:val="20"/>
              </w:rPr>
              <w:t>75</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40"/>
              <w:ind w:right="244"/>
              <w:jc w:val="right"/>
              <w:rPr>
                <w:sz w:val="20"/>
              </w:rPr>
            </w:pPr>
            <w:r>
              <w:rPr>
                <w:w w:val="99"/>
                <w:sz w:val="20"/>
              </w:rPr>
              <w:t>5</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ight="57"/>
              <w:jc w:val="center"/>
              <w:rPr>
                <w:sz w:val="20"/>
              </w:rPr>
            </w:pPr>
            <w:r>
              <w:rPr>
                <w:sz w:val="20"/>
              </w:rPr>
              <w:t>24 50.916</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40"/>
              <w:ind w:left="97" w:right="97"/>
              <w:jc w:val="center"/>
              <w:rPr>
                <w:sz w:val="20"/>
              </w:rPr>
            </w:pPr>
            <w:r>
              <w:rPr>
                <w:sz w:val="20"/>
              </w:rPr>
              <w:t>67 03.236</w:t>
            </w:r>
          </w:p>
        </w:tc>
        <w:tc>
          <w:tcPr>
            <w:tcW w:w="2091"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Pr>
                <w:sz w:val="20"/>
              </w:rPr>
            </w:pPr>
            <w:r>
              <w:rPr>
                <w:sz w:val="20"/>
              </w:rPr>
              <w:t>Shakir Ali Qureshi</w:t>
            </w:r>
          </w:p>
        </w:tc>
        <w:tc>
          <w:tcPr>
            <w:tcW w:w="2004"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Pr>
                <w:sz w:val="20"/>
              </w:rPr>
            </w:pPr>
            <w:r>
              <w:rPr>
                <w:sz w:val="20"/>
              </w:rPr>
              <w:t>Muhammad Farooq</w:t>
            </w:r>
          </w:p>
        </w:tc>
        <w:tc>
          <w:tcPr>
            <w:tcW w:w="1755" w:type="dxa"/>
            <w:tcBorders>
              <w:top w:val="single" w:sz="4" w:space="0" w:color="000000"/>
              <w:left w:val="single" w:sz="4" w:space="0" w:color="000000"/>
              <w:bottom w:val="single" w:sz="4" w:space="0" w:color="000000"/>
              <w:right w:val="single" w:sz="4" w:space="0" w:color="000000"/>
            </w:tcBorders>
          </w:tcPr>
          <w:p>
            <w:pPr>
              <w:pStyle w:val="TableParagraph"/>
              <w:spacing w:before="40"/>
              <w:ind w:left="53"/>
              <w:rPr>
                <w:sz w:val="20"/>
              </w:rPr>
            </w:pPr>
            <w:r>
              <w:rPr>
                <w:sz w:val="20"/>
              </w:rPr>
              <w:t>Waseem</w:t>
            </w:r>
          </w:p>
        </w:tc>
        <w:tc>
          <w:tcPr>
            <w:tcW w:w="1692" w:type="dxa"/>
            <w:tcBorders>
              <w:top w:val="single" w:sz="4" w:space="0" w:color="000000"/>
              <w:left w:val="single" w:sz="4" w:space="0" w:color="000000"/>
              <w:bottom w:val="single" w:sz="4" w:space="0" w:color="000000"/>
              <w:right w:val="single" w:sz="4" w:space="0" w:color="000000"/>
            </w:tcBorders>
          </w:tcPr>
          <w:p>
            <w:pPr/>
          </w:p>
        </w:tc>
        <w:tc>
          <w:tcPr>
            <w:tcW w:w="1436"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Pr>
                <w:sz w:val="20"/>
              </w:rPr>
            </w:pPr>
            <w:r>
              <w:rPr>
                <w:sz w:val="20"/>
              </w:rPr>
              <w:t>03467376029</w:t>
            </w:r>
          </w:p>
        </w:tc>
        <w:tc>
          <w:tcPr>
            <w:tcW w:w="1368" w:type="dxa"/>
            <w:tcBorders>
              <w:top w:val="single" w:sz="4" w:space="0" w:color="000000"/>
              <w:left w:val="single" w:sz="4" w:space="0" w:color="000000"/>
              <w:bottom w:val="single" w:sz="4" w:space="0" w:color="000000"/>
            </w:tcBorders>
          </w:tcPr>
          <w:p>
            <w:pPr>
              <w:pStyle w:val="TableParagraph"/>
              <w:spacing w:before="40"/>
              <w:ind w:right="227"/>
              <w:jc w:val="right"/>
              <w:rPr>
                <w:sz w:val="20"/>
              </w:rPr>
            </w:pPr>
            <w:r>
              <w:rPr>
                <w:sz w:val="20"/>
              </w:rPr>
              <w:t>48,000</w:t>
            </w:r>
          </w:p>
        </w:tc>
      </w:tr>
      <w:tr>
        <w:trPr>
          <w:trHeight w:val="322" w:hRule="exact"/>
        </w:trPr>
        <w:tc>
          <w:tcPr>
            <w:tcW w:w="497" w:type="dxa"/>
            <w:tcBorders>
              <w:top w:val="single" w:sz="4" w:space="0" w:color="000000"/>
              <w:bottom w:val="single" w:sz="4" w:space="0" w:color="000000"/>
              <w:right w:val="single" w:sz="4" w:space="0" w:color="000000"/>
            </w:tcBorders>
          </w:tcPr>
          <w:p>
            <w:pPr>
              <w:pStyle w:val="TableParagraph"/>
              <w:spacing w:before="43"/>
              <w:ind w:right="132"/>
              <w:jc w:val="right"/>
              <w:rPr>
                <w:sz w:val="20"/>
              </w:rPr>
            </w:pPr>
            <w:r>
              <w:rPr>
                <w:sz w:val="20"/>
              </w:rPr>
              <w:t>75</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43"/>
              <w:ind w:right="244"/>
              <w:jc w:val="right"/>
              <w:rPr>
                <w:sz w:val="20"/>
              </w:rPr>
            </w:pPr>
            <w:r>
              <w:rPr>
                <w:w w:val="99"/>
                <w:sz w:val="20"/>
              </w:rPr>
              <w:t>5</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43"/>
              <w:ind w:left="52" w:right="57"/>
              <w:jc w:val="center"/>
              <w:rPr>
                <w:sz w:val="20"/>
              </w:rPr>
            </w:pPr>
            <w:r>
              <w:rPr>
                <w:sz w:val="20"/>
              </w:rPr>
              <w:t>24 50.916</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43"/>
              <w:ind w:left="97" w:right="97"/>
              <w:jc w:val="center"/>
              <w:rPr>
                <w:sz w:val="20"/>
              </w:rPr>
            </w:pPr>
            <w:r>
              <w:rPr>
                <w:sz w:val="20"/>
              </w:rPr>
              <w:t>67 03.236</w:t>
            </w:r>
          </w:p>
        </w:tc>
        <w:tc>
          <w:tcPr>
            <w:tcW w:w="2091" w:type="dxa"/>
            <w:tcBorders>
              <w:top w:val="single" w:sz="4" w:space="0" w:color="000000"/>
              <w:left w:val="single" w:sz="4" w:space="0" w:color="000000"/>
              <w:bottom w:val="single" w:sz="4" w:space="0" w:color="000000"/>
              <w:right w:val="single" w:sz="4" w:space="0" w:color="000000"/>
            </w:tcBorders>
          </w:tcPr>
          <w:p>
            <w:pPr>
              <w:pStyle w:val="TableParagraph"/>
              <w:spacing w:before="43"/>
              <w:ind w:left="52"/>
              <w:rPr>
                <w:sz w:val="20"/>
              </w:rPr>
            </w:pPr>
            <w:r>
              <w:rPr>
                <w:sz w:val="20"/>
              </w:rPr>
              <w:t>Shakir Ali Qureshi</w:t>
            </w:r>
          </w:p>
        </w:tc>
        <w:tc>
          <w:tcPr>
            <w:tcW w:w="2004" w:type="dxa"/>
            <w:tcBorders>
              <w:top w:val="single" w:sz="4" w:space="0" w:color="000000"/>
              <w:left w:val="single" w:sz="4" w:space="0" w:color="000000"/>
              <w:bottom w:val="single" w:sz="4" w:space="0" w:color="000000"/>
              <w:right w:val="single" w:sz="4" w:space="0" w:color="000000"/>
            </w:tcBorders>
          </w:tcPr>
          <w:p>
            <w:pPr>
              <w:pStyle w:val="TableParagraph"/>
              <w:spacing w:before="43"/>
              <w:ind w:left="52"/>
              <w:rPr>
                <w:sz w:val="20"/>
              </w:rPr>
            </w:pPr>
            <w:r>
              <w:rPr>
                <w:sz w:val="20"/>
              </w:rPr>
              <w:t>Muhammad Farooq</w:t>
            </w:r>
          </w:p>
        </w:tc>
        <w:tc>
          <w:tcPr>
            <w:tcW w:w="1755" w:type="dxa"/>
            <w:tcBorders>
              <w:top w:val="single" w:sz="4" w:space="0" w:color="000000"/>
              <w:left w:val="single" w:sz="4" w:space="0" w:color="000000"/>
              <w:bottom w:val="single" w:sz="4" w:space="0" w:color="000000"/>
              <w:right w:val="single" w:sz="4" w:space="0" w:color="000000"/>
            </w:tcBorders>
          </w:tcPr>
          <w:p>
            <w:pPr>
              <w:pStyle w:val="TableParagraph"/>
              <w:spacing w:before="43"/>
              <w:ind w:left="53"/>
              <w:rPr>
                <w:sz w:val="20"/>
              </w:rPr>
            </w:pPr>
            <w:r>
              <w:rPr>
                <w:sz w:val="20"/>
              </w:rPr>
              <w:t>Aziz</w:t>
            </w:r>
          </w:p>
        </w:tc>
        <w:tc>
          <w:tcPr>
            <w:tcW w:w="1692" w:type="dxa"/>
            <w:tcBorders>
              <w:top w:val="single" w:sz="4" w:space="0" w:color="000000"/>
              <w:left w:val="single" w:sz="4" w:space="0" w:color="000000"/>
              <w:bottom w:val="single" w:sz="4" w:space="0" w:color="000000"/>
              <w:right w:val="single" w:sz="4" w:space="0" w:color="000000"/>
            </w:tcBorders>
          </w:tcPr>
          <w:p>
            <w:pPr/>
          </w:p>
        </w:tc>
        <w:tc>
          <w:tcPr>
            <w:tcW w:w="1436" w:type="dxa"/>
            <w:tcBorders>
              <w:top w:val="single" w:sz="4" w:space="0" w:color="000000"/>
              <w:left w:val="single" w:sz="4" w:space="0" w:color="000000"/>
              <w:bottom w:val="single" w:sz="4" w:space="0" w:color="000000"/>
              <w:right w:val="single" w:sz="4" w:space="0" w:color="000000"/>
            </w:tcBorders>
          </w:tcPr>
          <w:p>
            <w:pPr/>
          </w:p>
        </w:tc>
        <w:tc>
          <w:tcPr>
            <w:tcW w:w="1368" w:type="dxa"/>
            <w:tcBorders>
              <w:top w:val="single" w:sz="4" w:space="0" w:color="000000"/>
              <w:left w:val="single" w:sz="4" w:space="0" w:color="000000"/>
              <w:bottom w:val="single" w:sz="4" w:space="0" w:color="000000"/>
            </w:tcBorders>
          </w:tcPr>
          <w:p>
            <w:pPr>
              <w:pStyle w:val="TableParagraph"/>
              <w:spacing w:before="43"/>
              <w:ind w:right="227"/>
              <w:jc w:val="right"/>
              <w:rPr>
                <w:sz w:val="20"/>
              </w:rPr>
            </w:pPr>
            <w:r>
              <w:rPr>
                <w:sz w:val="20"/>
              </w:rPr>
              <w:t>48,000</w:t>
            </w:r>
          </w:p>
        </w:tc>
      </w:tr>
      <w:tr>
        <w:trPr>
          <w:trHeight w:val="319" w:hRule="exact"/>
        </w:trPr>
        <w:tc>
          <w:tcPr>
            <w:tcW w:w="497" w:type="dxa"/>
            <w:tcBorders>
              <w:top w:val="single" w:sz="4" w:space="0" w:color="000000"/>
              <w:bottom w:val="single" w:sz="4" w:space="0" w:color="000000"/>
              <w:right w:val="single" w:sz="4" w:space="0" w:color="000000"/>
            </w:tcBorders>
          </w:tcPr>
          <w:p>
            <w:pPr>
              <w:pStyle w:val="TableParagraph"/>
              <w:spacing w:before="40"/>
              <w:ind w:right="132"/>
              <w:jc w:val="right"/>
              <w:rPr>
                <w:sz w:val="20"/>
              </w:rPr>
            </w:pPr>
            <w:r>
              <w:rPr>
                <w:sz w:val="20"/>
              </w:rPr>
              <w:t>75</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40"/>
              <w:ind w:right="244"/>
              <w:jc w:val="right"/>
              <w:rPr>
                <w:sz w:val="20"/>
              </w:rPr>
            </w:pPr>
            <w:r>
              <w:rPr>
                <w:w w:val="99"/>
                <w:sz w:val="20"/>
              </w:rPr>
              <w:t>5</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ight="57"/>
              <w:jc w:val="center"/>
              <w:rPr>
                <w:sz w:val="20"/>
              </w:rPr>
            </w:pPr>
            <w:r>
              <w:rPr>
                <w:sz w:val="20"/>
              </w:rPr>
              <w:t>24 50.916</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40"/>
              <w:ind w:left="97" w:right="97"/>
              <w:jc w:val="center"/>
              <w:rPr>
                <w:sz w:val="20"/>
              </w:rPr>
            </w:pPr>
            <w:r>
              <w:rPr>
                <w:sz w:val="20"/>
              </w:rPr>
              <w:t>67 03.236</w:t>
            </w:r>
          </w:p>
        </w:tc>
        <w:tc>
          <w:tcPr>
            <w:tcW w:w="2091"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Pr>
                <w:sz w:val="20"/>
              </w:rPr>
            </w:pPr>
            <w:r>
              <w:rPr>
                <w:sz w:val="20"/>
              </w:rPr>
              <w:t>Shakir Ali Qureshi</w:t>
            </w:r>
          </w:p>
        </w:tc>
        <w:tc>
          <w:tcPr>
            <w:tcW w:w="2004"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Pr>
                <w:sz w:val="20"/>
              </w:rPr>
            </w:pPr>
            <w:r>
              <w:rPr>
                <w:sz w:val="20"/>
              </w:rPr>
              <w:t>Muhammad Farooq</w:t>
            </w:r>
          </w:p>
        </w:tc>
        <w:tc>
          <w:tcPr>
            <w:tcW w:w="1755" w:type="dxa"/>
            <w:tcBorders>
              <w:top w:val="single" w:sz="4" w:space="0" w:color="000000"/>
              <w:left w:val="single" w:sz="4" w:space="0" w:color="000000"/>
              <w:bottom w:val="single" w:sz="4" w:space="0" w:color="000000"/>
              <w:right w:val="single" w:sz="4" w:space="0" w:color="000000"/>
            </w:tcBorders>
          </w:tcPr>
          <w:p>
            <w:pPr>
              <w:pStyle w:val="TableParagraph"/>
              <w:spacing w:before="40"/>
              <w:ind w:left="53"/>
              <w:rPr>
                <w:sz w:val="20"/>
              </w:rPr>
            </w:pPr>
            <w:r>
              <w:rPr>
                <w:sz w:val="20"/>
              </w:rPr>
              <w:t>Sajid</w:t>
            </w:r>
          </w:p>
        </w:tc>
        <w:tc>
          <w:tcPr>
            <w:tcW w:w="1692" w:type="dxa"/>
            <w:tcBorders>
              <w:top w:val="single" w:sz="4" w:space="0" w:color="000000"/>
              <w:left w:val="single" w:sz="4" w:space="0" w:color="000000"/>
              <w:bottom w:val="single" w:sz="4" w:space="0" w:color="000000"/>
              <w:right w:val="single" w:sz="4" w:space="0" w:color="000000"/>
            </w:tcBorders>
          </w:tcPr>
          <w:p>
            <w:pPr/>
          </w:p>
        </w:tc>
        <w:tc>
          <w:tcPr>
            <w:tcW w:w="1436" w:type="dxa"/>
            <w:tcBorders>
              <w:top w:val="single" w:sz="4" w:space="0" w:color="000000"/>
              <w:left w:val="single" w:sz="4" w:space="0" w:color="000000"/>
              <w:bottom w:val="single" w:sz="4" w:space="0" w:color="000000"/>
              <w:right w:val="single" w:sz="4" w:space="0" w:color="000000"/>
            </w:tcBorders>
          </w:tcPr>
          <w:p>
            <w:pPr/>
          </w:p>
        </w:tc>
        <w:tc>
          <w:tcPr>
            <w:tcW w:w="1368" w:type="dxa"/>
            <w:tcBorders>
              <w:top w:val="single" w:sz="4" w:space="0" w:color="000000"/>
              <w:left w:val="single" w:sz="4" w:space="0" w:color="000000"/>
              <w:bottom w:val="single" w:sz="4" w:space="0" w:color="000000"/>
            </w:tcBorders>
          </w:tcPr>
          <w:p>
            <w:pPr>
              <w:pStyle w:val="TableParagraph"/>
              <w:spacing w:before="40"/>
              <w:ind w:right="227"/>
              <w:jc w:val="right"/>
              <w:rPr>
                <w:sz w:val="20"/>
              </w:rPr>
            </w:pPr>
            <w:r>
              <w:rPr>
                <w:sz w:val="20"/>
              </w:rPr>
              <w:t>48,000</w:t>
            </w:r>
          </w:p>
        </w:tc>
      </w:tr>
      <w:tr>
        <w:trPr>
          <w:trHeight w:val="319" w:hRule="exact"/>
        </w:trPr>
        <w:tc>
          <w:tcPr>
            <w:tcW w:w="497" w:type="dxa"/>
            <w:tcBorders>
              <w:top w:val="single" w:sz="4" w:space="0" w:color="000000"/>
              <w:bottom w:val="single" w:sz="4" w:space="0" w:color="000000"/>
              <w:right w:val="single" w:sz="4" w:space="0" w:color="000000"/>
            </w:tcBorders>
          </w:tcPr>
          <w:p>
            <w:pPr>
              <w:pStyle w:val="TableParagraph"/>
              <w:spacing w:before="40"/>
              <w:ind w:right="132"/>
              <w:jc w:val="right"/>
              <w:rPr>
                <w:sz w:val="20"/>
              </w:rPr>
            </w:pPr>
            <w:r>
              <w:rPr>
                <w:sz w:val="20"/>
              </w:rPr>
              <w:t>78</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40"/>
              <w:ind w:right="244"/>
              <w:jc w:val="right"/>
              <w:rPr>
                <w:sz w:val="20"/>
              </w:rPr>
            </w:pPr>
            <w:r>
              <w:rPr>
                <w:w w:val="99"/>
                <w:sz w:val="20"/>
              </w:rPr>
              <w:t>5</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ight="57"/>
              <w:jc w:val="center"/>
              <w:rPr>
                <w:sz w:val="20"/>
              </w:rPr>
            </w:pPr>
            <w:r>
              <w:rPr>
                <w:sz w:val="20"/>
              </w:rPr>
              <w:t>24 50.934</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40"/>
              <w:ind w:left="97" w:right="97"/>
              <w:jc w:val="center"/>
              <w:rPr>
                <w:sz w:val="20"/>
              </w:rPr>
            </w:pPr>
            <w:r>
              <w:rPr>
                <w:sz w:val="20"/>
              </w:rPr>
              <w:t>67 03.258</w:t>
            </w:r>
          </w:p>
        </w:tc>
        <w:tc>
          <w:tcPr>
            <w:tcW w:w="2091"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Pr>
                <w:sz w:val="20"/>
              </w:rPr>
            </w:pPr>
            <w:r>
              <w:rPr>
                <w:sz w:val="20"/>
              </w:rPr>
              <w:t>Muhammad Junaid</w:t>
            </w:r>
          </w:p>
        </w:tc>
        <w:tc>
          <w:tcPr>
            <w:tcW w:w="2004"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Pr>
                <w:sz w:val="20"/>
              </w:rPr>
            </w:pPr>
            <w:r>
              <w:rPr>
                <w:sz w:val="20"/>
              </w:rPr>
              <w:t>Behram Khan</w:t>
            </w:r>
          </w:p>
        </w:tc>
        <w:tc>
          <w:tcPr>
            <w:tcW w:w="1755" w:type="dxa"/>
            <w:tcBorders>
              <w:top w:val="single" w:sz="4" w:space="0" w:color="000000"/>
              <w:left w:val="single" w:sz="4" w:space="0" w:color="000000"/>
              <w:bottom w:val="single" w:sz="4" w:space="0" w:color="000000"/>
              <w:right w:val="single" w:sz="4" w:space="0" w:color="000000"/>
            </w:tcBorders>
          </w:tcPr>
          <w:p>
            <w:pPr>
              <w:pStyle w:val="TableParagraph"/>
              <w:spacing w:before="40"/>
              <w:ind w:left="53"/>
              <w:rPr>
                <w:sz w:val="20"/>
              </w:rPr>
            </w:pPr>
            <w:r>
              <w:rPr>
                <w:sz w:val="20"/>
              </w:rPr>
              <w:t>Sohaib</w:t>
            </w:r>
          </w:p>
        </w:tc>
        <w:tc>
          <w:tcPr>
            <w:tcW w:w="1692" w:type="dxa"/>
            <w:tcBorders>
              <w:top w:val="single" w:sz="4" w:space="0" w:color="000000"/>
              <w:left w:val="single" w:sz="4" w:space="0" w:color="000000"/>
              <w:bottom w:val="single" w:sz="4" w:space="0" w:color="000000"/>
              <w:right w:val="single" w:sz="4" w:space="0" w:color="000000"/>
            </w:tcBorders>
          </w:tcPr>
          <w:p>
            <w:pPr/>
          </w:p>
        </w:tc>
        <w:tc>
          <w:tcPr>
            <w:tcW w:w="1436"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Pr>
                <w:sz w:val="20"/>
              </w:rPr>
            </w:pPr>
            <w:r>
              <w:rPr>
                <w:sz w:val="20"/>
              </w:rPr>
              <w:t>03488468292</w:t>
            </w:r>
          </w:p>
        </w:tc>
        <w:tc>
          <w:tcPr>
            <w:tcW w:w="1368" w:type="dxa"/>
            <w:tcBorders>
              <w:top w:val="single" w:sz="4" w:space="0" w:color="000000"/>
              <w:left w:val="single" w:sz="4" w:space="0" w:color="000000"/>
              <w:bottom w:val="single" w:sz="4" w:space="0" w:color="000000"/>
            </w:tcBorders>
          </w:tcPr>
          <w:p>
            <w:pPr>
              <w:pStyle w:val="TableParagraph"/>
              <w:spacing w:before="40"/>
              <w:ind w:right="227"/>
              <w:jc w:val="right"/>
              <w:rPr>
                <w:sz w:val="20"/>
              </w:rPr>
            </w:pPr>
            <w:r>
              <w:rPr>
                <w:sz w:val="20"/>
              </w:rPr>
              <w:t>48,000</w:t>
            </w:r>
          </w:p>
        </w:tc>
      </w:tr>
      <w:tr>
        <w:trPr>
          <w:trHeight w:val="322" w:hRule="exact"/>
        </w:trPr>
        <w:tc>
          <w:tcPr>
            <w:tcW w:w="497" w:type="dxa"/>
            <w:tcBorders>
              <w:top w:val="single" w:sz="4" w:space="0" w:color="000000"/>
              <w:bottom w:val="single" w:sz="4" w:space="0" w:color="000000"/>
              <w:right w:val="single" w:sz="4" w:space="0" w:color="000000"/>
            </w:tcBorders>
          </w:tcPr>
          <w:p>
            <w:pPr>
              <w:pStyle w:val="TableParagraph"/>
              <w:spacing w:before="43"/>
              <w:ind w:right="132"/>
              <w:jc w:val="right"/>
              <w:rPr>
                <w:sz w:val="20"/>
              </w:rPr>
            </w:pPr>
            <w:r>
              <w:rPr>
                <w:sz w:val="20"/>
              </w:rPr>
              <w:t>78</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43"/>
              <w:ind w:right="244"/>
              <w:jc w:val="right"/>
              <w:rPr>
                <w:sz w:val="20"/>
              </w:rPr>
            </w:pPr>
            <w:r>
              <w:rPr>
                <w:w w:val="99"/>
                <w:sz w:val="20"/>
              </w:rPr>
              <w:t>5</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43"/>
              <w:ind w:left="52" w:right="57"/>
              <w:jc w:val="center"/>
              <w:rPr>
                <w:sz w:val="20"/>
              </w:rPr>
            </w:pPr>
            <w:r>
              <w:rPr>
                <w:sz w:val="20"/>
              </w:rPr>
              <w:t>24 50.934</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43"/>
              <w:ind w:left="97" w:right="97"/>
              <w:jc w:val="center"/>
              <w:rPr>
                <w:sz w:val="20"/>
              </w:rPr>
            </w:pPr>
            <w:r>
              <w:rPr>
                <w:sz w:val="20"/>
              </w:rPr>
              <w:t>67 03.258</w:t>
            </w:r>
          </w:p>
        </w:tc>
        <w:tc>
          <w:tcPr>
            <w:tcW w:w="2091" w:type="dxa"/>
            <w:tcBorders>
              <w:top w:val="single" w:sz="4" w:space="0" w:color="000000"/>
              <w:left w:val="single" w:sz="4" w:space="0" w:color="000000"/>
              <w:bottom w:val="single" w:sz="4" w:space="0" w:color="000000"/>
              <w:right w:val="single" w:sz="4" w:space="0" w:color="000000"/>
            </w:tcBorders>
          </w:tcPr>
          <w:p>
            <w:pPr>
              <w:pStyle w:val="TableParagraph"/>
              <w:spacing w:before="43"/>
              <w:ind w:left="52"/>
              <w:rPr>
                <w:sz w:val="20"/>
              </w:rPr>
            </w:pPr>
            <w:r>
              <w:rPr>
                <w:sz w:val="20"/>
              </w:rPr>
              <w:t>Muhammad Junaid</w:t>
            </w:r>
          </w:p>
        </w:tc>
        <w:tc>
          <w:tcPr>
            <w:tcW w:w="2004" w:type="dxa"/>
            <w:tcBorders>
              <w:top w:val="single" w:sz="4" w:space="0" w:color="000000"/>
              <w:left w:val="single" w:sz="4" w:space="0" w:color="000000"/>
              <w:bottom w:val="single" w:sz="4" w:space="0" w:color="000000"/>
              <w:right w:val="single" w:sz="4" w:space="0" w:color="000000"/>
            </w:tcBorders>
          </w:tcPr>
          <w:p>
            <w:pPr>
              <w:pStyle w:val="TableParagraph"/>
              <w:spacing w:before="43"/>
              <w:ind w:left="52"/>
              <w:rPr>
                <w:sz w:val="20"/>
              </w:rPr>
            </w:pPr>
            <w:r>
              <w:rPr>
                <w:sz w:val="20"/>
              </w:rPr>
              <w:t>Behram Khan</w:t>
            </w:r>
          </w:p>
        </w:tc>
        <w:tc>
          <w:tcPr>
            <w:tcW w:w="1755" w:type="dxa"/>
            <w:tcBorders>
              <w:top w:val="single" w:sz="4" w:space="0" w:color="000000"/>
              <w:left w:val="single" w:sz="4" w:space="0" w:color="000000"/>
              <w:bottom w:val="single" w:sz="4" w:space="0" w:color="000000"/>
              <w:right w:val="single" w:sz="4" w:space="0" w:color="000000"/>
            </w:tcBorders>
          </w:tcPr>
          <w:p>
            <w:pPr>
              <w:pStyle w:val="TableParagraph"/>
              <w:spacing w:before="43"/>
              <w:ind w:left="53"/>
              <w:rPr>
                <w:sz w:val="20"/>
              </w:rPr>
            </w:pPr>
            <w:r>
              <w:rPr>
                <w:sz w:val="20"/>
              </w:rPr>
              <w:t>Attaullah</w:t>
            </w:r>
          </w:p>
        </w:tc>
        <w:tc>
          <w:tcPr>
            <w:tcW w:w="1692" w:type="dxa"/>
            <w:tcBorders>
              <w:top w:val="single" w:sz="4" w:space="0" w:color="000000"/>
              <w:left w:val="single" w:sz="4" w:space="0" w:color="000000"/>
              <w:bottom w:val="single" w:sz="4" w:space="0" w:color="000000"/>
              <w:right w:val="single" w:sz="4" w:space="0" w:color="000000"/>
            </w:tcBorders>
          </w:tcPr>
          <w:p>
            <w:pPr/>
          </w:p>
        </w:tc>
        <w:tc>
          <w:tcPr>
            <w:tcW w:w="1436" w:type="dxa"/>
            <w:tcBorders>
              <w:top w:val="single" w:sz="4" w:space="0" w:color="000000"/>
              <w:left w:val="single" w:sz="4" w:space="0" w:color="000000"/>
              <w:bottom w:val="single" w:sz="4" w:space="0" w:color="000000"/>
              <w:right w:val="single" w:sz="4" w:space="0" w:color="000000"/>
            </w:tcBorders>
          </w:tcPr>
          <w:p>
            <w:pPr/>
          </w:p>
        </w:tc>
        <w:tc>
          <w:tcPr>
            <w:tcW w:w="1368" w:type="dxa"/>
            <w:tcBorders>
              <w:top w:val="single" w:sz="4" w:space="0" w:color="000000"/>
              <w:left w:val="single" w:sz="4" w:space="0" w:color="000000"/>
              <w:bottom w:val="single" w:sz="4" w:space="0" w:color="000000"/>
            </w:tcBorders>
          </w:tcPr>
          <w:p>
            <w:pPr>
              <w:pStyle w:val="TableParagraph"/>
              <w:spacing w:before="43"/>
              <w:ind w:right="227"/>
              <w:jc w:val="right"/>
              <w:rPr>
                <w:sz w:val="20"/>
              </w:rPr>
            </w:pPr>
            <w:r>
              <w:rPr>
                <w:sz w:val="20"/>
              </w:rPr>
              <w:t>48,000</w:t>
            </w:r>
          </w:p>
        </w:tc>
      </w:tr>
      <w:tr>
        <w:trPr>
          <w:trHeight w:val="319" w:hRule="exact"/>
        </w:trPr>
        <w:tc>
          <w:tcPr>
            <w:tcW w:w="497" w:type="dxa"/>
            <w:tcBorders>
              <w:top w:val="single" w:sz="4" w:space="0" w:color="000000"/>
              <w:bottom w:val="single" w:sz="4" w:space="0" w:color="000000"/>
              <w:right w:val="single" w:sz="4" w:space="0" w:color="000000"/>
            </w:tcBorders>
          </w:tcPr>
          <w:p>
            <w:pPr>
              <w:pStyle w:val="TableParagraph"/>
              <w:spacing w:before="40"/>
              <w:ind w:right="132"/>
              <w:jc w:val="right"/>
              <w:rPr>
                <w:sz w:val="20"/>
              </w:rPr>
            </w:pPr>
            <w:r>
              <w:rPr>
                <w:sz w:val="20"/>
              </w:rPr>
              <w:t>78</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40"/>
              <w:ind w:right="244"/>
              <w:jc w:val="right"/>
              <w:rPr>
                <w:sz w:val="20"/>
              </w:rPr>
            </w:pPr>
            <w:r>
              <w:rPr>
                <w:w w:val="99"/>
                <w:sz w:val="20"/>
              </w:rPr>
              <w:t>5</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ight="57"/>
              <w:jc w:val="center"/>
              <w:rPr>
                <w:sz w:val="20"/>
              </w:rPr>
            </w:pPr>
            <w:r>
              <w:rPr>
                <w:sz w:val="20"/>
              </w:rPr>
              <w:t>24 50.934</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40"/>
              <w:ind w:left="97" w:right="97"/>
              <w:jc w:val="center"/>
              <w:rPr>
                <w:sz w:val="20"/>
              </w:rPr>
            </w:pPr>
            <w:r>
              <w:rPr>
                <w:sz w:val="20"/>
              </w:rPr>
              <w:t>67 03.258</w:t>
            </w:r>
          </w:p>
        </w:tc>
        <w:tc>
          <w:tcPr>
            <w:tcW w:w="2091"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Pr>
                <w:sz w:val="20"/>
              </w:rPr>
            </w:pPr>
            <w:r>
              <w:rPr>
                <w:sz w:val="20"/>
              </w:rPr>
              <w:t>Muhammad Junaid</w:t>
            </w:r>
          </w:p>
        </w:tc>
        <w:tc>
          <w:tcPr>
            <w:tcW w:w="2004"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Pr>
                <w:sz w:val="20"/>
              </w:rPr>
            </w:pPr>
            <w:r>
              <w:rPr>
                <w:sz w:val="20"/>
              </w:rPr>
              <w:t>Behram Khan</w:t>
            </w:r>
          </w:p>
        </w:tc>
        <w:tc>
          <w:tcPr>
            <w:tcW w:w="1755" w:type="dxa"/>
            <w:tcBorders>
              <w:top w:val="single" w:sz="4" w:space="0" w:color="000000"/>
              <w:left w:val="single" w:sz="4" w:space="0" w:color="000000"/>
              <w:bottom w:val="single" w:sz="4" w:space="0" w:color="000000"/>
              <w:right w:val="single" w:sz="4" w:space="0" w:color="000000"/>
            </w:tcBorders>
          </w:tcPr>
          <w:p>
            <w:pPr>
              <w:pStyle w:val="TableParagraph"/>
              <w:spacing w:before="40"/>
              <w:ind w:left="53"/>
              <w:rPr>
                <w:sz w:val="20"/>
              </w:rPr>
            </w:pPr>
            <w:r>
              <w:rPr>
                <w:sz w:val="20"/>
              </w:rPr>
              <w:t>Azizullah</w:t>
            </w:r>
          </w:p>
        </w:tc>
        <w:tc>
          <w:tcPr>
            <w:tcW w:w="1692" w:type="dxa"/>
            <w:tcBorders>
              <w:top w:val="single" w:sz="4" w:space="0" w:color="000000"/>
              <w:left w:val="single" w:sz="4" w:space="0" w:color="000000"/>
              <w:bottom w:val="single" w:sz="4" w:space="0" w:color="000000"/>
              <w:right w:val="single" w:sz="4" w:space="0" w:color="000000"/>
            </w:tcBorders>
          </w:tcPr>
          <w:p>
            <w:pPr/>
          </w:p>
        </w:tc>
        <w:tc>
          <w:tcPr>
            <w:tcW w:w="1436" w:type="dxa"/>
            <w:tcBorders>
              <w:top w:val="single" w:sz="4" w:space="0" w:color="000000"/>
              <w:left w:val="single" w:sz="4" w:space="0" w:color="000000"/>
              <w:bottom w:val="single" w:sz="4" w:space="0" w:color="000000"/>
              <w:right w:val="single" w:sz="4" w:space="0" w:color="000000"/>
            </w:tcBorders>
          </w:tcPr>
          <w:p>
            <w:pPr/>
          </w:p>
        </w:tc>
        <w:tc>
          <w:tcPr>
            <w:tcW w:w="1368" w:type="dxa"/>
            <w:tcBorders>
              <w:top w:val="single" w:sz="4" w:space="0" w:color="000000"/>
              <w:left w:val="single" w:sz="4" w:space="0" w:color="000000"/>
              <w:bottom w:val="single" w:sz="4" w:space="0" w:color="000000"/>
            </w:tcBorders>
          </w:tcPr>
          <w:p>
            <w:pPr>
              <w:pStyle w:val="TableParagraph"/>
              <w:spacing w:before="40"/>
              <w:ind w:right="227"/>
              <w:jc w:val="right"/>
              <w:rPr>
                <w:sz w:val="20"/>
              </w:rPr>
            </w:pPr>
            <w:r>
              <w:rPr>
                <w:sz w:val="20"/>
              </w:rPr>
              <w:t>48,000</w:t>
            </w:r>
          </w:p>
        </w:tc>
      </w:tr>
      <w:tr>
        <w:trPr>
          <w:trHeight w:val="550" w:hRule="exact"/>
        </w:trPr>
        <w:tc>
          <w:tcPr>
            <w:tcW w:w="497" w:type="dxa"/>
            <w:tcBorders>
              <w:top w:val="single" w:sz="4" w:space="0" w:color="000000"/>
              <w:bottom w:val="single" w:sz="4" w:space="0" w:color="000000"/>
              <w:right w:val="single" w:sz="4" w:space="0" w:color="000000"/>
            </w:tcBorders>
          </w:tcPr>
          <w:p>
            <w:pPr>
              <w:pStyle w:val="TableParagraph"/>
              <w:spacing w:before="155"/>
              <w:ind w:right="132"/>
              <w:jc w:val="right"/>
              <w:rPr>
                <w:sz w:val="20"/>
              </w:rPr>
            </w:pPr>
            <w:r>
              <w:rPr>
                <w:sz w:val="20"/>
              </w:rPr>
              <w:t>80</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155"/>
              <w:ind w:right="244"/>
              <w:jc w:val="right"/>
              <w:rPr>
                <w:sz w:val="20"/>
              </w:rPr>
            </w:pPr>
            <w:r>
              <w:rPr>
                <w:w w:val="99"/>
                <w:sz w:val="20"/>
              </w:rPr>
              <w:t>5</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6"/>
              <w:rPr>
                <w:rFonts w:ascii="Times New Roman"/>
                <w:sz w:val="23"/>
              </w:rPr>
            </w:pPr>
          </w:p>
          <w:p>
            <w:pPr>
              <w:pStyle w:val="TableParagraph"/>
              <w:spacing w:before="1"/>
              <w:ind w:left="52" w:right="57"/>
              <w:jc w:val="center"/>
              <w:rPr>
                <w:sz w:val="20"/>
              </w:rPr>
            </w:pPr>
            <w:r>
              <w:rPr>
                <w:sz w:val="20"/>
              </w:rPr>
              <w:t>24 50.934</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6"/>
              <w:rPr>
                <w:rFonts w:ascii="Times New Roman"/>
                <w:sz w:val="23"/>
              </w:rPr>
            </w:pPr>
          </w:p>
          <w:p>
            <w:pPr>
              <w:pStyle w:val="TableParagraph"/>
              <w:spacing w:before="1"/>
              <w:ind w:left="97" w:right="97"/>
              <w:jc w:val="center"/>
              <w:rPr>
                <w:sz w:val="20"/>
              </w:rPr>
            </w:pPr>
            <w:r>
              <w:rPr>
                <w:sz w:val="20"/>
              </w:rPr>
              <w:t>67 03.258</w:t>
            </w:r>
          </w:p>
        </w:tc>
        <w:tc>
          <w:tcPr>
            <w:tcW w:w="2091" w:type="dxa"/>
            <w:tcBorders>
              <w:top w:val="single" w:sz="4" w:space="0" w:color="000000"/>
              <w:left w:val="single" w:sz="4" w:space="0" w:color="000000"/>
              <w:bottom w:val="single" w:sz="4" w:space="0" w:color="000000"/>
              <w:right w:val="single" w:sz="4" w:space="0" w:color="000000"/>
            </w:tcBorders>
          </w:tcPr>
          <w:p>
            <w:pPr>
              <w:pStyle w:val="TableParagraph"/>
              <w:spacing w:before="155"/>
              <w:ind w:left="52"/>
              <w:rPr>
                <w:sz w:val="20"/>
              </w:rPr>
            </w:pPr>
            <w:r>
              <w:rPr>
                <w:sz w:val="20"/>
              </w:rPr>
              <w:t>Dildar Khan</w:t>
            </w:r>
          </w:p>
        </w:tc>
        <w:tc>
          <w:tcPr>
            <w:tcW w:w="2004" w:type="dxa"/>
            <w:tcBorders>
              <w:top w:val="single" w:sz="4" w:space="0" w:color="000000"/>
              <w:left w:val="single" w:sz="4" w:space="0" w:color="000000"/>
              <w:bottom w:val="single" w:sz="4" w:space="0" w:color="000000"/>
              <w:right w:val="single" w:sz="4" w:space="0" w:color="000000"/>
            </w:tcBorders>
          </w:tcPr>
          <w:p>
            <w:pPr>
              <w:pStyle w:val="TableParagraph"/>
              <w:spacing w:before="155"/>
              <w:ind w:left="52"/>
              <w:rPr>
                <w:sz w:val="20"/>
              </w:rPr>
            </w:pPr>
            <w:r>
              <w:rPr>
                <w:sz w:val="20"/>
              </w:rPr>
              <w:t>Shahwazir Khan</w:t>
            </w:r>
          </w:p>
        </w:tc>
        <w:tc>
          <w:tcPr>
            <w:tcW w:w="1755" w:type="dxa"/>
            <w:tcBorders>
              <w:top w:val="single" w:sz="4" w:space="0" w:color="000000"/>
              <w:left w:val="single" w:sz="4" w:space="0" w:color="000000"/>
              <w:bottom w:val="single" w:sz="4" w:space="0" w:color="000000"/>
              <w:right w:val="single" w:sz="4" w:space="0" w:color="000000"/>
            </w:tcBorders>
          </w:tcPr>
          <w:p>
            <w:pPr>
              <w:pStyle w:val="TableParagraph"/>
              <w:spacing w:before="6"/>
              <w:rPr>
                <w:rFonts w:ascii="Times New Roman"/>
                <w:sz w:val="23"/>
              </w:rPr>
            </w:pPr>
          </w:p>
          <w:p>
            <w:pPr>
              <w:pStyle w:val="TableParagraph"/>
              <w:spacing w:before="1"/>
              <w:ind w:left="53"/>
              <w:rPr>
                <w:sz w:val="20"/>
              </w:rPr>
            </w:pPr>
            <w:r>
              <w:rPr>
                <w:sz w:val="20"/>
              </w:rPr>
              <w:t>Rehmatullah</w:t>
            </w:r>
          </w:p>
        </w:tc>
        <w:tc>
          <w:tcPr>
            <w:tcW w:w="1692" w:type="dxa"/>
            <w:tcBorders>
              <w:top w:val="single" w:sz="4" w:space="0" w:color="000000"/>
              <w:left w:val="single" w:sz="4" w:space="0" w:color="000000"/>
              <w:bottom w:val="single" w:sz="4" w:space="0" w:color="000000"/>
              <w:right w:val="single" w:sz="4" w:space="0" w:color="000000"/>
            </w:tcBorders>
          </w:tcPr>
          <w:p>
            <w:pPr>
              <w:pStyle w:val="TableParagraph"/>
              <w:spacing w:before="38"/>
              <w:ind w:left="52"/>
              <w:rPr>
                <w:sz w:val="20"/>
              </w:rPr>
            </w:pPr>
            <w:r>
              <w:rPr>
                <w:sz w:val="20"/>
              </w:rPr>
              <w:t>31303-1058515-</w:t>
            </w:r>
          </w:p>
          <w:p>
            <w:pPr>
              <w:pStyle w:val="TableParagraph"/>
              <w:spacing w:before="3"/>
              <w:ind w:left="52"/>
              <w:rPr>
                <w:sz w:val="20"/>
              </w:rPr>
            </w:pPr>
            <w:r>
              <w:rPr>
                <w:w w:val="99"/>
                <w:sz w:val="20"/>
              </w:rPr>
              <w:t>3</w:t>
            </w:r>
          </w:p>
        </w:tc>
        <w:tc>
          <w:tcPr>
            <w:tcW w:w="1436" w:type="dxa"/>
            <w:tcBorders>
              <w:top w:val="single" w:sz="4" w:space="0" w:color="000000"/>
              <w:left w:val="single" w:sz="4" w:space="0" w:color="000000"/>
              <w:bottom w:val="single" w:sz="4" w:space="0" w:color="000000"/>
              <w:right w:val="single" w:sz="4" w:space="0" w:color="000000"/>
            </w:tcBorders>
          </w:tcPr>
          <w:p>
            <w:pPr>
              <w:pStyle w:val="TableParagraph"/>
              <w:spacing w:before="6"/>
              <w:rPr>
                <w:rFonts w:ascii="Times New Roman"/>
                <w:sz w:val="23"/>
              </w:rPr>
            </w:pPr>
          </w:p>
          <w:p>
            <w:pPr>
              <w:pStyle w:val="TableParagraph"/>
              <w:spacing w:before="1"/>
              <w:ind w:left="52"/>
              <w:rPr>
                <w:sz w:val="20"/>
              </w:rPr>
            </w:pPr>
            <w:r>
              <w:rPr>
                <w:sz w:val="20"/>
              </w:rPr>
              <w:t>03017650896</w:t>
            </w:r>
          </w:p>
        </w:tc>
        <w:tc>
          <w:tcPr>
            <w:tcW w:w="1368" w:type="dxa"/>
            <w:tcBorders>
              <w:top w:val="single" w:sz="4" w:space="0" w:color="000000"/>
              <w:left w:val="single" w:sz="4" w:space="0" w:color="000000"/>
              <w:bottom w:val="single" w:sz="4" w:space="0" w:color="000000"/>
            </w:tcBorders>
          </w:tcPr>
          <w:p>
            <w:pPr>
              <w:pStyle w:val="TableParagraph"/>
              <w:spacing w:before="40"/>
              <w:ind w:right="227"/>
              <w:jc w:val="right"/>
              <w:rPr>
                <w:sz w:val="20"/>
              </w:rPr>
            </w:pPr>
            <w:r>
              <w:rPr>
                <w:sz w:val="20"/>
              </w:rPr>
              <w:t>48,000</w:t>
            </w:r>
          </w:p>
        </w:tc>
      </w:tr>
      <w:tr>
        <w:trPr>
          <w:trHeight w:val="319" w:hRule="exact"/>
        </w:trPr>
        <w:tc>
          <w:tcPr>
            <w:tcW w:w="497" w:type="dxa"/>
            <w:tcBorders>
              <w:top w:val="single" w:sz="4" w:space="0" w:color="000000"/>
              <w:bottom w:val="single" w:sz="4" w:space="0" w:color="000000"/>
              <w:right w:val="single" w:sz="4" w:space="0" w:color="000000"/>
            </w:tcBorders>
          </w:tcPr>
          <w:p>
            <w:pPr>
              <w:pStyle w:val="TableParagraph"/>
              <w:spacing w:before="40"/>
              <w:ind w:right="132"/>
              <w:jc w:val="right"/>
              <w:rPr>
                <w:sz w:val="20"/>
              </w:rPr>
            </w:pPr>
            <w:r>
              <w:rPr>
                <w:sz w:val="20"/>
              </w:rPr>
              <w:t>80</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40"/>
              <w:ind w:right="244"/>
              <w:jc w:val="right"/>
              <w:rPr>
                <w:sz w:val="20"/>
              </w:rPr>
            </w:pPr>
            <w:r>
              <w:rPr>
                <w:w w:val="99"/>
                <w:sz w:val="20"/>
              </w:rPr>
              <w:t>5</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ight="57"/>
              <w:jc w:val="center"/>
              <w:rPr>
                <w:sz w:val="20"/>
              </w:rPr>
            </w:pPr>
            <w:r>
              <w:rPr>
                <w:sz w:val="20"/>
              </w:rPr>
              <w:t>24 50.934</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40"/>
              <w:ind w:left="97" w:right="97"/>
              <w:jc w:val="center"/>
              <w:rPr>
                <w:sz w:val="20"/>
              </w:rPr>
            </w:pPr>
            <w:r>
              <w:rPr>
                <w:sz w:val="20"/>
              </w:rPr>
              <w:t>67 03.258</w:t>
            </w:r>
          </w:p>
        </w:tc>
        <w:tc>
          <w:tcPr>
            <w:tcW w:w="2091"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Pr>
                <w:sz w:val="20"/>
              </w:rPr>
            </w:pPr>
            <w:r>
              <w:rPr>
                <w:sz w:val="20"/>
              </w:rPr>
              <w:t>Dildar Khan</w:t>
            </w:r>
          </w:p>
        </w:tc>
        <w:tc>
          <w:tcPr>
            <w:tcW w:w="2004"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Pr>
                <w:sz w:val="20"/>
              </w:rPr>
            </w:pPr>
            <w:r>
              <w:rPr>
                <w:sz w:val="20"/>
              </w:rPr>
              <w:t>Shahwazir Khan</w:t>
            </w:r>
          </w:p>
        </w:tc>
        <w:tc>
          <w:tcPr>
            <w:tcW w:w="1755" w:type="dxa"/>
            <w:tcBorders>
              <w:top w:val="single" w:sz="4" w:space="0" w:color="000000"/>
              <w:left w:val="single" w:sz="4" w:space="0" w:color="000000"/>
              <w:bottom w:val="single" w:sz="4" w:space="0" w:color="000000"/>
              <w:right w:val="single" w:sz="4" w:space="0" w:color="000000"/>
            </w:tcBorders>
          </w:tcPr>
          <w:p>
            <w:pPr>
              <w:pStyle w:val="TableParagraph"/>
              <w:spacing w:before="40"/>
              <w:ind w:left="53"/>
              <w:rPr>
                <w:sz w:val="20"/>
              </w:rPr>
            </w:pPr>
            <w:r>
              <w:rPr>
                <w:sz w:val="20"/>
              </w:rPr>
              <w:t>Khursheed</w:t>
            </w:r>
          </w:p>
        </w:tc>
        <w:tc>
          <w:tcPr>
            <w:tcW w:w="1692" w:type="dxa"/>
            <w:tcBorders>
              <w:top w:val="single" w:sz="4" w:space="0" w:color="000000"/>
              <w:left w:val="single" w:sz="4" w:space="0" w:color="000000"/>
              <w:bottom w:val="single" w:sz="4" w:space="0" w:color="000000"/>
              <w:right w:val="single" w:sz="4" w:space="0" w:color="000000"/>
            </w:tcBorders>
          </w:tcPr>
          <w:p>
            <w:pPr/>
          </w:p>
        </w:tc>
        <w:tc>
          <w:tcPr>
            <w:tcW w:w="1436" w:type="dxa"/>
            <w:tcBorders>
              <w:top w:val="single" w:sz="4" w:space="0" w:color="000000"/>
              <w:left w:val="single" w:sz="4" w:space="0" w:color="000000"/>
              <w:bottom w:val="single" w:sz="4" w:space="0" w:color="000000"/>
              <w:right w:val="single" w:sz="4" w:space="0" w:color="000000"/>
            </w:tcBorders>
          </w:tcPr>
          <w:p>
            <w:pPr/>
          </w:p>
        </w:tc>
        <w:tc>
          <w:tcPr>
            <w:tcW w:w="1368" w:type="dxa"/>
            <w:tcBorders>
              <w:top w:val="single" w:sz="4" w:space="0" w:color="000000"/>
              <w:left w:val="single" w:sz="4" w:space="0" w:color="000000"/>
              <w:bottom w:val="single" w:sz="4" w:space="0" w:color="000000"/>
            </w:tcBorders>
          </w:tcPr>
          <w:p>
            <w:pPr>
              <w:pStyle w:val="TableParagraph"/>
              <w:spacing w:before="40"/>
              <w:ind w:right="227"/>
              <w:jc w:val="right"/>
              <w:rPr>
                <w:sz w:val="20"/>
              </w:rPr>
            </w:pPr>
            <w:r>
              <w:rPr>
                <w:sz w:val="20"/>
              </w:rPr>
              <w:t>48,000</w:t>
            </w:r>
          </w:p>
        </w:tc>
      </w:tr>
      <w:tr>
        <w:trPr>
          <w:trHeight w:val="322" w:hRule="exact"/>
        </w:trPr>
        <w:tc>
          <w:tcPr>
            <w:tcW w:w="497" w:type="dxa"/>
            <w:tcBorders>
              <w:top w:val="single" w:sz="4" w:space="0" w:color="000000"/>
              <w:bottom w:val="single" w:sz="4" w:space="0" w:color="000000"/>
              <w:right w:val="single" w:sz="4" w:space="0" w:color="000000"/>
            </w:tcBorders>
          </w:tcPr>
          <w:p>
            <w:pPr>
              <w:pStyle w:val="TableParagraph"/>
              <w:spacing w:before="43"/>
              <w:ind w:right="132"/>
              <w:jc w:val="right"/>
              <w:rPr>
                <w:sz w:val="20"/>
              </w:rPr>
            </w:pPr>
            <w:r>
              <w:rPr>
                <w:sz w:val="20"/>
              </w:rPr>
              <w:t>82</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43"/>
              <w:ind w:right="244"/>
              <w:jc w:val="right"/>
              <w:rPr>
                <w:sz w:val="20"/>
              </w:rPr>
            </w:pPr>
            <w:r>
              <w:rPr>
                <w:w w:val="99"/>
                <w:sz w:val="20"/>
              </w:rPr>
              <w:t>5</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43"/>
              <w:ind w:left="52" w:right="57"/>
              <w:jc w:val="center"/>
              <w:rPr>
                <w:sz w:val="20"/>
              </w:rPr>
            </w:pPr>
            <w:r>
              <w:rPr>
                <w:sz w:val="20"/>
              </w:rPr>
              <w:t>24 50.934</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43"/>
              <w:ind w:left="97" w:right="97"/>
              <w:jc w:val="center"/>
              <w:rPr>
                <w:sz w:val="20"/>
              </w:rPr>
            </w:pPr>
            <w:r>
              <w:rPr>
                <w:sz w:val="20"/>
              </w:rPr>
              <w:t>67 03.258</w:t>
            </w:r>
          </w:p>
        </w:tc>
        <w:tc>
          <w:tcPr>
            <w:tcW w:w="2091" w:type="dxa"/>
            <w:tcBorders>
              <w:top w:val="single" w:sz="4" w:space="0" w:color="000000"/>
              <w:left w:val="single" w:sz="4" w:space="0" w:color="000000"/>
              <w:bottom w:val="single" w:sz="4" w:space="0" w:color="000000"/>
              <w:right w:val="single" w:sz="4" w:space="0" w:color="000000"/>
            </w:tcBorders>
          </w:tcPr>
          <w:p>
            <w:pPr>
              <w:pStyle w:val="TableParagraph"/>
              <w:spacing w:before="43"/>
              <w:ind w:left="52"/>
              <w:rPr>
                <w:sz w:val="20"/>
              </w:rPr>
            </w:pPr>
            <w:r>
              <w:rPr>
                <w:sz w:val="20"/>
              </w:rPr>
              <w:t>Noor ul Haq</w:t>
            </w:r>
          </w:p>
        </w:tc>
        <w:tc>
          <w:tcPr>
            <w:tcW w:w="2004" w:type="dxa"/>
            <w:tcBorders>
              <w:top w:val="single" w:sz="4" w:space="0" w:color="000000"/>
              <w:left w:val="single" w:sz="4" w:space="0" w:color="000000"/>
              <w:bottom w:val="single" w:sz="4" w:space="0" w:color="000000"/>
              <w:right w:val="single" w:sz="4" w:space="0" w:color="000000"/>
            </w:tcBorders>
          </w:tcPr>
          <w:p>
            <w:pPr>
              <w:pStyle w:val="TableParagraph"/>
              <w:spacing w:before="43"/>
              <w:ind w:left="52"/>
              <w:rPr>
                <w:sz w:val="20"/>
              </w:rPr>
            </w:pPr>
            <w:r>
              <w:rPr>
                <w:sz w:val="20"/>
              </w:rPr>
              <w:t>Muhammad Afzal</w:t>
            </w:r>
          </w:p>
        </w:tc>
        <w:tc>
          <w:tcPr>
            <w:tcW w:w="1755" w:type="dxa"/>
            <w:tcBorders>
              <w:top w:val="single" w:sz="4" w:space="0" w:color="000000"/>
              <w:left w:val="single" w:sz="4" w:space="0" w:color="000000"/>
              <w:bottom w:val="single" w:sz="4" w:space="0" w:color="000000"/>
              <w:right w:val="single" w:sz="4" w:space="0" w:color="000000"/>
            </w:tcBorders>
          </w:tcPr>
          <w:p>
            <w:pPr>
              <w:pStyle w:val="TableParagraph"/>
              <w:spacing w:before="43"/>
              <w:ind w:left="53"/>
              <w:rPr>
                <w:sz w:val="20"/>
              </w:rPr>
            </w:pPr>
            <w:r>
              <w:rPr>
                <w:sz w:val="20"/>
              </w:rPr>
              <w:t>Ikram S/o Sakhi</w:t>
            </w:r>
          </w:p>
        </w:tc>
        <w:tc>
          <w:tcPr>
            <w:tcW w:w="1692" w:type="dxa"/>
            <w:tcBorders>
              <w:top w:val="single" w:sz="4" w:space="0" w:color="000000"/>
              <w:left w:val="single" w:sz="4" w:space="0" w:color="000000"/>
              <w:bottom w:val="single" w:sz="4" w:space="0" w:color="000000"/>
              <w:right w:val="single" w:sz="4" w:space="0" w:color="000000"/>
            </w:tcBorders>
          </w:tcPr>
          <w:p>
            <w:pPr/>
          </w:p>
        </w:tc>
        <w:tc>
          <w:tcPr>
            <w:tcW w:w="1436" w:type="dxa"/>
            <w:tcBorders>
              <w:top w:val="single" w:sz="4" w:space="0" w:color="000000"/>
              <w:left w:val="single" w:sz="4" w:space="0" w:color="000000"/>
              <w:bottom w:val="single" w:sz="4" w:space="0" w:color="000000"/>
              <w:right w:val="single" w:sz="4" w:space="0" w:color="000000"/>
            </w:tcBorders>
          </w:tcPr>
          <w:p>
            <w:pPr/>
          </w:p>
        </w:tc>
        <w:tc>
          <w:tcPr>
            <w:tcW w:w="1368" w:type="dxa"/>
            <w:tcBorders>
              <w:top w:val="single" w:sz="4" w:space="0" w:color="000000"/>
              <w:left w:val="single" w:sz="4" w:space="0" w:color="000000"/>
              <w:bottom w:val="single" w:sz="4" w:space="0" w:color="000000"/>
            </w:tcBorders>
          </w:tcPr>
          <w:p>
            <w:pPr>
              <w:pStyle w:val="TableParagraph"/>
              <w:spacing w:before="43"/>
              <w:ind w:right="227"/>
              <w:jc w:val="right"/>
              <w:rPr>
                <w:sz w:val="20"/>
              </w:rPr>
            </w:pPr>
            <w:r>
              <w:rPr>
                <w:sz w:val="20"/>
              </w:rPr>
              <w:t>48,000</w:t>
            </w:r>
          </w:p>
        </w:tc>
      </w:tr>
      <w:tr>
        <w:trPr>
          <w:trHeight w:val="319" w:hRule="exact"/>
        </w:trPr>
        <w:tc>
          <w:tcPr>
            <w:tcW w:w="497" w:type="dxa"/>
            <w:tcBorders>
              <w:top w:val="single" w:sz="4" w:space="0" w:color="000000"/>
              <w:bottom w:val="single" w:sz="4" w:space="0" w:color="000000"/>
              <w:right w:val="single" w:sz="4" w:space="0" w:color="000000"/>
            </w:tcBorders>
          </w:tcPr>
          <w:p>
            <w:pPr>
              <w:pStyle w:val="TableParagraph"/>
              <w:spacing w:before="40"/>
              <w:ind w:right="132"/>
              <w:jc w:val="right"/>
              <w:rPr>
                <w:sz w:val="20"/>
              </w:rPr>
            </w:pPr>
            <w:r>
              <w:rPr>
                <w:sz w:val="20"/>
              </w:rPr>
              <w:t>82</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40"/>
              <w:ind w:right="244"/>
              <w:jc w:val="right"/>
              <w:rPr>
                <w:sz w:val="20"/>
              </w:rPr>
            </w:pPr>
            <w:r>
              <w:rPr>
                <w:w w:val="99"/>
                <w:sz w:val="20"/>
              </w:rPr>
              <w:t>5</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ight="57"/>
              <w:jc w:val="center"/>
              <w:rPr>
                <w:sz w:val="20"/>
              </w:rPr>
            </w:pPr>
            <w:r>
              <w:rPr>
                <w:sz w:val="20"/>
              </w:rPr>
              <w:t>24 50.934</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40"/>
              <w:ind w:left="97" w:right="97"/>
              <w:jc w:val="center"/>
              <w:rPr>
                <w:sz w:val="20"/>
              </w:rPr>
            </w:pPr>
            <w:r>
              <w:rPr>
                <w:sz w:val="20"/>
              </w:rPr>
              <w:t>67 03.258</w:t>
            </w:r>
          </w:p>
        </w:tc>
        <w:tc>
          <w:tcPr>
            <w:tcW w:w="2091"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Pr>
                <w:sz w:val="20"/>
              </w:rPr>
            </w:pPr>
            <w:r>
              <w:rPr>
                <w:sz w:val="20"/>
              </w:rPr>
              <w:t>Noor ul Haq</w:t>
            </w:r>
          </w:p>
        </w:tc>
        <w:tc>
          <w:tcPr>
            <w:tcW w:w="2004"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Pr>
                <w:sz w:val="20"/>
              </w:rPr>
            </w:pPr>
            <w:r>
              <w:rPr>
                <w:sz w:val="20"/>
              </w:rPr>
              <w:t>Muhammad Afzal</w:t>
            </w:r>
          </w:p>
        </w:tc>
        <w:tc>
          <w:tcPr>
            <w:tcW w:w="1755" w:type="dxa"/>
            <w:tcBorders>
              <w:top w:val="single" w:sz="4" w:space="0" w:color="000000"/>
              <w:left w:val="single" w:sz="4" w:space="0" w:color="000000"/>
              <w:bottom w:val="single" w:sz="4" w:space="0" w:color="000000"/>
              <w:right w:val="single" w:sz="4" w:space="0" w:color="000000"/>
            </w:tcBorders>
          </w:tcPr>
          <w:p>
            <w:pPr>
              <w:pStyle w:val="TableParagraph"/>
              <w:spacing w:before="40"/>
              <w:ind w:left="53"/>
              <w:rPr>
                <w:sz w:val="20"/>
              </w:rPr>
            </w:pPr>
            <w:r>
              <w:rPr>
                <w:sz w:val="20"/>
              </w:rPr>
              <w:t>Shah Noor</w:t>
            </w:r>
          </w:p>
        </w:tc>
        <w:tc>
          <w:tcPr>
            <w:tcW w:w="1692" w:type="dxa"/>
            <w:tcBorders>
              <w:top w:val="single" w:sz="4" w:space="0" w:color="000000"/>
              <w:left w:val="single" w:sz="4" w:space="0" w:color="000000"/>
              <w:bottom w:val="single" w:sz="4" w:space="0" w:color="000000"/>
              <w:right w:val="single" w:sz="4" w:space="0" w:color="000000"/>
            </w:tcBorders>
          </w:tcPr>
          <w:p>
            <w:pPr/>
          </w:p>
        </w:tc>
        <w:tc>
          <w:tcPr>
            <w:tcW w:w="1436" w:type="dxa"/>
            <w:tcBorders>
              <w:top w:val="single" w:sz="4" w:space="0" w:color="000000"/>
              <w:left w:val="single" w:sz="4" w:space="0" w:color="000000"/>
              <w:bottom w:val="single" w:sz="4" w:space="0" w:color="000000"/>
              <w:right w:val="single" w:sz="4" w:space="0" w:color="000000"/>
            </w:tcBorders>
          </w:tcPr>
          <w:p>
            <w:pPr/>
          </w:p>
        </w:tc>
        <w:tc>
          <w:tcPr>
            <w:tcW w:w="1368" w:type="dxa"/>
            <w:tcBorders>
              <w:top w:val="single" w:sz="4" w:space="0" w:color="000000"/>
              <w:left w:val="single" w:sz="4" w:space="0" w:color="000000"/>
              <w:bottom w:val="single" w:sz="4" w:space="0" w:color="000000"/>
            </w:tcBorders>
          </w:tcPr>
          <w:p>
            <w:pPr>
              <w:pStyle w:val="TableParagraph"/>
              <w:spacing w:before="40"/>
              <w:ind w:right="227"/>
              <w:jc w:val="right"/>
              <w:rPr>
                <w:sz w:val="20"/>
              </w:rPr>
            </w:pPr>
            <w:r>
              <w:rPr>
                <w:sz w:val="20"/>
              </w:rPr>
              <w:t>48,000</w:t>
            </w:r>
          </w:p>
        </w:tc>
      </w:tr>
      <w:tr>
        <w:trPr>
          <w:trHeight w:val="319" w:hRule="exact"/>
        </w:trPr>
        <w:tc>
          <w:tcPr>
            <w:tcW w:w="497" w:type="dxa"/>
            <w:tcBorders>
              <w:top w:val="single" w:sz="4" w:space="0" w:color="000000"/>
              <w:bottom w:val="single" w:sz="4" w:space="0" w:color="000000"/>
              <w:right w:val="single" w:sz="4" w:space="0" w:color="000000"/>
            </w:tcBorders>
          </w:tcPr>
          <w:p>
            <w:pPr>
              <w:pStyle w:val="TableParagraph"/>
              <w:spacing w:before="40"/>
              <w:ind w:right="132"/>
              <w:jc w:val="right"/>
              <w:rPr>
                <w:sz w:val="20"/>
              </w:rPr>
            </w:pPr>
            <w:r>
              <w:rPr>
                <w:sz w:val="20"/>
              </w:rPr>
              <w:t>84</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40"/>
              <w:ind w:right="244"/>
              <w:jc w:val="right"/>
              <w:rPr>
                <w:sz w:val="20"/>
              </w:rPr>
            </w:pPr>
            <w:r>
              <w:rPr>
                <w:w w:val="99"/>
                <w:sz w:val="20"/>
              </w:rPr>
              <w:t>5</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ight="57"/>
              <w:jc w:val="center"/>
              <w:rPr>
                <w:sz w:val="20"/>
              </w:rPr>
            </w:pPr>
            <w:r>
              <w:rPr>
                <w:sz w:val="20"/>
              </w:rPr>
              <w:t>24 50.934</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40"/>
              <w:ind w:left="97" w:right="97"/>
              <w:jc w:val="center"/>
              <w:rPr>
                <w:sz w:val="20"/>
              </w:rPr>
            </w:pPr>
            <w:r>
              <w:rPr>
                <w:sz w:val="20"/>
              </w:rPr>
              <w:t>67 03.258</w:t>
            </w:r>
          </w:p>
        </w:tc>
        <w:tc>
          <w:tcPr>
            <w:tcW w:w="2091"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Pr>
                <w:sz w:val="20"/>
              </w:rPr>
            </w:pPr>
            <w:r>
              <w:rPr>
                <w:sz w:val="20"/>
              </w:rPr>
              <w:t>Khalil ur Rahman</w:t>
            </w:r>
          </w:p>
        </w:tc>
        <w:tc>
          <w:tcPr>
            <w:tcW w:w="2004"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Pr>
                <w:sz w:val="20"/>
              </w:rPr>
            </w:pPr>
            <w:r>
              <w:rPr>
                <w:sz w:val="20"/>
              </w:rPr>
              <w:t>Muhammad Afzal</w:t>
            </w:r>
          </w:p>
        </w:tc>
        <w:tc>
          <w:tcPr>
            <w:tcW w:w="1755" w:type="dxa"/>
            <w:tcBorders>
              <w:top w:val="single" w:sz="4" w:space="0" w:color="000000"/>
              <w:left w:val="single" w:sz="4" w:space="0" w:color="000000"/>
              <w:bottom w:val="single" w:sz="4" w:space="0" w:color="000000"/>
              <w:right w:val="single" w:sz="4" w:space="0" w:color="000000"/>
            </w:tcBorders>
          </w:tcPr>
          <w:p>
            <w:pPr>
              <w:pStyle w:val="TableParagraph"/>
              <w:spacing w:before="40"/>
              <w:ind w:left="53"/>
              <w:rPr>
                <w:sz w:val="20"/>
              </w:rPr>
            </w:pPr>
            <w:r>
              <w:rPr>
                <w:sz w:val="20"/>
              </w:rPr>
              <w:t>Ikram</w:t>
            </w:r>
          </w:p>
        </w:tc>
        <w:tc>
          <w:tcPr>
            <w:tcW w:w="1692" w:type="dxa"/>
            <w:tcBorders>
              <w:top w:val="single" w:sz="4" w:space="0" w:color="000000"/>
              <w:left w:val="single" w:sz="4" w:space="0" w:color="000000"/>
              <w:bottom w:val="single" w:sz="4" w:space="0" w:color="000000"/>
              <w:right w:val="single" w:sz="4" w:space="0" w:color="000000"/>
            </w:tcBorders>
          </w:tcPr>
          <w:p>
            <w:pPr/>
          </w:p>
        </w:tc>
        <w:tc>
          <w:tcPr>
            <w:tcW w:w="1436"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Pr>
                <w:sz w:val="20"/>
              </w:rPr>
            </w:pPr>
            <w:r>
              <w:rPr>
                <w:sz w:val="20"/>
              </w:rPr>
              <w:t>03408646574</w:t>
            </w:r>
          </w:p>
        </w:tc>
        <w:tc>
          <w:tcPr>
            <w:tcW w:w="1368" w:type="dxa"/>
            <w:tcBorders>
              <w:top w:val="single" w:sz="4" w:space="0" w:color="000000"/>
              <w:left w:val="single" w:sz="4" w:space="0" w:color="000000"/>
              <w:bottom w:val="single" w:sz="4" w:space="0" w:color="000000"/>
            </w:tcBorders>
          </w:tcPr>
          <w:p>
            <w:pPr>
              <w:pStyle w:val="TableParagraph"/>
              <w:spacing w:before="40"/>
              <w:ind w:right="227"/>
              <w:jc w:val="right"/>
              <w:rPr>
                <w:sz w:val="20"/>
              </w:rPr>
            </w:pPr>
            <w:r>
              <w:rPr>
                <w:sz w:val="20"/>
              </w:rPr>
              <w:t>48,000</w:t>
            </w:r>
          </w:p>
        </w:tc>
      </w:tr>
      <w:tr>
        <w:trPr>
          <w:trHeight w:val="329" w:hRule="exact"/>
        </w:trPr>
        <w:tc>
          <w:tcPr>
            <w:tcW w:w="497" w:type="dxa"/>
            <w:tcBorders>
              <w:top w:val="single" w:sz="4" w:space="0" w:color="000000"/>
              <w:right w:val="single" w:sz="4" w:space="0" w:color="000000"/>
            </w:tcBorders>
          </w:tcPr>
          <w:p>
            <w:pPr>
              <w:pStyle w:val="TableParagraph"/>
              <w:spacing w:before="42"/>
              <w:ind w:right="132"/>
              <w:jc w:val="right"/>
              <w:rPr>
                <w:sz w:val="20"/>
              </w:rPr>
            </w:pPr>
            <w:r>
              <w:rPr>
                <w:sz w:val="20"/>
              </w:rPr>
              <w:t>84</w:t>
            </w:r>
          </w:p>
        </w:tc>
        <w:tc>
          <w:tcPr>
            <w:tcW w:w="612" w:type="dxa"/>
            <w:tcBorders>
              <w:top w:val="single" w:sz="4" w:space="0" w:color="000000"/>
              <w:left w:val="single" w:sz="4" w:space="0" w:color="000000"/>
              <w:right w:val="single" w:sz="4" w:space="0" w:color="000000"/>
            </w:tcBorders>
          </w:tcPr>
          <w:p>
            <w:pPr>
              <w:pStyle w:val="TableParagraph"/>
              <w:spacing w:before="42"/>
              <w:ind w:right="244"/>
              <w:jc w:val="right"/>
              <w:rPr>
                <w:sz w:val="20"/>
              </w:rPr>
            </w:pPr>
            <w:r>
              <w:rPr>
                <w:w w:val="99"/>
                <w:sz w:val="20"/>
              </w:rPr>
              <w:t>5</w:t>
            </w:r>
          </w:p>
        </w:tc>
        <w:tc>
          <w:tcPr>
            <w:tcW w:w="1049" w:type="dxa"/>
            <w:tcBorders>
              <w:top w:val="single" w:sz="4" w:space="0" w:color="000000"/>
              <w:left w:val="single" w:sz="4" w:space="0" w:color="000000"/>
              <w:right w:val="single" w:sz="4" w:space="0" w:color="000000"/>
            </w:tcBorders>
          </w:tcPr>
          <w:p>
            <w:pPr>
              <w:pStyle w:val="TableParagraph"/>
              <w:spacing w:before="42"/>
              <w:ind w:left="52" w:right="57"/>
              <w:jc w:val="center"/>
              <w:rPr>
                <w:sz w:val="20"/>
              </w:rPr>
            </w:pPr>
            <w:r>
              <w:rPr>
                <w:sz w:val="20"/>
              </w:rPr>
              <w:t>24 50.934</w:t>
            </w:r>
          </w:p>
        </w:tc>
        <w:tc>
          <w:tcPr>
            <w:tcW w:w="1135" w:type="dxa"/>
            <w:tcBorders>
              <w:top w:val="single" w:sz="4" w:space="0" w:color="000000"/>
              <w:left w:val="single" w:sz="4" w:space="0" w:color="000000"/>
              <w:right w:val="single" w:sz="4" w:space="0" w:color="000000"/>
            </w:tcBorders>
          </w:tcPr>
          <w:p>
            <w:pPr>
              <w:pStyle w:val="TableParagraph"/>
              <w:spacing w:before="42"/>
              <w:ind w:left="97" w:right="97"/>
              <w:jc w:val="center"/>
              <w:rPr>
                <w:sz w:val="20"/>
              </w:rPr>
            </w:pPr>
            <w:r>
              <w:rPr>
                <w:sz w:val="20"/>
              </w:rPr>
              <w:t>67 03.258</w:t>
            </w:r>
          </w:p>
        </w:tc>
        <w:tc>
          <w:tcPr>
            <w:tcW w:w="2091" w:type="dxa"/>
            <w:tcBorders>
              <w:top w:val="single" w:sz="4" w:space="0" w:color="000000"/>
              <w:left w:val="single" w:sz="4" w:space="0" w:color="000000"/>
              <w:right w:val="single" w:sz="4" w:space="0" w:color="000000"/>
            </w:tcBorders>
          </w:tcPr>
          <w:p>
            <w:pPr>
              <w:pStyle w:val="TableParagraph"/>
              <w:spacing w:before="42"/>
              <w:ind w:left="52"/>
              <w:rPr>
                <w:sz w:val="20"/>
              </w:rPr>
            </w:pPr>
            <w:r>
              <w:rPr>
                <w:sz w:val="20"/>
              </w:rPr>
              <w:t>Khalil ur Rahman</w:t>
            </w:r>
          </w:p>
        </w:tc>
        <w:tc>
          <w:tcPr>
            <w:tcW w:w="2004" w:type="dxa"/>
            <w:tcBorders>
              <w:top w:val="single" w:sz="4" w:space="0" w:color="000000"/>
              <w:left w:val="single" w:sz="4" w:space="0" w:color="000000"/>
              <w:right w:val="single" w:sz="4" w:space="0" w:color="000000"/>
            </w:tcBorders>
          </w:tcPr>
          <w:p>
            <w:pPr>
              <w:pStyle w:val="TableParagraph"/>
              <w:spacing w:before="42"/>
              <w:ind w:left="52"/>
              <w:rPr>
                <w:sz w:val="20"/>
              </w:rPr>
            </w:pPr>
            <w:r>
              <w:rPr>
                <w:sz w:val="20"/>
              </w:rPr>
              <w:t>Muhammad Afzal</w:t>
            </w:r>
          </w:p>
        </w:tc>
        <w:tc>
          <w:tcPr>
            <w:tcW w:w="1755" w:type="dxa"/>
            <w:tcBorders>
              <w:top w:val="single" w:sz="4" w:space="0" w:color="000000"/>
              <w:left w:val="single" w:sz="4" w:space="0" w:color="000000"/>
              <w:right w:val="single" w:sz="4" w:space="0" w:color="000000"/>
            </w:tcBorders>
          </w:tcPr>
          <w:p>
            <w:pPr>
              <w:pStyle w:val="TableParagraph"/>
              <w:spacing w:before="42"/>
              <w:ind w:left="53"/>
              <w:rPr>
                <w:sz w:val="20"/>
              </w:rPr>
            </w:pPr>
            <w:r>
              <w:rPr>
                <w:sz w:val="20"/>
              </w:rPr>
              <w:t>Bashir</w:t>
            </w:r>
          </w:p>
        </w:tc>
        <w:tc>
          <w:tcPr>
            <w:tcW w:w="1692" w:type="dxa"/>
            <w:tcBorders>
              <w:top w:val="single" w:sz="4" w:space="0" w:color="000000"/>
              <w:left w:val="single" w:sz="4" w:space="0" w:color="000000"/>
              <w:right w:val="single" w:sz="4" w:space="0" w:color="000000"/>
            </w:tcBorders>
          </w:tcPr>
          <w:p>
            <w:pPr/>
          </w:p>
        </w:tc>
        <w:tc>
          <w:tcPr>
            <w:tcW w:w="1436" w:type="dxa"/>
            <w:tcBorders>
              <w:top w:val="single" w:sz="4" w:space="0" w:color="000000"/>
              <w:left w:val="single" w:sz="4" w:space="0" w:color="000000"/>
              <w:right w:val="single" w:sz="4" w:space="0" w:color="000000"/>
            </w:tcBorders>
          </w:tcPr>
          <w:p>
            <w:pPr/>
          </w:p>
        </w:tc>
        <w:tc>
          <w:tcPr>
            <w:tcW w:w="1368" w:type="dxa"/>
            <w:tcBorders>
              <w:top w:val="single" w:sz="4" w:space="0" w:color="000000"/>
              <w:left w:val="single" w:sz="4" w:space="0" w:color="000000"/>
            </w:tcBorders>
          </w:tcPr>
          <w:p>
            <w:pPr>
              <w:pStyle w:val="TableParagraph"/>
              <w:spacing w:before="42"/>
              <w:ind w:right="227"/>
              <w:jc w:val="right"/>
              <w:rPr>
                <w:sz w:val="20"/>
              </w:rPr>
            </w:pPr>
            <w:r>
              <w:rPr>
                <w:sz w:val="20"/>
              </w:rPr>
              <w:t>48,000</w:t>
            </w:r>
          </w:p>
        </w:tc>
      </w:tr>
    </w:tbl>
    <w:p>
      <w:pPr>
        <w:spacing w:after="0"/>
        <w:jc w:val="right"/>
        <w:rPr>
          <w:sz w:val="20"/>
        </w:rPr>
        <w:sectPr>
          <w:pgSz w:w="16840" w:h="11910" w:orient="landscape"/>
          <w:pgMar w:header="583" w:footer="575" w:top="840" w:bottom="760" w:left="860" w:right="12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6"/>
        </w:rPr>
      </w:pPr>
    </w:p>
    <w:tbl>
      <w:tblPr>
        <w:tblW w:w="0" w:type="auto"/>
        <w:jc w:val="left"/>
        <w:tblInd w:w="90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97"/>
        <w:gridCol w:w="612"/>
        <w:gridCol w:w="1049"/>
        <w:gridCol w:w="1135"/>
        <w:gridCol w:w="2091"/>
        <w:gridCol w:w="2004"/>
        <w:gridCol w:w="1755"/>
        <w:gridCol w:w="1692"/>
        <w:gridCol w:w="1436"/>
        <w:gridCol w:w="1368"/>
      </w:tblGrid>
      <w:tr>
        <w:trPr>
          <w:trHeight w:val="331" w:hRule="exact"/>
        </w:trPr>
        <w:tc>
          <w:tcPr>
            <w:tcW w:w="497" w:type="dxa"/>
            <w:vMerge w:val="restart"/>
            <w:tcBorders>
              <w:right w:val="single" w:sz="4" w:space="0" w:color="000000"/>
            </w:tcBorders>
            <w:shd w:val="clear" w:color="auto" w:fill="D9D9D9"/>
          </w:tcPr>
          <w:p>
            <w:pPr>
              <w:pStyle w:val="TableParagraph"/>
              <w:spacing w:before="0"/>
              <w:rPr>
                <w:rFonts w:ascii="Times New Roman"/>
                <w:sz w:val="22"/>
              </w:rPr>
            </w:pPr>
          </w:p>
          <w:p>
            <w:pPr>
              <w:pStyle w:val="TableParagraph"/>
              <w:spacing w:before="133"/>
              <w:ind w:left="50"/>
              <w:rPr>
                <w:b/>
                <w:sz w:val="20"/>
              </w:rPr>
            </w:pPr>
            <w:r>
              <w:rPr>
                <w:b/>
                <w:sz w:val="20"/>
              </w:rPr>
              <w:t>ID #</w:t>
            </w:r>
          </w:p>
        </w:tc>
        <w:tc>
          <w:tcPr>
            <w:tcW w:w="612" w:type="dxa"/>
            <w:vMerge w:val="restart"/>
            <w:tcBorders>
              <w:left w:val="single" w:sz="4" w:space="0" w:color="000000"/>
              <w:right w:val="single" w:sz="4" w:space="0" w:color="000000"/>
            </w:tcBorders>
            <w:shd w:val="clear" w:color="auto" w:fill="D9D9D9"/>
            <w:textDirection w:val="btLr"/>
          </w:tcPr>
          <w:p>
            <w:pPr>
              <w:pStyle w:val="TableParagraph"/>
              <w:spacing w:line="244" w:lineRule="auto" w:before="95"/>
              <w:ind w:left="112" w:right="216"/>
              <w:rPr>
                <w:b/>
                <w:sz w:val="20"/>
              </w:rPr>
            </w:pPr>
            <w:r>
              <w:rPr>
                <w:b/>
                <w:spacing w:val="-1"/>
                <w:w w:val="99"/>
                <w:sz w:val="20"/>
              </w:rPr>
              <w:t>S</w:t>
            </w:r>
            <w:r>
              <w:rPr>
                <w:b/>
                <w:w w:val="99"/>
                <w:sz w:val="20"/>
              </w:rPr>
              <w:t>egm</w:t>
            </w:r>
            <w:r>
              <w:rPr>
                <w:b/>
                <w:w w:val="99"/>
                <w:sz w:val="20"/>
              </w:rPr>
              <w:t>e </w:t>
            </w:r>
            <w:r>
              <w:rPr>
                <w:b/>
                <w:w w:val="99"/>
                <w:sz w:val="20"/>
              </w:rPr>
              <w:t>n</w:t>
            </w:r>
            <w:r>
              <w:rPr>
                <w:b/>
                <w:w w:val="99"/>
                <w:sz w:val="20"/>
              </w:rPr>
              <w:t>t</w:t>
            </w:r>
            <w:r>
              <w:rPr>
                <w:b/>
                <w:sz w:val="20"/>
              </w:rPr>
              <w:t> </w:t>
            </w:r>
            <w:r>
              <w:rPr>
                <w:b/>
                <w:w w:val="99"/>
                <w:sz w:val="20"/>
              </w:rPr>
              <w:t>No</w:t>
            </w:r>
            <w:r>
              <w:rPr>
                <w:b/>
                <w:w w:val="99"/>
                <w:sz w:val="20"/>
              </w:rPr>
              <w:t>.</w:t>
            </w:r>
          </w:p>
        </w:tc>
        <w:tc>
          <w:tcPr>
            <w:tcW w:w="2184" w:type="dxa"/>
            <w:gridSpan w:val="2"/>
            <w:tcBorders>
              <w:left w:val="single" w:sz="4" w:space="0" w:color="000000"/>
              <w:bottom w:val="single" w:sz="4" w:space="0" w:color="000000"/>
              <w:right w:val="single" w:sz="4" w:space="0" w:color="000000"/>
            </w:tcBorders>
            <w:shd w:val="clear" w:color="auto" w:fill="D9D9D9"/>
          </w:tcPr>
          <w:p>
            <w:pPr>
              <w:pStyle w:val="TableParagraph"/>
              <w:spacing w:before="40"/>
              <w:ind w:left="501"/>
              <w:rPr>
                <w:b/>
                <w:sz w:val="20"/>
              </w:rPr>
            </w:pPr>
            <w:r>
              <w:rPr>
                <w:b/>
                <w:sz w:val="20"/>
              </w:rPr>
              <w:t>Coordinates</w:t>
            </w:r>
          </w:p>
        </w:tc>
        <w:tc>
          <w:tcPr>
            <w:tcW w:w="2091" w:type="dxa"/>
            <w:vMerge w:val="restart"/>
            <w:tcBorders>
              <w:left w:val="single" w:sz="4" w:space="0" w:color="000000"/>
              <w:right w:val="single" w:sz="4" w:space="0" w:color="000000"/>
            </w:tcBorders>
            <w:shd w:val="clear" w:color="auto" w:fill="D9D9D9"/>
          </w:tcPr>
          <w:p>
            <w:pPr>
              <w:pStyle w:val="TableParagraph"/>
              <w:spacing w:before="0"/>
              <w:rPr>
                <w:rFonts w:ascii="Times New Roman"/>
                <w:sz w:val="22"/>
              </w:rPr>
            </w:pPr>
          </w:p>
          <w:p>
            <w:pPr>
              <w:pStyle w:val="TableParagraph"/>
              <w:spacing w:before="133"/>
              <w:ind w:left="430"/>
              <w:rPr>
                <w:b/>
                <w:sz w:val="20"/>
              </w:rPr>
            </w:pPr>
            <w:r>
              <w:rPr>
                <w:b/>
                <w:sz w:val="20"/>
              </w:rPr>
              <w:t>Owner Name</w:t>
            </w:r>
          </w:p>
        </w:tc>
        <w:tc>
          <w:tcPr>
            <w:tcW w:w="2004" w:type="dxa"/>
            <w:vMerge w:val="restart"/>
            <w:tcBorders>
              <w:left w:val="single" w:sz="4" w:space="0" w:color="000000"/>
              <w:right w:val="single" w:sz="4" w:space="0" w:color="000000"/>
            </w:tcBorders>
            <w:shd w:val="clear" w:color="auto" w:fill="D9D9D9"/>
          </w:tcPr>
          <w:p>
            <w:pPr>
              <w:pStyle w:val="TableParagraph"/>
              <w:spacing w:before="0"/>
              <w:rPr>
                <w:rFonts w:ascii="Times New Roman"/>
                <w:sz w:val="22"/>
              </w:rPr>
            </w:pPr>
          </w:p>
          <w:p>
            <w:pPr>
              <w:pStyle w:val="TableParagraph"/>
              <w:spacing w:before="133"/>
              <w:ind w:left="307"/>
              <w:rPr>
                <w:b/>
                <w:sz w:val="20"/>
              </w:rPr>
            </w:pPr>
            <w:r>
              <w:rPr>
                <w:b/>
                <w:sz w:val="20"/>
              </w:rPr>
              <w:t>Father’s Name</w:t>
            </w:r>
          </w:p>
        </w:tc>
        <w:tc>
          <w:tcPr>
            <w:tcW w:w="1755" w:type="dxa"/>
            <w:vMerge w:val="restart"/>
            <w:tcBorders>
              <w:left w:val="single" w:sz="4" w:space="0" w:color="000000"/>
              <w:right w:val="single" w:sz="4" w:space="0" w:color="000000"/>
            </w:tcBorders>
            <w:shd w:val="clear" w:color="auto" w:fill="D9D9D9"/>
          </w:tcPr>
          <w:p>
            <w:pPr>
              <w:pStyle w:val="TableParagraph"/>
              <w:spacing w:before="3"/>
              <w:rPr>
                <w:rFonts w:ascii="Times New Roman"/>
                <w:sz w:val="23"/>
              </w:rPr>
            </w:pPr>
          </w:p>
          <w:p>
            <w:pPr>
              <w:pStyle w:val="TableParagraph"/>
              <w:spacing w:line="242" w:lineRule="auto" w:before="1"/>
              <w:ind w:left="598" w:hanging="281"/>
              <w:rPr>
                <w:b/>
                <w:sz w:val="20"/>
              </w:rPr>
            </w:pPr>
            <w:r>
              <w:rPr>
                <w:b/>
                <w:w w:val="95"/>
                <w:sz w:val="20"/>
              </w:rPr>
              <w:t>Employee’s </w:t>
            </w:r>
            <w:r>
              <w:rPr>
                <w:b/>
                <w:sz w:val="20"/>
              </w:rPr>
              <w:t>Name</w:t>
            </w:r>
          </w:p>
        </w:tc>
        <w:tc>
          <w:tcPr>
            <w:tcW w:w="1692" w:type="dxa"/>
            <w:vMerge w:val="restart"/>
            <w:tcBorders>
              <w:left w:val="single" w:sz="4" w:space="0" w:color="000000"/>
              <w:right w:val="single" w:sz="4" w:space="0" w:color="000000"/>
            </w:tcBorders>
            <w:shd w:val="clear" w:color="auto" w:fill="D9D9D9"/>
          </w:tcPr>
          <w:p>
            <w:pPr>
              <w:pStyle w:val="TableParagraph"/>
              <w:spacing w:before="0"/>
              <w:rPr>
                <w:rFonts w:ascii="Times New Roman"/>
                <w:sz w:val="22"/>
              </w:rPr>
            </w:pPr>
          </w:p>
          <w:p>
            <w:pPr>
              <w:pStyle w:val="TableParagraph"/>
              <w:spacing w:before="133"/>
              <w:ind w:left="408"/>
              <w:rPr>
                <w:b/>
                <w:sz w:val="20"/>
              </w:rPr>
            </w:pPr>
            <w:r>
              <w:rPr>
                <w:b/>
                <w:sz w:val="20"/>
              </w:rPr>
              <w:t>CNIC No.</w:t>
            </w:r>
          </w:p>
        </w:tc>
        <w:tc>
          <w:tcPr>
            <w:tcW w:w="1436" w:type="dxa"/>
            <w:vMerge w:val="restart"/>
            <w:tcBorders>
              <w:left w:val="single" w:sz="4" w:space="0" w:color="000000"/>
              <w:right w:val="single" w:sz="4" w:space="0" w:color="000000"/>
            </w:tcBorders>
            <w:shd w:val="clear" w:color="auto" w:fill="D9D9D9"/>
          </w:tcPr>
          <w:p>
            <w:pPr>
              <w:pStyle w:val="TableParagraph"/>
              <w:spacing w:before="0"/>
              <w:rPr>
                <w:rFonts w:ascii="Times New Roman"/>
                <w:sz w:val="22"/>
              </w:rPr>
            </w:pPr>
          </w:p>
          <w:p>
            <w:pPr>
              <w:pStyle w:val="TableParagraph"/>
              <w:spacing w:before="133"/>
              <w:ind w:left="206"/>
              <w:rPr>
                <w:b/>
                <w:sz w:val="20"/>
              </w:rPr>
            </w:pPr>
            <w:r>
              <w:rPr>
                <w:b/>
                <w:sz w:val="20"/>
              </w:rPr>
              <w:t>Mobile No.</w:t>
            </w:r>
          </w:p>
        </w:tc>
        <w:tc>
          <w:tcPr>
            <w:tcW w:w="1368" w:type="dxa"/>
            <w:vMerge w:val="restart"/>
            <w:tcBorders>
              <w:left w:val="single" w:sz="4" w:space="0" w:color="000000"/>
            </w:tcBorders>
            <w:shd w:val="clear" w:color="auto" w:fill="D9D9D9"/>
          </w:tcPr>
          <w:p>
            <w:pPr>
              <w:pStyle w:val="TableParagraph"/>
              <w:spacing w:line="242" w:lineRule="auto" w:before="38"/>
              <w:ind w:left="88" w:right="80"/>
              <w:jc w:val="center"/>
              <w:rPr>
                <w:b/>
                <w:sz w:val="20"/>
              </w:rPr>
            </w:pPr>
            <w:r>
              <w:rPr>
                <w:b/>
                <w:w w:val="95"/>
                <w:sz w:val="20"/>
              </w:rPr>
              <w:t>Employment </w:t>
            </w:r>
            <w:r>
              <w:rPr>
                <w:b/>
                <w:sz w:val="20"/>
              </w:rPr>
              <w:t>Loss Allowance (PKR)</w:t>
            </w:r>
          </w:p>
        </w:tc>
      </w:tr>
      <w:tr>
        <w:trPr>
          <w:trHeight w:val="689" w:hRule="exact"/>
        </w:trPr>
        <w:tc>
          <w:tcPr>
            <w:tcW w:w="497" w:type="dxa"/>
            <w:vMerge/>
            <w:tcBorders>
              <w:bottom w:val="single" w:sz="4" w:space="0" w:color="000000"/>
              <w:right w:val="single" w:sz="4" w:space="0" w:color="000000"/>
            </w:tcBorders>
            <w:shd w:val="clear" w:color="auto" w:fill="D9D9D9"/>
          </w:tcPr>
          <w:p>
            <w:pPr/>
          </w:p>
        </w:tc>
        <w:tc>
          <w:tcPr>
            <w:tcW w:w="612" w:type="dxa"/>
            <w:vMerge/>
            <w:tcBorders>
              <w:left w:val="single" w:sz="4" w:space="0" w:color="000000"/>
              <w:bottom w:val="single" w:sz="4" w:space="0" w:color="000000"/>
              <w:right w:val="single" w:sz="4" w:space="0" w:color="000000"/>
            </w:tcBorders>
            <w:shd w:val="clear" w:color="auto" w:fill="D9D9D9"/>
            <w:textDirection w:val="btLr"/>
          </w:tcPr>
          <w:p>
            <w:pPr/>
          </w:p>
        </w:tc>
        <w:tc>
          <w:tcPr>
            <w:tcW w:w="1049"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6"/>
              <w:rPr>
                <w:rFonts w:ascii="Times New Roman"/>
                <w:sz w:val="19"/>
              </w:rPr>
            </w:pPr>
          </w:p>
          <w:p>
            <w:pPr>
              <w:pStyle w:val="TableParagraph"/>
              <w:spacing w:before="0"/>
              <w:ind w:left="52" w:right="56"/>
              <w:jc w:val="center"/>
              <w:rPr>
                <w:b/>
                <w:sz w:val="20"/>
              </w:rPr>
            </w:pPr>
            <w:r>
              <w:rPr>
                <w:b/>
                <w:sz w:val="20"/>
              </w:rPr>
              <w:t>Northing</w:t>
            </w:r>
          </w:p>
        </w:tc>
        <w:tc>
          <w:tcPr>
            <w:tcW w:w="1135"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6"/>
              <w:rPr>
                <w:rFonts w:ascii="Times New Roman"/>
                <w:sz w:val="19"/>
              </w:rPr>
            </w:pPr>
          </w:p>
          <w:p>
            <w:pPr>
              <w:pStyle w:val="TableParagraph"/>
              <w:spacing w:before="0"/>
              <w:ind w:left="96" w:right="97"/>
              <w:jc w:val="center"/>
              <w:rPr>
                <w:b/>
                <w:sz w:val="20"/>
              </w:rPr>
            </w:pPr>
            <w:r>
              <w:rPr>
                <w:b/>
                <w:sz w:val="20"/>
              </w:rPr>
              <w:t>Easting</w:t>
            </w:r>
          </w:p>
        </w:tc>
        <w:tc>
          <w:tcPr>
            <w:tcW w:w="2091" w:type="dxa"/>
            <w:vMerge/>
            <w:tcBorders>
              <w:left w:val="single" w:sz="4" w:space="0" w:color="000000"/>
              <w:bottom w:val="single" w:sz="4" w:space="0" w:color="000000"/>
              <w:right w:val="single" w:sz="4" w:space="0" w:color="000000"/>
            </w:tcBorders>
            <w:shd w:val="clear" w:color="auto" w:fill="D9D9D9"/>
          </w:tcPr>
          <w:p>
            <w:pPr/>
          </w:p>
        </w:tc>
        <w:tc>
          <w:tcPr>
            <w:tcW w:w="2004" w:type="dxa"/>
            <w:vMerge/>
            <w:tcBorders>
              <w:left w:val="single" w:sz="4" w:space="0" w:color="000000"/>
              <w:bottom w:val="single" w:sz="4" w:space="0" w:color="000000"/>
              <w:right w:val="single" w:sz="4" w:space="0" w:color="000000"/>
            </w:tcBorders>
            <w:shd w:val="clear" w:color="auto" w:fill="D9D9D9"/>
          </w:tcPr>
          <w:p>
            <w:pPr/>
          </w:p>
        </w:tc>
        <w:tc>
          <w:tcPr>
            <w:tcW w:w="1755" w:type="dxa"/>
            <w:vMerge/>
            <w:tcBorders>
              <w:left w:val="single" w:sz="4" w:space="0" w:color="000000"/>
              <w:bottom w:val="single" w:sz="4" w:space="0" w:color="000000"/>
              <w:right w:val="single" w:sz="4" w:space="0" w:color="000000"/>
            </w:tcBorders>
            <w:shd w:val="clear" w:color="auto" w:fill="D9D9D9"/>
          </w:tcPr>
          <w:p>
            <w:pPr/>
          </w:p>
        </w:tc>
        <w:tc>
          <w:tcPr>
            <w:tcW w:w="1692" w:type="dxa"/>
            <w:vMerge/>
            <w:tcBorders>
              <w:left w:val="single" w:sz="4" w:space="0" w:color="000000"/>
              <w:bottom w:val="single" w:sz="4" w:space="0" w:color="000000"/>
              <w:right w:val="single" w:sz="4" w:space="0" w:color="000000"/>
            </w:tcBorders>
            <w:shd w:val="clear" w:color="auto" w:fill="D9D9D9"/>
          </w:tcPr>
          <w:p>
            <w:pPr/>
          </w:p>
        </w:tc>
        <w:tc>
          <w:tcPr>
            <w:tcW w:w="1436" w:type="dxa"/>
            <w:vMerge/>
            <w:tcBorders>
              <w:left w:val="single" w:sz="4" w:space="0" w:color="000000"/>
              <w:bottom w:val="single" w:sz="4" w:space="0" w:color="000000"/>
              <w:right w:val="single" w:sz="4" w:space="0" w:color="000000"/>
            </w:tcBorders>
            <w:shd w:val="clear" w:color="auto" w:fill="D9D9D9"/>
          </w:tcPr>
          <w:p>
            <w:pPr/>
          </w:p>
        </w:tc>
        <w:tc>
          <w:tcPr>
            <w:tcW w:w="1368" w:type="dxa"/>
            <w:vMerge/>
            <w:tcBorders>
              <w:left w:val="single" w:sz="4" w:space="0" w:color="000000"/>
              <w:bottom w:val="single" w:sz="4" w:space="0" w:color="000000"/>
            </w:tcBorders>
            <w:shd w:val="clear" w:color="auto" w:fill="D9D9D9"/>
          </w:tcPr>
          <w:p>
            <w:pPr/>
          </w:p>
        </w:tc>
      </w:tr>
      <w:tr>
        <w:trPr>
          <w:trHeight w:val="319" w:hRule="exact"/>
        </w:trPr>
        <w:tc>
          <w:tcPr>
            <w:tcW w:w="497" w:type="dxa"/>
            <w:tcBorders>
              <w:top w:val="single" w:sz="4" w:space="0" w:color="000000"/>
              <w:bottom w:val="single" w:sz="4" w:space="0" w:color="000000"/>
              <w:right w:val="single" w:sz="4" w:space="0" w:color="000000"/>
            </w:tcBorders>
          </w:tcPr>
          <w:p>
            <w:pPr>
              <w:pStyle w:val="TableParagraph"/>
              <w:spacing w:before="40"/>
              <w:ind w:right="132"/>
              <w:jc w:val="right"/>
              <w:rPr>
                <w:sz w:val="20"/>
              </w:rPr>
            </w:pPr>
            <w:r>
              <w:rPr>
                <w:sz w:val="20"/>
              </w:rPr>
              <w:t>84</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40"/>
              <w:ind w:right="244"/>
              <w:jc w:val="right"/>
              <w:rPr>
                <w:sz w:val="20"/>
              </w:rPr>
            </w:pPr>
            <w:r>
              <w:rPr>
                <w:w w:val="99"/>
                <w:sz w:val="20"/>
              </w:rPr>
              <w:t>5</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ight="57"/>
              <w:jc w:val="center"/>
              <w:rPr>
                <w:sz w:val="20"/>
              </w:rPr>
            </w:pPr>
            <w:r>
              <w:rPr>
                <w:sz w:val="20"/>
              </w:rPr>
              <w:t>24 50.934</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40"/>
              <w:ind w:left="97" w:right="97"/>
              <w:jc w:val="center"/>
              <w:rPr>
                <w:sz w:val="20"/>
              </w:rPr>
            </w:pPr>
            <w:r>
              <w:rPr>
                <w:sz w:val="20"/>
              </w:rPr>
              <w:t>67 03.258</w:t>
            </w:r>
          </w:p>
        </w:tc>
        <w:tc>
          <w:tcPr>
            <w:tcW w:w="2091"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Pr>
                <w:sz w:val="20"/>
              </w:rPr>
            </w:pPr>
            <w:r>
              <w:rPr>
                <w:sz w:val="20"/>
              </w:rPr>
              <w:t>Khalil ur Rahman</w:t>
            </w:r>
          </w:p>
        </w:tc>
        <w:tc>
          <w:tcPr>
            <w:tcW w:w="2004" w:type="dxa"/>
            <w:tcBorders>
              <w:top w:val="single" w:sz="4" w:space="0" w:color="000000"/>
              <w:left w:val="single" w:sz="4" w:space="0" w:color="000000"/>
              <w:bottom w:val="single" w:sz="4" w:space="0" w:color="000000"/>
              <w:right w:val="single" w:sz="4" w:space="0" w:color="000000"/>
            </w:tcBorders>
          </w:tcPr>
          <w:p>
            <w:pPr>
              <w:pStyle w:val="TableParagraph"/>
              <w:spacing w:before="40"/>
              <w:ind w:left="52"/>
              <w:rPr>
                <w:sz w:val="20"/>
              </w:rPr>
            </w:pPr>
            <w:r>
              <w:rPr>
                <w:sz w:val="20"/>
              </w:rPr>
              <w:t>Muhammad Afzal</w:t>
            </w:r>
          </w:p>
        </w:tc>
        <w:tc>
          <w:tcPr>
            <w:tcW w:w="1755" w:type="dxa"/>
            <w:tcBorders>
              <w:top w:val="single" w:sz="4" w:space="0" w:color="000000"/>
              <w:left w:val="single" w:sz="4" w:space="0" w:color="000000"/>
              <w:bottom w:val="single" w:sz="4" w:space="0" w:color="000000"/>
              <w:right w:val="single" w:sz="4" w:space="0" w:color="000000"/>
            </w:tcBorders>
          </w:tcPr>
          <w:p>
            <w:pPr>
              <w:pStyle w:val="TableParagraph"/>
              <w:spacing w:before="40"/>
              <w:ind w:left="53"/>
              <w:rPr>
                <w:sz w:val="20"/>
              </w:rPr>
            </w:pPr>
            <w:r>
              <w:rPr>
                <w:sz w:val="20"/>
              </w:rPr>
              <w:t>Ghulam Nabi</w:t>
            </w:r>
          </w:p>
        </w:tc>
        <w:tc>
          <w:tcPr>
            <w:tcW w:w="1692" w:type="dxa"/>
            <w:tcBorders>
              <w:top w:val="single" w:sz="4" w:space="0" w:color="000000"/>
              <w:left w:val="single" w:sz="4" w:space="0" w:color="000000"/>
              <w:bottom w:val="single" w:sz="4" w:space="0" w:color="000000"/>
              <w:right w:val="single" w:sz="4" w:space="0" w:color="000000"/>
            </w:tcBorders>
          </w:tcPr>
          <w:p>
            <w:pPr/>
          </w:p>
        </w:tc>
        <w:tc>
          <w:tcPr>
            <w:tcW w:w="1436" w:type="dxa"/>
            <w:tcBorders>
              <w:top w:val="single" w:sz="4" w:space="0" w:color="000000"/>
              <w:left w:val="single" w:sz="4" w:space="0" w:color="000000"/>
              <w:bottom w:val="single" w:sz="4" w:space="0" w:color="000000"/>
              <w:right w:val="single" w:sz="4" w:space="0" w:color="000000"/>
            </w:tcBorders>
          </w:tcPr>
          <w:p>
            <w:pPr/>
          </w:p>
        </w:tc>
        <w:tc>
          <w:tcPr>
            <w:tcW w:w="1368" w:type="dxa"/>
            <w:tcBorders>
              <w:top w:val="single" w:sz="4" w:space="0" w:color="000000"/>
              <w:left w:val="single" w:sz="4" w:space="0" w:color="000000"/>
              <w:bottom w:val="single" w:sz="4" w:space="0" w:color="000000"/>
            </w:tcBorders>
          </w:tcPr>
          <w:p>
            <w:pPr>
              <w:pStyle w:val="TableParagraph"/>
              <w:spacing w:before="40"/>
              <w:ind w:right="227"/>
              <w:jc w:val="right"/>
              <w:rPr>
                <w:sz w:val="20"/>
              </w:rPr>
            </w:pPr>
            <w:r>
              <w:rPr>
                <w:sz w:val="20"/>
              </w:rPr>
              <w:t>48,000</w:t>
            </w:r>
          </w:p>
        </w:tc>
      </w:tr>
      <w:tr>
        <w:trPr>
          <w:trHeight w:val="322" w:hRule="exact"/>
        </w:trPr>
        <w:tc>
          <w:tcPr>
            <w:tcW w:w="497" w:type="dxa"/>
            <w:tcBorders>
              <w:top w:val="single" w:sz="4" w:space="0" w:color="000000"/>
              <w:bottom w:val="single" w:sz="4" w:space="0" w:color="000000"/>
              <w:right w:val="single" w:sz="4" w:space="0" w:color="000000"/>
            </w:tcBorders>
          </w:tcPr>
          <w:p>
            <w:pPr>
              <w:pStyle w:val="TableParagraph"/>
              <w:spacing w:before="43"/>
              <w:ind w:right="132"/>
              <w:jc w:val="right"/>
              <w:rPr>
                <w:sz w:val="20"/>
              </w:rPr>
            </w:pPr>
            <w:r>
              <w:rPr>
                <w:sz w:val="20"/>
              </w:rPr>
              <w:t>86</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43"/>
              <w:ind w:right="244"/>
              <w:jc w:val="right"/>
              <w:rPr>
                <w:sz w:val="20"/>
              </w:rPr>
            </w:pPr>
            <w:r>
              <w:rPr>
                <w:w w:val="99"/>
                <w:sz w:val="20"/>
              </w:rPr>
              <w:t>5</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43"/>
              <w:ind w:left="52" w:right="57"/>
              <w:jc w:val="center"/>
              <w:rPr>
                <w:sz w:val="20"/>
              </w:rPr>
            </w:pPr>
            <w:r>
              <w:rPr>
                <w:sz w:val="20"/>
              </w:rPr>
              <w:t>24 50.934</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43"/>
              <w:ind w:left="97" w:right="97"/>
              <w:jc w:val="center"/>
              <w:rPr>
                <w:sz w:val="20"/>
              </w:rPr>
            </w:pPr>
            <w:r>
              <w:rPr>
                <w:sz w:val="20"/>
              </w:rPr>
              <w:t>67 03.258</w:t>
            </w:r>
          </w:p>
        </w:tc>
        <w:tc>
          <w:tcPr>
            <w:tcW w:w="2091" w:type="dxa"/>
            <w:tcBorders>
              <w:top w:val="single" w:sz="4" w:space="0" w:color="000000"/>
              <w:left w:val="single" w:sz="4" w:space="0" w:color="000000"/>
              <w:bottom w:val="single" w:sz="4" w:space="0" w:color="000000"/>
              <w:right w:val="single" w:sz="4" w:space="0" w:color="000000"/>
            </w:tcBorders>
          </w:tcPr>
          <w:p>
            <w:pPr>
              <w:pStyle w:val="TableParagraph"/>
              <w:spacing w:before="43"/>
              <w:ind w:left="52"/>
              <w:rPr>
                <w:sz w:val="20"/>
              </w:rPr>
            </w:pPr>
            <w:r>
              <w:rPr>
                <w:sz w:val="20"/>
              </w:rPr>
              <w:t>Ayaz Ahmed</w:t>
            </w:r>
          </w:p>
        </w:tc>
        <w:tc>
          <w:tcPr>
            <w:tcW w:w="2004" w:type="dxa"/>
            <w:tcBorders>
              <w:top w:val="single" w:sz="4" w:space="0" w:color="000000"/>
              <w:left w:val="single" w:sz="4" w:space="0" w:color="000000"/>
              <w:bottom w:val="single" w:sz="4" w:space="0" w:color="000000"/>
              <w:right w:val="single" w:sz="4" w:space="0" w:color="000000"/>
            </w:tcBorders>
          </w:tcPr>
          <w:p>
            <w:pPr>
              <w:pStyle w:val="TableParagraph"/>
              <w:spacing w:before="43"/>
              <w:ind w:left="52"/>
              <w:rPr>
                <w:sz w:val="20"/>
              </w:rPr>
            </w:pPr>
            <w:r>
              <w:rPr>
                <w:sz w:val="20"/>
              </w:rPr>
              <w:t>Abdul Razzaq</w:t>
            </w:r>
          </w:p>
        </w:tc>
        <w:tc>
          <w:tcPr>
            <w:tcW w:w="1755" w:type="dxa"/>
            <w:tcBorders>
              <w:top w:val="single" w:sz="4" w:space="0" w:color="000000"/>
              <w:left w:val="single" w:sz="4" w:space="0" w:color="000000"/>
              <w:bottom w:val="single" w:sz="4" w:space="0" w:color="000000"/>
              <w:right w:val="single" w:sz="4" w:space="0" w:color="000000"/>
            </w:tcBorders>
          </w:tcPr>
          <w:p>
            <w:pPr>
              <w:pStyle w:val="TableParagraph"/>
              <w:spacing w:before="43"/>
              <w:ind w:left="53"/>
              <w:rPr>
                <w:sz w:val="20"/>
              </w:rPr>
            </w:pPr>
            <w:r>
              <w:rPr>
                <w:sz w:val="20"/>
              </w:rPr>
              <w:t>Saleem</w:t>
            </w:r>
          </w:p>
        </w:tc>
        <w:tc>
          <w:tcPr>
            <w:tcW w:w="1692" w:type="dxa"/>
            <w:tcBorders>
              <w:top w:val="single" w:sz="4" w:space="0" w:color="000000"/>
              <w:left w:val="single" w:sz="4" w:space="0" w:color="000000"/>
              <w:bottom w:val="single" w:sz="4" w:space="0" w:color="000000"/>
              <w:right w:val="single" w:sz="4" w:space="0" w:color="000000"/>
            </w:tcBorders>
          </w:tcPr>
          <w:p>
            <w:pPr/>
          </w:p>
        </w:tc>
        <w:tc>
          <w:tcPr>
            <w:tcW w:w="1436" w:type="dxa"/>
            <w:tcBorders>
              <w:top w:val="single" w:sz="4" w:space="0" w:color="000000"/>
              <w:left w:val="single" w:sz="4" w:space="0" w:color="000000"/>
              <w:bottom w:val="single" w:sz="4" w:space="0" w:color="000000"/>
              <w:right w:val="single" w:sz="4" w:space="0" w:color="000000"/>
            </w:tcBorders>
          </w:tcPr>
          <w:p>
            <w:pPr>
              <w:pStyle w:val="TableParagraph"/>
              <w:spacing w:before="43"/>
              <w:ind w:left="52"/>
              <w:rPr>
                <w:sz w:val="20"/>
              </w:rPr>
            </w:pPr>
            <w:r>
              <w:rPr>
                <w:sz w:val="20"/>
              </w:rPr>
              <w:t>03452865605</w:t>
            </w:r>
          </w:p>
        </w:tc>
        <w:tc>
          <w:tcPr>
            <w:tcW w:w="1368" w:type="dxa"/>
            <w:tcBorders>
              <w:top w:val="single" w:sz="4" w:space="0" w:color="000000"/>
              <w:left w:val="single" w:sz="4" w:space="0" w:color="000000"/>
              <w:bottom w:val="single" w:sz="4" w:space="0" w:color="000000"/>
            </w:tcBorders>
          </w:tcPr>
          <w:p>
            <w:pPr>
              <w:pStyle w:val="TableParagraph"/>
              <w:spacing w:before="43"/>
              <w:ind w:right="227"/>
              <w:jc w:val="right"/>
              <w:rPr>
                <w:sz w:val="20"/>
              </w:rPr>
            </w:pPr>
            <w:r>
              <w:rPr>
                <w:sz w:val="20"/>
              </w:rPr>
              <w:t>48,000</w:t>
            </w:r>
          </w:p>
        </w:tc>
      </w:tr>
      <w:tr>
        <w:trPr>
          <w:trHeight w:val="320" w:hRule="exact"/>
        </w:trPr>
        <w:tc>
          <w:tcPr>
            <w:tcW w:w="497" w:type="dxa"/>
            <w:tcBorders>
              <w:top w:val="single" w:sz="4" w:space="0" w:color="000000"/>
              <w:bottom w:val="single" w:sz="4" w:space="0" w:color="000000"/>
              <w:right w:val="single" w:sz="4" w:space="0" w:color="000000"/>
            </w:tcBorders>
          </w:tcPr>
          <w:p>
            <w:pPr>
              <w:pStyle w:val="TableParagraph"/>
              <w:spacing w:before="41"/>
              <w:ind w:right="132"/>
              <w:jc w:val="right"/>
              <w:rPr>
                <w:sz w:val="20"/>
              </w:rPr>
            </w:pPr>
            <w:r>
              <w:rPr>
                <w:sz w:val="20"/>
              </w:rPr>
              <w:t>86</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41"/>
              <w:ind w:right="244"/>
              <w:jc w:val="right"/>
              <w:rPr>
                <w:sz w:val="20"/>
              </w:rPr>
            </w:pPr>
            <w:r>
              <w:rPr>
                <w:w w:val="99"/>
                <w:sz w:val="20"/>
              </w:rPr>
              <w:t>5</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41"/>
              <w:ind w:left="52" w:right="57"/>
              <w:jc w:val="center"/>
              <w:rPr>
                <w:sz w:val="20"/>
              </w:rPr>
            </w:pPr>
            <w:r>
              <w:rPr>
                <w:sz w:val="20"/>
              </w:rPr>
              <w:t>24 50.934</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41"/>
              <w:ind w:left="97" w:right="97"/>
              <w:jc w:val="center"/>
              <w:rPr>
                <w:sz w:val="20"/>
              </w:rPr>
            </w:pPr>
            <w:r>
              <w:rPr>
                <w:sz w:val="20"/>
              </w:rPr>
              <w:t>67 03.258</w:t>
            </w:r>
          </w:p>
        </w:tc>
        <w:tc>
          <w:tcPr>
            <w:tcW w:w="2091" w:type="dxa"/>
            <w:tcBorders>
              <w:top w:val="single" w:sz="4" w:space="0" w:color="000000"/>
              <w:left w:val="single" w:sz="4" w:space="0" w:color="000000"/>
              <w:bottom w:val="single" w:sz="4" w:space="0" w:color="000000"/>
              <w:right w:val="single" w:sz="4" w:space="0" w:color="000000"/>
            </w:tcBorders>
          </w:tcPr>
          <w:p>
            <w:pPr>
              <w:pStyle w:val="TableParagraph"/>
              <w:spacing w:before="41"/>
              <w:ind w:left="52"/>
              <w:rPr>
                <w:sz w:val="20"/>
              </w:rPr>
            </w:pPr>
            <w:r>
              <w:rPr>
                <w:sz w:val="20"/>
              </w:rPr>
              <w:t>Ayaz Ahmed</w:t>
            </w:r>
          </w:p>
        </w:tc>
        <w:tc>
          <w:tcPr>
            <w:tcW w:w="2004" w:type="dxa"/>
            <w:tcBorders>
              <w:top w:val="single" w:sz="4" w:space="0" w:color="000000"/>
              <w:left w:val="single" w:sz="4" w:space="0" w:color="000000"/>
              <w:bottom w:val="single" w:sz="4" w:space="0" w:color="000000"/>
              <w:right w:val="single" w:sz="4" w:space="0" w:color="000000"/>
            </w:tcBorders>
          </w:tcPr>
          <w:p>
            <w:pPr>
              <w:pStyle w:val="TableParagraph"/>
              <w:spacing w:before="41"/>
              <w:ind w:left="52"/>
              <w:rPr>
                <w:sz w:val="20"/>
              </w:rPr>
            </w:pPr>
            <w:r>
              <w:rPr>
                <w:sz w:val="20"/>
              </w:rPr>
              <w:t>Abdul Razzaq</w:t>
            </w:r>
          </w:p>
        </w:tc>
        <w:tc>
          <w:tcPr>
            <w:tcW w:w="1755" w:type="dxa"/>
            <w:tcBorders>
              <w:top w:val="single" w:sz="4" w:space="0" w:color="000000"/>
              <w:left w:val="single" w:sz="4" w:space="0" w:color="000000"/>
              <w:bottom w:val="single" w:sz="4" w:space="0" w:color="000000"/>
              <w:right w:val="single" w:sz="4" w:space="0" w:color="000000"/>
            </w:tcBorders>
          </w:tcPr>
          <w:p>
            <w:pPr>
              <w:pStyle w:val="TableParagraph"/>
              <w:spacing w:before="41"/>
              <w:ind w:left="53"/>
              <w:rPr>
                <w:sz w:val="20"/>
              </w:rPr>
            </w:pPr>
            <w:r>
              <w:rPr>
                <w:sz w:val="20"/>
              </w:rPr>
              <w:t>Shoaib</w:t>
            </w:r>
          </w:p>
        </w:tc>
        <w:tc>
          <w:tcPr>
            <w:tcW w:w="1692" w:type="dxa"/>
            <w:tcBorders>
              <w:top w:val="single" w:sz="4" w:space="0" w:color="000000"/>
              <w:left w:val="single" w:sz="4" w:space="0" w:color="000000"/>
              <w:bottom w:val="single" w:sz="4" w:space="0" w:color="000000"/>
              <w:right w:val="single" w:sz="4" w:space="0" w:color="000000"/>
            </w:tcBorders>
          </w:tcPr>
          <w:p>
            <w:pPr/>
          </w:p>
        </w:tc>
        <w:tc>
          <w:tcPr>
            <w:tcW w:w="1436" w:type="dxa"/>
            <w:tcBorders>
              <w:top w:val="single" w:sz="4" w:space="0" w:color="000000"/>
              <w:left w:val="single" w:sz="4" w:space="0" w:color="000000"/>
              <w:bottom w:val="single" w:sz="4" w:space="0" w:color="000000"/>
              <w:right w:val="single" w:sz="4" w:space="0" w:color="000000"/>
            </w:tcBorders>
          </w:tcPr>
          <w:p>
            <w:pPr>
              <w:pStyle w:val="TableParagraph"/>
              <w:spacing w:before="41"/>
              <w:ind w:left="52"/>
              <w:rPr>
                <w:sz w:val="20"/>
              </w:rPr>
            </w:pPr>
            <w:r>
              <w:rPr>
                <w:sz w:val="20"/>
              </w:rPr>
              <w:t>03153165605</w:t>
            </w:r>
          </w:p>
        </w:tc>
        <w:tc>
          <w:tcPr>
            <w:tcW w:w="1368" w:type="dxa"/>
            <w:tcBorders>
              <w:top w:val="single" w:sz="4" w:space="0" w:color="000000"/>
              <w:left w:val="single" w:sz="4" w:space="0" w:color="000000"/>
              <w:bottom w:val="single" w:sz="4" w:space="0" w:color="000000"/>
            </w:tcBorders>
          </w:tcPr>
          <w:p>
            <w:pPr>
              <w:pStyle w:val="TableParagraph"/>
              <w:spacing w:before="41"/>
              <w:ind w:right="227"/>
              <w:jc w:val="right"/>
              <w:rPr>
                <w:sz w:val="20"/>
              </w:rPr>
            </w:pPr>
            <w:r>
              <w:rPr>
                <w:sz w:val="20"/>
              </w:rPr>
              <w:t>48,000</w:t>
            </w:r>
          </w:p>
        </w:tc>
      </w:tr>
      <w:tr>
        <w:trPr>
          <w:trHeight w:val="329" w:hRule="exact"/>
        </w:trPr>
        <w:tc>
          <w:tcPr>
            <w:tcW w:w="497" w:type="dxa"/>
            <w:tcBorders>
              <w:top w:val="single" w:sz="4" w:space="0" w:color="000000"/>
              <w:right w:val="single" w:sz="4" w:space="0" w:color="000000"/>
            </w:tcBorders>
          </w:tcPr>
          <w:p>
            <w:pPr/>
          </w:p>
        </w:tc>
        <w:tc>
          <w:tcPr>
            <w:tcW w:w="612" w:type="dxa"/>
            <w:tcBorders>
              <w:top w:val="single" w:sz="4" w:space="0" w:color="000000"/>
              <w:left w:val="single" w:sz="4" w:space="0" w:color="000000"/>
              <w:right w:val="single" w:sz="4" w:space="0" w:color="000000"/>
            </w:tcBorders>
          </w:tcPr>
          <w:p>
            <w:pPr/>
          </w:p>
        </w:tc>
        <w:tc>
          <w:tcPr>
            <w:tcW w:w="1049" w:type="dxa"/>
            <w:tcBorders>
              <w:top w:val="single" w:sz="4" w:space="0" w:color="000000"/>
              <w:left w:val="single" w:sz="4" w:space="0" w:color="000000"/>
              <w:right w:val="single" w:sz="4" w:space="0" w:color="000000"/>
            </w:tcBorders>
          </w:tcPr>
          <w:p>
            <w:pPr/>
          </w:p>
        </w:tc>
        <w:tc>
          <w:tcPr>
            <w:tcW w:w="1135" w:type="dxa"/>
            <w:tcBorders>
              <w:top w:val="single" w:sz="4" w:space="0" w:color="000000"/>
              <w:left w:val="single" w:sz="4" w:space="0" w:color="000000"/>
              <w:right w:val="single" w:sz="4" w:space="0" w:color="000000"/>
            </w:tcBorders>
          </w:tcPr>
          <w:p>
            <w:pPr/>
          </w:p>
        </w:tc>
        <w:tc>
          <w:tcPr>
            <w:tcW w:w="2091" w:type="dxa"/>
            <w:tcBorders>
              <w:top w:val="single" w:sz="4" w:space="0" w:color="000000"/>
              <w:left w:val="single" w:sz="4" w:space="0" w:color="000000"/>
              <w:right w:val="single" w:sz="4" w:space="0" w:color="000000"/>
            </w:tcBorders>
          </w:tcPr>
          <w:p>
            <w:pPr/>
          </w:p>
        </w:tc>
        <w:tc>
          <w:tcPr>
            <w:tcW w:w="2004" w:type="dxa"/>
            <w:tcBorders>
              <w:top w:val="single" w:sz="4" w:space="0" w:color="000000"/>
              <w:left w:val="single" w:sz="4" w:space="0" w:color="000000"/>
              <w:right w:val="single" w:sz="4" w:space="0" w:color="000000"/>
            </w:tcBorders>
          </w:tcPr>
          <w:p>
            <w:pPr/>
          </w:p>
        </w:tc>
        <w:tc>
          <w:tcPr>
            <w:tcW w:w="1755" w:type="dxa"/>
            <w:tcBorders>
              <w:top w:val="single" w:sz="4" w:space="0" w:color="000000"/>
              <w:left w:val="single" w:sz="4" w:space="0" w:color="000000"/>
              <w:right w:val="single" w:sz="4" w:space="0" w:color="000000"/>
            </w:tcBorders>
          </w:tcPr>
          <w:p>
            <w:pPr/>
          </w:p>
        </w:tc>
        <w:tc>
          <w:tcPr>
            <w:tcW w:w="1692" w:type="dxa"/>
            <w:tcBorders>
              <w:top w:val="single" w:sz="4" w:space="0" w:color="000000"/>
              <w:left w:val="single" w:sz="4" w:space="0" w:color="000000"/>
              <w:right w:val="single" w:sz="4" w:space="0" w:color="000000"/>
            </w:tcBorders>
          </w:tcPr>
          <w:p>
            <w:pPr/>
          </w:p>
        </w:tc>
        <w:tc>
          <w:tcPr>
            <w:tcW w:w="1436" w:type="dxa"/>
            <w:tcBorders>
              <w:top w:val="single" w:sz="4" w:space="0" w:color="000000"/>
              <w:left w:val="single" w:sz="4" w:space="0" w:color="000000"/>
              <w:right w:val="single" w:sz="4" w:space="0" w:color="000000"/>
            </w:tcBorders>
          </w:tcPr>
          <w:p>
            <w:pPr>
              <w:pStyle w:val="TableParagraph"/>
              <w:spacing w:before="40"/>
              <w:ind w:left="52"/>
              <w:rPr>
                <w:b/>
                <w:sz w:val="20"/>
              </w:rPr>
            </w:pPr>
            <w:r>
              <w:rPr>
                <w:b/>
                <w:sz w:val="20"/>
              </w:rPr>
              <w:t>Total</w:t>
            </w:r>
          </w:p>
        </w:tc>
        <w:tc>
          <w:tcPr>
            <w:tcW w:w="1368" w:type="dxa"/>
            <w:tcBorders>
              <w:top w:val="single" w:sz="4" w:space="0" w:color="000000"/>
              <w:left w:val="single" w:sz="4" w:space="0" w:color="000000"/>
            </w:tcBorders>
          </w:tcPr>
          <w:p>
            <w:pPr>
              <w:pStyle w:val="TableParagraph"/>
              <w:spacing w:before="40"/>
              <w:ind w:right="228"/>
              <w:jc w:val="right"/>
              <w:rPr>
                <w:b/>
                <w:sz w:val="20"/>
              </w:rPr>
            </w:pPr>
            <w:r>
              <w:rPr>
                <w:b/>
                <w:w w:val="95"/>
                <w:sz w:val="20"/>
              </w:rPr>
              <w:t>1,824,000</w:t>
            </w:r>
          </w:p>
        </w:tc>
      </w:tr>
    </w:tbl>
    <w:sectPr>
      <w:pgSz w:w="16840" w:h="11910" w:orient="landscape"/>
      <w:pgMar w:header="583" w:footer="575" w:top="840" w:bottom="760" w:left="860" w:right="1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eorgia">
    <w:altName w:val="Georgia"/>
    <w:charset w:val="0"/>
    <w:family w:val="roman"/>
    <w:pitch w:val="variable"/>
  </w:font>
  <w:font w:name="Arial Black">
    <w:altName w:val="Arial Black"/>
    <w:charset w:val="0"/>
    <w:family w:val="swiss"/>
    <w:pitch w:val="variable"/>
  </w:font>
  <w:font w:name="Calibri">
    <w:altName w:val="Calibri"/>
    <w:charset w:val="0"/>
    <w:family w:val="swiss"/>
    <w:pitch w:val="variable"/>
  </w:font>
  <w:font w:name="Symbol">
    <w:altName w:val="Symbol"/>
    <w:charset w:val="2"/>
    <w:family w:val="roman"/>
    <w:pitch w:val="variable"/>
  </w:font>
  <w:font w:name="Segoe UI Emoji">
    <w:altName w:val="Segoe UI Emoj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100006pt;margin-top:801.908508pt;width:14.1pt;height:12.1pt;mso-position-horizontal-relative:page;mso-position-vertical-relative:page;z-index:-309184"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7.820007pt;margin-top:555.692566pt;width:14.1pt;height:12.1pt;mso-position-horizontal-relative:page;mso-position-vertical-relative:page;z-index:-309112"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53</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100006pt;margin-top:801.908508pt;width:14.1pt;height:12.1pt;mso-position-horizontal-relative:page;mso-position-vertical-relative:page;z-index:-309040"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71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7.820007pt;margin-top:555.692566pt;width:14.1pt;height:12.1pt;mso-position-horizontal-relative:page;mso-position-vertical-relative:page;z-index:-308968"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77</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192.25pt;margin-top:28.143459pt;width:346.25pt;height:13.15pt;mso-position-horizontal-relative:page;mso-position-vertical-relative:page;z-index:-309256" type="#_x0000_t202" filled="false" stroked="false">
          <v:textbox inset="0,0,0,0">
            <w:txbxContent>
              <w:p>
                <w:pPr>
                  <w:spacing w:before="12"/>
                  <w:ind w:left="20" w:right="0" w:firstLine="0"/>
                  <w:jc w:val="left"/>
                  <w:rPr>
                    <w:b/>
                    <w:sz w:val="20"/>
                  </w:rPr>
                </w:pPr>
                <w:r>
                  <w:rPr>
                    <w:b/>
                    <w:sz w:val="20"/>
                  </w:rPr>
                  <w:t>Yellow BRT Corridor – Compensation and Livelihood Rehabilitation Plan</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9232" from="48.959999pt,41.999992pt" to="524.979999pt,41.999992pt" stroked="true" strokeweight="1.44pt" strokecolor="#000000">
          <v:stroke dashstyle="solid"/>
          <w10:wrap type="none"/>
        </v:line>
      </w:pict>
    </w:r>
    <w:r>
      <w:rPr/>
      <w:pict>
        <v:shape style="position:absolute;margin-left:177.940002pt;margin-top:28.143469pt;width:346.3pt;height:13.15pt;mso-position-horizontal-relative:page;mso-position-vertical-relative:page;z-index:-309208" type="#_x0000_t202" filled="false" stroked="false">
          <v:textbox inset="0,0,0,0">
            <w:txbxContent>
              <w:p>
                <w:pPr>
                  <w:spacing w:before="12"/>
                  <w:ind w:left="20" w:right="0" w:firstLine="0"/>
                  <w:jc w:val="left"/>
                  <w:rPr>
                    <w:b/>
                    <w:sz w:val="20"/>
                  </w:rPr>
                </w:pPr>
                <w:r>
                  <w:rPr>
                    <w:b/>
                    <w:sz w:val="20"/>
                  </w:rPr>
                  <w:t>Yellow BRT Corridor – Compensation and Livelihood Rehabilitation Plan</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9160" from="48.959999pt,42.000004pt" to="771.219999pt,42.000004pt" stroked="true" strokeweight="1.44pt" strokecolor="#000000">
          <v:stroke dashstyle="solid"/>
          <w10:wrap type="none"/>
        </v:line>
      </w:pict>
    </w:r>
    <w:r>
      <w:rPr/>
      <w:pict>
        <v:shape style="position:absolute;margin-left:424.209991pt;margin-top:28.143478pt;width:346.25pt;height:13.15pt;mso-position-horizontal-relative:page;mso-position-vertical-relative:page;z-index:-309136" type="#_x0000_t202" filled="false" stroked="false">
          <v:textbox inset="0,0,0,0">
            <w:txbxContent>
              <w:p>
                <w:pPr>
                  <w:spacing w:before="12"/>
                  <w:ind w:left="20" w:right="0" w:firstLine="0"/>
                  <w:jc w:val="left"/>
                  <w:rPr>
                    <w:b/>
                    <w:sz w:val="20"/>
                  </w:rPr>
                </w:pPr>
                <w:r>
                  <w:rPr>
                    <w:b/>
                    <w:sz w:val="20"/>
                  </w:rPr>
                  <w:t>Yellow BRT Corridor – Compensation and Livelihood Rehabilitation Plan</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9088" from="48.959999pt,41.999992pt" to="524.979999pt,41.999992pt" stroked="true" strokeweight="1.44pt" strokecolor="#000000">
          <v:stroke dashstyle="solid"/>
          <w10:wrap type="none"/>
        </v:line>
      </w:pict>
    </w:r>
    <w:r>
      <w:rPr/>
      <w:pict>
        <v:shape style="position:absolute;margin-left:177.940002pt;margin-top:28.143469pt;width:346.3pt;height:13.15pt;mso-position-horizontal-relative:page;mso-position-vertical-relative:page;z-index:-309064" type="#_x0000_t202" filled="false" stroked="false">
          <v:textbox inset="0,0,0,0">
            <w:txbxContent>
              <w:p>
                <w:pPr>
                  <w:spacing w:before="12"/>
                  <w:ind w:left="20" w:right="0" w:firstLine="0"/>
                  <w:jc w:val="left"/>
                  <w:rPr>
                    <w:b/>
                    <w:sz w:val="20"/>
                  </w:rPr>
                </w:pPr>
                <w:r>
                  <w:rPr>
                    <w:b/>
                    <w:sz w:val="20"/>
                  </w:rPr>
                  <w:t>Yellow BRT Corridor – Compensation and Livelihood Rehabilitation Plan</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9016" from="48.959999pt,42.000004pt" to="771.219999pt,42.000004pt" stroked="true" strokeweight="1.44pt" strokecolor="#000000">
          <v:stroke dashstyle="solid"/>
          <w10:wrap type="none"/>
        </v:line>
      </w:pict>
    </w:r>
    <w:r>
      <w:rPr/>
      <w:pict>
        <v:shape style="position:absolute;margin-left:424.209991pt;margin-top:28.143478pt;width:346.25pt;height:13.15pt;mso-position-horizontal-relative:page;mso-position-vertical-relative:page;z-index:-308992" type="#_x0000_t202" filled="false" stroked="false">
          <v:textbox inset="0,0,0,0">
            <w:txbxContent>
              <w:p>
                <w:pPr>
                  <w:spacing w:before="12"/>
                  <w:ind w:left="20" w:right="0" w:firstLine="0"/>
                  <w:jc w:val="left"/>
                  <w:rPr>
                    <w:b/>
                    <w:sz w:val="20"/>
                  </w:rPr>
                </w:pPr>
                <w:r>
                  <w:rPr>
                    <w:b/>
                    <w:sz w:val="20"/>
                  </w:rPr>
                  <w:t>Yellow BRT Corridor – Compensation and Livelihood Rehabilitation Plan</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6">
    <w:multiLevelType w:val="hybridMultilevel"/>
    <w:lvl w:ilvl="0">
      <w:start w:val="0"/>
      <w:numFmt w:val="bullet"/>
      <w:lvlText w:val=""/>
      <w:lvlJc w:val="left"/>
      <w:pPr>
        <w:ind w:left="1588" w:hanging="360"/>
      </w:pPr>
      <w:rPr>
        <w:rFonts w:hint="default" w:ascii="Symbol" w:hAnsi="Symbol" w:eastAsia="Symbol" w:cs="Symbol"/>
        <w:w w:val="100"/>
        <w:sz w:val="22"/>
        <w:szCs w:val="22"/>
      </w:rPr>
    </w:lvl>
    <w:lvl w:ilvl="1">
      <w:start w:val="0"/>
      <w:numFmt w:val="bullet"/>
      <w:lvlText w:val="•"/>
      <w:lvlJc w:val="left"/>
      <w:pPr>
        <w:ind w:left="2398" w:hanging="360"/>
      </w:pPr>
      <w:rPr>
        <w:rFonts w:hint="default"/>
      </w:rPr>
    </w:lvl>
    <w:lvl w:ilvl="2">
      <w:start w:val="0"/>
      <w:numFmt w:val="bullet"/>
      <w:lvlText w:val="•"/>
      <w:lvlJc w:val="left"/>
      <w:pPr>
        <w:ind w:left="3217" w:hanging="360"/>
      </w:pPr>
      <w:rPr>
        <w:rFonts w:hint="default"/>
      </w:rPr>
    </w:lvl>
    <w:lvl w:ilvl="3">
      <w:start w:val="0"/>
      <w:numFmt w:val="bullet"/>
      <w:lvlText w:val="•"/>
      <w:lvlJc w:val="left"/>
      <w:pPr>
        <w:ind w:left="4036" w:hanging="360"/>
      </w:pPr>
      <w:rPr>
        <w:rFonts w:hint="default"/>
      </w:rPr>
    </w:lvl>
    <w:lvl w:ilvl="4">
      <w:start w:val="0"/>
      <w:numFmt w:val="bullet"/>
      <w:lvlText w:val="•"/>
      <w:lvlJc w:val="left"/>
      <w:pPr>
        <w:ind w:left="4855" w:hanging="360"/>
      </w:pPr>
      <w:rPr>
        <w:rFonts w:hint="default"/>
      </w:rPr>
    </w:lvl>
    <w:lvl w:ilvl="5">
      <w:start w:val="0"/>
      <w:numFmt w:val="bullet"/>
      <w:lvlText w:val="•"/>
      <w:lvlJc w:val="left"/>
      <w:pPr>
        <w:ind w:left="5674" w:hanging="360"/>
      </w:pPr>
      <w:rPr>
        <w:rFonts w:hint="default"/>
      </w:rPr>
    </w:lvl>
    <w:lvl w:ilvl="6">
      <w:start w:val="0"/>
      <w:numFmt w:val="bullet"/>
      <w:lvlText w:val="•"/>
      <w:lvlJc w:val="left"/>
      <w:pPr>
        <w:ind w:left="6493" w:hanging="360"/>
      </w:pPr>
      <w:rPr>
        <w:rFonts w:hint="default"/>
      </w:rPr>
    </w:lvl>
    <w:lvl w:ilvl="7">
      <w:start w:val="0"/>
      <w:numFmt w:val="bullet"/>
      <w:lvlText w:val="•"/>
      <w:lvlJc w:val="left"/>
      <w:pPr>
        <w:ind w:left="7312" w:hanging="360"/>
      </w:pPr>
      <w:rPr>
        <w:rFonts w:hint="default"/>
      </w:rPr>
    </w:lvl>
    <w:lvl w:ilvl="8">
      <w:start w:val="0"/>
      <w:numFmt w:val="bullet"/>
      <w:lvlText w:val="•"/>
      <w:lvlJc w:val="left"/>
      <w:pPr>
        <w:ind w:left="8131" w:hanging="360"/>
      </w:pPr>
      <w:rPr>
        <w:rFonts w:hint="default"/>
      </w:rPr>
    </w:lvl>
  </w:abstractNum>
  <w:abstractNum w:abstractNumId="37">
    <w:multiLevelType w:val="hybridMultilevel"/>
    <w:lvl w:ilvl="0">
      <w:start w:val="0"/>
      <w:numFmt w:val="bullet"/>
      <w:lvlText w:val=""/>
      <w:lvlJc w:val="left"/>
      <w:pPr>
        <w:ind w:left="1588" w:hanging="360"/>
      </w:pPr>
      <w:rPr>
        <w:rFonts w:hint="default" w:ascii="Symbol" w:hAnsi="Symbol" w:eastAsia="Symbol" w:cs="Symbol"/>
        <w:w w:val="100"/>
        <w:sz w:val="22"/>
        <w:szCs w:val="22"/>
      </w:rPr>
    </w:lvl>
    <w:lvl w:ilvl="1">
      <w:start w:val="0"/>
      <w:numFmt w:val="bullet"/>
      <w:lvlText w:val="•"/>
      <w:lvlJc w:val="left"/>
      <w:pPr>
        <w:ind w:left="2398" w:hanging="360"/>
      </w:pPr>
      <w:rPr>
        <w:rFonts w:hint="default"/>
      </w:rPr>
    </w:lvl>
    <w:lvl w:ilvl="2">
      <w:start w:val="0"/>
      <w:numFmt w:val="bullet"/>
      <w:lvlText w:val="•"/>
      <w:lvlJc w:val="left"/>
      <w:pPr>
        <w:ind w:left="3217" w:hanging="360"/>
      </w:pPr>
      <w:rPr>
        <w:rFonts w:hint="default"/>
      </w:rPr>
    </w:lvl>
    <w:lvl w:ilvl="3">
      <w:start w:val="0"/>
      <w:numFmt w:val="bullet"/>
      <w:lvlText w:val="•"/>
      <w:lvlJc w:val="left"/>
      <w:pPr>
        <w:ind w:left="4036" w:hanging="360"/>
      </w:pPr>
      <w:rPr>
        <w:rFonts w:hint="default"/>
      </w:rPr>
    </w:lvl>
    <w:lvl w:ilvl="4">
      <w:start w:val="0"/>
      <w:numFmt w:val="bullet"/>
      <w:lvlText w:val="•"/>
      <w:lvlJc w:val="left"/>
      <w:pPr>
        <w:ind w:left="4855" w:hanging="360"/>
      </w:pPr>
      <w:rPr>
        <w:rFonts w:hint="default"/>
      </w:rPr>
    </w:lvl>
    <w:lvl w:ilvl="5">
      <w:start w:val="0"/>
      <w:numFmt w:val="bullet"/>
      <w:lvlText w:val="•"/>
      <w:lvlJc w:val="left"/>
      <w:pPr>
        <w:ind w:left="5674" w:hanging="360"/>
      </w:pPr>
      <w:rPr>
        <w:rFonts w:hint="default"/>
      </w:rPr>
    </w:lvl>
    <w:lvl w:ilvl="6">
      <w:start w:val="0"/>
      <w:numFmt w:val="bullet"/>
      <w:lvlText w:val="•"/>
      <w:lvlJc w:val="left"/>
      <w:pPr>
        <w:ind w:left="6493" w:hanging="360"/>
      </w:pPr>
      <w:rPr>
        <w:rFonts w:hint="default"/>
      </w:rPr>
    </w:lvl>
    <w:lvl w:ilvl="7">
      <w:start w:val="0"/>
      <w:numFmt w:val="bullet"/>
      <w:lvlText w:val="•"/>
      <w:lvlJc w:val="left"/>
      <w:pPr>
        <w:ind w:left="7312" w:hanging="360"/>
      </w:pPr>
      <w:rPr>
        <w:rFonts w:hint="default"/>
      </w:rPr>
    </w:lvl>
    <w:lvl w:ilvl="8">
      <w:start w:val="0"/>
      <w:numFmt w:val="bullet"/>
      <w:lvlText w:val="•"/>
      <w:lvlJc w:val="left"/>
      <w:pPr>
        <w:ind w:left="8131" w:hanging="360"/>
      </w:pPr>
      <w:rPr>
        <w:rFonts w:hint="default"/>
      </w:rPr>
    </w:lvl>
  </w:abstractNum>
  <w:abstractNum w:abstractNumId="59">
    <w:multiLevelType w:val="hybridMultilevel"/>
    <w:lvl w:ilvl="0">
      <w:start w:val="0"/>
      <w:numFmt w:val="bullet"/>
      <w:lvlText w:val=""/>
      <w:lvlJc w:val="left"/>
      <w:pPr>
        <w:ind w:left="1588" w:hanging="360"/>
      </w:pPr>
      <w:rPr>
        <w:rFonts w:hint="default" w:ascii="Symbol" w:hAnsi="Symbol" w:eastAsia="Symbol" w:cs="Symbol"/>
        <w:w w:val="100"/>
        <w:sz w:val="22"/>
        <w:szCs w:val="22"/>
      </w:rPr>
    </w:lvl>
    <w:lvl w:ilvl="1">
      <w:start w:val="0"/>
      <w:numFmt w:val="bullet"/>
      <w:lvlText w:val="•"/>
      <w:lvlJc w:val="left"/>
      <w:pPr>
        <w:ind w:left="2398" w:hanging="360"/>
      </w:pPr>
      <w:rPr>
        <w:rFonts w:hint="default"/>
      </w:rPr>
    </w:lvl>
    <w:lvl w:ilvl="2">
      <w:start w:val="0"/>
      <w:numFmt w:val="bullet"/>
      <w:lvlText w:val="•"/>
      <w:lvlJc w:val="left"/>
      <w:pPr>
        <w:ind w:left="3217" w:hanging="360"/>
      </w:pPr>
      <w:rPr>
        <w:rFonts w:hint="default"/>
      </w:rPr>
    </w:lvl>
    <w:lvl w:ilvl="3">
      <w:start w:val="0"/>
      <w:numFmt w:val="bullet"/>
      <w:lvlText w:val="•"/>
      <w:lvlJc w:val="left"/>
      <w:pPr>
        <w:ind w:left="4036" w:hanging="360"/>
      </w:pPr>
      <w:rPr>
        <w:rFonts w:hint="default"/>
      </w:rPr>
    </w:lvl>
    <w:lvl w:ilvl="4">
      <w:start w:val="0"/>
      <w:numFmt w:val="bullet"/>
      <w:lvlText w:val="•"/>
      <w:lvlJc w:val="left"/>
      <w:pPr>
        <w:ind w:left="4855" w:hanging="360"/>
      </w:pPr>
      <w:rPr>
        <w:rFonts w:hint="default"/>
      </w:rPr>
    </w:lvl>
    <w:lvl w:ilvl="5">
      <w:start w:val="0"/>
      <w:numFmt w:val="bullet"/>
      <w:lvlText w:val="•"/>
      <w:lvlJc w:val="left"/>
      <w:pPr>
        <w:ind w:left="5674" w:hanging="360"/>
      </w:pPr>
      <w:rPr>
        <w:rFonts w:hint="default"/>
      </w:rPr>
    </w:lvl>
    <w:lvl w:ilvl="6">
      <w:start w:val="0"/>
      <w:numFmt w:val="bullet"/>
      <w:lvlText w:val="•"/>
      <w:lvlJc w:val="left"/>
      <w:pPr>
        <w:ind w:left="6493" w:hanging="360"/>
      </w:pPr>
      <w:rPr>
        <w:rFonts w:hint="default"/>
      </w:rPr>
    </w:lvl>
    <w:lvl w:ilvl="7">
      <w:start w:val="0"/>
      <w:numFmt w:val="bullet"/>
      <w:lvlText w:val="•"/>
      <w:lvlJc w:val="left"/>
      <w:pPr>
        <w:ind w:left="7312" w:hanging="360"/>
      </w:pPr>
      <w:rPr>
        <w:rFonts w:hint="default"/>
      </w:rPr>
    </w:lvl>
    <w:lvl w:ilvl="8">
      <w:start w:val="0"/>
      <w:numFmt w:val="bullet"/>
      <w:lvlText w:val="•"/>
      <w:lvlJc w:val="left"/>
      <w:pPr>
        <w:ind w:left="8131" w:hanging="360"/>
      </w:pPr>
      <w:rPr>
        <w:rFonts w:hint="default"/>
      </w:rPr>
    </w:lvl>
  </w:abstractNum>
  <w:abstractNum w:abstractNumId="58">
    <w:multiLevelType w:val="hybridMultilevel"/>
    <w:lvl w:ilvl="0">
      <w:start w:val="0"/>
      <w:numFmt w:val="bullet"/>
      <w:lvlText w:val="•"/>
      <w:lvlJc w:val="left"/>
      <w:pPr>
        <w:ind w:left="868" w:hanging="721"/>
      </w:pPr>
      <w:rPr>
        <w:rFonts w:hint="default" w:ascii="Times New Roman" w:hAnsi="Times New Roman" w:eastAsia="Times New Roman" w:cs="Times New Roman"/>
        <w:w w:val="100"/>
        <w:sz w:val="22"/>
        <w:szCs w:val="22"/>
      </w:rPr>
    </w:lvl>
    <w:lvl w:ilvl="1">
      <w:start w:val="0"/>
      <w:numFmt w:val="bullet"/>
      <w:lvlText w:val="•"/>
      <w:lvlJc w:val="left"/>
      <w:pPr>
        <w:ind w:left="1948" w:hanging="720"/>
      </w:pPr>
      <w:rPr>
        <w:rFonts w:hint="default" w:ascii="Times New Roman" w:hAnsi="Times New Roman" w:eastAsia="Times New Roman" w:cs="Times New Roman"/>
        <w:w w:val="100"/>
        <w:sz w:val="22"/>
        <w:szCs w:val="22"/>
      </w:rPr>
    </w:lvl>
    <w:lvl w:ilvl="2">
      <w:start w:val="0"/>
      <w:numFmt w:val="bullet"/>
      <w:lvlText w:val="•"/>
      <w:lvlJc w:val="left"/>
      <w:pPr>
        <w:ind w:left="2809" w:hanging="720"/>
      </w:pPr>
      <w:rPr>
        <w:rFonts w:hint="default"/>
      </w:rPr>
    </w:lvl>
    <w:lvl w:ilvl="3">
      <w:start w:val="0"/>
      <w:numFmt w:val="bullet"/>
      <w:lvlText w:val="•"/>
      <w:lvlJc w:val="left"/>
      <w:pPr>
        <w:ind w:left="3679" w:hanging="720"/>
      </w:pPr>
      <w:rPr>
        <w:rFonts w:hint="default"/>
      </w:rPr>
    </w:lvl>
    <w:lvl w:ilvl="4">
      <w:start w:val="0"/>
      <w:numFmt w:val="bullet"/>
      <w:lvlText w:val="•"/>
      <w:lvlJc w:val="left"/>
      <w:pPr>
        <w:ind w:left="4549" w:hanging="720"/>
      </w:pPr>
      <w:rPr>
        <w:rFonts w:hint="default"/>
      </w:rPr>
    </w:lvl>
    <w:lvl w:ilvl="5">
      <w:start w:val="0"/>
      <w:numFmt w:val="bullet"/>
      <w:lvlText w:val="•"/>
      <w:lvlJc w:val="left"/>
      <w:pPr>
        <w:ind w:left="5419" w:hanging="720"/>
      </w:pPr>
      <w:rPr>
        <w:rFonts w:hint="default"/>
      </w:rPr>
    </w:lvl>
    <w:lvl w:ilvl="6">
      <w:start w:val="0"/>
      <w:numFmt w:val="bullet"/>
      <w:lvlText w:val="•"/>
      <w:lvlJc w:val="left"/>
      <w:pPr>
        <w:ind w:left="6289" w:hanging="720"/>
      </w:pPr>
      <w:rPr>
        <w:rFonts w:hint="default"/>
      </w:rPr>
    </w:lvl>
    <w:lvl w:ilvl="7">
      <w:start w:val="0"/>
      <w:numFmt w:val="bullet"/>
      <w:lvlText w:val="•"/>
      <w:lvlJc w:val="left"/>
      <w:pPr>
        <w:ind w:left="7159" w:hanging="720"/>
      </w:pPr>
      <w:rPr>
        <w:rFonts w:hint="default"/>
      </w:rPr>
    </w:lvl>
    <w:lvl w:ilvl="8">
      <w:start w:val="0"/>
      <w:numFmt w:val="bullet"/>
      <w:lvlText w:val="•"/>
      <w:lvlJc w:val="left"/>
      <w:pPr>
        <w:ind w:left="8029" w:hanging="720"/>
      </w:pPr>
      <w:rPr>
        <w:rFonts w:hint="default"/>
      </w:rPr>
    </w:lvl>
  </w:abstractNum>
  <w:abstractNum w:abstractNumId="57">
    <w:multiLevelType w:val="hybridMultilevel"/>
    <w:lvl w:ilvl="0">
      <w:start w:val="1"/>
      <w:numFmt w:val="decimal"/>
      <w:lvlText w:val="%1."/>
      <w:lvlJc w:val="left"/>
      <w:pPr>
        <w:ind w:left="1588" w:hanging="360"/>
        <w:jc w:val="left"/>
      </w:pPr>
      <w:rPr>
        <w:rFonts w:hint="default" w:ascii="Arial" w:hAnsi="Arial" w:eastAsia="Arial" w:cs="Arial"/>
        <w:spacing w:val="-1"/>
        <w:w w:val="100"/>
        <w:sz w:val="22"/>
        <w:szCs w:val="22"/>
      </w:rPr>
    </w:lvl>
    <w:lvl w:ilvl="1">
      <w:start w:val="0"/>
      <w:numFmt w:val="bullet"/>
      <w:lvlText w:val=""/>
      <w:lvlJc w:val="left"/>
      <w:pPr>
        <w:ind w:left="1948" w:hanging="360"/>
      </w:pPr>
      <w:rPr>
        <w:rFonts w:hint="default" w:ascii="Symbol" w:hAnsi="Symbol" w:eastAsia="Symbol" w:cs="Symbol"/>
        <w:w w:val="100"/>
        <w:sz w:val="22"/>
        <w:szCs w:val="22"/>
      </w:rPr>
    </w:lvl>
    <w:lvl w:ilvl="2">
      <w:start w:val="0"/>
      <w:numFmt w:val="bullet"/>
      <w:lvlText w:val="•"/>
      <w:lvlJc w:val="left"/>
      <w:pPr>
        <w:ind w:left="2809" w:hanging="360"/>
      </w:pPr>
      <w:rPr>
        <w:rFonts w:hint="default"/>
      </w:rPr>
    </w:lvl>
    <w:lvl w:ilvl="3">
      <w:start w:val="0"/>
      <w:numFmt w:val="bullet"/>
      <w:lvlText w:val="•"/>
      <w:lvlJc w:val="left"/>
      <w:pPr>
        <w:ind w:left="3679" w:hanging="360"/>
      </w:pPr>
      <w:rPr>
        <w:rFonts w:hint="default"/>
      </w:rPr>
    </w:lvl>
    <w:lvl w:ilvl="4">
      <w:start w:val="0"/>
      <w:numFmt w:val="bullet"/>
      <w:lvlText w:val="•"/>
      <w:lvlJc w:val="left"/>
      <w:pPr>
        <w:ind w:left="4549" w:hanging="360"/>
      </w:pPr>
      <w:rPr>
        <w:rFonts w:hint="default"/>
      </w:rPr>
    </w:lvl>
    <w:lvl w:ilvl="5">
      <w:start w:val="0"/>
      <w:numFmt w:val="bullet"/>
      <w:lvlText w:val="•"/>
      <w:lvlJc w:val="left"/>
      <w:pPr>
        <w:ind w:left="5419" w:hanging="360"/>
      </w:pPr>
      <w:rPr>
        <w:rFonts w:hint="default"/>
      </w:rPr>
    </w:lvl>
    <w:lvl w:ilvl="6">
      <w:start w:val="0"/>
      <w:numFmt w:val="bullet"/>
      <w:lvlText w:val="•"/>
      <w:lvlJc w:val="left"/>
      <w:pPr>
        <w:ind w:left="6289" w:hanging="360"/>
      </w:pPr>
      <w:rPr>
        <w:rFonts w:hint="default"/>
      </w:rPr>
    </w:lvl>
    <w:lvl w:ilvl="7">
      <w:start w:val="0"/>
      <w:numFmt w:val="bullet"/>
      <w:lvlText w:val="•"/>
      <w:lvlJc w:val="left"/>
      <w:pPr>
        <w:ind w:left="7159" w:hanging="360"/>
      </w:pPr>
      <w:rPr>
        <w:rFonts w:hint="default"/>
      </w:rPr>
    </w:lvl>
    <w:lvl w:ilvl="8">
      <w:start w:val="0"/>
      <w:numFmt w:val="bullet"/>
      <w:lvlText w:val="•"/>
      <w:lvlJc w:val="left"/>
      <w:pPr>
        <w:ind w:left="8029" w:hanging="360"/>
      </w:pPr>
      <w:rPr>
        <w:rFonts w:hint="default"/>
      </w:rPr>
    </w:lvl>
  </w:abstractNum>
  <w:abstractNum w:abstractNumId="55">
    <w:multiLevelType w:val="hybridMultilevel"/>
    <w:lvl w:ilvl="0">
      <w:start w:val="125"/>
      <w:numFmt w:val="decimal"/>
      <w:lvlText w:val="%1"/>
      <w:lvlJc w:val="left"/>
      <w:pPr>
        <w:ind w:left="868" w:hanging="720"/>
        <w:jc w:val="left"/>
      </w:pPr>
      <w:rPr>
        <w:rFonts w:hint="default" w:ascii="Arial" w:hAnsi="Arial" w:eastAsia="Arial" w:cs="Arial"/>
        <w:spacing w:val="-1"/>
        <w:w w:val="100"/>
        <w:sz w:val="22"/>
        <w:szCs w:val="22"/>
      </w:rPr>
    </w:lvl>
    <w:lvl w:ilvl="1">
      <w:start w:val="0"/>
      <w:numFmt w:val="bullet"/>
      <w:lvlText w:val=""/>
      <w:lvlJc w:val="left"/>
      <w:pPr>
        <w:ind w:left="1588" w:hanging="360"/>
      </w:pPr>
      <w:rPr>
        <w:rFonts w:hint="default" w:ascii="Symbol" w:hAnsi="Symbol" w:eastAsia="Symbol" w:cs="Symbol"/>
        <w:w w:val="100"/>
        <w:sz w:val="22"/>
        <w:szCs w:val="22"/>
      </w:rPr>
    </w:lvl>
    <w:lvl w:ilvl="2">
      <w:start w:val="0"/>
      <w:numFmt w:val="bullet"/>
      <w:lvlText w:val="•"/>
      <w:lvlJc w:val="left"/>
      <w:pPr>
        <w:ind w:left="2489" w:hanging="360"/>
      </w:pPr>
      <w:rPr>
        <w:rFonts w:hint="default"/>
      </w:rPr>
    </w:lvl>
    <w:lvl w:ilvl="3">
      <w:start w:val="0"/>
      <w:numFmt w:val="bullet"/>
      <w:lvlText w:val="•"/>
      <w:lvlJc w:val="left"/>
      <w:pPr>
        <w:ind w:left="3399" w:hanging="360"/>
      </w:pPr>
      <w:rPr>
        <w:rFonts w:hint="default"/>
      </w:rPr>
    </w:lvl>
    <w:lvl w:ilvl="4">
      <w:start w:val="0"/>
      <w:numFmt w:val="bullet"/>
      <w:lvlText w:val="•"/>
      <w:lvlJc w:val="left"/>
      <w:pPr>
        <w:ind w:left="4309" w:hanging="360"/>
      </w:pPr>
      <w:rPr>
        <w:rFonts w:hint="default"/>
      </w:rPr>
    </w:lvl>
    <w:lvl w:ilvl="5">
      <w:start w:val="0"/>
      <w:numFmt w:val="bullet"/>
      <w:lvlText w:val="•"/>
      <w:lvlJc w:val="left"/>
      <w:pPr>
        <w:ind w:left="5219" w:hanging="360"/>
      </w:pPr>
      <w:rPr>
        <w:rFonts w:hint="default"/>
      </w:rPr>
    </w:lvl>
    <w:lvl w:ilvl="6">
      <w:start w:val="0"/>
      <w:numFmt w:val="bullet"/>
      <w:lvlText w:val="•"/>
      <w:lvlJc w:val="left"/>
      <w:pPr>
        <w:ind w:left="6129" w:hanging="360"/>
      </w:pPr>
      <w:rPr>
        <w:rFonts w:hint="default"/>
      </w:rPr>
    </w:lvl>
    <w:lvl w:ilvl="7">
      <w:start w:val="0"/>
      <w:numFmt w:val="bullet"/>
      <w:lvlText w:val="•"/>
      <w:lvlJc w:val="left"/>
      <w:pPr>
        <w:ind w:left="7039" w:hanging="360"/>
      </w:pPr>
      <w:rPr>
        <w:rFonts w:hint="default"/>
      </w:rPr>
    </w:lvl>
    <w:lvl w:ilvl="8">
      <w:start w:val="0"/>
      <w:numFmt w:val="bullet"/>
      <w:lvlText w:val="•"/>
      <w:lvlJc w:val="left"/>
      <w:pPr>
        <w:ind w:left="7949" w:hanging="360"/>
      </w:pPr>
      <w:rPr>
        <w:rFonts w:hint="default"/>
      </w:rPr>
    </w:lvl>
  </w:abstractNum>
  <w:abstractNum w:abstractNumId="54">
    <w:multiLevelType w:val="hybridMultilevel"/>
    <w:lvl w:ilvl="0">
      <w:start w:val="123"/>
      <w:numFmt w:val="decimal"/>
      <w:lvlText w:val="%1"/>
      <w:lvlJc w:val="left"/>
      <w:pPr>
        <w:ind w:left="868" w:hanging="720"/>
        <w:jc w:val="left"/>
      </w:pPr>
      <w:rPr>
        <w:rFonts w:hint="default" w:ascii="Arial" w:hAnsi="Arial" w:eastAsia="Arial" w:cs="Arial"/>
        <w:spacing w:val="-1"/>
        <w:w w:val="100"/>
        <w:sz w:val="22"/>
        <w:szCs w:val="22"/>
      </w:rPr>
    </w:lvl>
    <w:lvl w:ilvl="1">
      <w:start w:val="0"/>
      <w:numFmt w:val="bullet"/>
      <w:lvlText w:val="•"/>
      <w:lvlJc w:val="left"/>
      <w:pPr>
        <w:ind w:left="1750" w:hanging="720"/>
      </w:pPr>
      <w:rPr>
        <w:rFonts w:hint="default"/>
      </w:rPr>
    </w:lvl>
    <w:lvl w:ilvl="2">
      <w:start w:val="0"/>
      <w:numFmt w:val="bullet"/>
      <w:lvlText w:val="•"/>
      <w:lvlJc w:val="left"/>
      <w:pPr>
        <w:ind w:left="2641" w:hanging="720"/>
      </w:pPr>
      <w:rPr>
        <w:rFonts w:hint="default"/>
      </w:rPr>
    </w:lvl>
    <w:lvl w:ilvl="3">
      <w:start w:val="0"/>
      <w:numFmt w:val="bullet"/>
      <w:lvlText w:val="•"/>
      <w:lvlJc w:val="left"/>
      <w:pPr>
        <w:ind w:left="3532" w:hanging="720"/>
      </w:pPr>
      <w:rPr>
        <w:rFonts w:hint="default"/>
      </w:rPr>
    </w:lvl>
    <w:lvl w:ilvl="4">
      <w:start w:val="0"/>
      <w:numFmt w:val="bullet"/>
      <w:lvlText w:val="•"/>
      <w:lvlJc w:val="left"/>
      <w:pPr>
        <w:ind w:left="4423" w:hanging="720"/>
      </w:pPr>
      <w:rPr>
        <w:rFonts w:hint="default"/>
      </w:rPr>
    </w:lvl>
    <w:lvl w:ilvl="5">
      <w:start w:val="0"/>
      <w:numFmt w:val="bullet"/>
      <w:lvlText w:val="•"/>
      <w:lvlJc w:val="left"/>
      <w:pPr>
        <w:ind w:left="5314" w:hanging="720"/>
      </w:pPr>
      <w:rPr>
        <w:rFonts w:hint="default"/>
      </w:rPr>
    </w:lvl>
    <w:lvl w:ilvl="6">
      <w:start w:val="0"/>
      <w:numFmt w:val="bullet"/>
      <w:lvlText w:val="•"/>
      <w:lvlJc w:val="left"/>
      <w:pPr>
        <w:ind w:left="6205" w:hanging="720"/>
      </w:pPr>
      <w:rPr>
        <w:rFonts w:hint="default"/>
      </w:rPr>
    </w:lvl>
    <w:lvl w:ilvl="7">
      <w:start w:val="0"/>
      <w:numFmt w:val="bullet"/>
      <w:lvlText w:val="•"/>
      <w:lvlJc w:val="left"/>
      <w:pPr>
        <w:ind w:left="7096" w:hanging="720"/>
      </w:pPr>
      <w:rPr>
        <w:rFonts w:hint="default"/>
      </w:rPr>
    </w:lvl>
    <w:lvl w:ilvl="8">
      <w:start w:val="0"/>
      <w:numFmt w:val="bullet"/>
      <w:lvlText w:val="•"/>
      <w:lvlJc w:val="left"/>
      <w:pPr>
        <w:ind w:left="7987" w:hanging="720"/>
      </w:pPr>
      <w:rPr>
        <w:rFonts w:hint="default"/>
      </w:rPr>
    </w:lvl>
  </w:abstractNum>
  <w:abstractNum w:abstractNumId="53">
    <w:multiLevelType w:val="hybridMultilevel"/>
    <w:lvl w:ilvl="0">
      <w:start w:val="119"/>
      <w:numFmt w:val="decimal"/>
      <w:lvlText w:val="%1"/>
      <w:lvlJc w:val="left"/>
      <w:pPr>
        <w:ind w:left="868" w:hanging="720"/>
        <w:jc w:val="left"/>
      </w:pPr>
      <w:rPr>
        <w:rFonts w:hint="default" w:ascii="Arial" w:hAnsi="Arial" w:eastAsia="Arial" w:cs="Arial"/>
        <w:spacing w:val="-1"/>
        <w:w w:val="100"/>
        <w:sz w:val="22"/>
        <w:szCs w:val="22"/>
      </w:rPr>
    </w:lvl>
    <w:lvl w:ilvl="1">
      <w:start w:val="0"/>
      <w:numFmt w:val="bullet"/>
      <w:lvlText w:val="•"/>
      <w:lvlJc w:val="left"/>
      <w:pPr>
        <w:ind w:left="1750" w:hanging="720"/>
      </w:pPr>
      <w:rPr>
        <w:rFonts w:hint="default"/>
      </w:rPr>
    </w:lvl>
    <w:lvl w:ilvl="2">
      <w:start w:val="0"/>
      <w:numFmt w:val="bullet"/>
      <w:lvlText w:val="•"/>
      <w:lvlJc w:val="left"/>
      <w:pPr>
        <w:ind w:left="2641" w:hanging="720"/>
      </w:pPr>
      <w:rPr>
        <w:rFonts w:hint="default"/>
      </w:rPr>
    </w:lvl>
    <w:lvl w:ilvl="3">
      <w:start w:val="0"/>
      <w:numFmt w:val="bullet"/>
      <w:lvlText w:val="•"/>
      <w:lvlJc w:val="left"/>
      <w:pPr>
        <w:ind w:left="3532" w:hanging="720"/>
      </w:pPr>
      <w:rPr>
        <w:rFonts w:hint="default"/>
      </w:rPr>
    </w:lvl>
    <w:lvl w:ilvl="4">
      <w:start w:val="0"/>
      <w:numFmt w:val="bullet"/>
      <w:lvlText w:val="•"/>
      <w:lvlJc w:val="left"/>
      <w:pPr>
        <w:ind w:left="4423" w:hanging="720"/>
      </w:pPr>
      <w:rPr>
        <w:rFonts w:hint="default"/>
      </w:rPr>
    </w:lvl>
    <w:lvl w:ilvl="5">
      <w:start w:val="0"/>
      <w:numFmt w:val="bullet"/>
      <w:lvlText w:val="•"/>
      <w:lvlJc w:val="left"/>
      <w:pPr>
        <w:ind w:left="5314" w:hanging="720"/>
      </w:pPr>
      <w:rPr>
        <w:rFonts w:hint="default"/>
      </w:rPr>
    </w:lvl>
    <w:lvl w:ilvl="6">
      <w:start w:val="0"/>
      <w:numFmt w:val="bullet"/>
      <w:lvlText w:val="•"/>
      <w:lvlJc w:val="left"/>
      <w:pPr>
        <w:ind w:left="6205" w:hanging="720"/>
      </w:pPr>
      <w:rPr>
        <w:rFonts w:hint="default"/>
      </w:rPr>
    </w:lvl>
    <w:lvl w:ilvl="7">
      <w:start w:val="0"/>
      <w:numFmt w:val="bullet"/>
      <w:lvlText w:val="•"/>
      <w:lvlJc w:val="left"/>
      <w:pPr>
        <w:ind w:left="7096" w:hanging="720"/>
      </w:pPr>
      <w:rPr>
        <w:rFonts w:hint="default"/>
      </w:rPr>
    </w:lvl>
    <w:lvl w:ilvl="8">
      <w:start w:val="0"/>
      <w:numFmt w:val="bullet"/>
      <w:lvlText w:val="•"/>
      <w:lvlJc w:val="left"/>
      <w:pPr>
        <w:ind w:left="7987" w:hanging="720"/>
      </w:pPr>
      <w:rPr>
        <w:rFonts w:hint="default"/>
      </w:rPr>
    </w:lvl>
  </w:abstractNum>
  <w:abstractNum w:abstractNumId="52">
    <w:multiLevelType w:val="hybridMultilevel"/>
    <w:lvl w:ilvl="0">
      <w:start w:val="11"/>
      <w:numFmt w:val="decimal"/>
      <w:lvlText w:val="%1"/>
      <w:lvlJc w:val="left"/>
      <w:pPr>
        <w:ind w:left="1300" w:hanging="432"/>
        <w:jc w:val="left"/>
      </w:pPr>
      <w:rPr>
        <w:rFonts w:hint="default" w:ascii="Arial" w:hAnsi="Arial" w:eastAsia="Arial" w:cs="Arial"/>
        <w:b/>
        <w:bCs/>
        <w:w w:val="99"/>
        <w:sz w:val="24"/>
        <w:szCs w:val="24"/>
      </w:rPr>
    </w:lvl>
    <w:lvl w:ilvl="1">
      <w:start w:val="1"/>
      <w:numFmt w:val="decimal"/>
      <w:lvlText w:val="%1.%2"/>
      <w:lvlJc w:val="left"/>
      <w:pPr>
        <w:ind w:left="1444" w:hanging="576"/>
        <w:jc w:val="left"/>
      </w:pPr>
      <w:rPr>
        <w:rFonts w:hint="default" w:ascii="Arial" w:hAnsi="Arial" w:eastAsia="Arial" w:cs="Arial"/>
        <w:b/>
        <w:bCs/>
        <w:spacing w:val="-26"/>
        <w:w w:val="99"/>
        <w:sz w:val="24"/>
        <w:szCs w:val="24"/>
      </w:rPr>
    </w:lvl>
    <w:lvl w:ilvl="2">
      <w:start w:val="0"/>
      <w:numFmt w:val="bullet"/>
      <w:lvlText w:val="•"/>
      <w:lvlJc w:val="left"/>
      <w:pPr>
        <w:ind w:left="2365" w:hanging="576"/>
      </w:pPr>
      <w:rPr>
        <w:rFonts w:hint="default"/>
      </w:rPr>
    </w:lvl>
    <w:lvl w:ilvl="3">
      <w:start w:val="0"/>
      <w:numFmt w:val="bullet"/>
      <w:lvlText w:val="•"/>
      <w:lvlJc w:val="left"/>
      <w:pPr>
        <w:ind w:left="3290" w:hanging="576"/>
      </w:pPr>
      <w:rPr>
        <w:rFonts w:hint="default"/>
      </w:rPr>
    </w:lvl>
    <w:lvl w:ilvl="4">
      <w:start w:val="0"/>
      <w:numFmt w:val="bullet"/>
      <w:lvlText w:val="•"/>
      <w:lvlJc w:val="left"/>
      <w:pPr>
        <w:ind w:left="4216" w:hanging="576"/>
      </w:pPr>
      <w:rPr>
        <w:rFonts w:hint="default"/>
      </w:rPr>
    </w:lvl>
    <w:lvl w:ilvl="5">
      <w:start w:val="0"/>
      <w:numFmt w:val="bullet"/>
      <w:lvlText w:val="•"/>
      <w:lvlJc w:val="left"/>
      <w:pPr>
        <w:ind w:left="5141" w:hanging="576"/>
      </w:pPr>
      <w:rPr>
        <w:rFonts w:hint="default"/>
      </w:rPr>
    </w:lvl>
    <w:lvl w:ilvl="6">
      <w:start w:val="0"/>
      <w:numFmt w:val="bullet"/>
      <w:lvlText w:val="•"/>
      <w:lvlJc w:val="left"/>
      <w:pPr>
        <w:ind w:left="6067" w:hanging="576"/>
      </w:pPr>
      <w:rPr>
        <w:rFonts w:hint="default"/>
      </w:rPr>
    </w:lvl>
    <w:lvl w:ilvl="7">
      <w:start w:val="0"/>
      <w:numFmt w:val="bullet"/>
      <w:lvlText w:val="•"/>
      <w:lvlJc w:val="left"/>
      <w:pPr>
        <w:ind w:left="6992" w:hanging="576"/>
      </w:pPr>
      <w:rPr>
        <w:rFonts w:hint="default"/>
      </w:rPr>
    </w:lvl>
    <w:lvl w:ilvl="8">
      <w:start w:val="0"/>
      <w:numFmt w:val="bullet"/>
      <w:lvlText w:val="•"/>
      <w:lvlJc w:val="left"/>
      <w:pPr>
        <w:ind w:left="7917" w:hanging="576"/>
      </w:pPr>
      <w:rPr>
        <w:rFonts w:hint="default"/>
      </w:rPr>
    </w:lvl>
  </w:abstractNum>
  <w:abstractNum w:abstractNumId="51">
    <w:multiLevelType w:val="hybridMultilevel"/>
    <w:lvl w:ilvl="0">
      <w:start w:val="116"/>
      <w:numFmt w:val="decimal"/>
      <w:lvlText w:val="%1"/>
      <w:lvlJc w:val="left"/>
      <w:pPr>
        <w:ind w:left="868" w:hanging="720"/>
        <w:jc w:val="left"/>
      </w:pPr>
      <w:rPr>
        <w:rFonts w:hint="default" w:ascii="Arial" w:hAnsi="Arial" w:eastAsia="Arial" w:cs="Arial"/>
        <w:spacing w:val="-1"/>
        <w:w w:val="100"/>
        <w:sz w:val="22"/>
        <w:szCs w:val="22"/>
      </w:rPr>
    </w:lvl>
    <w:lvl w:ilvl="1">
      <w:start w:val="0"/>
      <w:numFmt w:val="bullet"/>
      <w:lvlText w:val="•"/>
      <w:lvlJc w:val="left"/>
      <w:pPr>
        <w:ind w:left="1750" w:hanging="720"/>
      </w:pPr>
      <w:rPr>
        <w:rFonts w:hint="default"/>
      </w:rPr>
    </w:lvl>
    <w:lvl w:ilvl="2">
      <w:start w:val="0"/>
      <w:numFmt w:val="bullet"/>
      <w:lvlText w:val="•"/>
      <w:lvlJc w:val="left"/>
      <w:pPr>
        <w:ind w:left="2641" w:hanging="720"/>
      </w:pPr>
      <w:rPr>
        <w:rFonts w:hint="default"/>
      </w:rPr>
    </w:lvl>
    <w:lvl w:ilvl="3">
      <w:start w:val="0"/>
      <w:numFmt w:val="bullet"/>
      <w:lvlText w:val="•"/>
      <w:lvlJc w:val="left"/>
      <w:pPr>
        <w:ind w:left="3532" w:hanging="720"/>
      </w:pPr>
      <w:rPr>
        <w:rFonts w:hint="default"/>
      </w:rPr>
    </w:lvl>
    <w:lvl w:ilvl="4">
      <w:start w:val="0"/>
      <w:numFmt w:val="bullet"/>
      <w:lvlText w:val="•"/>
      <w:lvlJc w:val="left"/>
      <w:pPr>
        <w:ind w:left="4423" w:hanging="720"/>
      </w:pPr>
      <w:rPr>
        <w:rFonts w:hint="default"/>
      </w:rPr>
    </w:lvl>
    <w:lvl w:ilvl="5">
      <w:start w:val="0"/>
      <w:numFmt w:val="bullet"/>
      <w:lvlText w:val="•"/>
      <w:lvlJc w:val="left"/>
      <w:pPr>
        <w:ind w:left="5314" w:hanging="720"/>
      </w:pPr>
      <w:rPr>
        <w:rFonts w:hint="default"/>
      </w:rPr>
    </w:lvl>
    <w:lvl w:ilvl="6">
      <w:start w:val="0"/>
      <w:numFmt w:val="bullet"/>
      <w:lvlText w:val="•"/>
      <w:lvlJc w:val="left"/>
      <w:pPr>
        <w:ind w:left="6205" w:hanging="720"/>
      </w:pPr>
      <w:rPr>
        <w:rFonts w:hint="default"/>
      </w:rPr>
    </w:lvl>
    <w:lvl w:ilvl="7">
      <w:start w:val="0"/>
      <w:numFmt w:val="bullet"/>
      <w:lvlText w:val="•"/>
      <w:lvlJc w:val="left"/>
      <w:pPr>
        <w:ind w:left="7096" w:hanging="720"/>
      </w:pPr>
      <w:rPr>
        <w:rFonts w:hint="default"/>
      </w:rPr>
    </w:lvl>
    <w:lvl w:ilvl="8">
      <w:start w:val="0"/>
      <w:numFmt w:val="bullet"/>
      <w:lvlText w:val="•"/>
      <w:lvlJc w:val="left"/>
      <w:pPr>
        <w:ind w:left="7987" w:hanging="720"/>
      </w:pPr>
      <w:rPr>
        <w:rFonts w:hint="default"/>
      </w:rPr>
    </w:lvl>
  </w:abstractNum>
  <w:abstractNum w:abstractNumId="50">
    <w:multiLevelType w:val="hybridMultilevel"/>
    <w:lvl w:ilvl="0">
      <w:start w:val="113"/>
      <w:numFmt w:val="decimal"/>
      <w:lvlText w:val="%1"/>
      <w:lvlJc w:val="left"/>
      <w:pPr>
        <w:ind w:left="868" w:hanging="720"/>
        <w:jc w:val="left"/>
      </w:pPr>
      <w:rPr>
        <w:rFonts w:hint="default" w:ascii="Arial" w:hAnsi="Arial" w:eastAsia="Arial" w:cs="Arial"/>
        <w:spacing w:val="-1"/>
        <w:w w:val="100"/>
        <w:sz w:val="22"/>
        <w:szCs w:val="22"/>
      </w:rPr>
    </w:lvl>
    <w:lvl w:ilvl="1">
      <w:start w:val="0"/>
      <w:numFmt w:val="bullet"/>
      <w:lvlText w:val="•"/>
      <w:lvlJc w:val="left"/>
      <w:pPr>
        <w:ind w:left="1750" w:hanging="720"/>
      </w:pPr>
      <w:rPr>
        <w:rFonts w:hint="default"/>
      </w:rPr>
    </w:lvl>
    <w:lvl w:ilvl="2">
      <w:start w:val="0"/>
      <w:numFmt w:val="bullet"/>
      <w:lvlText w:val="•"/>
      <w:lvlJc w:val="left"/>
      <w:pPr>
        <w:ind w:left="2641" w:hanging="720"/>
      </w:pPr>
      <w:rPr>
        <w:rFonts w:hint="default"/>
      </w:rPr>
    </w:lvl>
    <w:lvl w:ilvl="3">
      <w:start w:val="0"/>
      <w:numFmt w:val="bullet"/>
      <w:lvlText w:val="•"/>
      <w:lvlJc w:val="left"/>
      <w:pPr>
        <w:ind w:left="3532" w:hanging="720"/>
      </w:pPr>
      <w:rPr>
        <w:rFonts w:hint="default"/>
      </w:rPr>
    </w:lvl>
    <w:lvl w:ilvl="4">
      <w:start w:val="0"/>
      <w:numFmt w:val="bullet"/>
      <w:lvlText w:val="•"/>
      <w:lvlJc w:val="left"/>
      <w:pPr>
        <w:ind w:left="4423" w:hanging="720"/>
      </w:pPr>
      <w:rPr>
        <w:rFonts w:hint="default"/>
      </w:rPr>
    </w:lvl>
    <w:lvl w:ilvl="5">
      <w:start w:val="0"/>
      <w:numFmt w:val="bullet"/>
      <w:lvlText w:val="•"/>
      <w:lvlJc w:val="left"/>
      <w:pPr>
        <w:ind w:left="5314" w:hanging="720"/>
      </w:pPr>
      <w:rPr>
        <w:rFonts w:hint="default"/>
      </w:rPr>
    </w:lvl>
    <w:lvl w:ilvl="6">
      <w:start w:val="0"/>
      <w:numFmt w:val="bullet"/>
      <w:lvlText w:val="•"/>
      <w:lvlJc w:val="left"/>
      <w:pPr>
        <w:ind w:left="6205" w:hanging="720"/>
      </w:pPr>
      <w:rPr>
        <w:rFonts w:hint="default"/>
      </w:rPr>
    </w:lvl>
    <w:lvl w:ilvl="7">
      <w:start w:val="0"/>
      <w:numFmt w:val="bullet"/>
      <w:lvlText w:val="•"/>
      <w:lvlJc w:val="left"/>
      <w:pPr>
        <w:ind w:left="7096" w:hanging="720"/>
      </w:pPr>
      <w:rPr>
        <w:rFonts w:hint="default"/>
      </w:rPr>
    </w:lvl>
    <w:lvl w:ilvl="8">
      <w:start w:val="0"/>
      <w:numFmt w:val="bullet"/>
      <w:lvlText w:val="•"/>
      <w:lvlJc w:val="left"/>
      <w:pPr>
        <w:ind w:left="7987" w:hanging="720"/>
      </w:pPr>
      <w:rPr>
        <w:rFonts w:hint="default"/>
      </w:rPr>
    </w:lvl>
  </w:abstractNum>
  <w:abstractNum w:abstractNumId="49">
    <w:multiLevelType w:val="hybridMultilevel"/>
    <w:lvl w:ilvl="0">
      <w:start w:val="109"/>
      <w:numFmt w:val="decimal"/>
      <w:lvlText w:val="%1"/>
      <w:lvlJc w:val="left"/>
      <w:pPr>
        <w:ind w:left="868" w:hanging="720"/>
        <w:jc w:val="left"/>
      </w:pPr>
      <w:rPr>
        <w:rFonts w:hint="default" w:ascii="Arial" w:hAnsi="Arial" w:eastAsia="Arial" w:cs="Arial"/>
        <w:spacing w:val="-1"/>
        <w:w w:val="100"/>
        <w:sz w:val="22"/>
        <w:szCs w:val="22"/>
      </w:rPr>
    </w:lvl>
    <w:lvl w:ilvl="1">
      <w:start w:val="0"/>
      <w:numFmt w:val="bullet"/>
      <w:lvlText w:val="•"/>
      <w:lvlJc w:val="left"/>
      <w:pPr>
        <w:ind w:left="1750" w:hanging="720"/>
      </w:pPr>
      <w:rPr>
        <w:rFonts w:hint="default"/>
      </w:rPr>
    </w:lvl>
    <w:lvl w:ilvl="2">
      <w:start w:val="0"/>
      <w:numFmt w:val="bullet"/>
      <w:lvlText w:val="•"/>
      <w:lvlJc w:val="left"/>
      <w:pPr>
        <w:ind w:left="2641" w:hanging="720"/>
      </w:pPr>
      <w:rPr>
        <w:rFonts w:hint="default"/>
      </w:rPr>
    </w:lvl>
    <w:lvl w:ilvl="3">
      <w:start w:val="0"/>
      <w:numFmt w:val="bullet"/>
      <w:lvlText w:val="•"/>
      <w:lvlJc w:val="left"/>
      <w:pPr>
        <w:ind w:left="3532" w:hanging="720"/>
      </w:pPr>
      <w:rPr>
        <w:rFonts w:hint="default"/>
      </w:rPr>
    </w:lvl>
    <w:lvl w:ilvl="4">
      <w:start w:val="0"/>
      <w:numFmt w:val="bullet"/>
      <w:lvlText w:val="•"/>
      <w:lvlJc w:val="left"/>
      <w:pPr>
        <w:ind w:left="4423" w:hanging="720"/>
      </w:pPr>
      <w:rPr>
        <w:rFonts w:hint="default"/>
      </w:rPr>
    </w:lvl>
    <w:lvl w:ilvl="5">
      <w:start w:val="0"/>
      <w:numFmt w:val="bullet"/>
      <w:lvlText w:val="•"/>
      <w:lvlJc w:val="left"/>
      <w:pPr>
        <w:ind w:left="5314" w:hanging="720"/>
      </w:pPr>
      <w:rPr>
        <w:rFonts w:hint="default"/>
      </w:rPr>
    </w:lvl>
    <w:lvl w:ilvl="6">
      <w:start w:val="0"/>
      <w:numFmt w:val="bullet"/>
      <w:lvlText w:val="•"/>
      <w:lvlJc w:val="left"/>
      <w:pPr>
        <w:ind w:left="6205" w:hanging="720"/>
      </w:pPr>
      <w:rPr>
        <w:rFonts w:hint="default"/>
      </w:rPr>
    </w:lvl>
    <w:lvl w:ilvl="7">
      <w:start w:val="0"/>
      <w:numFmt w:val="bullet"/>
      <w:lvlText w:val="•"/>
      <w:lvlJc w:val="left"/>
      <w:pPr>
        <w:ind w:left="7096" w:hanging="720"/>
      </w:pPr>
      <w:rPr>
        <w:rFonts w:hint="default"/>
      </w:rPr>
    </w:lvl>
    <w:lvl w:ilvl="8">
      <w:start w:val="0"/>
      <w:numFmt w:val="bullet"/>
      <w:lvlText w:val="•"/>
      <w:lvlJc w:val="left"/>
      <w:pPr>
        <w:ind w:left="7987" w:hanging="720"/>
      </w:pPr>
      <w:rPr>
        <w:rFonts w:hint="default"/>
      </w:rPr>
    </w:lvl>
  </w:abstractNum>
  <w:abstractNum w:abstractNumId="48">
    <w:multiLevelType w:val="hybridMultilevel"/>
    <w:lvl w:ilvl="0">
      <w:start w:val="10"/>
      <w:numFmt w:val="decimal"/>
      <w:lvlText w:val="%1"/>
      <w:lvlJc w:val="left"/>
      <w:pPr>
        <w:ind w:left="1300" w:hanging="432"/>
        <w:jc w:val="left"/>
      </w:pPr>
      <w:rPr>
        <w:rFonts w:hint="default" w:ascii="Arial" w:hAnsi="Arial" w:eastAsia="Arial" w:cs="Arial"/>
        <w:b/>
        <w:bCs/>
        <w:w w:val="99"/>
        <w:sz w:val="24"/>
        <w:szCs w:val="24"/>
      </w:rPr>
    </w:lvl>
    <w:lvl w:ilvl="1">
      <w:start w:val="1"/>
      <w:numFmt w:val="decimal"/>
      <w:lvlText w:val="%1.%2"/>
      <w:lvlJc w:val="left"/>
      <w:pPr>
        <w:ind w:left="1444" w:hanging="576"/>
        <w:jc w:val="left"/>
      </w:pPr>
      <w:rPr>
        <w:rFonts w:hint="default" w:ascii="Arial" w:hAnsi="Arial" w:eastAsia="Arial" w:cs="Arial"/>
        <w:b/>
        <w:bCs/>
        <w:spacing w:val="-26"/>
        <w:w w:val="99"/>
        <w:sz w:val="24"/>
        <w:szCs w:val="24"/>
      </w:rPr>
    </w:lvl>
    <w:lvl w:ilvl="2">
      <w:start w:val="0"/>
      <w:numFmt w:val="bullet"/>
      <w:lvlText w:val="•"/>
      <w:lvlJc w:val="left"/>
      <w:pPr>
        <w:ind w:left="2365" w:hanging="576"/>
      </w:pPr>
      <w:rPr>
        <w:rFonts w:hint="default"/>
      </w:rPr>
    </w:lvl>
    <w:lvl w:ilvl="3">
      <w:start w:val="0"/>
      <w:numFmt w:val="bullet"/>
      <w:lvlText w:val="•"/>
      <w:lvlJc w:val="left"/>
      <w:pPr>
        <w:ind w:left="3290" w:hanging="576"/>
      </w:pPr>
      <w:rPr>
        <w:rFonts w:hint="default"/>
      </w:rPr>
    </w:lvl>
    <w:lvl w:ilvl="4">
      <w:start w:val="0"/>
      <w:numFmt w:val="bullet"/>
      <w:lvlText w:val="•"/>
      <w:lvlJc w:val="left"/>
      <w:pPr>
        <w:ind w:left="4216" w:hanging="576"/>
      </w:pPr>
      <w:rPr>
        <w:rFonts w:hint="default"/>
      </w:rPr>
    </w:lvl>
    <w:lvl w:ilvl="5">
      <w:start w:val="0"/>
      <w:numFmt w:val="bullet"/>
      <w:lvlText w:val="•"/>
      <w:lvlJc w:val="left"/>
      <w:pPr>
        <w:ind w:left="5141" w:hanging="576"/>
      </w:pPr>
      <w:rPr>
        <w:rFonts w:hint="default"/>
      </w:rPr>
    </w:lvl>
    <w:lvl w:ilvl="6">
      <w:start w:val="0"/>
      <w:numFmt w:val="bullet"/>
      <w:lvlText w:val="•"/>
      <w:lvlJc w:val="left"/>
      <w:pPr>
        <w:ind w:left="6067" w:hanging="576"/>
      </w:pPr>
      <w:rPr>
        <w:rFonts w:hint="default"/>
      </w:rPr>
    </w:lvl>
    <w:lvl w:ilvl="7">
      <w:start w:val="0"/>
      <w:numFmt w:val="bullet"/>
      <w:lvlText w:val="•"/>
      <w:lvlJc w:val="left"/>
      <w:pPr>
        <w:ind w:left="6992" w:hanging="576"/>
      </w:pPr>
      <w:rPr>
        <w:rFonts w:hint="default"/>
      </w:rPr>
    </w:lvl>
    <w:lvl w:ilvl="8">
      <w:start w:val="0"/>
      <w:numFmt w:val="bullet"/>
      <w:lvlText w:val="•"/>
      <w:lvlJc w:val="left"/>
      <w:pPr>
        <w:ind w:left="7917" w:hanging="576"/>
      </w:pPr>
      <w:rPr>
        <w:rFonts w:hint="default"/>
      </w:rPr>
    </w:lvl>
  </w:abstractNum>
  <w:abstractNum w:abstractNumId="47">
    <w:multiLevelType w:val="hybridMultilevel"/>
    <w:lvl w:ilvl="0">
      <w:start w:val="9"/>
      <w:numFmt w:val="decimal"/>
      <w:lvlText w:val="%1"/>
      <w:lvlJc w:val="left"/>
      <w:pPr>
        <w:ind w:left="1588" w:hanging="720"/>
        <w:jc w:val="left"/>
      </w:pPr>
      <w:rPr>
        <w:rFonts w:hint="default"/>
      </w:rPr>
    </w:lvl>
    <w:lvl w:ilvl="1">
      <w:start w:val="3"/>
      <w:numFmt w:val="decimal"/>
      <w:lvlText w:val="%1.%2"/>
      <w:lvlJc w:val="left"/>
      <w:pPr>
        <w:ind w:left="1588" w:hanging="720"/>
        <w:jc w:val="left"/>
      </w:pPr>
      <w:rPr>
        <w:rFonts w:hint="default"/>
      </w:rPr>
    </w:lvl>
    <w:lvl w:ilvl="2">
      <w:start w:val="1"/>
      <w:numFmt w:val="decimal"/>
      <w:lvlText w:val="%1.%2.%3"/>
      <w:lvlJc w:val="left"/>
      <w:pPr>
        <w:ind w:left="1588" w:hanging="720"/>
        <w:jc w:val="left"/>
      </w:pPr>
      <w:rPr>
        <w:rFonts w:hint="default" w:ascii="Arial" w:hAnsi="Arial" w:eastAsia="Arial" w:cs="Arial"/>
        <w:b/>
        <w:bCs/>
        <w:color w:val="0D0D0D"/>
        <w:w w:val="100"/>
        <w:sz w:val="22"/>
        <w:szCs w:val="22"/>
      </w:rPr>
    </w:lvl>
    <w:lvl w:ilvl="3">
      <w:start w:val="0"/>
      <w:numFmt w:val="bullet"/>
      <w:lvlText w:val="•"/>
      <w:lvlJc w:val="left"/>
      <w:pPr>
        <w:ind w:left="4036" w:hanging="720"/>
      </w:pPr>
      <w:rPr>
        <w:rFonts w:hint="default"/>
      </w:rPr>
    </w:lvl>
    <w:lvl w:ilvl="4">
      <w:start w:val="0"/>
      <w:numFmt w:val="bullet"/>
      <w:lvlText w:val="•"/>
      <w:lvlJc w:val="left"/>
      <w:pPr>
        <w:ind w:left="4855" w:hanging="720"/>
      </w:pPr>
      <w:rPr>
        <w:rFonts w:hint="default"/>
      </w:rPr>
    </w:lvl>
    <w:lvl w:ilvl="5">
      <w:start w:val="0"/>
      <w:numFmt w:val="bullet"/>
      <w:lvlText w:val="•"/>
      <w:lvlJc w:val="left"/>
      <w:pPr>
        <w:ind w:left="5674" w:hanging="720"/>
      </w:pPr>
      <w:rPr>
        <w:rFonts w:hint="default"/>
      </w:rPr>
    </w:lvl>
    <w:lvl w:ilvl="6">
      <w:start w:val="0"/>
      <w:numFmt w:val="bullet"/>
      <w:lvlText w:val="•"/>
      <w:lvlJc w:val="left"/>
      <w:pPr>
        <w:ind w:left="6493" w:hanging="720"/>
      </w:pPr>
      <w:rPr>
        <w:rFonts w:hint="default"/>
      </w:rPr>
    </w:lvl>
    <w:lvl w:ilvl="7">
      <w:start w:val="0"/>
      <w:numFmt w:val="bullet"/>
      <w:lvlText w:val="•"/>
      <w:lvlJc w:val="left"/>
      <w:pPr>
        <w:ind w:left="7312" w:hanging="720"/>
      </w:pPr>
      <w:rPr>
        <w:rFonts w:hint="default"/>
      </w:rPr>
    </w:lvl>
    <w:lvl w:ilvl="8">
      <w:start w:val="0"/>
      <w:numFmt w:val="bullet"/>
      <w:lvlText w:val="•"/>
      <w:lvlJc w:val="left"/>
      <w:pPr>
        <w:ind w:left="8131" w:hanging="720"/>
      </w:pPr>
      <w:rPr>
        <w:rFonts w:hint="default"/>
      </w:rPr>
    </w:lvl>
  </w:abstractNum>
  <w:abstractNum w:abstractNumId="46">
    <w:multiLevelType w:val="hybridMultilevel"/>
    <w:lvl w:ilvl="0">
      <w:start w:val="9"/>
      <w:numFmt w:val="decimal"/>
      <w:lvlText w:val="%1"/>
      <w:lvlJc w:val="left"/>
      <w:pPr>
        <w:ind w:left="1588" w:hanging="720"/>
        <w:jc w:val="left"/>
      </w:pPr>
      <w:rPr>
        <w:rFonts w:hint="default"/>
      </w:rPr>
    </w:lvl>
    <w:lvl w:ilvl="1">
      <w:start w:val="2"/>
      <w:numFmt w:val="decimal"/>
      <w:lvlText w:val="%1.%2"/>
      <w:lvlJc w:val="left"/>
      <w:pPr>
        <w:ind w:left="1588" w:hanging="720"/>
        <w:jc w:val="left"/>
      </w:pPr>
      <w:rPr>
        <w:rFonts w:hint="default"/>
      </w:rPr>
    </w:lvl>
    <w:lvl w:ilvl="2">
      <w:start w:val="1"/>
      <w:numFmt w:val="decimal"/>
      <w:lvlText w:val="%1.%2.%3"/>
      <w:lvlJc w:val="left"/>
      <w:pPr>
        <w:ind w:left="1588" w:hanging="720"/>
        <w:jc w:val="left"/>
      </w:pPr>
      <w:rPr>
        <w:rFonts w:hint="default" w:ascii="Arial" w:hAnsi="Arial" w:eastAsia="Arial" w:cs="Arial"/>
        <w:b/>
        <w:bCs/>
        <w:color w:val="0D0D0D"/>
        <w:w w:val="100"/>
        <w:sz w:val="22"/>
        <w:szCs w:val="22"/>
      </w:rPr>
    </w:lvl>
    <w:lvl w:ilvl="3">
      <w:start w:val="0"/>
      <w:numFmt w:val="bullet"/>
      <w:lvlText w:val="•"/>
      <w:lvlJc w:val="left"/>
      <w:pPr>
        <w:ind w:left="4036" w:hanging="720"/>
      </w:pPr>
      <w:rPr>
        <w:rFonts w:hint="default"/>
      </w:rPr>
    </w:lvl>
    <w:lvl w:ilvl="4">
      <w:start w:val="0"/>
      <w:numFmt w:val="bullet"/>
      <w:lvlText w:val="•"/>
      <w:lvlJc w:val="left"/>
      <w:pPr>
        <w:ind w:left="4855" w:hanging="720"/>
      </w:pPr>
      <w:rPr>
        <w:rFonts w:hint="default"/>
      </w:rPr>
    </w:lvl>
    <w:lvl w:ilvl="5">
      <w:start w:val="0"/>
      <w:numFmt w:val="bullet"/>
      <w:lvlText w:val="•"/>
      <w:lvlJc w:val="left"/>
      <w:pPr>
        <w:ind w:left="5674" w:hanging="720"/>
      </w:pPr>
      <w:rPr>
        <w:rFonts w:hint="default"/>
      </w:rPr>
    </w:lvl>
    <w:lvl w:ilvl="6">
      <w:start w:val="0"/>
      <w:numFmt w:val="bullet"/>
      <w:lvlText w:val="•"/>
      <w:lvlJc w:val="left"/>
      <w:pPr>
        <w:ind w:left="6493" w:hanging="720"/>
      </w:pPr>
      <w:rPr>
        <w:rFonts w:hint="default"/>
      </w:rPr>
    </w:lvl>
    <w:lvl w:ilvl="7">
      <w:start w:val="0"/>
      <w:numFmt w:val="bullet"/>
      <w:lvlText w:val="•"/>
      <w:lvlJc w:val="left"/>
      <w:pPr>
        <w:ind w:left="7312" w:hanging="720"/>
      </w:pPr>
      <w:rPr>
        <w:rFonts w:hint="default"/>
      </w:rPr>
    </w:lvl>
    <w:lvl w:ilvl="8">
      <w:start w:val="0"/>
      <w:numFmt w:val="bullet"/>
      <w:lvlText w:val="•"/>
      <w:lvlJc w:val="left"/>
      <w:pPr>
        <w:ind w:left="8131" w:hanging="720"/>
      </w:pPr>
      <w:rPr>
        <w:rFonts w:hint="default"/>
      </w:rPr>
    </w:lvl>
  </w:abstractNum>
  <w:abstractNum w:abstractNumId="45">
    <w:multiLevelType w:val="hybridMultilevel"/>
    <w:lvl w:ilvl="0">
      <w:start w:val="98"/>
      <w:numFmt w:val="decimal"/>
      <w:lvlText w:val="%1"/>
      <w:lvlJc w:val="left"/>
      <w:pPr>
        <w:ind w:left="868" w:hanging="720"/>
        <w:jc w:val="left"/>
      </w:pPr>
      <w:rPr>
        <w:rFonts w:hint="default" w:ascii="Arial" w:hAnsi="Arial" w:eastAsia="Arial" w:cs="Arial"/>
        <w:spacing w:val="-1"/>
        <w:w w:val="100"/>
        <w:sz w:val="22"/>
        <w:szCs w:val="22"/>
      </w:rPr>
    </w:lvl>
    <w:lvl w:ilvl="1">
      <w:start w:val="0"/>
      <w:numFmt w:val="bullet"/>
      <w:lvlText w:val="•"/>
      <w:lvlJc w:val="left"/>
      <w:pPr>
        <w:ind w:left="1750" w:hanging="720"/>
      </w:pPr>
      <w:rPr>
        <w:rFonts w:hint="default"/>
      </w:rPr>
    </w:lvl>
    <w:lvl w:ilvl="2">
      <w:start w:val="0"/>
      <w:numFmt w:val="bullet"/>
      <w:lvlText w:val="•"/>
      <w:lvlJc w:val="left"/>
      <w:pPr>
        <w:ind w:left="2641" w:hanging="720"/>
      </w:pPr>
      <w:rPr>
        <w:rFonts w:hint="default"/>
      </w:rPr>
    </w:lvl>
    <w:lvl w:ilvl="3">
      <w:start w:val="0"/>
      <w:numFmt w:val="bullet"/>
      <w:lvlText w:val="•"/>
      <w:lvlJc w:val="left"/>
      <w:pPr>
        <w:ind w:left="3532" w:hanging="720"/>
      </w:pPr>
      <w:rPr>
        <w:rFonts w:hint="default"/>
      </w:rPr>
    </w:lvl>
    <w:lvl w:ilvl="4">
      <w:start w:val="0"/>
      <w:numFmt w:val="bullet"/>
      <w:lvlText w:val="•"/>
      <w:lvlJc w:val="left"/>
      <w:pPr>
        <w:ind w:left="4423" w:hanging="720"/>
      </w:pPr>
      <w:rPr>
        <w:rFonts w:hint="default"/>
      </w:rPr>
    </w:lvl>
    <w:lvl w:ilvl="5">
      <w:start w:val="0"/>
      <w:numFmt w:val="bullet"/>
      <w:lvlText w:val="•"/>
      <w:lvlJc w:val="left"/>
      <w:pPr>
        <w:ind w:left="5314" w:hanging="720"/>
      </w:pPr>
      <w:rPr>
        <w:rFonts w:hint="default"/>
      </w:rPr>
    </w:lvl>
    <w:lvl w:ilvl="6">
      <w:start w:val="0"/>
      <w:numFmt w:val="bullet"/>
      <w:lvlText w:val="•"/>
      <w:lvlJc w:val="left"/>
      <w:pPr>
        <w:ind w:left="6205" w:hanging="720"/>
      </w:pPr>
      <w:rPr>
        <w:rFonts w:hint="default"/>
      </w:rPr>
    </w:lvl>
    <w:lvl w:ilvl="7">
      <w:start w:val="0"/>
      <w:numFmt w:val="bullet"/>
      <w:lvlText w:val="•"/>
      <w:lvlJc w:val="left"/>
      <w:pPr>
        <w:ind w:left="7096" w:hanging="720"/>
      </w:pPr>
      <w:rPr>
        <w:rFonts w:hint="default"/>
      </w:rPr>
    </w:lvl>
    <w:lvl w:ilvl="8">
      <w:start w:val="0"/>
      <w:numFmt w:val="bullet"/>
      <w:lvlText w:val="•"/>
      <w:lvlJc w:val="left"/>
      <w:pPr>
        <w:ind w:left="7987" w:hanging="720"/>
      </w:pPr>
      <w:rPr>
        <w:rFonts w:hint="default"/>
      </w:rPr>
    </w:lvl>
  </w:abstractNum>
  <w:abstractNum w:abstractNumId="44">
    <w:multiLevelType w:val="hybridMultilevel"/>
    <w:lvl w:ilvl="0">
      <w:start w:val="9"/>
      <w:numFmt w:val="decimal"/>
      <w:lvlText w:val="%1"/>
      <w:lvlJc w:val="left"/>
      <w:pPr>
        <w:ind w:left="1300" w:hanging="432"/>
        <w:jc w:val="left"/>
      </w:pPr>
      <w:rPr>
        <w:rFonts w:hint="default" w:ascii="Arial" w:hAnsi="Arial" w:eastAsia="Arial" w:cs="Arial"/>
        <w:b/>
        <w:bCs/>
        <w:w w:val="99"/>
        <w:sz w:val="24"/>
        <w:szCs w:val="24"/>
      </w:rPr>
    </w:lvl>
    <w:lvl w:ilvl="1">
      <w:start w:val="1"/>
      <w:numFmt w:val="decimal"/>
      <w:lvlText w:val="%1.%2"/>
      <w:lvlJc w:val="left"/>
      <w:pPr>
        <w:ind w:left="1444" w:hanging="576"/>
        <w:jc w:val="left"/>
      </w:pPr>
      <w:rPr>
        <w:rFonts w:hint="default" w:ascii="Arial" w:hAnsi="Arial" w:eastAsia="Arial" w:cs="Arial"/>
        <w:b/>
        <w:bCs/>
        <w:spacing w:val="-26"/>
        <w:w w:val="99"/>
        <w:sz w:val="24"/>
        <w:szCs w:val="24"/>
      </w:rPr>
    </w:lvl>
    <w:lvl w:ilvl="2">
      <w:start w:val="0"/>
      <w:numFmt w:val="bullet"/>
      <w:lvlText w:val="•"/>
      <w:lvlJc w:val="left"/>
      <w:pPr>
        <w:ind w:left="2365" w:hanging="576"/>
      </w:pPr>
      <w:rPr>
        <w:rFonts w:hint="default"/>
      </w:rPr>
    </w:lvl>
    <w:lvl w:ilvl="3">
      <w:start w:val="0"/>
      <w:numFmt w:val="bullet"/>
      <w:lvlText w:val="•"/>
      <w:lvlJc w:val="left"/>
      <w:pPr>
        <w:ind w:left="3290" w:hanging="576"/>
      </w:pPr>
      <w:rPr>
        <w:rFonts w:hint="default"/>
      </w:rPr>
    </w:lvl>
    <w:lvl w:ilvl="4">
      <w:start w:val="0"/>
      <w:numFmt w:val="bullet"/>
      <w:lvlText w:val="•"/>
      <w:lvlJc w:val="left"/>
      <w:pPr>
        <w:ind w:left="4216" w:hanging="576"/>
      </w:pPr>
      <w:rPr>
        <w:rFonts w:hint="default"/>
      </w:rPr>
    </w:lvl>
    <w:lvl w:ilvl="5">
      <w:start w:val="0"/>
      <w:numFmt w:val="bullet"/>
      <w:lvlText w:val="•"/>
      <w:lvlJc w:val="left"/>
      <w:pPr>
        <w:ind w:left="5141" w:hanging="576"/>
      </w:pPr>
      <w:rPr>
        <w:rFonts w:hint="default"/>
      </w:rPr>
    </w:lvl>
    <w:lvl w:ilvl="6">
      <w:start w:val="0"/>
      <w:numFmt w:val="bullet"/>
      <w:lvlText w:val="•"/>
      <w:lvlJc w:val="left"/>
      <w:pPr>
        <w:ind w:left="6067" w:hanging="576"/>
      </w:pPr>
      <w:rPr>
        <w:rFonts w:hint="default"/>
      </w:rPr>
    </w:lvl>
    <w:lvl w:ilvl="7">
      <w:start w:val="0"/>
      <w:numFmt w:val="bullet"/>
      <w:lvlText w:val="•"/>
      <w:lvlJc w:val="left"/>
      <w:pPr>
        <w:ind w:left="6992" w:hanging="576"/>
      </w:pPr>
      <w:rPr>
        <w:rFonts w:hint="default"/>
      </w:rPr>
    </w:lvl>
    <w:lvl w:ilvl="8">
      <w:start w:val="0"/>
      <w:numFmt w:val="bullet"/>
      <w:lvlText w:val="•"/>
      <w:lvlJc w:val="left"/>
      <w:pPr>
        <w:ind w:left="7917" w:hanging="576"/>
      </w:pPr>
      <w:rPr>
        <w:rFonts w:hint="default"/>
      </w:rPr>
    </w:lvl>
  </w:abstractNum>
  <w:abstractNum w:abstractNumId="43">
    <w:multiLevelType w:val="hybridMultilevel"/>
    <w:lvl w:ilvl="0">
      <w:start w:val="92"/>
      <w:numFmt w:val="decimal"/>
      <w:lvlText w:val="%1"/>
      <w:lvlJc w:val="left"/>
      <w:pPr>
        <w:ind w:left="868" w:hanging="720"/>
        <w:jc w:val="left"/>
      </w:pPr>
      <w:rPr>
        <w:rFonts w:hint="default"/>
        <w:spacing w:val="-1"/>
        <w:w w:val="100"/>
      </w:rPr>
    </w:lvl>
    <w:lvl w:ilvl="1">
      <w:start w:val="0"/>
      <w:numFmt w:val="bullet"/>
      <w:lvlText w:val="•"/>
      <w:lvlJc w:val="left"/>
      <w:pPr>
        <w:ind w:left="1750" w:hanging="720"/>
      </w:pPr>
      <w:rPr>
        <w:rFonts w:hint="default"/>
      </w:rPr>
    </w:lvl>
    <w:lvl w:ilvl="2">
      <w:start w:val="0"/>
      <w:numFmt w:val="bullet"/>
      <w:lvlText w:val="•"/>
      <w:lvlJc w:val="left"/>
      <w:pPr>
        <w:ind w:left="2641" w:hanging="720"/>
      </w:pPr>
      <w:rPr>
        <w:rFonts w:hint="default"/>
      </w:rPr>
    </w:lvl>
    <w:lvl w:ilvl="3">
      <w:start w:val="0"/>
      <w:numFmt w:val="bullet"/>
      <w:lvlText w:val="•"/>
      <w:lvlJc w:val="left"/>
      <w:pPr>
        <w:ind w:left="3532" w:hanging="720"/>
      </w:pPr>
      <w:rPr>
        <w:rFonts w:hint="default"/>
      </w:rPr>
    </w:lvl>
    <w:lvl w:ilvl="4">
      <w:start w:val="0"/>
      <w:numFmt w:val="bullet"/>
      <w:lvlText w:val="•"/>
      <w:lvlJc w:val="left"/>
      <w:pPr>
        <w:ind w:left="4423" w:hanging="720"/>
      </w:pPr>
      <w:rPr>
        <w:rFonts w:hint="default"/>
      </w:rPr>
    </w:lvl>
    <w:lvl w:ilvl="5">
      <w:start w:val="0"/>
      <w:numFmt w:val="bullet"/>
      <w:lvlText w:val="•"/>
      <w:lvlJc w:val="left"/>
      <w:pPr>
        <w:ind w:left="5314" w:hanging="720"/>
      </w:pPr>
      <w:rPr>
        <w:rFonts w:hint="default"/>
      </w:rPr>
    </w:lvl>
    <w:lvl w:ilvl="6">
      <w:start w:val="0"/>
      <w:numFmt w:val="bullet"/>
      <w:lvlText w:val="•"/>
      <w:lvlJc w:val="left"/>
      <w:pPr>
        <w:ind w:left="6205" w:hanging="720"/>
      </w:pPr>
      <w:rPr>
        <w:rFonts w:hint="default"/>
      </w:rPr>
    </w:lvl>
    <w:lvl w:ilvl="7">
      <w:start w:val="0"/>
      <w:numFmt w:val="bullet"/>
      <w:lvlText w:val="•"/>
      <w:lvlJc w:val="left"/>
      <w:pPr>
        <w:ind w:left="7096" w:hanging="720"/>
      </w:pPr>
      <w:rPr>
        <w:rFonts w:hint="default"/>
      </w:rPr>
    </w:lvl>
    <w:lvl w:ilvl="8">
      <w:start w:val="0"/>
      <w:numFmt w:val="bullet"/>
      <w:lvlText w:val="•"/>
      <w:lvlJc w:val="left"/>
      <w:pPr>
        <w:ind w:left="7987" w:hanging="720"/>
      </w:pPr>
      <w:rPr>
        <w:rFonts w:hint="default"/>
      </w:rPr>
    </w:lvl>
  </w:abstractNum>
  <w:abstractNum w:abstractNumId="42">
    <w:multiLevelType w:val="hybridMultilevel"/>
    <w:lvl w:ilvl="0">
      <w:start w:val="88"/>
      <w:numFmt w:val="decimal"/>
      <w:lvlText w:val="%1"/>
      <w:lvlJc w:val="left"/>
      <w:pPr>
        <w:ind w:left="868" w:hanging="720"/>
        <w:jc w:val="left"/>
      </w:pPr>
      <w:rPr>
        <w:rFonts w:hint="default" w:ascii="Arial" w:hAnsi="Arial" w:eastAsia="Arial" w:cs="Arial"/>
        <w:spacing w:val="-1"/>
        <w:w w:val="100"/>
        <w:sz w:val="22"/>
        <w:szCs w:val="22"/>
      </w:rPr>
    </w:lvl>
    <w:lvl w:ilvl="1">
      <w:start w:val="0"/>
      <w:numFmt w:val="bullet"/>
      <w:lvlText w:val="•"/>
      <w:lvlJc w:val="left"/>
      <w:pPr>
        <w:ind w:left="1750" w:hanging="720"/>
      </w:pPr>
      <w:rPr>
        <w:rFonts w:hint="default"/>
      </w:rPr>
    </w:lvl>
    <w:lvl w:ilvl="2">
      <w:start w:val="0"/>
      <w:numFmt w:val="bullet"/>
      <w:lvlText w:val="•"/>
      <w:lvlJc w:val="left"/>
      <w:pPr>
        <w:ind w:left="2641" w:hanging="720"/>
      </w:pPr>
      <w:rPr>
        <w:rFonts w:hint="default"/>
      </w:rPr>
    </w:lvl>
    <w:lvl w:ilvl="3">
      <w:start w:val="0"/>
      <w:numFmt w:val="bullet"/>
      <w:lvlText w:val="•"/>
      <w:lvlJc w:val="left"/>
      <w:pPr>
        <w:ind w:left="3532" w:hanging="720"/>
      </w:pPr>
      <w:rPr>
        <w:rFonts w:hint="default"/>
      </w:rPr>
    </w:lvl>
    <w:lvl w:ilvl="4">
      <w:start w:val="0"/>
      <w:numFmt w:val="bullet"/>
      <w:lvlText w:val="•"/>
      <w:lvlJc w:val="left"/>
      <w:pPr>
        <w:ind w:left="4423" w:hanging="720"/>
      </w:pPr>
      <w:rPr>
        <w:rFonts w:hint="default"/>
      </w:rPr>
    </w:lvl>
    <w:lvl w:ilvl="5">
      <w:start w:val="0"/>
      <w:numFmt w:val="bullet"/>
      <w:lvlText w:val="•"/>
      <w:lvlJc w:val="left"/>
      <w:pPr>
        <w:ind w:left="5314" w:hanging="720"/>
      </w:pPr>
      <w:rPr>
        <w:rFonts w:hint="default"/>
      </w:rPr>
    </w:lvl>
    <w:lvl w:ilvl="6">
      <w:start w:val="0"/>
      <w:numFmt w:val="bullet"/>
      <w:lvlText w:val="•"/>
      <w:lvlJc w:val="left"/>
      <w:pPr>
        <w:ind w:left="6205" w:hanging="720"/>
      </w:pPr>
      <w:rPr>
        <w:rFonts w:hint="default"/>
      </w:rPr>
    </w:lvl>
    <w:lvl w:ilvl="7">
      <w:start w:val="0"/>
      <w:numFmt w:val="bullet"/>
      <w:lvlText w:val="•"/>
      <w:lvlJc w:val="left"/>
      <w:pPr>
        <w:ind w:left="7096" w:hanging="720"/>
      </w:pPr>
      <w:rPr>
        <w:rFonts w:hint="default"/>
      </w:rPr>
    </w:lvl>
    <w:lvl w:ilvl="8">
      <w:start w:val="0"/>
      <w:numFmt w:val="bullet"/>
      <w:lvlText w:val="•"/>
      <w:lvlJc w:val="left"/>
      <w:pPr>
        <w:ind w:left="7987" w:hanging="720"/>
      </w:pPr>
      <w:rPr>
        <w:rFonts w:hint="default"/>
      </w:rPr>
    </w:lvl>
  </w:abstractNum>
  <w:abstractNum w:abstractNumId="41">
    <w:multiLevelType w:val="hybridMultilevel"/>
    <w:lvl w:ilvl="0">
      <w:start w:val="8"/>
      <w:numFmt w:val="decimal"/>
      <w:lvlText w:val="%1"/>
      <w:lvlJc w:val="left"/>
      <w:pPr>
        <w:ind w:left="1300" w:hanging="432"/>
        <w:jc w:val="left"/>
      </w:pPr>
      <w:rPr>
        <w:rFonts w:hint="default" w:ascii="Arial" w:hAnsi="Arial" w:eastAsia="Arial" w:cs="Arial"/>
        <w:b/>
        <w:bCs/>
        <w:w w:val="99"/>
        <w:sz w:val="24"/>
        <w:szCs w:val="24"/>
      </w:rPr>
    </w:lvl>
    <w:lvl w:ilvl="1">
      <w:start w:val="1"/>
      <w:numFmt w:val="decimal"/>
      <w:lvlText w:val="%1.%2"/>
      <w:lvlJc w:val="left"/>
      <w:pPr>
        <w:ind w:left="1444" w:hanging="576"/>
        <w:jc w:val="left"/>
      </w:pPr>
      <w:rPr>
        <w:rFonts w:hint="default" w:ascii="Arial" w:hAnsi="Arial" w:eastAsia="Arial" w:cs="Arial"/>
        <w:b/>
        <w:bCs/>
        <w:spacing w:val="-26"/>
        <w:w w:val="99"/>
        <w:sz w:val="24"/>
        <w:szCs w:val="24"/>
      </w:rPr>
    </w:lvl>
    <w:lvl w:ilvl="2">
      <w:start w:val="0"/>
      <w:numFmt w:val="bullet"/>
      <w:lvlText w:val="•"/>
      <w:lvlJc w:val="left"/>
      <w:pPr>
        <w:ind w:left="2365" w:hanging="576"/>
      </w:pPr>
      <w:rPr>
        <w:rFonts w:hint="default"/>
      </w:rPr>
    </w:lvl>
    <w:lvl w:ilvl="3">
      <w:start w:val="0"/>
      <w:numFmt w:val="bullet"/>
      <w:lvlText w:val="•"/>
      <w:lvlJc w:val="left"/>
      <w:pPr>
        <w:ind w:left="3290" w:hanging="576"/>
      </w:pPr>
      <w:rPr>
        <w:rFonts w:hint="default"/>
      </w:rPr>
    </w:lvl>
    <w:lvl w:ilvl="4">
      <w:start w:val="0"/>
      <w:numFmt w:val="bullet"/>
      <w:lvlText w:val="•"/>
      <w:lvlJc w:val="left"/>
      <w:pPr>
        <w:ind w:left="4216" w:hanging="576"/>
      </w:pPr>
      <w:rPr>
        <w:rFonts w:hint="default"/>
      </w:rPr>
    </w:lvl>
    <w:lvl w:ilvl="5">
      <w:start w:val="0"/>
      <w:numFmt w:val="bullet"/>
      <w:lvlText w:val="•"/>
      <w:lvlJc w:val="left"/>
      <w:pPr>
        <w:ind w:left="5141" w:hanging="576"/>
      </w:pPr>
      <w:rPr>
        <w:rFonts w:hint="default"/>
      </w:rPr>
    </w:lvl>
    <w:lvl w:ilvl="6">
      <w:start w:val="0"/>
      <w:numFmt w:val="bullet"/>
      <w:lvlText w:val="•"/>
      <w:lvlJc w:val="left"/>
      <w:pPr>
        <w:ind w:left="6067" w:hanging="576"/>
      </w:pPr>
      <w:rPr>
        <w:rFonts w:hint="default"/>
      </w:rPr>
    </w:lvl>
    <w:lvl w:ilvl="7">
      <w:start w:val="0"/>
      <w:numFmt w:val="bullet"/>
      <w:lvlText w:val="•"/>
      <w:lvlJc w:val="left"/>
      <w:pPr>
        <w:ind w:left="6992" w:hanging="576"/>
      </w:pPr>
      <w:rPr>
        <w:rFonts w:hint="default"/>
      </w:rPr>
    </w:lvl>
    <w:lvl w:ilvl="8">
      <w:start w:val="0"/>
      <w:numFmt w:val="bullet"/>
      <w:lvlText w:val="•"/>
      <w:lvlJc w:val="left"/>
      <w:pPr>
        <w:ind w:left="7917" w:hanging="576"/>
      </w:pPr>
      <w:rPr>
        <w:rFonts w:hint="default"/>
      </w:rPr>
    </w:lvl>
  </w:abstractNum>
  <w:abstractNum w:abstractNumId="40">
    <w:multiLevelType w:val="hybridMultilevel"/>
    <w:lvl w:ilvl="0">
      <w:start w:val="7"/>
      <w:numFmt w:val="decimal"/>
      <w:lvlText w:val="%1"/>
      <w:lvlJc w:val="left"/>
      <w:pPr>
        <w:ind w:left="1679" w:hanging="812"/>
        <w:jc w:val="left"/>
      </w:pPr>
      <w:rPr>
        <w:rFonts w:hint="default"/>
      </w:rPr>
    </w:lvl>
    <w:lvl w:ilvl="1">
      <w:start w:val="2"/>
      <w:numFmt w:val="decimal"/>
      <w:lvlText w:val="%1.%2"/>
      <w:lvlJc w:val="left"/>
      <w:pPr>
        <w:ind w:left="1679" w:hanging="812"/>
        <w:jc w:val="left"/>
      </w:pPr>
      <w:rPr>
        <w:rFonts w:hint="default"/>
      </w:rPr>
    </w:lvl>
    <w:lvl w:ilvl="2">
      <w:start w:val="1"/>
      <w:numFmt w:val="decimal"/>
      <w:lvlText w:val="%1.%2.%3"/>
      <w:lvlJc w:val="left"/>
      <w:pPr>
        <w:ind w:left="1679" w:hanging="812"/>
        <w:jc w:val="left"/>
      </w:pPr>
      <w:rPr>
        <w:rFonts w:hint="default"/>
      </w:rPr>
    </w:lvl>
    <w:lvl w:ilvl="3">
      <w:start w:val="1"/>
      <w:numFmt w:val="decimal"/>
      <w:lvlText w:val="%1.%2.%3.%4"/>
      <w:lvlJc w:val="left"/>
      <w:pPr>
        <w:ind w:left="1679" w:hanging="812"/>
        <w:jc w:val="left"/>
      </w:pPr>
      <w:rPr>
        <w:rFonts w:hint="default" w:ascii="Arial" w:hAnsi="Arial" w:eastAsia="Arial" w:cs="Arial"/>
        <w:b/>
        <w:bCs/>
        <w:spacing w:val="-3"/>
        <w:w w:val="100"/>
        <w:sz w:val="22"/>
        <w:szCs w:val="22"/>
      </w:rPr>
    </w:lvl>
    <w:lvl w:ilvl="4">
      <w:start w:val="0"/>
      <w:numFmt w:val="bullet"/>
      <w:lvlText w:val="•"/>
      <w:lvlJc w:val="left"/>
      <w:pPr>
        <w:ind w:left="4915" w:hanging="812"/>
      </w:pPr>
      <w:rPr>
        <w:rFonts w:hint="default"/>
      </w:rPr>
    </w:lvl>
    <w:lvl w:ilvl="5">
      <w:start w:val="0"/>
      <w:numFmt w:val="bullet"/>
      <w:lvlText w:val="•"/>
      <w:lvlJc w:val="left"/>
      <w:pPr>
        <w:ind w:left="5724" w:hanging="812"/>
      </w:pPr>
      <w:rPr>
        <w:rFonts w:hint="default"/>
      </w:rPr>
    </w:lvl>
    <w:lvl w:ilvl="6">
      <w:start w:val="0"/>
      <w:numFmt w:val="bullet"/>
      <w:lvlText w:val="•"/>
      <w:lvlJc w:val="left"/>
      <w:pPr>
        <w:ind w:left="6533" w:hanging="812"/>
      </w:pPr>
      <w:rPr>
        <w:rFonts w:hint="default"/>
      </w:rPr>
    </w:lvl>
    <w:lvl w:ilvl="7">
      <w:start w:val="0"/>
      <w:numFmt w:val="bullet"/>
      <w:lvlText w:val="•"/>
      <w:lvlJc w:val="left"/>
      <w:pPr>
        <w:ind w:left="7342" w:hanging="812"/>
      </w:pPr>
      <w:rPr>
        <w:rFonts w:hint="default"/>
      </w:rPr>
    </w:lvl>
    <w:lvl w:ilvl="8">
      <w:start w:val="0"/>
      <w:numFmt w:val="bullet"/>
      <w:lvlText w:val="•"/>
      <w:lvlJc w:val="left"/>
      <w:pPr>
        <w:ind w:left="8151" w:hanging="812"/>
      </w:pPr>
      <w:rPr>
        <w:rFonts w:hint="default"/>
      </w:rPr>
    </w:lvl>
  </w:abstractNum>
  <w:abstractNum w:abstractNumId="39">
    <w:multiLevelType w:val="hybridMultilevel"/>
    <w:lvl w:ilvl="0">
      <w:start w:val="79"/>
      <w:numFmt w:val="decimal"/>
      <w:lvlText w:val="%1"/>
      <w:lvlJc w:val="left"/>
      <w:pPr>
        <w:ind w:left="868" w:hanging="720"/>
        <w:jc w:val="left"/>
      </w:pPr>
      <w:rPr>
        <w:rFonts w:hint="default" w:ascii="Arial" w:hAnsi="Arial" w:eastAsia="Arial" w:cs="Arial"/>
        <w:spacing w:val="-1"/>
        <w:w w:val="100"/>
        <w:sz w:val="22"/>
        <w:szCs w:val="22"/>
      </w:rPr>
    </w:lvl>
    <w:lvl w:ilvl="1">
      <w:start w:val="0"/>
      <w:numFmt w:val="bullet"/>
      <w:lvlText w:val=""/>
      <w:lvlJc w:val="left"/>
      <w:pPr>
        <w:ind w:left="1679" w:hanging="360"/>
      </w:pPr>
      <w:rPr>
        <w:rFonts w:hint="default" w:ascii="Symbol" w:hAnsi="Symbol" w:eastAsia="Symbol" w:cs="Symbol"/>
        <w:w w:val="100"/>
        <w:sz w:val="22"/>
        <w:szCs w:val="22"/>
      </w:rPr>
    </w:lvl>
    <w:lvl w:ilvl="2">
      <w:start w:val="0"/>
      <w:numFmt w:val="bullet"/>
      <w:lvlText w:val="•"/>
      <w:lvlJc w:val="left"/>
      <w:pPr>
        <w:ind w:left="1680" w:hanging="360"/>
      </w:pPr>
      <w:rPr>
        <w:rFonts w:hint="default"/>
      </w:rPr>
    </w:lvl>
    <w:lvl w:ilvl="3">
      <w:start w:val="0"/>
      <w:numFmt w:val="bullet"/>
      <w:lvlText w:val="•"/>
      <w:lvlJc w:val="left"/>
      <w:pPr>
        <w:ind w:left="2691" w:hanging="360"/>
      </w:pPr>
      <w:rPr>
        <w:rFonts w:hint="default"/>
      </w:rPr>
    </w:lvl>
    <w:lvl w:ilvl="4">
      <w:start w:val="0"/>
      <w:numFmt w:val="bullet"/>
      <w:lvlText w:val="•"/>
      <w:lvlJc w:val="left"/>
      <w:pPr>
        <w:ind w:left="3702" w:hanging="360"/>
      </w:pPr>
      <w:rPr>
        <w:rFonts w:hint="default"/>
      </w:rPr>
    </w:lvl>
    <w:lvl w:ilvl="5">
      <w:start w:val="0"/>
      <w:numFmt w:val="bullet"/>
      <w:lvlText w:val="•"/>
      <w:lvlJc w:val="left"/>
      <w:pPr>
        <w:ind w:left="4713" w:hanging="360"/>
      </w:pPr>
      <w:rPr>
        <w:rFonts w:hint="default"/>
      </w:rPr>
    </w:lvl>
    <w:lvl w:ilvl="6">
      <w:start w:val="0"/>
      <w:numFmt w:val="bullet"/>
      <w:lvlText w:val="•"/>
      <w:lvlJc w:val="left"/>
      <w:pPr>
        <w:ind w:left="5724" w:hanging="360"/>
      </w:pPr>
      <w:rPr>
        <w:rFonts w:hint="default"/>
      </w:rPr>
    </w:lvl>
    <w:lvl w:ilvl="7">
      <w:start w:val="0"/>
      <w:numFmt w:val="bullet"/>
      <w:lvlText w:val="•"/>
      <w:lvlJc w:val="left"/>
      <w:pPr>
        <w:ind w:left="6735" w:hanging="360"/>
      </w:pPr>
      <w:rPr>
        <w:rFonts w:hint="default"/>
      </w:rPr>
    </w:lvl>
    <w:lvl w:ilvl="8">
      <w:start w:val="0"/>
      <w:numFmt w:val="bullet"/>
      <w:lvlText w:val="•"/>
      <w:lvlJc w:val="left"/>
      <w:pPr>
        <w:ind w:left="7746" w:hanging="360"/>
      </w:pPr>
      <w:rPr>
        <w:rFonts w:hint="default"/>
      </w:rPr>
    </w:lvl>
  </w:abstractNum>
  <w:abstractNum w:abstractNumId="38">
    <w:multiLevelType w:val="hybridMultilevel"/>
    <w:lvl w:ilvl="0">
      <w:start w:val="7"/>
      <w:numFmt w:val="decimal"/>
      <w:lvlText w:val="%1"/>
      <w:lvlJc w:val="left"/>
      <w:pPr>
        <w:ind w:left="1300" w:hanging="432"/>
        <w:jc w:val="left"/>
      </w:pPr>
      <w:rPr>
        <w:rFonts w:hint="default" w:ascii="Arial" w:hAnsi="Arial" w:eastAsia="Arial" w:cs="Arial"/>
        <w:b/>
        <w:bCs/>
        <w:w w:val="99"/>
        <w:sz w:val="24"/>
        <w:szCs w:val="24"/>
      </w:rPr>
    </w:lvl>
    <w:lvl w:ilvl="1">
      <w:start w:val="1"/>
      <w:numFmt w:val="decimal"/>
      <w:lvlText w:val="%1.%2"/>
      <w:lvlJc w:val="left"/>
      <w:pPr>
        <w:ind w:left="1444" w:hanging="576"/>
        <w:jc w:val="left"/>
      </w:pPr>
      <w:rPr>
        <w:rFonts w:hint="default" w:ascii="Arial" w:hAnsi="Arial" w:eastAsia="Arial" w:cs="Arial"/>
        <w:b/>
        <w:bCs/>
        <w:spacing w:val="-26"/>
        <w:w w:val="99"/>
        <w:sz w:val="24"/>
        <w:szCs w:val="24"/>
      </w:rPr>
    </w:lvl>
    <w:lvl w:ilvl="2">
      <w:start w:val="0"/>
      <w:numFmt w:val="bullet"/>
      <w:lvlText w:val="•"/>
      <w:lvlJc w:val="left"/>
      <w:pPr>
        <w:ind w:left="1580" w:hanging="576"/>
      </w:pPr>
      <w:rPr>
        <w:rFonts w:hint="default"/>
      </w:rPr>
    </w:lvl>
    <w:lvl w:ilvl="3">
      <w:start w:val="0"/>
      <w:numFmt w:val="bullet"/>
      <w:lvlText w:val="•"/>
      <w:lvlJc w:val="left"/>
      <w:pPr>
        <w:ind w:left="2603" w:hanging="576"/>
      </w:pPr>
      <w:rPr>
        <w:rFonts w:hint="default"/>
      </w:rPr>
    </w:lvl>
    <w:lvl w:ilvl="4">
      <w:start w:val="0"/>
      <w:numFmt w:val="bullet"/>
      <w:lvlText w:val="•"/>
      <w:lvlJc w:val="left"/>
      <w:pPr>
        <w:ind w:left="3627" w:hanging="576"/>
      </w:pPr>
      <w:rPr>
        <w:rFonts w:hint="default"/>
      </w:rPr>
    </w:lvl>
    <w:lvl w:ilvl="5">
      <w:start w:val="0"/>
      <w:numFmt w:val="bullet"/>
      <w:lvlText w:val="•"/>
      <w:lvlJc w:val="left"/>
      <w:pPr>
        <w:ind w:left="4650" w:hanging="576"/>
      </w:pPr>
      <w:rPr>
        <w:rFonts w:hint="default"/>
      </w:rPr>
    </w:lvl>
    <w:lvl w:ilvl="6">
      <w:start w:val="0"/>
      <w:numFmt w:val="bullet"/>
      <w:lvlText w:val="•"/>
      <w:lvlJc w:val="left"/>
      <w:pPr>
        <w:ind w:left="5674" w:hanging="576"/>
      </w:pPr>
      <w:rPr>
        <w:rFonts w:hint="default"/>
      </w:rPr>
    </w:lvl>
    <w:lvl w:ilvl="7">
      <w:start w:val="0"/>
      <w:numFmt w:val="bullet"/>
      <w:lvlText w:val="•"/>
      <w:lvlJc w:val="left"/>
      <w:pPr>
        <w:ind w:left="6698" w:hanging="576"/>
      </w:pPr>
      <w:rPr>
        <w:rFonts w:hint="default"/>
      </w:rPr>
    </w:lvl>
    <w:lvl w:ilvl="8">
      <w:start w:val="0"/>
      <w:numFmt w:val="bullet"/>
      <w:lvlText w:val="•"/>
      <w:lvlJc w:val="left"/>
      <w:pPr>
        <w:ind w:left="7721" w:hanging="576"/>
      </w:pPr>
      <w:rPr>
        <w:rFonts w:hint="default"/>
      </w:rPr>
    </w:lvl>
  </w:abstractNum>
  <w:abstractNum w:abstractNumId="36">
    <w:multiLevelType w:val="hybridMultilevel"/>
    <w:lvl w:ilvl="0">
      <w:start w:val="74"/>
      <w:numFmt w:val="decimal"/>
      <w:lvlText w:val="%1"/>
      <w:lvlJc w:val="left"/>
      <w:pPr>
        <w:ind w:left="868" w:hanging="720"/>
        <w:jc w:val="left"/>
      </w:pPr>
      <w:rPr>
        <w:rFonts w:hint="default" w:ascii="Arial" w:hAnsi="Arial" w:eastAsia="Arial" w:cs="Arial"/>
        <w:spacing w:val="-1"/>
        <w:w w:val="100"/>
        <w:sz w:val="22"/>
        <w:szCs w:val="22"/>
      </w:rPr>
    </w:lvl>
    <w:lvl w:ilvl="1">
      <w:start w:val="0"/>
      <w:numFmt w:val="bullet"/>
      <w:lvlText w:val=""/>
      <w:lvlJc w:val="left"/>
      <w:pPr>
        <w:ind w:left="1588" w:hanging="360"/>
      </w:pPr>
      <w:rPr>
        <w:rFonts w:hint="default" w:ascii="Symbol" w:hAnsi="Symbol" w:eastAsia="Symbol" w:cs="Symbol"/>
        <w:w w:val="100"/>
        <w:sz w:val="22"/>
        <w:szCs w:val="22"/>
      </w:rPr>
    </w:lvl>
    <w:lvl w:ilvl="2">
      <w:start w:val="0"/>
      <w:numFmt w:val="bullet"/>
      <w:lvlText w:val="•"/>
      <w:lvlJc w:val="left"/>
      <w:pPr>
        <w:ind w:left="2489" w:hanging="360"/>
      </w:pPr>
      <w:rPr>
        <w:rFonts w:hint="default"/>
      </w:rPr>
    </w:lvl>
    <w:lvl w:ilvl="3">
      <w:start w:val="0"/>
      <w:numFmt w:val="bullet"/>
      <w:lvlText w:val="•"/>
      <w:lvlJc w:val="left"/>
      <w:pPr>
        <w:ind w:left="3399" w:hanging="360"/>
      </w:pPr>
      <w:rPr>
        <w:rFonts w:hint="default"/>
      </w:rPr>
    </w:lvl>
    <w:lvl w:ilvl="4">
      <w:start w:val="0"/>
      <w:numFmt w:val="bullet"/>
      <w:lvlText w:val="•"/>
      <w:lvlJc w:val="left"/>
      <w:pPr>
        <w:ind w:left="4309" w:hanging="360"/>
      </w:pPr>
      <w:rPr>
        <w:rFonts w:hint="default"/>
      </w:rPr>
    </w:lvl>
    <w:lvl w:ilvl="5">
      <w:start w:val="0"/>
      <w:numFmt w:val="bullet"/>
      <w:lvlText w:val="•"/>
      <w:lvlJc w:val="left"/>
      <w:pPr>
        <w:ind w:left="5219" w:hanging="360"/>
      </w:pPr>
      <w:rPr>
        <w:rFonts w:hint="default"/>
      </w:rPr>
    </w:lvl>
    <w:lvl w:ilvl="6">
      <w:start w:val="0"/>
      <w:numFmt w:val="bullet"/>
      <w:lvlText w:val="•"/>
      <w:lvlJc w:val="left"/>
      <w:pPr>
        <w:ind w:left="6129" w:hanging="360"/>
      </w:pPr>
      <w:rPr>
        <w:rFonts w:hint="default"/>
      </w:rPr>
    </w:lvl>
    <w:lvl w:ilvl="7">
      <w:start w:val="0"/>
      <w:numFmt w:val="bullet"/>
      <w:lvlText w:val="•"/>
      <w:lvlJc w:val="left"/>
      <w:pPr>
        <w:ind w:left="7039" w:hanging="360"/>
      </w:pPr>
      <w:rPr>
        <w:rFonts w:hint="default"/>
      </w:rPr>
    </w:lvl>
    <w:lvl w:ilvl="8">
      <w:start w:val="0"/>
      <w:numFmt w:val="bullet"/>
      <w:lvlText w:val="•"/>
      <w:lvlJc w:val="left"/>
      <w:pPr>
        <w:ind w:left="7949" w:hanging="360"/>
      </w:pPr>
      <w:rPr>
        <w:rFonts w:hint="default"/>
      </w:rPr>
    </w:lvl>
  </w:abstractNum>
  <w:abstractNum w:abstractNumId="35">
    <w:multiLevelType w:val="hybridMultilevel"/>
    <w:lvl w:ilvl="0">
      <w:start w:val="71"/>
      <w:numFmt w:val="decimal"/>
      <w:lvlText w:val="%1"/>
      <w:lvlJc w:val="left"/>
      <w:pPr>
        <w:ind w:left="868" w:hanging="720"/>
        <w:jc w:val="left"/>
      </w:pPr>
      <w:rPr>
        <w:rFonts w:hint="default" w:ascii="Arial" w:hAnsi="Arial" w:eastAsia="Arial" w:cs="Arial"/>
        <w:spacing w:val="-1"/>
        <w:w w:val="100"/>
        <w:sz w:val="22"/>
        <w:szCs w:val="22"/>
      </w:rPr>
    </w:lvl>
    <w:lvl w:ilvl="1">
      <w:start w:val="0"/>
      <w:numFmt w:val="bullet"/>
      <w:lvlText w:val=""/>
      <w:lvlJc w:val="left"/>
      <w:pPr>
        <w:ind w:left="1588" w:hanging="360"/>
      </w:pPr>
      <w:rPr>
        <w:rFonts w:hint="default" w:ascii="Symbol" w:hAnsi="Symbol" w:eastAsia="Symbol" w:cs="Symbol"/>
        <w:w w:val="100"/>
        <w:sz w:val="22"/>
        <w:szCs w:val="22"/>
      </w:rPr>
    </w:lvl>
    <w:lvl w:ilvl="2">
      <w:start w:val="0"/>
      <w:numFmt w:val="bullet"/>
      <w:lvlText w:val="•"/>
      <w:lvlJc w:val="left"/>
      <w:pPr>
        <w:ind w:left="2489" w:hanging="360"/>
      </w:pPr>
      <w:rPr>
        <w:rFonts w:hint="default"/>
      </w:rPr>
    </w:lvl>
    <w:lvl w:ilvl="3">
      <w:start w:val="0"/>
      <w:numFmt w:val="bullet"/>
      <w:lvlText w:val="•"/>
      <w:lvlJc w:val="left"/>
      <w:pPr>
        <w:ind w:left="3399" w:hanging="360"/>
      </w:pPr>
      <w:rPr>
        <w:rFonts w:hint="default"/>
      </w:rPr>
    </w:lvl>
    <w:lvl w:ilvl="4">
      <w:start w:val="0"/>
      <w:numFmt w:val="bullet"/>
      <w:lvlText w:val="•"/>
      <w:lvlJc w:val="left"/>
      <w:pPr>
        <w:ind w:left="4309" w:hanging="360"/>
      </w:pPr>
      <w:rPr>
        <w:rFonts w:hint="default"/>
      </w:rPr>
    </w:lvl>
    <w:lvl w:ilvl="5">
      <w:start w:val="0"/>
      <w:numFmt w:val="bullet"/>
      <w:lvlText w:val="•"/>
      <w:lvlJc w:val="left"/>
      <w:pPr>
        <w:ind w:left="5219" w:hanging="360"/>
      </w:pPr>
      <w:rPr>
        <w:rFonts w:hint="default"/>
      </w:rPr>
    </w:lvl>
    <w:lvl w:ilvl="6">
      <w:start w:val="0"/>
      <w:numFmt w:val="bullet"/>
      <w:lvlText w:val="•"/>
      <w:lvlJc w:val="left"/>
      <w:pPr>
        <w:ind w:left="6129" w:hanging="360"/>
      </w:pPr>
      <w:rPr>
        <w:rFonts w:hint="default"/>
      </w:rPr>
    </w:lvl>
    <w:lvl w:ilvl="7">
      <w:start w:val="0"/>
      <w:numFmt w:val="bullet"/>
      <w:lvlText w:val="•"/>
      <w:lvlJc w:val="left"/>
      <w:pPr>
        <w:ind w:left="7039" w:hanging="360"/>
      </w:pPr>
      <w:rPr>
        <w:rFonts w:hint="default"/>
      </w:rPr>
    </w:lvl>
    <w:lvl w:ilvl="8">
      <w:start w:val="0"/>
      <w:numFmt w:val="bullet"/>
      <w:lvlText w:val="•"/>
      <w:lvlJc w:val="left"/>
      <w:pPr>
        <w:ind w:left="7949" w:hanging="360"/>
      </w:pPr>
      <w:rPr>
        <w:rFonts w:hint="default"/>
      </w:rPr>
    </w:lvl>
  </w:abstractNum>
  <w:abstractNum w:abstractNumId="34">
    <w:multiLevelType w:val="hybridMultilevel"/>
    <w:lvl w:ilvl="0">
      <w:start w:val="69"/>
      <w:numFmt w:val="decimal"/>
      <w:lvlText w:val="%1"/>
      <w:lvlJc w:val="left"/>
      <w:pPr>
        <w:ind w:left="868" w:hanging="720"/>
        <w:jc w:val="left"/>
      </w:pPr>
      <w:rPr>
        <w:rFonts w:hint="default" w:ascii="Arial" w:hAnsi="Arial" w:eastAsia="Arial" w:cs="Arial"/>
        <w:spacing w:val="-1"/>
        <w:w w:val="100"/>
        <w:sz w:val="22"/>
        <w:szCs w:val="22"/>
      </w:rPr>
    </w:lvl>
    <w:lvl w:ilvl="1">
      <w:start w:val="0"/>
      <w:numFmt w:val="bullet"/>
      <w:lvlText w:val=""/>
      <w:lvlJc w:val="left"/>
      <w:pPr>
        <w:ind w:left="1588" w:hanging="360"/>
      </w:pPr>
      <w:rPr>
        <w:rFonts w:hint="default" w:ascii="Symbol" w:hAnsi="Symbol" w:eastAsia="Symbol" w:cs="Symbol"/>
        <w:w w:val="100"/>
        <w:sz w:val="22"/>
        <w:szCs w:val="22"/>
      </w:rPr>
    </w:lvl>
    <w:lvl w:ilvl="2">
      <w:start w:val="0"/>
      <w:numFmt w:val="bullet"/>
      <w:lvlText w:val="•"/>
      <w:lvlJc w:val="left"/>
      <w:pPr>
        <w:ind w:left="2489" w:hanging="360"/>
      </w:pPr>
      <w:rPr>
        <w:rFonts w:hint="default"/>
      </w:rPr>
    </w:lvl>
    <w:lvl w:ilvl="3">
      <w:start w:val="0"/>
      <w:numFmt w:val="bullet"/>
      <w:lvlText w:val="•"/>
      <w:lvlJc w:val="left"/>
      <w:pPr>
        <w:ind w:left="3399" w:hanging="360"/>
      </w:pPr>
      <w:rPr>
        <w:rFonts w:hint="default"/>
      </w:rPr>
    </w:lvl>
    <w:lvl w:ilvl="4">
      <w:start w:val="0"/>
      <w:numFmt w:val="bullet"/>
      <w:lvlText w:val="•"/>
      <w:lvlJc w:val="left"/>
      <w:pPr>
        <w:ind w:left="4309" w:hanging="360"/>
      </w:pPr>
      <w:rPr>
        <w:rFonts w:hint="default"/>
      </w:rPr>
    </w:lvl>
    <w:lvl w:ilvl="5">
      <w:start w:val="0"/>
      <w:numFmt w:val="bullet"/>
      <w:lvlText w:val="•"/>
      <w:lvlJc w:val="left"/>
      <w:pPr>
        <w:ind w:left="5219" w:hanging="360"/>
      </w:pPr>
      <w:rPr>
        <w:rFonts w:hint="default"/>
      </w:rPr>
    </w:lvl>
    <w:lvl w:ilvl="6">
      <w:start w:val="0"/>
      <w:numFmt w:val="bullet"/>
      <w:lvlText w:val="•"/>
      <w:lvlJc w:val="left"/>
      <w:pPr>
        <w:ind w:left="6129" w:hanging="360"/>
      </w:pPr>
      <w:rPr>
        <w:rFonts w:hint="default"/>
      </w:rPr>
    </w:lvl>
    <w:lvl w:ilvl="7">
      <w:start w:val="0"/>
      <w:numFmt w:val="bullet"/>
      <w:lvlText w:val="•"/>
      <w:lvlJc w:val="left"/>
      <w:pPr>
        <w:ind w:left="7039" w:hanging="360"/>
      </w:pPr>
      <w:rPr>
        <w:rFonts w:hint="default"/>
      </w:rPr>
    </w:lvl>
    <w:lvl w:ilvl="8">
      <w:start w:val="0"/>
      <w:numFmt w:val="bullet"/>
      <w:lvlText w:val="•"/>
      <w:lvlJc w:val="left"/>
      <w:pPr>
        <w:ind w:left="7949" w:hanging="360"/>
      </w:pPr>
      <w:rPr>
        <w:rFonts w:hint="default"/>
      </w:rPr>
    </w:lvl>
  </w:abstractNum>
  <w:abstractNum w:abstractNumId="33">
    <w:multiLevelType w:val="hybridMultilevel"/>
    <w:lvl w:ilvl="0">
      <w:start w:val="6"/>
      <w:numFmt w:val="decimal"/>
      <w:lvlText w:val="%1"/>
      <w:lvlJc w:val="left"/>
      <w:pPr>
        <w:ind w:left="1300" w:hanging="432"/>
        <w:jc w:val="left"/>
      </w:pPr>
      <w:rPr>
        <w:rFonts w:hint="default" w:ascii="Arial" w:hAnsi="Arial" w:eastAsia="Arial" w:cs="Arial"/>
        <w:b/>
        <w:bCs/>
        <w:w w:val="99"/>
        <w:sz w:val="24"/>
        <w:szCs w:val="24"/>
      </w:rPr>
    </w:lvl>
    <w:lvl w:ilvl="1">
      <w:start w:val="1"/>
      <w:numFmt w:val="decimal"/>
      <w:lvlText w:val="%1.%2"/>
      <w:lvlJc w:val="left"/>
      <w:pPr>
        <w:ind w:left="1444" w:hanging="576"/>
        <w:jc w:val="left"/>
      </w:pPr>
      <w:rPr>
        <w:rFonts w:hint="default" w:ascii="Arial" w:hAnsi="Arial" w:eastAsia="Arial" w:cs="Arial"/>
        <w:b/>
        <w:bCs/>
        <w:spacing w:val="-26"/>
        <w:w w:val="99"/>
        <w:sz w:val="24"/>
        <w:szCs w:val="24"/>
      </w:rPr>
    </w:lvl>
    <w:lvl w:ilvl="2">
      <w:start w:val="0"/>
      <w:numFmt w:val="bullet"/>
      <w:lvlText w:val="•"/>
      <w:lvlJc w:val="left"/>
      <w:pPr>
        <w:ind w:left="2365" w:hanging="576"/>
      </w:pPr>
      <w:rPr>
        <w:rFonts w:hint="default"/>
      </w:rPr>
    </w:lvl>
    <w:lvl w:ilvl="3">
      <w:start w:val="0"/>
      <w:numFmt w:val="bullet"/>
      <w:lvlText w:val="•"/>
      <w:lvlJc w:val="left"/>
      <w:pPr>
        <w:ind w:left="3290" w:hanging="576"/>
      </w:pPr>
      <w:rPr>
        <w:rFonts w:hint="default"/>
      </w:rPr>
    </w:lvl>
    <w:lvl w:ilvl="4">
      <w:start w:val="0"/>
      <w:numFmt w:val="bullet"/>
      <w:lvlText w:val="•"/>
      <w:lvlJc w:val="left"/>
      <w:pPr>
        <w:ind w:left="4216" w:hanging="576"/>
      </w:pPr>
      <w:rPr>
        <w:rFonts w:hint="default"/>
      </w:rPr>
    </w:lvl>
    <w:lvl w:ilvl="5">
      <w:start w:val="0"/>
      <w:numFmt w:val="bullet"/>
      <w:lvlText w:val="•"/>
      <w:lvlJc w:val="left"/>
      <w:pPr>
        <w:ind w:left="5141" w:hanging="576"/>
      </w:pPr>
      <w:rPr>
        <w:rFonts w:hint="default"/>
      </w:rPr>
    </w:lvl>
    <w:lvl w:ilvl="6">
      <w:start w:val="0"/>
      <w:numFmt w:val="bullet"/>
      <w:lvlText w:val="•"/>
      <w:lvlJc w:val="left"/>
      <w:pPr>
        <w:ind w:left="6067" w:hanging="576"/>
      </w:pPr>
      <w:rPr>
        <w:rFonts w:hint="default"/>
      </w:rPr>
    </w:lvl>
    <w:lvl w:ilvl="7">
      <w:start w:val="0"/>
      <w:numFmt w:val="bullet"/>
      <w:lvlText w:val="•"/>
      <w:lvlJc w:val="left"/>
      <w:pPr>
        <w:ind w:left="6992" w:hanging="576"/>
      </w:pPr>
      <w:rPr>
        <w:rFonts w:hint="default"/>
      </w:rPr>
    </w:lvl>
    <w:lvl w:ilvl="8">
      <w:start w:val="0"/>
      <w:numFmt w:val="bullet"/>
      <w:lvlText w:val="•"/>
      <w:lvlJc w:val="left"/>
      <w:pPr>
        <w:ind w:left="7917" w:hanging="576"/>
      </w:pPr>
      <w:rPr>
        <w:rFonts w:hint="default"/>
      </w:rPr>
    </w:lvl>
  </w:abstractNum>
  <w:abstractNum w:abstractNumId="32">
    <w:multiLevelType w:val="hybridMultilevel"/>
    <w:lvl w:ilvl="0">
      <w:start w:val="0"/>
      <w:numFmt w:val="bullet"/>
      <w:lvlText w:val=""/>
      <w:lvlJc w:val="left"/>
      <w:pPr>
        <w:ind w:left="242" w:hanging="178"/>
      </w:pPr>
      <w:rPr>
        <w:rFonts w:hint="default" w:ascii="Symbol" w:hAnsi="Symbol" w:eastAsia="Symbol" w:cs="Symbol"/>
        <w:w w:val="99"/>
        <w:sz w:val="20"/>
        <w:szCs w:val="20"/>
      </w:rPr>
    </w:lvl>
    <w:lvl w:ilvl="1">
      <w:start w:val="0"/>
      <w:numFmt w:val="bullet"/>
      <w:lvlText w:val="•"/>
      <w:lvlJc w:val="left"/>
      <w:pPr>
        <w:ind w:left="641" w:hanging="178"/>
      </w:pPr>
      <w:rPr>
        <w:rFonts w:hint="default"/>
      </w:rPr>
    </w:lvl>
    <w:lvl w:ilvl="2">
      <w:start w:val="0"/>
      <w:numFmt w:val="bullet"/>
      <w:lvlText w:val="•"/>
      <w:lvlJc w:val="left"/>
      <w:pPr>
        <w:ind w:left="1043" w:hanging="178"/>
      </w:pPr>
      <w:rPr>
        <w:rFonts w:hint="default"/>
      </w:rPr>
    </w:lvl>
    <w:lvl w:ilvl="3">
      <w:start w:val="0"/>
      <w:numFmt w:val="bullet"/>
      <w:lvlText w:val="•"/>
      <w:lvlJc w:val="left"/>
      <w:pPr>
        <w:ind w:left="1444" w:hanging="178"/>
      </w:pPr>
      <w:rPr>
        <w:rFonts w:hint="default"/>
      </w:rPr>
    </w:lvl>
    <w:lvl w:ilvl="4">
      <w:start w:val="0"/>
      <w:numFmt w:val="bullet"/>
      <w:lvlText w:val="•"/>
      <w:lvlJc w:val="left"/>
      <w:pPr>
        <w:ind w:left="1846" w:hanging="178"/>
      </w:pPr>
      <w:rPr>
        <w:rFonts w:hint="default"/>
      </w:rPr>
    </w:lvl>
    <w:lvl w:ilvl="5">
      <w:start w:val="0"/>
      <w:numFmt w:val="bullet"/>
      <w:lvlText w:val="•"/>
      <w:lvlJc w:val="left"/>
      <w:pPr>
        <w:ind w:left="2247" w:hanging="178"/>
      </w:pPr>
      <w:rPr>
        <w:rFonts w:hint="default"/>
      </w:rPr>
    </w:lvl>
    <w:lvl w:ilvl="6">
      <w:start w:val="0"/>
      <w:numFmt w:val="bullet"/>
      <w:lvlText w:val="•"/>
      <w:lvlJc w:val="left"/>
      <w:pPr>
        <w:ind w:left="2649" w:hanging="178"/>
      </w:pPr>
      <w:rPr>
        <w:rFonts w:hint="default"/>
      </w:rPr>
    </w:lvl>
    <w:lvl w:ilvl="7">
      <w:start w:val="0"/>
      <w:numFmt w:val="bullet"/>
      <w:lvlText w:val="•"/>
      <w:lvlJc w:val="left"/>
      <w:pPr>
        <w:ind w:left="3051" w:hanging="178"/>
      </w:pPr>
      <w:rPr>
        <w:rFonts w:hint="default"/>
      </w:rPr>
    </w:lvl>
    <w:lvl w:ilvl="8">
      <w:start w:val="0"/>
      <w:numFmt w:val="bullet"/>
      <w:lvlText w:val="•"/>
      <w:lvlJc w:val="left"/>
      <w:pPr>
        <w:ind w:left="3452" w:hanging="178"/>
      </w:pPr>
      <w:rPr>
        <w:rFonts w:hint="default"/>
      </w:rPr>
    </w:lvl>
  </w:abstractNum>
  <w:abstractNum w:abstractNumId="31">
    <w:multiLevelType w:val="hybridMultilevel"/>
    <w:lvl w:ilvl="0">
      <w:start w:val="0"/>
      <w:numFmt w:val="bullet"/>
      <w:lvlText w:val=""/>
      <w:lvlJc w:val="left"/>
      <w:pPr>
        <w:ind w:left="261" w:hanging="197"/>
      </w:pPr>
      <w:rPr>
        <w:rFonts w:hint="default" w:ascii="Symbol" w:hAnsi="Symbol" w:eastAsia="Symbol" w:cs="Symbol"/>
        <w:w w:val="99"/>
        <w:sz w:val="20"/>
        <w:szCs w:val="20"/>
      </w:rPr>
    </w:lvl>
    <w:lvl w:ilvl="1">
      <w:start w:val="0"/>
      <w:numFmt w:val="bullet"/>
      <w:lvlText w:val="•"/>
      <w:lvlJc w:val="left"/>
      <w:pPr>
        <w:ind w:left="659" w:hanging="197"/>
      </w:pPr>
      <w:rPr>
        <w:rFonts w:hint="default"/>
      </w:rPr>
    </w:lvl>
    <w:lvl w:ilvl="2">
      <w:start w:val="0"/>
      <w:numFmt w:val="bullet"/>
      <w:lvlText w:val="•"/>
      <w:lvlJc w:val="left"/>
      <w:pPr>
        <w:ind w:left="1059" w:hanging="197"/>
      </w:pPr>
      <w:rPr>
        <w:rFonts w:hint="default"/>
      </w:rPr>
    </w:lvl>
    <w:lvl w:ilvl="3">
      <w:start w:val="0"/>
      <w:numFmt w:val="bullet"/>
      <w:lvlText w:val="•"/>
      <w:lvlJc w:val="left"/>
      <w:pPr>
        <w:ind w:left="1458" w:hanging="197"/>
      </w:pPr>
      <w:rPr>
        <w:rFonts w:hint="default"/>
      </w:rPr>
    </w:lvl>
    <w:lvl w:ilvl="4">
      <w:start w:val="0"/>
      <w:numFmt w:val="bullet"/>
      <w:lvlText w:val="•"/>
      <w:lvlJc w:val="left"/>
      <w:pPr>
        <w:ind w:left="1858" w:hanging="197"/>
      </w:pPr>
      <w:rPr>
        <w:rFonts w:hint="default"/>
      </w:rPr>
    </w:lvl>
    <w:lvl w:ilvl="5">
      <w:start w:val="0"/>
      <w:numFmt w:val="bullet"/>
      <w:lvlText w:val="•"/>
      <w:lvlJc w:val="left"/>
      <w:pPr>
        <w:ind w:left="2257" w:hanging="197"/>
      </w:pPr>
      <w:rPr>
        <w:rFonts w:hint="default"/>
      </w:rPr>
    </w:lvl>
    <w:lvl w:ilvl="6">
      <w:start w:val="0"/>
      <w:numFmt w:val="bullet"/>
      <w:lvlText w:val="•"/>
      <w:lvlJc w:val="left"/>
      <w:pPr>
        <w:ind w:left="2657" w:hanging="197"/>
      </w:pPr>
      <w:rPr>
        <w:rFonts w:hint="default"/>
      </w:rPr>
    </w:lvl>
    <w:lvl w:ilvl="7">
      <w:start w:val="0"/>
      <w:numFmt w:val="bullet"/>
      <w:lvlText w:val="•"/>
      <w:lvlJc w:val="left"/>
      <w:pPr>
        <w:ind w:left="3057" w:hanging="197"/>
      </w:pPr>
      <w:rPr>
        <w:rFonts w:hint="default"/>
      </w:rPr>
    </w:lvl>
    <w:lvl w:ilvl="8">
      <w:start w:val="0"/>
      <w:numFmt w:val="bullet"/>
      <w:lvlText w:val="•"/>
      <w:lvlJc w:val="left"/>
      <w:pPr>
        <w:ind w:left="3456" w:hanging="197"/>
      </w:pPr>
      <w:rPr>
        <w:rFonts w:hint="default"/>
      </w:rPr>
    </w:lvl>
  </w:abstractNum>
  <w:abstractNum w:abstractNumId="30">
    <w:multiLevelType w:val="hybridMultilevel"/>
    <w:lvl w:ilvl="0">
      <w:start w:val="0"/>
      <w:numFmt w:val="bullet"/>
      <w:lvlText w:val=""/>
      <w:lvlJc w:val="left"/>
      <w:pPr>
        <w:ind w:left="261" w:hanging="197"/>
      </w:pPr>
      <w:rPr>
        <w:rFonts w:hint="default" w:ascii="Symbol" w:hAnsi="Symbol" w:eastAsia="Symbol" w:cs="Symbol"/>
        <w:w w:val="99"/>
        <w:sz w:val="20"/>
        <w:szCs w:val="20"/>
      </w:rPr>
    </w:lvl>
    <w:lvl w:ilvl="1">
      <w:start w:val="0"/>
      <w:numFmt w:val="bullet"/>
      <w:lvlText w:val="•"/>
      <w:lvlJc w:val="left"/>
      <w:pPr>
        <w:ind w:left="659" w:hanging="197"/>
      </w:pPr>
      <w:rPr>
        <w:rFonts w:hint="default"/>
      </w:rPr>
    </w:lvl>
    <w:lvl w:ilvl="2">
      <w:start w:val="0"/>
      <w:numFmt w:val="bullet"/>
      <w:lvlText w:val="•"/>
      <w:lvlJc w:val="left"/>
      <w:pPr>
        <w:ind w:left="1059" w:hanging="197"/>
      </w:pPr>
      <w:rPr>
        <w:rFonts w:hint="default"/>
      </w:rPr>
    </w:lvl>
    <w:lvl w:ilvl="3">
      <w:start w:val="0"/>
      <w:numFmt w:val="bullet"/>
      <w:lvlText w:val="•"/>
      <w:lvlJc w:val="left"/>
      <w:pPr>
        <w:ind w:left="1458" w:hanging="197"/>
      </w:pPr>
      <w:rPr>
        <w:rFonts w:hint="default"/>
      </w:rPr>
    </w:lvl>
    <w:lvl w:ilvl="4">
      <w:start w:val="0"/>
      <w:numFmt w:val="bullet"/>
      <w:lvlText w:val="•"/>
      <w:lvlJc w:val="left"/>
      <w:pPr>
        <w:ind w:left="1858" w:hanging="197"/>
      </w:pPr>
      <w:rPr>
        <w:rFonts w:hint="default"/>
      </w:rPr>
    </w:lvl>
    <w:lvl w:ilvl="5">
      <w:start w:val="0"/>
      <w:numFmt w:val="bullet"/>
      <w:lvlText w:val="•"/>
      <w:lvlJc w:val="left"/>
      <w:pPr>
        <w:ind w:left="2257" w:hanging="197"/>
      </w:pPr>
      <w:rPr>
        <w:rFonts w:hint="default"/>
      </w:rPr>
    </w:lvl>
    <w:lvl w:ilvl="6">
      <w:start w:val="0"/>
      <w:numFmt w:val="bullet"/>
      <w:lvlText w:val="•"/>
      <w:lvlJc w:val="left"/>
      <w:pPr>
        <w:ind w:left="2657" w:hanging="197"/>
      </w:pPr>
      <w:rPr>
        <w:rFonts w:hint="default"/>
      </w:rPr>
    </w:lvl>
    <w:lvl w:ilvl="7">
      <w:start w:val="0"/>
      <w:numFmt w:val="bullet"/>
      <w:lvlText w:val="•"/>
      <w:lvlJc w:val="left"/>
      <w:pPr>
        <w:ind w:left="3057" w:hanging="197"/>
      </w:pPr>
      <w:rPr>
        <w:rFonts w:hint="default"/>
      </w:rPr>
    </w:lvl>
    <w:lvl w:ilvl="8">
      <w:start w:val="0"/>
      <w:numFmt w:val="bullet"/>
      <w:lvlText w:val="•"/>
      <w:lvlJc w:val="left"/>
      <w:pPr>
        <w:ind w:left="3456" w:hanging="197"/>
      </w:pPr>
      <w:rPr>
        <w:rFonts w:hint="default"/>
      </w:rPr>
    </w:lvl>
  </w:abstractNum>
  <w:abstractNum w:abstractNumId="29">
    <w:multiLevelType w:val="hybridMultilevel"/>
    <w:lvl w:ilvl="0">
      <w:start w:val="67"/>
      <w:numFmt w:val="decimal"/>
      <w:lvlText w:val="%1"/>
      <w:lvlJc w:val="left"/>
      <w:pPr>
        <w:ind w:left="868" w:hanging="720"/>
        <w:jc w:val="left"/>
      </w:pPr>
      <w:rPr>
        <w:rFonts w:hint="default" w:ascii="Arial" w:hAnsi="Arial" w:eastAsia="Arial" w:cs="Arial"/>
        <w:spacing w:val="-1"/>
        <w:w w:val="100"/>
        <w:sz w:val="22"/>
        <w:szCs w:val="22"/>
      </w:rPr>
    </w:lvl>
    <w:lvl w:ilvl="1">
      <w:start w:val="0"/>
      <w:numFmt w:val="bullet"/>
      <w:lvlText w:val=""/>
      <w:lvlJc w:val="left"/>
      <w:pPr>
        <w:ind w:left="1948" w:hanging="360"/>
      </w:pPr>
      <w:rPr>
        <w:rFonts w:hint="default" w:ascii="Symbol" w:hAnsi="Symbol" w:eastAsia="Symbol" w:cs="Symbol"/>
        <w:w w:val="100"/>
        <w:sz w:val="22"/>
        <w:szCs w:val="22"/>
      </w:rPr>
    </w:lvl>
    <w:lvl w:ilvl="2">
      <w:start w:val="0"/>
      <w:numFmt w:val="bullet"/>
      <w:lvlText w:val="•"/>
      <w:lvlJc w:val="left"/>
      <w:pPr>
        <w:ind w:left="2809" w:hanging="360"/>
      </w:pPr>
      <w:rPr>
        <w:rFonts w:hint="default"/>
      </w:rPr>
    </w:lvl>
    <w:lvl w:ilvl="3">
      <w:start w:val="0"/>
      <w:numFmt w:val="bullet"/>
      <w:lvlText w:val="•"/>
      <w:lvlJc w:val="left"/>
      <w:pPr>
        <w:ind w:left="3679" w:hanging="360"/>
      </w:pPr>
      <w:rPr>
        <w:rFonts w:hint="default"/>
      </w:rPr>
    </w:lvl>
    <w:lvl w:ilvl="4">
      <w:start w:val="0"/>
      <w:numFmt w:val="bullet"/>
      <w:lvlText w:val="•"/>
      <w:lvlJc w:val="left"/>
      <w:pPr>
        <w:ind w:left="4549" w:hanging="360"/>
      </w:pPr>
      <w:rPr>
        <w:rFonts w:hint="default"/>
      </w:rPr>
    </w:lvl>
    <w:lvl w:ilvl="5">
      <w:start w:val="0"/>
      <w:numFmt w:val="bullet"/>
      <w:lvlText w:val="•"/>
      <w:lvlJc w:val="left"/>
      <w:pPr>
        <w:ind w:left="5419" w:hanging="360"/>
      </w:pPr>
      <w:rPr>
        <w:rFonts w:hint="default"/>
      </w:rPr>
    </w:lvl>
    <w:lvl w:ilvl="6">
      <w:start w:val="0"/>
      <w:numFmt w:val="bullet"/>
      <w:lvlText w:val="•"/>
      <w:lvlJc w:val="left"/>
      <w:pPr>
        <w:ind w:left="6289" w:hanging="360"/>
      </w:pPr>
      <w:rPr>
        <w:rFonts w:hint="default"/>
      </w:rPr>
    </w:lvl>
    <w:lvl w:ilvl="7">
      <w:start w:val="0"/>
      <w:numFmt w:val="bullet"/>
      <w:lvlText w:val="•"/>
      <w:lvlJc w:val="left"/>
      <w:pPr>
        <w:ind w:left="7159" w:hanging="360"/>
      </w:pPr>
      <w:rPr>
        <w:rFonts w:hint="default"/>
      </w:rPr>
    </w:lvl>
    <w:lvl w:ilvl="8">
      <w:start w:val="0"/>
      <w:numFmt w:val="bullet"/>
      <w:lvlText w:val="•"/>
      <w:lvlJc w:val="left"/>
      <w:pPr>
        <w:ind w:left="8029" w:hanging="360"/>
      </w:pPr>
      <w:rPr>
        <w:rFonts w:hint="default"/>
      </w:rPr>
    </w:lvl>
  </w:abstractNum>
  <w:abstractNum w:abstractNumId="28">
    <w:multiLevelType w:val="hybridMultilevel"/>
    <w:lvl w:ilvl="0">
      <w:start w:val="5"/>
      <w:numFmt w:val="decimal"/>
      <w:lvlText w:val="%1"/>
      <w:lvlJc w:val="left"/>
      <w:pPr>
        <w:ind w:left="1444" w:hanging="576"/>
        <w:jc w:val="left"/>
      </w:pPr>
      <w:rPr>
        <w:rFonts w:hint="default"/>
      </w:rPr>
    </w:lvl>
    <w:lvl w:ilvl="1">
      <w:start w:val="6"/>
      <w:numFmt w:val="decimal"/>
      <w:lvlText w:val="%1.%2"/>
      <w:lvlJc w:val="left"/>
      <w:pPr>
        <w:ind w:left="1444" w:hanging="576"/>
        <w:jc w:val="left"/>
      </w:pPr>
      <w:rPr>
        <w:rFonts w:hint="default" w:ascii="Arial" w:hAnsi="Arial" w:eastAsia="Arial" w:cs="Arial"/>
        <w:b/>
        <w:bCs/>
        <w:spacing w:val="-26"/>
        <w:w w:val="99"/>
        <w:sz w:val="24"/>
        <w:szCs w:val="24"/>
      </w:rPr>
    </w:lvl>
    <w:lvl w:ilvl="2">
      <w:start w:val="0"/>
      <w:numFmt w:val="bullet"/>
      <w:lvlText w:val="•"/>
      <w:lvlJc w:val="left"/>
      <w:pPr>
        <w:ind w:left="3105" w:hanging="576"/>
      </w:pPr>
      <w:rPr>
        <w:rFonts w:hint="default"/>
      </w:rPr>
    </w:lvl>
    <w:lvl w:ilvl="3">
      <w:start w:val="0"/>
      <w:numFmt w:val="bullet"/>
      <w:lvlText w:val="•"/>
      <w:lvlJc w:val="left"/>
      <w:pPr>
        <w:ind w:left="3938" w:hanging="576"/>
      </w:pPr>
      <w:rPr>
        <w:rFonts w:hint="default"/>
      </w:rPr>
    </w:lvl>
    <w:lvl w:ilvl="4">
      <w:start w:val="0"/>
      <w:numFmt w:val="bullet"/>
      <w:lvlText w:val="•"/>
      <w:lvlJc w:val="left"/>
      <w:pPr>
        <w:ind w:left="4771" w:hanging="576"/>
      </w:pPr>
      <w:rPr>
        <w:rFonts w:hint="default"/>
      </w:rPr>
    </w:lvl>
    <w:lvl w:ilvl="5">
      <w:start w:val="0"/>
      <w:numFmt w:val="bullet"/>
      <w:lvlText w:val="•"/>
      <w:lvlJc w:val="left"/>
      <w:pPr>
        <w:ind w:left="5604" w:hanging="576"/>
      </w:pPr>
      <w:rPr>
        <w:rFonts w:hint="default"/>
      </w:rPr>
    </w:lvl>
    <w:lvl w:ilvl="6">
      <w:start w:val="0"/>
      <w:numFmt w:val="bullet"/>
      <w:lvlText w:val="•"/>
      <w:lvlJc w:val="left"/>
      <w:pPr>
        <w:ind w:left="6437" w:hanging="576"/>
      </w:pPr>
      <w:rPr>
        <w:rFonts w:hint="default"/>
      </w:rPr>
    </w:lvl>
    <w:lvl w:ilvl="7">
      <w:start w:val="0"/>
      <w:numFmt w:val="bullet"/>
      <w:lvlText w:val="•"/>
      <w:lvlJc w:val="left"/>
      <w:pPr>
        <w:ind w:left="7270" w:hanging="576"/>
      </w:pPr>
      <w:rPr>
        <w:rFonts w:hint="default"/>
      </w:rPr>
    </w:lvl>
    <w:lvl w:ilvl="8">
      <w:start w:val="0"/>
      <w:numFmt w:val="bullet"/>
      <w:lvlText w:val="•"/>
      <w:lvlJc w:val="left"/>
      <w:pPr>
        <w:ind w:left="8103" w:hanging="576"/>
      </w:pPr>
      <w:rPr>
        <w:rFonts w:hint="default"/>
      </w:rPr>
    </w:lvl>
  </w:abstractNum>
  <w:abstractNum w:abstractNumId="27">
    <w:multiLevelType w:val="hybridMultilevel"/>
    <w:lvl w:ilvl="0">
      <w:start w:val="59"/>
      <w:numFmt w:val="decimal"/>
      <w:lvlText w:val="%1"/>
      <w:lvlJc w:val="left"/>
      <w:pPr>
        <w:ind w:left="868" w:hanging="720"/>
        <w:jc w:val="left"/>
      </w:pPr>
      <w:rPr>
        <w:rFonts w:hint="default" w:ascii="Arial" w:hAnsi="Arial" w:eastAsia="Arial" w:cs="Arial"/>
        <w:spacing w:val="-1"/>
        <w:w w:val="100"/>
        <w:sz w:val="22"/>
        <w:szCs w:val="22"/>
      </w:rPr>
    </w:lvl>
    <w:lvl w:ilvl="1">
      <w:start w:val="0"/>
      <w:numFmt w:val="bullet"/>
      <w:lvlText w:val=""/>
      <w:lvlJc w:val="left"/>
      <w:pPr>
        <w:ind w:left="1588" w:hanging="360"/>
      </w:pPr>
      <w:rPr>
        <w:rFonts w:hint="default" w:ascii="Symbol" w:hAnsi="Symbol" w:eastAsia="Symbol" w:cs="Symbol"/>
        <w:w w:val="100"/>
        <w:sz w:val="22"/>
        <w:szCs w:val="22"/>
      </w:rPr>
    </w:lvl>
    <w:lvl w:ilvl="2">
      <w:start w:val="0"/>
      <w:numFmt w:val="bullet"/>
      <w:lvlText w:val="•"/>
      <w:lvlJc w:val="left"/>
      <w:pPr>
        <w:ind w:left="2489" w:hanging="360"/>
      </w:pPr>
      <w:rPr>
        <w:rFonts w:hint="default"/>
      </w:rPr>
    </w:lvl>
    <w:lvl w:ilvl="3">
      <w:start w:val="0"/>
      <w:numFmt w:val="bullet"/>
      <w:lvlText w:val="•"/>
      <w:lvlJc w:val="left"/>
      <w:pPr>
        <w:ind w:left="3399" w:hanging="360"/>
      </w:pPr>
      <w:rPr>
        <w:rFonts w:hint="default"/>
      </w:rPr>
    </w:lvl>
    <w:lvl w:ilvl="4">
      <w:start w:val="0"/>
      <w:numFmt w:val="bullet"/>
      <w:lvlText w:val="•"/>
      <w:lvlJc w:val="left"/>
      <w:pPr>
        <w:ind w:left="4309" w:hanging="360"/>
      </w:pPr>
      <w:rPr>
        <w:rFonts w:hint="default"/>
      </w:rPr>
    </w:lvl>
    <w:lvl w:ilvl="5">
      <w:start w:val="0"/>
      <w:numFmt w:val="bullet"/>
      <w:lvlText w:val="•"/>
      <w:lvlJc w:val="left"/>
      <w:pPr>
        <w:ind w:left="5219" w:hanging="360"/>
      </w:pPr>
      <w:rPr>
        <w:rFonts w:hint="default"/>
      </w:rPr>
    </w:lvl>
    <w:lvl w:ilvl="6">
      <w:start w:val="0"/>
      <w:numFmt w:val="bullet"/>
      <w:lvlText w:val="•"/>
      <w:lvlJc w:val="left"/>
      <w:pPr>
        <w:ind w:left="6129" w:hanging="360"/>
      </w:pPr>
      <w:rPr>
        <w:rFonts w:hint="default"/>
      </w:rPr>
    </w:lvl>
    <w:lvl w:ilvl="7">
      <w:start w:val="0"/>
      <w:numFmt w:val="bullet"/>
      <w:lvlText w:val="•"/>
      <w:lvlJc w:val="left"/>
      <w:pPr>
        <w:ind w:left="7039" w:hanging="360"/>
      </w:pPr>
      <w:rPr>
        <w:rFonts w:hint="default"/>
      </w:rPr>
    </w:lvl>
    <w:lvl w:ilvl="8">
      <w:start w:val="0"/>
      <w:numFmt w:val="bullet"/>
      <w:lvlText w:val="•"/>
      <w:lvlJc w:val="left"/>
      <w:pPr>
        <w:ind w:left="7949" w:hanging="360"/>
      </w:pPr>
      <w:rPr>
        <w:rFonts w:hint="default"/>
      </w:rPr>
    </w:lvl>
  </w:abstractNum>
  <w:abstractNum w:abstractNumId="26">
    <w:multiLevelType w:val="hybridMultilevel"/>
    <w:lvl w:ilvl="0">
      <w:start w:val="5"/>
      <w:numFmt w:val="decimal"/>
      <w:lvlText w:val="%1"/>
      <w:lvlJc w:val="left"/>
      <w:pPr>
        <w:ind w:left="1588" w:hanging="720"/>
        <w:jc w:val="left"/>
      </w:pPr>
      <w:rPr>
        <w:rFonts w:hint="default"/>
      </w:rPr>
    </w:lvl>
    <w:lvl w:ilvl="1">
      <w:start w:val="4"/>
      <w:numFmt w:val="decimal"/>
      <w:lvlText w:val="%1.%2"/>
      <w:lvlJc w:val="left"/>
      <w:pPr>
        <w:ind w:left="1588" w:hanging="720"/>
        <w:jc w:val="left"/>
      </w:pPr>
      <w:rPr>
        <w:rFonts w:hint="default"/>
      </w:rPr>
    </w:lvl>
    <w:lvl w:ilvl="2">
      <w:start w:val="1"/>
      <w:numFmt w:val="decimal"/>
      <w:lvlText w:val="%1.%2.%3"/>
      <w:lvlJc w:val="left"/>
      <w:pPr>
        <w:ind w:left="1588" w:hanging="720"/>
        <w:jc w:val="left"/>
      </w:pPr>
      <w:rPr>
        <w:rFonts w:hint="default" w:ascii="Arial" w:hAnsi="Arial" w:eastAsia="Arial" w:cs="Arial"/>
        <w:b/>
        <w:bCs/>
        <w:color w:val="0D0D0D"/>
        <w:w w:val="100"/>
        <w:sz w:val="22"/>
        <w:szCs w:val="22"/>
      </w:rPr>
    </w:lvl>
    <w:lvl w:ilvl="3">
      <w:start w:val="0"/>
      <w:numFmt w:val="bullet"/>
      <w:lvlText w:val="•"/>
      <w:lvlJc w:val="left"/>
      <w:pPr>
        <w:ind w:left="4036" w:hanging="720"/>
      </w:pPr>
      <w:rPr>
        <w:rFonts w:hint="default"/>
      </w:rPr>
    </w:lvl>
    <w:lvl w:ilvl="4">
      <w:start w:val="0"/>
      <w:numFmt w:val="bullet"/>
      <w:lvlText w:val="•"/>
      <w:lvlJc w:val="left"/>
      <w:pPr>
        <w:ind w:left="4855" w:hanging="720"/>
      </w:pPr>
      <w:rPr>
        <w:rFonts w:hint="default"/>
      </w:rPr>
    </w:lvl>
    <w:lvl w:ilvl="5">
      <w:start w:val="0"/>
      <w:numFmt w:val="bullet"/>
      <w:lvlText w:val="•"/>
      <w:lvlJc w:val="left"/>
      <w:pPr>
        <w:ind w:left="5674" w:hanging="720"/>
      </w:pPr>
      <w:rPr>
        <w:rFonts w:hint="default"/>
      </w:rPr>
    </w:lvl>
    <w:lvl w:ilvl="6">
      <w:start w:val="0"/>
      <w:numFmt w:val="bullet"/>
      <w:lvlText w:val="•"/>
      <w:lvlJc w:val="left"/>
      <w:pPr>
        <w:ind w:left="6493" w:hanging="720"/>
      </w:pPr>
      <w:rPr>
        <w:rFonts w:hint="default"/>
      </w:rPr>
    </w:lvl>
    <w:lvl w:ilvl="7">
      <w:start w:val="0"/>
      <w:numFmt w:val="bullet"/>
      <w:lvlText w:val="•"/>
      <w:lvlJc w:val="left"/>
      <w:pPr>
        <w:ind w:left="7312" w:hanging="720"/>
      </w:pPr>
      <w:rPr>
        <w:rFonts w:hint="default"/>
      </w:rPr>
    </w:lvl>
    <w:lvl w:ilvl="8">
      <w:start w:val="0"/>
      <w:numFmt w:val="bullet"/>
      <w:lvlText w:val="•"/>
      <w:lvlJc w:val="left"/>
      <w:pPr>
        <w:ind w:left="8131" w:hanging="720"/>
      </w:pPr>
      <w:rPr>
        <w:rFonts w:hint="default"/>
      </w:rPr>
    </w:lvl>
  </w:abstractNum>
  <w:abstractNum w:abstractNumId="25">
    <w:multiLevelType w:val="hybridMultilevel"/>
    <w:lvl w:ilvl="0">
      <w:start w:val="47"/>
      <w:numFmt w:val="decimal"/>
      <w:lvlText w:val="%1"/>
      <w:lvlJc w:val="left"/>
      <w:pPr>
        <w:ind w:left="868" w:hanging="720"/>
        <w:jc w:val="left"/>
      </w:pPr>
      <w:rPr>
        <w:rFonts w:hint="default" w:ascii="Arial" w:hAnsi="Arial" w:eastAsia="Arial" w:cs="Arial"/>
        <w:spacing w:val="-1"/>
        <w:w w:val="100"/>
        <w:sz w:val="22"/>
        <w:szCs w:val="22"/>
      </w:rPr>
    </w:lvl>
    <w:lvl w:ilvl="1">
      <w:start w:val="1"/>
      <w:numFmt w:val="lowerRoman"/>
      <w:lvlText w:val="%2."/>
      <w:lvlJc w:val="left"/>
      <w:pPr>
        <w:ind w:left="1588" w:hanging="471"/>
        <w:jc w:val="right"/>
      </w:pPr>
      <w:rPr>
        <w:rFonts w:hint="default" w:ascii="Arial" w:hAnsi="Arial" w:eastAsia="Arial" w:cs="Arial"/>
        <w:spacing w:val="-1"/>
        <w:w w:val="100"/>
        <w:sz w:val="22"/>
        <w:szCs w:val="22"/>
      </w:rPr>
    </w:lvl>
    <w:lvl w:ilvl="2">
      <w:start w:val="0"/>
      <w:numFmt w:val="bullet"/>
      <w:lvlText w:val="•"/>
      <w:lvlJc w:val="left"/>
      <w:pPr>
        <w:ind w:left="2489" w:hanging="471"/>
      </w:pPr>
      <w:rPr>
        <w:rFonts w:hint="default"/>
      </w:rPr>
    </w:lvl>
    <w:lvl w:ilvl="3">
      <w:start w:val="0"/>
      <w:numFmt w:val="bullet"/>
      <w:lvlText w:val="•"/>
      <w:lvlJc w:val="left"/>
      <w:pPr>
        <w:ind w:left="3399" w:hanging="471"/>
      </w:pPr>
      <w:rPr>
        <w:rFonts w:hint="default"/>
      </w:rPr>
    </w:lvl>
    <w:lvl w:ilvl="4">
      <w:start w:val="0"/>
      <w:numFmt w:val="bullet"/>
      <w:lvlText w:val="•"/>
      <w:lvlJc w:val="left"/>
      <w:pPr>
        <w:ind w:left="4309" w:hanging="471"/>
      </w:pPr>
      <w:rPr>
        <w:rFonts w:hint="default"/>
      </w:rPr>
    </w:lvl>
    <w:lvl w:ilvl="5">
      <w:start w:val="0"/>
      <w:numFmt w:val="bullet"/>
      <w:lvlText w:val="•"/>
      <w:lvlJc w:val="left"/>
      <w:pPr>
        <w:ind w:left="5219" w:hanging="471"/>
      </w:pPr>
      <w:rPr>
        <w:rFonts w:hint="default"/>
      </w:rPr>
    </w:lvl>
    <w:lvl w:ilvl="6">
      <w:start w:val="0"/>
      <w:numFmt w:val="bullet"/>
      <w:lvlText w:val="•"/>
      <w:lvlJc w:val="left"/>
      <w:pPr>
        <w:ind w:left="6129" w:hanging="471"/>
      </w:pPr>
      <w:rPr>
        <w:rFonts w:hint="default"/>
      </w:rPr>
    </w:lvl>
    <w:lvl w:ilvl="7">
      <w:start w:val="0"/>
      <w:numFmt w:val="bullet"/>
      <w:lvlText w:val="•"/>
      <w:lvlJc w:val="left"/>
      <w:pPr>
        <w:ind w:left="7039" w:hanging="471"/>
      </w:pPr>
      <w:rPr>
        <w:rFonts w:hint="default"/>
      </w:rPr>
    </w:lvl>
    <w:lvl w:ilvl="8">
      <w:start w:val="0"/>
      <w:numFmt w:val="bullet"/>
      <w:lvlText w:val="•"/>
      <w:lvlJc w:val="left"/>
      <w:pPr>
        <w:ind w:left="7949" w:hanging="471"/>
      </w:pPr>
      <w:rPr>
        <w:rFonts w:hint="default"/>
      </w:rPr>
    </w:lvl>
  </w:abstractNum>
  <w:abstractNum w:abstractNumId="24">
    <w:multiLevelType w:val="hybridMultilevel"/>
    <w:lvl w:ilvl="0">
      <w:start w:val="45"/>
      <w:numFmt w:val="decimal"/>
      <w:lvlText w:val="%1"/>
      <w:lvlJc w:val="left"/>
      <w:pPr>
        <w:ind w:left="868" w:hanging="720"/>
        <w:jc w:val="left"/>
      </w:pPr>
      <w:rPr>
        <w:rFonts w:hint="default" w:ascii="Arial" w:hAnsi="Arial" w:eastAsia="Arial" w:cs="Arial"/>
        <w:spacing w:val="-1"/>
        <w:w w:val="100"/>
        <w:sz w:val="22"/>
        <w:szCs w:val="22"/>
      </w:rPr>
    </w:lvl>
    <w:lvl w:ilvl="1">
      <w:start w:val="0"/>
      <w:numFmt w:val="bullet"/>
      <w:lvlText w:val=""/>
      <w:lvlJc w:val="left"/>
      <w:pPr>
        <w:ind w:left="1948" w:hanging="360"/>
      </w:pPr>
      <w:rPr>
        <w:rFonts w:hint="default" w:ascii="Symbol" w:hAnsi="Symbol" w:eastAsia="Symbol" w:cs="Symbol"/>
        <w:w w:val="100"/>
        <w:sz w:val="22"/>
        <w:szCs w:val="22"/>
      </w:rPr>
    </w:lvl>
    <w:lvl w:ilvl="2">
      <w:start w:val="0"/>
      <w:numFmt w:val="bullet"/>
      <w:lvlText w:val="•"/>
      <w:lvlJc w:val="left"/>
      <w:pPr>
        <w:ind w:left="2809" w:hanging="360"/>
      </w:pPr>
      <w:rPr>
        <w:rFonts w:hint="default"/>
      </w:rPr>
    </w:lvl>
    <w:lvl w:ilvl="3">
      <w:start w:val="0"/>
      <w:numFmt w:val="bullet"/>
      <w:lvlText w:val="•"/>
      <w:lvlJc w:val="left"/>
      <w:pPr>
        <w:ind w:left="3679" w:hanging="360"/>
      </w:pPr>
      <w:rPr>
        <w:rFonts w:hint="default"/>
      </w:rPr>
    </w:lvl>
    <w:lvl w:ilvl="4">
      <w:start w:val="0"/>
      <w:numFmt w:val="bullet"/>
      <w:lvlText w:val="•"/>
      <w:lvlJc w:val="left"/>
      <w:pPr>
        <w:ind w:left="4549" w:hanging="360"/>
      </w:pPr>
      <w:rPr>
        <w:rFonts w:hint="default"/>
      </w:rPr>
    </w:lvl>
    <w:lvl w:ilvl="5">
      <w:start w:val="0"/>
      <w:numFmt w:val="bullet"/>
      <w:lvlText w:val="•"/>
      <w:lvlJc w:val="left"/>
      <w:pPr>
        <w:ind w:left="5419" w:hanging="360"/>
      </w:pPr>
      <w:rPr>
        <w:rFonts w:hint="default"/>
      </w:rPr>
    </w:lvl>
    <w:lvl w:ilvl="6">
      <w:start w:val="0"/>
      <w:numFmt w:val="bullet"/>
      <w:lvlText w:val="•"/>
      <w:lvlJc w:val="left"/>
      <w:pPr>
        <w:ind w:left="6289" w:hanging="360"/>
      </w:pPr>
      <w:rPr>
        <w:rFonts w:hint="default"/>
      </w:rPr>
    </w:lvl>
    <w:lvl w:ilvl="7">
      <w:start w:val="0"/>
      <w:numFmt w:val="bullet"/>
      <w:lvlText w:val="•"/>
      <w:lvlJc w:val="left"/>
      <w:pPr>
        <w:ind w:left="7159" w:hanging="360"/>
      </w:pPr>
      <w:rPr>
        <w:rFonts w:hint="default"/>
      </w:rPr>
    </w:lvl>
    <w:lvl w:ilvl="8">
      <w:start w:val="0"/>
      <w:numFmt w:val="bullet"/>
      <w:lvlText w:val="•"/>
      <w:lvlJc w:val="left"/>
      <w:pPr>
        <w:ind w:left="8029" w:hanging="360"/>
      </w:pPr>
      <w:rPr>
        <w:rFonts w:hint="default"/>
      </w:rPr>
    </w:lvl>
  </w:abstractNum>
  <w:abstractNum w:abstractNumId="23">
    <w:multiLevelType w:val="hybridMultilevel"/>
    <w:lvl w:ilvl="0">
      <w:start w:val="43"/>
      <w:numFmt w:val="decimal"/>
      <w:lvlText w:val="%1"/>
      <w:lvlJc w:val="left"/>
      <w:pPr>
        <w:ind w:left="868" w:hanging="720"/>
        <w:jc w:val="left"/>
      </w:pPr>
      <w:rPr>
        <w:rFonts w:hint="default" w:ascii="Arial" w:hAnsi="Arial" w:eastAsia="Arial" w:cs="Arial"/>
        <w:spacing w:val="-1"/>
        <w:w w:val="100"/>
        <w:sz w:val="22"/>
        <w:szCs w:val="22"/>
      </w:rPr>
    </w:lvl>
    <w:lvl w:ilvl="1">
      <w:start w:val="0"/>
      <w:numFmt w:val="bullet"/>
      <w:lvlText w:val=""/>
      <w:lvlJc w:val="left"/>
      <w:pPr>
        <w:ind w:left="1588" w:hanging="360"/>
      </w:pPr>
      <w:rPr>
        <w:rFonts w:hint="default" w:ascii="Symbol" w:hAnsi="Symbol" w:eastAsia="Symbol" w:cs="Symbol"/>
        <w:w w:val="100"/>
        <w:sz w:val="22"/>
        <w:szCs w:val="22"/>
      </w:rPr>
    </w:lvl>
    <w:lvl w:ilvl="2">
      <w:start w:val="0"/>
      <w:numFmt w:val="bullet"/>
      <w:lvlText w:val="•"/>
      <w:lvlJc w:val="left"/>
      <w:pPr>
        <w:ind w:left="2489" w:hanging="360"/>
      </w:pPr>
      <w:rPr>
        <w:rFonts w:hint="default"/>
      </w:rPr>
    </w:lvl>
    <w:lvl w:ilvl="3">
      <w:start w:val="0"/>
      <w:numFmt w:val="bullet"/>
      <w:lvlText w:val="•"/>
      <w:lvlJc w:val="left"/>
      <w:pPr>
        <w:ind w:left="3399" w:hanging="360"/>
      </w:pPr>
      <w:rPr>
        <w:rFonts w:hint="default"/>
      </w:rPr>
    </w:lvl>
    <w:lvl w:ilvl="4">
      <w:start w:val="0"/>
      <w:numFmt w:val="bullet"/>
      <w:lvlText w:val="•"/>
      <w:lvlJc w:val="left"/>
      <w:pPr>
        <w:ind w:left="4309" w:hanging="360"/>
      </w:pPr>
      <w:rPr>
        <w:rFonts w:hint="default"/>
      </w:rPr>
    </w:lvl>
    <w:lvl w:ilvl="5">
      <w:start w:val="0"/>
      <w:numFmt w:val="bullet"/>
      <w:lvlText w:val="•"/>
      <w:lvlJc w:val="left"/>
      <w:pPr>
        <w:ind w:left="5219" w:hanging="360"/>
      </w:pPr>
      <w:rPr>
        <w:rFonts w:hint="default"/>
      </w:rPr>
    </w:lvl>
    <w:lvl w:ilvl="6">
      <w:start w:val="0"/>
      <w:numFmt w:val="bullet"/>
      <w:lvlText w:val="•"/>
      <w:lvlJc w:val="left"/>
      <w:pPr>
        <w:ind w:left="6129" w:hanging="360"/>
      </w:pPr>
      <w:rPr>
        <w:rFonts w:hint="default"/>
      </w:rPr>
    </w:lvl>
    <w:lvl w:ilvl="7">
      <w:start w:val="0"/>
      <w:numFmt w:val="bullet"/>
      <w:lvlText w:val="•"/>
      <w:lvlJc w:val="left"/>
      <w:pPr>
        <w:ind w:left="7039" w:hanging="360"/>
      </w:pPr>
      <w:rPr>
        <w:rFonts w:hint="default"/>
      </w:rPr>
    </w:lvl>
    <w:lvl w:ilvl="8">
      <w:start w:val="0"/>
      <w:numFmt w:val="bullet"/>
      <w:lvlText w:val="•"/>
      <w:lvlJc w:val="left"/>
      <w:pPr>
        <w:ind w:left="7949" w:hanging="360"/>
      </w:pPr>
      <w:rPr>
        <w:rFonts w:hint="default"/>
      </w:rPr>
    </w:lvl>
  </w:abstractNum>
  <w:abstractNum w:abstractNumId="22">
    <w:multiLevelType w:val="hybridMultilevel"/>
    <w:lvl w:ilvl="0">
      <w:start w:val="5"/>
      <w:numFmt w:val="decimal"/>
      <w:lvlText w:val="%1"/>
      <w:lvlJc w:val="left"/>
      <w:pPr>
        <w:ind w:left="1300" w:hanging="432"/>
        <w:jc w:val="left"/>
      </w:pPr>
      <w:rPr>
        <w:rFonts w:hint="default" w:ascii="Arial" w:hAnsi="Arial" w:eastAsia="Arial" w:cs="Arial"/>
        <w:b/>
        <w:bCs/>
        <w:w w:val="99"/>
        <w:sz w:val="24"/>
        <w:szCs w:val="24"/>
      </w:rPr>
    </w:lvl>
    <w:lvl w:ilvl="1">
      <w:start w:val="1"/>
      <w:numFmt w:val="decimal"/>
      <w:lvlText w:val="%1.%2"/>
      <w:lvlJc w:val="left"/>
      <w:pPr>
        <w:ind w:left="1444" w:hanging="576"/>
        <w:jc w:val="left"/>
      </w:pPr>
      <w:rPr>
        <w:rFonts w:hint="default" w:ascii="Arial" w:hAnsi="Arial" w:eastAsia="Arial" w:cs="Arial"/>
        <w:b/>
        <w:bCs/>
        <w:spacing w:val="-26"/>
        <w:w w:val="99"/>
        <w:sz w:val="24"/>
        <w:szCs w:val="24"/>
      </w:rPr>
    </w:lvl>
    <w:lvl w:ilvl="2">
      <w:start w:val="0"/>
      <w:numFmt w:val="bullet"/>
      <w:lvlText w:val="•"/>
      <w:lvlJc w:val="left"/>
      <w:pPr>
        <w:ind w:left="2365" w:hanging="576"/>
      </w:pPr>
      <w:rPr>
        <w:rFonts w:hint="default"/>
      </w:rPr>
    </w:lvl>
    <w:lvl w:ilvl="3">
      <w:start w:val="0"/>
      <w:numFmt w:val="bullet"/>
      <w:lvlText w:val="•"/>
      <w:lvlJc w:val="left"/>
      <w:pPr>
        <w:ind w:left="3290" w:hanging="576"/>
      </w:pPr>
      <w:rPr>
        <w:rFonts w:hint="default"/>
      </w:rPr>
    </w:lvl>
    <w:lvl w:ilvl="4">
      <w:start w:val="0"/>
      <w:numFmt w:val="bullet"/>
      <w:lvlText w:val="•"/>
      <w:lvlJc w:val="left"/>
      <w:pPr>
        <w:ind w:left="4216" w:hanging="576"/>
      </w:pPr>
      <w:rPr>
        <w:rFonts w:hint="default"/>
      </w:rPr>
    </w:lvl>
    <w:lvl w:ilvl="5">
      <w:start w:val="0"/>
      <w:numFmt w:val="bullet"/>
      <w:lvlText w:val="•"/>
      <w:lvlJc w:val="left"/>
      <w:pPr>
        <w:ind w:left="5141" w:hanging="576"/>
      </w:pPr>
      <w:rPr>
        <w:rFonts w:hint="default"/>
      </w:rPr>
    </w:lvl>
    <w:lvl w:ilvl="6">
      <w:start w:val="0"/>
      <w:numFmt w:val="bullet"/>
      <w:lvlText w:val="•"/>
      <w:lvlJc w:val="left"/>
      <w:pPr>
        <w:ind w:left="6067" w:hanging="576"/>
      </w:pPr>
      <w:rPr>
        <w:rFonts w:hint="default"/>
      </w:rPr>
    </w:lvl>
    <w:lvl w:ilvl="7">
      <w:start w:val="0"/>
      <w:numFmt w:val="bullet"/>
      <w:lvlText w:val="•"/>
      <w:lvlJc w:val="left"/>
      <w:pPr>
        <w:ind w:left="6992" w:hanging="576"/>
      </w:pPr>
      <w:rPr>
        <w:rFonts w:hint="default"/>
      </w:rPr>
    </w:lvl>
    <w:lvl w:ilvl="8">
      <w:start w:val="0"/>
      <w:numFmt w:val="bullet"/>
      <w:lvlText w:val="•"/>
      <w:lvlJc w:val="left"/>
      <w:pPr>
        <w:ind w:left="7917" w:hanging="576"/>
      </w:pPr>
      <w:rPr>
        <w:rFonts w:hint="default"/>
      </w:rPr>
    </w:lvl>
  </w:abstractNum>
  <w:abstractNum w:abstractNumId="21">
    <w:multiLevelType w:val="hybridMultilevel"/>
    <w:lvl w:ilvl="0">
      <w:start w:val="41"/>
      <w:numFmt w:val="decimal"/>
      <w:lvlText w:val="%1"/>
      <w:lvlJc w:val="left"/>
      <w:pPr>
        <w:ind w:left="868" w:hanging="720"/>
        <w:jc w:val="left"/>
      </w:pPr>
      <w:rPr>
        <w:rFonts w:hint="default" w:ascii="Arial" w:hAnsi="Arial" w:eastAsia="Arial" w:cs="Arial"/>
        <w:spacing w:val="-1"/>
        <w:w w:val="100"/>
        <w:sz w:val="22"/>
        <w:szCs w:val="22"/>
      </w:rPr>
    </w:lvl>
    <w:lvl w:ilvl="1">
      <w:start w:val="0"/>
      <w:numFmt w:val="bullet"/>
      <w:lvlText w:val="•"/>
      <w:lvlJc w:val="left"/>
      <w:pPr>
        <w:ind w:left="1758" w:hanging="720"/>
      </w:pPr>
      <w:rPr>
        <w:rFonts w:hint="default"/>
      </w:rPr>
    </w:lvl>
    <w:lvl w:ilvl="2">
      <w:start w:val="0"/>
      <w:numFmt w:val="bullet"/>
      <w:lvlText w:val="•"/>
      <w:lvlJc w:val="left"/>
      <w:pPr>
        <w:ind w:left="2657" w:hanging="720"/>
      </w:pPr>
      <w:rPr>
        <w:rFonts w:hint="default"/>
      </w:rPr>
    </w:lvl>
    <w:lvl w:ilvl="3">
      <w:start w:val="0"/>
      <w:numFmt w:val="bullet"/>
      <w:lvlText w:val="•"/>
      <w:lvlJc w:val="left"/>
      <w:pPr>
        <w:ind w:left="3556" w:hanging="720"/>
      </w:pPr>
      <w:rPr>
        <w:rFonts w:hint="default"/>
      </w:rPr>
    </w:lvl>
    <w:lvl w:ilvl="4">
      <w:start w:val="0"/>
      <w:numFmt w:val="bullet"/>
      <w:lvlText w:val="•"/>
      <w:lvlJc w:val="left"/>
      <w:pPr>
        <w:ind w:left="4455" w:hanging="720"/>
      </w:pPr>
      <w:rPr>
        <w:rFonts w:hint="default"/>
      </w:rPr>
    </w:lvl>
    <w:lvl w:ilvl="5">
      <w:start w:val="0"/>
      <w:numFmt w:val="bullet"/>
      <w:lvlText w:val="•"/>
      <w:lvlJc w:val="left"/>
      <w:pPr>
        <w:ind w:left="5354" w:hanging="720"/>
      </w:pPr>
      <w:rPr>
        <w:rFonts w:hint="default"/>
      </w:rPr>
    </w:lvl>
    <w:lvl w:ilvl="6">
      <w:start w:val="0"/>
      <w:numFmt w:val="bullet"/>
      <w:lvlText w:val="•"/>
      <w:lvlJc w:val="left"/>
      <w:pPr>
        <w:ind w:left="6253" w:hanging="720"/>
      </w:pPr>
      <w:rPr>
        <w:rFonts w:hint="default"/>
      </w:rPr>
    </w:lvl>
    <w:lvl w:ilvl="7">
      <w:start w:val="0"/>
      <w:numFmt w:val="bullet"/>
      <w:lvlText w:val="•"/>
      <w:lvlJc w:val="left"/>
      <w:pPr>
        <w:ind w:left="7152" w:hanging="720"/>
      </w:pPr>
      <w:rPr>
        <w:rFonts w:hint="default"/>
      </w:rPr>
    </w:lvl>
    <w:lvl w:ilvl="8">
      <w:start w:val="0"/>
      <w:numFmt w:val="bullet"/>
      <w:lvlText w:val="•"/>
      <w:lvlJc w:val="left"/>
      <w:pPr>
        <w:ind w:left="8051" w:hanging="720"/>
      </w:pPr>
      <w:rPr>
        <w:rFonts w:hint="default"/>
      </w:rPr>
    </w:lvl>
  </w:abstractNum>
  <w:abstractNum w:abstractNumId="20">
    <w:multiLevelType w:val="hybridMultilevel"/>
    <w:lvl w:ilvl="0">
      <w:start w:val="39"/>
      <w:numFmt w:val="decimal"/>
      <w:lvlText w:val="%1"/>
      <w:lvlJc w:val="left"/>
      <w:pPr>
        <w:ind w:left="868" w:hanging="720"/>
        <w:jc w:val="left"/>
      </w:pPr>
      <w:rPr>
        <w:rFonts w:hint="default" w:ascii="Arial" w:hAnsi="Arial" w:eastAsia="Arial" w:cs="Arial"/>
        <w:spacing w:val="-1"/>
        <w:w w:val="100"/>
        <w:sz w:val="22"/>
        <w:szCs w:val="22"/>
      </w:rPr>
    </w:lvl>
    <w:lvl w:ilvl="1">
      <w:start w:val="0"/>
      <w:numFmt w:val="bullet"/>
      <w:lvlText w:val="•"/>
      <w:lvlJc w:val="left"/>
      <w:pPr>
        <w:ind w:left="1758" w:hanging="720"/>
      </w:pPr>
      <w:rPr>
        <w:rFonts w:hint="default"/>
      </w:rPr>
    </w:lvl>
    <w:lvl w:ilvl="2">
      <w:start w:val="0"/>
      <w:numFmt w:val="bullet"/>
      <w:lvlText w:val="•"/>
      <w:lvlJc w:val="left"/>
      <w:pPr>
        <w:ind w:left="2657" w:hanging="720"/>
      </w:pPr>
      <w:rPr>
        <w:rFonts w:hint="default"/>
      </w:rPr>
    </w:lvl>
    <w:lvl w:ilvl="3">
      <w:start w:val="0"/>
      <w:numFmt w:val="bullet"/>
      <w:lvlText w:val="•"/>
      <w:lvlJc w:val="left"/>
      <w:pPr>
        <w:ind w:left="3556" w:hanging="720"/>
      </w:pPr>
      <w:rPr>
        <w:rFonts w:hint="default"/>
      </w:rPr>
    </w:lvl>
    <w:lvl w:ilvl="4">
      <w:start w:val="0"/>
      <w:numFmt w:val="bullet"/>
      <w:lvlText w:val="•"/>
      <w:lvlJc w:val="left"/>
      <w:pPr>
        <w:ind w:left="4455" w:hanging="720"/>
      </w:pPr>
      <w:rPr>
        <w:rFonts w:hint="default"/>
      </w:rPr>
    </w:lvl>
    <w:lvl w:ilvl="5">
      <w:start w:val="0"/>
      <w:numFmt w:val="bullet"/>
      <w:lvlText w:val="•"/>
      <w:lvlJc w:val="left"/>
      <w:pPr>
        <w:ind w:left="5354" w:hanging="720"/>
      </w:pPr>
      <w:rPr>
        <w:rFonts w:hint="default"/>
      </w:rPr>
    </w:lvl>
    <w:lvl w:ilvl="6">
      <w:start w:val="0"/>
      <w:numFmt w:val="bullet"/>
      <w:lvlText w:val="•"/>
      <w:lvlJc w:val="left"/>
      <w:pPr>
        <w:ind w:left="6253" w:hanging="720"/>
      </w:pPr>
      <w:rPr>
        <w:rFonts w:hint="default"/>
      </w:rPr>
    </w:lvl>
    <w:lvl w:ilvl="7">
      <w:start w:val="0"/>
      <w:numFmt w:val="bullet"/>
      <w:lvlText w:val="•"/>
      <w:lvlJc w:val="left"/>
      <w:pPr>
        <w:ind w:left="7152" w:hanging="720"/>
      </w:pPr>
      <w:rPr>
        <w:rFonts w:hint="default"/>
      </w:rPr>
    </w:lvl>
    <w:lvl w:ilvl="8">
      <w:start w:val="0"/>
      <w:numFmt w:val="bullet"/>
      <w:lvlText w:val="•"/>
      <w:lvlJc w:val="left"/>
      <w:pPr>
        <w:ind w:left="8051" w:hanging="720"/>
      </w:pPr>
      <w:rPr>
        <w:rFonts w:hint="default"/>
      </w:rPr>
    </w:lvl>
  </w:abstractNum>
  <w:abstractNum w:abstractNumId="19">
    <w:multiLevelType w:val="hybridMultilevel"/>
    <w:lvl w:ilvl="0">
      <w:start w:val="36"/>
      <w:numFmt w:val="decimal"/>
      <w:lvlText w:val="%1"/>
      <w:lvlJc w:val="left"/>
      <w:pPr>
        <w:ind w:left="868" w:hanging="720"/>
        <w:jc w:val="left"/>
      </w:pPr>
      <w:rPr>
        <w:rFonts w:hint="default" w:ascii="Arial" w:hAnsi="Arial" w:eastAsia="Arial" w:cs="Arial"/>
        <w:spacing w:val="-1"/>
        <w:w w:val="100"/>
        <w:sz w:val="22"/>
        <w:szCs w:val="22"/>
      </w:rPr>
    </w:lvl>
    <w:lvl w:ilvl="1">
      <w:start w:val="0"/>
      <w:numFmt w:val="bullet"/>
      <w:lvlText w:val="•"/>
      <w:lvlJc w:val="left"/>
      <w:pPr>
        <w:ind w:left="1818" w:hanging="720"/>
      </w:pPr>
      <w:rPr>
        <w:rFonts w:hint="default"/>
      </w:rPr>
    </w:lvl>
    <w:lvl w:ilvl="2">
      <w:start w:val="0"/>
      <w:numFmt w:val="bullet"/>
      <w:lvlText w:val="•"/>
      <w:lvlJc w:val="left"/>
      <w:pPr>
        <w:ind w:left="2777" w:hanging="720"/>
      </w:pPr>
      <w:rPr>
        <w:rFonts w:hint="default"/>
      </w:rPr>
    </w:lvl>
    <w:lvl w:ilvl="3">
      <w:start w:val="0"/>
      <w:numFmt w:val="bullet"/>
      <w:lvlText w:val="•"/>
      <w:lvlJc w:val="left"/>
      <w:pPr>
        <w:ind w:left="3736" w:hanging="720"/>
      </w:pPr>
      <w:rPr>
        <w:rFonts w:hint="default"/>
      </w:rPr>
    </w:lvl>
    <w:lvl w:ilvl="4">
      <w:start w:val="0"/>
      <w:numFmt w:val="bullet"/>
      <w:lvlText w:val="•"/>
      <w:lvlJc w:val="left"/>
      <w:pPr>
        <w:ind w:left="4695" w:hanging="720"/>
      </w:pPr>
      <w:rPr>
        <w:rFonts w:hint="default"/>
      </w:rPr>
    </w:lvl>
    <w:lvl w:ilvl="5">
      <w:start w:val="0"/>
      <w:numFmt w:val="bullet"/>
      <w:lvlText w:val="•"/>
      <w:lvlJc w:val="left"/>
      <w:pPr>
        <w:ind w:left="5654" w:hanging="720"/>
      </w:pPr>
      <w:rPr>
        <w:rFonts w:hint="default"/>
      </w:rPr>
    </w:lvl>
    <w:lvl w:ilvl="6">
      <w:start w:val="0"/>
      <w:numFmt w:val="bullet"/>
      <w:lvlText w:val="•"/>
      <w:lvlJc w:val="left"/>
      <w:pPr>
        <w:ind w:left="6613" w:hanging="720"/>
      </w:pPr>
      <w:rPr>
        <w:rFonts w:hint="default"/>
      </w:rPr>
    </w:lvl>
    <w:lvl w:ilvl="7">
      <w:start w:val="0"/>
      <w:numFmt w:val="bullet"/>
      <w:lvlText w:val="•"/>
      <w:lvlJc w:val="left"/>
      <w:pPr>
        <w:ind w:left="7572" w:hanging="720"/>
      </w:pPr>
      <w:rPr>
        <w:rFonts w:hint="default"/>
      </w:rPr>
    </w:lvl>
    <w:lvl w:ilvl="8">
      <w:start w:val="0"/>
      <w:numFmt w:val="bullet"/>
      <w:lvlText w:val="•"/>
      <w:lvlJc w:val="left"/>
      <w:pPr>
        <w:ind w:left="8531" w:hanging="720"/>
      </w:pPr>
      <w:rPr>
        <w:rFonts w:hint="default"/>
      </w:rPr>
    </w:lvl>
  </w:abstractNum>
  <w:abstractNum w:abstractNumId="18">
    <w:multiLevelType w:val="hybridMultilevel"/>
    <w:lvl w:ilvl="0">
      <w:start w:val="4"/>
      <w:numFmt w:val="decimal"/>
      <w:lvlText w:val="%1"/>
      <w:lvlJc w:val="left"/>
      <w:pPr>
        <w:ind w:left="1588" w:hanging="720"/>
        <w:jc w:val="left"/>
      </w:pPr>
      <w:rPr>
        <w:rFonts w:hint="default"/>
      </w:rPr>
    </w:lvl>
    <w:lvl w:ilvl="1">
      <w:start w:val="2"/>
      <w:numFmt w:val="decimal"/>
      <w:lvlText w:val="%1.%2"/>
      <w:lvlJc w:val="left"/>
      <w:pPr>
        <w:ind w:left="1588" w:hanging="720"/>
        <w:jc w:val="left"/>
      </w:pPr>
      <w:rPr>
        <w:rFonts w:hint="default"/>
      </w:rPr>
    </w:lvl>
    <w:lvl w:ilvl="2">
      <w:start w:val="1"/>
      <w:numFmt w:val="decimal"/>
      <w:lvlText w:val="%1.%2.%3"/>
      <w:lvlJc w:val="left"/>
      <w:pPr>
        <w:ind w:left="1588" w:hanging="720"/>
        <w:jc w:val="left"/>
      </w:pPr>
      <w:rPr>
        <w:rFonts w:hint="default" w:ascii="Arial" w:hAnsi="Arial" w:eastAsia="Arial" w:cs="Arial"/>
        <w:b/>
        <w:bCs/>
        <w:color w:val="0D0D0D"/>
        <w:w w:val="100"/>
        <w:sz w:val="22"/>
        <w:szCs w:val="22"/>
      </w:rPr>
    </w:lvl>
    <w:lvl w:ilvl="3">
      <w:start w:val="0"/>
      <w:numFmt w:val="bullet"/>
      <w:lvlText w:val="•"/>
      <w:lvlJc w:val="left"/>
      <w:pPr>
        <w:ind w:left="4036" w:hanging="720"/>
      </w:pPr>
      <w:rPr>
        <w:rFonts w:hint="default"/>
      </w:rPr>
    </w:lvl>
    <w:lvl w:ilvl="4">
      <w:start w:val="0"/>
      <w:numFmt w:val="bullet"/>
      <w:lvlText w:val="•"/>
      <w:lvlJc w:val="left"/>
      <w:pPr>
        <w:ind w:left="4855" w:hanging="720"/>
      </w:pPr>
      <w:rPr>
        <w:rFonts w:hint="default"/>
      </w:rPr>
    </w:lvl>
    <w:lvl w:ilvl="5">
      <w:start w:val="0"/>
      <w:numFmt w:val="bullet"/>
      <w:lvlText w:val="•"/>
      <w:lvlJc w:val="left"/>
      <w:pPr>
        <w:ind w:left="5674" w:hanging="720"/>
      </w:pPr>
      <w:rPr>
        <w:rFonts w:hint="default"/>
      </w:rPr>
    </w:lvl>
    <w:lvl w:ilvl="6">
      <w:start w:val="0"/>
      <w:numFmt w:val="bullet"/>
      <w:lvlText w:val="•"/>
      <w:lvlJc w:val="left"/>
      <w:pPr>
        <w:ind w:left="6493" w:hanging="720"/>
      </w:pPr>
      <w:rPr>
        <w:rFonts w:hint="default"/>
      </w:rPr>
    </w:lvl>
    <w:lvl w:ilvl="7">
      <w:start w:val="0"/>
      <w:numFmt w:val="bullet"/>
      <w:lvlText w:val="•"/>
      <w:lvlJc w:val="left"/>
      <w:pPr>
        <w:ind w:left="7312" w:hanging="720"/>
      </w:pPr>
      <w:rPr>
        <w:rFonts w:hint="default"/>
      </w:rPr>
    </w:lvl>
    <w:lvl w:ilvl="8">
      <w:start w:val="0"/>
      <w:numFmt w:val="bullet"/>
      <w:lvlText w:val="•"/>
      <w:lvlJc w:val="left"/>
      <w:pPr>
        <w:ind w:left="8131" w:hanging="720"/>
      </w:pPr>
      <w:rPr>
        <w:rFonts w:hint="default"/>
      </w:rPr>
    </w:lvl>
  </w:abstractNum>
  <w:abstractNum w:abstractNumId="17">
    <w:multiLevelType w:val="hybridMultilevel"/>
    <w:lvl w:ilvl="0">
      <w:start w:val="32"/>
      <w:numFmt w:val="decimal"/>
      <w:lvlText w:val="%1"/>
      <w:lvlJc w:val="left"/>
      <w:pPr>
        <w:ind w:left="868" w:hanging="720"/>
        <w:jc w:val="left"/>
      </w:pPr>
      <w:rPr>
        <w:rFonts w:hint="default" w:ascii="Arial" w:hAnsi="Arial" w:eastAsia="Arial" w:cs="Arial"/>
        <w:spacing w:val="-1"/>
        <w:w w:val="100"/>
        <w:sz w:val="22"/>
        <w:szCs w:val="22"/>
      </w:rPr>
    </w:lvl>
    <w:lvl w:ilvl="1">
      <w:start w:val="0"/>
      <w:numFmt w:val="bullet"/>
      <w:lvlText w:val="•"/>
      <w:lvlJc w:val="left"/>
      <w:pPr>
        <w:ind w:left="1750" w:hanging="720"/>
      </w:pPr>
      <w:rPr>
        <w:rFonts w:hint="default"/>
      </w:rPr>
    </w:lvl>
    <w:lvl w:ilvl="2">
      <w:start w:val="0"/>
      <w:numFmt w:val="bullet"/>
      <w:lvlText w:val="•"/>
      <w:lvlJc w:val="left"/>
      <w:pPr>
        <w:ind w:left="2641" w:hanging="720"/>
      </w:pPr>
      <w:rPr>
        <w:rFonts w:hint="default"/>
      </w:rPr>
    </w:lvl>
    <w:lvl w:ilvl="3">
      <w:start w:val="0"/>
      <w:numFmt w:val="bullet"/>
      <w:lvlText w:val="•"/>
      <w:lvlJc w:val="left"/>
      <w:pPr>
        <w:ind w:left="3532" w:hanging="720"/>
      </w:pPr>
      <w:rPr>
        <w:rFonts w:hint="default"/>
      </w:rPr>
    </w:lvl>
    <w:lvl w:ilvl="4">
      <w:start w:val="0"/>
      <w:numFmt w:val="bullet"/>
      <w:lvlText w:val="•"/>
      <w:lvlJc w:val="left"/>
      <w:pPr>
        <w:ind w:left="4423" w:hanging="720"/>
      </w:pPr>
      <w:rPr>
        <w:rFonts w:hint="default"/>
      </w:rPr>
    </w:lvl>
    <w:lvl w:ilvl="5">
      <w:start w:val="0"/>
      <w:numFmt w:val="bullet"/>
      <w:lvlText w:val="•"/>
      <w:lvlJc w:val="left"/>
      <w:pPr>
        <w:ind w:left="5314" w:hanging="720"/>
      </w:pPr>
      <w:rPr>
        <w:rFonts w:hint="default"/>
      </w:rPr>
    </w:lvl>
    <w:lvl w:ilvl="6">
      <w:start w:val="0"/>
      <w:numFmt w:val="bullet"/>
      <w:lvlText w:val="•"/>
      <w:lvlJc w:val="left"/>
      <w:pPr>
        <w:ind w:left="6205" w:hanging="720"/>
      </w:pPr>
      <w:rPr>
        <w:rFonts w:hint="default"/>
      </w:rPr>
    </w:lvl>
    <w:lvl w:ilvl="7">
      <w:start w:val="0"/>
      <w:numFmt w:val="bullet"/>
      <w:lvlText w:val="•"/>
      <w:lvlJc w:val="left"/>
      <w:pPr>
        <w:ind w:left="7096" w:hanging="720"/>
      </w:pPr>
      <w:rPr>
        <w:rFonts w:hint="default"/>
      </w:rPr>
    </w:lvl>
    <w:lvl w:ilvl="8">
      <w:start w:val="0"/>
      <w:numFmt w:val="bullet"/>
      <w:lvlText w:val="•"/>
      <w:lvlJc w:val="left"/>
      <w:pPr>
        <w:ind w:left="7987" w:hanging="720"/>
      </w:pPr>
      <w:rPr>
        <w:rFonts w:hint="default"/>
      </w:rPr>
    </w:lvl>
  </w:abstractNum>
  <w:abstractNum w:abstractNumId="16">
    <w:multiLevelType w:val="hybridMultilevel"/>
    <w:lvl w:ilvl="0">
      <w:start w:val="4"/>
      <w:numFmt w:val="decimal"/>
      <w:lvlText w:val="%1"/>
      <w:lvlJc w:val="left"/>
      <w:pPr>
        <w:ind w:left="1300" w:hanging="432"/>
        <w:jc w:val="left"/>
      </w:pPr>
      <w:rPr>
        <w:rFonts w:hint="default" w:ascii="Arial" w:hAnsi="Arial" w:eastAsia="Arial" w:cs="Arial"/>
        <w:b/>
        <w:bCs/>
        <w:w w:val="99"/>
        <w:sz w:val="24"/>
        <w:szCs w:val="24"/>
      </w:rPr>
    </w:lvl>
    <w:lvl w:ilvl="1">
      <w:start w:val="1"/>
      <w:numFmt w:val="decimal"/>
      <w:lvlText w:val="%1.%2"/>
      <w:lvlJc w:val="left"/>
      <w:pPr>
        <w:ind w:left="1444" w:hanging="576"/>
        <w:jc w:val="left"/>
      </w:pPr>
      <w:rPr>
        <w:rFonts w:hint="default" w:ascii="Arial" w:hAnsi="Arial" w:eastAsia="Arial" w:cs="Arial"/>
        <w:b/>
        <w:bCs/>
        <w:spacing w:val="-26"/>
        <w:w w:val="99"/>
        <w:sz w:val="24"/>
        <w:szCs w:val="24"/>
      </w:rPr>
    </w:lvl>
    <w:lvl w:ilvl="2">
      <w:start w:val="0"/>
      <w:numFmt w:val="bullet"/>
      <w:lvlText w:val="•"/>
      <w:lvlJc w:val="left"/>
      <w:pPr>
        <w:ind w:left="2365" w:hanging="576"/>
      </w:pPr>
      <w:rPr>
        <w:rFonts w:hint="default"/>
      </w:rPr>
    </w:lvl>
    <w:lvl w:ilvl="3">
      <w:start w:val="0"/>
      <w:numFmt w:val="bullet"/>
      <w:lvlText w:val="•"/>
      <w:lvlJc w:val="left"/>
      <w:pPr>
        <w:ind w:left="3290" w:hanging="576"/>
      </w:pPr>
      <w:rPr>
        <w:rFonts w:hint="default"/>
      </w:rPr>
    </w:lvl>
    <w:lvl w:ilvl="4">
      <w:start w:val="0"/>
      <w:numFmt w:val="bullet"/>
      <w:lvlText w:val="•"/>
      <w:lvlJc w:val="left"/>
      <w:pPr>
        <w:ind w:left="4216" w:hanging="576"/>
      </w:pPr>
      <w:rPr>
        <w:rFonts w:hint="default"/>
      </w:rPr>
    </w:lvl>
    <w:lvl w:ilvl="5">
      <w:start w:val="0"/>
      <w:numFmt w:val="bullet"/>
      <w:lvlText w:val="•"/>
      <w:lvlJc w:val="left"/>
      <w:pPr>
        <w:ind w:left="5141" w:hanging="576"/>
      </w:pPr>
      <w:rPr>
        <w:rFonts w:hint="default"/>
      </w:rPr>
    </w:lvl>
    <w:lvl w:ilvl="6">
      <w:start w:val="0"/>
      <w:numFmt w:val="bullet"/>
      <w:lvlText w:val="•"/>
      <w:lvlJc w:val="left"/>
      <w:pPr>
        <w:ind w:left="6067" w:hanging="576"/>
      </w:pPr>
      <w:rPr>
        <w:rFonts w:hint="default"/>
      </w:rPr>
    </w:lvl>
    <w:lvl w:ilvl="7">
      <w:start w:val="0"/>
      <w:numFmt w:val="bullet"/>
      <w:lvlText w:val="•"/>
      <w:lvlJc w:val="left"/>
      <w:pPr>
        <w:ind w:left="6992" w:hanging="576"/>
      </w:pPr>
      <w:rPr>
        <w:rFonts w:hint="default"/>
      </w:rPr>
    </w:lvl>
    <w:lvl w:ilvl="8">
      <w:start w:val="0"/>
      <w:numFmt w:val="bullet"/>
      <w:lvlText w:val="•"/>
      <w:lvlJc w:val="left"/>
      <w:pPr>
        <w:ind w:left="7917" w:hanging="576"/>
      </w:pPr>
      <w:rPr>
        <w:rFonts w:hint="default"/>
      </w:rPr>
    </w:lvl>
  </w:abstractNum>
  <w:abstractNum w:abstractNumId="15">
    <w:multiLevelType w:val="hybridMultilevel"/>
    <w:lvl w:ilvl="0">
      <w:start w:val="3"/>
      <w:numFmt w:val="decimal"/>
      <w:lvlText w:val="%1"/>
      <w:lvlJc w:val="left"/>
      <w:pPr>
        <w:ind w:left="1588" w:hanging="720"/>
        <w:jc w:val="left"/>
      </w:pPr>
      <w:rPr>
        <w:rFonts w:hint="default"/>
      </w:rPr>
    </w:lvl>
    <w:lvl w:ilvl="1">
      <w:start w:val="2"/>
      <w:numFmt w:val="decimal"/>
      <w:lvlText w:val="%1.%2"/>
      <w:lvlJc w:val="left"/>
      <w:pPr>
        <w:ind w:left="1588" w:hanging="720"/>
        <w:jc w:val="left"/>
      </w:pPr>
      <w:rPr>
        <w:rFonts w:hint="default"/>
      </w:rPr>
    </w:lvl>
    <w:lvl w:ilvl="2">
      <w:start w:val="1"/>
      <w:numFmt w:val="decimal"/>
      <w:lvlText w:val="%1.%2.%3"/>
      <w:lvlJc w:val="left"/>
      <w:pPr>
        <w:ind w:left="1588" w:hanging="720"/>
        <w:jc w:val="left"/>
      </w:pPr>
      <w:rPr>
        <w:rFonts w:hint="default" w:ascii="Arial" w:hAnsi="Arial" w:eastAsia="Arial" w:cs="Arial"/>
        <w:b/>
        <w:bCs/>
        <w:color w:val="0D0D0D"/>
        <w:w w:val="100"/>
        <w:sz w:val="22"/>
        <w:szCs w:val="22"/>
      </w:rPr>
    </w:lvl>
    <w:lvl w:ilvl="3">
      <w:start w:val="0"/>
      <w:numFmt w:val="bullet"/>
      <w:lvlText w:val="•"/>
      <w:lvlJc w:val="left"/>
      <w:pPr>
        <w:ind w:left="4078" w:hanging="720"/>
      </w:pPr>
      <w:rPr>
        <w:rFonts w:hint="default"/>
      </w:rPr>
    </w:lvl>
    <w:lvl w:ilvl="4">
      <w:start w:val="0"/>
      <w:numFmt w:val="bullet"/>
      <w:lvlText w:val="•"/>
      <w:lvlJc w:val="left"/>
      <w:pPr>
        <w:ind w:left="4911" w:hanging="720"/>
      </w:pPr>
      <w:rPr>
        <w:rFonts w:hint="default"/>
      </w:rPr>
    </w:lvl>
    <w:lvl w:ilvl="5">
      <w:start w:val="0"/>
      <w:numFmt w:val="bullet"/>
      <w:lvlText w:val="•"/>
      <w:lvlJc w:val="left"/>
      <w:pPr>
        <w:ind w:left="5744" w:hanging="720"/>
      </w:pPr>
      <w:rPr>
        <w:rFonts w:hint="default"/>
      </w:rPr>
    </w:lvl>
    <w:lvl w:ilvl="6">
      <w:start w:val="0"/>
      <w:numFmt w:val="bullet"/>
      <w:lvlText w:val="•"/>
      <w:lvlJc w:val="left"/>
      <w:pPr>
        <w:ind w:left="6577" w:hanging="720"/>
      </w:pPr>
      <w:rPr>
        <w:rFonts w:hint="default"/>
      </w:rPr>
    </w:lvl>
    <w:lvl w:ilvl="7">
      <w:start w:val="0"/>
      <w:numFmt w:val="bullet"/>
      <w:lvlText w:val="•"/>
      <w:lvlJc w:val="left"/>
      <w:pPr>
        <w:ind w:left="7410" w:hanging="720"/>
      </w:pPr>
      <w:rPr>
        <w:rFonts w:hint="default"/>
      </w:rPr>
    </w:lvl>
    <w:lvl w:ilvl="8">
      <w:start w:val="0"/>
      <w:numFmt w:val="bullet"/>
      <w:lvlText w:val="•"/>
      <w:lvlJc w:val="left"/>
      <w:pPr>
        <w:ind w:left="8243" w:hanging="720"/>
      </w:pPr>
      <w:rPr>
        <w:rFonts w:hint="default"/>
      </w:rPr>
    </w:lvl>
  </w:abstractNum>
  <w:abstractNum w:abstractNumId="14">
    <w:multiLevelType w:val="hybridMultilevel"/>
    <w:lvl w:ilvl="0">
      <w:start w:val="3"/>
      <w:numFmt w:val="decimal"/>
      <w:lvlText w:val="%1"/>
      <w:lvlJc w:val="left"/>
      <w:pPr>
        <w:ind w:left="1588" w:hanging="720"/>
        <w:jc w:val="left"/>
      </w:pPr>
      <w:rPr>
        <w:rFonts w:hint="default"/>
      </w:rPr>
    </w:lvl>
    <w:lvl w:ilvl="1">
      <w:start w:val="1"/>
      <w:numFmt w:val="decimal"/>
      <w:lvlText w:val="%1.%2"/>
      <w:lvlJc w:val="left"/>
      <w:pPr>
        <w:ind w:left="1588" w:hanging="720"/>
        <w:jc w:val="left"/>
      </w:pPr>
      <w:rPr>
        <w:rFonts w:hint="default"/>
      </w:rPr>
    </w:lvl>
    <w:lvl w:ilvl="2">
      <w:start w:val="1"/>
      <w:numFmt w:val="decimal"/>
      <w:lvlText w:val="%1.%2.%3"/>
      <w:lvlJc w:val="left"/>
      <w:pPr>
        <w:ind w:left="1588" w:hanging="720"/>
        <w:jc w:val="left"/>
      </w:pPr>
      <w:rPr>
        <w:rFonts w:hint="default" w:ascii="Arial" w:hAnsi="Arial" w:eastAsia="Arial" w:cs="Arial"/>
        <w:b/>
        <w:bCs/>
        <w:color w:val="0D0D0D"/>
        <w:w w:val="100"/>
        <w:sz w:val="22"/>
        <w:szCs w:val="22"/>
      </w:rPr>
    </w:lvl>
    <w:lvl w:ilvl="3">
      <w:start w:val="0"/>
      <w:numFmt w:val="bullet"/>
      <w:lvlText w:val="•"/>
      <w:lvlJc w:val="left"/>
      <w:pPr>
        <w:ind w:left="4036" w:hanging="720"/>
      </w:pPr>
      <w:rPr>
        <w:rFonts w:hint="default"/>
      </w:rPr>
    </w:lvl>
    <w:lvl w:ilvl="4">
      <w:start w:val="0"/>
      <w:numFmt w:val="bullet"/>
      <w:lvlText w:val="•"/>
      <w:lvlJc w:val="left"/>
      <w:pPr>
        <w:ind w:left="4855" w:hanging="720"/>
      </w:pPr>
      <w:rPr>
        <w:rFonts w:hint="default"/>
      </w:rPr>
    </w:lvl>
    <w:lvl w:ilvl="5">
      <w:start w:val="0"/>
      <w:numFmt w:val="bullet"/>
      <w:lvlText w:val="•"/>
      <w:lvlJc w:val="left"/>
      <w:pPr>
        <w:ind w:left="5674" w:hanging="720"/>
      </w:pPr>
      <w:rPr>
        <w:rFonts w:hint="default"/>
      </w:rPr>
    </w:lvl>
    <w:lvl w:ilvl="6">
      <w:start w:val="0"/>
      <w:numFmt w:val="bullet"/>
      <w:lvlText w:val="•"/>
      <w:lvlJc w:val="left"/>
      <w:pPr>
        <w:ind w:left="6493" w:hanging="720"/>
      </w:pPr>
      <w:rPr>
        <w:rFonts w:hint="default"/>
      </w:rPr>
    </w:lvl>
    <w:lvl w:ilvl="7">
      <w:start w:val="0"/>
      <w:numFmt w:val="bullet"/>
      <w:lvlText w:val="•"/>
      <w:lvlJc w:val="left"/>
      <w:pPr>
        <w:ind w:left="7312" w:hanging="720"/>
      </w:pPr>
      <w:rPr>
        <w:rFonts w:hint="default"/>
      </w:rPr>
    </w:lvl>
    <w:lvl w:ilvl="8">
      <w:start w:val="0"/>
      <w:numFmt w:val="bullet"/>
      <w:lvlText w:val="•"/>
      <w:lvlJc w:val="left"/>
      <w:pPr>
        <w:ind w:left="8131" w:hanging="720"/>
      </w:pPr>
      <w:rPr>
        <w:rFonts w:hint="default"/>
      </w:rPr>
    </w:lvl>
  </w:abstractNum>
  <w:abstractNum w:abstractNumId="13">
    <w:multiLevelType w:val="hybridMultilevel"/>
    <w:lvl w:ilvl="0">
      <w:start w:val="20"/>
      <w:numFmt w:val="decimal"/>
      <w:lvlText w:val="%1"/>
      <w:lvlJc w:val="left"/>
      <w:pPr>
        <w:ind w:left="868" w:hanging="720"/>
        <w:jc w:val="left"/>
      </w:pPr>
      <w:rPr>
        <w:rFonts w:hint="default" w:ascii="Arial" w:hAnsi="Arial" w:eastAsia="Arial" w:cs="Arial"/>
        <w:spacing w:val="-1"/>
        <w:w w:val="100"/>
        <w:sz w:val="22"/>
        <w:szCs w:val="22"/>
      </w:rPr>
    </w:lvl>
    <w:lvl w:ilvl="1">
      <w:start w:val="0"/>
      <w:numFmt w:val="bullet"/>
      <w:lvlText w:val="•"/>
      <w:lvlJc w:val="left"/>
      <w:pPr>
        <w:ind w:left="1750" w:hanging="720"/>
      </w:pPr>
      <w:rPr>
        <w:rFonts w:hint="default"/>
      </w:rPr>
    </w:lvl>
    <w:lvl w:ilvl="2">
      <w:start w:val="0"/>
      <w:numFmt w:val="bullet"/>
      <w:lvlText w:val="•"/>
      <w:lvlJc w:val="left"/>
      <w:pPr>
        <w:ind w:left="2641" w:hanging="720"/>
      </w:pPr>
      <w:rPr>
        <w:rFonts w:hint="default"/>
      </w:rPr>
    </w:lvl>
    <w:lvl w:ilvl="3">
      <w:start w:val="0"/>
      <w:numFmt w:val="bullet"/>
      <w:lvlText w:val="•"/>
      <w:lvlJc w:val="left"/>
      <w:pPr>
        <w:ind w:left="3532" w:hanging="720"/>
      </w:pPr>
      <w:rPr>
        <w:rFonts w:hint="default"/>
      </w:rPr>
    </w:lvl>
    <w:lvl w:ilvl="4">
      <w:start w:val="0"/>
      <w:numFmt w:val="bullet"/>
      <w:lvlText w:val="•"/>
      <w:lvlJc w:val="left"/>
      <w:pPr>
        <w:ind w:left="4423" w:hanging="720"/>
      </w:pPr>
      <w:rPr>
        <w:rFonts w:hint="default"/>
      </w:rPr>
    </w:lvl>
    <w:lvl w:ilvl="5">
      <w:start w:val="0"/>
      <w:numFmt w:val="bullet"/>
      <w:lvlText w:val="•"/>
      <w:lvlJc w:val="left"/>
      <w:pPr>
        <w:ind w:left="5314" w:hanging="720"/>
      </w:pPr>
      <w:rPr>
        <w:rFonts w:hint="default"/>
      </w:rPr>
    </w:lvl>
    <w:lvl w:ilvl="6">
      <w:start w:val="0"/>
      <w:numFmt w:val="bullet"/>
      <w:lvlText w:val="•"/>
      <w:lvlJc w:val="left"/>
      <w:pPr>
        <w:ind w:left="6205" w:hanging="720"/>
      </w:pPr>
      <w:rPr>
        <w:rFonts w:hint="default"/>
      </w:rPr>
    </w:lvl>
    <w:lvl w:ilvl="7">
      <w:start w:val="0"/>
      <w:numFmt w:val="bullet"/>
      <w:lvlText w:val="•"/>
      <w:lvlJc w:val="left"/>
      <w:pPr>
        <w:ind w:left="7096" w:hanging="720"/>
      </w:pPr>
      <w:rPr>
        <w:rFonts w:hint="default"/>
      </w:rPr>
    </w:lvl>
    <w:lvl w:ilvl="8">
      <w:start w:val="0"/>
      <w:numFmt w:val="bullet"/>
      <w:lvlText w:val="•"/>
      <w:lvlJc w:val="left"/>
      <w:pPr>
        <w:ind w:left="7987" w:hanging="720"/>
      </w:pPr>
      <w:rPr>
        <w:rFonts w:hint="default"/>
      </w:rPr>
    </w:lvl>
  </w:abstractNum>
  <w:abstractNum w:abstractNumId="12">
    <w:multiLevelType w:val="hybridMultilevel"/>
    <w:lvl w:ilvl="0">
      <w:start w:val="1"/>
      <w:numFmt w:val="decimal"/>
      <w:lvlText w:val="%1."/>
      <w:lvlJc w:val="left"/>
      <w:pPr>
        <w:ind w:left="1588" w:hanging="360"/>
        <w:jc w:val="left"/>
      </w:pPr>
      <w:rPr>
        <w:rFonts w:hint="default" w:ascii="Arial" w:hAnsi="Arial" w:eastAsia="Arial" w:cs="Arial"/>
        <w:spacing w:val="-1"/>
        <w:w w:val="100"/>
        <w:sz w:val="22"/>
        <w:szCs w:val="22"/>
      </w:rPr>
    </w:lvl>
    <w:lvl w:ilvl="1">
      <w:start w:val="0"/>
      <w:numFmt w:val="bullet"/>
      <w:lvlText w:val="•"/>
      <w:lvlJc w:val="left"/>
      <w:pPr>
        <w:ind w:left="2398" w:hanging="360"/>
      </w:pPr>
      <w:rPr>
        <w:rFonts w:hint="default"/>
      </w:rPr>
    </w:lvl>
    <w:lvl w:ilvl="2">
      <w:start w:val="0"/>
      <w:numFmt w:val="bullet"/>
      <w:lvlText w:val="•"/>
      <w:lvlJc w:val="left"/>
      <w:pPr>
        <w:ind w:left="3217" w:hanging="360"/>
      </w:pPr>
      <w:rPr>
        <w:rFonts w:hint="default"/>
      </w:rPr>
    </w:lvl>
    <w:lvl w:ilvl="3">
      <w:start w:val="0"/>
      <w:numFmt w:val="bullet"/>
      <w:lvlText w:val="•"/>
      <w:lvlJc w:val="left"/>
      <w:pPr>
        <w:ind w:left="4036" w:hanging="360"/>
      </w:pPr>
      <w:rPr>
        <w:rFonts w:hint="default"/>
      </w:rPr>
    </w:lvl>
    <w:lvl w:ilvl="4">
      <w:start w:val="0"/>
      <w:numFmt w:val="bullet"/>
      <w:lvlText w:val="•"/>
      <w:lvlJc w:val="left"/>
      <w:pPr>
        <w:ind w:left="4855" w:hanging="360"/>
      </w:pPr>
      <w:rPr>
        <w:rFonts w:hint="default"/>
      </w:rPr>
    </w:lvl>
    <w:lvl w:ilvl="5">
      <w:start w:val="0"/>
      <w:numFmt w:val="bullet"/>
      <w:lvlText w:val="•"/>
      <w:lvlJc w:val="left"/>
      <w:pPr>
        <w:ind w:left="5674" w:hanging="360"/>
      </w:pPr>
      <w:rPr>
        <w:rFonts w:hint="default"/>
      </w:rPr>
    </w:lvl>
    <w:lvl w:ilvl="6">
      <w:start w:val="0"/>
      <w:numFmt w:val="bullet"/>
      <w:lvlText w:val="•"/>
      <w:lvlJc w:val="left"/>
      <w:pPr>
        <w:ind w:left="6493" w:hanging="360"/>
      </w:pPr>
      <w:rPr>
        <w:rFonts w:hint="default"/>
      </w:rPr>
    </w:lvl>
    <w:lvl w:ilvl="7">
      <w:start w:val="0"/>
      <w:numFmt w:val="bullet"/>
      <w:lvlText w:val="•"/>
      <w:lvlJc w:val="left"/>
      <w:pPr>
        <w:ind w:left="7312" w:hanging="360"/>
      </w:pPr>
      <w:rPr>
        <w:rFonts w:hint="default"/>
      </w:rPr>
    </w:lvl>
    <w:lvl w:ilvl="8">
      <w:start w:val="0"/>
      <w:numFmt w:val="bullet"/>
      <w:lvlText w:val="•"/>
      <w:lvlJc w:val="left"/>
      <w:pPr>
        <w:ind w:left="8131" w:hanging="360"/>
      </w:pPr>
      <w:rPr>
        <w:rFonts w:hint="default"/>
      </w:rPr>
    </w:lvl>
  </w:abstractNum>
  <w:abstractNum w:abstractNumId="11">
    <w:multiLevelType w:val="hybridMultilevel"/>
    <w:lvl w:ilvl="0">
      <w:start w:val="2"/>
      <w:numFmt w:val="decimal"/>
      <w:lvlText w:val="%1"/>
      <w:lvlJc w:val="left"/>
      <w:pPr>
        <w:ind w:left="1588" w:hanging="720"/>
        <w:jc w:val="left"/>
      </w:pPr>
      <w:rPr>
        <w:rFonts w:hint="default"/>
      </w:rPr>
    </w:lvl>
    <w:lvl w:ilvl="1">
      <w:start w:val="5"/>
      <w:numFmt w:val="decimal"/>
      <w:lvlText w:val="%1.%2"/>
      <w:lvlJc w:val="left"/>
      <w:pPr>
        <w:ind w:left="1588" w:hanging="720"/>
        <w:jc w:val="left"/>
      </w:pPr>
      <w:rPr>
        <w:rFonts w:hint="default"/>
      </w:rPr>
    </w:lvl>
    <w:lvl w:ilvl="2">
      <w:start w:val="1"/>
      <w:numFmt w:val="decimal"/>
      <w:lvlText w:val="%1.%2.%3"/>
      <w:lvlJc w:val="left"/>
      <w:pPr>
        <w:ind w:left="1588" w:hanging="720"/>
        <w:jc w:val="left"/>
      </w:pPr>
      <w:rPr>
        <w:rFonts w:hint="default" w:ascii="Arial" w:hAnsi="Arial" w:eastAsia="Arial" w:cs="Arial"/>
        <w:b/>
        <w:bCs/>
        <w:color w:val="0D0D0D"/>
        <w:w w:val="100"/>
        <w:sz w:val="22"/>
        <w:szCs w:val="22"/>
      </w:rPr>
    </w:lvl>
    <w:lvl w:ilvl="3">
      <w:start w:val="0"/>
      <w:numFmt w:val="bullet"/>
      <w:lvlText w:val="•"/>
      <w:lvlJc w:val="left"/>
      <w:pPr>
        <w:ind w:left="4036" w:hanging="720"/>
      </w:pPr>
      <w:rPr>
        <w:rFonts w:hint="default"/>
      </w:rPr>
    </w:lvl>
    <w:lvl w:ilvl="4">
      <w:start w:val="0"/>
      <w:numFmt w:val="bullet"/>
      <w:lvlText w:val="•"/>
      <w:lvlJc w:val="left"/>
      <w:pPr>
        <w:ind w:left="4855" w:hanging="720"/>
      </w:pPr>
      <w:rPr>
        <w:rFonts w:hint="default"/>
      </w:rPr>
    </w:lvl>
    <w:lvl w:ilvl="5">
      <w:start w:val="0"/>
      <w:numFmt w:val="bullet"/>
      <w:lvlText w:val="•"/>
      <w:lvlJc w:val="left"/>
      <w:pPr>
        <w:ind w:left="5674" w:hanging="720"/>
      </w:pPr>
      <w:rPr>
        <w:rFonts w:hint="default"/>
      </w:rPr>
    </w:lvl>
    <w:lvl w:ilvl="6">
      <w:start w:val="0"/>
      <w:numFmt w:val="bullet"/>
      <w:lvlText w:val="•"/>
      <w:lvlJc w:val="left"/>
      <w:pPr>
        <w:ind w:left="6493" w:hanging="720"/>
      </w:pPr>
      <w:rPr>
        <w:rFonts w:hint="default"/>
      </w:rPr>
    </w:lvl>
    <w:lvl w:ilvl="7">
      <w:start w:val="0"/>
      <w:numFmt w:val="bullet"/>
      <w:lvlText w:val="•"/>
      <w:lvlJc w:val="left"/>
      <w:pPr>
        <w:ind w:left="7312" w:hanging="720"/>
      </w:pPr>
      <w:rPr>
        <w:rFonts w:hint="default"/>
      </w:rPr>
    </w:lvl>
    <w:lvl w:ilvl="8">
      <w:start w:val="0"/>
      <w:numFmt w:val="bullet"/>
      <w:lvlText w:val="•"/>
      <w:lvlJc w:val="left"/>
      <w:pPr>
        <w:ind w:left="8131" w:hanging="720"/>
      </w:pPr>
      <w:rPr>
        <w:rFonts w:hint="default"/>
      </w:rPr>
    </w:lvl>
  </w:abstractNum>
  <w:abstractNum w:abstractNumId="10">
    <w:multiLevelType w:val="hybridMultilevel"/>
    <w:lvl w:ilvl="0">
      <w:start w:val="15"/>
      <w:numFmt w:val="decimal"/>
      <w:lvlText w:val="%1"/>
      <w:lvlJc w:val="left"/>
      <w:pPr>
        <w:ind w:left="868" w:hanging="720"/>
        <w:jc w:val="left"/>
      </w:pPr>
      <w:rPr>
        <w:rFonts w:hint="default" w:ascii="Arial" w:hAnsi="Arial" w:eastAsia="Arial" w:cs="Arial"/>
        <w:spacing w:val="-1"/>
        <w:w w:val="100"/>
        <w:sz w:val="22"/>
        <w:szCs w:val="22"/>
      </w:rPr>
    </w:lvl>
    <w:lvl w:ilvl="1">
      <w:start w:val="0"/>
      <w:numFmt w:val="bullet"/>
      <w:lvlText w:val=""/>
      <w:lvlJc w:val="left"/>
      <w:pPr>
        <w:ind w:left="1588" w:hanging="360"/>
      </w:pPr>
      <w:rPr>
        <w:rFonts w:hint="default" w:ascii="Symbol" w:hAnsi="Symbol" w:eastAsia="Symbol" w:cs="Symbol"/>
        <w:w w:val="100"/>
        <w:sz w:val="22"/>
        <w:szCs w:val="22"/>
      </w:rPr>
    </w:lvl>
    <w:lvl w:ilvl="2">
      <w:start w:val="0"/>
      <w:numFmt w:val="bullet"/>
      <w:lvlText w:val="•"/>
      <w:lvlJc w:val="left"/>
      <w:pPr>
        <w:ind w:left="2489" w:hanging="360"/>
      </w:pPr>
      <w:rPr>
        <w:rFonts w:hint="default"/>
      </w:rPr>
    </w:lvl>
    <w:lvl w:ilvl="3">
      <w:start w:val="0"/>
      <w:numFmt w:val="bullet"/>
      <w:lvlText w:val="•"/>
      <w:lvlJc w:val="left"/>
      <w:pPr>
        <w:ind w:left="3399" w:hanging="360"/>
      </w:pPr>
      <w:rPr>
        <w:rFonts w:hint="default"/>
      </w:rPr>
    </w:lvl>
    <w:lvl w:ilvl="4">
      <w:start w:val="0"/>
      <w:numFmt w:val="bullet"/>
      <w:lvlText w:val="•"/>
      <w:lvlJc w:val="left"/>
      <w:pPr>
        <w:ind w:left="4309" w:hanging="360"/>
      </w:pPr>
      <w:rPr>
        <w:rFonts w:hint="default"/>
      </w:rPr>
    </w:lvl>
    <w:lvl w:ilvl="5">
      <w:start w:val="0"/>
      <w:numFmt w:val="bullet"/>
      <w:lvlText w:val="•"/>
      <w:lvlJc w:val="left"/>
      <w:pPr>
        <w:ind w:left="5219" w:hanging="360"/>
      </w:pPr>
      <w:rPr>
        <w:rFonts w:hint="default"/>
      </w:rPr>
    </w:lvl>
    <w:lvl w:ilvl="6">
      <w:start w:val="0"/>
      <w:numFmt w:val="bullet"/>
      <w:lvlText w:val="•"/>
      <w:lvlJc w:val="left"/>
      <w:pPr>
        <w:ind w:left="6129" w:hanging="360"/>
      </w:pPr>
      <w:rPr>
        <w:rFonts w:hint="default"/>
      </w:rPr>
    </w:lvl>
    <w:lvl w:ilvl="7">
      <w:start w:val="0"/>
      <w:numFmt w:val="bullet"/>
      <w:lvlText w:val="•"/>
      <w:lvlJc w:val="left"/>
      <w:pPr>
        <w:ind w:left="7039" w:hanging="360"/>
      </w:pPr>
      <w:rPr>
        <w:rFonts w:hint="default"/>
      </w:rPr>
    </w:lvl>
    <w:lvl w:ilvl="8">
      <w:start w:val="0"/>
      <w:numFmt w:val="bullet"/>
      <w:lvlText w:val="•"/>
      <w:lvlJc w:val="left"/>
      <w:pPr>
        <w:ind w:left="7949" w:hanging="360"/>
      </w:pPr>
      <w:rPr>
        <w:rFonts w:hint="default"/>
      </w:rPr>
    </w:lvl>
  </w:abstractNum>
  <w:abstractNum w:abstractNumId="9">
    <w:multiLevelType w:val="hybridMultilevel"/>
    <w:lvl w:ilvl="0">
      <w:start w:val="12"/>
      <w:numFmt w:val="decimal"/>
      <w:lvlText w:val="%1"/>
      <w:lvlJc w:val="left"/>
      <w:pPr>
        <w:ind w:left="1588" w:hanging="720"/>
        <w:jc w:val="left"/>
      </w:pPr>
      <w:rPr>
        <w:rFonts w:hint="default" w:ascii="Arial" w:hAnsi="Arial" w:eastAsia="Arial" w:cs="Arial"/>
        <w:spacing w:val="-1"/>
        <w:w w:val="100"/>
        <w:sz w:val="22"/>
        <w:szCs w:val="22"/>
      </w:rPr>
    </w:lvl>
    <w:lvl w:ilvl="1">
      <w:start w:val="1"/>
      <w:numFmt w:val="lowerRoman"/>
      <w:lvlText w:val="(%2)"/>
      <w:lvlJc w:val="left"/>
      <w:pPr>
        <w:ind w:left="1588" w:hanging="360"/>
        <w:jc w:val="right"/>
      </w:pPr>
      <w:rPr>
        <w:rFonts w:hint="default"/>
        <w:spacing w:val="-1"/>
        <w:w w:val="100"/>
      </w:rPr>
    </w:lvl>
    <w:lvl w:ilvl="2">
      <w:start w:val="0"/>
      <w:numFmt w:val="bullet"/>
      <w:lvlText w:val="•"/>
      <w:lvlJc w:val="left"/>
      <w:pPr>
        <w:ind w:left="3217" w:hanging="360"/>
      </w:pPr>
      <w:rPr>
        <w:rFonts w:hint="default"/>
      </w:rPr>
    </w:lvl>
    <w:lvl w:ilvl="3">
      <w:start w:val="0"/>
      <w:numFmt w:val="bullet"/>
      <w:lvlText w:val="•"/>
      <w:lvlJc w:val="left"/>
      <w:pPr>
        <w:ind w:left="4036" w:hanging="360"/>
      </w:pPr>
      <w:rPr>
        <w:rFonts w:hint="default"/>
      </w:rPr>
    </w:lvl>
    <w:lvl w:ilvl="4">
      <w:start w:val="0"/>
      <w:numFmt w:val="bullet"/>
      <w:lvlText w:val="•"/>
      <w:lvlJc w:val="left"/>
      <w:pPr>
        <w:ind w:left="4855" w:hanging="360"/>
      </w:pPr>
      <w:rPr>
        <w:rFonts w:hint="default"/>
      </w:rPr>
    </w:lvl>
    <w:lvl w:ilvl="5">
      <w:start w:val="0"/>
      <w:numFmt w:val="bullet"/>
      <w:lvlText w:val="•"/>
      <w:lvlJc w:val="left"/>
      <w:pPr>
        <w:ind w:left="5674" w:hanging="360"/>
      </w:pPr>
      <w:rPr>
        <w:rFonts w:hint="default"/>
      </w:rPr>
    </w:lvl>
    <w:lvl w:ilvl="6">
      <w:start w:val="0"/>
      <w:numFmt w:val="bullet"/>
      <w:lvlText w:val="•"/>
      <w:lvlJc w:val="left"/>
      <w:pPr>
        <w:ind w:left="6493" w:hanging="360"/>
      </w:pPr>
      <w:rPr>
        <w:rFonts w:hint="default"/>
      </w:rPr>
    </w:lvl>
    <w:lvl w:ilvl="7">
      <w:start w:val="0"/>
      <w:numFmt w:val="bullet"/>
      <w:lvlText w:val="•"/>
      <w:lvlJc w:val="left"/>
      <w:pPr>
        <w:ind w:left="7312" w:hanging="360"/>
      </w:pPr>
      <w:rPr>
        <w:rFonts w:hint="default"/>
      </w:rPr>
    </w:lvl>
    <w:lvl w:ilvl="8">
      <w:start w:val="0"/>
      <w:numFmt w:val="bullet"/>
      <w:lvlText w:val="•"/>
      <w:lvlJc w:val="left"/>
      <w:pPr>
        <w:ind w:left="8131" w:hanging="360"/>
      </w:pPr>
      <w:rPr>
        <w:rFonts w:hint="default"/>
      </w:rPr>
    </w:lvl>
  </w:abstractNum>
  <w:abstractNum w:abstractNumId="8">
    <w:multiLevelType w:val="hybridMultilevel"/>
    <w:lvl w:ilvl="0">
      <w:start w:val="9"/>
      <w:numFmt w:val="decimal"/>
      <w:lvlText w:val="%1"/>
      <w:lvlJc w:val="left"/>
      <w:pPr>
        <w:ind w:left="868" w:hanging="720"/>
        <w:jc w:val="left"/>
      </w:pPr>
      <w:rPr>
        <w:rFonts w:hint="default" w:ascii="Arial" w:hAnsi="Arial" w:eastAsia="Arial" w:cs="Arial"/>
        <w:w w:val="100"/>
        <w:sz w:val="22"/>
        <w:szCs w:val="22"/>
      </w:rPr>
    </w:lvl>
    <w:lvl w:ilvl="1">
      <w:start w:val="1"/>
      <w:numFmt w:val="lowerRoman"/>
      <w:lvlText w:val="(%2)"/>
      <w:lvlJc w:val="left"/>
      <w:pPr>
        <w:ind w:left="1314" w:hanging="360"/>
        <w:jc w:val="left"/>
      </w:pPr>
      <w:rPr>
        <w:rFonts w:hint="default" w:ascii="Calibri" w:hAnsi="Calibri" w:eastAsia="Calibri" w:cs="Calibri"/>
        <w:spacing w:val="-1"/>
        <w:w w:val="100"/>
        <w:sz w:val="22"/>
        <w:szCs w:val="22"/>
      </w:rPr>
    </w:lvl>
    <w:lvl w:ilvl="2">
      <w:start w:val="0"/>
      <w:numFmt w:val="bullet"/>
      <w:lvlText w:val="•"/>
      <w:lvlJc w:val="left"/>
      <w:pPr>
        <w:ind w:left="2258" w:hanging="360"/>
      </w:pPr>
      <w:rPr>
        <w:rFonts w:hint="default"/>
      </w:rPr>
    </w:lvl>
    <w:lvl w:ilvl="3">
      <w:start w:val="0"/>
      <w:numFmt w:val="bullet"/>
      <w:lvlText w:val="•"/>
      <w:lvlJc w:val="left"/>
      <w:pPr>
        <w:ind w:left="3197" w:hanging="360"/>
      </w:pPr>
      <w:rPr>
        <w:rFonts w:hint="default"/>
      </w:rPr>
    </w:lvl>
    <w:lvl w:ilvl="4">
      <w:start w:val="0"/>
      <w:numFmt w:val="bullet"/>
      <w:lvlText w:val="•"/>
      <w:lvlJc w:val="left"/>
      <w:pPr>
        <w:ind w:left="4136" w:hanging="360"/>
      </w:pPr>
      <w:rPr>
        <w:rFonts w:hint="default"/>
      </w:rPr>
    </w:lvl>
    <w:lvl w:ilvl="5">
      <w:start w:val="0"/>
      <w:numFmt w:val="bullet"/>
      <w:lvlText w:val="•"/>
      <w:lvlJc w:val="left"/>
      <w:pPr>
        <w:ind w:left="5075" w:hanging="360"/>
      </w:pPr>
      <w:rPr>
        <w:rFonts w:hint="default"/>
      </w:rPr>
    </w:lvl>
    <w:lvl w:ilvl="6">
      <w:start w:val="0"/>
      <w:numFmt w:val="bullet"/>
      <w:lvlText w:val="•"/>
      <w:lvlJc w:val="left"/>
      <w:pPr>
        <w:ind w:left="6013" w:hanging="360"/>
      </w:pPr>
      <w:rPr>
        <w:rFonts w:hint="default"/>
      </w:rPr>
    </w:lvl>
    <w:lvl w:ilvl="7">
      <w:start w:val="0"/>
      <w:numFmt w:val="bullet"/>
      <w:lvlText w:val="•"/>
      <w:lvlJc w:val="left"/>
      <w:pPr>
        <w:ind w:left="6952" w:hanging="360"/>
      </w:pPr>
      <w:rPr>
        <w:rFonts w:hint="default"/>
      </w:rPr>
    </w:lvl>
    <w:lvl w:ilvl="8">
      <w:start w:val="0"/>
      <w:numFmt w:val="bullet"/>
      <w:lvlText w:val="•"/>
      <w:lvlJc w:val="left"/>
      <w:pPr>
        <w:ind w:left="7891" w:hanging="360"/>
      </w:pPr>
      <w:rPr>
        <w:rFonts w:hint="default"/>
      </w:rPr>
    </w:lvl>
  </w:abstractNum>
  <w:abstractNum w:abstractNumId="7">
    <w:multiLevelType w:val="hybridMultilevel"/>
    <w:lvl w:ilvl="0">
      <w:start w:val="7"/>
      <w:numFmt w:val="decimal"/>
      <w:lvlText w:val="%1"/>
      <w:lvlJc w:val="left"/>
      <w:pPr>
        <w:ind w:left="868" w:hanging="720"/>
        <w:jc w:val="left"/>
      </w:pPr>
      <w:rPr>
        <w:rFonts w:hint="default" w:ascii="Arial" w:hAnsi="Arial" w:eastAsia="Arial" w:cs="Arial"/>
        <w:w w:val="100"/>
        <w:sz w:val="22"/>
        <w:szCs w:val="22"/>
      </w:rPr>
    </w:lvl>
    <w:lvl w:ilvl="1">
      <w:start w:val="0"/>
      <w:numFmt w:val="bullet"/>
      <w:lvlText w:val="•"/>
      <w:lvlJc w:val="left"/>
      <w:pPr>
        <w:ind w:left="1750" w:hanging="720"/>
      </w:pPr>
      <w:rPr>
        <w:rFonts w:hint="default"/>
      </w:rPr>
    </w:lvl>
    <w:lvl w:ilvl="2">
      <w:start w:val="0"/>
      <w:numFmt w:val="bullet"/>
      <w:lvlText w:val="•"/>
      <w:lvlJc w:val="left"/>
      <w:pPr>
        <w:ind w:left="2641" w:hanging="720"/>
      </w:pPr>
      <w:rPr>
        <w:rFonts w:hint="default"/>
      </w:rPr>
    </w:lvl>
    <w:lvl w:ilvl="3">
      <w:start w:val="0"/>
      <w:numFmt w:val="bullet"/>
      <w:lvlText w:val="•"/>
      <w:lvlJc w:val="left"/>
      <w:pPr>
        <w:ind w:left="3532" w:hanging="720"/>
      </w:pPr>
      <w:rPr>
        <w:rFonts w:hint="default"/>
      </w:rPr>
    </w:lvl>
    <w:lvl w:ilvl="4">
      <w:start w:val="0"/>
      <w:numFmt w:val="bullet"/>
      <w:lvlText w:val="•"/>
      <w:lvlJc w:val="left"/>
      <w:pPr>
        <w:ind w:left="4423" w:hanging="720"/>
      </w:pPr>
      <w:rPr>
        <w:rFonts w:hint="default"/>
      </w:rPr>
    </w:lvl>
    <w:lvl w:ilvl="5">
      <w:start w:val="0"/>
      <w:numFmt w:val="bullet"/>
      <w:lvlText w:val="•"/>
      <w:lvlJc w:val="left"/>
      <w:pPr>
        <w:ind w:left="5314" w:hanging="720"/>
      </w:pPr>
      <w:rPr>
        <w:rFonts w:hint="default"/>
      </w:rPr>
    </w:lvl>
    <w:lvl w:ilvl="6">
      <w:start w:val="0"/>
      <w:numFmt w:val="bullet"/>
      <w:lvlText w:val="•"/>
      <w:lvlJc w:val="left"/>
      <w:pPr>
        <w:ind w:left="6205" w:hanging="720"/>
      </w:pPr>
      <w:rPr>
        <w:rFonts w:hint="default"/>
      </w:rPr>
    </w:lvl>
    <w:lvl w:ilvl="7">
      <w:start w:val="0"/>
      <w:numFmt w:val="bullet"/>
      <w:lvlText w:val="•"/>
      <w:lvlJc w:val="left"/>
      <w:pPr>
        <w:ind w:left="7096" w:hanging="720"/>
      </w:pPr>
      <w:rPr>
        <w:rFonts w:hint="default"/>
      </w:rPr>
    </w:lvl>
    <w:lvl w:ilvl="8">
      <w:start w:val="0"/>
      <w:numFmt w:val="bullet"/>
      <w:lvlText w:val="•"/>
      <w:lvlJc w:val="left"/>
      <w:pPr>
        <w:ind w:left="7987" w:hanging="720"/>
      </w:pPr>
      <w:rPr>
        <w:rFonts w:hint="default"/>
      </w:rPr>
    </w:lvl>
  </w:abstractNum>
  <w:abstractNum w:abstractNumId="6">
    <w:multiLevelType w:val="hybridMultilevel"/>
    <w:lvl w:ilvl="0">
      <w:start w:val="2"/>
      <w:numFmt w:val="decimal"/>
      <w:lvlText w:val="%1"/>
      <w:lvlJc w:val="left"/>
      <w:pPr>
        <w:ind w:left="1300" w:hanging="432"/>
        <w:jc w:val="left"/>
      </w:pPr>
      <w:rPr>
        <w:rFonts w:hint="default" w:ascii="Arial" w:hAnsi="Arial" w:eastAsia="Arial" w:cs="Arial"/>
        <w:b/>
        <w:bCs/>
        <w:w w:val="99"/>
        <w:sz w:val="24"/>
        <w:szCs w:val="24"/>
      </w:rPr>
    </w:lvl>
    <w:lvl w:ilvl="1">
      <w:start w:val="1"/>
      <w:numFmt w:val="decimal"/>
      <w:lvlText w:val="%1.%2"/>
      <w:lvlJc w:val="left"/>
      <w:pPr>
        <w:ind w:left="1319" w:hanging="452"/>
        <w:jc w:val="left"/>
      </w:pPr>
      <w:rPr>
        <w:rFonts w:hint="default" w:ascii="Arial" w:hAnsi="Arial" w:eastAsia="Arial" w:cs="Arial"/>
        <w:b/>
        <w:bCs/>
        <w:spacing w:val="-17"/>
        <w:w w:val="99"/>
        <w:sz w:val="24"/>
        <w:szCs w:val="24"/>
      </w:rPr>
    </w:lvl>
    <w:lvl w:ilvl="2">
      <w:start w:val="1"/>
      <w:numFmt w:val="decimal"/>
      <w:lvlText w:val="%1.%2.%3"/>
      <w:lvlJc w:val="left"/>
      <w:pPr>
        <w:ind w:left="1588" w:hanging="720"/>
        <w:jc w:val="left"/>
      </w:pPr>
      <w:rPr>
        <w:rFonts w:hint="default" w:ascii="Arial" w:hAnsi="Arial" w:eastAsia="Arial" w:cs="Arial"/>
        <w:b/>
        <w:bCs/>
        <w:color w:val="0D0D0D"/>
        <w:w w:val="100"/>
        <w:sz w:val="22"/>
        <w:szCs w:val="22"/>
      </w:rPr>
    </w:lvl>
    <w:lvl w:ilvl="3">
      <w:start w:val="0"/>
      <w:numFmt w:val="bullet"/>
      <w:lvlText w:val="•"/>
      <w:lvlJc w:val="left"/>
      <w:pPr>
        <w:ind w:left="2603" w:hanging="720"/>
      </w:pPr>
      <w:rPr>
        <w:rFonts w:hint="default"/>
      </w:rPr>
    </w:lvl>
    <w:lvl w:ilvl="4">
      <w:start w:val="0"/>
      <w:numFmt w:val="bullet"/>
      <w:lvlText w:val="•"/>
      <w:lvlJc w:val="left"/>
      <w:pPr>
        <w:ind w:left="3627" w:hanging="720"/>
      </w:pPr>
      <w:rPr>
        <w:rFonts w:hint="default"/>
      </w:rPr>
    </w:lvl>
    <w:lvl w:ilvl="5">
      <w:start w:val="0"/>
      <w:numFmt w:val="bullet"/>
      <w:lvlText w:val="•"/>
      <w:lvlJc w:val="left"/>
      <w:pPr>
        <w:ind w:left="4650" w:hanging="720"/>
      </w:pPr>
      <w:rPr>
        <w:rFonts w:hint="default"/>
      </w:rPr>
    </w:lvl>
    <w:lvl w:ilvl="6">
      <w:start w:val="0"/>
      <w:numFmt w:val="bullet"/>
      <w:lvlText w:val="•"/>
      <w:lvlJc w:val="left"/>
      <w:pPr>
        <w:ind w:left="5674" w:hanging="720"/>
      </w:pPr>
      <w:rPr>
        <w:rFonts w:hint="default"/>
      </w:rPr>
    </w:lvl>
    <w:lvl w:ilvl="7">
      <w:start w:val="0"/>
      <w:numFmt w:val="bullet"/>
      <w:lvlText w:val="•"/>
      <w:lvlJc w:val="left"/>
      <w:pPr>
        <w:ind w:left="6698" w:hanging="720"/>
      </w:pPr>
      <w:rPr>
        <w:rFonts w:hint="default"/>
      </w:rPr>
    </w:lvl>
    <w:lvl w:ilvl="8">
      <w:start w:val="0"/>
      <w:numFmt w:val="bullet"/>
      <w:lvlText w:val="•"/>
      <w:lvlJc w:val="left"/>
      <w:pPr>
        <w:ind w:left="7721" w:hanging="720"/>
      </w:pPr>
      <w:rPr>
        <w:rFonts w:hint="default"/>
      </w:rPr>
    </w:lvl>
  </w:abstractNum>
  <w:abstractNum w:abstractNumId="5">
    <w:multiLevelType w:val="hybridMultilevel"/>
    <w:lvl w:ilvl="0">
      <w:start w:val="1"/>
      <w:numFmt w:val="decimal"/>
      <w:lvlText w:val="%1"/>
      <w:lvlJc w:val="left"/>
      <w:pPr>
        <w:ind w:left="1588" w:hanging="720"/>
        <w:jc w:val="left"/>
      </w:pPr>
      <w:rPr>
        <w:rFonts w:hint="default"/>
      </w:rPr>
    </w:lvl>
    <w:lvl w:ilvl="1">
      <w:start w:val="1"/>
      <w:numFmt w:val="decimal"/>
      <w:lvlText w:val="%1.%2"/>
      <w:lvlJc w:val="left"/>
      <w:pPr>
        <w:ind w:left="1588" w:hanging="720"/>
        <w:jc w:val="left"/>
      </w:pPr>
      <w:rPr>
        <w:rFonts w:hint="default"/>
      </w:rPr>
    </w:lvl>
    <w:lvl w:ilvl="2">
      <w:start w:val="1"/>
      <w:numFmt w:val="decimal"/>
      <w:lvlText w:val="%1.%2.%3"/>
      <w:lvlJc w:val="left"/>
      <w:pPr>
        <w:ind w:left="1588" w:hanging="720"/>
        <w:jc w:val="left"/>
      </w:pPr>
      <w:rPr>
        <w:rFonts w:hint="default" w:ascii="Arial" w:hAnsi="Arial" w:eastAsia="Arial" w:cs="Arial"/>
        <w:b/>
        <w:bCs/>
        <w:color w:val="0D0D0D"/>
        <w:w w:val="100"/>
        <w:sz w:val="22"/>
        <w:szCs w:val="22"/>
      </w:rPr>
    </w:lvl>
    <w:lvl w:ilvl="3">
      <w:start w:val="0"/>
      <w:numFmt w:val="bullet"/>
      <w:lvlText w:val="•"/>
      <w:lvlJc w:val="left"/>
      <w:pPr>
        <w:ind w:left="4036" w:hanging="720"/>
      </w:pPr>
      <w:rPr>
        <w:rFonts w:hint="default"/>
      </w:rPr>
    </w:lvl>
    <w:lvl w:ilvl="4">
      <w:start w:val="0"/>
      <w:numFmt w:val="bullet"/>
      <w:lvlText w:val="•"/>
      <w:lvlJc w:val="left"/>
      <w:pPr>
        <w:ind w:left="4855" w:hanging="720"/>
      </w:pPr>
      <w:rPr>
        <w:rFonts w:hint="default"/>
      </w:rPr>
    </w:lvl>
    <w:lvl w:ilvl="5">
      <w:start w:val="0"/>
      <w:numFmt w:val="bullet"/>
      <w:lvlText w:val="•"/>
      <w:lvlJc w:val="left"/>
      <w:pPr>
        <w:ind w:left="5674" w:hanging="720"/>
      </w:pPr>
      <w:rPr>
        <w:rFonts w:hint="default"/>
      </w:rPr>
    </w:lvl>
    <w:lvl w:ilvl="6">
      <w:start w:val="0"/>
      <w:numFmt w:val="bullet"/>
      <w:lvlText w:val="•"/>
      <w:lvlJc w:val="left"/>
      <w:pPr>
        <w:ind w:left="6493" w:hanging="720"/>
      </w:pPr>
      <w:rPr>
        <w:rFonts w:hint="default"/>
      </w:rPr>
    </w:lvl>
    <w:lvl w:ilvl="7">
      <w:start w:val="0"/>
      <w:numFmt w:val="bullet"/>
      <w:lvlText w:val="•"/>
      <w:lvlJc w:val="left"/>
      <w:pPr>
        <w:ind w:left="7312" w:hanging="720"/>
      </w:pPr>
      <w:rPr>
        <w:rFonts w:hint="default"/>
      </w:rPr>
    </w:lvl>
    <w:lvl w:ilvl="8">
      <w:start w:val="0"/>
      <w:numFmt w:val="bullet"/>
      <w:lvlText w:val="•"/>
      <w:lvlJc w:val="left"/>
      <w:pPr>
        <w:ind w:left="8131" w:hanging="720"/>
      </w:pPr>
      <w:rPr>
        <w:rFonts w:hint="default"/>
      </w:rPr>
    </w:lvl>
  </w:abstractNum>
  <w:abstractNum w:abstractNumId="4">
    <w:multiLevelType w:val="hybridMultilevel"/>
    <w:lvl w:ilvl="0">
      <w:start w:val="1"/>
      <w:numFmt w:val="decimal"/>
      <w:lvlText w:val="%1"/>
      <w:lvlJc w:val="left"/>
      <w:pPr>
        <w:ind w:left="868" w:hanging="720"/>
        <w:jc w:val="left"/>
      </w:pPr>
      <w:rPr>
        <w:rFonts w:hint="default" w:ascii="Arial" w:hAnsi="Arial" w:eastAsia="Arial" w:cs="Arial"/>
        <w:w w:val="100"/>
        <w:sz w:val="22"/>
        <w:szCs w:val="22"/>
      </w:rPr>
    </w:lvl>
    <w:lvl w:ilvl="1">
      <w:start w:val="0"/>
      <w:numFmt w:val="bullet"/>
      <w:lvlText w:val=""/>
      <w:lvlJc w:val="left"/>
      <w:pPr>
        <w:ind w:left="1588" w:hanging="360"/>
      </w:pPr>
      <w:rPr>
        <w:rFonts w:hint="default" w:ascii="Symbol" w:hAnsi="Symbol" w:eastAsia="Symbol" w:cs="Symbol"/>
        <w:w w:val="100"/>
        <w:sz w:val="22"/>
        <w:szCs w:val="22"/>
      </w:rPr>
    </w:lvl>
    <w:lvl w:ilvl="2">
      <w:start w:val="0"/>
      <w:numFmt w:val="bullet"/>
      <w:lvlText w:val="•"/>
      <w:lvlJc w:val="left"/>
      <w:pPr>
        <w:ind w:left="2489" w:hanging="360"/>
      </w:pPr>
      <w:rPr>
        <w:rFonts w:hint="default"/>
      </w:rPr>
    </w:lvl>
    <w:lvl w:ilvl="3">
      <w:start w:val="0"/>
      <w:numFmt w:val="bullet"/>
      <w:lvlText w:val="•"/>
      <w:lvlJc w:val="left"/>
      <w:pPr>
        <w:ind w:left="3399" w:hanging="360"/>
      </w:pPr>
      <w:rPr>
        <w:rFonts w:hint="default"/>
      </w:rPr>
    </w:lvl>
    <w:lvl w:ilvl="4">
      <w:start w:val="0"/>
      <w:numFmt w:val="bullet"/>
      <w:lvlText w:val="•"/>
      <w:lvlJc w:val="left"/>
      <w:pPr>
        <w:ind w:left="4309" w:hanging="360"/>
      </w:pPr>
      <w:rPr>
        <w:rFonts w:hint="default"/>
      </w:rPr>
    </w:lvl>
    <w:lvl w:ilvl="5">
      <w:start w:val="0"/>
      <w:numFmt w:val="bullet"/>
      <w:lvlText w:val="•"/>
      <w:lvlJc w:val="left"/>
      <w:pPr>
        <w:ind w:left="5219" w:hanging="360"/>
      </w:pPr>
      <w:rPr>
        <w:rFonts w:hint="default"/>
      </w:rPr>
    </w:lvl>
    <w:lvl w:ilvl="6">
      <w:start w:val="0"/>
      <w:numFmt w:val="bullet"/>
      <w:lvlText w:val="•"/>
      <w:lvlJc w:val="left"/>
      <w:pPr>
        <w:ind w:left="6129" w:hanging="360"/>
      </w:pPr>
      <w:rPr>
        <w:rFonts w:hint="default"/>
      </w:rPr>
    </w:lvl>
    <w:lvl w:ilvl="7">
      <w:start w:val="0"/>
      <w:numFmt w:val="bullet"/>
      <w:lvlText w:val="•"/>
      <w:lvlJc w:val="left"/>
      <w:pPr>
        <w:ind w:left="7039" w:hanging="360"/>
      </w:pPr>
      <w:rPr>
        <w:rFonts w:hint="default"/>
      </w:rPr>
    </w:lvl>
    <w:lvl w:ilvl="8">
      <w:start w:val="0"/>
      <w:numFmt w:val="bullet"/>
      <w:lvlText w:val="•"/>
      <w:lvlJc w:val="left"/>
      <w:pPr>
        <w:ind w:left="7949" w:hanging="360"/>
      </w:pPr>
      <w:rPr>
        <w:rFonts w:hint="default"/>
      </w:rPr>
    </w:lvl>
  </w:abstractNum>
  <w:abstractNum w:abstractNumId="3">
    <w:multiLevelType w:val="hybridMultilevel"/>
    <w:lvl w:ilvl="0">
      <w:start w:val="0"/>
      <w:numFmt w:val="bullet"/>
      <w:lvlText w:val=""/>
      <w:lvlJc w:val="left"/>
      <w:pPr>
        <w:ind w:left="242" w:hanging="178"/>
      </w:pPr>
      <w:rPr>
        <w:rFonts w:hint="default" w:ascii="Symbol" w:hAnsi="Symbol" w:eastAsia="Symbol" w:cs="Symbol"/>
        <w:w w:val="99"/>
        <w:sz w:val="20"/>
        <w:szCs w:val="20"/>
      </w:rPr>
    </w:lvl>
    <w:lvl w:ilvl="1">
      <w:start w:val="0"/>
      <w:numFmt w:val="bullet"/>
      <w:lvlText w:val="•"/>
      <w:lvlJc w:val="left"/>
      <w:pPr>
        <w:ind w:left="641" w:hanging="178"/>
      </w:pPr>
      <w:rPr>
        <w:rFonts w:hint="default"/>
      </w:rPr>
    </w:lvl>
    <w:lvl w:ilvl="2">
      <w:start w:val="0"/>
      <w:numFmt w:val="bullet"/>
      <w:lvlText w:val="•"/>
      <w:lvlJc w:val="left"/>
      <w:pPr>
        <w:ind w:left="1043" w:hanging="178"/>
      </w:pPr>
      <w:rPr>
        <w:rFonts w:hint="default"/>
      </w:rPr>
    </w:lvl>
    <w:lvl w:ilvl="3">
      <w:start w:val="0"/>
      <w:numFmt w:val="bullet"/>
      <w:lvlText w:val="•"/>
      <w:lvlJc w:val="left"/>
      <w:pPr>
        <w:ind w:left="1444" w:hanging="178"/>
      </w:pPr>
      <w:rPr>
        <w:rFonts w:hint="default"/>
      </w:rPr>
    </w:lvl>
    <w:lvl w:ilvl="4">
      <w:start w:val="0"/>
      <w:numFmt w:val="bullet"/>
      <w:lvlText w:val="•"/>
      <w:lvlJc w:val="left"/>
      <w:pPr>
        <w:ind w:left="1846" w:hanging="178"/>
      </w:pPr>
      <w:rPr>
        <w:rFonts w:hint="default"/>
      </w:rPr>
    </w:lvl>
    <w:lvl w:ilvl="5">
      <w:start w:val="0"/>
      <w:numFmt w:val="bullet"/>
      <w:lvlText w:val="•"/>
      <w:lvlJc w:val="left"/>
      <w:pPr>
        <w:ind w:left="2247" w:hanging="178"/>
      </w:pPr>
      <w:rPr>
        <w:rFonts w:hint="default"/>
      </w:rPr>
    </w:lvl>
    <w:lvl w:ilvl="6">
      <w:start w:val="0"/>
      <w:numFmt w:val="bullet"/>
      <w:lvlText w:val="•"/>
      <w:lvlJc w:val="left"/>
      <w:pPr>
        <w:ind w:left="2649" w:hanging="178"/>
      </w:pPr>
      <w:rPr>
        <w:rFonts w:hint="default"/>
      </w:rPr>
    </w:lvl>
    <w:lvl w:ilvl="7">
      <w:start w:val="0"/>
      <w:numFmt w:val="bullet"/>
      <w:lvlText w:val="•"/>
      <w:lvlJc w:val="left"/>
      <w:pPr>
        <w:ind w:left="3051" w:hanging="178"/>
      </w:pPr>
      <w:rPr>
        <w:rFonts w:hint="default"/>
      </w:rPr>
    </w:lvl>
    <w:lvl w:ilvl="8">
      <w:start w:val="0"/>
      <w:numFmt w:val="bullet"/>
      <w:lvlText w:val="•"/>
      <w:lvlJc w:val="left"/>
      <w:pPr>
        <w:ind w:left="3452" w:hanging="178"/>
      </w:pPr>
      <w:rPr>
        <w:rFonts w:hint="default"/>
      </w:rPr>
    </w:lvl>
  </w:abstractNum>
  <w:abstractNum w:abstractNumId="2">
    <w:multiLevelType w:val="hybridMultilevel"/>
    <w:lvl w:ilvl="0">
      <w:start w:val="0"/>
      <w:numFmt w:val="bullet"/>
      <w:lvlText w:val=""/>
      <w:lvlJc w:val="left"/>
      <w:pPr>
        <w:ind w:left="261" w:hanging="197"/>
      </w:pPr>
      <w:rPr>
        <w:rFonts w:hint="default" w:ascii="Symbol" w:hAnsi="Symbol" w:eastAsia="Symbol" w:cs="Symbol"/>
        <w:w w:val="99"/>
        <w:sz w:val="20"/>
        <w:szCs w:val="20"/>
      </w:rPr>
    </w:lvl>
    <w:lvl w:ilvl="1">
      <w:start w:val="0"/>
      <w:numFmt w:val="bullet"/>
      <w:lvlText w:val="•"/>
      <w:lvlJc w:val="left"/>
      <w:pPr>
        <w:ind w:left="659" w:hanging="197"/>
      </w:pPr>
      <w:rPr>
        <w:rFonts w:hint="default"/>
      </w:rPr>
    </w:lvl>
    <w:lvl w:ilvl="2">
      <w:start w:val="0"/>
      <w:numFmt w:val="bullet"/>
      <w:lvlText w:val="•"/>
      <w:lvlJc w:val="left"/>
      <w:pPr>
        <w:ind w:left="1059" w:hanging="197"/>
      </w:pPr>
      <w:rPr>
        <w:rFonts w:hint="default"/>
      </w:rPr>
    </w:lvl>
    <w:lvl w:ilvl="3">
      <w:start w:val="0"/>
      <w:numFmt w:val="bullet"/>
      <w:lvlText w:val="•"/>
      <w:lvlJc w:val="left"/>
      <w:pPr>
        <w:ind w:left="1458" w:hanging="197"/>
      </w:pPr>
      <w:rPr>
        <w:rFonts w:hint="default"/>
      </w:rPr>
    </w:lvl>
    <w:lvl w:ilvl="4">
      <w:start w:val="0"/>
      <w:numFmt w:val="bullet"/>
      <w:lvlText w:val="•"/>
      <w:lvlJc w:val="left"/>
      <w:pPr>
        <w:ind w:left="1858" w:hanging="197"/>
      </w:pPr>
      <w:rPr>
        <w:rFonts w:hint="default"/>
      </w:rPr>
    </w:lvl>
    <w:lvl w:ilvl="5">
      <w:start w:val="0"/>
      <w:numFmt w:val="bullet"/>
      <w:lvlText w:val="•"/>
      <w:lvlJc w:val="left"/>
      <w:pPr>
        <w:ind w:left="2257" w:hanging="197"/>
      </w:pPr>
      <w:rPr>
        <w:rFonts w:hint="default"/>
      </w:rPr>
    </w:lvl>
    <w:lvl w:ilvl="6">
      <w:start w:val="0"/>
      <w:numFmt w:val="bullet"/>
      <w:lvlText w:val="•"/>
      <w:lvlJc w:val="left"/>
      <w:pPr>
        <w:ind w:left="2657" w:hanging="197"/>
      </w:pPr>
      <w:rPr>
        <w:rFonts w:hint="default"/>
      </w:rPr>
    </w:lvl>
    <w:lvl w:ilvl="7">
      <w:start w:val="0"/>
      <w:numFmt w:val="bullet"/>
      <w:lvlText w:val="•"/>
      <w:lvlJc w:val="left"/>
      <w:pPr>
        <w:ind w:left="3057" w:hanging="197"/>
      </w:pPr>
      <w:rPr>
        <w:rFonts w:hint="default"/>
      </w:rPr>
    </w:lvl>
    <w:lvl w:ilvl="8">
      <w:start w:val="0"/>
      <w:numFmt w:val="bullet"/>
      <w:lvlText w:val="•"/>
      <w:lvlJc w:val="left"/>
      <w:pPr>
        <w:ind w:left="3456" w:hanging="197"/>
      </w:pPr>
      <w:rPr>
        <w:rFonts w:hint="default"/>
      </w:rPr>
    </w:lvl>
  </w:abstractNum>
  <w:abstractNum w:abstractNumId="1">
    <w:multiLevelType w:val="hybridMultilevel"/>
    <w:lvl w:ilvl="0">
      <w:start w:val="0"/>
      <w:numFmt w:val="bullet"/>
      <w:lvlText w:val=""/>
      <w:lvlJc w:val="left"/>
      <w:pPr>
        <w:ind w:left="261" w:hanging="197"/>
      </w:pPr>
      <w:rPr>
        <w:rFonts w:hint="default" w:ascii="Symbol" w:hAnsi="Symbol" w:eastAsia="Symbol" w:cs="Symbol"/>
        <w:w w:val="99"/>
        <w:sz w:val="20"/>
        <w:szCs w:val="20"/>
      </w:rPr>
    </w:lvl>
    <w:lvl w:ilvl="1">
      <w:start w:val="0"/>
      <w:numFmt w:val="bullet"/>
      <w:lvlText w:val="•"/>
      <w:lvlJc w:val="left"/>
      <w:pPr>
        <w:ind w:left="659" w:hanging="197"/>
      </w:pPr>
      <w:rPr>
        <w:rFonts w:hint="default"/>
      </w:rPr>
    </w:lvl>
    <w:lvl w:ilvl="2">
      <w:start w:val="0"/>
      <w:numFmt w:val="bullet"/>
      <w:lvlText w:val="•"/>
      <w:lvlJc w:val="left"/>
      <w:pPr>
        <w:ind w:left="1059" w:hanging="197"/>
      </w:pPr>
      <w:rPr>
        <w:rFonts w:hint="default"/>
      </w:rPr>
    </w:lvl>
    <w:lvl w:ilvl="3">
      <w:start w:val="0"/>
      <w:numFmt w:val="bullet"/>
      <w:lvlText w:val="•"/>
      <w:lvlJc w:val="left"/>
      <w:pPr>
        <w:ind w:left="1458" w:hanging="197"/>
      </w:pPr>
      <w:rPr>
        <w:rFonts w:hint="default"/>
      </w:rPr>
    </w:lvl>
    <w:lvl w:ilvl="4">
      <w:start w:val="0"/>
      <w:numFmt w:val="bullet"/>
      <w:lvlText w:val="•"/>
      <w:lvlJc w:val="left"/>
      <w:pPr>
        <w:ind w:left="1858" w:hanging="197"/>
      </w:pPr>
      <w:rPr>
        <w:rFonts w:hint="default"/>
      </w:rPr>
    </w:lvl>
    <w:lvl w:ilvl="5">
      <w:start w:val="0"/>
      <w:numFmt w:val="bullet"/>
      <w:lvlText w:val="•"/>
      <w:lvlJc w:val="left"/>
      <w:pPr>
        <w:ind w:left="2257" w:hanging="197"/>
      </w:pPr>
      <w:rPr>
        <w:rFonts w:hint="default"/>
      </w:rPr>
    </w:lvl>
    <w:lvl w:ilvl="6">
      <w:start w:val="0"/>
      <w:numFmt w:val="bullet"/>
      <w:lvlText w:val="•"/>
      <w:lvlJc w:val="left"/>
      <w:pPr>
        <w:ind w:left="2657" w:hanging="197"/>
      </w:pPr>
      <w:rPr>
        <w:rFonts w:hint="default"/>
      </w:rPr>
    </w:lvl>
    <w:lvl w:ilvl="7">
      <w:start w:val="0"/>
      <w:numFmt w:val="bullet"/>
      <w:lvlText w:val="•"/>
      <w:lvlJc w:val="left"/>
      <w:pPr>
        <w:ind w:left="3057" w:hanging="197"/>
      </w:pPr>
      <w:rPr>
        <w:rFonts w:hint="default"/>
      </w:rPr>
    </w:lvl>
    <w:lvl w:ilvl="8">
      <w:start w:val="0"/>
      <w:numFmt w:val="bullet"/>
      <w:lvlText w:val="•"/>
      <w:lvlJc w:val="left"/>
      <w:pPr>
        <w:ind w:left="3456" w:hanging="197"/>
      </w:pPr>
      <w:rPr>
        <w:rFonts w:hint="default"/>
      </w:rPr>
    </w:lvl>
  </w:abstractNum>
  <w:abstractNum w:abstractNumId="0">
    <w:multiLevelType w:val="hybridMultilevel"/>
    <w:lvl w:ilvl="0">
      <w:start w:val="1"/>
      <w:numFmt w:val="decimal"/>
      <w:lvlText w:val="%1"/>
      <w:lvlJc w:val="left"/>
      <w:pPr>
        <w:ind w:left="1319" w:hanging="452"/>
        <w:jc w:val="left"/>
      </w:pPr>
      <w:rPr>
        <w:rFonts w:hint="default" w:ascii="Arial" w:hAnsi="Arial" w:eastAsia="Arial" w:cs="Arial"/>
        <w:w w:val="100"/>
        <w:sz w:val="22"/>
        <w:szCs w:val="22"/>
      </w:rPr>
    </w:lvl>
    <w:lvl w:ilvl="1">
      <w:start w:val="1"/>
      <w:numFmt w:val="decimal"/>
      <w:lvlText w:val="%1.%2"/>
      <w:lvlJc w:val="left"/>
      <w:pPr>
        <w:ind w:left="1588" w:hanging="720"/>
        <w:jc w:val="left"/>
      </w:pPr>
      <w:rPr>
        <w:rFonts w:hint="default" w:ascii="Arial" w:hAnsi="Arial" w:eastAsia="Arial" w:cs="Arial"/>
        <w:w w:val="100"/>
        <w:sz w:val="22"/>
        <w:szCs w:val="22"/>
      </w:rPr>
    </w:lvl>
    <w:lvl w:ilvl="2">
      <w:start w:val="1"/>
      <w:numFmt w:val="decimal"/>
      <w:lvlText w:val="%1.%2.%3"/>
      <w:lvlJc w:val="left"/>
      <w:pPr>
        <w:ind w:left="2488" w:hanging="900"/>
        <w:jc w:val="left"/>
      </w:pPr>
      <w:rPr>
        <w:rFonts w:hint="default" w:ascii="Arial" w:hAnsi="Arial" w:eastAsia="Arial" w:cs="Arial"/>
        <w:w w:val="100"/>
        <w:sz w:val="22"/>
        <w:szCs w:val="22"/>
      </w:rPr>
    </w:lvl>
    <w:lvl w:ilvl="3">
      <w:start w:val="0"/>
      <w:numFmt w:val="bullet"/>
      <w:lvlText w:val="•"/>
      <w:lvlJc w:val="left"/>
      <w:pPr>
        <w:ind w:left="3391" w:hanging="900"/>
      </w:pPr>
      <w:rPr>
        <w:rFonts w:hint="default"/>
      </w:rPr>
    </w:lvl>
    <w:lvl w:ilvl="4">
      <w:start w:val="0"/>
      <w:numFmt w:val="bullet"/>
      <w:lvlText w:val="•"/>
      <w:lvlJc w:val="left"/>
      <w:pPr>
        <w:ind w:left="4302" w:hanging="900"/>
      </w:pPr>
      <w:rPr>
        <w:rFonts w:hint="default"/>
      </w:rPr>
    </w:lvl>
    <w:lvl w:ilvl="5">
      <w:start w:val="0"/>
      <w:numFmt w:val="bullet"/>
      <w:lvlText w:val="•"/>
      <w:lvlJc w:val="left"/>
      <w:pPr>
        <w:ind w:left="5213" w:hanging="900"/>
      </w:pPr>
      <w:rPr>
        <w:rFonts w:hint="default"/>
      </w:rPr>
    </w:lvl>
    <w:lvl w:ilvl="6">
      <w:start w:val="0"/>
      <w:numFmt w:val="bullet"/>
      <w:lvlText w:val="•"/>
      <w:lvlJc w:val="left"/>
      <w:pPr>
        <w:ind w:left="6124" w:hanging="900"/>
      </w:pPr>
      <w:rPr>
        <w:rFonts w:hint="default"/>
      </w:rPr>
    </w:lvl>
    <w:lvl w:ilvl="7">
      <w:start w:val="0"/>
      <w:numFmt w:val="bullet"/>
      <w:lvlText w:val="•"/>
      <w:lvlJc w:val="left"/>
      <w:pPr>
        <w:ind w:left="7035" w:hanging="900"/>
      </w:pPr>
      <w:rPr>
        <w:rFonts w:hint="default"/>
      </w:rPr>
    </w:lvl>
    <w:lvl w:ilvl="8">
      <w:start w:val="0"/>
      <w:numFmt w:val="bullet"/>
      <w:lvlText w:val="•"/>
      <w:lvlJc w:val="left"/>
      <w:pPr>
        <w:ind w:left="7946" w:hanging="900"/>
      </w:pPr>
      <w:rPr>
        <w:rFonts w:hint="default"/>
      </w:rPr>
    </w:lvl>
  </w:abstractNum>
  <w:num w:numId="57">
    <w:abstractNumId w:val="56"/>
  </w:num>
  <w:num w:numId="38">
    <w:abstractNumId w:val="37"/>
  </w:num>
  <w:num w:numId="60">
    <w:abstractNumId w:val="59"/>
  </w:num>
  <w:num w:numId="59">
    <w:abstractNumId w:val="58"/>
  </w:num>
  <w:num w:numId="58">
    <w:abstractNumId w:val="57"/>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21"/>
      <w:ind w:left="1588" w:hanging="720"/>
    </w:pPr>
    <w:rPr>
      <w:rFonts w:ascii="Arial" w:hAnsi="Arial" w:eastAsia="Arial" w:cs="Arial"/>
      <w:sz w:val="22"/>
      <w:szCs w:val="22"/>
    </w:rPr>
  </w:style>
  <w:style w:styleId="TOC2" w:type="paragraph">
    <w:name w:val="TOC 2"/>
    <w:basedOn w:val="Normal"/>
    <w:uiPriority w:val="1"/>
    <w:qFormat/>
    <w:pPr>
      <w:spacing w:before="61"/>
      <w:ind w:left="2488" w:hanging="900"/>
    </w:pPr>
    <w:rPr>
      <w:rFonts w:ascii="Arial" w:hAnsi="Arial" w:eastAsia="Arial" w:cs="Arial"/>
      <w:sz w:val="22"/>
      <w:szCs w:val="22"/>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spacing w:before="92"/>
      <w:ind w:left="1130"/>
      <w:outlineLvl w:val="1"/>
    </w:pPr>
    <w:rPr>
      <w:rFonts w:ascii="Arial" w:hAnsi="Arial" w:eastAsia="Arial" w:cs="Arial"/>
      <w:b/>
      <w:bCs/>
      <w:sz w:val="28"/>
      <w:szCs w:val="28"/>
      <w:u w:val="single" w:color="000000"/>
    </w:rPr>
  </w:style>
  <w:style w:styleId="Heading2" w:type="paragraph">
    <w:name w:val="Heading 2"/>
    <w:basedOn w:val="Normal"/>
    <w:uiPriority w:val="1"/>
    <w:qFormat/>
    <w:pPr>
      <w:ind w:left="1444" w:hanging="576"/>
      <w:jc w:val="both"/>
      <w:outlineLvl w:val="2"/>
    </w:pPr>
    <w:rPr>
      <w:rFonts w:ascii="Arial" w:hAnsi="Arial" w:eastAsia="Arial" w:cs="Arial"/>
      <w:b/>
      <w:bCs/>
      <w:sz w:val="24"/>
      <w:szCs w:val="24"/>
    </w:rPr>
  </w:style>
  <w:style w:styleId="Heading3" w:type="paragraph">
    <w:name w:val="Heading 3"/>
    <w:basedOn w:val="Normal"/>
    <w:uiPriority w:val="1"/>
    <w:qFormat/>
    <w:pPr>
      <w:ind w:left="1588"/>
      <w:jc w:val="both"/>
      <w:outlineLvl w:val="3"/>
    </w:pPr>
    <w:rPr>
      <w:rFonts w:ascii="Arial" w:hAnsi="Arial" w:eastAsia="Arial" w:cs="Arial"/>
      <w:b/>
      <w:bCs/>
      <w:sz w:val="22"/>
      <w:szCs w:val="22"/>
    </w:rPr>
  </w:style>
  <w:style w:styleId="ListParagraph" w:type="paragraph">
    <w:name w:val="List Paragraph"/>
    <w:basedOn w:val="Normal"/>
    <w:uiPriority w:val="1"/>
    <w:qFormat/>
    <w:pPr>
      <w:ind w:left="1588" w:hanging="360"/>
      <w:jc w:val="both"/>
    </w:pPr>
    <w:rPr>
      <w:rFonts w:ascii="Arial" w:hAnsi="Arial" w:eastAsia="Arial" w:cs="Arial"/>
    </w:rPr>
  </w:style>
  <w:style w:styleId="TableParagraph" w:type="paragraph">
    <w:name w:val="Table Paragraph"/>
    <w:basedOn w:val="Normal"/>
    <w:uiPriority w:val="1"/>
    <w:qFormat/>
    <w:pPr>
      <w:spacing w:before="59"/>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image" Target="media/image2.jpe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hyperlink" Target="http://pubs.iied.org/10773IIED" TargetMode="External"/><Relationship Id="rId57" Type="http://schemas.openxmlformats.org/officeDocument/2006/relationships/hyperlink" Target="http://documents.worldbank.org/curated/en/4822515020%2095751999/pdf/117972-WP-PUBLIC-recommendations.pdf" TargetMode="External"/><Relationship Id="rId58" Type="http://schemas.openxmlformats.org/officeDocument/2006/relationships/hyperlink" Target="http://pubdocs.worldbank.org/en/497851495202591233/Managing-Risk-of-Adverse-impact-from-project-labor-influx.pdf" TargetMode="External"/><Relationship Id="rId59" Type="http://schemas.openxmlformats.org/officeDocument/2006/relationships/hyperlink" Target="http://pubs.iied.org/10733IIED" TargetMode="External"/><Relationship Id="rId60" Type="http://schemas.openxmlformats.org/officeDocument/2006/relationships/hyperlink" Target="http://pubdocs.worldbank.org/en/399881538336159607/Good-Practice-Note-Addressing-Gender-Based-Violence.pdf" TargetMode="External"/><Relationship Id="rId61" Type="http://schemas.openxmlformats.org/officeDocument/2006/relationships/hyperlink" Target="http://www.sbi.gos.pk/pdf/ROADSHOW2013_PRESENTATIONS/pdf/BRT%20Presentation.pdf" TargetMode="External"/><Relationship Id="rId62" Type="http://schemas.openxmlformats.org/officeDocument/2006/relationships/header" Target="header3.xml"/><Relationship Id="rId63" Type="http://schemas.openxmlformats.org/officeDocument/2006/relationships/footer" Target="footer2.xml"/><Relationship Id="rId64" Type="http://schemas.openxmlformats.org/officeDocument/2006/relationships/header" Target="header4.xml"/><Relationship Id="rId65" Type="http://schemas.openxmlformats.org/officeDocument/2006/relationships/footer" Target="footer3.xml"/><Relationship Id="rId66" Type="http://schemas.openxmlformats.org/officeDocument/2006/relationships/header" Target="header5.xml"/><Relationship Id="rId67" Type="http://schemas.openxmlformats.org/officeDocument/2006/relationships/footer" Target="footer4.xml"/><Relationship Id="rId6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Hafeez Buzdar</dc:creator>
  <dcterms:created xsi:type="dcterms:W3CDTF">2019-05-10T23:44:33Z</dcterms:created>
  <dcterms:modified xsi:type="dcterms:W3CDTF">2019-05-10T23:44:33Z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2019-05-09T00:00:00Z</vt:filetime>
  </property>
  <property fmtid="{D5CDD505-2E9C-101B-9397-08002B2CF9AE}" pid="3" name="Creator">
    <vt:lpwstr>Microsoft® Word for Office 365</vt:lpwstr>
  </property>
  <property fmtid="{D5CDD505-2E9C-101B-9397-08002B2CF9AE}" pid="4" name="LastSaved">
    <vt:filetime>2019-05-10T00:00:00Z</vt:filetime>
  </property>
</Properties>
</file>