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7" w:rsidRPr="001927BC" w:rsidRDefault="007E5227" w:rsidP="007E5227">
      <w:pPr>
        <w:jc w:val="center"/>
        <w:rPr>
          <w:sz w:val="22"/>
          <w:szCs w:val="22"/>
          <w:lang w:val="es-ES"/>
        </w:rPr>
      </w:pPr>
      <w:bookmarkStart w:id="0" w:name="_Toc40780168"/>
      <w:bookmarkStart w:id="1" w:name="_GoBack"/>
      <w:bookmarkEnd w:id="1"/>
      <w:r w:rsidRPr="001927BC">
        <w:rPr>
          <w:sz w:val="22"/>
          <w:szCs w:val="22"/>
          <w:lang w:val="es-ES"/>
        </w:rPr>
        <w:t>D</w:t>
      </w:r>
      <w:r w:rsidR="00321190">
        <w:rPr>
          <w:sz w:val="22"/>
          <w:szCs w:val="22"/>
          <w:lang w:val="es-ES"/>
        </w:rPr>
        <w:t>ocumento del</w:t>
      </w:r>
    </w:p>
    <w:p w:rsidR="007E5227" w:rsidRPr="001927BC" w:rsidRDefault="007E5227" w:rsidP="007E5227">
      <w:pPr>
        <w:jc w:val="center"/>
        <w:rPr>
          <w:sz w:val="28"/>
          <w:szCs w:val="28"/>
          <w:lang w:val="es-ES"/>
        </w:rPr>
      </w:pPr>
      <w:r w:rsidRPr="001927BC">
        <w:rPr>
          <w:sz w:val="28"/>
          <w:szCs w:val="28"/>
          <w:lang w:val="es-ES"/>
        </w:rPr>
        <w:t>Banco Mundial</w:t>
      </w:r>
    </w:p>
    <w:p w:rsidR="00251650" w:rsidRPr="001927BC" w:rsidRDefault="00251650">
      <w:pPr>
        <w:autoSpaceDE w:val="0"/>
        <w:autoSpaceDN w:val="0"/>
        <w:adjustRightInd w:val="0"/>
        <w:spacing w:line="240" w:lineRule="atLeast"/>
        <w:rPr>
          <w:color w:val="000000"/>
          <w:sz w:val="28"/>
          <w:szCs w:val="28"/>
          <w:lang w:val="es-ES"/>
        </w:rPr>
      </w:pPr>
    </w:p>
    <w:p w:rsidR="00251650" w:rsidRPr="001927BC" w:rsidRDefault="007E5227" w:rsidP="00EB5557">
      <w:pPr>
        <w:autoSpaceDE w:val="0"/>
        <w:autoSpaceDN w:val="0"/>
        <w:adjustRightInd w:val="0"/>
        <w:spacing w:line="240" w:lineRule="atLeast"/>
        <w:jc w:val="center"/>
        <w:rPr>
          <w:color w:val="000000"/>
          <w:sz w:val="28"/>
          <w:szCs w:val="28"/>
          <w:lang w:val="es-ES"/>
        </w:rPr>
      </w:pPr>
      <w:r w:rsidRPr="001927BC">
        <w:rPr>
          <w:color w:val="000000"/>
          <w:sz w:val="28"/>
          <w:szCs w:val="28"/>
          <w:lang w:val="es-ES"/>
        </w:rPr>
        <w:t>SOLO PARA USO OFICIAL</w:t>
      </w:r>
    </w:p>
    <w:p w:rsidR="00D35C22" w:rsidRPr="001927BC" w:rsidRDefault="00D35C22">
      <w:pPr>
        <w:autoSpaceDE w:val="0"/>
        <w:autoSpaceDN w:val="0"/>
        <w:adjustRightInd w:val="0"/>
        <w:spacing w:line="240" w:lineRule="atLeast"/>
        <w:rPr>
          <w:color w:val="000000"/>
          <w:sz w:val="28"/>
          <w:szCs w:val="28"/>
          <w:lang w:val="es-ES"/>
        </w:rPr>
      </w:pPr>
    </w:p>
    <w:p w:rsidR="00251650" w:rsidRPr="001927BC" w:rsidRDefault="007E5227">
      <w:pPr>
        <w:autoSpaceDE w:val="0"/>
        <w:autoSpaceDN w:val="0"/>
        <w:adjustRightInd w:val="0"/>
        <w:spacing w:line="240" w:lineRule="atLeast"/>
        <w:jc w:val="right"/>
        <w:rPr>
          <w:color w:val="000000"/>
          <w:sz w:val="22"/>
          <w:szCs w:val="22"/>
          <w:lang w:val="es-ES"/>
        </w:rPr>
      </w:pPr>
      <w:r w:rsidRPr="001927BC">
        <w:rPr>
          <w:color w:val="000000"/>
          <w:sz w:val="22"/>
          <w:szCs w:val="22"/>
          <w:lang w:val="es-ES"/>
        </w:rPr>
        <w:t>Informe</w:t>
      </w:r>
      <w:r w:rsidR="00251650" w:rsidRPr="001927BC">
        <w:rPr>
          <w:color w:val="000000"/>
          <w:sz w:val="22"/>
          <w:szCs w:val="22"/>
          <w:lang w:val="es-ES"/>
        </w:rPr>
        <w:t xml:space="preserve"> No</w:t>
      </w:r>
      <w:r w:rsidR="00B24492" w:rsidRPr="001927BC">
        <w:rPr>
          <w:color w:val="000000"/>
          <w:sz w:val="22"/>
          <w:szCs w:val="22"/>
          <w:lang w:val="es-ES"/>
        </w:rPr>
        <w:t>: 74444</w:t>
      </w:r>
      <w:r w:rsidR="00C15BC8" w:rsidRPr="001927BC">
        <w:rPr>
          <w:color w:val="000000"/>
          <w:sz w:val="22"/>
          <w:szCs w:val="22"/>
          <w:lang w:val="es-ES"/>
        </w:rPr>
        <w:t>-NI</w:t>
      </w:r>
    </w:p>
    <w:p w:rsidR="00251650" w:rsidRPr="001927BC" w:rsidRDefault="00251650">
      <w:pPr>
        <w:autoSpaceDE w:val="0"/>
        <w:autoSpaceDN w:val="0"/>
        <w:adjustRightInd w:val="0"/>
        <w:spacing w:line="240" w:lineRule="atLeast"/>
        <w:jc w:val="center"/>
        <w:rPr>
          <w:color w:val="000000"/>
          <w:szCs w:val="22"/>
          <w:lang w:val="es-ES"/>
        </w:rPr>
      </w:pPr>
    </w:p>
    <w:p w:rsidR="00251650" w:rsidRPr="001927BC" w:rsidRDefault="00251650">
      <w:pPr>
        <w:autoSpaceDE w:val="0"/>
        <w:autoSpaceDN w:val="0"/>
        <w:adjustRightInd w:val="0"/>
        <w:spacing w:line="240" w:lineRule="atLeast"/>
        <w:jc w:val="center"/>
        <w:rPr>
          <w:color w:val="000000"/>
          <w:szCs w:val="22"/>
          <w:lang w:val="es-ES"/>
        </w:rPr>
      </w:pPr>
    </w:p>
    <w:p w:rsidR="00D35C22" w:rsidRPr="001927BC" w:rsidRDefault="00D35C22" w:rsidP="004C1B7E">
      <w:pPr>
        <w:autoSpaceDE w:val="0"/>
        <w:autoSpaceDN w:val="0"/>
        <w:adjustRightInd w:val="0"/>
        <w:spacing w:line="240" w:lineRule="atLeast"/>
        <w:rPr>
          <w:color w:val="000000"/>
          <w:szCs w:val="22"/>
          <w:lang w:val="es-ES"/>
        </w:rPr>
      </w:pPr>
    </w:p>
    <w:p w:rsidR="00251650" w:rsidRPr="001927BC" w:rsidRDefault="007E5227" w:rsidP="00D35C22">
      <w:pPr>
        <w:autoSpaceDE w:val="0"/>
        <w:autoSpaceDN w:val="0"/>
        <w:adjustRightInd w:val="0"/>
        <w:spacing w:line="240" w:lineRule="atLeast"/>
        <w:jc w:val="center"/>
        <w:rPr>
          <w:color w:val="000000"/>
          <w:szCs w:val="22"/>
          <w:lang w:val="es-ES"/>
        </w:rPr>
      </w:pPr>
      <w:r w:rsidRPr="001927BC">
        <w:rPr>
          <w:color w:val="000000"/>
          <w:szCs w:val="22"/>
          <w:lang w:val="es-ES"/>
        </w:rPr>
        <w:t>ASOCIACIÓN INTERNACIONAL DE FOMENTO</w:t>
      </w:r>
    </w:p>
    <w:p w:rsidR="00251650" w:rsidRPr="001927BC" w:rsidRDefault="00251650">
      <w:pPr>
        <w:autoSpaceDE w:val="0"/>
        <w:autoSpaceDN w:val="0"/>
        <w:adjustRightInd w:val="0"/>
        <w:spacing w:line="240" w:lineRule="atLeast"/>
        <w:jc w:val="center"/>
        <w:rPr>
          <w:color w:val="000000"/>
          <w:szCs w:val="22"/>
          <w:lang w:val="es-ES"/>
        </w:rPr>
      </w:pPr>
    </w:p>
    <w:p w:rsidR="007E5227" w:rsidRPr="001927BC" w:rsidRDefault="007E5227" w:rsidP="007E5227">
      <w:pPr>
        <w:autoSpaceDE w:val="0"/>
        <w:autoSpaceDN w:val="0"/>
        <w:adjustRightInd w:val="0"/>
        <w:spacing w:line="240" w:lineRule="atLeast"/>
        <w:jc w:val="center"/>
        <w:rPr>
          <w:caps/>
          <w:color w:val="000000"/>
          <w:szCs w:val="22"/>
          <w:lang w:val="es-ES"/>
        </w:rPr>
      </w:pPr>
      <w:r w:rsidRPr="001927BC">
        <w:rPr>
          <w:caps/>
          <w:color w:val="000000"/>
          <w:szCs w:val="22"/>
          <w:lang w:val="es-ES"/>
        </w:rPr>
        <w:t>DOCUMENTO DE eVALUACIÓN DEL PROYECTO</w:t>
      </w:r>
    </w:p>
    <w:p w:rsidR="007E5227" w:rsidRPr="001927BC" w:rsidRDefault="007E5227">
      <w:pPr>
        <w:autoSpaceDE w:val="0"/>
        <w:autoSpaceDN w:val="0"/>
        <w:adjustRightInd w:val="0"/>
        <w:spacing w:line="240" w:lineRule="atLeast"/>
        <w:jc w:val="center"/>
        <w:rPr>
          <w:caps/>
          <w:color w:val="000000"/>
          <w:szCs w:val="22"/>
          <w:lang w:val="es-ES"/>
        </w:rPr>
      </w:pPr>
    </w:p>
    <w:p w:rsidR="007E5227" w:rsidRPr="001927BC" w:rsidRDefault="007E5227" w:rsidP="007E5227">
      <w:pPr>
        <w:autoSpaceDE w:val="0"/>
        <w:autoSpaceDN w:val="0"/>
        <w:adjustRightInd w:val="0"/>
        <w:spacing w:line="240" w:lineRule="atLeast"/>
        <w:jc w:val="center"/>
        <w:rPr>
          <w:caps/>
          <w:color w:val="000000"/>
          <w:szCs w:val="22"/>
          <w:lang w:val="es-ES"/>
        </w:rPr>
      </w:pPr>
      <w:r w:rsidRPr="001927BC">
        <w:rPr>
          <w:caps/>
          <w:color w:val="000000"/>
          <w:szCs w:val="22"/>
          <w:lang w:val="es-ES"/>
        </w:rPr>
        <w:t>PARA UN</w:t>
      </w:r>
    </w:p>
    <w:p w:rsidR="007E5227" w:rsidRPr="001927BC" w:rsidRDefault="007E5227" w:rsidP="007E5227">
      <w:pPr>
        <w:autoSpaceDE w:val="0"/>
        <w:autoSpaceDN w:val="0"/>
        <w:adjustRightInd w:val="0"/>
        <w:spacing w:line="240" w:lineRule="atLeast"/>
        <w:jc w:val="center"/>
        <w:rPr>
          <w:caps/>
          <w:color w:val="000000"/>
          <w:szCs w:val="22"/>
          <w:lang w:val="es-ES"/>
        </w:rPr>
      </w:pPr>
    </w:p>
    <w:p w:rsidR="007E5227" w:rsidRPr="001927BC" w:rsidRDefault="007E5227" w:rsidP="007E5227">
      <w:pPr>
        <w:autoSpaceDE w:val="0"/>
        <w:autoSpaceDN w:val="0"/>
        <w:adjustRightInd w:val="0"/>
        <w:spacing w:line="240" w:lineRule="atLeast"/>
        <w:jc w:val="center"/>
        <w:rPr>
          <w:caps/>
          <w:color w:val="000000"/>
          <w:szCs w:val="22"/>
          <w:lang w:val="es-ES"/>
        </w:rPr>
      </w:pPr>
      <w:r w:rsidRPr="001927BC">
        <w:rPr>
          <w:caps/>
          <w:color w:val="000000"/>
          <w:szCs w:val="22"/>
          <w:lang w:val="es-ES"/>
        </w:rPr>
        <w:t>CRÉDITO PROPUESTO</w:t>
      </w:r>
    </w:p>
    <w:p w:rsidR="007E5227" w:rsidRPr="001927BC" w:rsidRDefault="007E5227">
      <w:pPr>
        <w:autoSpaceDE w:val="0"/>
        <w:autoSpaceDN w:val="0"/>
        <w:adjustRightInd w:val="0"/>
        <w:spacing w:line="240" w:lineRule="atLeast"/>
        <w:jc w:val="center"/>
        <w:rPr>
          <w:caps/>
          <w:color w:val="000000"/>
          <w:szCs w:val="22"/>
          <w:lang w:val="es-ES"/>
        </w:rPr>
      </w:pPr>
    </w:p>
    <w:p w:rsidR="007E5227" w:rsidRPr="001927BC" w:rsidRDefault="00D52895" w:rsidP="007E5227">
      <w:pPr>
        <w:autoSpaceDE w:val="0"/>
        <w:autoSpaceDN w:val="0"/>
        <w:adjustRightInd w:val="0"/>
        <w:spacing w:line="240" w:lineRule="atLeast"/>
        <w:jc w:val="center"/>
        <w:rPr>
          <w:caps/>
          <w:color w:val="000000"/>
          <w:szCs w:val="22"/>
          <w:lang w:val="es-ES"/>
        </w:rPr>
      </w:pPr>
      <w:r w:rsidRPr="001927BC">
        <w:rPr>
          <w:caps/>
          <w:color w:val="000000"/>
          <w:szCs w:val="22"/>
          <w:lang w:val="es-ES"/>
        </w:rPr>
        <w:t>POR UN MONTO EN DEG DE 26</w:t>
      </w:r>
      <w:r w:rsidR="007E5227" w:rsidRPr="001927BC">
        <w:rPr>
          <w:caps/>
          <w:color w:val="000000"/>
          <w:szCs w:val="22"/>
          <w:lang w:val="es-ES"/>
        </w:rPr>
        <w:t xml:space="preserve"> MILLONES</w:t>
      </w:r>
    </w:p>
    <w:p w:rsidR="007E5227" w:rsidRPr="001927BC" w:rsidRDefault="007E5227" w:rsidP="007E5227">
      <w:pPr>
        <w:autoSpaceDE w:val="0"/>
        <w:autoSpaceDN w:val="0"/>
        <w:adjustRightInd w:val="0"/>
        <w:spacing w:line="240" w:lineRule="atLeast"/>
        <w:jc w:val="center"/>
        <w:rPr>
          <w:caps/>
          <w:color w:val="000000"/>
          <w:szCs w:val="22"/>
          <w:lang w:val="es-ES"/>
        </w:rPr>
      </w:pPr>
      <w:r w:rsidRPr="001927BC">
        <w:rPr>
          <w:caps/>
          <w:color w:val="000000"/>
          <w:szCs w:val="22"/>
          <w:lang w:val="es-ES"/>
        </w:rPr>
        <w:t>(EQUIVALENTES A US $40 MILLONES DE DÓLARES)</w:t>
      </w:r>
    </w:p>
    <w:p w:rsidR="00D35C22" w:rsidRPr="001927BC" w:rsidRDefault="00D35C22" w:rsidP="00D52895">
      <w:pPr>
        <w:autoSpaceDE w:val="0"/>
        <w:autoSpaceDN w:val="0"/>
        <w:adjustRightInd w:val="0"/>
        <w:spacing w:line="240" w:lineRule="atLeast"/>
        <w:rPr>
          <w:caps/>
          <w:color w:val="000000"/>
          <w:szCs w:val="22"/>
          <w:lang w:val="es-ES"/>
        </w:rPr>
      </w:pPr>
    </w:p>
    <w:p w:rsidR="00D35C22" w:rsidRPr="001927BC" w:rsidRDefault="00D35C22" w:rsidP="00D35C22">
      <w:pPr>
        <w:autoSpaceDE w:val="0"/>
        <w:autoSpaceDN w:val="0"/>
        <w:adjustRightInd w:val="0"/>
        <w:spacing w:line="240" w:lineRule="atLeast"/>
        <w:jc w:val="center"/>
        <w:rPr>
          <w:color w:val="000000"/>
          <w:szCs w:val="22"/>
          <w:lang w:val="es-ES"/>
        </w:rPr>
      </w:pPr>
    </w:p>
    <w:p w:rsidR="00D35C22" w:rsidRPr="001927BC" w:rsidRDefault="00D35C22" w:rsidP="00D35C22">
      <w:pPr>
        <w:autoSpaceDE w:val="0"/>
        <w:autoSpaceDN w:val="0"/>
        <w:adjustRightInd w:val="0"/>
        <w:spacing w:line="240" w:lineRule="atLeast"/>
        <w:jc w:val="center"/>
        <w:rPr>
          <w:caps/>
          <w:color w:val="000000"/>
          <w:szCs w:val="22"/>
          <w:lang w:val="es-ES"/>
        </w:rPr>
      </w:pPr>
    </w:p>
    <w:p w:rsidR="00D52895" w:rsidRPr="001927BC" w:rsidRDefault="00D52895" w:rsidP="00D52895">
      <w:pPr>
        <w:autoSpaceDE w:val="0"/>
        <w:autoSpaceDN w:val="0"/>
        <w:adjustRightInd w:val="0"/>
        <w:spacing w:line="240" w:lineRule="atLeast"/>
        <w:jc w:val="center"/>
        <w:rPr>
          <w:caps/>
          <w:color w:val="000000"/>
          <w:szCs w:val="22"/>
          <w:lang w:val="es-ES"/>
        </w:rPr>
      </w:pPr>
      <w:r w:rsidRPr="001927BC">
        <w:rPr>
          <w:caps/>
          <w:color w:val="000000"/>
          <w:szCs w:val="22"/>
          <w:lang w:val="es-ES"/>
        </w:rPr>
        <w:t>OTORGADO A LA</w:t>
      </w:r>
    </w:p>
    <w:p w:rsidR="00D52895" w:rsidRPr="001927BC" w:rsidRDefault="00D52895" w:rsidP="00D52895">
      <w:pPr>
        <w:autoSpaceDE w:val="0"/>
        <w:autoSpaceDN w:val="0"/>
        <w:adjustRightInd w:val="0"/>
        <w:spacing w:line="240" w:lineRule="atLeast"/>
        <w:jc w:val="center"/>
        <w:rPr>
          <w:caps/>
          <w:color w:val="000000"/>
          <w:szCs w:val="22"/>
          <w:lang w:val="es-ES"/>
        </w:rPr>
      </w:pPr>
    </w:p>
    <w:p w:rsidR="00D52895" w:rsidRPr="001927BC" w:rsidRDefault="00A568E3" w:rsidP="00D52895">
      <w:pPr>
        <w:autoSpaceDE w:val="0"/>
        <w:autoSpaceDN w:val="0"/>
        <w:adjustRightInd w:val="0"/>
        <w:spacing w:line="240" w:lineRule="atLeast"/>
        <w:jc w:val="center"/>
        <w:rPr>
          <w:caps/>
          <w:color w:val="000000"/>
          <w:szCs w:val="22"/>
          <w:lang w:val="es-ES"/>
        </w:rPr>
      </w:pPr>
      <w:r>
        <w:rPr>
          <w:caps/>
          <w:color w:val="000000"/>
          <w:szCs w:val="22"/>
          <w:lang w:val="es-ES"/>
        </w:rPr>
        <w:t>REPÚ</w:t>
      </w:r>
      <w:r w:rsidR="00D52895" w:rsidRPr="001927BC">
        <w:rPr>
          <w:caps/>
          <w:color w:val="000000"/>
          <w:szCs w:val="22"/>
          <w:lang w:val="es-ES"/>
        </w:rPr>
        <w:t>BLICA DE NICARAGUA</w:t>
      </w:r>
    </w:p>
    <w:p w:rsidR="00D52895" w:rsidRPr="001927BC" w:rsidRDefault="00D52895" w:rsidP="00D52895">
      <w:pPr>
        <w:autoSpaceDE w:val="0"/>
        <w:autoSpaceDN w:val="0"/>
        <w:adjustRightInd w:val="0"/>
        <w:spacing w:line="240" w:lineRule="atLeast"/>
        <w:jc w:val="center"/>
        <w:rPr>
          <w:caps/>
          <w:color w:val="000000"/>
          <w:szCs w:val="22"/>
          <w:lang w:val="es-ES"/>
        </w:rPr>
      </w:pPr>
    </w:p>
    <w:p w:rsidR="00D52895" w:rsidRPr="001927BC" w:rsidRDefault="00D52895" w:rsidP="00D52895">
      <w:pPr>
        <w:autoSpaceDE w:val="0"/>
        <w:autoSpaceDN w:val="0"/>
        <w:adjustRightInd w:val="0"/>
        <w:spacing w:line="240" w:lineRule="atLeast"/>
        <w:jc w:val="center"/>
        <w:rPr>
          <w:caps/>
          <w:color w:val="000000"/>
          <w:szCs w:val="22"/>
          <w:lang w:val="es-ES"/>
        </w:rPr>
      </w:pPr>
      <w:r w:rsidRPr="001927BC">
        <w:rPr>
          <w:caps/>
          <w:color w:val="000000"/>
          <w:szCs w:val="22"/>
          <w:lang w:val="es-ES"/>
        </w:rPr>
        <w:t>PARA EL</w:t>
      </w:r>
    </w:p>
    <w:p w:rsidR="00D52895" w:rsidRPr="001927BC" w:rsidRDefault="00D52895" w:rsidP="00D52895">
      <w:pPr>
        <w:autoSpaceDE w:val="0"/>
        <w:autoSpaceDN w:val="0"/>
        <w:adjustRightInd w:val="0"/>
        <w:spacing w:line="240" w:lineRule="atLeast"/>
        <w:jc w:val="center"/>
        <w:rPr>
          <w:caps/>
          <w:color w:val="000000"/>
          <w:szCs w:val="22"/>
          <w:lang w:val="es-ES"/>
        </w:rPr>
      </w:pPr>
    </w:p>
    <w:p w:rsidR="00D52895" w:rsidRPr="001927BC" w:rsidRDefault="00D52895" w:rsidP="00D52895">
      <w:pPr>
        <w:autoSpaceDE w:val="0"/>
        <w:autoSpaceDN w:val="0"/>
        <w:adjustRightInd w:val="0"/>
        <w:spacing w:line="240" w:lineRule="atLeast"/>
        <w:jc w:val="center"/>
        <w:rPr>
          <w:caps/>
          <w:color w:val="000000"/>
          <w:szCs w:val="22"/>
          <w:lang w:val="es-ES"/>
        </w:rPr>
      </w:pPr>
      <w:r w:rsidRPr="001927BC">
        <w:rPr>
          <w:caps/>
          <w:color w:val="000000"/>
          <w:szCs w:val="22"/>
          <w:lang w:val="es-ES"/>
        </w:rPr>
        <w:t>SEGUNDO PROYECTO DE ORDENAMIENTO DE LA PROPIEDAD</w:t>
      </w:r>
    </w:p>
    <w:p w:rsidR="00D52895" w:rsidRPr="001927BC" w:rsidRDefault="00D52895">
      <w:pPr>
        <w:autoSpaceDE w:val="0"/>
        <w:autoSpaceDN w:val="0"/>
        <w:adjustRightInd w:val="0"/>
        <w:spacing w:line="240" w:lineRule="atLeast"/>
        <w:jc w:val="center"/>
        <w:rPr>
          <w:color w:val="000000"/>
          <w:szCs w:val="22"/>
          <w:lang w:val="es-ES"/>
        </w:rPr>
      </w:pPr>
    </w:p>
    <w:p w:rsidR="00251650" w:rsidRPr="002F671E" w:rsidRDefault="00D47A34">
      <w:pPr>
        <w:autoSpaceDE w:val="0"/>
        <w:autoSpaceDN w:val="0"/>
        <w:adjustRightInd w:val="0"/>
        <w:spacing w:line="240" w:lineRule="atLeast"/>
        <w:jc w:val="center"/>
        <w:rPr>
          <w:color w:val="000000"/>
          <w:szCs w:val="22"/>
          <w:lang w:val="es-ES"/>
        </w:rPr>
      </w:pPr>
      <w:r>
        <w:rPr>
          <w:color w:val="000000"/>
          <w:szCs w:val="22"/>
          <w:lang w:val="es-ES"/>
        </w:rPr>
        <w:t>20 de febrero del 2013</w:t>
      </w:r>
    </w:p>
    <w:p w:rsidR="00251650" w:rsidRPr="002F671E" w:rsidRDefault="00251650">
      <w:pPr>
        <w:autoSpaceDE w:val="0"/>
        <w:autoSpaceDN w:val="0"/>
        <w:adjustRightInd w:val="0"/>
        <w:spacing w:line="240" w:lineRule="atLeast"/>
        <w:jc w:val="center"/>
        <w:rPr>
          <w:color w:val="000000"/>
          <w:szCs w:val="22"/>
          <w:lang w:val="es-NI"/>
        </w:rPr>
      </w:pPr>
    </w:p>
    <w:p w:rsidR="004C1B7E" w:rsidRPr="002F671E" w:rsidRDefault="004C1B7E" w:rsidP="00FF33B5">
      <w:pPr>
        <w:autoSpaceDE w:val="0"/>
        <w:autoSpaceDN w:val="0"/>
        <w:adjustRightInd w:val="0"/>
        <w:spacing w:line="240" w:lineRule="atLeast"/>
        <w:rPr>
          <w:color w:val="000000"/>
          <w:szCs w:val="22"/>
          <w:lang w:val="es-NI"/>
        </w:rPr>
      </w:pPr>
    </w:p>
    <w:p w:rsidR="004C1B7E" w:rsidRPr="002F671E" w:rsidRDefault="004C1B7E">
      <w:pPr>
        <w:autoSpaceDE w:val="0"/>
        <w:autoSpaceDN w:val="0"/>
        <w:adjustRightInd w:val="0"/>
        <w:spacing w:line="240" w:lineRule="atLeast"/>
        <w:jc w:val="center"/>
        <w:rPr>
          <w:color w:val="000000"/>
          <w:szCs w:val="22"/>
          <w:lang w:val="es-NI"/>
        </w:rPr>
      </w:pPr>
    </w:p>
    <w:p w:rsidR="004C1B7E" w:rsidRPr="002F671E" w:rsidRDefault="004C1B7E">
      <w:pPr>
        <w:autoSpaceDE w:val="0"/>
        <w:autoSpaceDN w:val="0"/>
        <w:adjustRightInd w:val="0"/>
        <w:spacing w:line="240" w:lineRule="atLeast"/>
        <w:jc w:val="center"/>
        <w:rPr>
          <w:color w:val="000000"/>
          <w:szCs w:val="22"/>
          <w:lang w:val="es-NI"/>
        </w:rPr>
      </w:pPr>
    </w:p>
    <w:p w:rsidR="004C1B7E" w:rsidRPr="002F671E" w:rsidRDefault="004C1B7E" w:rsidP="00E44F5D">
      <w:pPr>
        <w:autoSpaceDE w:val="0"/>
        <w:autoSpaceDN w:val="0"/>
        <w:adjustRightInd w:val="0"/>
        <w:spacing w:line="240" w:lineRule="atLeast"/>
        <w:rPr>
          <w:color w:val="000000"/>
          <w:szCs w:val="22"/>
          <w:lang w:val="es-NI"/>
        </w:rPr>
      </w:pPr>
    </w:p>
    <w:p w:rsidR="00137F98" w:rsidRPr="002F671E" w:rsidRDefault="00D47A34" w:rsidP="00137F98">
      <w:pPr>
        <w:autoSpaceDE w:val="0"/>
        <w:autoSpaceDN w:val="0"/>
        <w:spacing w:line="240" w:lineRule="atLeast"/>
        <w:rPr>
          <w:color w:val="000000"/>
          <w:szCs w:val="22"/>
          <w:lang w:val="es-ES"/>
        </w:rPr>
      </w:pPr>
      <w:r>
        <w:rPr>
          <w:color w:val="000000"/>
          <w:szCs w:val="22"/>
          <w:lang w:val="es-ES"/>
        </w:rPr>
        <w:t xml:space="preserve">Departamento de Desarrollo </w:t>
      </w:r>
      <w:r w:rsidR="00085452">
        <w:rPr>
          <w:color w:val="000000"/>
          <w:szCs w:val="22"/>
          <w:lang w:val="es-ES"/>
        </w:rPr>
        <w:t>Sostenible</w:t>
      </w:r>
    </w:p>
    <w:p w:rsidR="00137F98" w:rsidRPr="002F671E" w:rsidRDefault="00D47A34" w:rsidP="00137F98">
      <w:pPr>
        <w:autoSpaceDE w:val="0"/>
        <w:autoSpaceDN w:val="0"/>
        <w:spacing w:line="240" w:lineRule="atLeast"/>
        <w:rPr>
          <w:color w:val="000000"/>
          <w:szCs w:val="22"/>
          <w:lang w:val="es-ES"/>
        </w:rPr>
      </w:pPr>
      <w:r>
        <w:rPr>
          <w:bCs/>
          <w:color w:val="000000"/>
          <w:szCs w:val="22"/>
          <w:lang w:val="es-ES"/>
        </w:rPr>
        <w:t>Unidad de Gestión Administrativa para América Central</w:t>
      </w:r>
    </w:p>
    <w:p w:rsidR="00137F98" w:rsidRPr="002F671E" w:rsidRDefault="009F3769" w:rsidP="00137F98">
      <w:pPr>
        <w:autoSpaceDE w:val="0"/>
        <w:autoSpaceDN w:val="0"/>
        <w:spacing w:line="240" w:lineRule="atLeast"/>
        <w:rPr>
          <w:bCs/>
          <w:color w:val="000000"/>
          <w:szCs w:val="22"/>
          <w:lang w:val="es-ES"/>
        </w:rPr>
      </w:pPr>
      <w:r>
        <w:rPr>
          <w:bCs/>
          <w:color w:val="000000"/>
          <w:szCs w:val="22"/>
          <w:lang w:val="es-ES"/>
        </w:rPr>
        <w:t>Región</w:t>
      </w:r>
      <w:r w:rsidR="00D47A34">
        <w:rPr>
          <w:bCs/>
          <w:color w:val="000000"/>
          <w:szCs w:val="22"/>
          <w:lang w:val="es-ES"/>
        </w:rPr>
        <w:t xml:space="preserve"> </w:t>
      </w:r>
      <w:r>
        <w:rPr>
          <w:bCs/>
          <w:color w:val="000000"/>
          <w:szCs w:val="22"/>
          <w:lang w:val="es-ES"/>
        </w:rPr>
        <w:t xml:space="preserve">de </w:t>
      </w:r>
      <w:r w:rsidR="00D47A34">
        <w:rPr>
          <w:bCs/>
          <w:color w:val="000000"/>
          <w:szCs w:val="22"/>
          <w:lang w:val="es-ES"/>
        </w:rPr>
        <w:t>América Latina y el Caribe</w:t>
      </w:r>
    </w:p>
    <w:p w:rsidR="00137F98" w:rsidRPr="002F671E" w:rsidRDefault="00137F98" w:rsidP="00137F98">
      <w:pPr>
        <w:autoSpaceDE w:val="0"/>
        <w:autoSpaceDN w:val="0"/>
        <w:spacing w:line="240" w:lineRule="atLeast"/>
        <w:rPr>
          <w:color w:val="000000"/>
          <w:szCs w:val="22"/>
          <w:lang w:val="es-ES"/>
        </w:rPr>
      </w:pPr>
    </w:p>
    <w:p w:rsidR="00137F98" w:rsidRPr="002F671E" w:rsidRDefault="00137F98" w:rsidP="00137F98">
      <w:pPr>
        <w:autoSpaceDE w:val="0"/>
        <w:autoSpaceDN w:val="0"/>
        <w:spacing w:line="240" w:lineRule="atLeast"/>
        <w:rPr>
          <w:b/>
          <w:color w:val="000000"/>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37F98" w:rsidRPr="00085452" w:rsidTr="00971692">
        <w:tc>
          <w:tcPr>
            <w:tcW w:w="9576" w:type="dxa"/>
          </w:tcPr>
          <w:p w:rsidR="00005120" w:rsidRDefault="00005120">
            <w:pPr>
              <w:autoSpaceDE w:val="0"/>
              <w:autoSpaceDN w:val="0"/>
              <w:spacing w:line="240" w:lineRule="atLeast"/>
              <w:rPr>
                <w:color w:val="000000"/>
                <w:sz w:val="22"/>
                <w:szCs w:val="22"/>
                <w:lang w:val="es-ES"/>
              </w:rPr>
            </w:pPr>
          </w:p>
          <w:p w:rsidR="00005120" w:rsidRDefault="00C46691">
            <w:pPr>
              <w:autoSpaceDE w:val="0"/>
              <w:autoSpaceDN w:val="0"/>
              <w:spacing w:line="240" w:lineRule="atLeast"/>
              <w:rPr>
                <w:color w:val="000000"/>
                <w:sz w:val="22"/>
                <w:szCs w:val="22"/>
                <w:lang w:val="es-ES"/>
              </w:rPr>
            </w:pPr>
            <w:r w:rsidRPr="00085452">
              <w:rPr>
                <w:color w:val="000000"/>
                <w:sz w:val="22"/>
                <w:szCs w:val="22"/>
                <w:lang w:val="es-ES"/>
              </w:rPr>
              <w:t>El presente documento está disponible al público, previa consideración del Directorio Ejecutivo. Esta disponibilidad no implica presunción de resultado alguno. El documento podrá actualizarse según disponga el Directorio y una vez actualizado estará a disposición pública de conformidad con las Políticas del Acceso a la Información Pública del Banco Mundial.</w:t>
            </w:r>
          </w:p>
        </w:tc>
      </w:tr>
    </w:tbl>
    <w:p w:rsidR="008A7475" w:rsidRPr="002F671E" w:rsidRDefault="008A7475">
      <w:pPr>
        <w:rPr>
          <w:color w:val="000000"/>
          <w:sz w:val="22"/>
          <w:szCs w:val="22"/>
          <w:lang w:val="es-NI"/>
        </w:rPr>
      </w:pPr>
    </w:p>
    <w:p w:rsidR="00E44F5D" w:rsidRPr="002F671E" w:rsidRDefault="00D47A34" w:rsidP="003004BE">
      <w:pPr>
        <w:jc w:val="center"/>
        <w:rPr>
          <w:color w:val="000000"/>
          <w:szCs w:val="22"/>
          <w:lang w:val="es-NI"/>
        </w:rPr>
      </w:pPr>
      <w:r>
        <w:rPr>
          <w:color w:val="000000"/>
          <w:szCs w:val="22"/>
          <w:lang w:val="es-ES"/>
        </w:rPr>
        <w:t>EQUIVALENCIAS MONETARIAS</w:t>
      </w:r>
    </w:p>
    <w:p w:rsidR="00926CDE" w:rsidRPr="002F671E" w:rsidRDefault="00D47A34" w:rsidP="00730D7B">
      <w:pPr>
        <w:autoSpaceDE w:val="0"/>
        <w:autoSpaceDN w:val="0"/>
        <w:adjustRightInd w:val="0"/>
        <w:spacing w:after="120" w:line="240" w:lineRule="atLeast"/>
        <w:jc w:val="center"/>
        <w:rPr>
          <w:color w:val="000000"/>
          <w:szCs w:val="22"/>
          <w:lang w:val="es-NI"/>
        </w:rPr>
      </w:pPr>
      <w:r>
        <w:rPr>
          <w:color w:val="000000"/>
          <w:szCs w:val="22"/>
          <w:lang w:val="es-NI"/>
        </w:rPr>
        <w:t>(</w:t>
      </w:r>
      <w:r>
        <w:rPr>
          <w:color w:val="000000"/>
          <w:szCs w:val="22"/>
          <w:lang w:val="es-ES"/>
        </w:rPr>
        <w:t>Tasa de cambio efectiva al 22 de enero del 2013</w:t>
      </w:r>
      <w:r>
        <w:rPr>
          <w:color w:val="000000"/>
          <w:szCs w:val="22"/>
          <w:lang w:val="es-NI"/>
        </w:rPr>
        <w:t>)</w:t>
      </w:r>
    </w:p>
    <w:tbl>
      <w:tblPr>
        <w:tblW w:w="0" w:type="auto"/>
        <w:tblLook w:val="0000" w:firstRow="0" w:lastRow="0" w:firstColumn="0" w:lastColumn="0" w:noHBand="0" w:noVBand="0"/>
      </w:tblPr>
      <w:tblGrid>
        <w:gridCol w:w="4668"/>
        <w:gridCol w:w="360"/>
        <w:gridCol w:w="4548"/>
      </w:tblGrid>
      <w:tr w:rsidR="00E44F5D" w:rsidRPr="002F671E">
        <w:tc>
          <w:tcPr>
            <w:tcW w:w="4668" w:type="dxa"/>
          </w:tcPr>
          <w:p w:rsidR="00E44F5D" w:rsidRPr="002F671E" w:rsidRDefault="00D47A34" w:rsidP="00971692">
            <w:pPr>
              <w:autoSpaceDE w:val="0"/>
              <w:autoSpaceDN w:val="0"/>
              <w:adjustRightInd w:val="0"/>
              <w:spacing w:line="240" w:lineRule="atLeast"/>
              <w:jc w:val="right"/>
              <w:rPr>
                <w:color w:val="000000"/>
                <w:szCs w:val="22"/>
                <w:lang w:val="es-ES"/>
              </w:rPr>
            </w:pPr>
            <w:r>
              <w:rPr>
                <w:color w:val="000000"/>
                <w:szCs w:val="22"/>
                <w:lang w:val="es-ES"/>
              </w:rPr>
              <w:t>Unidad Monetaria</w:t>
            </w:r>
          </w:p>
        </w:tc>
        <w:tc>
          <w:tcPr>
            <w:tcW w:w="360" w:type="dxa"/>
          </w:tcPr>
          <w:p w:rsidR="00E44F5D" w:rsidRPr="002F671E" w:rsidRDefault="00D47A34" w:rsidP="00971692">
            <w:pPr>
              <w:autoSpaceDE w:val="0"/>
              <w:autoSpaceDN w:val="0"/>
              <w:adjustRightInd w:val="0"/>
              <w:spacing w:line="240" w:lineRule="atLeast"/>
              <w:rPr>
                <w:color w:val="000000"/>
                <w:szCs w:val="22"/>
                <w:lang w:val="es-ES"/>
              </w:rPr>
            </w:pPr>
            <w:r>
              <w:rPr>
                <w:color w:val="000000"/>
                <w:szCs w:val="22"/>
                <w:lang w:val="es-ES"/>
              </w:rPr>
              <w:t>=</w:t>
            </w:r>
          </w:p>
        </w:tc>
        <w:tc>
          <w:tcPr>
            <w:tcW w:w="4548" w:type="dxa"/>
          </w:tcPr>
          <w:p w:rsidR="00E44F5D" w:rsidRPr="002F671E" w:rsidRDefault="00D47A34" w:rsidP="00971692">
            <w:pPr>
              <w:autoSpaceDE w:val="0"/>
              <w:autoSpaceDN w:val="0"/>
              <w:adjustRightInd w:val="0"/>
              <w:spacing w:line="240" w:lineRule="atLeast"/>
              <w:rPr>
                <w:color w:val="000000"/>
                <w:szCs w:val="22"/>
                <w:lang w:val="es-ES"/>
              </w:rPr>
            </w:pPr>
            <w:r>
              <w:rPr>
                <w:color w:val="000000"/>
                <w:szCs w:val="22"/>
                <w:lang w:val="es-ES"/>
              </w:rPr>
              <w:t>Córdoba</w:t>
            </w:r>
          </w:p>
        </w:tc>
      </w:tr>
      <w:tr w:rsidR="00E44F5D" w:rsidRPr="002F671E">
        <w:tc>
          <w:tcPr>
            <w:tcW w:w="4668" w:type="dxa"/>
          </w:tcPr>
          <w:p w:rsidR="00E44F5D" w:rsidRPr="002F671E" w:rsidRDefault="00D47A34" w:rsidP="00971692">
            <w:pPr>
              <w:autoSpaceDE w:val="0"/>
              <w:autoSpaceDN w:val="0"/>
              <w:adjustRightInd w:val="0"/>
              <w:spacing w:line="240" w:lineRule="atLeast"/>
              <w:jc w:val="right"/>
              <w:rPr>
                <w:color w:val="000000"/>
                <w:szCs w:val="22"/>
                <w:lang w:val="es-ES"/>
              </w:rPr>
            </w:pPr>
            <w:r>
              <w:rPr>
                <w:color w:val="000000"/>
                <w:szCs w:val="22"/>
                <w:lang w:val="es-ES"/>
              </w:rPr>
              <w:t xml:space="preserve">C 24.20 </w:t>
            </w:r>
          </w:p>
        </w:tc>
        <w:tc>
          <w:tcPr>
            <w:tcW w:w="360" w:type="dxa"/>
          </w:tcPr>
          <w:p w:rsidR="00E44F5D" w:rsidRPr="002F671E" w:rsidRDefault="00D47A34" w:rsidP="00971692">
            <w:pPr>
              <w:autoSpaceDE w:val="0"/>
              <w:autoSpaceDN w:val="0"/>
              <w:adjustRightInd w:val="0"/>
              <w:spacing w:line="240" w:lineRule="atLeast"/>
              <w:rPr>
                <w:color w:val="000000"/>
                <w:szCs w:val="22"/>
                <w:lang w:val="es-ES"/>
              </w:rPr>
            </w:pPr>
            <w:r>
              <w:rPr>
                <w:color w:val="000000"/>
                <w:szCs w:val="22"/>
                <w:lang w:val="es-ES"/>
              </w:rPr>
              <w:t>=</w:t>
            </w:r>
          </w:p>
        </w:tc>
        <w:tc>
          <w:tcPr>
            <w:tcW w:w="4548" w:type="dxa"/>
          </w:tcPr>
          <w:p w:rsidR="00E44F5D" w:rsidRPr="002F671E" w:rsidRDefault="00D47A34" w:rsidP="00971692">
            <w:pPr>
              <w:autoSpaceDE w:val="0"/>
              <w:autoSpaceDN w:val="0"/>
              <w:adjustRightInd w:val="0"/>
              <w:spacing w:line="240" w:lineRule="atLeast"/>
              <w:rPr>
                <w:color w:val="000000"/>
                <w:szCs w:val="22"/>
                <w:lang w:val="es-ES"/>
              </w:rPr>
            </w:pPr>
            <w:r>
              <w:rPr>
                <w:color w:val="000000"/>
                <w:szCs w:val="22"/>
                <w:lang w:val="es-ES"/>
              </w:rPr>
              <w:t>US$ 1</w:t>
            </w:r>
          </w:p>
        </w:tc>
      </w:tr>
      <w:tr w:rsidR="00E44F5D" w:rsidRPr="002F671E">
        <w:tc>
          <w:tcPr>
            <w:tcW w:w="4668" w:type="dxa"/>
          </w:tcPr>
          <w:p w:rsidR="00E44F5D" w:rsidRPr="002F671E" w:rsidRDefault="00D47A34" w:rsidP="00971692">
            <w:pPr>
              <w:autoSpaceDE w:val="0"/>
              <w:autoSpaceDN w:val="0"/>
              <w:adjustRightInd w:val="0"/>
              <w:spacing w:line="240" w:lineRule="atLeast"/>
              <w:jc w:val="right"/>
              <w:rPr>
                <w:color w:val="000000"/>
                <w:szCs w:val="22"/>
                <w:lang w:val="es-ES"/>
              </w:rPr>
            </w:pPr>
            <w:r>
              <w:rPr>
                <w:color w:val="000000"/>
                <w:szCs w:val="22"/>
                <w:lang w:val="es-ES"/>
              </w:rPr>
              <w:t>US$ 1.53</w:t>
            </w:r>
          </w:p>
        </w:tc>
        <w:tc>
          <w:tcPr>
            <w:tcW w:w="360" w:type="dxa"/>
          </w:tcPr>
          <w:p w:rsidR="00E44F5D" w:rsidRPr="002F671E" w:rsidRDefault="00D47A34" w:rsidP="00971692">
            <w:pPr>
              <w:autoSpaceDE w:val="0"/>
              <w:autoSpaceDN w:val="0"/>
              <w:adjustRightInd w:val="0"/>
              <w:spacing w:line="240" w:lineRule="atLeast"/>
              <w:rPr>
                <w:color w:val="000000"/>
                <w:szCs w:val="22"/>
                <w:lang w:val="es-ES"/>
              </w:rPr>
            </w:pPr>
            <w:r>
              <w:rPr>
                <w:color w:val="000000"/>
                <w:szCs w:val="22"/>
                <w:lang w:val="es-ES"/>
              </w:rPr>
              <w:t>=</w:t>
            </w:r>
          </w:p>
        </w:tc>
        <w:tc>
          <w:tcPr>
            <w:tcW w:w="4548" w:type="dxa"/>
          </w:tcPr>
          <w:p w:rsidR="00E44F5D" w:rsidRPr="002F671E" w:rsidRDefault="00D47A34" w:rsidP="00971692">
            <w:pPr>
              <w:autoSpaceDE w:val="0"/>
              <w:autoSpaceDN w:val="0"/>
              <w:adjustRightInd w:val="0"/>
              <w:spacing w:line="240" w:lineRule="atLeast"/>
              <w:rPr>
                <w:color w:val="000000"/>
                <w:szCs w:val="22"/>
                <w:lang w:val="es-ES"/>
              </w:rPr>
            </w:pPr>
            <w:r>
              <w:rPr>
                <w:color w:val="000000"/>
                <w:szCs w:val="22"/>
                <w:lang w:val="es-ES"/>
              </w:rPr>
              <w:t>DEG 1</w:t>
            </w:r>
          </w:p>
        </w:tc>
      </w:tr>
    </w:tbl>
    <w:p w:rsidR="00251650" w:rsidRPr="002F671E" w:rsidRDefault="00251650">
      <w:pPr>
        <w:autoSpaceDE w:val="0"/>
        <w:autoSpaceDN w:val="0"/>
        <w:adjustRightInd w:val="0"/>
        <w:spacing w:line="240" w:lineRule="atLeast"/>
        <w:rPr>
          <w:color w:val="000000"/>
          <w:szCs w:val="22"/>
        </w:rPr>
      </w:pPr>
    </w:p>
    <w:p w:rsidR="00234A3A" w:rsidRPr="002F671E" w:rsidRDefault="00D47A34" w:rsidP="00234A3A">
      <w:pPr>
        <w:jc w:val="center"/>
        <w:rPr>
          <w:color w:val="000000"/>
          <w:szCs w:val="22"/>
          <w:lang w:val="es-ES"/>
        </w:rPr>
      </w:pPr>
      <w:r>
        <w:rPr>
          <w:color w:val="000000"/>
          <w:szCs w:val="22"/>
          <w:lang w:val="es-ES"/>
        </w:rPr>
        <w:t>AÑO FISCAL</w:t>
      </w:r>
    </w:p>
    <w:tbl>
      <w:tblPr>
        <w:tblW w:w="0" w:type="auto"/>
        <w:tblLook w:val="0000" w:firstRow="0" w:lastRow="0" w:firstColumn="0" w:lastColumn="0" w:noHBand="0" w:noVBand="0"/>
      </w:tblPr>
      <w:tblGrid>
        <w:gridCol w:w="4548"/>
        <w:gridCol w:w="600"/>
        <w:gridCol w:w="4428"/>
      </w:tblGrid>
      <w:tr w:rsidR="00234A3A" w:rsidRPr="002F671E" w:rsidTr="00971692">
        <w:tc>
          <w:tcPr>
            <w:tcW w:w="4548" w:type="dxa"/>
          </w:tcPr>
          <w:p w:rsidR="00234A3A" w:rsidRPr="002F671E" w:rsidRDefault="00D47A34" w:rsidP="00234A3A">
            <w:pPr>
              <w:jc w:val="center"/>
              <w:rPr>
                <w:color w:val="000000"/>
                <w:szCs w:val="22"/>
                <w:lang w:val="es-ES"/>
              </w:rPr>
            </w:pPr>
            <w:r>
              <w:rPr>
                <w:color w:val="000000"/>
                <w:szCs w:val="22"/>
                <w:lang w:val="es-ES"/>
              </w:rPr>
              <w:t>1º de enero</w:t>
            </w:r>
          </w:p>
        </w:tc>
        <w:tc>
          <w:tcPr>
            <w:tcW w:w="600" w:type="dxa"/>
          </w:tcPr>
          <w:p w:rsidR="00234A3A" w:rsidRPr="002F671E" w:rsidRDefault="00D47A34" w:rsidP="00234A3A">
            <w:pPr>
              <w:jc w:val="center"/>
              <w:rPr>
                <w:color w:val="000000"/>
                <w:szCs w:val="22"/>
                <w:lang w:val="es-ES"/>
              </w:rPr>
            </w:pPr>
            <w:r>
              <w:rPr>
                <w:color w:val="000000"/>
                <w:szCs w:val="22"/>
                <w:lang w:val="es-ES"/>
              </w:rPr>
              <w:t>–</w:t>
            </w:r>
          </w:p>
        </w:tc>
        <w:tc>
          <w:tcPr>
            <w:tcW w:w="4428" w:type="dxa"/>
          </w:tcPr>
          <w:p w:rsidR="00234A3A" w:rsidRPr="002F671E" w:rsidRDefault="00D47A34" w:rsidP="00234A3A">
            <w:pPr>
              <w:jc w:val="center"/>
              <w:rPr>
                <w:color w:val="000000"/>
                <w:szCs w:val="22"/>
                <w:lang w:val="es-ES"/>
              </w:rPr>
            </w:pPr>
            <w:r>
              <w:rPr>
                <w:color w:val="000000"/>
                <w:szCs w:val="22"/>
                <w:lang w:val="es-ES"/>
              </w:rPr>
              <w:t>31 de diciembre</w:t>
            </w:r>
          </w:p>
        </w:tc>
      </w:tr>
    </w:tbl>
    <w:p w:rsidR="00234A3A" w:rsidRPr="002F671E" w:rsidRDefault="00234A3A" w:rsidP="00234A3A">
      <w:pPr>
        <w:jc w:val="center"/>
        <w:rPr>
          <w:color w:val="000000"/>
          <w:szCs w:val="22"/>
          <w:lang w:val="es-ES"/>
        </w:rPr>
      </w:pPr>
    </w:p>
    <w:p w:rsidR="00234A3A" w:rsidRPr="002F671E" w:rsidRDefault="00D47A34" w:rsidP="00234A3A">
      <w:pPr>
        <w:jc w:val="center"/>
        <w:rPr>
          <w:color w:val="000000"/>
          <w:szCs w:val="22"/>
          <w:lang w:val="es-ES"/>
        </w:rPr>
      </w:pPr>
      <w:r>
        <w:rPr>
          <w:color w:val="000000"/>
          <w:szCs w:val="22"/>
          <w:lang w:val="es-ES"/>
        </w:rPr>
        <w:t>SIGLAS Y ABREVIATURAS</w:t>
      </w:r>
    </w:p>
    <w:tbl>
      <w:tblPr>
        <w:tblW w:w="9576" w:type="dxa"/>
        <w:tblLook w:val="0000" w:firstRow="0" w:lastRow="0" w:firstColumn="0" w:lastColumn="0" w:noHBand="0" w:noVBand="0"/>
      </w:tblPr>
      <w:tblGrid>
        <w:gridCol w:w="1458"/>
        <w:gridCol w:w="8118"/>
      </w:tblGrid>
      <w:tr w:rsidR="00AB0D82" w:rsidRPr="002F671E" w:rsidTr="00085452">
        <w:tc>
          <w:tcPr>
            <w:tcW w:w="1458" w:type="dxa"/>
          </w:tcPr>
          <w:p w:rsidR="00AB0D82" w:rsidRPr="002F671E" w:rsidRDefault="00AB0D82">
            <w:pPr>
              <w:rPr>
                <w:sz w:val="22"/>
                <w:szCs w:val="22"/>
              </w:rPr>
            </w:pPr>
          </w:p>
        </w:tc>
        <w:tc>
          <w:tcPr>
            <w:tcW w:w="8118" w:type="dxa"/>
          </w:tcPr>
          <w:p w:rsidR="00AB0D82" w:rsidRPr="002F671E" w:rsidRDefault="00AB0D82">
            <w:pPr>
              <w:rPr>
                <w:sz w:val="22"/>
                <w:szCs w:val="22"/>
                <w:lang w:val="es-ES"/>
              </w:rPr>
            </w:pPr>
          </w:p>
        </w:tc>
      </w:tr>
      <w:tr w:rsidR="009F3769" w:rsidRPr="002F671E" w:rsidTr="00085452">
        <w:tc>
          <w:tcPr>
            <w:tcW w:w="1458" w:type="dxa"/>
          </w:tcPr>
          <w:p w:rsidR="009F3769" w:rsidRPr="002F671E" w:rsidRDefault="009F3769" w:rsidP="00005120">
            <w:pPr>
              <w:rPr>
                <w:sz w:val="22"/>
                <w:szCs w:val="22"/>
              </w:rPr>
            </w:pPr>
            <w:r>
              <w:rPr>
                <w:sz w:val="22"/>
                <w:szCs w:val="22"/>
              </w:rPr>
              <w:t>AEP</w:t>
            </w:r>
          </w:p>
          <w:p w:rsidR="009F3769" w:rsidRPr="002F671E" w:rsidRDefault="009F3769" w:rsidP="00005120">
            <w:pPr>
              <w:rPr>
                <w:sz w:val="22"/>
                <w:szCs w:val="22"/>
              </w:rPr>
            </w:pPr>
            <w:r>
              <w:rPr>
                <w:sz w:val="22"/>
                <w:szCs w:val="22"/>
              </w:rPr>
              <w:t>AIF</w:t>
            </w:r>
          </w:p>
          <w:p w:rsidR="009F3769" w:rsidRPr="002F671E" w:rsidRDefault="009F3769" w:rsidP="00F2612F">
            <w:pPr>
              <w:rPr>
                <w:sz w:val="22"/>
                <w:szCs w:val="22"/>
              </w:rPr>
            </w:pPr>
            <w:r>
              <w:rPr>
                <w:sz w:val="22"/>
                <w:szCs w:val="22"/>
              </w:rPr>
              <w:t>CERC</w:t>
            </w:r>
          </w:p>
        </w:tc>
        <w:tc>
          <w:tcPr>
            <w:tcW w:w="8118" w:type="dxa"/>
          </w:tcPr>
          <w:p w:rsidR="009F3769" w:rsidRPr="002F671E" w:rsidRDefault="009F3769" w:rsidP="00005120">
            <w:pPr>
              <w:rPr>
                <w:sz w:val="22"/>
                <w:szCs w:val="22"/>
                <w:lang w:val="es-ES"/>
              </w:rPr>
            </w:pPr>
            <w:r>
              <w:rPr>
                <w:sz w:val="22"/>
                <w:szCs w:val="22"/>
                <w:lang w:val="es-ES"/>
              </w:rPr>
              <w:t>Alianza Estratégica con el País</w:t>
            </w:r>
          </w:p>
          <w:p w:rsidR="009F3769" w:rsidRPr="002F671E" w:rsidRDefault="009F3769" w:rsidP="00005120">
            <w:pPr>
              <w:rPr>
                <w:sz w:val="22"/>
                <w:szCs w:val="22"/>
                <w:lang w:val="es-ES"/>
              </w:rPr>
            </w:pPr>
            <w:r>
              <w:rPr>
                <w:sz w:val="22"/>
                <w:szCs w:val="22"/>
                <w:lang w:val="es-ES"/>
              </w:rPr>
              <w:t>Asociación Internacional de Fomento</w:t>
            </w:r>
          </w:p>
          <w:p w:rsidR="009F3769" w:rsidRPr="002F671E" w:rsidRDefault="009F3769" w:rsidP="00F2612F">
            <w:pPr>
              <w:rPr>
                <w:sz w:val="22"/>
                <w:szCs w:val="22"/>
                <w:lang w:val="es-ES"/>
              </w:rPr>
            </w:pPr>
            <w:r>
              <w:rPr>
                <w:sz w:val="22"/>
                <w:szCs w:val="22"/>
                <w:lang w:val="es-ES"/>
              </w:rPr>
              <w:t xml:space="preserve">Componente Contingente de Respuestas a Emergencias </w:t>
            </w:r>
          </w:p>
        </w:tc>
      </w:tr>
      <w:tr w:rsidR="009F3769" w:rsidRPr="002F671E" w:rsidTr="00085452">
        <w:tc>
          <w:tcPr>
            <w:tcW w:w="1458" w:type="dxa"/>
          </w:tcPr>
          <w:p w:rsidR="009F3769" w:rsidRPr="002F671E" w:rsidRDefault="009F3769" w:rsidP="00F2612F">
            <w:pPr>
              <w:rPr>
                <w:sz w:val="22"/>
                <w:szCs w:val="22"/>
              </w:rPr>
            </w:pPr>
            <w:r>
              <w:rPr>
                <w:sz w:val="22"/>
                <w:szCs w:val="22"/>
              </w:rPr>
              <w:t>CIP</w:t>
            </w:r>
          </w:p>
        </w:tc>
        <w:tc>
          <w:tcPr>
            <w:tcW w:w="8118" w:type="dxa"/>
          </w:tcPr>
          <w:p w:rsidR="009F3769" w:rsidRPr="002F671E" w:rsidRDefault="009F3769" w:rsidP="00F2612F">
            <w:pPr>
              <w:rPr>
                <w:sz w:val="22"/>
                <w:szCs w:val="22"/>
                <w:lang w:val="es-ES"/>
              </w:rPr>
            </w:pPr>
            <w:r>
              <w:rPr>
                <w:sz w:val="22"/>
                <w:szCs w:val="22"/>
                <w:lang w:val="es-ES"/>
              </w:rPr>
              <w:t>Comité Interinstitucional del Proyecto</w:t>
            </w:r>
          </w:p>
        </w:tc>
      </w:tr>
      <w:tr w:rsidR="009F3769" w:rsidRPr="002F671E" w:rsidTr="00085452">
        <w:tc>
          <w:tcPr>
            <w:tcW w:w="1458" w:type="dxa"/>
          </w:tcPr>
          <w:p w:rsidR="009F3769" w:rsidRPr="002F671E" w:rsidRDefault="009F3769" w:rsidP="00005120">
            <w:pPr>
              <w:rPr>
                <w:sz w:val="22"/>
                <w:szCs w:val="22"/>
              </w:rPr>
            </w:pPr>
            <w:r>
              <w:rPr>
                <w:sz w:val="22"/>
                <w:szCs w:val="22"/>
              </w:rPr>
              <w:t>CONADETI</w:t>
            </w:r>
          </w:p>
          <w:p w:rsidR="009F3769" w:rsidRPr="002F671E" w:rsidRDefault="009F3769" w:rsidP="00005120">
            <w:pPr>
              <w:rPr>
                <w:sz w:val="22"/>
                <w:szCs w:val="22"/>
              </w:rPr>
            </w:pPr>
            <w:r>
              <w:rPr>
                <w:sz w:val="22"/>
                <w:szCs w:val="22"/>
              </w:rPr>
              <w:t>CTO</w:t>
            </w:r>
          </w:p>
          <w:p w:rsidR="009F3769" w:rsidRPr="002F671E" w:rsidRDefault="009F3769" w:rsidP="00F2612F">
            <w:pPr>
              <w:rPr>
                <w:sz w:val="22"/>
                <w:szCs w:val="22"/>
                <w:lang w:val="es-NI"/>
              </w:rPr>
            </w:pPr>
            <w:r>
              <w:rPr>
                <w:sz w:val="22"/>
                <w:szCs w:val="22"/>
                <w:lang w:val="es-ES"/>
              </w:rPr>
              <w:t>CCRM</w:t>
            </w:r>
          </w:p>
        </w:tc>
        <w:tc>
          <w:tcPr>
            <w:tcW w:w="8118" w:type="dxa"/>
          </w:tcPr>
          <w:p w:rsidR="009F3769" w:rsidRPr="002F671E" w:rsidRDefault="009F3769" w:rsidP="00005120">
            <w:pPr>
              <w:rPr>
                <w:sz w:val="22"/>
                <w:szCs w:val="22"/>
                <w:lang w:val="es-ES"/>
              </w:rPr>
            </w:pPr>
            <w:r>
              <w:rPr>
                <w:sz w:val="22"/>
                <w:szCs w:val="22"/>
                <w:lang w:val="es-ES"/>
              </w:rPr>
              <w:t xml:space="preserve">Comisión Nacional para la Demarcación y Titulación </w:t>
            </w:r>
          </w:p>
          <w:p w:rsidR="009F3769" w:rsidRPr="002F671E" w:rsidRDefault="009F3769" w:rsidP="00005120">
            <w:pPr>
              <w:rPr>
                <w:sz w:val="22"/>
                <w:szCs w:val="22"/>
                <w:lang w:val="es-ES"/>
              </w:rPr>
            </w:pPr>
            <w:r>
              <w:rPr>
                <w:sz w:val="22"/>
                <w:szCs w:val="22"/>
                <w:lang w:val="es-ES"/>
              </w:rPr>
              <w:t xml:space="preserve">Comité Técnico Operativo </w:t>
            </w:r>
          </w:p>
          <w:p w:rsidR="009F3769" w:rsidRPr="002F671E" w:rsidRDefault="009F3769" w:rsidP="00F2612F">
            <w:pPr>
              <w:rPr>
                <w:sz w:val="22"/>
                <w:szCs w:val="22"/>
                <w:lang w:val="es-ES"/>
              </w:rPr>
            </w:pPr>
            <w:r>
              <w:rPr>
                <w:sz w:val="22"/>
                <w:szCs w:val="22"/>
                <w:lang w:val="es-ES"/>
              </w:rPr>
              <w:t xml:space="preserve">Corporación Cuenta Reto del Milenio </w:t>
            </w:r>
          </w:p>
        </w:tc>
      </w:tr>
      <w:tr w:rsidR="009F3769" w:rsidRPr="002F671E" w:rsidTr="00085452">
        <w:tc>
          <w:tcPr>
            <w:tcW w:w="1458" w:type="dxa"/>
          </w:tcPr>
          <w:p w:rsidR="009F3769" w:rsidRPr="002F671E" w:rsidRDefault="009F3769" w:rsidP="00005120">
            <w:pPr>
              <w:rPr>
                <w:sz w:val="22"/>
                <w:szCs w:val="22"/>
              </w:rPr>
            </w:pPr>
            <w:r>
              <w:rPr>
                <w:sz w:val="22"/>
                <w:szCs w:val="22"/>
              </w:rPr>
              <w:t>CSJ</w:t>
            </w:r>
          </w:p>
          <w:p w:rsidR="009F3769" w:rsidRPr="002F671E" w:rsidRDefault="009F3769" w:rsidP="00F2612F">
            <w:pPr>
              <w:rPr>
                <w:sz w:val="22"/>
                <w:szCs w:val="22"/>
                <w:lang w:val="es-NI"/>
              </w:rPr>
            </w:pPr>
            <w:r w:rsidRPr="00085452">
              <w:rPr>
                <w:sz w:val="22"/>
                <w:szCs w:val="22"/>
              </w:rPr>
              <w:t>DEG</w:t>
            </w:r>
          </w:p>
        </w:tc>
        <w:tc>
          <w:tcPr>
            <w:tcW w:w="8118" w:type="dxa"/>
          </w:tcPr>
          <w:p w:rsidR="009F3769" w:rsidRPr="002F671E" w:rsidRDefault="009F3769" w:rsidP="00005120">
            <w:pPr>
              <w:rPr>
                <w:sz w:val="22"/>
                <w:szCs w:val="22"/>
                <w:lang w:val="es-ES"/>
              </w:rPr>
            </w:pPr>
            <w:r>
              <w:rPr>
                <w:sz w:val="22"/>
                <w:szCs w:val="22"/>
                <w:lang w:val="es-ES"/>
              </w:rPr>
              <w:t>Corte Suprema de Justicia</w:t>
            </w:r>
          </w:p>
          <w:p w:rsidR="009F3769" w:rsidRPr="002F671E" w:rsidRDefault="009F3769" w:rsidP="00F2612F">
            <w:pPr>
              <w:rPr>
                <w:sz w:val="22"/>
                <w:szCs w:val="22"/>
                <w:lang w:val="es-ES"/>
              </w:rPr>
            </w:pPr>
            <w:r w:rsidRPr="00085452">
              <w:rPr>
                <w:sz w:val="22"/>
                <w:szCs w:val="22"/>
                <w:lang w:val="es-ES"/>
              </w:rPr>
              <w:t>Derechos Especiales de Giro</w:t>
            </w:r>
          </w:p>
        </w:tc>
      </w:tr>
      <w:tr w:rsidR="009F3769" w:rsidRPr="009F3769" w:rsidTr="00085452">
        <w:tc>
          <w:tcPr>
            <w:tcW w:w="1458" w:type="dxa"/>
          </w:tcPr>
          <w:p w:rsidR="009F3769" w:rsidRPr="002F671E" w:rsidRDefault="009F3769" w:rsidP="00F2612F">
            <w:pPr>
              <w:rPr>
                <w:sz w:val="22"/>
                <w:szCs w:val="22"/>
                <w:lang w:val="es-NI"/>
              </w:rPr>
            </w:pPr>
            <w:r>
              <w:rPr>
                <w:sz w:val="22"/>
                <w:szCs w:val="22"/>
              </w:rPr>
              <w:t>DIRAC</w:t>
            </w:r>
          </w:p>
        </w:tc>
        <w:tc>
          <w:tcPr>
            <w:tcW w:w="8118" w:type="dxa"/>
          </w:tcPr>
          <w:p w:rsidR="009F3769" w:rsidRPr="002F671E" w:rsidRDefault="009F3769" w:rsidP="00F2612F">
            <w:pPr>
              <w:rPr>
                <w:sz w:val="22"/>
                <w:szCs w:val="22"/>
                <w:lang w:val="es-ES"/>
              </w:rPr>
            </w:pPr>
            <w:r>
              <w:rPr>
                <w:sz w:val="22"/>
                <w:szCs w:val="22"/>
                <w:lang w:val="es-ES"/>
              </w:rPr>
              <w:t>Dirección de Resolución Alternativa de Conflictos</w:t>
            </w:r>
          </w:p>
        </w:tc>
      </w:tr>
      <w:tr w:rsidR="009F3769" w:rsidRPr="009F3769" w:rsidTr="00085452">
        <w:tc>
          <w:tcPr>
            <w:tcW w:w="1458" w:type="dxa"/>
          </w:tcPr>
          <w:p w:rsidR="009F3769" w:rsidRPr="002F671E" w:rsidRDefault="009F3769" w:rsidP="00F2612F">
            <w:pPr>
              <w:rPr>
                <w:sz w:val="22"/>
                <w:szCs w:val="22"/>
              </w:rPr>
            </w:pPr>
            <w:r>
              <w:rPr>
                <w:sz w:val="22"/>
                <w:szCs w:val="22"/>
              </w:rPr>
              <w:t>DNRPP</w:t>
            </w:r>
          </w:p>
        </w:tc>
        <w:tc>
          <w:tcPr>
            <w:tcW w:w="8118" w:type="dxa"/>
          </w:tcPr>
          <w:p w:rsidR="009F3769" w:rsidRPr="002F671E" w:rsidRDefault="009F3769" w:rsidP="00F2612F">
            <w:pPr>
              <w:rPr>
                <w:sz w:val="22"/>
                <w:szCs w:val="22"/>
                <w:lang w:val="es-ES"/>
              </w:rPr>
            </w:pPr>
            <w:r>
              <w:rPr>
                <w:sz w:val="22"/>
                <w:szCs w:val="22"/>
                <w:lang w:val="es-ES"/>
              </w:rPr>
              <w:t>Dirección Nacional de Registros Públicos de las Propiedad</w:t>
            </w:r>
          </w:p>
        </w:tc>
      </w:tr>
      <w:tr w:rsidR="009F3769" w:rsidRPr="002F671E" w:rsidTr="00085452">
        <w:tc>
          <w:tcPr>
            <w:tcW w:w="1458" w:type="dxa"/>
          </w:tcPr>
          <w:p w:rsidR="009F3769" w:rsidRPr="002F671E" w:rsidRDefault="009F3769" w:rsidP="00005120">
            <w:pPr>
              <w:rPr>
                <w:sz w:val="22"/>
                <w:szCs w:val="22"/>
                <w:lang w:val="es-NI"/>
              </w:rPr>
            </w:pPr>
            <w:r>
              <w:rPr>
                <w:sz w:val="22"/>
                <w:szCs w:val="22"/>
                <w:lang w:val="es-NI"/>
              </w:rPr>
              <w:t>EA</w:t>
            </w:r>
          </w:p>
          <w:p w:rsidR="009F3769" w:rsidRPr="002F671E" w:rsidRDefault="009F3769" w:rsidP="00005120">
            <w:pPr>
              <w:rPr>
                <w:sz w:val="22"/>
                <w:szCs w:val="22"/>
                <w:lang w:val="es-NI"/>
              </w:rPr>
            </w:pPr>
            <w:r w:rsidRPr="00085452">
              <w:rPr>
                <w:sz w:val="22"/>
                <w:szCs w:val="22"/>
                <w:lang w:val="es-NI"/>
              </w:rPr>
              <w:t>ES</w:t>
            </w:r>
          </w:p>
          <w:p w:rsidR="009F3769" w:rsidRPr="002F671E" w:rsidRDefault="009F3769" w:rsidP="00005120">
            <w:pPr>
              <w:rPr>
                <w:sz w:val="22"/>
                <w:szCs w:val="22"/>
                <w:lang w:val="es-ES"/>
              </w:rPr>
            </w:pPr>
            <w:r>
              <w:rPr>
                <w:sz w:val="22"/>
                <w:szCs w:val="22"/>
                <w:lang w:val="es-ES"/>
              </w:rPr>
              <w:t>GPS</w:t>
            </w:r>
          </w:p>
          <w:p w:rsidR="009F3769" w:rsidRPr="002F671E" w:rsidRDefault="009F3769" w:rsidP="00005120">
            <w:pPr>
              <w:rPr>
                <w:sz w:val="22"/>
                <w:szCs w:val="22"/>
                <w:lang w:val="es-NI"/>
              </w:rPr>
            </w:pPr>
            <w:r>
              <w:rPr>
                <w:sz w:val="22"/>
                <w:szCs w:val="22"/>
                <w:lang w:val="es-NI"/>
              </w:rPr>
              <w:t>GRD</w:t>
            </w:r>
          </w:p>
          <w:p w:rsidR="009F3769" w:rsidRPr="002F671E" w:rsidRDefault="009F3769" w:rsidP="00005120">
            <w:pPr>
              <w:rPr>
                <w:sz w:val="22"/>
                <w:szCs w:val="22"/>
                <w:lang w:val="es-NI"/>
              </w:rPr>
            </w:pPr>
            <w:r>
              <w:rPr>
                <w:sz w:val="22"/>
                <w:szCs w:val="22"/>
                <w:lang w:val="es-NI"/>
              </w:rPr>
              <w:t>FAO</w:t>
            </w:r>
          </w:p>
          <w:p w:rsidR="009F3769" w:rsidRPr="002F671E" w:rsidRDefault="009F3769" w:rsidP="00F2612F">
            <w:pPr>
              <w:rPr>
                <w:sz w:val="22"/>
                <w:szCs w:val="22"/>
              </w:rPr>
            </w:pPr>
            <w:r>
              <w:rPr>
                <w:sz w:val="22"/>
                <w:szCs w:val="22"/>
                <w:lang w:val="es-ES"/>
              </w:rPr>
              <w:t>FND</w:t>
            </w:r>
          </w:p>
        </w:tc>
        <w:tc>
          <w:tcPr>
            <w:tcW w:w="8118" w:type="dxa"/>
          </w:tcPr>
          <w:p w:rsidR="009F3769" w:rsidRPr="002F671E" w:rsidRDefault="009F3769" w:rsidP="00005120">
            <w:pPr>
              <w:rPr>
                <w:sz w:val="22"/>
                <w:szCs w:val="22"/>
                <w:lang w:val="es-ES"/>
              </w:rPr>
            </w:pPr>
            <w:r>
              <w:rPr>
                <w:sz w:val="22"/>
                <w:szCs w:val="22"/>
                <w:lang w:val="es-ES"/>
              </w:rPr>
              <w:t>Estudio Ambiental</w:t>
            </w:r>
          </w:p>
          <w:p w:rsidR="009F3769" w:rsidRPr="002F671E" w:rsidRDefault="009F3769" w:rsidP="00005120">
            <w:pPr>
              <w:rPr>
                <w:sz w:val="22"/>
                <w:szCs w:val="22"/>
                <w:lang w:val="es-ES"/>
              </w:rPr>
            </w:pPr>
            <w:r w:rsidRPr="00085452">
              <w:rPr>
                <w:sz w:val="22"/>
                <w:szCs w:val="22"/>
                <w:lang w:val="es-ES"/>
              </w:rPr>
              <w:t>Estudio Social</w:t>
            </w:r>
          </w:p>
          <w:p w:rsidR="009F3769" w:rsidRPr="002F671E" w:rsidRDefault="009F3769" w:rsidP="00005120">
            <w:pPr>
              <w:rPr>
                <w:sz w:val="22"/>
                <w:szCs w:val="22"/>
                <w:lang w:val="es-ES"/>
              </w:rPr>
            </w:pPr>
            <w:r>
              <w:rPr>
                <w:sz w:val="22"/>
                <w:szCs w:val="22"/>
                <w:lang w:val="es-ES"/>
              </w:rPr>
              <w:t>Sistema de Posicionamiento Global</w:t>
            </w:r>
          </w:p>
          <w:p w:rsidR="009F3769" w:rsidRPr="002F671E" w:rsidRDefault="009F3769" w:rsidP="00005120">
            <w:pPr>
              <w:rPr>
                <w:sz w:val="22"/>
                <w:szCs w:val="22"/>
                <w:lang w:val="es-ES"/>
              </w:rPr>
            </w:pPr>
            <w:r>
              <w:rPr>
                <w:sz w:val="22"/>
                <w:szCs w:val="22"/>
                <w:lang w:val="es-ES"/>
              </w:rPr>
              <w:t>Gestión de Riesgos de Desastres</w:t>
            </w:r>
          </w:p>
          <w:p w:rsidR="009F3769" w:rsidRPr="002F671E" w:rsidRDefault="009F3769" w:rsidP="00005120">
            <w:pPr>
              <w:rPr>
                <w:sz w:val="22"/>
                <w:szCs w:val="22"/>
                <w:lang w:val="es-ES"/>
              </w:rPr>
            </w:pPr>
            <w:r>
              <w:rPr>
                <w:sz w:val="22"/>
                <w:szCs w:val="22"/>
                <w:lang w:val="es-ES"/>
              </w:rPr>
              <w:t>Organización de las Naciones Unidas para la Alimentación y la Agricultura</w:t>
            </w:r>
          </w:p>
          <w:p w:rsidR="009F3769" w:rsidRPr="002F671E" w:rsidRDefault="009F3769" w:rsidP="00F2612F">
            <w:pPr>
              <w:rPr>
                <w:sz w:val="22"/>
                <w:szCs w:val="22"/>
                <w:lang w:val="es-ES"/>
              </w:rPr>
            </w:pPr>
            <w:r>
              <w:rPr>
                <w:sz w:val="22"/>
                <w:szCs w:val="22"/>
                <w:lang w:val="es-ES"/>
              </w:rPr>
              <w:t>Fondo Nórdico para el Desarrollo</w:t>
            </w:r>
          </w:p>
        </w:tc>
      </w:tr>
      <w:tr w:rsidR="009F3769" w:rsidRPr="002F671E" w:rsidTr="00085452">
        <w:tc>
          <w:tcPr>
            <w:tcW w:w="1458" w:type="dxa"/>
          </w:tcPr>
          <w:p w:rsidR="009F3769" w:rsidRPr="002F671E" w:rsidRDefault="009F3769" w:rsidP="00F2612F">
            <w:pPr>
              <w:rPr>
                <w:sz w:val="22"/>
                <w:szCs w:val="22"/>
                <w:lang w:val="es-NI"/>
              </w:rPr>
            </w:pPr>
            <w:r>
              <w:rPr>
                <w:sz w:val="22"/>
                <w:szCs w:val="22"/>
                <w:lang w:val="es-ES"/>
              </w:rPr>
              <w:t>IFR</w:t>
            </w:r>
          </w:p>
        </w:tc>
        <w:tc>
          <w:tcPr>
            <w:tcW w:w="8118" w:type="dxa"/>
          </w:tcPr>
          <w:p w:rsidR="009F3769" w:rsidRPr="002F671E" w:rsidRDefault="009F3769" w:rsidP="00F2612F">
            <w:pPr>
              <w:rPr>
                <w:sz w:val="22"/>
                <w:szCs w:val="22"/>
                <w:lang w:val="es-ES"/>
              </w:rPr>
            </w:pPr>
            <w:r>
              <w:rPr>
                <w:sz w:val="22"/>
                <w:szCs w:val="22"/>
                <w:lang w:val="es-ES"/>
              </w:rPr>
              <w:t xml:space="preserve">Informe Financiero Intermedio </w:t>
            </w:r>
          </w:p>
        </w:tc>
      </w:tr>
      <w:tr w:rsidR="009F3769" w:rsidRPr="009F3769" w:rsidTr="00085452">
        <w:tc>
          <w:tcPr>
            <w:tcW w:w="1458" w:type="dxa"/>
          </w:tcPr>
          <w:p w:rsidR="009F3769" w:rsidRPr="002F671E" w:rsidRDefault="009F3769" w:rsidP="00F2612F">
            <w:pPr>
              <w:rPr>
                <w:sz w:val="22"/>
                <w:szCs w:val="22"/>
              </w:rPr>
            </w:pPr>
            <w:r>
              <w:rPr>
                <w:sz w:val="22"/>
                <w:szCs w:val="22"/>
                <w:lang w:val="es-ES"/>
              </w:rPr>
              <w:t>INIFOM</w:t>
            </w:r>
          </w:p>
        </w:tc>
        <w:tc>
          <w:tcPr>
            <w:tcW w:w="8118" w:type="dxa"/>
          </w:tcPr>
          <w:p w:rsidR="009F3769" w:rsidRPr="002F671E" w:rsidRDefault="009F3769" w:rsidP="00F2612F">
            <w:pPr>
              <w:rPr>
                <w:sz w:val="22"/>
                <w:szCs w:val="22"/>
                <w:lang w:val="es-ES"/>
              </w:rPr>
            </w:pPr>
            <w:r>
              <w:rPr>
                <w:sz w:val="22"/>
                <w:szCs w:val="22"/>
                <w:lang w:val="pt-BR"/>
              </w:rPr>
              <w:t xml:space="preserve">Instituto Nicaragüense de Fomento Municipal </w:t>
            </w:r>
          </w:p>
        </w:tc>
      </w:tr>
      <w:tr w:rsidR="009F3769" w:rsidRPr="009F3769" w:rsidTr="00085452">
        <w:tc>
          <w:tcPr>
            <w:tcW w:w="1458" w:type="dxa"/>
          </w:tcPr>
          <w:p w:rsidR="009F3769" w:rsidRPr="002F671E" w:rsidRDefault="009F3769" w:rsidP="00F2612F">
            <w:pPr>
              <w:rPr>
                <w:sz w:val="22"/>
                <w:szCs w:val="22"/>
              </w:rPr>
            </w:pPr>
            <w:r>
              <w:rPr>
                <w:sz w:val="22"/>
                <w:szCs w:val="22"/>
                <w:lang w:val="es-ES"/>
              </w:rPr>
              <w:t>INETER</w:t>
            </w:r>
          </w:p>
        </w:tc>
        <w:tc>
          <w:tcPr>
            <w:tcW w:w="8118" w:type="dxa"/>
          </w:tcPr>
          <w:p w:rsidR="009F3769" w:rsidRPr="002F671E" w:rsidRDefault="009F3769" w:rsidP="00F2612F">
            <w:pPr>
              <w:rPr>
                <w:sz w:val="22"/>
                <w:szCs w:val="22"/>
                <w:lang w:val="es-ES"/>
              </w:rPr>
            </w:pPr>
            <w:r>
              <w:rPr>
                <w:sz w:val="22"/>
                <w:szCs w:val="22"/>
                <w:lang w:val="es-ES"/>
              </w:rPr>
              <w:t xml:space="preserve">Instituto Nicaragüense de Estudios Territoriales </w:t>
            </w:r>
          </w:p>
        </w:tc>
      </w:tr>
      <w:tr w:rsidR="009F3769" w:rsidRPr="009F3769" w:rsidTr="00085452">
        <w:tc>
          <w:tcPr>
            <w:tcW w:w="1458" w:type="dxa"/>
          </w:tcPr>
          <w:p w:rsidR="009F3769" w:rsidRPr="002F671E" w:rsidRDefault="009F3769" w:rsidP="00F2612F">
            <w:pPr>
              <w:rPr>
                <w:sz w:val="22"/>
                <w:szCs w:val="22"/>
              </w:rPr>
            </w:pPr>
            <w:r>
              <w:rPr>
                <w:sz w:val="22"/>
                <w:szCs w:val="22"/>
                <w:lang w:val="es-ES"/>
              </w:rPr>
              <w:t>INIDE</w:t>
            </w:r>
          </w:p>
        </w:tc>
        <w:tc>
          <w:tcPr>
            <w:tcW w:w="8118" w:type="dxa"/>
          </w:tcPr>
          <w:p w:rsidR="009F3769" w:rsidRPr="002F671E" w:rsidRDefault="009F3769" w:rsidP="00F2612F">
            <w:pPr>
              <w:rPr>
                <w:sz w:val="22"/>
                <w:szCs w:val="22"/>
                <w:lang w:val="es-ES"/>
              </w:rPr>
            </w:pPr>
            <w:r>
              <w:rPr>
                <w:sz w:val="22"/>
                <w:szCs w:val="22"/>
                <w:lang w:val="es-ES"/>
              </w:rPr>
              <w:t>Instituto Nacional de Información de Desarrollo</w:t>
            </w:r>
          </w:p>
        </w:tc>
      </w:tr>
      <w:tr w:rsidR="009F3769" w:rsidRPr="002F671E" w:rsidTr="00085452">
        <w:tc>
          <w:tcPr>
            <w:tcW w:w="1458" w:type="dxa"/>
          </w:tcPr>
          <w:p w:rsidR="009F3769" w:rsidRPr="002F671E" w:rsidRDefault="009F3769" w:rsidP="00005120">
            <w:pPr>
              <w:rPr>
                <w:sz w:val="22"/>
                <w:szCs w:val="22"/>
                <w:lang w:val="es-ES"/>
              </w:rPr>
            </w:pPr>
            <w:r>
              <w:rPr>
                <w:sz w:val="22"/>
                <w:szCs w:val="22"/>
                <w:lang w:val="es-ES"/>
              </w:rPr>
              <w:t>IP</w:t>
            </w:r>
          </w:p>
          <w:p w:rsidR="009F3769" w:rsidRPr="002F671E" w:rsidRDefault="009F3769" w:rsidP="00005120">
            <w:pPr>
              <w:rPr>
                <w:sz w:val="22"/>
                <w:szCs w:val="22"/>
                <w:lang w:val="es-ES"/>
              </w:rPr>
            </w:pPr>
            <w:r w:rsidRPr="00085452">
              <w:rPr>
                <w:sz w:val="22"/>
                <w:szCs w:val="22"/>
                <w:lang w:val="es-ES"/>
              </w:rPr>
              <w:t>LPI</w:t>
            </w:r>
          </w:p>
          <w:p w:rsidR="009F3769" w:rsidRPr="002F671E" w:rsidRDefault="009F3769" w:rsidP="00F2612F">
            <w:pPr>
              <w:rPr>
                <w:sz w:val="22"/>
                <w:szCs w:val="22"/>
                <w:lang w:val="es-NI"/>
              </w:rPr>
            </w:pPr>
            <w:r w:rsidRPr="00085452">
              <w:rPr>
                <w:sz w:val="22"/>
                <w:szCs w:val="22"/>
                <w:lang w:val="es-ES"/>
              </w:rPr>
              <w:t>LPN</w:t>
            </w:r>
          </w:p>
        </w:tc>
        <w:tc>
          <w:tcPr>
            <w:tcW w:w="8118" w:type="dxa"/>
          </w:tcPr>
          <w:p w:rsidR="009F3769" w:rsidRPr="002F671E" w:rsidRDefault="009F3769" w:rsidP="00005120">
            <w:pPr>
              <w:rPr>
                <w:sz w:val="22"/>
                <w:szCs w:val="22"/>
                <w:lang w:val="es-ES"/>
              </w:rPr>
            </w:pPr>
            <w:r>
              <w:rPr>
                <w:sz w:val="22"/>
                <w:szCs w:val="22"/>
                <w:lang w:val="es-ES"/>
              </w:rPr>
              <w:t xml:space="preserve">Intendencia de la Propiedad </w:t>
            </w:r>
          </w:p>
          <w:p w:rsidR="009F3769" w:rsidRPr="00085452" w:rsidRDefault="009F3769" w:rsidP="00005120">
            <w:pPr>
              <w:rPr>
                <w:sz w:val="22"/>
                <w:szCs w:val="22"/>
                <w:lang w:val="es-ES"/>
              </w:rPr>
            </w:pPr>
            <w:r w:rsidRPr="00085452">
              <w:rPr>
                <w:sz w:val="22"/>
                <w:szCs w:val="22"/>
                <w:lang w:val="es-ES"/>
              </w:rPr>
              <w:t xml:space="preserve">Licitación Pública International </w:t>
            </w:r>
          </w:p>
          <w:p w:rsidR="009F3769" w:rsidRPr="002F671E" w:rsidRDefault="009F3769" w:rsidP="00F2612F">
            <w:pPr>
              <w:rPr>
                <w:sz w:val="22"/>
                <w:szCs w:val="22"/>
                <w:lang w:val="es-ES"/>
              </w:rPr>
            </w:pPr>
            <w:r w:rsidRPr="00085452">
              <w:rPr>
                <w:sz w:val="22"/>
                <w:szCs w:val="22"/>
                <w:lang w:val="es-ES"/>
              </w:rPr>
              <w:t>Licitación Pública Nacional</w:t>
            </w:r>
          </w:p>
        </w:tc>
      </w:tr>
      <w:tr w:rsidR="009F3769" w:rsidRPr="002F671E" w:rsidTr="00085452">
        <w:tc>
          <w:tcPr>
            <w:tcW w:w="1458" w:type="dxa"/>
          </w:tcPr>
          <w:p w:rsidR="009F3769" w:rsidRPr="002F671E" w:rsidRDefault="009F3769" w:rsidP="00F2612F">
            <w:pPr>
              <w:rPr>
                <w:sz w:val="22"/>
                <w:szCs w:val="22"/>
                <w:lang w:val="es-ES"/>
              </w:rPr>
            </w:pPr>
            <w:r>
              <w:rPr>
                <w:sz w:val="22"/>
                <w:szCs w:val="22"/>
                <w:lang w:val="es-ES"/>
              </w:rPr>
              <w:t>MRI</w:t>
            </w:r>
          </w:p>
        </w:tc>
        <w:tc>
          <w:tcPr>
            <w:tcW w:w="8118" w:type="dxa"/>
          </w:tcPr>
          <w:p w:rsidR="009F3769" w:rsidRPr="002F671E" w:rsidRDefault="009F3769" w:rsidP="00867ACB">
            <w:pPr>
              <w:rPr>
                <w:sz w:val="22"/>
                <w:szCs w:val="22"/>
                <w:lang w:val="es-ES"/>
              </w:rPr>
            </w:pPr>
            <w:r>
              <w:rPr>
                <w:sz w:val="22"/>
                <w:szCs w:val="22"/>
                <w:lang w:val="es-ES"/>
              </w:rPr>
              <w:t xml:space="preserve">Mecanismo de Respuesta Inmediata </w:t>
            </w:r>
          </w:p>
        </w:tc>
      </w:tr>
      <w:tr w:rsidR="009F3769" w:rsidRPr="002F671E" w:rsidTr="00085452">
        <w:tc>
          <w:tcPr>
            <w:tcW w:w="1458" w:type="dxa"/>
          </w:tcPr>
          <w:p w:rsidR="009F3769" w:rsidRPr="002F671E" w:rsidRDefault="009F3769" w:rsidP="00F2612F">
            <w:pPr>
              <w:rPr>
                <w:sz w:val="22"/>
                <w:szCs w:val="22"/>
                <w:lang w:val="es-ES"/>
              </w:rPr>
            </w:pPr>
            <w:r>
              <w:rPr>
                <w:sz w:val="22"/>
                <w:szCs w:val="22"/>
                <w:lang w:val="es-ES"/>
              </w:rPr>
              <w:t>MAGFOR</w:t>
            </w:r>
          </w:p>
        </w:tc>
        <w:tc>
          <w:tcPr>
            <w:tcW w:w="8118" w:type="dxa"/>
          </w:tcPr>
          <w:p w:rsidR="009F3769" w:rsidRPr="002F671E" w:rsidRDefault="009F3769" w:rsidP="00F2612F">
            <w:pPr>
              <w:rPr>
                <w:sz w:val="22"/>
                <w:szCs w:val="22"/>
                <w:lang w:val="es-ES"/>
              </w:rPr>
            </w:pPr>
            <w:r>
              <w:rPr>
                <w:sz w:val="22"/>
                <w:szCs w:val="22"/>
                <w:lang w:val="es-ES"/>
              </w:rPr>
              <w:t xml:space="preserve">Ministerio Agropecuario y Forestal </w:t>
            </w:r>
          </w:p>
        </w:tc>
      </w:tr>
      <w:tr w:rsidR="009F3769" w:rsidRPr="009F3769" w:rsidTr="00085452">
        <w:tc>
          <w:tcPr>
            <w:tcW w:w="1458" w:type="dxa"/>
          </w:tcPr>
          <w:p w:rsidR="009F3769" w:rsidRPr="002F671E" w:rsidRDefault="009F3769" w:rsidP="00F2612F">
            <w:pPr>
              <w:rPr>
                <w:sz w:val="22"/>
                <w:szCs w:val="22"/>
                <w:lang w:val="es-ES"/>
              </w:rPr>
            </w:pPr>
            <w:r>
              <w:rPr>
                <w:sz w:val="22"/>
                <w:szCs w:val="22"/>
                <w:lang w:val="es-ES"/>
              </w:rPr>
              <w:t>MARENA</w:t>
            </w:r>
          </w:p>
        </w:tc>
        <w:tc>
          <w:tcPr>
            <w:tcW w:w="8118" w:type="dxa"/>
          </w:tcPr>
          <w:p w:rsidR="009F3769" w:rsidRPr="002F671E" w:rsidRDefault="009F3769" w:rsidP="00867ACB">
            <w:pPr>
              <w:rPr>
                <w:sz w:val="22"/>
                <w:szCs w:val="22"/>
                <w:lang w:val="es-ES"/>
              </w:rPr>
            </w:pPr>
            <w:r>
              <w:rPr>
                <w:sz w:val="22"/>
                <w:szCs w:val="22"/>
                <w:lang w:val="es-ES"/>
              </w:rPr>
              <w:t xml:space="preserve">Ministerio del Ambiente y Recursos Naturales </w:t>
            </w:r>
          </w:p>
        </w:tc>
      </w:tr>
      <w:tr w:rsidR="009F3769" w:rsidRPr="002F671E" w:rsidTr="00085452">
        <w:tc>
          <w:tcPr>
            <w:tcW w:w="1458" w:type="dxa"/>
          </w:tcPr>
          <w:p w:rsidR="009F3769" w:rsidRPr="002F671E" w:rsidRDefault="009F3769" w:rsidP="00F2612F">
            <w:pPr>
              <w:rPr>
                <w:sz w:val="22"/>
                <w:szCs w:val="22"/>
                <w:lang w:val="es-ES"/>
              </w:rPr>
            </w:pPr>
            <w:r>
              <w:rPr>
                <w:sz w:val="22"/>
                <w:szCs w:val="22"/>
                <w:lang w:val="es-ES"/>
              </w:rPr>
              <w:t>M&amp;E</w:t>
            </w:r>
          </w:p>
        </w:tc>
        <w:tc>
          <w:tcPr>
            <w:tcW w:w="8118" w:type="dxa"/>
          </w:tcPr>
          <w:p w:rsidR="009F3769" w:rsidRPr="002F671E" w:rsidRDefault="009F3769" w:rsidP="0075348E">
            <w:pPr>
              <w:rPr>
                <w:sz w:val="22"/>
                <w:szCs w:val="22"/>
                <w:lang w:val="pt-BR"/>
              </w:rPr>
            </w:pPr>
            <w:r>
              <w:rPr>
                <w:sz w:val="22"/>
                <w:szCs w:val="22"/>
                <w:lang w:val="es-ES"/>
              </w:rPr>
              <w:t xml:space="preserve">Monitoreo y Evaluación </w:t>
            </w:r>
          </w:p>
        </w:tc>
      </w:tr>
      <w:tr w:rsidR="009F3769" w:rsidRPr="009F3769" w:rsidTr="00085452">
        <w:tc>
          <w:tcPr>
            <w:tcW w:w="1458" w:type="dxa"/>
          </w:tcPr>
          <w:p w:rsidR="009F3769" w:rsidRPr="002F671E" w:rsidRDefault="009F3769" w:rsidP="00F2612F">
            <w:pPr>
              <w:rPr>
                <w:sz w:val="22"/>
                <w:szCs w:val="22"/>
                <w:lang w:val="es-ES"/>
              </w:rPr>
            </w:pPr>
            <w:r>
              <w:rPr>
                <w:sz w:val="22"/>
                <w:szCs w:val="22"/>
                <w:lang w:val="es-ES"/>
              </w:rPr>
              <w:t>MHCP</w:t>
            </w:r>
          </w:p>
        </w:tc>
        <w:tc>
          <w:tcPr>
            <w:tcW w:w="8118" w:type="dxa"/>
          </w:tcPr>
          <w:p w:rsidR="009F3769" w:rsidRPr="002F671E" w:rsidRDefault="009F3769" w:rsidP="00F2612F">
            <w:pPr>
              <w:rPr>
                <w:sz w:val="22"/>
                <w:szCs w:val="22"/>
                <w:lang w:val="es-ES"/>
              </w:rPr>
            </w:pPr>
            <w:r>
              <w:rPr>
                <w:sz w:val="22"/>
                <w:szCs w:val="22"/>
                <w:lang w:val="es-ES"/>
              </w:rPr>
              <w:t>Ministerio de Hacienda y Crédito Público</w:t>
            </w:r>
          </w:p>
        </w:tc>
      </w:tr>
      <w:tr w:rsidR="009F3769" w:rsidRPr="002F671E" w:rsidTr="00085452">
        <w:tc>
          <w:tcPr>
            <w:tcW w:w="1458" w:type="dxa"/>
          </w:tcPr>
          <w:p w:rsidR="009F3769" w:rsidRPr="002F671E" w:rsidRDefault="009F3769" w:rsidP="00F2612F">
            <w:pPr>
              <w:rPr>
                <w:sz w:val="22"/>
                <w:szCs w:val="22"/>
                <w:lang w:val="es-ES"/>
              </w:rPr>
            </w:pPr>
            <w:r>
              <w:rPr>
                <w:sz w:val="22"/>
                <w:szCs w:val="22"/>
                <w:lang w:val="es-ES"/>
              </w:rPr>
              <w:t>MITK</w:t>
            </w:r>
          </w:p>
        </w:tc>
        <w:tc>
          <w:tcPr>
            <w:tcW w:w="8118" w:type="dxa"/>
          </w:tcPr>
          <w:p w:rsidR="009F3769" w:rsidRPr="002F671E" w:rsidRDefault="009F3769" w:rsidP="0075348E">
            <w:pPr>
              <w:rPr>
                <w:sz w:val="22"/>
                <w:szCs w:val="22"/>
                <w:lang w:val="es-ES"/>
              </w:rPr>
            </w:pPr>
            <w:r>
              <w:rPr>
                <w:sz w:val="22"/>
                <w:szCs w:val="22"/>
                <w:lang w:val="es-ES"/>
              </w:rPr>
              <w:t>Miskitu Indian Tasbaika Kum</w:t>
            </w:r>
          </w:p>
        </w:tc>
      </w:tr>
      <w:tr w:rsidR="009F3769" w:rsidRPr="002F671E" w:rsidTr="00085452">
        <w:tc>
          <w:tcPr>
            <w:tcW w:w="1458" w:type="dxa"/>
          </w:tcPr>
          <w:p w:rsidR="009F3769" w:rsidRPr="002F671E" w:rsidRDefault="009F3769" w:rsidP="00005120">
            <w:pPr>
              <w:rPr>
                <w:sz w:val="22"/>
                <w:szCs w:val="22"/>
                <w:lang w:val="es-ES"/>
              </w:rPr>
            </w:pPr>
            <w:r>
              <w:rPr>
                <w:sz w:val="22"/>
                <w:szCs w:val="22"/>
                <w:lang w:val="es-ES"/>
              </w:rPr>
              <w:t>MSBU</w:t>
            </w:r>
          </w:p>
          <w:p w:rsidR="009F3769" w:rsidRPr="002F671E" w:rsidRDefault="009F3769" w:rsidP="00F2612F">
            <w:pPr>
              <w:rPr>
                <w:sz w:val="22"/>
                <w:szCs w:val="22"/>
                <w:lang w:val="es-ES"/>
              </w:rPr>
            </w:pPr>
            <w:r>
              <w:rPr>
                <w:sz w:val="22"/>
                <w:szCs w:val="22"/>
                <w:lang w:val="es-ES"/>
              </w:rPr>
              <w:t>ODP</w:t>
            </w:r>
          </w:p>
        </w:tc>
        <w:tc>
          <w:tcPr>
            <w:tcW w:w="8118" w:type="dxa"/>
          </w:tcPr>
          <w:p w:rsidR="009F3769" w:rsidRPr="002F671E" w:rsidRDefault="009F3769" w:rsidP="00005120">
            <w:pPr>
              <w:rPr>
                <w:sz w:val="22"/>
                <w:szCs w:val="22"/>
                <w:lang w:val="es-ES"/>
              </w:rPr>
            </w:pPr>
            <w:r>
              <w:rPr>
                <w:sz w:val="22"/>
                <w:szCs w:val="22"/>
                <w:lang w:val="es-ES"/>
              </w:rPr>
              <w:t>Mayanga Sauni Bu</w:t>
            </w:r>
          </w:p>
          <w:p w:rsidR="009F3769" w:rsidRPr="002F671E" w:rsidRDefault="009F3769" w:rsidP="0075348E">
            <w:pPr>
              <w:rPr>
                <w:sz w:val="22"/>
                <w:szCs w:val="22"/>
                <w:lang w:val="es-ES"/>
              </w:rPr>
            </w:pPr>
            <w:r>
              <w:rPr>
                <w:sz w:val="22"/>
                <w:szCs w:val="22"/>
                <w:lang w:val="es-ES"/>
              </w:rPr>
              <w:t>Objetivo de Desarrollo del Proyecto</w:t>
            </w:r>
          </w:p>
        </w:tc>
      </w:tr>
      <w:tr w:rsidR="009F3769" w:rsidRPr="002F671E" w:rsidTr="00085452">
        <w:tc>
          <w:tcPr>
            <w:tcW w:w="1458" w:type="dxa"/>
          </w:tcPr>
          <w:p w:rsidR="009F3769" w:rsidRPr="002F671E" w:rsidRDefault="009F3769" w:rsidP="00005120">
            <w:pPr>
              <w:rPr>
                <w:sz w:val="22"/>
                <w:szCs w:val="22"/>
                <w:lang w:val="es-ES"/>
              </w:rPr>
            </w:pPr>
            <w:r>
              <w:rPr>
                <w:sz w:val="22"/>
                <w:szCs w:val="22"/>
                <w:lang w:val="es-ES"/>
              </w:rPr>
              <w:t>PGA</w:t>
            </w:r>
          </w:p>
          <w:p w:rsidR="009F3769" w:rsidRPr="002F671E" w:rsidRDefault="009F3769" w:rsidP="00F2612F">
            <w:pPr>
              <w:rPr>
                <w:sz w:val="22"/>
                <w:szCs w:val="22"/>
                <w:lang w:val="es-ES"/>
              </w:rPr>
            </w:pPr>
            <w:r>
              <w:rPr>
                <w:sz w:val="22"/>
                <w:szCs w:val="22"/>
                <w:lang w:val="es-ES"/>
              </w:rPr>
              <w:t>PGR</w:t>
            </w:r>
          </w:p>
        </w:tc>
        <w:tc>
          <w:tcPr>
            <w:tcW w:w="8118" w:type="dxa"/>
          </w:tcPr>
          <w:p w:rsidR="009F3769" w:rsidRPr="002F671E" w:rsidRDefault="009F3769" w:rsidP="00005120">
            <w:pPr>
              <w:rPr>
                <w:sz w:val="22"/>
                <w:szCs w:val="22"/>
                <w:lang w:val="es-ES"/>
              </w:rPr>
            </w:pPr>
            <w:r>
              <w:rPr>
                <w:sz w:val="22"/>
                <w:szCs w:val="22"/>
                <w:lang w:val="es-ES"/>
              </w:rPr>
              <w:t>Plan de Gestión Ambiental</w:t>
            </w:r>
          </w:p>
          <w:p w:rsidR="009F3769" w:rsidRPr="002F671E" w:rsidRDefault="009F3769" w:rsidP="0075348E">
            <w:pPr>
              <w:rPr>
                <w:sz w:val="22"/>
                <w:szCs w:val="22"/>
                <w:lang w:val="es-ES"/>
              </w:rPr>
            </w:pPr>
            <w:r>
              <w:rPr>
                <w:sz w:val="22"/>
                <w:szCs w:val="22"/>
                <w:lang w:val="es-ES"/>
              </w:rPr>
              <w:t>Procuraduría General de la República</w:t>
            </w:r>
          </w:p>
        </w:tc>
      </w:tr>
      <w:tr w:rsidR="009F3769" w:rsidRPr="009F3769" w:rsidTr="00085452">
        <w:tc>
          <w:tcPr>
            <w:tcW w:w="1458" w:type="dxa"/>
          </w:tcPr>
          <w:p w:rsidR="009F3769" w:rsidRPr="002F671E" w:rsidRDefault="009F3769" w:rsidP="00F2612F">
            <w:pPr>
              <w:rPr>
                <w:sz w:val="22"/>
                <w:szCs w:val="22"/>
                <w:lang w:val="es-ES"/>
              </w:rPr>
            </w:pPr>
            <w:r>
              <w:rPr>
                <w:sz w:val="22"/>
                <w:szCs w:val="22"/>
                <w:lang w:val="fr-FR"/>
              </w:rPr>
              <w:t>PNDH</w:t>
            </w:r>
          </w:p>
        </w:tc>
        <w:tc>
          <w:tcPr>
            <w:tcW w:w="8118" w:type="dxa"/>
          </w:tcPr>
          <w:p w:rsidR="009F3769" w:rsidRPr="002F671E" w:rsidRDefault="009F3769" w:rsidP="0075348E">
            <w:pPr>
              <w:rPr>
                <w:sz w:val="22"/>
                <w:szCs w:val="22"/>
                <w:lang w:val="es-ES"/>
              </w:rPr>
            </w:pPr>
            <w:r>
              <w:rPr>
                <w:sz w:val="22"/>
                <w:szCs w:val="22"/>
                <w:lang w:val="es-ES"/>
              </w:rPr>
              <w:t xml:space="preserve">Plan Nacional de Desarrollo Humano </w:t>
            </w:r>
          </w:p>
        </w:tc>
      </w:tr>
      <w:tr w:rsidR="009F3769" w:rsidRPr="002F671E" w:rsidTr="00085452">
        <w:tc>
          <w:tcPr>
            <w:tcW w:w="1458" w:type="dxa"/>
          </w:tcPr>
          <w:p w:rsidR="009F3769" w:rsidRPr="002F671E" w:rsidRDefault="009F3769" w:rsidP="00005120">
            <w:pPr>
              <w:rPr>
                <w:sz w:val="22"/>
                <w:szCs w:val="22"/>
                <w:lang w:val="fr-FR"/>
              </w:rPr>
            </w:pPr>
            <w:r>
              <w:rPr>
                <w:sz w:val="22"/>
                <w:szCs w:val="22"/>
                <w:lang w:val="fr-FR"/>
              </w:rPr>
              <w:t>PPA</w:t>
            </w:r>
          </w:p>
          <w:p w:rsidR="009F3769" w:rsidRPr="002F671E" w:rsidRDefault="009F3769" w:rsidP="00F2612F">
            <w:pPr>
              <w:rPr>
                <w:sz w:val="22"/>
                <w:szCs w:val="22"/>
                <w:lang w:val="es-ES"/>
              </w:rPr>
            </w:pPr>
            <w:r>
              <w:rPr>
                <w:sz w:val="22"/>
                <w:szCs w:val="22"/>
                <w:lang w:val="es-ES"/>
              </w:rPr>
              <w:t>PPI</w:t>
            </w:r>
          </w:p>
        </w:tc>
        <w:tc>
          <w:tcPr>
            <w:tcW w:w="8118" w:type="dxa"/>
          </w:tcPr>
          <w:p w:rsidR="009F3769" w:rsidRPr="002F671E" w:rsidRDefault="009F3769" w:rsidP="00005120">
            <w:pPr>
              <w:rPr>
                <w:sz w:val="22"/>
                <w:szCs w:val="22"/>
                <w:lang w:val="es-ES"/>
              </w:rPr>
            </w:pPr>
            <w:r>
              <w:rPr>
                <w:sz w:val="22"/>
                <w:szCs w:val="22"/>
                <w:lang w:val="es-ES"/>
              </w:rPr>
              <w:t>Anticipo para Preparativos del Proyecto</w:t>
            </w:r>
          </w:p>
          <w:p w:rsidR="009F3769" w:rsidRPr="002F671E" w:rsidRDefault="009F3769" w:rsidP="0075348E">
            <w:pPr>
              <w:rPr>
                <w:sz w:val="22"/>
                <w:szCs w:val="22"/>
                <w:lang w:val="es-ES"/>
              </w:rPr>
            </w:pPr>
            <w:r>
              <w:rPr>
                <w:sz w:val="22"/>
                <w:szCs w:val="22"/>
                <w:lang w:val="es-ES"/>
              </w:rPr>
              <w:t xml:space="preserve">Plan para los Pueblos Indígenas </w:t>
            </w:r>
          </w:p>
        </w:tc>
      </w:tr>
    </w:tbl>
    <w:p w:rsidR="00720ABC" w:rsidRPr="002F671E" w:rsidRDefault="00720ABC" w:rsidP="00685022">
      <w:pPr>
        <w:rPr>
          <w:lang w:val="es-ES"/>
        </w:rPr>
      </w:pPr>
    </w:p>
    <w:p w:rsidR="00720ABC" w:rsidRPr="002F671E" w:rsidRDefault="00720ABC" w:rsidP="00685022">
      <w:pPr>
        <w:rPr>
          <w:lang w:val="es-E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8"/>
        <w:gridCol w:w="360"/>
        <w:gridCol w:w="4548"/>
      </w:tblGrid>
      <w:tr w:rsidR="00251650" w:rsidRPr="002F671E" w:rsidTr="00685022">
        <w:tc>
          <w:tcPr>
            <w:tcW w:w="4668" w:type="dxa"/>
          </w:tcPr>
          <w:p w:rsidR="00251650" w:rsidRPr="002F671E" w:rsidRDefault="00D47A34" w:rsidP="001E6507">
            <w:pPr>
              <w:autoSpaceDE w:val="0"/>
              <w:autoSpaceDN w:val="0"/>
              <w:adjustRightInd w:val="0"/>
              <w:jc w:val="right"/>
              <w:rPr>
                <w:color w:val="000000"/>
                <w:szCs w:val="22"/>
                <w:lang w:val="es-ES"/>
              </w:rPr>
            </w:pPr>
            <w:r>
              <w:rPr>
                <w:color w:val="000000"/>
                <w:szCs w:val="22"/>
                <w:lang w:val="es-ES"/>
              </w:rPr>
              <w:t>Vice Presidente Regional:</w:t>
            </w:r>
          </w:p>
        </w:tc>
        <w:tc>
          <w:tcPr>
            <w:tcW w:w="360" w:type="dxa"/>
          </w:tcPr>
          <w:p w:rsidR="00251650" w:rsidRPr="00085452" w:rsidRDefault="00251650" w:rsidP="001E6507">
            <w:pPr>
              <w:keepNext/>
              <w:numPr>
                <w:ilvl w:val="1"/>
                <w:numId w:val="0"/>
              </w:numPr>
              <w:autoSpaceDE w:val="0"/>
              <w:autoSpaceDN w:val="0"/>
              <w:adjustRightInd w:val="0"/>
              <w:spacing w:after="240"/>
              <w:outlineLvl w:val="1"/>
              <w:rPr>
                <w:color w:val="000000"/>
                <w:szCs w:val="22"/>
                <w:lang w:val="es-ES"/>
              </w:rPr>
            </w:pPr>
          </w:p>
        </w:tc>
        <w:tc>
          <w:tcPr>
            <w:tcW w:w="4548" w:type="dxa"/>
          </w:tcPr>
          <w:p w:rsidR="00251650" w:rsidRPr="002F671E" w:rsidRDefault="00D47A34" w:rsidP="001E6507">
            <w:pPr>
              <w:autoSpaceDE w:val="0"/>
              <w:autoSpaceDN w:val="0"/>
              <w:adjustRightInd w:val="0"/>
              <w:rPr>
                <w:color w:val="000000"/>
                <w:szCs w:val="22"/>
                <w:lang w:val="es-ES"/>
              </w:rPr>
            </w:pPr>
            <w:r>
              <w:rPr>
                <w:color w:val="000000"/>
                <w:szCs w:val="22"/>
                <w:lang w:val="es-ES"/>
              </w:rPr>
              <w:t>Hasan A. Tuluy</w:t>
            </w:r>
          </w:p>
        </w:tc>
      </w:tr>
      <w:tr w:rsidR="00251650" w:rsidRPr="002F671E" w:rsidTr="00685022">
        <w:tc>
          <w:tcPr>
            <w:tcW w:w="4668" w:type="dxa"/>
          </w:tcPr>
          <w:p w:rsidR="00251650" w:rsidRPr="002F671E" w:rsidRDefault="00D47A34" w:rsidP="001E6507">
            <w:pPr>
              <w:autoSpaceDE w:val="0"/>
              <w:autoSpaceDN w:val="0"/>
              <w:adjustRightInd w:val="0"/>
              <w:jc w:val="right"/>
              <w:rPr>
                <w:color w:val="000000"/>
                <w:szCs w:val="22"/>
                <w:lang w:val="es-ES"/>
              </w:rPr>
            </w:pPr>
            <w:r>
              <w:rPr>
                <w:color w:val="000000"/>
                <w:szCs w:val="22"/>
                <w:lang w:val="es-ES"/>
              </w:rPr>
              <w:t>Director de País:</w:t>
            </w:r>
          </w:p>
        </w:tc>
        <w:tc>
          <w:tcPr>
            <w:tcW w:w="360" w:type="dxa"/>
          </w:tcPr>
          <w:p w:rsidR="00251650" w:rsidRPr="002F671E" w:rsidRDefault="00251650" w:rsidP="001E6507">
            <w:pPr>
              <w:autoSpaceDE w:val="0"/>
              <w:autoSpaceDN w:val="0"/>
              <w:adjustRightInd w:val="0"/>
              <w:rPr>
                <w:color w:val="000000"/>
                <w:szCs w:val="22"/>
                <w:lang w:val="es-ES"/>
              </w:rPr>
            </w:pPr>
          </w:p>
        </w:tc>
        <w:tc>
          <w:tcPr>
            <w:tcW w:w="4548" w:type="dxa"/>
          </w:tcPr>
          <w:p w:rsidR="00251650" w:rsidRPr="002F671E" w:rsidRDefault="00D47A34" w:rsidP="001E6507">
            <w:pPr>
              <w:autoSpaceDE w:val="0"/>
              <w:autoSpaceDN w:val="0"/>
              <w:adjustRightInd w:val="0"/>
              <w:rPr>
                <w:color w:val="000000"/>
                <w:szCs w:val="22"/>
                <w:lang w:val="es-ES"/>
              </w:rPr>
            </w:pPr>
            <w:r>
              <w:rPr>
                <w:color w:val="000000"/>
                <w:szCs w:val="22"/>
                <w:lang w:val="es-ES"/>
              </w:rPr>
              <w:t>C. Felipe Jaramillo</w:t>
            </w:r>
          </w:p>
        </w:tc>
      </w:tr>
      <w:tr w:rsidR="00C04F57" w:rsidRPr="002F671E" w:rsidTr="00685022">
        <w:tc>
          <w:tcPr>
            <w:tcW w:w="4668" w:type="dxa"/>
          </w:tcPr>
          <w:p w:rsidR="00C04F57" w:rsidRPr="002F671E" w:rsidRDefault="00D47A34" w:rsidP="001E6507">
            <w:pPr>
              <w:autoSpaceDE w:val="0"/>
              <w:autoSpaceDN w:val="0"/>
              <w:adjustRightInd w:val="0"/>
              <w:jc w:val="right"/>
              <w:rPr>
                <w:color w:val="000000"/>
                <w:szCs w:val="22"/>
                <w:lang w:val="es-ES"/>
              </w:rPr>
            </w:pPr>
            <w:r>
              <w:rPr>
                <w:color w:val="000000"/>
                <w:szCs w:val="22"/>
                <w:lang w:val="es-ES"/>
              </w:rPr>
              <w:t>Director del Sector:</w:t>
            </w:r>
          </w:p>
        </w:tc>
        <w:tc>
          <w:tcPr>
            <w:tcW w:w="360" w:type="dxa"/>
          </w:tcPr>
          <w:p w:rsidR="00C04F57" w:rsidRPr="00085452" w:rsidRDefault="00C04F57" w:rsidP="001E6507">
            <w:pPr>
              <w:keepNext/>
              <w:numPr>
                <w:ilvl w:val="1"/>
                <w:numId w:val="0"/>
              </w:numPr>
              <w:autoSpaceDE w:val="0"/>
              <w:autoSpaceDN w:val="0"/>
              <w:adjustRightInd w:val="0"/>
              <w:spacing w:after="240"/>
              <w:outlineLvl w:val="1"/>
              <w:rPr>
                <w:color w:val="000000"/>
                <w:szCs w:val="22"/>
                <w:lang w:val="es-ES"/>
              </w:rPr>
            </w:pPr>
          </w:p>
        </w:tc>
        <w:tc>
          <w:tcPr>
            <w:tcW w:w="4548" w:type="dxa"/>
          </w:tcPr>
          <w:p w:rsidR="00C04F57" w:rsidRPr="002F671E" w:rsidRDefault="00D47A34" w:rsidP="001E6507">
            <w:pPr>
              <w:autoSpaceDE w:val="0"/>
              <w:autoSpaceDN w:val="0"/>
              <w:adjustRightInd w:val="0"/>
              <w:rPr>
                <w:color w:val="000000"/>
                <w:szCs w:val="22"/>
                <w:lang w:val="es-ES"/>
              </w:rPr>
            </w:pPr>
            <w:r>
              <w:rPr>
                <w:color w:val="000000"/>
                <w:szCs w:val="22"/>
                <w:lang w:val="es-ES"/>
              </w:rPr>
              <w:t>Ede J. Ijjasz-Vásquez</w:t>
            </w:r>
          </w:p>
        </w:tc>
      </w:tr>
      <w:tr w:rsidR="00C04F57" w:rsidRPr="002F671E" w:rsidTr="001E6507">
        <w:trPr>
          <w:trHeight w:val="80"/>
        </w:trPr>
        <w:tc>
          <w:tcPr>
            <w:tcW w:w="4668" w:type="dxa"/>
          </w:tcPr>
          <w:p w:rsidR="00C04F57" w:rsidRPr="002F671E" w:rsidRDefault="00D47A34" w:rsidP="001E6507">
            <w:pPr>
              <w:autoSpaceDE w:val="0"/>
              <w:autoSpaceDN w:val="0"/>
              <w:adjustRightInd w:val="0"/>
              <w:jc w:val="right"/>
              <w:rPr>
                <w:color w:val="000000"/>
                <w:szCs w:val="22"/>
                <w:lang w:val="es-ES"/>
              </w:rPr>
            </w:pPr>
            <w:r>
              <w:rPr>
                <w:color w:val="000000"/>
                <w:szCs w:val="22"/>
                <w:lang w:val="es-ES"/>
              </w:rPr>
              <w:t>Gerente del Sector:</w:t>
            </w:r>
          </w:p>
        </w:tc>
        <w:tc>
          <w:tcPr>
            <w:tcW w:w="360" w:type="dxa"/>
          </w:tcPr>
          <w:p w:rsidR="00C04F57" w:rsidRPr="00085452" w:rsidRDefault="00C04F57" w:rsidP="001E6507">
            <w:pPr>
              <w:keepNext/>
              <w:numPr>
                <w:ilvl w:val="1"/>
                <w:numId w:val="0"/>
              </w:numPr>
              <w:autoSpaceDE w:val="0"/>
              <w:autoSpaceDN w:val="0"/>
              <w:adjustRightInd w:val="0"/>
              <w:spacing w:after="240"/>
              <w:outlineLvl w:val="1"/>
              <w:rPr>
                <w:color w:val="000000"/>
                <w:szCs w:val="22"/>
                <w:lang w:val="es-ES"/>
              </w:rPr>
            </w:pPr>
          </w:p>
        </w:tc>
        <w:tc>
          <w:tcPr>
            <w:tcW w:w="4548" w:type="dxa"/>
          </w:tcPr>
          <w:p w:rsidR="00C04F57" w:rsidRPr="002F671E" w:rsidRDefault="00D47A34" w:rsidP="001E6507">
            <w:pPr>
              <w:autoSpaceDE w:val="0"/>
              <w:autoSpaceDN w:val="0"/>
              <w:adjustRightInd w:val="0"/>
              <w:rPr>
                <w:color w:val="000000"/>
                <w:szCs w:val="22"/>
                <w:lang w:val="es-ES"/>
              </w:rPr>
            </w:pPr>
            <w:r>
              <w:rPr>
                <w:color w:val="000000"/>
                <w:szCs w:val="22"/>
                <w:lang w:val="es-ES"/>
              </w:rPr>
              <w:t>Laurent Msellati</w:t>
            </w:r>
          </w:p>
        </w:tc>
      </w:tr>
      <w:tr w:rsidR="00C04F57" w:rsidRPr="002F671E" w:rsidTr="00685022">
        <w:tc>
          <w:tcPr>
            <w:tcW w:w="4668" w:type="dxa"/>
          </w:tcPr>
          <w:p w:rsidR="00C04F57" w:rsidRPr="002F671E" w:rsidRDefault="00D47A34" w:rsidP="001E6507">
            <w:pPr>
              <w:autoSpaceDE w:val="0"/>
              <w:autoSpaceDN w:val="0"/>
              <w:adjustRightInd w:val="0"/>
              <w:jc w:val="center"/>
              <w:rPr>
                <w:color w:val="000000"/>
                <w:szCs w:val="22"/>
                <w:lang w:val="es-ES"/>
              </w:rPr>
            </w:pPr>
            <w:r>
              <w:rPr>
                <w:color w:val="000000"/>
                <w:szCs w:val="22"/>
                <w:lang w:val="es-ES"/>
              </w:rPr>
              <w:t xml:space="preserve">                                   </w:t>
            </w:r>
            <w:r w:rsidR="001E6507">
              <w:rPr>
                <w:color w:val="000000"/>
                <w:szCs w:val="22"/>
                <w:lang w:val="es-ES"/>
              </w:rPr>
              <w:t xml:space="preserve">   </w:t>
            </w:r>
            <w:r>
              <w:rPr>
                <w:color w:val="000000"/>
                <w:szCs w:val="22"/>
                <w:lang w:val="es-ES"/>
              </w:rPr>
              <w:t xml:space="preserve"> Gerente de</w:t>
            </w:r>
            <w:r w:rsidR="001E6507">
              <w:rPr>
                <w:color w:val="000000"/>
                <w:szCs w:val="22"/>
                <w:lang w:val="es-ES"/>
              </w:rPr>
              <w:t>l</w:t>
            </w:r>
            <w:r>
              <w:rPr>
                <w:color w:val="000000"/>
                <w:szCs w:val="22"/>
                <w:lang w:val="es-ES"/>
              </w:rPr>
              <w:t xml:space="preserve"> Proyecto:</w:t>
            </w:r>
          </w:p>
        </w:tc>
        <w:tc>
          <w:tcPr>
            <w:tcW w:w="360" w:type="dxa"/>
          </w:tcPr>
          <w:p w:rsidR="00C04F57" w:rsidRPr="002F671E" w:rsidRDefault="00C04F57" w:rsidP="001E6507">
            <w:pPr>
              <w:autoSpaceDE w:val="0"/>
              <w:autoSpaceDN w:val="0"/>
              <w:adjustRightInd w:val="0"/>
              <w:rPr>
                <w:color w:val="000000"/>
                <w:szCs w:val="22"/>
                <w:lang w:val="es-ES"/>
              </w:rPr>
            </w:pPr>
          </w:p>
        </w:tc>
        <w:tc>
          <w:tcPr>
            <w:tcW w:w="4548" w:type="dxa"/>
          </w:tcPr>
          <w:p w:rsidR="00C04F57" w:rsidRPr="002F671E" w:rsidRDefault="00D47A34" w:rsidP="001E6507">
            <w:pPr>
              <w:autoSpaceDE w:val="0"/>
              <w:autoSpaceDN w:val="0"/>
              <w:adjustRightInd w:val="0"/>
              <w:rPr>
                <w:color w:val="000000"/>
                <w:szCs w:val="22"/>
                <w:lang w:val="es-ES"/>
              </w:rPr>
            </w:pPr>
            <w:r>
              <w:rPr>
                <w:color w:val="000000"/>
                <w:szCs w:val="22"/>
                <w:lang w:val="es-ES"/>
              </w:rPr>
              <w:t>Enrique Pantoja</w:t>
            </w:r>
          </w:p>
        </w:tc>
      </w:tr>
    </w:tbl>
    <w:p w:rsidR="008155D0" w:rsidRPr="002F671E" w:rsidRDefault="008155D0" w:rsidP="00685022">
      <w:pPr>
        <w:jc w:val="center"/>
        <w:rPr>
          <w:lang w:val="es-NI"/>
        </w:rPr>
      </w:pPr>
    </w:p>
    <w:p w:rsidR="001209FA" w:rsidRPr="002F671E" w:rsidRDefault="00D47A34" w:rsidP="00685022">
      <w:pPr>
        <w:rPr>
          <w:lang w:val="es-NI"/>
        </w:rPr>
      </w:pPr>
      <w:r>
        <w:rPr>
          <w:lang w:val="es-NI"/>
        </w:rPr>
        <w:br w:type="page"/>
      </w:r>
    </w:p>
    <w:p w:rsidR="008155D0" w:rsidRPr="002F671E" w:rsidRDefault="008155D0" w:rsidP="00685022">
      <w:pPr>
        <w:rPr>
          <w:lang w:val="es-ES"/>
        </w:rPr>
      </w:pPr>
    </w:p>
    <w:p w:rsidR="00251650" w:rsidRPr="002F671E" w:rsidRDefault="00D47A34" w:rsidP="00685022">
      <w:pPr>
        <w:jc w:val="center"/>
        <w:rPr>
          <w:b/>
          <w:bCs/>
          <w:caps/>
          <w:lang w:val="es-ES"/>
        </w:rPr>
      </w:pPr>
      <w:r>
        <w:rPr>
          <w:b/>
          <w:bCs/>
          <w:caps/>
          <w:lang w:val="es-ES"/>
        </w:rPr>
        <w:t>nicaragua</w:t>
      </w:r>
    </w:p>
    <w:p w:rsidR="00251650" w:rsidRPr="002F671E" w:rsidRDefault="00D47A34" w:rsidP="00685022">
      <w:pPr>
        <w:jc w:val="center"/>
        <w:rPr>
          <w:b/>
          <w:bCs/>
          <w:caps/>
          <w:lang w:val="es-ES"/>
        </w:rPr>
      </w:pPr>
      <w:r>
        <w:rPr>
          <w:b/>
          <w:bCs/>
          <w:lang w:val="es-ES"/>
        </w:rPr>
        <w:t>Segundo Proyecto de Ordenamiento de la Propiedad</w:t>
      </w:r>
    </w:p>
    <w:p w:rsidR="00251650" w:rsidRPr="002F671E" w:rsidRDefault="00251650" w:rsidP="00685022">
      <w:pPr>
        <w:jc w:val="center"/>
        <w:rPr>
          <w:lang w:val="es-ES"/>
        </w:rPr>
      </w:pPr>
    </w:p>
    <w:p w:rsidR="00251650" w:rsidRPr="002F671E" w:rsidRDefault="00D47A34" w:rsidP="00685022">
      <w:pPr>
        <w:jc w:val="center"/>
        <w:rPr>
          <w:b/>
          <w:bCs/>
          <w:caps/>
          <w:lang w:val="es-ES"/>
        </w:rPr>
      </w:pPr>
      <w:r>
        <w:rPr>
          <w:b/>
          <w:bCs/>
          <w:caps/>
          <w:lang w:val="es-ES"/>
        </w:rPr>
        <w:t>TABLA</w:t>
      </w:r>
      <w:r w:rsidR="00085452">
        <w:rPr>
          <w:b/>
          <w:bCs/>
          <w:caps/>
          <w:lang w:val="es-ES"/>
        </w:rPr>
        <w:t xml:space="preserve"> </w:t>
      </w:r>
      <w:r>
        <w:rPr>
          <w:b/>
          <w:bCs/>
          <w:caps/>
          <w:lang w:val="es-ES"/>
        </w:rPr>
        <w:t xml:space="preserve">DE ConteNIDO </w:t>
      </w:r>
    </w:p>
    <w:p w:rsidR="00251650" w:rsidRPr="002F671E" w:rsidRDefault="00251650" w:rsidP="00685022">
      <w:pPr>
        <w:jc w:val="center"/>
        <w:rPr>
          <w:lang w:val="es-ES"/>
        </w:rPr>
      </w:pPr>
    </w:p>
    <w:p w:rsidR="00251650" w:rsidRPr="002F671E" w:rsidRDefault="00D47A34" w:rsidP="00685022">
      <w:pPr>
        <w:jc w:val="right"/>
        <w:rPr>
          <w:b/>
          <w:bCs/>
          <w:lang w:val="es-ES"/>
        </w:rPr>
      </w:pPr>
      <w:r>
        <w:rPr>
          <w:b/>
          <w:bCs/>
          <w:lang w:val="es-ES"/>
        </w:rPr>
        <w:t>Página</w:t>
      </w:r>
    </w:p>
    <w:p w:rsidR="009555BC" w:rsidRPr="002F671E" w:rsidRDefault="00C46691">
      <w:pPr>
        <w:pStyle w:val="TOC1"/>
        <w:rPr>
          <w:rFonts w:asciiTheme="minorHAnsi" w:hAnsiTheme="minorHAnsi" w:cstheme="minorBidi"/>
          <w:lang w:val="pt-BR"/>
        </w:rPr>
      </w:pPr>
      <w:r w:rsidRPr="00085452">
        <w:rPr>
          <w:noProof w:val="0"/>
          <w:lang w:val="es-ES"/>
        </w:rPr>
        <w:fldChar w:fldCharType="begin"/>
      </w:r>
      <w:r w:rsidRPr="00085452">
        <w:rPr>
          <w:noProof w:val="0"/>
          <w:lang w:val="pt-BR"/>
        </w:rPr>
        <w:instrText xml:space="preserve"> TOC \t "Título 1,1,Título 2,2,Título 3,3" </w:instrText>
      </w:r>
      <w:r w:rsidRPr="00085452">
        <w:rPr>
          <w:noProof w:val="0"/>
          <w:lang w:val="es-ES"/>
        </w:rPr>
        <w:fldChar w:fldCharType="separate"/>
      </w:r>
      <w:r w:rsidRPr="00085452">
        <w:rPr>
          <w:lang w:val="pt-BR"/>
        </w:rPr>
        <w:t>I.</w:t>
      </w:r>
      <w:r w:rsidRPr="00085452">
        <w:rPr>
          <w:rFonts w:asciiTheme="minorHAnsi" w:hAnsiTheme="minorHAnsi" w:cstheme="minorBidi"/>
          <w:lang w:val="pt-BR"/>
        </w:rPr>
        <w:tab/>
      </w:r>
      <w:r w:rsidRPr="00085452">
        <w:rPr>
          <w:lang w:val="pt-BR"/>
        </w:rPr>
        <w:t>CONTEXTO ESTRATÉGICO</w:t>
      </w:r>
      <w:r w:rsidRPr="00085452">
        <w:rPr>
          <w:lang w:val="pt-BR"/>
        </w:rPr>
        <w:tab/>
      </w:r>
      <w:r w:rsidRPr="00085452">
        <w:fldChar w:fldCharType="begin"/>
      </w:r>
      <w:r w:rsidRPr="00085452">
        <w:rPr>
          <w:lang w:val="pt-BR"/>
        </w:rPr>
        <w:instrText xml:space="preserve"> PAGEREF _Toc357981059 \h </w:instrText>
      </w:r>
      <w:r w:rsidRPr="00085452">
        <w:fldChar w:fldCharType="separate"/>
      </w:r>
      <w:r w:rsidRPr="00085452">
        <w:rPr>
          <w:lang w:val="pt-BR"/>
        </w:rPr>
        <w:t>1</w:t>
      </w:r>
      <w:r w:rsidRPr="00085452">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pt-BR"/>
        </w:rPr>
      </w:pPr>
      <w:r w:rsidRPr="00085452">
        <w:rPr>
          <w:noProof/>
          <w:lang w:val="pt-BR"/>
        </w:rPr>
        <w:t>A.</w:t>
      </w:r>
      <w:r w:rsidR="00D47A34">
        <w:rPr>
          <w:rFonts w:asciiTheme="minorHAnsi" w:eastAsiaTheme="minorEastAsia" w:hAnsiTheme="minorHAnsi" w:cstheme="minorBidi"/>
          <w:iCs w:val="0"/>
          <w:noProof/>
          <w:sz w:val="22"/>
          <w:szCs w:val="22"/>
          <w:lang w:val="pt-BR"/>
        </w:rPr>
        <w:tab/>
      </w:r>
      <w:r w:rsidRPr="00085452">
        <w:rPr>
          <w:noProof/>
          <w:lang w:val="pt-BR"/>
        </w:rPr>
        <w:t>Contexto de País</w:t>
      </w:r>
      <w:r w:rsidRPr="00085452">
        <w:rPr>
          <w:noProof/>
          <w:lang w:val="pt-BR"/>
        </w:rPr>
        <w:tab/>
      </w:r>
      <w:r w:rsidRPr="00085452">
        <w:rPr>
          <w:noProof/>
        </w:rPr>
        <w:fldChar w:fldCharType="begin"/>
      </w:r>
      <w:r w:rsidRPr="00085452">
        <w:rPr>
          <w:noProof/>
          <w:lang w:val="pt-BR"/>
        </w:rPr>
        <w:instrText xml:space="preserve"> PAGEREF _Toc357981060 \h </w:instrText>
      </w:r>
      <w:r w:rsidRPr="00085452">
        <w:rPr>
          <w:noProof/>
        </w:rPr>
      </w:r>
      <w:r w:rsidRPr="00085452">
        <w:rPr>
          <w:noProof/>
        </w:rPr>
        <w:fldChar w:fldCharType="separate"/>
      </w:r>
      <w:r w:rsidRPr="00085452">
        <w:rPr>
          <w:noProof/>
          <w:lang w:val="pt-BR"/>
        </w:rPr>
        <w:t>1</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pt-BR"/>
        </w:rPr>
      </w:pPr>
      <w:r w:rsidRPr="00085452">
        <w:rPr>
          <w:noProof/>
          <w:lang w:val="pt-BR"/>
        </w:rPr>
        <w:t>B.</w:t>
      </w:r>
      <w:r w:rsidR="00D47A34">
        <w:rPr>
          <w:rFonts w:asciiTheme="minorHAnsi" w:eastAsiaTheme="minorEastAsia" w:hAnsiTheme="minorHAnsi" w:cstheme="minorBidi"/>
          <w:iCs w:val="0"/>
          <w:noProof/>
          <w:sz w:val="22"/>
          <w:szCs w:val="22"/>
          <w:lang w:val="pt-BR"/>
        </w:rPr>
        <w:tab/>
      </w:r>
      <w:r w:rsidRPr="00085452">
        <w:rPr>
          <w:noProof/>
          <w:lang w:val="pt-BR"/>
        </w:rPr>
        <w:t>Contexto Sectorial e Institucional</w:t>
      </w:r>
      <w:r w:rsidRPr="00085452">
        <w:rPr>
          <w:noProof/>
          <w:lang w:val="pt-BR"/>
        </w:rPr>
        <w:tab/>
      </w:r>
      <w:r w:rsidRPr="00085452">
        <w:rPr>
          <w:noProof/>
        </w:rPr>
        <w:fldChar w:fldCharType="begin"/>
      </w:r>
      <w:r w:rsidRPr="00085452">
        <w:rPr>
          <w:noProof/>
          <w:lang w:val="pt-BR"/>
        </w:rPr>
        <w:instrText xml:space="preserve"> PAGEREF _Toc357981061 \h </w:instrText>
      </w:r>
      <w:r w:rsidRPr="00085452">
        <w:rPr>
          <w:noProof/>
        </w:rPr>
      </w:r>
      <w:r w:rsidRPr="00085452">
        <w:rPr>
          <w:noProof/>
        </w:rPr>
        <w:fldChar w:fldCharType="separate"/>
      </w:r>
      <w:r w:rsidRPr="00085452">
        <w:rPr>
          <w:noProof/>
          <w:lang w:val="pt-BR"/>
        </w:rPr>
        <w:t>1</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C.</w:t>
      </w:r>
      <w:r w:rsidR="00D47A34">
        <w:rPr>
          <w:rFonts w:asciiTheme="minorHAnsi" w:eastAsiaTheme="minorEastAsia" w:hAnsiTheme="minorHAnsi" w:cstheme="minorBidi"/>
          <w:iCs w:val="0"/>
          <w:noProof/>
          <w:sz w:val="22"/>
          <w:szCs w:val="22"/>
          <w:lang w:val="es-NI"/>
        </w:rPr>
        <w:tab/>
      </w:r>
      <w:r w:rsidRPr="00085452">
        <w:rPr>
          <w:noProof/>
          <w:lang w:val="es-NI"/>
        </w:rPr>
        <w:t>Objetivos de Mayor Nivel a los que Contribuye el Proyecto</w:t>
      </w:r>
      <w:r w:rsidRPr="00085452">
        <w:rPr>
          <w:noProof/>
          <w:lang w:val="es-NI"/>
        </w:rPr>
        <w:tab/>
      </w:r>
      <w:r w:rsidRPr="00085452">
        <w:rPr>
          <w:noProof/>
        </w:rPr>
        <w:fldChar w:fldCharType="begin"/>
      </w:r>
      <w:r w:rsidRPr="00085452">
        <w:rPr>
          <w:noProof/>
          <w:lang w:val="es-NI"/>
        </w:rPr>
        <w:instrText xml:space="preserve"> PAGEREF _Toc357981062 \h </w:instrText>
      </w:r>
      <w:r w:rsidRPr="00085452">
        <w:rPr>
          <w:noProof/>
        </w:rPr>
      </w:r>
      <w:r w:rsidRPr="00085452">
        <w:rPr>
          <w:noProof/>
        </w:rPr>
        <w:fldChar w:fldCharType="separate"/>
      </w:r>
      <w:r w:rsidRPr="00085452">
        <w:rPr>
          <w:noProof/>
          <w:lang w:val="es-NI"/>
        </w:rPr>
        <w:t>3</w:t>
      </w:r>
      <w:r w:rsidRPr="00085452">
        <w:rPr>
          <w:noProof/>
        </w:rPr>
        <w:fldChar w:fldCharType="end"/>
      </w:r>
    </w:p>
    <w:p w:rsidR="009555BC" w:rsidRPr="002F671E" w:rsidRDefault="00C46691">
      <w:pPr>
        <w:pStyle w:val="TOC1"/>
        <w:rPr>
          <w:rFonts w:asciiTheme="minorHAnsi" w:hAnsiTheme="minorHAnsi" w:cstheme="minorBidi"/>
          <w:lang w:val="es-NI"/>
        </w:rPr>
      </w:pPr>
      <w:r w:rsidRPr="00085452">
        <w:rPr>
          <w:lang w:val="es-NI"/>
        </w:rPr>
        <w:t>II.</w:t>
      </w:r>
      <w:r w:rsidRPr="00085452">
        <w:rPr>
          <w:rFonts w:asciiTheme="minorHAnsi" w:hAnsiTheme="minorHAnsi" w:cstheme="minorBidi"/>
          <w:lang w:val="es-NI"/>
        </w:rPr>
        <w:tab/>
      </w:r>
      <w:r w:rsidRPr="00085452">
        <w:rPr>
          <w:lang w:val="es-NI"/>
        </w:rPr>
        <w:t>OBJETIVOS DE DESARROLLO DEL PROYECTO</w:t>
      </w:r>
      <w:r w:rsidRPr="00085452">
        <w:rPr>
          <w:lang w:val="es-NI"/>
        </w:rPr>
        <w:tab/>
      </w:r>
      <w:r w:rsidRPr="00085452">
        <w:fldChar w:fldCharType="begin"/>
      </w:r>
      <w:r w:rsidRPr="00085452">
        <w:rPr>
          <w:lang w:val="es-NI"/>
        </w:rPr>
        <w:instrText xml:space="preserve"> PAGEREF _Toc357981063 \h </w:instrText>
      </w:r>
      <w:r w:rsidRPr="00085452">
        <w:fldChar w:fldCharType="separate"/>
      </w:r>
      <w:r w:rsidRPr="00085452">
        <w:rPr>
          <w:lang w:val="es-NI"/>
        </w:rPr>
        <w:t>4</w:t>
      </w:r>
      <w:r w:rsidRPr="00085452">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A.</w:t>
      </w:r>
      <w:r w:rsidR="00D47A34">
        <w:rPr>
          <w:rFonts w:asciiTheme="minorHAnsi" w:eastAsiaTheme="minorEastAsia" w:hAnsiTheme="minorHAnsi" w:cstheme="minorBidi"/>
          <w:iCs w:val="0"/>
          <w:noProof/>
          <w:sz w:val="22"/>
          <w:szCs w:val="22"/>
          <w:lang w:val="es-NI"/>
        </w:rPr>
        <w:tab/>
      </w:r>
      <w:r w:rsidRPr="00085452">
        <w:rPr>
          <w:noProof/>
          <w:lang w:val="es-NI"/>
        </w:rPr>
        <w:t>ODP</w:t>
      </w:r>
      <w:r w:rsidRPr="00085452">
        <w:rPr>
          <w:noProof/>
          <w:lang w:val="es-NI"/>
        </w:rPr>
        <w:tab/>
      </w:r>
      <w:r w:rsidRPr="00085452">
        <w:rPr>
          <w:noProof/>
        </w:rPr>
        <w:fldChar w:fldCharType="begin"/>
      </w:r>
      <w:r w:rsidRPr="00085452">
        <w:rPr>
          <w:noProof/>
          <w:lang w:val="es-NI"/>
        </w:rPr>
        <w:instrText xml:space="preserve"> PAGEREF _Toc357981064 \h </w:instrText>
      </w:r>
      <w:r w:rsidRPr="00085452">
        <w:rPr>
          <w:noProof/>
        </w:rPr>
      </w:r>
      <w:r w:rsidRPr="00085452">
        <w:rPr>
          <w:noProof/>
        </w:rPr>
        <w:fldChar w:fldCharType="separate"/>
      </w:r>
      <w:r w:rsidRPr="00085452">
        <w:rPr>
          <w:noProof/>
          <w:lang w:val="es-NI"/>
        </w:rPr>
        <w:t>4</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B.</w:t>
      </w:r>
      <w:r w:rsidR="00D47A34">
        <w:rPr>
          <w:rFonts w:asciiTheme="minorHAnsi" w:eastAsiaTheme="minorEastAsia" w:hAnsiTheme="minorHAnsi" w:cstheme="minorBidi"/>
          <w:iCs w:val="0"/>
          <w:noProof/>
          <w:sz w:val="22"/>
          <w:szCs w:val="22"/>
          <w:lang w:val="es-NI"/>
        </w:rPr>
        <w:tab/>
      </w:r>
      <w:r w:rsidRPr="00085452">
        <w:rPr>
          <w:noProof/>
          <w:lang w:val="es-NI"/>
        </w:rPr>
        <w:t>Entidades Beneficiarias del Proyecto</w:t>
      </w:r>
      <w:r w:rsidRPr="00085452">
        <w:rPr>
          <w:noProof/>
          <w:lang w:val="es-NI"/>
        </w:rPr>
        <w:tab/>
      </w:r>
      <w:r w:rsidRPr="00085452">
        <w:rPr>
          <w:noProof/>
        </w:rPr>
        <w:fldChar w:fldCharType="begin"/>
      </w:r>
      <w:r w:rsidRPr="00085452">
        <w:rPr>
          <w:noProof/>
          <w:lang w:val="es-NI"/>
        </w:rPr>
        <w:instrText xml:space="preserve"> PAGEREF _Toc357981065 \h </w:instrText>
      </w:r>
      <w:r w:rsidRPr="00085452">
        <w:rPr>
          <w:noProof/>
        </w:rPr>
      </w:r>
      <w:r w:rsidRPr="00085452">
        <w:rPr>
          <w:noProof/>
        </w:rPr>
        <w:fldChar w:fldCharType="separate"/>
      </w:r>
      <w:r w:rsidRPr="00085452">
        <w:rPr>
          <w:noProof/>
          <w:lang w:val="es-NI"/>
        </w:rPr>
        <w:t>4</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C.</w:t>
      </w:r>
      <w:r w:rsidR="00D47A34">
        <w:rPr>
          <w:rFonts w:asciiTheme="minorHAnsi" w:eastAsiaTheme="minorEastAsia" w:hAnsiTheme="minorHAnsi" w:cstheme="minorBidi"/>
          <w:iCs w:val="0"/>
          <w:noProof/>
          <w:sz w:val="22"/>
          <w:szCs w:val="22"/>
          <w:lang w:val="es-NI"/>
        </w:rPr>
        <w:tab/>
      </w:r>
      <w:r w:rsidRPr="00085452">
        <w:rPr>
          <w:noProof/>
          <w:lang w:val="es-NI"/>
        </w:rPr>
        <w:t>Indicadores de Resultados a Nivel de ODP</w:t>
      </w:r>
      <w:r w:rsidRPr="00085452">
        <w:rPr>
          <w:noProof/>
          <w:lang w:val="es-NI"/>
        </w:rPr>
        <w:tab/>
      </w:r>
      <w:r w:rsidRPr="00085452">
        <w:rPr>
          <w:noProof/>
        </w:rPr>
        <w:fldChar w:fldCharType="begin"/>
      </w:r>
      <w:r w:rsidRPr="00085452">
        <w:rPr>
          <w:noProof/>
          <w:lang w:val="es-NI"/>
        </w:rPr>
        <w:instrText xml:space="preserve"> PAGEREF _Toc357981066 \h </w:instrText>
      </w:r>
      <w:r w:rsidRPr="00085452">
        <w:rPr>
          <w:noProof/>
        </w:rPr>
      </w:r>
      <w:r w:rsidRPr="00085452">
        <w:rPr>
          <w:noProof/>
        </w:rPr>
        <w:fldChar w:fldCharType="separate"/>
      </w:r>
      <w:r w:rsidRPr="00085452">
        <w:rPr>
          <w:noProof/>
          <w:lang w:val="es-NI"/>
        </w:rPr>
        <w:t>5</w:t>
      </w:r>
      <w:r w:rsidRPr="00085452">
        <w:rPr>
          <w:noProof/>
        </w:rPr>
        <w:fldChar w:fldCharType="end"/>
      </w:r>
    </w:p>
    <w:p w:rsidR="009555BC" w:rsidRPr="002F671E" w:rsidRDefault="00C46691">
      <w:pPr>
        <w:pStyle w:val="TOC1"/>
        <w:rPr>
          <w:rFonts w:asciiTheme="minorHAnsi" w:hAnsiTheme="minorHAnsi" w:cstheme="minorBidi"/>
          <w:lang w:val="es-NI"/>
        </w:rPr>
      </w:pPr>
      <w:r w:rsidRPr="00085452">
        <w:rPr>
          <w:caps/>
          <w:lang w:val="es-NI"/>
        </w:rPr>
        <w:t>III.</w:t>
      </w:r>
      <w:r w:rsidRPr="00085452">
        <w:rPr>
          <w:rFonts w:asciiTheme="minorHAnsi" w:hAnsiTheme="minorHAnsi" w:cstheme="minorBidi"/>
          <w:lang w:val="es-NI"/>
        </w:rPr>
        <w:tab/>
      </w:r>
      <w:r w:rsidRPr="00085452">
        <w:rPr>
          <w:lang w:val="es-NI"/>
        </w:rPr>
        <w:t>DESCRIPCIÓN DEL PROYECTO</w:t>
      </w:r>
      <w:r w:rsidRPr="00085452">
        <w:rPr>
          <w:lang w:val="es-NI"/>
        </w:rPr>
        <w:tab/>
      </w:r>
      <w:r w:rsidRPr="00085452">
        <w:fldChar w:fldCharType="begin"/>
      </w:r>
      <w:r w:rsidRPr="00085452">
        <w:rPr>
          <w:lang w:val="es-NI"/>
        </w:rPr>
        <w:instrText xml:space="preserve"> PAGEREF _Toc357981067 \h </w:instrText>
      </w:r>
      <w:r w:rsidRPr="00085452">
        <w:fldChar w:fldCharType="separate"/>
      </w:r>
      <w:r w:rsidRPr="00085452">
        <w:rPr>
          <w:lang w:val="es-NI"/>
        </w:rPr>
        <w:t>5</w:t>
      </w:r>
      <w:r w:rsidRPr="00085452">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A.</w:t>
      </w:r>
      <w:r w:rsidR="00D47A34">
        <w:rPr>
          <w:rFonts w:asciiTheme="minorHAnsi" w:eastAsiaTheme="minorEastAsia" w:hAnsiTheme="minorHAnsi" w:cstheme="minorBidi"/>
          <w:iCs w:val="0"/>
          <w:noProof/>
          <w:sz w:val="22"/>
          <w:szCs w:val="22"/>
          <w:lang w:val="es-NI"/>
        </w:rPr>
        <w:tab/>
      </w:r>
      <w:r w:rsidRPr="00085452">
        <w:rPr>
          <w:noProof/>
          <w:lang w:val="es-NI"/>
        </w:rPr>
        <w:t>Componentes del Proyecto</w:t>
      </w:r>
      <w:r w:rsidRPr="00085452">
        <w:rPr>
          <w:noProof/>
          <w:lang w:val="es-NI"/>
        </w:rPr>
        <w:tab/>
      </w:r>
      <w:r w:rsidRPr="00085452">
        <w:rPr>
          <w:noProof/>
        </w:rPr>
        <w:fldChar w:fldCharType="begin"/>
      </w:r>
      <w:r w:rsidRPr="00085452">
        <w:rPr>
          <w:noProof/>
          <w:lang w:val="es-NI"/>
        </w:rPr>
        <w:instrText xml:space="preserve"> PAGEREF _Toc357981068 \h </w:instrText>
      </w:r>
      <w:r w:rsidRPr="00085452">
        <w:rPr>
          <w:noProof/>
        </w:rPr>
      </w:r>
      <w:r w:rsidRPr="00085452">
        <w:rPr>
          <w:noProof/>
        </w:rPr>
        <w:fldChar w:fldCharType="separate"/>
      </w:r>
      <w:r w:rsidRPr="00085452">
        <w:rPr>
          <w:noProof/>
          <w:lang w:val="es-NI"/>
        </w:rPr>
        <w:t>5</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B.</w:t>
      </w:r>
      <w:r w:rsidR="00D47A34">
        <w:rPr>
          <w:rFonts w:asciiTheme="minorHAnsi" w:eastAsiaTheme="minorEastAsia" w:hAnsiTheme="minorHAnsi" w:cstheme="minorBidi"/>
          <w:iCs w:val="0"/>
          <w:noProof/>
          <w:sz w:val="22"/>
          <w:szCs w:val="22"/>
          <w:lang w:val="es-NI"/>
        </w:rPr>
        <w:tab/>
      </w:r>
      <w:r w:rsidRPr="00085452">
        <w:rPr>
          <w:noProof/>
          <w:lang w:val="es-NI"/>
        </w:rPr>
        <w:t>Financiación del Proyecto</w:t>
      </w:r>
      <w:r w:rsidRPr="00085452">
        <w:rPr>
          <w:noProof/>
          <w:lang w:val="es-NI"/>
        </w:rPr>
        <w:tab/>
      </w:r>
      <w:r w:rsidRPr="00085452">
        <w:rPr>
          <w:noProof/>
        </w:rPr>
        <w:fldChar w:fldCharType="begin"/>
      </w:r>
      <w:r w:rsidRPr="00085452">
        <w:rPr>
          <w:noProof/>
          <w:lang w:val="es-NI"/>
        </w:rPr>
        <w:instrText xml:space="preserve"> PAGEREF _Toc357981069 \h </w:instrText>
      </w:r>
      <w:r w:rsidRPr="00085452">
        <w:rPr>
          <w:noProof/>
        </w:rPr>
      </w:r>
      <w:r w:rsidRPr="00085452">
        <w:rPr>
          <w:noProof/>
        </w:rPr>
        <w:fldChar w:fldCharType="separate"/>
      </w:r>
      <w:r w:rsidRPr="00085452">
        <w:rPr>
          <w:noProof/>
          <w:lang w:val="es-NI"/>
        </w:rPr>
        <w:t>7</w:t>
      </w:r>
      <w:r w:rsidRPr="00085452">
        <w:rPr>
          <w:noProof/>
        </w:rPr>
        <w:fldChar w:fldCharType="end"/>
      </w:r>
    </w:p>
    <w:p w:rsidR="009555BC" w:rsidRPr="002F671E" w:rsidRDefault="00C46691">
      <w:pPr>
        <w:pStyle w:val="TOC1"/>
        <w:rPr>
          <w:rFonts w:asciiTheme="minorHAnsi" w:hAnsiTheme="minorHAnsi" w:cstheme="minorBidi"/>
          <w:lang w:val="es-NI"/>
        </w:rPr>
      </w:pPr>
      <w:r w:rsidRPr="00085452">
        <w:rPr>
          <w:lang w:val="es-NI"/>
        </w:rPr>
        <w:t>IV.</w:t>
      </w:r>
      <w:r w:rsidRPr="00085452">
        <w:rPr>
          <w:rFonts w:asciiTheme="minorHAnsi" w:hAnsiTheme="minorHAnsi" w:cstheme="minorBidi"/>
          <w:lang w:val="es-NI"/>
        </w:rPr>
        <w:tab/>
      </w:r>
      <w:r w:rsidRPr="00085452">
        <w:rPr>
          <w:lang w:val="es-NI"/>
        </w:rPr>
        <w:t>EJECUCIÓN</w:t>
      </w:r>
      <w:r w:rsidRPr="00085452">
        <w:rPr>
          <w:lang w:val="es-NI"/>
        </w:rPr>
        <w:tab/>
      </w:r>
      <w:r w:rsidRPr="00085452">
        <w:fldChar w:fldCharType="begin"/>
      </w:r>
      <w:r w:rsidRPr="00085452">
        <w:rPr>
          <w:lang w:val="es-NI"/>
        </w:rPr>
        <w:instrText xml:space="preserve"> PAGEREF _Toc357981070 \h </w:instrText>
      </w:r>
      <w:r w:rsidRPr="00085452">
        <w:fldChar w:fldCharType="separate"/>
      </w:r>
      <w:r w:rsidRPr="00085452">
        <w:rPr>
          <w:lang w:val="es-NI"/>
        </w:rPr>
        <w:t>9</w:t>
      </w:r>
      <w:r w:rsidRPr="00085452">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A.</w:t>
      </w:r>
      <w:r w:rsidR="00D47A34">
        <w:rPr>
          <w:rFonts w:asciiTheme="minorHAnsi" w:eastAsiaTheme="minorEastAsia" w:hAnsiTheme="minorHAnsi" w:cstheme="minorBidi"/>
          <w:iCs w:val="0"/>
          <w:noProof/>
          <w:sz w:val="22"/>
          <w:szCs w:val="22"/>
          <w:lang w:val="es-NI"/>
        </w:rPr>
        <w:tab/>
      </w:r>
      <w:r w:rsidRPr="00085452">
        <w:rPr>
          <w:noProof/>
          <w:lang w:val="es-NI"/>
        </w:rPr>
        <w:t>Mecanismos Institucionales y de Ejecución</w:t>
      </w:r>
      <w:r w:rsidRPr="00085452">
        <w:rPr>
          <w:noProof/>
          <w:lang w:val="es-NI"/>
        </w:rPr>
        <w:tab/>
      </w:r>
      <w:r w:rsidRPr="00085452">
        <w:rPr>
          <w:noProof/>
        </w:rPr>
        <w:fldChar w:fldCharType="begin"/>
      </w:r>
      <w:r w:rsidRPr="00085452">
        <w:rPr>
          <w:noProof/>
          <w:lang w:val="es-NI"/>
        </w:rPr>
        <w:instrText xml:space="preserve"> PAGEREF _Toc357981071 \h </w:instrText>
      </w:r>
      <w:r w:rsidRPr="00085452">
        <w:rPr>
          <w:noProof/>
        </w:rPr>
      </w:r>
      <w:r w:rsidRPr="00085452">
        <w:rPr>
          <w:noProof/>
        </w:rPr>
        <w:fldChar w:fldCharType="separate"/>
      </w:r>
      <w:r w:rsidRPr="00085452">
        <w:rPr>
          <w:noProof/>
          <w:lang w:val="es-NI"/>
        </w:rPr>
        <w:t>9</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B.</w:t>
      </w:r>
      <w:r w:rsidR="00D47A34">
        <w:rPr>
          <w:rFonts w:asciiTheme="minorHAnsi" w:eastAsiaTheme="minorEastAsia" w:hAnsiTheme="minorHAnsi" w:cstheme="minorBidi"/>
          <w:iCs w:val="0"/>
          <w:noProof/>
          <w:sz w:val="22"/>
          <w:szCs w:val="22"/>
          <w:lang w:val="es-NI"/>
        </w:rPr>
        <w:tab/>
      </w:r>
      <w:r w:rsidRPr="00085452">
        <w:rPr>
          <w:noProof/>
          <w:lang w:val="es-NI"/>
        </w:rPr>
        <w:t>Monitoreo y Evaluación de los Resultados</w:t>
      </w:r>
      <w:r w:rsidRPr="00085452">
        <w:rPr>
          <w:noProof/>
          <w:lang w:val="es-NI"/>
        </w:rPr>
        <w:tab/>
      </w:r>
      <w:r w:rsidRPr="00085452">
        <w:rPr>
          <w:noProof/>
        </w:rPr>
        <w:fldChar w:fldCharType="begin"/>
      </w:r>
      <w:r w:rsidRPr="00085452">
        <w:rPr>
          <w:noProof/>
          <w:lang w:val="es-NI"/>
        </w:rPr>
        <w:instrText xml:space="preserve"> PAGEREF _Toc357981072 \h </w:instrText>
      </w:r>
      <w:r w:rsidRPr="00085452">
        <w:rPr>
          <w:noProof/>
        </w:rPr>
      </w:r>
      <w:r w:rsidRPr="00085452">
        <w:rPr>
          <w:noProof/>
        </w:rPr>
        <w:fldChar w:fldCharType="separate"/>
      </w:r>
      <w:r w:rsidRPr="00085452">
        <w:rPr>
          <w:noProof/>
          <w:lang w:val="es-NI"/>
        </w:rPr>
        <w:t>10</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C.</w:t>
      </w:r>
      <w:r w:rsidR="00D47A34">
        <w:rPr>
          <w:rFonts w:asciiTheme="minorHAnsi" w:eastAsiaTheme="minorEastAsia" w:hAnsiTheme="minorHAnsi" w:cstheme="minorBidi"/>
          <w:iCs w:val="0"/>
          <w:noProof/>
          <w:sz w:val="22"/>
          <w:szCs w:val="22"/>
          <w:lang w:val="es-NI"/>
        </w:rPr>
        <w:tab/>
      </w:r>
      <w:r w:rsidRPr="00085452">
        <w:rPr>
          <w:noProof/>
          <w:lang w:val="es-NI"/>
        </w:rPr>
        <w:t>Sostenibilidad</w:t>
      </w:r>
      <w:r w:rsidRPr="00085452">
        <w:rPr>
          <w:noProof/>
          <w:lang w:val="es-NI"/>
        </w:rPr>
        <w:tab/>
      </w:r>
      <w:r w:rsidRPr="00085452">
        <w:rPr>
          <w:noProof/>
        </w:rPr>
        <w:fldChar w:fldCharType="begin"/>
      </w:r>
      <w:r w:rsidRPr="00085452">
        <w:rPr>
          <w:noProof/>
          <w:lang w:val="es-NI"/>
        </w:rPr>
        <w:instrText xml:space="preserve"> PAGEREF _Toc357981073 \h </w:instrText>
      </w:r>
      <w:r w:rsidRPr="00085452">
        <w:rPr>
          <w:noProof/>
        </w:rPr>
      </w:r>
      <w:r w:rsidRPr="00085452">
        <w:rPr>
          <w:noProof/>
        </w:rPr>
        <w:fldChar w:fldCharType="separate"/>
      </w:r>
      <w:r w:rsidRPr="00085452">
        <w:rPr>
          <w:noProof/>
          <w:lang w:val="es-NI"/>
        </w:rPr>
        <w:t>10</w:t>
      </w:r>
      <w:r w:rsidRPr="00085452">
        <w:rPr>
          <w:noProof/>
        </w:rPr>
        <w:fldChar w:fldCharType="end"/>
      </w:r>
    </w:p>
    <w:p w:rsidR="009555BC" w:rsidRPr="00085452" w:rsidRDefault="00C46691">
      <w:pPr>
        <w:pStyle w:val="TOC1"/>
        <w:rPr>
          <w:lang w:val="es-NI"/>
        </w:rPr>
      </w:pPr>
      <w:r w:rsidRPr="00085452">
        <w:rPr>
          <w:lang w:val="es-NI"/>
        </w:rPr>
        <w:t>V.</w:t>
      </w:r>
      <w:r w:rsidRPr="00085452">
        <w:rPr>
          <w:rFonts w:asciiTheme="minorHAnsi" w:hAnsiTheme="minorHAnsi" w:cstheme="minorBidi"/>
          <w:lang w:val="es-NI"/>
        </w:rPr>
        <w:tab/>
      </w:r>
      <w:r w:rsidRPr="00085452">
        <w:rPr>
          <w:lang w:val="es-NI"/>
        </w:rPr>
        <w:t>PRINCIPALES RIESGOS Y MEDIDAS DE MITIGACIÓN</w:t>
      </w:r>
      <w:r w:rsidRPr="00085452">
        <w:rPr>
          <w:lang w:val="es-NI"/>
        </w:rPr>
        <w:tab/>
      </w:r>
      <w:r w:rsidRPr="00085452">
        <w:fldChar w:fldCharType="begin"/>
      </w:r>
      <w:r w:rsidRPr="00085452">
        <w:rPr>
          <w:lang w:val="es-NI"/>
        </w:rPr>
        <w:instrText xml:space="preserve"> PAGEREF _Toc357981074 \h </w:instrText>
      </w:r>
      <w:r w:rsidRPr="00085452">
        <w:fldChar w:fldCharType="separate"/>
      </w:r>
      <w:r w:rsidRPr="00085452">
        <w:rPr>
          <w:lang w:val="es-NI"/>
        </w:rPr>
        <w:t>11</w:t>
      </w:r>
      <w:r w:rsidRPr="00085452">
        <w:fldChar w:fldCharType="end"/>
      </w:r>
    </w:p>
    <w:p w:rsidR="00D333DA" w:rsidRPr="00085452" w:rsidRDefault="00C46691" w:rsidP="00085452">
      <w:pPr>
        <w:rPr>
          <w:lang w:val="es-NI"/>
        </w:rPr>
      </w:pPr>
      <w:r w:rsidRPr="00085452">
        <w:rPr>
          <w:lang w:val="es-NI"/>
        </w:rPr>
        <w:tab/>
        <w:t xml:space="preserve">A. Tabla de Resumen de las Categorías de Riesgo…………………………………….11 </w:t>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B.</w:t>
      </w:r>
      <w:r w:rsidR="00D47A34">
        <w:rPr>
          <w:rFonts w:asciiTheme="minorHAnsi" w:eastAsiaTheme="minorEastAsia" w:hAnsiTheme="minorHAnsi" w:cstheme="minorBidi"/>
          <w:iCs w:val="0"/>
          <w:noProof/>
          <w:sz w:val="22"/>
          <w:szCs w:val="22"/>
          <w:lang w:val="es-NI"/>
        </w:rPr>
        <w:tab/>
      </w:r>
      <w:r w:rsidRPr="00085452">
        <w:rPr>
          <w:noProof/>
          <w:lang w:val="es-NI"/>
        </w:rPr>
        <w:t>Explicación de la Calificación del Riesgo en General</w:t>
      </w:r>
      <w:r w:rsidRPr="00085452">
        <w:rPr>
          <w:noProof/>
          <w:lang w:val="es-NI"/>
        </w:rPr>
        <w:tab/>
      </w:r>
      <w:r w:rsidRPr="00085452">
        <w:rPr>
          <w:noProof/>
        </w:rPr>
        <w:fldChar w:fldCharType="begin"/>
      </w:r>
      <w:r w:rsidRPr="00085452">
        <w:rPr>
          <w:noProof/>
          <w:lang w:val="es-NI"/>
        </w:rPr>
        <w:instrText xml:space="preserve"> PAGEREF _Toc357981075 \h </w:instrText>
      </w:r>
      <w:r w:rsidRPr="00085452">
        <w:rPr>
          <w:noProof/>
        </w:rPr>
      </w:r>
      <w:r w:rsidRPr="00085452">
        <w:rPr>
          <w:noProof/>
        </w:rPr>
        <w:fldChar w:fldCharType="separate"/>
      </w:r>
      <w:r w:rsidRPr="00085452">
        <w:rPr>
          <w:noProof/>
          <w:lang w:val="es-NI"/>
        </w:rPr>
        <w:t>11</w:t>
      </w:r>
      <w:r w:rsidRPr="00085452">
        <w:rPr>
          <w:noProof/>
        </w:rPr>
        <w:fldChar w:fldCharType="end"/>
      </w:r>
    </w:p>
    <w:p w:rsidR="009555BC" w:rsidRPr="002F671E" w:rsidRDefault="00D47A34">
      <w:pPr>
        <w:pStyle w:val="TOC1"/>
        <w:rPr>
          <w:rFonts w:asciiTheme="minorHAnsi" w:hAnsiTheme="minorHAnsi" w:cstheme="minorBidi"/>
          <w:lang w:val="es-NI"/>
        </w:rPr>
      </w:pPr>
      <w:r>
        <w:rPr>
          <w:lang w:val="es-NI"/>
        </w:rPr>
        <w:t>VI.</w:t>
      </w:r>
      <w:r>
        <w:rPr>
          <w:rFonts w:asciiTheme="minorHAnsi" w:hAnsiTheme="minorHAnsi" w:cstheme="minorBidi"/>
          <w:lang w:val="es-NI"/>
        </w:rPr>
        <w:tab/>
      </w:r>
      <w:r>
        <w:rPr>
          <w:lang w:val="es-NI"/>
        </w:rPr>
        <w:t>RESUMEN DE LOS ANÁLISIS</w:t>
      </w:r>
      <w:r>
        <w:rPr>
          <w:lang w:val="es-NI"/>
        </w:rPr>
        <w:tab/>
      </w:r>
      <w:r w:rsidR="00C46691" w:rsidRPr="00085452">
        <w:fldChar w:fldCharType="begin"/>
      </w:r>
      <w:r>
        <w:rPr>
          <w:lang w:val="es-NI"/>
        </w:rPr>
        <w:instrText xml:space="preserve"> PAGEREF _Toc357981076 \h </w:instrText>
      </w:r>
      <w:r w:rsidR="00C46691" w:rsidRPr="00085452">
        <w:fldChar w:fldCharType="separate"/>
      </w:r>
      <w:r>
        <w:rPr>
          <w:lang w:val="es-NI"/>
        </w:rPr>
        <w:t>12</w:t>
      </w:r>
      <w:r w:rsidR="00C46691" w:rsidRPr="00085452">
        <w:fldChar w:fldCharType="end"/>
      </w:r>
    </w:p>
    <w:p w:rsidR="009555BC" w:rsidRPr="002F671E" w:rsidRDefault="00C46691">
      <w:pPr>
        <w:pStyle w:val="TOC2"/>
        <w:tabs>
          <w:tab w:val="right" w:leader="dot" w:pos="9350"/>
        </w:tabs>
        <w:rPr>
          <w:rFonts w:asciiTheme="minorHAnsi" w:eastAsiaTheme="minorEastAsia" w:hAnsiTheme="minorHAnsi" w:cstheme="minorBidi"/>
          <w:iCs w:val="0"/>
          <w:noProof/>
          <w:sz w:val="22"/>
          <w:szCs w:val="22"/>
          <w:lang w:val="es-NI"/>
        </w:rPr>
      </w:pPr>
      <w:r w:rsidRPr="00085452">
        <w:rPr>
          <w:noProof/>
          <w:lang w:val="es-NI"/>
        </w:rPr>
        <w:t>Análisis Económico y Financiero</w:t>
      </w:r>
      <w:r w:rsidRPr="00085452">
        <w:rPr>
          <w:noProof/>
          <w:lang w:val="es-NI"/>
        </w:rPr>
        <w:tab/>
      </w:r>
      <w:r w:rsidRPr="00085452">
        <w:rPr>
          <w:noProof/>
        </w:rPr>
        <w:fldChar w:fldCharType="begin"/>
      </w:r>
      <w:r w:rsidRPr="00085452">
        <w:rPr>
          <w:noProof/>
          <w:lang w:val="es-NI"/>
        </w:rPr>
        <w:instrText xml:space="preserve"> PAGEREF _Toc357981077 \h </w:instrText>
      </w:r>
      <w:r w:rsidRPr="00085452">
        <w:rPr>
          <w:noProof/>
        </w:rPr>
      </w:r>
      <w:r w:rsidRPr="00085452">
        <w:rPr>
          <w:noProof/>
        </w:rPr>
        <w:fldChar w:fldCharType="separate"/>
      </w:r>
      <w:r w:rsidRPr="00085452">
        <w:rPr>
          <w:noProof/>
          <w:lang w:val="es-NI"/>
        </w:rPr>
        <w:t>12</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B.</w:t>
      </w:r>
      <w:r w:rsidR="00D47A34">
        <w:rPr>
          <w:rFonts w:asciiTheme="minorHAnsi" w:eastAsiaTheme="minorEastAsia" w:hAnsiTheme="minorHAnsi" w:cstheme="minorBidi"/>
          <w:iCs w:val="0"/>
          <w:noProof/>
          <w:sz w:val="22"/>
          <w:szCs w:val="22"/>
          <w:lang w:val="es-NI"/>
        </w:rPr>
        <w:tab/>
      </w:r>
      <w:r w:rsidRPr="00085452">
        <w:rPr>
          <w:noProof/>
          <w:lang w:val="es-NI"/>
        </w:rPr>
        <w:t>Análisis Técnico</w:t>
      </w:r>
      <w:r w:rsidRPr="00085452">
        <w:rPr>
          <w:noProof/>
          <w:lang w:val="es-NI"/>
        </w:rPr>
        <w:tab/>
      </w:r>
      <w:r w:rsidRPr="00085452">
        <w:rPr>
          <w:noProof/>
        </w:rPr>
        <w:fldChar w:fldCharType="begin"/>
      </w:r>
      <w:r w:rsidRPr="00085452">
        <w:rPr>
          <w:noProof/>
          <w:lang w:val="es-NI"/>
        </w:rPr>
        <w:instrText xml:space="preserve"> PAGEREF _Toc357981078 \h </w:instrText>
      </w:r>
      <w:r w:rsidRPr="00085452">
        <w:rPr>
          <w:noProof/>
        </w:rPr>
      </w:r>
      <w:r w:rsidRPr="00085452">
        <w:rPr>
          <w:noProof/>
        </w:rPr>
        <w:fldChar w:fldCharType="separate"/>
      </w:r>
      <w:r w:rsidRPr="00085452">
        <w:rPr>
          <w:noProof/>
          <w:lang w:val="es-NI"/>
        </w:rPr>
        <w:t>13</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C.</w:t>
      </w:r>
      <w:r w:rsidR="00D47A34">
        <w:rPr>
          <w:rFonts w:asciiTheme="minorHAnsi" w:eastAsiaTheme="minorEastAsia" w:hAnsiTheme="minorHAnsi" w:cstheme="minorBidi"/>
          <w:iCs w:val="0"/>
          <w:noProof/>
          <w:sz w:val="22"/>
          <w:szCs w:val="22"/>
          <w:lang w:val="es-NI"/>
        </w:rPr>
        <w:tab/>
      </w:r>
      <w:r w:rsidRPr="00085452">
        <w:rPr>
          <w:noProof/>
          <w:lang w:val="es-NI"/>
        </w:rPr>
        <w:t>Gestión Financiera</w:t>
      </w:r>
      <w:r w:rsidRPr="00085452">
        <w:rPr>
          <w:noProof/>
          <w:lang w:val="es-NI"/>
        </w:rPr>
        <w:tab/>
      </w:r>
      <w:r w:rsidRPr="00085452">
        <w:rPr>
          <w:noProof/>
        </w:rPr>
        <w:fldChar w:fldCharType="begin"/>
      </w:r>
      <w:r w:rsidRPr="00085452">
        <w:rPr>
          <w:noProof/>
          <w:lang w:val="es-NI"/>
        </w:rPr>
        <w:instrText xml:space="preserve"> PAGEREF _Toc357981079 \h </w:instrText>
      </w:r>
      <w:r w:rsidRPr="00085452">
        <w:rPr>
          <w:noProof/>
        </w:rPr>
      </w:r>
      <w:r w:rsidRPr="00085452">
        <w:rPr>
          <w:noProof/>
        </w:rPr>
        <w:fldChar w:fldCharType="separate"/>
      </w:r>
      <w:r w:rsidRPr="00085452">
        <w:rPr>
          <w:noProof/>
          <w:lang w:val="es-NI"/>
        </w:rPr>
        <w:t>13</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D.</w:t>
      </w:r>
      <w:r w:rsidR="00D47A34">
        <w:rPr>
          <w:rFonts w:asciiTheme="minorHAnsi" w:eastAsiaTheme="minorEastAsia" w:hAnsiTheme="minorHAnsi" w:cstheme="minorBidi"/>
          <w:iCs w:val="0"/>
          <w:noProof/>
          <w:sz w:val="22"/>
          <w:szCs w:val="22"/>
          <w:lang w:val="es-NI"/>
        </w:rPr>
        <w:tab/>
      </w:r>
      <w:r w:rsidRPr="00085452">
        <w:rPr>
          <w:noProof/>
          <w:lang w:val="es-NI"/>
        </w:rPr>
        <w:t>Adquisiciones y Contrataciones</w:t>
      </w:r>
      <w:r w:rsidRPr="00085452">
        <w:rPr>
          <w:noProof/>
          <w:lang w:val="es-NI"/>
        </w:rPr>
        <w:tab/>
      </w:r>
      <w:r w:rsidRPr="00085452">
        <w:rPr>
          <w:noProof/>
        </w:rPr>
        <w:fldChar w:fldCharType="begin"/>
      </w:r>
      <w:r w:rsidRPr="00085452">
        <w:rPr>
          <w:noProof/>
          <w:lang w:val="es-NI"/>
        </w:rPr>
        <w:instrText xml:space="preserve"> PAGEREF _Toc357981080 \h </w:instrText>
      </w:r>
      <w:r w:rsidRPr="00085452">
        <w:rPr>
          <w:noProof/>
        </w:rPr>
      </w:r>
      <w:r w:rsidRPr="00085452">
        <w:rPr>
          <w:noProof/>
        </w:rPr>
        <w:fldChar w:fldCharType="separate"/>
      </w:r>
      <w:r w:rsidRPr="00085452">
        <w:rPr>
          <w:noProof/>
          <w:lang w:val="es-NI"/>
        </w:rPr>
        <w:t>14</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E.</w:t>
      </w:r>
      <w:r w:rsidR="00D47A34">
        <w:rPr>
          <w:rFonts w:asciiTheme="minorHAnsi" w:eastAsiaTheme="minorEastAsia" w:hAnsiTheme="minorHAnsi" w:cstheme="minorBidi"/>
          <w:iCs w:val="0"/>
          <w:noProof/>
          <w:sz w:val="22"/>
          <w:szCs w:val="22"/>
          <w:lang w:val="es-NI"/>
        </w:rPr>
        <w:tab/>
      </w:r>
      <w:r w:rsidRPr="00085452">
        <w:rPr>
          <w:noProof/>
          <w:lang w:val="es-NI"/>
        </w:rPr>
        <w:t>Análisis Social (incluyendoSalvaguardas)</w:t>
      </w:r>
      <w:r w:rsidRPr="00085452">
        <w:rPr>
          <w:noProof/>
          <w:lang w:val="es-NI"/>
        </w:rPr>
        <w:tab/>
      </w:r>
      <w:r w:rsidRPr="00085452">
        <w:rPr>
          <w:noProof/>
        </w:rPr>
        <w:fldChar w:fldCharType="begin"/>
      </w:r>
      <w:r w:rsidRPr="00085452">
        <w:rPr>
          <w:noProof/>
          <w:lang w:val="es-NI"/>
        </w:rPr>
        <w:instrText xml:space="preserve"> PAGEREF _Toc357981081 \h </w:instrText>
      </w:r>
      <w:r w:rsidRPr="00085452">
        <w:rPr>
          <w:noProof/>
        </w:rPr>
      </w:r>
      <w:r w:rsidRPr="00085452">
        <w:rPr>
          <w:noProof/>
        </w:rPr>
        <w:fldChar w:fldCharType="separate"/>
      </w:r>
      <w:r w:rsidRPr="00085452">
        <w:rPr>
          <w:noProof/>
          <w:lang w:val="es-NI"/>
        </w:rPr>
        <w:t>14</w:t>
      </w:r>
      <w:r w:rsidRPr="00085452">
        <w:rPr>
          <w:noProof/>
        </w:rPr>
        <w:fldChar w:fldCharType="end"/>
      </w:r>
    </w:p>
    <w:p w:rsidR="009555BC" w:rsidRPr="002F671E" w:rsidRDefault="00C46691">
      <w:pPr>
        <w:pStyle w:val="TOC2"/>
        <w:tabs>
          <w:tab w:val="left" w:pos="1200"/>
          <w:tab w:val="right" w:leader="dot" w:pos="9350"/>
        </w:tabs>
        <w:rPr>
          <w:rFonts w:asciiTheme="minorHAnsi" w:eastAsiaTheme="minorEastAsia" w:hAnsiTheme="minorHAnsi" w:cstheme="minorBidi"/>
          <w:iCs w:val="0"/>
          <w:noProof/>
          <w:sz w:val="22"/>
          <w:szCs w:val="22"/>
          <w:lang w:val="es-NI"/>
        </w:rPr>
      </w:pPr>
      <w:r w:rsidRPr="00085452">
        <w:rPr>
          <w:noProof/>
          <w:lang w:val="es-NI"/>
        </w:rPr>
        <w:t>F.</w:t>
      </w:r>
      <w:r w:rsidR="00D47A34">
        <w:rPr>
          <w:rFonts w:asciiTheme="minorHAnsi" w:eastAsiaTheme="minorEastAsia" w:hAnsiTheme="minorHAnsi" w:cstheme="minorBidi"/>
          <w:iCs w:val="0"/>
          <w:noProof/>
          <w:sz w:val="22"/>
          <w:szCs w:val="22"/>
          <w:lang w:val="es-NI"/>
        </w:rPr>
        <w:tab/>
      </w:r>
      <w:r w:rsidRPr="00085452">
        <w:rPr>
          <w:noProof/>
          <w:lang w:val="es-NI"/>
        </w:rPr>
        <w:t>Análisis Ambiental (incluyendo Salvaguardas)</w:t>
      </w:r>
      <w:r w:rsidRPr="00085452">
        <w:rPr>
          <w:noProof/>
          <w:lang w:val="es-NI"/>
        </w:rPr>
        <w:tab/>
      </w:r>
      <w:r w:rsidRPr="00085452">
        <w:rPr>
          <w:noProof/>
        </w:rPr>
        <w:fldChar w:fldCharType="begin"/>
      </w:r>
      <w:r w:rsidRPr="00085452">
        <w:rPr>
          <w:noProof/>
          <w:lang w:val="es-NI"/>
        </w:rPr>
        <w:instrText xml:space="preserve"> PAGEREF _Toc357981082 \h </w:instrText>
      </w:r>
      <w:r w:rsidRPr="00085452">
        <w:rPr>
          <w:noProof/>
        </w:rPr>
      </w:r>
      <w:r w:rsidRPr="00085452">
        <w:rPr>
          <w:noProof/>
        </w:rPr>
        <w:fldChar w:fldCharType="separate"/>
      </w:r>
      <w:r w:rsidRPr="00085452">
        <w:rPr>
          <w:noProof/>
          <w:lang w:val="es-NI"/>
        </w:rPr>
        <w:t>15</w:t>
      </w:r>
      <w:r w:rsidRPr="00085452">
        <w:rPr>
          <w:noProof/>
        </w:rPr>
        <w:fldChar w:fldCharType="end"/>
      </w:r>
    </w:p>
    <w:p w:rsidR="00251650" w:rsidRPr="002F671E" w:rsidRDefault="00C46691" w:rsidP="00685022">
      <w:pPr>
        <w:rPr>
          <w:lang w:val="es-ES"/>
        </w:rPr>
      </w:pPr>
      <w:r w:rsidRPr="00085452">
        <w:rPr>
          <w:rFonts w:eastAsiaTheme="minorEastAsia"/>
          <w:sz w:val="22"/>
          <w:szCs w:val="22"/>
          <w:lang w:val="es-ES"/>
        </w:rPr>
        <w:fldChar w:fldCharType="end"/>
      </w:r>
    </w:p>
    <w:p w:rsidR="00251650" w:rsidRPr="002F671E" w:rsidRDefault="00251650" w:rsidP="00685022">
      <w:pPr>
        <w:rPr>
          <w:lang w:val="es-ES"/>
        </w:rPr>
      </w:pPr>
    </w:p>
    <w:p w:rsidR="00592FD2" w:rsidRPr="002F671E" w:rsidRDefault="00D47A34">
      <w:pPr>
        <w:pStyle w:val="TOC1"/>
        <w:rPr>
          <w:lang w:val="es-ES"/>
        </w:rPr>
      </w:pPr>
      <w:r>
        <w:rPr>
          <w:lang w:val="es-ES"/>
        </w:rPr>
        <w:t>ANEXOS</w:t>
      </w:r>
    </w:p>
    <w:p w:rsidR="009555BC" w:rsidRPr="002F671E" w:rsidRDefault="00C46691">
      <w:pPr>
        <w:pStyle w:val="TOC1"/>
        <w:rPr>
          <w:rFonts w:asciiTheme="minorHAnsi" w:hAnsiTheme="minorHAnsi" w:cstheme="minorBidi"/>
        </w:rPr>
      </w:pPr>
      <w:r w:rsidRPr="00085452">
        <w:rPr>
          <w:lang w:val="es-ES"/>
        </w:rPr>
        <w:fldChar w:fldCharType="begin"/>
      </w:r>
      <w:r w:rsidR="00D47A34">
        <w:rPr>
          <w:lang w:val="es-ES"/>
        </w:rPr>
        <w:instrText xml:space="preserve"> TOC \h \z \t "Título 4,1" </w:instrText>
      </w:r>
      <w:r w:rsidRPr="00085452">
        <w:rPr>
          <w:lang w:val="es-ES"/>
        </w:rPr>
        <w:fldChar w:fldCharType="separate"/>
      </w:r>
      <w:hyperlink w:anchor="_Toc357981083" w:history="1">
        <w:r w:rsidR="00D47A34">
          <w:rPr>
            <w:rStyle w:val="Hyperlink"/>
          </w:rPr>
          <w:t>Anexo 1: Marco de Resultados y Monitoreo</w:t>
        </w:r>
        <w:r w:rsidRPr="00085452">
          <w:rPr>
            <w:webHidden/>
          </w:rPr>
          <w:tab/>
        </w:r>
        <w:r w:rsidRPr="00085452">
          <w:rPr>
            <w:webHidden/>
          </w:rPr>
          <w:fldChar w:fldCharType="begin"/>
        </w:r>
        <w:r w:rsidRPr="00085452">
          <w:rPr>
            <w:webHidden/>
          </w:rPr>
          <w:instrText xml:space="preserve"> PAGEREF _Toc357981083 \h </w:instrText>
        </w:r>
        <w:r w:rsidRPr="00085452">
          <w:rPr>
            <w:webHidden/>
          </w:rPr>
        </w:r>
        <w:r w:rsidRPr="00085452">
          <w:rPr>
            <w:webHidden/>
          </w:rPr>
          <w:fldChar w:fldCharType="separate"/>
        </w:r>
        <w:r w:rsidRPr="00085452">
          <w:rPr>
            <w:webHidden/>
          </w:rPr>
          <w:t>17</w:t>
        </w:r>
        <w:r w:rsidRPr="00085452">
          <w:rPr>
            <w:webHidden/>
          </w:rPr>
          <w:fldChar w:fldCharType="end"/>
        </w:r>
      </w:hyperlink>
    </w:p>
    <w:p w:rsidR="009555BC" w:rsidRPr="002F671E" w:rsidRDefault="00890033">
      <w:pPr>
        <w:pStyle w:val="TOC1"/>
        <w:rPr>
          <w:rFonts w:asciiTheme="minorHAnsi" w:hAnsiTheme="minorHAnsi" w:cstheme="minorBidi"/>
        </w:rPr>
      </w:pPr>
      <w:hyperlink w:anchor="_Toc357981084" w:history="1">
        <w:r w:rsidR="00D47A34">
          <w:rPr>
            <w:rStyle w:val="Hyperlink"/>
          </w:rPr>
          <w:t>Anexo 2: Descripción Detallada del Proyecto</w:t>
        </w:r>
        <w:r w:rsidR="00C46691" w:rsidRPr="00085452">
          <w:rPr>
            <w:webHidden/>
          </w:rPr>
          <w:tab/>
        </w:r>
        <w:r w:rsidR="00C46691" w:rsidRPr="00085452">
          <w:rPr>
            <w:webHidden/>
          </w:rPr>
          <w:fldChar w:fldCharType="begin"/>
        </w:r>
        <w:r w:rsidR="00C46691" w:rsidRPr="00085452">
          <w:rPr>
            <w:webHidden/>
          </w:rPr>
          <w:instrText xml:space="preserve"> PAGEREF _Toc357981084 \h </w:instrText>
        </w:r>
        <w:r w:rsidR="00C46691" w:rsidRPr="00085452">
          <w:rPr>
            <w:webHidden/>
          </w:rPr>
        </w:r>
        <w:r w:rsidR="00C46691" w:rsidRPr="00085452">
          <w:rPr>
            <w:webHidden/>
          </w:rPr>
          <w:fldChar w:fldCharType="separate"/>
        </w:r>
        <w:r w:rsidR="00C46691" w:rsidRPr="00085452">
          <w:rPr>
            <w:webHidden/>
          </w:rPr>
          <w:t>22</w:t>
        </w:r>
        <w:r w:rsidR="00C46691" w:rsidRPr="00085452">
          <w:rPr>
            <w:webHidden/>
          </w:rPr>
          <w:fldChar w:fldCharType="end"/>
        </w:r>
      </w:hyperlink>
    </w:p>
    <w:p w:rsidR="009555BC" w:rsidRPr="002F671E" w:rsidRDefault="00890033">
      <w:pPr>
        <w:pStyle w:val="TOC1"/>
        <w:rPr>
          <w:rFonts w:asciiTheme="minorHAnsi" w:hAnsiTheme="minorHAnsi" w:cstheme="minorBidi"/>
        </w:rPr>
      </w:pPr>
      <w:hyperlink w:anchor="_Toc357981085" w:history="1">
        <w:r w:rsidR="00D47A34">
          <w:rPr>
            <w:rStyle w:val="Hyperlink"/>
          </w:rPr>
          <w:t>Anexo 3: Mecanismos de Ejecución</w:t>
        </w:r>
        <w:r w:rsidR="00C46691" w:rsidRPr="00085452">
          <w:rPr>
            <w:webHidden/>
          </w:rPr>
          <w:tab/>
        </w:r>
        <w:r w:rsidR="00C46691" w:rsidRPr="00085452">
          <w:rPr>
            <w:webHidden/>
          </w:rPr>
          <w:fldChar w:fldCharType="begin"/>
        </w:r>
        <w:r w:rsidR="00C46691" w:rsidRPr="00085452">
          <w:rPr>
            <w:webHidden/>
          </w:rPr>
          <w:instrText xml:space="preserve"> PAGEREF _Toc357981085 \h </w:instrText>
        </w:r>
        <w:r w:rsidR="00C46691" w:rsidRPr="00085452">
          <w:rPr>
            <w:webHidden/>
          </w:rPr>
        </w:r>
        <w:r w:rsidR="00C46691" w:rsidRPr="00085452">
          <w:rPr>
            <w:webHidden/>
          </w:rPr>
          <w:fldChar w:fldCharType="separate"/>
        </w:r>
        <w:r w:rsidR="00C46691" w:rsidRPr="00085452">
          <w:rPr>
            <w:webHidden/>
          </w:rPr>
          <w:t>29</w:t>
        </w:r>
        <w:r w:rsidR="00C46691" w:rsidRPr="00085452">
          <w:rPr>
            <w:webHidden/>
          </w:rPr>
          <w:fldChar w:fldCharType="end"/>
        </w:r>
      </w:hyperlink>
    </w:p>
    <w:p w:rsidR="009555BC" w:rsidRPr="002F671E" w:rsidRDefault="00890033">
      <w:pPr>
        <w:pStyle w:val="TOC1"/>
        <w:rPr>
          <w:rFonts w:asciiTheme="minorHAnsi" w:hAnsiTheme="minorHAnsi" w:cstheme="minorBidi"/>
        </w:rPr>
      </w:pPr>
      <w:hyperlink w:anchor="_Toc357981086" w:history="1">
        <w:r w:rsidR="00D47A34">
          <w:rPr>
            <w:rStyle w:val="Hyperlink"/>
          </w:rPr>
          <w:t>Anexo 4: Marco de Evaluación de Riesgos Operativos (ORAF)</w:t>
        </w:r>
        <w:r w:rsidR="00C46691" w:rsidRPr="00085452">
          <w:rPr>
            <w:webHidden/>
          </w:rPr>
          <w:tab/>
        </w:r>
        <w:r w:rsidR="00C46691" w:rsidRPr="00085452">
          <w:rPr>
            <w:webHidden/>
          </w:rPr>
          <w:fldChar w:fldCharType="begin"/>
        </w:r>
        <w:r w:rsidR="00C46691" w:rsidRPr="00085452">
          <w:rPr>
            <w:webHidden/>
          </w:rPr>
          <w:instrText xml:space="preserve"> PAGEREF _Toc357981086 \h </w:instrText>
        </w:r>
        <w:r w:rsidR="00C46691" w:rsidRPr="00085452">
          <w:rPr>
            <w:webHidden/>
          </w:rPr>
        </w:r>
        <w:r w:rsidR="00C46691" w:rsidRPr="00085452">
          <w:rPr>
            <w:webHidden/>
          </w:rPr>
          <w:fldChar w:fldCharType="separate"/>
        </w:r>
        <w:r w:rsidR="00C46691" w:rsidRPr="00085452">
          <w:rPr>
            <w:webHidden/>
          </w:rPr>
          <w:t>51</w:t>
        </w:r>
        <w:r w:rsidR="00C46691" w:rsidRPr="00085452">
          <w:rPr>
            <w:webHidden/>
          </w:rPr>
          <w:fldChar w:fldCharType="end"/>
        </w:r>
      </w:hyperlink>
    </w:p>
    <w:p w:rsidR="009555BC" w:rsidRPr="002F671E" w:rsidRDefault="00890033">
      <w:pPr>
        <w:pStyle w:val="TOC1"/>
        <w:rPr>
          <w:rFonts w:asciiTheme="minorHAnsi" w:hAnsiTheme="minorHAnsi" w:cstheme="minorBidi"/>
        </w:rPr>
      </w:pPr>
      <w:hyperlink w:anchor="_Toc357981087" w:history="1">
        <w:r w:rsidR="00D47A34">
          <w:rPr>
            <w:rStyle w:val="Hyperlink"/>
          </w:rPr>
          <w:t>Anexo 5: Plan de Apoyo a la Ejecución</w:t>
        </w:r>
        <w:r w:rsidR="00C46691" w:rsidRPr="00085452">
          <w:rPr>
            <w:webHidden/>
          </w:rPr>
          <w:tab/>
        </w:r>
        <w:r w:rsidR="00C46691" w:rsidRPr="00085452">
          <w:rPr>
            <w:webHidden/>
          </w:rPr>
          <w:fldChar w:fldCharType="begin"/>
        </w:r>
        <w:r w:rsidR="00C46691" w:rsidRPr="00085452">
          <w:rPr>
            <w:webHidden/>
          </w:rPr>
          <w:instrText xml:space="preserve"> PAGEREF _Toc357981087 \h </w:instrText>
        </w:r>
        <w:r w:rsidR="00C46691" w:rsidRPr="00085452">
          <w:rPr>
            <w:webHidden/>
          </w:rPr>
        </w:r>
        <w:r w:rsidR="00C46691" w:rsidRPr="00085452">
          <w:rPr>
            <w:webHidden/>
          </w:rPr>
          <w:fldChar w:fldCharType="separate"/>
        </w:r>
        <w:r w:rsidR="00C46691" w:rsidRPr="00085452">
          <w:rPr>
            <w:webHidden/>
          </w:rPr>
          <w:t>54</w:t>
        </w:r>
        <w:r w:rsidR="00C46691" w:rsidRPr="00085452">
          <w:rPr>
            <w:webHidden/>
          </w:rPr>
          <w:fldChar w:fldCharType="end"/>
        </w:r>
      </w:hyperlink>
    </w:p>
    <w:p w:rsidR="009555BC" w:rsidRPr="002F671E" w:rsidRDefault="00890033">
      <w:pPr>
        <w:pStyle w:val="TOC1"/>
        <w:rPr>
          <w:rFonts w:asciiTheme="minorHAnsi" w:hAnsiTheme="minorHAnsi" w:cstheme="minorBidi"/>
        </w:rPr>
      </w:pPr>
      <w:hyperlink w:anchor="_Toc357981088" w:history="1">
        <w:r w:rsidR="00D47A34">
          <w:rPr>
            <w:rStyle w:val="Hyperlink"/>
            <w:lang w:val="pt-BR"/>
          </w:rPr>
          <w:t>Anexo 6: Contexto Sectorial e Institucional</w:t>
        </w:r>
        <w:r w:rsidR="00C46691" w:rsidRPr="00085452">
          <w:rPr>
            <w:webHidden/>
          </w:rPr>
          <w:tab/>
        </w:r>
        <w:r w:rsidR="00C46691" w:rsidRPr="00085452">
          <w:rPr>
            <w:webHidden/>
          </w:rPr>
          <w:fldChar w:fldCharType="begin"/>
        </w:r>
        <w:r w:rsidR="00C46691" w:rsidRPr="00085452">
          <w:rPr>
            <w:webHidden/>
          </w:rPr>
          <w:instrText xml:space="preserve"> PAGEREF _Toc357981088 \h </w:instrText>
        </w:r>
        <w:r w:rsidR="00C46691" w:rsidRPr="00085452">
          <w:rPr>
            <w:webHidden/>
          </w:rPr>
        </w:r>
        <w:r w:rsidR="00C46691" w:rsidRPr="00085452">
          <w:rPr>
            <w:webHidden/>
          </w:rPr>
          <w:fldChar w:fldCharType="separate"/>
        </w:r>
        <w:r w:rsidR="00C46691" w:rsidRPr="00085452">
          <w:rPr>
            <w:webHidden/>
          </w:rPr>
          <w:t>56</w:t>
        </w:r>
        <w:r w:rsidR="00C46691" w:rsidRPr="00085452">
          <w:rPr>
            <w:webHidden/>
          </w:rPr>
          <w:fldChar w:fldCharType="end"/>
        </w:r>
      </w:hyperlink>
    </w:p>
    <w:p w:rsidR="009555BC" w:rsidRPr="002F671E" w:rsidRDefault="00890033">
      <w:pPr>
        <w:pStyle w:val="TOC1"/>
        <w:rPr>
          <w:rFonts w:asciiTheme="minorHAnsi" w:hAnsiTheme="minorHAnsi" w:cstheme="minorBidi"/>
        </w:rPr>
      </w:pPr>
      <w:hyperlink w:anchor="_Toc357981089" w:history="1">
        <w:r w:rsidR="00D47A34">
          <w:rPr>
            <w:rStyle w:val="Hyperlink"/>
          </w:rPr>
          <w:t>Anexo 7: Enfoque Estratégico para Mejorar la Capacidad de Nicaragua para Responder a Emergencias</w:t>
        </w:r>
        <w:r w:rsidR="00C46691" w:rsidRPr="00085452">
          <w:rPr>
            <w:webHidden/>
          </w:rPr>
          <w:tab/>
        </w:r>
        <w:r w:rsidR="00C46691" w:rsidRPr="00085452">
          <w:rPr>
            <w:webHidden/>
          </w:rPr>
          <w:fldChar w:fldCharType="begin"/>
        </w:r>
        <w:r w:rsidR="00C46691" w:rsidRPr="00085452">
          <w:rPr>
            <w:webHidden/>
          </w:rPr>
          <w:instrText xml:space="preserve"> PAGEREF _Toc357981089 \h </w:instrText>
        </w:r>
        <w:r w:rsidR="00C46691" w:rsidRPr="00085452">
          <w:rPr>
            <w:webHidden/>
          </w:rPr>
        </w:r>
        <w:r w:rsidR="00C46691" w:rsidRPr="00085452">
          <w:rPr>
            <w:webHidden/>
          </w:rPr>
          <w:fldChar w:fldCharType="separate"/>
        </w:r>
        <w:r w:rsidR="00C46691" w:rsidRPr="00085452">
          <w:rPr>
            <w:webHidden/>
          </w:rPr>
          <w:t>62</w:t>
        </w:r>
        <w:r w:rsidR="00C46691" w:rsidRPr="00085452">
          <w:rPr>
            <w:webHidden/>
          </w:rPr>
          <w:fldChar w:fldCharType="end"/>
        </w:r>
      </w:hyperlink>
    </w:p>
    <w:p w:rsidR="009555BC" w:rsidRPr="002F671E" w:rsidRDefault="00890033">
      <w:pPr>
        <w:pStyle w:val="TOC1"/>
        <w:rPr>
          <w:rFonts w:asciiTheme="minorHAnsi" w:hAnsiTheme="minorHAnsi" w:cstheme="minorBidi"/>
        </w:rPr>
      </w:pPr>
      <w:hyperlink w:anchor="_Toc357981090" w:history="1">
        <w:r w:rsidR="00D47A34">
          <w:rPr>
            <w:rStyle w:val="Hyperlink"/>
          </w:rPr>
          <w:t>Anexo 8 - Mapa</w:t>
        </w:r>
        <w:r w:rsidR="00C46691" w:rsidRPr="00085452">
          <w:rPr>
            <w:webHidden/>
          </w:rPr>
          <w:tab/>
        </w:r>
        <w:r w:rsidR="00C46691" w:rsidRPr="00085452">
          <w:rPr>
            <w:webHidden/>
          </w:rPr>
          <w:fldChar w:fldCharType="begin"/>
        </w:r>
        <w:r w:rsidR="00C46691" w:rsidRPr="00085452">
          <w:rPr>
            <w:webHidden/>
          </w:rPr>
          <w:instrText xml:space="preserve"> PAGEREF _Toc357981090 \h </w:instrText>
        </w:r>
        <w:r w:rsidR="00C46691" w:rsidRPr="00085452">
          <w:rPr>
            <w:webHidden/>
          </w:rPr>
        </w:r>
        <w:r w:rsidR="00C46691" w:rsidRPr="00085452">
          <w:rPr>
            <w:webHidden/>
          </w:rPr>
          <w:fldChar w:fldCharType="separate"/>
        </w:r>
        <w:r w:rsidR="00C46691" w:rsidRPr="00085452">
          <w:rPr>
            <w:webHidden/>
          </w:rPr>
          <w:t>66</w:t>
        </w:r>
        <w:r w:rsidR="00C46691" w:rsidRPr="00085452">
          <w:rPr>
            <w:webHidden/>
          </w:rPr>
          <w:fldChar w:fldCharType="end"/>
        </w:r>
      </w:hyperlink>
    </w:p>
    <w:p w:rsidR="004C7304" w:rsidRDefault="00C46691" w:rsidP="00685022">
      <w:pPr>
        <w:rPr>
          <w:lang w:val="es-ES"/>
        </w:rPr>
      </w:pPr>
      <w:r w:rsidRPr="00085452">
        <w:rPr>
          <w:lang w:val="es-ES"/>
        </w:rPr>
        <w:fldChar w:fldCharType="end"/>
      </w:r>
    </w:p>
    <w:p w:rsidR="00BA1338" w:rsidRDefault="00BA1338">
      <w:pPr>
        <w:rPr>
          <w:lang w:val="es-ES"/>
        </w:rPr>
      </w:pPr>
      <w:r>
        <w:rPr>
          <w:lang w:val="es-ES"/>
        </w:rPr>
        <w:br w:type="page"/>
      </w:r>
    </w:p>
    <w:p w:rsidR="00BA1338" w:rsidRPr="00976043" w:rsidRDefault="00BA1338" w:rsidP="00685022">
      <w:pPr>
        <w:rPr>
          <w:lang w:val="es-ES"/>
        </w:rPr>
      </w:pPr>
    </w:p>
    <w:tbl>
      <w:tblPr>
        <w:tblW w:w="9362"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362"/>
      </w:tblGrid>
      <w:tr w:rsidR="00CE7685" w:rsidRPr="00976043" w:rsidTr="00685022">
        <w:tc>
          <w:tcPr>
            <w:tcW w:w="9362" w:type="dxa"/>
            <w:tcBorders>
              <w:top w:val="nil"/>
              <w:left w:val="nil"/>
              <w:bottom w:val="nil"/>
              <w:right w:val="nil"/>
            </w:tcBorders>
            <w:shd w:val="clear" w:color="auto" w:fill="FFFFFF"/>
            <w:tcMar>
              <w:top w:w="50" w:type="dxa"/>
              <w:left w:w="50" w:type="dxa"/>
              <w:bottom w:w="50" w:type="dxa"/>
              <w:right w:w="50" w:type="dxa"/>
            </w:tcMar>
          </w:tcPr>
          <w:p w:rsidR="00CE7685" w:rsidRPr="00976043" w:rsidRDefault="00CE7685" w:rsidP="000547C2">
            <w:pPr>
              <w:rPr>
                <w:rFonts w:ascii="Times" w:hAnsi="Times" w:cs="Times"/>
                <w:color w:val="FFFFFF"/>
                <w:sz w:val="2"/>
                <w:szCs w:val="2"/>
                <w:lang w:val="es-ES"/>
              </w:rPr>
            </w:pPr>
          </w:p>
        </w:tc>
      </w:tr>
    </w:tbl>
    <w:p w:rsidR="00971692" w:rsidRPr="008F5EF4" w:rsidRDefault="00971692" w:rsidP="00971692">
      <w:pPr>
        <w:rPr>
          <w:sz w:val="16"/>
          <w:szCs w:val="16"/>
          <w:lang w:val="es-ES"/>
        </w:rPr>
      </w:pPr>
      <w:bookmarkStart w:id="2" w:name="_Toc40780194"/>
      <w:bookmarkStart w:id="3" w:name="_Toc295296834"/>
      <w:bookmarkEnd w:id="0"/>
    </w:p>
    <w:tbl>
      <w:tblPr>
        <w:tblW w:w="9639"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50"/>
        <w:gridCol w:w="526"/>
        <w:gridCol w:w="129"/>
        <w:gridCol w:w="13"/>
        <w:gridCol w:w="283"/>
        <w:gridCol w:w="9"/>
        <w:gridCol w:w="417"/>
        <w:gridCol w:w="120"/>
        <w:gridCol w:w="94"/>
        <w:gridCol w:w="468"/>
        <w:gridCol w:w="468"/>
        <w:gridCol w:w="94"/>
        <w:gridCol w:w="94"/>
        <w:gridCol w:w="221"/>
        <w:gridCol w:w="60"/>
        <w:gridCol w:w="374"/>
        <w:gridCol w:w="94"/>
        <w:gridCol w:w="468"/>
        <w:gridCol w:w="138"/>
        <w:gridCol w:w="142"/>
        <w:gridCol w:w="188"/>
        <w:gridCol w:w="95"/>
        <w:gridCol w:w="373"/>
        <w:gridCol w:w="187"/>
        <w:gridCol w:w="574"/>
        <w:gridCol w:w="175"/>
        <w:gridCol w:w="468"/>
        <w:gridCol w:w="66"/>
        <w:gridCol w:w="28"/>
        <w:gridCol w:w="374"/>
        <w:gridCol w:w="23"/>
        <w:gridCol w:w="164"/>
        <w:gridCol w:w="281"/>
        <w:gridCol w:w="122"/>
        <w:gridCol w:w="142"/>
        <w:gridCol w:w="17"/>
        <w:gridCol w:w="187"/>
        <w:gridCol w:w="221"/>
        <w:gridCol w:w="153"/>
        <w:gridCol w:w="272"/>
        <w:gridCol w:w="567"/>
      </w:tblGrid>
      <w:tr w:rsidR="00971692" w:rsidRPr="0097169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tcPr>
          <w:p w:rsidR="00971692" w:rsidRPr="00971692" w:rsidRDefault="00971692" w:rsidP="00971692">
            <w:pPr>
              <w:rPr>
                <w:rFonts w:ascii="Times" w:hAnsi="Times" w:cs="Times"/>
                <w:color w:val="FFFFFF"/>
                <w:sz w:val="2"/>
                <w:szCs w:val="2"/>
                <w:lang w:val="es-ES"/>
              </w:rPr>
            </w:pPr>
            <w:r w:rsidRPr="00971692">
              <w:rPr>
                <w:rFonts w:ascii="Times" w:hAnsi="Times" w:cs="Times"/>
                <w:color w:val="FFFFFF"/>
                <w:sz w:val="2"/>
                <w:szCs w:val="2"/>
                <w:lang w:val="es-ES"/>
              </w:rPr>
              <w:t>.</w:t>
            </w:r>
          </w:p>
        </w:tc>
      </w:tr>
      <w:tr w:rsidR="00971692" w:rsidRPr="0097169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vAlign w:val="center"/>
          </w:tcPr>
          <w:p w:rsidR="00971692" w:rsidRPr="00971692" w:rsidRDefault="00971692" w:rsidP="00971692">
            <w:pPr>
              <w:jc w:val="center"/>
              <w:rPr>
                <w:lang w:val="es-ES"/>
              </w:rPr>
            </w:pPr>
            <w:r w:rsidRPr="00971692">
              <w:rPr>
                <w:b/>
                <w:bCs/>
                <w:lang w:val="es-ES"/>
              </w:rPr>
              <w:t>FICHA DE DATOS PAD</w:t>
            </w:r>
          </w:p>
        </w:tc>
      </w:tr>
      <w:tr w:rsidR="00971692" w:rsidRPr="0097169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vAlign w:val="center"/>
          </w:tcPr>
          <w:p w:rsidR="00971692" w:rsidRPr="00971692" w:rsidRDefault="00971692" w:rsidP="00971692">
            <w:pPr>
              <w:jc w:val="center"/>
              <w:rPr>
                <w:lang w:val="es-ES"/>
              </w:rPr>
            </w:pPr>
            <w:r w:rsidRPr="00971692">
              <w:rPr>
                <w:i/>
                <w:iCs/>
                <w:lang w:val="es-ES"/>
              </w:rPr>
              <w:t>Nicaragua</w:t>
            </w:r>
          </w:p>
        </w:tc>
      </w:tr>
      <w:tr w:rsidR="00971692" w:rsidRPr="0008545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vAlign w:val="center"/>
          </w:tcPr>
          <w:p w:rsidR="00971692" w:rsidRPr="00971692" w:rsidRDefault="00971692" w:rsidP="00971692">
            <w:pPr>
              <w:jc w:val="center"/>
              <w:rPr>
                <w:lang w:val="es-ES"/>
              </w:rPr>
            </w:pPr>
            <w:r w:rsidRPr="00971692">
              <w:rPr>
                <w:i/>
                <w:iCs/>
                <w:lang w:val="es-ES"/>
              </w:rPr>
              <w:t>Segundo Proyecto de Ordenamiento de la Propiedad (P121152)</w:t>
            </w:r>
          </w:p>
        </w:tc>
      </w:tr>
      <w:tr w:rsidR="00971692" w:rsidRPr="0008545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vAlign w:val="center"/>
          </w:tcPr>
          <w:p w:rsidR="00971692" w:rsidRPr="00971692" w:rsidRDefault="00971692" w:rsidP="00971692">
            <w:pPr>
              <w:jc w:val="center"/>
              <w:rPr>
                <w:lang w:val="es-ES"/>
              </w:rPr>
            </w:pPr>
            <w:r w:rsidRPr="00971692">
              <w:rPr>
                <w:b/>
                <w:bCs/>
                <w:lang w:val="es-ES"/>
              </w:rPr>
              <w:t>DOCUMENTO DE EVALUACIÓN DEL PROYECTO</w:t>
            </w:r>
          </w:p>
        </w:tc>
      </w:tr>
      <w:tr w:rsidR="00971692" w:rsidRPr="0097169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tcPr>
          <w:p w:rsidR="00971692" w:rsidRPr="00971692" w:rsidRDefault="00971692" w:rsidP="00971692">
            <w:pPr>
              <w:rPr>
                <w:rFonts w:ascii="Times" w:hAnsi="Times" w:cs="Times"/>
                <w:color w:val="FFFFFF"/>
                <w:sz w:val="2"/>
                <w:szCs w:val="2"/>
                <w:lang w:val="es-ES"/>
              </w:rPr>
            </w:pPr>
            <w:r w:rsidRPr="00971692">
              <w:rPr>
                <w:rFonts w:ascii="Times" w:hAnsi="Times" w:cs="Times"/>
                <w:color w:val="FFFFFF"/>
                <w:sz w:val="2"/>
                <w:szCs w:val="2"/>
                <w:lang w:val="es-ES"/>
              </w:rPr>
              <w:t>.</w:t>
            </w:r>
          </w:p>
        </w:tc>
      </w:tr>
      <w:tr w:rsidR="00971692" w:rsidRPr="0008545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vAlign w:val="center"/>
          </w:tcPr>
          <w:p w:rsidR="00971692" w:rsidRPr="00971692" w:rsidRDefault="00971692" w:rsidP="00971692">
            <w:pPr>
              <w:jc w:val="center"/>
              <w:rPr>
                <w:i/>
                <w:iCs/>
                <w:lang w:val="es-ES"/>
              </w:rPr>
            </w:pPr>
            <w:bookmarkStart w:id="4" w:name="REGION_NAME"/>
            <w:r w:rsidRPr="00971692">
              <w:rPr>
                <w:i/>
                <w:iCs/>
                <w:lang w:val="es-ES"/>
              </w:rPr>
              <w:t>AMÉRICA LATINA Y EL CARIBE</w:t>
            </w:r>
            <w:bookmarkEnd w:id="4"/>
          </w:p>
        </w:tc>
      </w:tr>
      <w:tr w:rsidR="00971692" w:rsidRPr="00971692" w:rsidTr="00B40C7B">
        <w:trPr>
          <w:trHeight w:val="276"/>
        </w:trPr>
        <w:tc>
          <w:tcPr>
            <w:tcW w:w="9639" w:type="dxa"/>
            <w:gridSpan w:val="41"/>
            <w:vMerge w:val="restart"/>
            <w:tcBorders>
              <w:top w:val="nil"/>
              <w:left w:val="nil"/>
              <w:bottom w:val="nil"/>
              <w:right w:val="nil"/>
            </w:tcBorders>
            <w:shd w:val="clear" w:color="auto" w:fill="FFFFFF"/>
            <w:tcMar>
              <w:top w:w="50" w:type="dxa"/>
              <w:left w:w="50" w:type="dxa"/>
              <w:bottom w:w="50" w:type="dxa"/>
              <w:right w:w="50" w:type="dxa"/>
            </w:tcMar>
          </w:tcPr>
          <w:p w:rsidR="00971692" w:rsidRPr="008F5EF4" w:rsidRDefault="00213454" w:rsidP="00971692">
            <w:pPr>
              <w:jc w:val="center"/>
              <w:rPr>
                <w:sz w:val="22"/>
                <w:szCs w:val="22"/>
                <w:lang w:val="es-ES"/>
              </w:rPr>
            </w:pPr>
            <w:r w:rsidRPr="008F5EF4">
              <w:rPr>
                <w:i/>
                <w:iCs/>
                <w:sz w:val="22"/>
                <w:szCs w:val="22"/>
                <w:lang w:val="es-ES"/>
              </w:rPr>
              <w:t>LCSAR</w:t>
            </w:r>
          </w:p>
        </w:tc>
      </w:tr>
      <w:tr w:rsidR="00971692" w:rsidRPr="00971692" w:rsidTr="00B40C7B">
        <w:trPr>
          <w:trHeight w:val="253"/>
        </w:trPr>
        <w:tc>
          <w:tcPr>
            <w:tcW w:w="9639" w:type="dxa"/>
            <w:gridSpan w:val="41"/>
            <w:vMerge/>
            <w:tcBorders>
              <w:top w:val="nil"/>
              <w:left w:val="nil"/>
              <w:bottom w:val="nil"/>
              <w:right w:val="nil"/>
            </w:tcBorders>
            <w:shd w:val="clear" w:color="auto" w:fill="FFFFFF"/>
            <w:tcMar>
              <w:top w:w="50" w:type="dxa"/>
              <w:left w:w="50" w:type="dxa"/>
              <w:bottom w:w="50" w:type="dxa"/>
              <w:right w:w="50" w:type="dxa"/>
            </w:tcMar>
          </w:tcPr>
          <w:p w:rsidR="00971692" w:rsidRPr="008F5EF4" w:rsidRDefault="00971692" w:rsidP="00971692">
            <w:pPr>
              <w:rPr>
                <w:sz w:val="22"/>
                <w:szCs w:val="22"/>
                <w:lang w:val="es-ES"/>
              </w:rPr>
            </w:pPr>
          </w:p>
        </w:tc>
      </w:tr>
      <w:tr w:rsidR="00971692" w:rsidRPr="00971692" w:rsidTr="00B40C7B">
        <w:tc>
          <w:tcPr>
            <w:tcW w:w="9639" w:type="dxa"/>
            <w:gridSpan w:val="41"/>
            <w:tcBorders>
              <w:top w:val="nil"/>
              <w:left w:val="nil"/>
              <w:bottom w:val="nil"/>
              <w:right w:val="nil"/>
            </w:tcBorders>
            <w:shd w:val="clear" w:color="auto" w:fill="FFFFFF"/>
            <w:tcMar>
              <w:top w:w="50" w:type="dxa"/>
              <w:left w:w="50" w:type="dxa"/>
              <w:bottom w:w="50" w:type="dxa"/>
              <w:right w:w="50" w:type="dxa"/>
            </w:tcMar>
            <w:vAlign w:val="center"/>
          </w:tcPr>
          <w:p w:rsidR="00971692" w:rsidRPr="008F5EF4" w:rsidRDefault="00971692" w:rsidP="00971692">
            <w:pPr>
              <w:jc w:val="right"/>
              <w:rPr>
                <w:sz w:val="22"/>
                <w:szCs w:val="22"/>
                <w:lang w:val="es-ES"/>
              </w:rPr>
            </w:pPr>
            <w:r w:rsidRPr="008F5EF4">
              <w:rPr>
                <w:sz w:val="22"/>
                <w:szCs w:val="22"/>
                <w:lang w:val="es-ES"/>
              </w:rPr>
              <w:t>Informe No.: PAD454</w:t>
            </w:r>
          </w:p>
        </w:tc>
      </w:tr>
      <w:tr w:rsidR="00971692" w:rsidRPr="00246399" w:rsidTr="00246399">
        <w:trPr>
          <w:trHeight w:val="27"/>
        </w:trPr>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971692" w:rsidRPr="00BB2577" w:rsidRDefault="00971692" w:rsidP="00971692">
            <w:pPr>
              <w:jc w:val="center"/>
              <w:rPr>
                <w:lang w:val="es-ES"/>
              </w:rPr>
            </w:pPr>
            <w:r w:rsidRPr="00BB2577">
              <w:rPr>
                <w:b/>
                <w:bCs/>
                <w:lang w:val="es-ES"/>
              </w:rPr>
              <w:t>Información Básica</w:t>
            </w:r>
          </w:p>
        </w:tc>
      </w:tr>
      <w:tr w:rsidR="00971692" w:rsidRPr="00971692" w:rsidTr="00B40C7B">
        <w:tc>
          <w:tcPr>
            <w:tcW w:w="1276" w:type="dxa"/>
            <w:gridSpan w:val="2"/>
            <w:tcBorders>
              <w:top w:val="nil"/>
              <w:left w:val="single" w:sz="4" w:space="0" w:color="000000"/>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Proyecto ID</w:t>
            </w:r>
          </w:p>
        </w:tc>
        <w:tc>
          <w:tcPr>
            <w:tcW w:w="3544" w:type="dxa"/>
            <w:gridSpan w:val="17"/>
            <w:tcBorders>
              <w:top w:val="nil"/>
              <w:left w:val="nil"/>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Instrumento Crediticio</w:t>
            </w:r>
          </w:p>
        </w:tc>
        <w:tc>
          <w:tcPr>
            <w:tcW w:w="2268" w:type="dxa"/>
            <w:gridSpan w:val="9"/>
            <w:tcBorders>
              <w:top w:val="nil"/>
              <w:left w:val="nil"/>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Categoría EA</w:t>
            </w:r>
          </w:p>
        </w:tc>
        <w:tc>
          <w:tcPr>
            <w:tcW w:w="2551" w:type="dxa"/>
            <w:gridSpan w:val="13"/>
            <w:tcBorders>
              <w:top w:val="nil"/>
              <w:left w:val="nil"/>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Gerente de Proyecto</w:t>
            </w:r>
          </w:p>
        </w:tc>
      </w:tr>
      <w:tr w:rsidR="00971692" w:rsidRPr="00971692" w:rsidTr="00B40C7B">
        <w:tc>
          <w:tcPr>
            <w:tcW w:w="1276" w:type="dxa"/>
            <w:gridSpan w:val="2"/>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P121152</w:t>
            </w:r>
          </w:p>
        </w:tc>
        <w:tc>
          <w:tcPr>
            <w:tcW w:w="3544" w:type="dxa"/>
            <w:gridSpan w:val="17"/>
            <w:tcBorders>
              <w:top w:val="nil"/>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Préstamo para Inversión</w:t>
            </w:r>
            <w:bookmarkStart w:id="5" w:name="INSTR_NAME"/>
            <w:bookmarkEnd w:id="5"/>
            <w:r w:rsidR="00C073BA">
              <w:rPr>
                <w:sz w:val="22"/>
                <w:szCs w:val="22"/>
                <w:lang w:val="es-ES"/>
              </w:rPr>
              <w:t xml:space="preserve"> </w:t>
            </w:r>
            <w:r w:rsidRPr="00BB2577">
              <w:rPr>
                <w:sz w:val="22"/>
                <w:szCs w:val="22"/>
                <w:lang w:val="es-ES"/>
              </w:rPr>
              <w:t>Específica</w:t>
            </w:r>
          </w:p>
        </w:tc>
        <w:tc>
          <w:tcPr>
            <w:tcW w:w="2268" w:type="dxa"/>
            <w:gridSpan w:val="9"/>
            <w:tcBorders>
              <w:top w:val="nil"/>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xml:space="preserve">B -Evaluación Parcial </w:t>
            </w:r>
          </w:p>
        </w:tc>
        <w:tc>
          <w:tcPr>
            <w:tcW w:w="2551" w:type="dxa"/>
            <w:gridSpan w:val="13"/>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Enrique Pantoja</w:t>
            </w:r>
          </w:p>
        </w:tc>
      </w:tr>
      <w:tr w:rsidR="00971692" w:rsidRPr="00085452" w:rsidTr="00B40C7B">
        <w:tc>
          <w:tcPr>
            <w:tcW w:w="4820" w:type="dxa"/>
            <w:gridSpan w:val="19"/>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Fecha de inicio del Proyecto</w:t>
            </w:r>
          </w:p>
        </w:tc>
        <w:tc>
          <w:tcPr>
            <w:tcW w:w="4819" w:type="dxa"/>
            <w:gridSpan w:val="22"/>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 xml:space="preserve">Fecha de finalización del Proyecto </w:t>
            </w:r>
          </w:p>
        </w:tc>
      </w:tr>
      <w:tr w:rsidR="00971692" w:rsidRPr="00971692" w:rsidTr="00B40C7B">
        <w:tc>
          <w:tcPr>
            <w:tcW w:w="4820" w:type="dxa"/>
            <w:gridSpan w:val="19"/>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01-jul-2013</w:t>
            </w:r>
          </w:p>
        </w:tc>
        <w:tc>
          <w:tcPr>
            <w:tcW w:w="4819" w:type="dxa"/>
            <w:gridSpan w:val="2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30-jun-2018</w:t>
            </w:r>
          </w:p>
        </w:tc>
      </w:tr>
      <w:tr w:rsidR="00971692" w:rsidRPr="00971692" w:rsidTr="00B40C7B">
        <w:tc>
          <w:tcPr>
            <w:tcW w:w="4820" w:type="dxa"/>
            <w:gridSpan w:val="19"/>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Entrada en vigor</w:t>
            </w:r>
          </w:p>
        </w:tc>
        <w:tc>
          <w:tcPr>
            <w:tcW w:w="4819" w:type="dxa"/>
            <w:gridSpan w:val="22"/>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Fecha de cierre</w:t>
            </w:r>
          </w:p>
        </w:tc>
      </w:tr>
      <w:tr w:rsidR="00971692" w:rsidRPr="00971692" w:rsidTr="00B40C7B">
        <w:tc>
          <w:tcPr>
            <w:tcW w:w="4820" w:type="dxa"/>
            <w:gridSpan w:val="19"/>
            <w:tcBorders>
              <w:top w:val="nil"/>
              <w:left w:val="single" w:sz="4" w:space="0" w:color="000000"/>
              <w:bottom w:val="single" w:sz="4" w:space="0" w:color="000000"/>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30-jun-2013</w:t>
            </w:r>
          </w:p>
        </w:tc>
        <w:tc>
          <w:tcPr>
            <w:tcW w:w="4819" w:type="dxa"/>
            <w:gridSpan w:val="2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31-dic-2018</w:t>
            </w:r>
          </w:p>
        </w:tc>
      </w:tr>
      <w:tr w:rsidR="00971692" w:rsidRPr="00340121" w:rsidTr="00B40C7B">
        <w:tc>
          <w:tcPr>
            <w:tcW w:w="4820" w:type="dxa"/>
            <w:gridSpan w:val="19"/>
            <w:tcBorders>
              <w:top w:val="single" w:sz="4" w:space="0" w:color="000000"/>
              <w:left w:val="single" w:sz="4" w:space="0" w:color="000000"/>
              <w:bottom w:val="single" w:sz="4" w:space="0" w:color="auto"/>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¿En conjunto con la IFC?</w:t>
            </w:r>
            <w:r w:rsidR="00213454" w:rsidRPr="00BB2577">
              <w:rPr>
                <w:sz w:val="22"/>
                <w:szCs w:val="22"/>
                <w:lang w:val="es-ES"/>
              </w:rPr>
              <w:t xml:space="preserve"> No</w:t>
            </w:r>
          </w:p>
        </w:tc>
        <w:tc>
          <w:tcPr>
            <w:tcW w:w="4819" w:type="dxa"/>
            <w:gridSpan w:val="22"/>
            <w:tcBorders>
              <w:top w:val="single" w:sz="4" w:space="0" w:color="000000"/>
              <w:left w:val="nil"/>
              <w:bottom w:val="single" w:sz="4" w:space="0" w:color="auto"/>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p>
        </w:tc>
      </w:tr>
      <w:tr w:rsidR="00971692" w:rsidRPr="00971692" w:rsidTr="00B40C7B">
        <w:tc>
          <w:tcPr>
            <w:tcW w:w="2341" w:type="dxa"/>
            <w:gridSpan w:val="9"/>
            <w:tcBorders>
              <w:top w:val="single" w:sz="4" w:space="0" w:color="auto"/>
              <w:left w:val="single" w:sz="4" w:space="0" w:color="000000"/>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 xml:space="preserve">Gerente de Sector </w:t>
            </w:r>
          </w:p>
        </w:tc>
        <w:tc>
          <w:tcPr>
            <w:tcW w:w="2479" w:type="dxa"/>
            <w:gridSpan w:val="10"/>
            <w:tcBorders>
              <w:top w:val="single" w:sz="4" w:space="0" w:color="auto"/>
              <w:left w:val="nil"/>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 xml:space="preserve">Director de Sector </w:t>
            </w:r>
          </w:p>
        </w:tc>
        <w:tc>
          <w:tcPr>
            <w:tcW w:w="2202" w:type="dxa"/>
            <w:gridSpan w:val="8"/>
            <w:tcBorders>
              <w:top w:val="single" w:sz="4" w:space="0" w:color="auto"/>
              <w:left w:val="nil"/>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Director de País</w:t>
            </w:r>
          </w:p>
        </w:tc>
        <w:tc>
          <w:tcPr>
            <w:tcW w:w="2617" w:type="dxa"/>
            <w:gridSpan w:val="14"/>
            <w:tcBorders>
              <w:top w:val="single" w:sz="4" w:space="0" w:color="auto"/>
              <w:left w:val="nil"/>
              <w:bottom w:val="nil"/>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Vice Presidente Regional</w:t>
            </w:r>
          </w:p>
        </w:tc>
      </w:tr>
      <w:tr w:rsidR="00971692" w:rsidRPr="00971692" w:rsidTr="00B40C7B">
        <w:tc>
          <w:tcPr>
            <w:tcW w:w="2341" w:type="dxa"/>
            <w:gridSpan w:val="9"/>
            <w:tcBorders>
              <w:top w:val="nil"/>
              <w:left w:val="single" w:sz="4" w:space="0" w:color="000000"/>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Laurent Msellati</w:t>
            </w:r>
          </w:p>
        </w:tc>
        <w:tc>
          <w:tcPr>
            <w:tcW w:w="2479" w:type="dxa"/>
            <w:gridSpan w:val="10"/>
            <w:tcBorders>
              <w:top w:val="nil"/>
              <w:left w:val="nil"/>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Ede Jorge Ijjasz-V</w:t>
            </w:r>
            <w:r w:rsidR="00C073BA">
              <w:rPr>
                <w:sz w:val="22"/>
                <w:szCs w:val="22"/>
                <w:lang w:val="es-ES"/>
              </w:rPr>
              <w:t>á</w:t>
            </w:r>
            <w:r w:rsidRPr="00BB2577">
              <w:rPr>
                <w:sz w:val="22"/>
                <w:szCs w:val="22"/>
                <w:lang w:val="es-ES"/>
              </w:rPr>
              <w:t>squez</w:t>
            </w:r>
          </w:p>
        </w:tc>
        <w:tc>
          <w:tcPr>
            <w:tcW w:w="2202" w:type="dxa"/>
            <w:gridSpan w:val="8"/>
            <w:tcBorders>
              <w:top w:val="nil"/>
              <w:left w:val="nil"/>
              <w:bottom w:val="nil"/>
              <w:right w:val="nil"/>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Carlos Felipe Jaramillo</w:t>
            </w:r>
          </w:p>
        </w:tc>
        <w:tc>
          <w:tcPr>
            <w:tcW w:w="2617" w:type="dxa"/>
            <w:gridSpan w:val="14"/>
            <w:tcBorders>
              <w:top w:val="nil"/>
              <w:left w:val="nil"/>
              <w:bottom w:val="nil"/>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Hasan A. Tuluy</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B01BE">
            <w:pPr>
              <w:rPr>
                <w:sz w:val="22"/>
                <w:szCs w:val="22"/>
                <w:lang w:val="es-ES"/>
              </w:rPr>
            </w:pPr>
            <w:r w:rsidRPr="00BB2577">
              <w:rPr>
                <w:sz w:val="22"/>
                <w:szCs w:val="22"/>
                <w:lang w:val="es-ES"/>
              </w:rPr>
              <w:t>Prestatario: República de Nicaragua</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BB2577" w:rsidRDefault="00971692" w:rsidP="00971692">
            <w:pPr>
              <w:rPr>
                <w:sz w:val="22"/>
                <w:szCs w:val="22"/>
                <w:lang w:val="es-ES"/>
              </w:rPr>
            </w:pPr>
            <w:r w:rsidRPr="00BB2577">
              <w:rPr>
                <w:sz w:val="22"/>
                <w:szCs w:val="22"/>
                <w:lang w:val="es-ES"/>
              </w:rPr>
              <w:t>Entidad responsable: Procuraduría General de la República (PGR)</w:t>
            </w:r>
          </w:p>
        </w:tc>
      </w:tr>
      <w:tr w:rsidR="00971692" w:rsidRPr="00971692" w:rsidTr="00B40C7B">
        <w:tc>
          <w:tcPr>
            <w:tcW w:w="1710" w:type="dxa"/>
            <w:gridSpan w:val="6"/>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xml:space="preserve">    Contacto:</w:t>
            </w:r>
          </w:p>
        </w:tc>
        <w:tc>
          <w:tcPr>
            <w:tcW w:w="2972" w:type="dxa"/>
            <w:gridSpan w:val="12"/>
            <w:tcBorders>
              <w:top w:val="single" w:sz="4" w:space="0" w:color="000000"/>
              <w:left w:val="nil"/>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Dr. Hernán Estrada</w:t>
            </w:r>
          </w:p>
        </w:tc>
        <w:tc>
          <w:tcPr>
            <w:tcW w:w="936"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xml:space="preserve">    Cargo:</w:t>
            </w:r>
          </w:p>
        </w:tc>
        <w:tc>
          <w:tcPr>
            <w:tcW w:w="4021" w:type="dxa"/>
            <w:gridSpan w:val="18"/>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Procurador General</w:t>
            </w:r>
          </w:p>
        </w:tc>
      </w:tr>
      <w:tr w:rsidR="00971692" w:rsidRPr="00D333DA" w:rsidTr="00B40C7B">
        <w:tc>
          <w:tcPr>
            <w:tcW w:w="1710" w:type="dxa"/>
            <w:gridSpan w:val="6"/>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xml:space="preserve">    Teléfono No.:</w:t>
            </w:r>
          </w:p>
        </w:tc>
        <w:tc>
          <w:tcPr>
            <w:tcW w:w="2972" w:type="dxa"/>
            <w:gridSpan w:val="12"/>
            <w:tcBorders>
              <w:top w:val="nil"/>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505-2266-4416</w:t>
            </w:r>
          </w:p>
        </w:tc>
        <w:tc>
          <w:tcPr>
            <w:tcW w:w="936" w:type="dxa"/>
            <w:gridSpan w:val="5"/>
            <w:tcBorders>
              <w:top w:val="nil"/>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xml:space="preserve">    Email:</w:t>
            </w:r>
          </w:p>
        </w:tc>
        <w:tc>
          <w:tcPr>
            <w:tcW w:w="4021" w:type="dxa"/>
            <w:gridSpan w:val="18"/>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D333DA" w:rsidRDefault="00D333DA" w:rsidP="00D333DA">
            <w:pPr>
              <w:rPr>
                <w:sz w:val="22"/>
                <w:szCs w:val="22"/>
                <w:lang w:val="es-ES"/>
              </w:rPr>
            </w:pPr>
            <w:r w:rsidRPr="00085452">
              <w:t>hesa@pgr.gob.ni</w:t>
            </w:r>
          </w:p>
        </w:tc>
      </w:tr>
      <w:tr w:rsidR="00971692" w:rsidRPr="00D333DA"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971692" w:rsidRPr="00BB2577" w:rsidRDefault="00971692" w:rsidP="00971692">
            <w:pPr>
              <w:jc w:val="center"/>
              <w:rPr>
                <w:sz w:val="22"/>
                <w:szCs w:val="22"/>
                <w:lang w:val="es-ES"/>
              </w:rPr>
            </w:pPr>
            <w:r w:rsidRPr="00BB2577">
              <w:rPr>
                <w:b/>
                <w:bCs/>
                <w:sz w:val="22"/>
                <w:szCs w:val="22"/>
                <w:lang w:val="es-ES"/>
              </w:rPr>
              <w:t>Datos Financieros del Proyecto (US$M)</w:t>
            </w:r>
          </w:p>
        </w:tc>
      </w:tr>
      <w:tr w:rsidR="00971692" w:rsidRPr="00085452" w:rsidTr="00B40C7B">
        <w:tc>
          <w:tcPr>
            <w:tcW w:w="750" w:type="dxa"/>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w:t>
            </w:r>
          </w:p>
        </w:tc>
        <w:tc>
          <w:tcPr>
            <w:tcW w:w="951"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Préstamo</w:t>
            </w:r>
          </w:p>
        </w:tc>
        <w:tc>
          <w:tcPr>
            <w:tcW w:w="546"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w:t>
            </w:r>
          </w:p>
        </w:tc>
        <w:tc>
          <w:tcPr>
            <w:tcW w:w="1124"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Donación</w:t>
            </w:r>
          </w:p>
        </w:tc>
        <w:tc>
          <w:tcPr>
            <w:tcW w:w="749" w:type="dxa"/>
            <w:gridSpan w:val="4"/>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9F3769" w:rsidRDefault="00C46691" w:rsidP="00971692">
            <w:pPr>
              <w:rPr>
                <w:sz w:val="22"/>
                <w:szCs w:val="22"/>
                <w:lang w:val="es-ES"/>
              </w:rPr>
            </w:pPr>
            <w:r w:rsidRPr="009F3769">
              <w:rPr>
                <w:sz w:val="22"/>
                <w:szCs w:val="22"/>
                <w:lang w:val="es-ES"/>
              </w:rPr>
              <w:t>[   ]</w:t>
            </w:r>
          </w:p>
        </w:tc>
        <w:tc>
          <w:tcPr>
            <w:tcW w:w="5519" w:type="dxa"/>
            <w:gridSpan w:val="25"/>
            <w:vMerge w:val="restart"/>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C46691" w:rsidP="009F3769">
            <w:pPr>
              <w:rPr>
                <w:i/>
                <w:sz w:val="22"/>
                <w:szCs w:val="22"/>
                <w:lang w:val="es-ES"/>
              </w:rPr>
            </w:pPr>
            <w:r w:rsidRPr="009F3769">
              <w:rPr>
                <w:sz w:val="22"/>
                <w:szCs w:val="22"/>
                <w:lang w:val="es-ES"/>
              </w:rPr>
              <w:t xml:space="preserve">Plazo: El crédito tendrá plazos estándares, con un periodo de gracia de 10 años, con vencimiento a los 40 años </w:t>
            </w:r>
          </w:p>
        </w:tc>
      </w:tr>
      <w:tr w:rsidR="00971692" w:rsidRPr="00971692" w:rsidTr="00B40C7B">
        <w:tc>
          <w:tcPr>
            <w:tcW w:w="750" w:type="dxa"/>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 ]</w:t>
            </w:r>
          </w:p>
        </w:tc>
        <w:tc>
          <w:tcPr>
            <w:tcW w:w="951"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Crédito</w:t>
            </w:r>
          </w:p>
        </w:tc>
        <w:tc>
          <w:tcPr>
            <w:tcW w:w="546"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   ]</w:t>
            </w:r>
          </w:p>
        </w:tc>
        <w:tc>
          <w:tcPr>
            <w:tcW w:w="1124"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Garantía</w:t>
            </w:r>
          </w:p>
        </w:tc>
        <w:tc>
          <w:tcPr>
            <w:tcW w:w="749" w:type="dxa"/>
            <w:gridSpan w:val="4"/>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p>
        </w:tc>
        <w:tc>
          <w:tcPr>
            <w:tcW w:w="5519" w:type="dxa"/>
            <w:gridSpan w:val="25"/>
            <w:vMerge/>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p>
        </w:tc>
      </w:tr>
      <w:tr w:rsidR="00971692" w:rsidRPr="00971692" w:rsidTr="00B40C7B">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Para Préstamos/Créditos/Otros</w:t>
            </w:r>
          </w:p>
        </w:tc>
      </w:tr>
      <w:tr w:rsidR="00971692" w:rsidRPr="00971692" w:rsidTr="00B40C7B">
        <w:tc>
          <w:tcPr>
            <w:tcW w:w="3686" w:type="dxa"/>
            <w:gridSpan w:val="14"/>
            <w:tcBorders>
              <w:top w:val="nil"/>
              <w:left w:val="single" w:sz="4" w:space="0" w:color="000000"/>
              <w:bottom w:val="nil"/>
              <w:right w:val="nil"/>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Costo Total del Proyecto (US$M):</w:t>
            </w:r>
          </w:p>
        </w:tc>
        <w:tc>
          <w:tcPr>
            <w:tcW w:w="5953" w:type="dxa"/>
            <w:gridSpan w:val="27"/>
            <w:tcBorders>
              <w:top w:val="nil"/>
              <w:left w:val="nil"/>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40.00</w:t>
            </w:r>
          </w:p>
        </w:tc>
      </w:tr>
      <w:tr w:rsidR="00971692" w:rsidRPr="00971692" w:rsidTr="00B40C7B">
        <w:tc>
          <w:tcPr>
            <w:tcW w:w="3686" w:type="dxa"/>
            <w:gridSpan w:val="14"/>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Financiación Total del Banco (US$M):</w:t>
            </w:r>
          </w:p>
        </w:tc>
        <w:tc>
          <w:tcPr>
            <w:tcW w:w="5953" w:type="dxa"/>
            <w:gridSpan w:val="2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sz w:val="22"/>
                <w:szCs w:val="22"/>
                <w:lang w:val="es-ES"/>
              </w:rPr>
            </w:pPr>
            <w:r w:rsidRPr="00BB2577">
              <w:rPr>
                <w:sz w:val="22"/>
                <w:szCs w:val="22"/>
                <w:lang w:val="es-ES"/>
              </w:rPr>
              <w:t>40.00</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F671E" w:rsidRDefault="00971692" w:rsidP="00971692">
            <w:pPr>
              <w:rPr>
                <w:rFonts w:ascii="Times" w:hAnsi="Times" w:cs="Times"/>
                <w:sz w:val="4"/>
                <w:szCs w:val="4"/>
                <w:lang w:val="es-ES"/>
              </w:rPr>
            </w:pPr>
          </w:p>
        </w:tc>
      </w:tr>
      <w:tr w:rsidR="00971692" w:rsidRPr="00971692" w:rsidTr="00B40C7B">
        <w:tc>
          <w:tcPr>
            <w:tcW w:w="4214"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Fuente de Financiamiento</w:t>
            </w:r>
          </w:p>
        </w:tc>
        <w:tc>
          <w:tcPr>
            <w:tcW w:w="5425"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jc w:val="right"/>
              <w:rPr>
                <w:sz w:val="22"/>
                <w:szCs w:val="22"/>
                <w:lang w:val="es-ES"/>
              </w:rPr>
            </w:pPr>
            <w:r w:rsidRPr="00BB2577">
              <w:rPr>
                <w:b/>
                <w:bCs/>
                <w:sz w:val="22"/>
                <w:szCs w:val="22"/>
                <w:lang w:val="es-ES"/>
              </w:rPr>
              <w:t>Cantidad (US$M)</w:t>
            </w:r>
          </w:p>
        </w:tc>
      </w:tr>
      <w:tr w:rsidR="00971692" w:rsidRPr="00971692" w:rsidTr="00B40C7B">
        <w:tc>
          <w:tcPr>
            <w:tcW w:w="4214"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ENTIDAD PRESTATARIA/BENEFICIARIA</w:t>
            </w:r>
          </w:p>
        </w:tc>
        <w:tc>
          <w:tcPr>
            <w:tcW w:w="5425" w:type="dxa"/>
            <w:gridSpan w:val="2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jc w:val="right"/>
              <w:rPr>
                <w:sz w:val="22"/>
                <w:szCs w:val="22"/>
                <w:lang w:val="es-ES"/>
              </w:rPr>
            </w:pPr>
            <w:r w:rsidRPr="00BB2577">
              <w:rPr>
                <w:sz w:val="22"/>
                <w:szCs w:val="22"/>
                <w:lang w:val="es-ES"/>
              </w:rPr>
              <w:t>0.00</w:t>
            </w:r>
          </w:p>
        </w:tc>
      </w:tr>
      <w:tr w:rsidR="00971692" w:rsidRPr="00971692" w:rsidTr="00B40C7B">
        <w:tc>
          <w:tcPr>
            <w:tcW w:w="4214"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Asociación Internacional de Fomento(AIF)</w:t>
            </w:r>
          </w:p>
        </w:tc>
        <w:tc>
          <w:tcPr>
            <w:tcW w:w="5425" w:type="dxa"/>
            <w:gridSpan w:val="2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jc w:val="right"/>
              <w:rPr>
                <w:sz w:val="22"/>
                <w:szCs w:val="22"/>
                <w:lang w:val="es-ES"/>
              </w:rPr>
            </w:pPr>
            <w:r w:rsidRPr="00BB2577">
              <w:rPr>
                <w:sz w:val="22"/>
                <w:szCs w:val="22"/>
                <w:lang w:val="es-ES"/>
              </w:rPr>
              <w:t>40.00</w:t>
            </w:r>
          </w:p>
        </w:tc>
      </w:tr>
      <w:tr w:rsidR="00971692" w:rsidRPr="00971692" w:rsidTr="00B40C7B">
        <w:tc>
          <w:tcPr>
            <w:tcW w:w="4214" w:type="dxa"/>
            <w:gridSpan w:val="17"/>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246399" w:rsidRPr="002F671E" w:rsidRDefault="00C46691" w:rsidP="00971692">
            <w:pPr>
              <w:rPr>
                <w:sz w:val="48"/>
                <w:szCs w:val="48"/>
                <w:lang w:val="es-ES"/>
              </w:rPr>
            </w:pPr>
            <w:r w:rsidRPr="00085452">
              <w:rPr>
                <w:sz w:val="22"/>
                <w:szCs w:val="22"/>
                <w:lang w:val="es-ES"/>
              </w:rPr>
              <w:lastRenderedPageBreak/>
              <w:t>Total</w:t>
            </w:r>
            <w:r w:rsidRPr="00085452">
              <w:rPr>
                <w:color w:val="FFFFFF" w:themeColor="background1"/>
                <w:sz w:val="32"/>
                <w:szCs w:val="32"/>
                <w:lang w:val="es-ES"/>
              </w:rPr>
              <w:t>.</w:t>
            </w:r>
          </w:p>
        </w:tc>
        <w:tc>
          <w:tcPr>
            <w:tcW w:w="5425" w:type="dxa"/>
            <w:gridSpan w:val="24"/>
            <w:tcBorders>
              <w:top w:val="nil"/>
              <w:left w:val="single" w:sz="4" w:space="0" w:color="000000"/>
              <w:bottom w:val="nil"/>
              <w:right w:val="single" w:sz="4" w:space="0" w:color="000000"/>
            </w:tcBorders>
            <w:shd w:val="clear" w:color="auto" w:fill="FFFFFF"/>
            <w:tcMar>
              <w:top w:w="50" w:type="dxa"/>
              <w:left w:w="50" w:type="dxa"/>
              <w:bottom w:w="50" w:type="dxa"/>
              <w:right w:w="50" w:type="dxa"/>
            </w:tcMar>
          </w:tcPr>
          <w:p w:rsidR="00971692" w:rsidRPr="00BB2577" w:rsidRDefault="00971692" w:rsidP="00971692">
            <w:pPr>
              <w:jc w:val="right"/>
              <w:rPr>
                <w:sz w:val="22"/>
                <w:szCs w:val="22"/>
                <w:lang w:val="es-ES"/>
              </w:rPr>
            </w:pPr>
            <w:r w:rsidRPr="00BB2577">
              <w:rPr>
                <w:sz w:val="22"/>
                <w:szCs w:val="22"/>
                <w:lang w:val="es-ES"/>
              </w:rPr>
              <w:t>40.00</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085452" w:rsidRDefault="00971692" w:rsidP="00971692">
            <w:pPr>
              <w:keepNext/>
              <w:numPr>
                <w:ilvl w:val="1"/>
                <w:numId w:val="0"/>
              </w:numPr>
              <w:spacing w:after="240"/>
              <w:outlineLvl w:val="1"/>
              <w:rPr>
                <w:rFonts w:ascii="Times" w:hAnsi="Times" w:cs="Times"/>
                <w:sz w:val="4"/>
                <w:szCs w:val="4"/>
                <w:lang w:val="es-ES"/>
              </w:rPr>
            </w:pP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Desembolsos Estimados (en USD millones de dólares)</w:t>
            </w:r>
          </w:p>
        </w:tc>
      </w:tr>
      <w:tr w:rsidR="00971692" w:rsidRPr="00971692" w:rsidTr="00B40C7B">
        <w:tc>
          <w:tcPr>
            <w:tcW w:w="141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Año fiscal</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2014</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2015</w:t>
            </w:r>
          </w:p>
        </w:tc>
        <w:tc>
          <w:tcPr>
            <w:tcW w:w="93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2016</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2017</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2018</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2019</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0000</w:t>
            </w:r>
          </w:p>
        </w:tc>
        <w:tc>
          <w:tcPr>
            <w:tcW w:w="9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0000</w:t>
            </w:r>
          </w:p>
        </w:tc>
        <w:tc>
          <w:tcPr>
            <w:tcW w:w="121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0000</w:t>
            </w:r>
          </w:p>
        </w:tc>
      </w:tr>
      <w:tr w:rsidR="00971692" w:rsidRPr="00971692" w:rsidTr="00B40C7B">
        <w:tc>
          <w:tcPr>
            <w:tcW w:w="141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Anual</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3.00</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5.00</w:t>
            </w:r>
          </w:p>
        </w:tc>
        <w:tc>
          <w:tcPr>
            <w:tcW w:w="93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6.50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7.50</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7.50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10.50</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w:t>
            </w:r>
          </w:p>
        </w:tc>
        <w:tc>
          <w:tcPr>
            <w:tcW w:w="9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w:t>
            </w:r>
          </w:p>
        </w:tc>
        <w:tc>
          <w:tcPr>
            <w:tcW w:w="121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w:t>
            </w:r>
          </w:p>
        </w:tc>
      </w:tr>
      <w:tr w:rsidR="00971692" w:rsidRPr="00971692" w:rsidTr="00B40C7B">
        <w:tc>
          <w:tcPr>
            <w:tcW w:w="1418"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Acumulativo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3.00</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8.00</w:t>
            </w:r>
          </w:p>
        </w:tc>
        <w:tc>
          <w:tcPr>
            <w:tcW w:w="937"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14.50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22.00</w:t>
            </w:r>
          </w:p>
        </w:tc>
        <w:tc>
          <w:tcPr>
            <w:tcW w:w="93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29.50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40.00</w:t>
            </w:r>
          </w:p>
        </w:tc>
        <w:tc>
          <w:tcPr>
            <w:tcW w:w="93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w:t>
            </w:r>
          </w:p>
        </w:tc>
        <w:tc>
          <w:tcPr>
            <w:tcW w:w="936"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w:t>
            </w:r>
          </w:p>
        </w:tc>
        <w:tc>
          <w:tcPr>
            <w:tcW w:w="1213"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E157E1" w:rsidRDefault="00971692" w:rsidP="00971692">
            <w:pPr>
              <w:rPr>
                <w:sz w:val="22"/>
                <w:szCs w:val="22"/>
                <w:lang w:val="es-ES"/>
              </w:rPr>
            </w:pPr>
            <w:r w:rsidRPr="00E157E1">
              <w:rPr>
                <w:sz w:val="22"/>
                <w:szCs w:val="22"/>
                <w:lang w:val="es-ES"/>
              </w:rPr>
              <w:t>0.00</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F671E" w:rsidRDefault="00971692" w:rsidP="00971692">
            <w:pPr>
              <w:rPr>
                <w:rFonts w:ascii="Times" w:hAnsi="Times" w:cs="Times"/>
                <w:sz w:val="4"/>
                <w:szCs w:val="4"/>
                <w:lang w:val="es-ES"/>
              </w:rPr>
            </w:pP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Objetivo(s) de Desarrollo del Proyecto</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05120" w:rsidRDefault="00C46691">
            <w:pPr>
              <w:rPr>
                <w:sz w:val="22"/>
                <w:szCs w:val="22"/>
                <w:lang w:val="es-ES"/>
              </w:rPr>
            </w:pPr>
            <w:r w:rsidRPr="00085452">
              <w:rPr>
                <w:sz w:val="22"/>
                <w:szCs w:val="22"/>
                <w:lang w:val="es-ES"/>
              </w:rPr>
              <w:t>Los Objetivos de Desarrollo del Proyectos son: (a) Fortalecer los derechos de propiedad de la población del área de influencia del Proyecto, mejorando los servicios de regularización, titulación y registro de propiedades; (b) Mejorar la capacidad de Nicaragua para responder de manera rápida y efectiva ante emergencias elegibles.</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F671E" w:rsidRDefault="00971692" w:rsidP="00971692">
            <w:pPr>
              <w:rPr>
                <w:rFonts w:ascii="Times" w:hAnsi="Times" w:cs="Times"/>
                <w:sz w:val="4"/>
                <w:szCs w:val="4"/>
                <w:lang w:val="es-ES"/>
              </w:rPr>
            </w:pP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Componentes</w:t>
            </w:r>
          </w:p>
        </w:tc>
      </w:tr>
      <w:tr w:rsidR="00971692" w:rsidRPr="00085452" w:rsidTr="00B40C7B">
        <w:tc>
          <w:tcPr>
            <w:tcW w:w="5618" w:type="dxa"/>
            <w:gridSpan w:val="23"/>
            <w:tcBorders>
              <w:top w:val="single" w:sz="4" w:space="0" w:color="000000"/>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 xml:space="preserve">Nombre de Componente </w:t>
            </w:r>
          </w:p>
        </w:tc>
        <w:tc>
          <w:tcPr>
            <w:tcW w:w="4021" w:type="dxa"/>
            <w:gridSpan w:val="18"/>
            <w:tcBorders>
              <w:top w:val="single" w:sz="4" w:space="0" w:color="000000"/>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b/>
                <w:bCs/>
                <w:sz w:val="22"/>
                <w:szCs w:val="22"/>
                <w:lang w:val="es-ES"/>
              </w:rPr>
              <w:t>Costo (USD millones de dólares)</w:t>
            </w:r>
          </w:p>
        </w:tc>
      </w:tr>
      <w:tr w:rsidR="00971692" w:rsidRPr="008F5EF4" w:rsidTr="00B40C7B">
        <w:tc>
          <w:tcPr>
            <w:tcW w:w="5618" w:type="dxa"/>
            <w:gridSpan w:val="23"/>
            <w:tcBorders>
              <w:top w:val="single" w:sz="4" w:space="0" w:color="auto"/>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Consolidación del Marco Institucional y de Políticas</w:t>
            </w:r>
          </w:p>
        </w:tc>
        <w:tc>
          <w:tcPr>
            <w:tcW w:w="4021" w:type="dxa"/>
            <w:gridSpan w:val="18"/>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7.30</w:t>
            </w:r>
          </w:p>
        </w:tc>
      </w:tr>
      <w:tr w:rsidR="00971692" w:rsidRPr="008F5EF4" w:rsidTr="00B40C7B">
        <w:tc>
          <w:tcPr>
            <w:tcW w:w="5618" w:type="dxa"/>
            <w:gridSpan w:val="23"/>
            <w:tcBorders>
              <w:top w:val="single" w:sz="4" w:space="0" w:color="auto"/>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rsidR="00971692" w:rsidRPr="008F5EF4" w:rsidRDefault="00971692" w:rsidP="00971692">
            <w:pPr>
              <w:rPr>
                <w:sz w:val="22"/>
                <w:szCs w:val="22"/>
                <w:lang w:val="es-ES"/>
              </w:rPr>
            </w:pPr>
            <w:r w:rsidRPr="008F5EF4">
              <w:rPr>
                <w:sz w:val="22"/>
                <w:szCs w:val="22"/>
                <w:lang w:val="es-ES"/>
              </w:rPr>
              <w:t>Fortalecimiento de la Capacidad del Registro de la Propiedad y de la Resolución Alterna de Conflictos</w:t>
            </w:r>
          </w:p>
        </w:tc>
        <w:tc>
          <w:tcPr>
            <w:tcW w:w="4021" w:type="dxa"/>
            <w:gridSpan w:val="18"/>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rsidR="00971692" w:rsidRPr="008F5EF4" w:rsidRDefault="00971692" w:rsidP="00971692">
            <w:pPr>
              <w:jc w:val="right"/>
              <w:rPr>
                <w:sz w:val="22"/>
                <w:szCs w:val="22"/>
                <w:lang w:val="es-ES"/>
              </w:rPr>
            </w:pPr>
            <w:r w:rsidRPr="008F5EF4">
              <w:rPr>
                <w:sz w:val="22"/>
                <w:szCs w:val="22"/>
                <w:lang w:val="es-ES"/>
              </w:rPr>
              <w:t>3.70</w:t>
            </w:r>
          </w:p>
        </w:tc>
      </w:tr>
      <w:tr w:rsidR="00971692" w:rsidRPr="008F5EF4" w:rsidTr="00B40C7B">
        <w:tc>
          <w:tcPr>
            <w:tcW w:w="5618" w:type="dxa"/>
            <w:gridSpan w:val="23"/>
            <w:tcBorders>
              <w:top w:val="single" w:sz="4" w:space="0" w:color="auto"/>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rsidR="00971692" w:rsidRPr="008F5EF4" w:rsidRDefault="00971692" w:rsidP="00971692">
            <w:pPr>
              <w:rPr>
                <w:sz w:val="22"/>
                <w:szCs w:val="22"/>
                <w:lang w:val="es-ES"/>
              </w:rPr>
            </w:pPr>
            <w:r w:rsidRPr="008F5EF4">
              <w:rPr>
                <w:sz w:val="22"/>
                <w:szCs w:val="22"/>
                <w:lang w:val="es-ES"/>
              </w:rPr>
              <w:t>Servicios de Titulación y Regularización</w:t>
            </w:r>
          </w:p>
        </w:tc>
        <w:tc>
          <w:tcPr>
            <w:tcW w:w="4021" w:type="dxa"/>
            <w:gridSpan w:val="18"/>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rsidR="00971692" w:rsidRPr="008F5EF4" w:rsidRDefault="00971692" w:rsidP="00971692">
            <w:pPr>
              <w:jc w:val="right"/>
              <w:rPr>
                <w:sz w:val="22"/>
                <w:szCs w:val="22"/>
                <w:lang w:val="es-ES"/>
              </w:rPr>
            </w:pPr>
            <w:r w:rsidRPr="008F5EF4">
              <w:rPr>
                <w:sz w:val="22"/>
                <w:szCs w:val="22"/>
                <w:lang w:val="es-ES"/>
              </w:rPr>
              <w:t>17.80</w:t>
            </w:r>
          </w:p>
        </w:tc>
      </w:tr>
      <w:tr w:rsidR="00971692" w:rsidRPr="008F5EF4" w:rsidTr="00B40C7B">
        <w:tc>
          <w:tcPr>
            <w:tcW w:w="5618" w:type="dxa"/>
            <w:gridSpan w:val="23"/>
            <w:tcBorders>
              <w:top w:val="single" w:sz="4" w:space="0" w:color="auto"/>
              <w:left w:val="single" w:sz="4" w:space="0" w:color="000000"/>
              <w:bottom w:val="single" w:sz="4" w:space="0" w:color="auto"/>
              <w:right w:val="single" w:sz="4" w:space="0" w:color="auto"/>
            </w:tcBorders>
            <w:shd w:val="clear" w:color="auto" w:fill="FFFFFF"/>
            <w:tcMar>
              <w:top w:w="50" w:type="dxa"/>
              <w:left w:w="50" w:type="dxa"/>
              <w:bottom w:w="50" w:type="dxa"/>
              <w:right w:w="50" w:type="dxa"/>
            </w:tcMar>
          </w:tcPr>
          <w:p w:rsidR="00971692" w:rsidRPr="008F5EF4" w:rsidRDefault="00971692" w:rsidP="00971692">
            <w:pPr>
              <w:rPr>
                <w:sz w:val="22"/>
                <w:szCs w:val="22"/>
                <w:lang w:val="es-ES"/>
              </w:rPr>
            </w:pPr>
            <w:r w:rsidRPr="008F5EF4">
              <w:rPr>
                <w:sz w:val="22"/>
                <w:szCs w:val="22"/>
                <w:lang w:val="es-ES"/>
              </w:rPr>
              <w:t>Administración, Monitoreo y Evaluación del Proyecto</w:t>
            </w:r>
          </w:p>
        </w:tc>
        <w:tc>
          <w:tcPr>
            <w:tcW w:w="4021" w:type="dxa"/>
            <w:gridSpan w:val="18"/>
            <w:tcBorders>
              <w:top w:val="single" w:sz="4" w:space="0" w:color="auto"/>
              <w:left w:val="single" w:sz="4" w:space="0" w:color="auto"/>
              <w:bottom w:val="single" w:sz="4" w:space="0" w:color="auto"/>
              <w:right w:val="single" w:sz="4" w:space="0" w:color="000000"/>
            </w:tcBorders>
            <w:shd w:val="clear" w:color="auto" w:fill="FFFFFF"/>
            <w:tcMar>
              <w:top w:w="50" w:type="dxa"/>
              <w:left w:w="50" w:type="dxa"/>
              <w:bottom w:w="50" w:type="dxa"/>
              <w:right w:w="50" w:type="dxa"/>
            </w:tcMar>
          </w:tcPr>
          <w:p w:rsidR="00971692" w:rsidRPr="008F5EF4" w:rsidRDefault="00971692" w:rsidP="00971692">
            <w:pPr>
              <w:jc w:val="right"/>
              <w:rPr>
                <w:sz w:val="22"/>
                <w:szCs w:val="22"/>
                <w:lang w:val="es-ES"/>
              </w:rPr>
            </w:pPr>
            <w:r w:rsidRPr="008F5EF4">
              <w:rPr>
                <w:sz w:val="22"/>
                <w:szCs w:val="22"/>
                <w:lang w:val="es-ES"/>
              </w:rPr>
              <w:t>3.20</w:t>
            </w:r>
          </w:p>
        </w:tc>
      </w:tr>
      <w:tr w:rsidR="00971692" w:rsidRPr="008F5EF4" w:rsidTr="00B40C7B">
        <w:tc>
          <w:tcPr>
            <w:tcW w:w="5618" w:type="dxa"/>
            <w:gridSpan w:val="23"/>
            <w:tcBorders>
              <w:top w:val="single" w:sz="4" w:space="0" w:color="auto"/>
              <w:left w:val="single" w:sz="4" w:space="0" w:color="000000"/>
              <w:bottom w:val="single" w:sz="4" w:space="0" w:color="000000"/>
              <w:right w:val="single" w:sz="4" w:space="0" w:color="auto"/>
            </w:tcBorders>
            <w:shd w:val="clear" w:color="auto" w:fill="FFFFFF"/>
            <w:tcMar>
              <w:top w:w="50" w:type="dxa"/>
              <w:left w:w="50" w:type="dxa"/>
              <w:bottom w:w="50" w:type="dxa"/>
              <w:right w:w="50" w:type="dxa"/>
            </w:tcMar>
          </w:tcPr>
          <w:p w:rsidR="00971692" w:rsidRPr="008F5EF4" w:rsidRDefault="00971692" w:rsidP="00971692">
            <w:pPr>
              <w:rPr>
                <w:sz w:val="22"/>
                <w:szCs w:val="22"/>
                <w:lang w:val="es-ES"/>
              </w:rPr>
            </w:pPr>
            <w:r w:rsidRPr="008F5EF4">
              <w:rPr>
                <w:sz w:val="22"/>
                <w:szCs w:val="22"/>
                <w:lang w:val="es-ES"/>
              </w:rPr>
              <w:t>Componente Contingente de Respuestas a Emergencias</w:t>
            </w:r>
          </w:p>
        </w:tc>
        <w:tc>
          <w:tcPr>
            <w:tcW w:w="4021" w:type="dxa"/>
            <w:gridSpan w:val="18"/>
            <w:tcBorders>
              <w:top w:val="single" w:sz="4" w:space="0" w:color="auto"/>
              <w:left w:val="single" w:sz="4" w:space="0" w:color="auto"/>
              <w:bottom w:val="single" w:sz="4" w:space="0" w:color="000000"/>
              <w:right w:val="single" w:sz="4" w:space="0" w:color="000000"/>
            </w:tcBorders>
            <w:shd w:val="clear" w:color="auto" w:fill="FFFFFF"/>
            <w:tcMar>
              <w:top w:w="50" w:type="dxa"/>
              <w:left w:w="50" w:type="dxa"/>
              <w:bottom w:w="50" w:type="dxa"/>
              <w:right w:w="50" w:type="dxa"/>
            </w:tcMar>
          </w:tcPr>
          <w:p w:rsidR="00971692" w:rsidRPr="008F5EF4" w:rsidRDefault="00971692" w:rsidP="00971692">
            <w:pPr>
              <w:jc w:val="right"/>
              <w:rPr>
                <w:sz w:val="22"/>
                <w:szCs w:val="22"/>
                <w:lang w:val="es-ES"/>
              </w:rPr>
            </w:pPr>
            <w:r w:rsidRPr="008F5EF4">
              <w:rPr>
                <w:sz w:val="22"/>
                <w:szCs w:val="22"/>
                <w:lang w:val="es-ES"/>
              </w:rPr>
              <w:t>8.00</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971692" w:rsidRPr="00BB2577" w:rsidRDefault="00971692" w:rsidP="00971692">
            <w:pPr>
              <w:jc w:val="center"/>
              <w:rPr>
                <w:lang w:val="es-ES"/>
              </w:rPr>
            </w:pPr>
            <w:r w:rsidRPr="00BB2577">
              <w:rPr>
                <w:b/>
                <w:bCs/>
                <w:lang w:val="es-ES"/>
              </w:rPr>
              <w:t xml:space="preserve">Grado de Cumplimiento </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lang w:val="es-ES"/>
              </w:rPr>
            </w:pPr>
            <w:r w:rsidRPr="00BB2577">
              <w:rPr>
                <w:b/>
                <w:bCs/>
                <w:lang w:val="es-ES"/>
              </w:rPr>
              <w:t>Políticas</w:t>
            </w:r>
          </w:p>
        </w:tc>
      </w:tr>
      <w:tr w:rsidR="00971692" w:rsidRPr="00971692" w:rsidTr="00B40C7B">
        <w:tc>
          <w:tcPr>
            <w:tcW w:w="7116" w:type="dxa"/>
            <w:gridSpan w:val="2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lang w:val="es-ES"/>
              </w:rPr>
            </w:pPr>
            <w:r w:rsidRPr="00BB2577">
              <w:rPr>
                <w:lang w:val="es-ES"/>
              </w:rPr>
              <w:t>¿El Proyecto se desvía de la EAP en su contenido o aspectos relevantes?</w:t>
            </w:r>
          </w:p>
        </w:tc>
        <w:tc>
          <w:tcPr>
            <w:tcW w:w="561"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jc w:val="right"/>
              <w:rPr>
                <w:lang w:val="es-ES"/>
              </w:rPr>
            </w:pPr>
            <w:r w:rsidRPr="00BB2577">
              <w:rPr>
                <w:lang w:val="es-ES"/>
              </w:rPr>
              <w:t>Sí</w:t>
            </w:r>
          </w:p>
        </w:tc>
        <w:tc>
          <w:tcPr>
            <w:tcW w:w="562"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rPr>
                <w:lang w:val="es-ES"/>
              </w:rPr>
            </w:pPr>
            <w:r w:rsidRPr="00BB2577">
              <w:rPr>
                <w:lang w:val="es-ES"/>
              </w:rPr>
              <w:t>[   ]</w:t>
            </w:r>
          </w:p>
        </w:tc>
        <w:tc>
          <w:tcPr>
            <w:tcW w:w="561"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B2577" w:rsidRDefault="00971692" w:rsidP="00971692">
            <w:pPr>
              <w:jc w:val="right"/>
              <w:rPr>
                <w:lang w:val="es-ES"/>
              </w:rPr>
            </w:pPr>
            <w:r w:rsidRPr="00BB2577">
              <w:rPr>
                <w:lang w:val="es-ES"/>
              </w:rPr>
              <w:t>No</w:t>
            </w:r>
          </w:p>
        </w:tc>
        <w:tc>
          <w:tcPr>
            <w:tcW w:w="839"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B2577" w:rsidRDefault="00971692" w:rsidP="00971692">
            <w:pPr>
              <w:rPr>
                <w:lang w:val="es-ES"/>
              </w:rPr>
            </w:pPr>
            <w:r w:rsidRPr="00BB2577">
              <w:rPr>
                <w:lang w:val="es-ES"/>
              </w:rPr>
              <w:t>[ X ]</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971692" w:rsidTr="0003675E">
        <w:tc>
          <w:tcPr>
            <w:tcW w:w="7513"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¿Requiere el Proyecto alguna excepción de las políticas del Banco Mundial?</w:t>
            </w:r>
          </w:p>
        </w:tc>
        <w:tc>
          <w:tcPr>
            <w:tcW w:w="56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Sí</w:t>
            </w:r>
          </w:p>
        </w:tc>
        <w:tc>
          <w:tcPr>
            <w:tcW w:w="567"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w:t>
            </w:r>
          </w:p>
        </w:tc>
        <w:tc>
          <w:tcPr>
            <w:tcW w:w="42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No</w:t>
            </w:r>
          </w:p>
        </w:tc>
        <w:tc>
          <w:tcPr>
            <w:tcW w:w="5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X ]</w:t>
            </w:r>
          </w:p>
        </w:tc>
      </w:tr>
      <w:tr w:rsidR="00971692" w:rsidRPr="00971692" w:rsidTr="0003675E">
        <w:tc>
          <w:tcPr>
            <w:tcW w:w="7513"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5B77ED">
            <w:pPr>
              <w:rPr>
                <w:sz w:val="22"/>
                <w:szCs w:val="22"/>
                <w:lang w:val="es-ES"/>
              </w:rPr>
            </w:pPr>
            <w:r w:rsidRPr="00B40C7B">
              <w:rPr>
                <w:sz w:val="22"/>
                <w:szCs w:val="22"/>
                <w:lang w:val="es-ES"/>
              </w:rPr>
              <w:t xml:space="preserve">¿Fueron éstas aprobadas por </w:t>
            </w:r>
            <w:r w:rsidR="005B77ED" w:rsidRPr="00B40C7B">
              <w:rPr>
                <w:sz w:val="22"/>
                <w:szCs w:val="22"/>
                <w:lang w:val="es-ES"/>
              </w:rPr>
              <w:t xml:space="preserve">la gerencia </w:t>
            </w:r>
            <w:r w:rsidRPr="00B40C7B">
              <w:rPr>
                <w:sz w:val="22"/>
                <w:szCs w:val="22"/>
                <w:lang w:val="es-ES"/>
              </w:rPr>
              <w:t>del Banco Mundial)?</w:t>
            </w:r>
          </w:p>
        </w:tc>
        <w:tc>
          <w:tcPr>
            <w:tcW w:w="56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Sí</w:t>
            </w:r>
          </w:p>
        </w:tc>
        <w:tc>
          <w:tcPr>
            <w:tcW w:w="567"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w:t>
            </w:r>
          </w:p>
        </w:tc>
        <w:tc>
          <w:tcPr>
            <w:tcW w:w="42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No</w:t>
            </w:r>
          </w:p>
        </w:tc>
        <w:tc>
          <w:tcPr>
            <w:tcW w:w="5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w:t>
            </w:r>
          </w:p>
        </w:tc>
      </w:tr>
      <w:tr w:rsidR="00971692" w:rsidRPr="00971692" w:rsidTr="0003675E">
        <w:tc>
          <w:tcPr>
            <w:tcW w:w="7513"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¿Se busca la aprobación de la excepción por parte del Directorio?</w:t>
            </w:r>
          </w:p>
        </w:tc>
        <w:tc>
          <w:tcPr>
            <w:tcW w:w="56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Sí</w:t>
            </w:r>
          </w:p>
        </w:tc>
        <w:tc>
          <w:tcPr>
            <w:tcW w:w="567"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w:t>
            </w:r>
          </w:p>
        </w:tc>
        <w:tc>
          <w:tcPr>
            <w:tcW w:w="42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No</w:t>
            </w:r>
          </w:p>
        </w:tc>
        <w:tc>
          <w:tcPr>
            <w:tcW w:w="5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X ]</w:t>
            </w:r>
          </w:p>
        </w:tc>
      </w:tr>
      <w:tr w:rsidR="00971692" w:rsidRPr="00971692" w:rsidTr="0003675E">
        <w:tc>
          <w:tcPr>
            <w:tcW w:w="7513" w:type="dxa"/>
            <w:gridSpan w:val="3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B40C7B">
            <w:pPr>
              <w:rPr>
                <w:sz w:val="22"/>
                <w:szCs w:val="22"/>
                <w:lang w:val="es-ES"/>
              </w:rPr>
            </w:pPr>
            <w:r w:rsidRPr="00B40C7B">
              <w:rPr>
                <w:sz w:val="22"/>
                <w:szCs w:val="22"/>
                <w:lang w:val="es-ES"/>
              </w:rPr>
              <w:t>¿Cumple el Proyecto con los criterios re</w:t>
            </w:r>
            <w:r w:rsidR="00B40C7B">
              <w:rPr>
                <w:sz w:val="22"/>
                <w:szCs w:val="22"/>
                <w:lang w:val="es-ES"/>
              </w:rPr>
              <w:t>gionales de disponibilidad para su ejecución</w:t>
            </w:r>
            <w:r w:rsidRPr="00B40C7B">
              <w:rPr>
                <w:sz w:val="22"/>
                <w:szCs w:val="22"/>
                <w:lang w:val="es-ES"/>
              </w:rPr>
              <w:t>?</w:t>
            </w:r>
          </w:p>
        </w:tc>
        <w:tc>
          <w:tcPr>
            <w:tcW w:w="56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Sí</w:t>
            </w:r>
          </w:p>
        </w:tc>
        <w:tc>
          <w:tcPr>
            <w:tcW w:w="567"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X ]</w:t>
            </w:r>
          </w:p>
        </w:tc>
        <w:tc>
          <w:tcPr>
            <w:tcW w:w="42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971692" w:rsidRPr="00B40C7B" w:rsidRDefault="00971692" w:rsidP="00971692">
            <w:pPr>
              <w:jc w:val="right"/>
              <w:rPr>
                <w:sz w:val="22"/>
                <w:szCs w:val="22"/>
                <w:lang w:val="es-ES"/>
              </w:rPr>
            </w:pPr>
            <w:r w:rsidRPr="00B40C7B">
              <w:rPr>
                <w:sz w:val="22"/>
                <w:szCs w:val="22"/>
                <w:lang w:val="es-ES"/>
              </w:rPr>
              <w:t>No</w:t>
            </w:r>
          </w:p>
        </w:tc>
        <w:tc>
          <w:tcPr>
            <w:tcW w:w="567"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   ]</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b/>
                <w:bCs/>
                <w:sz w:val="22"/>
                <w:szCs w:val="22"/>
                <w:lang w:val="es-ES"/>
              </w:rPr>
              <w:t>¿Hay Políticas de Salvaguarda activadas por el Proyecto?</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
                <w:bCs/>
                <w:sz w:val="22"/>
                <w:szCs w:val="22"/>
                <w:lang w:val="es-ES"/>
              </w:rPr>
              <w:t>Sí</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
                <w:bCs/>
                <w:sz w:val="22"/>
                <w:szCs w:val="22"/>
                <w:lang w:val="es-ES"/>
              </w:rPr>
              <w:t>No</w:t>
            </w: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Estudio Ambiental OP/BP 4.01</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Hábitats Naturales OP/BP 4.04</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Bosques OP/BP 4.36</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Control de Plagas OP 4.09</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Patrimonio Cultural Tangible OP/BP 4.11</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Pueblos Indígenas OP/BP 4.10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lastRenderedPageBreak/>
              <w:t>Reasentamiento Involuntario OP/BP 4.12</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Seguridad de Embalses OP/BP 4.37</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Proyectos en Vías Fluviales Internacionales OP/BP 7.50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r>
      <w:tr w:rsidR="00971692" w:rsidRPr="00971692" w:rsidTr="00B40C7B">
        <w:tc>
          <w:tcPr>
            <w:tcW w:w="6554" w:type="dxa"/>
            <w:gridSpan w:val="2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sz w:val="22"/>
                <w:szCs w:val="22"/>
                <w:lang w:val="es-ES"/>
              </w:rPr>
              <w:t>Proyectos en Áreas en Litigio OP/BP 7.60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jc w:val="center"/>
              <w:rPr>
                <w:sz w:val="22"/>
                <w:szCs w:val="22"/>
                <w:lang w:val="es-ES"/>
              </w:rPr>
            </w:pPr>
            <w:r w:rsidRPr="00B40C7B">
              <w:rPr>
                <w:bCs/>
                <w:sz w:val="22"/>
                <w:szCs w:val="22"/>
                <w:lang w:val="es-ES"/>
              </w:rPr>
              <w:t>X</w:t>
            </w:r>
          </w:p>
        </w:tc>
      </w:tr>
      <w:tr w:rsidR="00971692" w:rsidRPr="0097169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46399" w:rsidRDefault="00971692" w:rsidP="00971692">
            <w:pPr>
              <w:rPr>
                <w:rFonts w:ascii="Times" w:hAnsi="Times" w:cs="Times"/>
                <w:sz w:val="4"/>
                <w:szCs w:val="4"/>
                <w:lang w:val="es-ES"/>
              </w:rPr>
            </w:pP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C46691" w:rsidP="009F3769">
            <w:pPr>
              <w:rPr>
                <w:i/>
                <w:sz w:val="22"/>
                <w:szCs w:val="22"/>
                <w:lang w:val="es-ES"/>
              </w:rPr>
            </w:pPr>
            <w:r w:rsidRPr="009F3769">
              <w:rPr>
                <w:b/>
                <w:bCs/>
                <w:sz w:val="22"/>
                <w:szCs w:val="22"/>
                <w:lang w:val="es-ES"/>
              </w:rPr>
              <w:t>Condiciones Legales</w:t>
            </w:r>
          </w:p>
        </w:tc>
      </w:tr>
      <w:tr w:rsidR="00971692" w:rsidRPr="00B40C7B"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rPr>
                <w:sz w:val="22"/>
                <w:szCs w:val="22"/>
                <w:lang w:val="es-ES"/>
              </w:rPr>
            </w:pPr>
            <w:r w:rsidRPr="009F3769">
              <w:rPr>
                <w:b/>
                <w:bCs/>
                <w:sz w:val="22"/>
                <w:szCs w:val="22"/>
                <w:lang w:val="es-ES"/>
              </w:rPr>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5B77ED" w:rsidP="00971692">
            <w:pPr>
              <w:rPr>
                <w:sz w:val="22"/>
                <w:szCs w:val="22"/>
                <w:lang w:val="es-ES"/>
              </w:rPr>
            </w:pPr>
            <w:r w:rsidRPr="009F3769">
              <w:rPr>
                <w:b/>
                <w:bCs/>
                <w:sz w:val="22"/>
                <w:szCs w:val="22"/>
                <w:lang w:val="es-ES"/>
              </w:rPr>
              <w:t>Recurrente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rPr>
                <w:sz w:val="22"/>
                <w:szCs w:val="22"/>
                <w:lang w:val="es-ES"/>
              </w:rPr>
            </w:pPr>
            <w:r w:rsidRPr="009F3769">
              <w:rPr>
                <w:b/>
                <w:bCs/>
                <w:sz w:val="22"/>
                <w:szCs w:val="22"/>
                <w:lang w:val="es-ES"/>
              </w:rPr>
              <w:t>Fecha límite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rPr>
                <w:sz w:val="22"/>
                <w:szCs w:val="22"/>
                <w:lang w:val="es-ES"/>
              </w:rPr>
            </w:pPr>
            <w:r w:rsidRPr="009F3769">
              <w:rPr>
                <w:b/>
                <w:bCs/>
                <w:sz w:val="22"/>
                <w:szCs w:val="22"/>
                <w:lang w:val="es-ES"/>
              </w:rPr>
              <w:t>Frecuencia</w:t>
            </w:r>
          </w:p>
        </w:tc>
      </w:tr>
      <w:tr w:rsidR="00971692" w:rsidRPr="00B40C7B"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C46691" w:rsidP="00971692">
            <w:pPr>
              <w:rPr>
                <w:sz w:val="22"/>
                <w:szCs w:val="22"/>
                <w:lang w:val="es-ES"/>
              </w:rPr>
            </w:pPr>
            <w:r w:rsidRPr="009F3769">
              <w:rPr>
                <w:sz w:val="22"/>
                <w:szCs w:val="22"/>
                <w:lang w:val="es-ES"/>
              </w:rPr>
              <w:t>Creación de la UCP, el CIP y el CTO</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C46691" w:rsidP="00971692">
            <w:pPr>
              <w:jc w:val="center"/>
              <w:rPr>
                <w:sz w:val="22"/>
                <w:szCs w:val="22"/>
                <w:lang w:val="es-ES"/>
              </w:rPr>
            </w:pPr>
            <w:r w:rsidRPr="009F3769">
              <w:rPr>
                <w:sz w:val="22"/>
                <w:szCs w:val="22"/>
                <w:lang w:val="es-ES"/>
              </w:rPr>
              <w:t>X</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keepNext/>
              <w:numPr>
                <w:ilvl w:val="0"/>
                <w:numId w:val="48"/>
              </w:numPr>
              <w:spacing w:after="240"/>
              <w:outlineLvl w:val="0"/>
              <w:rPr>
                <w:sz w:val="22"/>
                <w:szCs w:val="22"/>
                <w:lang w:val="es-ES"/>
              </w:rPr>
            </w:pP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C46691" w:rsidP="00971692">
            <w:pPr>
              <w:rPr>
                <w:sz w:val="22"/>
                <w:szCs w:val="22"/>
                <w:lang w:val="es-ES"/>
              </w:rPr>
            </w:pPr>
            <w:r w:rsidRPr="009F3769">
              <w:rPr>
                <w:sz w:val="22"/>
                <w:szCs w:val="22"/>
                <w:lang w:val="es-ES"/>
              </w:rPr>
              <w:t>Trimestral</w:t>
            </w:r>
          </w:p>
        </w:tc>
      </w:tr>
      <w:tr w:rsidR="00971692" w:rsidRPr="00085452" w:rsidTr="00B40C7B">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widowControl w:val="0"/>
              <w:adjustRightInd w:val="0"/>
              <w:rPr>
                <w:sz w:val="22"/>
                <w:szCs w:val="22"/>
                <w:lang w:val="es-ES"/>
              </w:rPr>
            </w:pPr>
            <w:r w:rsidRPr="009F3769">
              <w:rPr>
                <w:b/>
                <w:bCs/>
                <w:sz w:val="22"/>
                <w:szCs w:val="22"/>
                <w:lang w:val="es-ES"/>
              </w:rPr>
              <w:t>Descripción de las Condiciones Legales</w:t>
            </w:r>
          </w:p>
        </w:tc>
      </w:tr>
      <w:tr w:rsidR="00971692" w:rsidRPr="00085452" w:rsidTr="00B40C7B">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rPr>
                <w:sz w:val="22"/>
                <w:szCs w:val="22"/>
                <w:lang w:val="es-ES"/>
              </w:rPr>
            </w:pPr>
            <w:r w:rsidRPr="009F3769">
              <w:rPr>
                <w:sz w:val="22"/>
                <w:szCs w:val="22"/>
                <w:lang w:val="es-ES"/>
              </w:rPr>
              <w:t xml:space="preserve">Anexo 2, Sección I, A.1 – El Beneficiario deberá operar y mantener en todo momento durante el periodo de ejecución del Proyecto la Unidad Coordinadora (UCP), el Comité Interinstitucional (CIP) y el Comité Técnico Operativo (CTO) con estructuras, funciones, responsabilidades y recursos adecuados, todos aceptables ante la Asociación. El Beneficiario deberá asegurarse que la UCP incluya como parte de su personal clave a un coordinador general, un coordinador técnico, un especialista en adquisiciones, un especialista en gestión financiera, un especialista en monitoreo y evaluación, un especialista social/género, un especialista ambiental y un especialista en comunicaciones, todos con términos de referencia, perfil profesional y experiencia aceptables ante la Asociación    </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Recurrente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Fecha límite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Frecuencia</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Acuerdos entre la PGR y los municipios participantes</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jc w:val="center"/>
              <w:rPr>
                <w:sz w:val="22"/>
                <w:szCs w:val="22"/>
                <w:lang w:val="es-ES"/>
              </w:rPr>
            </w:pPr>
            <w:r w:rsidRPr="009F3769">
              <w:rPr>
                <w:sz w:val="22"/>
                <w:szCs w:val="22"/>
                <w:lang w:val="es-ES"/>
              </w:rPr>
              <w:t>X</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keepNext/>
              <w:numPr>
                <w:ilvl w:val="0"/>
                <w:numId w:val="48"/>
              </w:numPr>
              <w:spacing w:after="240"/>
              <w:outlineLvl w:val="0"/>
              <w:rPr>
                <w:sz w:val="22"/>
                <w:szCs w:val="22"/>
                <w:lang w:val="es-ES"/>
              </w:rPr>
            </w:pP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Anual</w:t>
            </w:r>
          </w:p>
        </w:tc>
      </w:tr>
      <w:tr w:rsidR="00971692" w:rsidRPr="00085452"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rPr>
                <w:sz w:val="22"/>
                <w:szCs w:val="22"/>
                <w:lang w:val="es-ES"/>
              </w:rPr>
            </w:pPr>
            <w:r w:rsidRPr="009F3769">
              <w:rPr>
                <w:b/>
                <w:bCs/>
                <w:sz w:val="22"/>
                <w:szCs w:val="22"/>
                <w:lang w:val="es-ES"/>
              </w:rPr>
              <w:t>Descripción de las Condiciones Legales</w:t>
            </w:r>
          </w:p>
        </w:tc>
      </w:tr>
      <w:tr w:rsidR="00971692" w:rsidRPr="00085452" w:rsidTr="00B40C7B">
        <w:tc>
          <w:tcPr>
            <w:tcW w:w="9639" w:type="dxa"/>
            <w:gridSpan w:val="4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rPr>
                <w:sz w:val="22"/>
                <w:szCs w:val="22"/>
                <w:lang w:val="es-ES"/>
              </w:rPr>
            </w:pPr>
            <w:r w:rsidRPr="009F3769">
              <w:rPr>
                <w:sz w:val="22"/>
                <w:szCs w:val="22"/>
                <w:lang w:val="es-ES"/>
              </w:rPr>
              <w:t>Anexo 2, Sección I, B. 2 – Antes de arrancar con las actividades contempladas en las Partes 1, 2 y 3 del Proyecto en cualquiera de los municipios participantes, el Beneficiario deberá a través de la PGR, suscribir un convenio (“Acuerdo de Participación”) con cada municipio bajo los términos y condiciones satisfactorios ante la Asociación, para definir las funciones de los municipios dentro del sistema de ordenamiento territorial, tal como se detalla más adelante en el Manual Operativo.</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Recurrente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Fecha límite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Frecuencia</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Instrumentos de salvaguardas</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jc w:val="center"/>
              <w:rPr>
                <w:sz w:val="22"/>
                <w:szCs w:val="22"/>
                <w:lang w:val="es-ES"/>
              </w:rPr>
            </w:pPr>
            <w:r w:rsidRPr="009F3769">
              <w:rPr>
                <w:sz w:val="22"/>
                <w:szCs w:val="22"/>
                <w:lang w:val="es-ES"/>
              </w:rPr>
              <w:t>X</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keepNext/>
              <w:numPr>
                <w:ilvl w:val="0"/>
                <w:numId w:val="48"/>
              </w:numPr>
              <w:spacing w:after="240"/>
              <w:outlineLvl w:val="0"/>
              <w:rPr>
                <w:sz w:val="22"/>
                <w:szCs w:val="22"/>
                <w:lang w:val="es-ES"/>
              </w:rPr>
            </w:pP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Mensual</w:t>
            </w:r>
          </w:p>
        </w:tc>
      </w:tr>
      <w:tr w:rsidR="00971692" w:rsidRPr="00085452"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rPr>
                <w:sz w:val="22"/>
                <w:szCs w:val="22"/>
                <w:lang w:val="es-ES"/>
              </w:rPr>
            </w:pPr>
            <w:r w:rsidRPr="009F3769">
              <w:rPr>
                <w:b/>
                <w:bCs/>
                <w:sz w:val="22"/>
                <w:szCs w:val="22"/>
                <w:lang w:val="es-ES"/>
              </w:rPr>
              <w:t>Descripción de las Condiciones Legales</w:t>
            </w:r>
          </w:p>
        </w:tc>
      </w:tr>
      <w:tr w:rsidR="00971692" w:rsidRPr="00085452" w:rsidTr="00B40C7B">
        <w:tc>
          <w:tcPr>
            <w:tcW w:w="9639" w:type="dxa"/>
            <w:gridSpan w:val="4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rPr>
                <w:sz w:val="22"/>
                <w:szCs w:val="22"/>
                <w:lang w:val="es-NI"/>
              </w:rPr>
            </w:pPr>
            <w:r w:rsidRPr="009F3769">
              <w:rPr>
                <w:sz w:val="22"/>
                <w:szCs w:val="22"/>
                <w:lang w:val="es-NI"/>
              </w:rPr>
              <w:t>Anexo 2, Sección I, D. 1 – El Beneficiario a través de la PGR ejecutará el Proyecto de conformidad con lo estipulado en el EA, el PGA, el Marco Procesal y el PPI, según corresponda. El Beneficiario a través de la PGR no podrá ceder, reformar, abrogar o renunciar al cumplimiento del EA, el PGA, el Marco Procesal y/o el PPI o cualquiera de sus cláusulas, sin la autorización previa de la Asociación.</w:t>
            </w:r>
          </w:p>
          <w:p w:rsidR="0003675E" w:rsidRPr="009F3769" w:rsidRDefault="0003675E" w:rsidP="00971692">
            <w:pPr>
              <w:rPr>
                <w:sz w:val="22"/>
                <w:szCs w:val="22"/>
                <w:lang w:val="es-ES"/>
              </w:rPr>
            </w:pP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Recurrente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Fecha límite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Frecuencia</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Financiamiento retroactivo</w:t>
            </w:r>
          </w:p>
        </w:tc>
        <w:tc>
          <w:tcPr>
            <w:tcW w:w="1872" w:type="dxa"/>
            <w:gridSpan w:val="8"/>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hideMark/>
          </w:tcPr>
          <w:p w:rsidR="00971692" w:rsidRPr="009F3769" w:rsidRDefault="00971692" w:rsidP="00971692">
            <w:pPr>
              <w:jc w:val="center"/>
              <w:rPr>
                <w:sz w:val="22"/>
                <w:szCs w:val="22"/>
                <w:lang w:val="es-ES"/>
              </w:rPr>
            </w:pPr>
          </w:p>
        </w:tc>
        <w:tc>
          <w:tcPr>
            <w:tcW w:w="1872" w:type="dxa"/>
            <w:gridSpan w:val="7"/>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971692" w:rsidRPr="009F3769" w:rsidRDefault="00C46691" w:rsidP="00971692">
            <w:pPr>
              <w:rPr>
                <w:sz w:val="22"/>
                <w:szCs w:val="22"/>
                <w:lang w:val="es-ES"/>
              </w:rPr>
            </w:pPr>
            <w:r w:rsidRPr="009F3769">
              <w:rPr>
                <w:sz w:val="22"/>
                <w:szCs w:val="22"/>
                <w:lang w:val="es-ES"/>
              </w:rPr>
              <w:t>31 agosto 2012</w:t>
            </w:r>
          </w:p>
        </w:tc>
        <w:tc>
          <w:tcPr>
            <w:tcW w:w="2149" w:type="dxa"/>
            <w:gridSpan w:val="11"/>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hideMark/>
          </w:tcPr>
          <w:p w:rsidR="00971692" w:rsidRPr="009F3769" w:rsidRDefault="00971692" w:rsidP="00971692">
            <w:pPr>
              <w:rPr>
                <w:sz w:val="22"/>
                <w:szCs w:val="22"/>
                <w:lang w:val="es-ES"/>
              </w:rPr>
            </w:pPr>
          </w:p>
        </w:tc>
      </w:tr>
      <w:tr w:rsidR="00971692" w:rsidRPr="00085452" w:rsidTr="00B40C7B">
        <w:tblPrEx>
          <w:tblLook w:val="04A0" w:firstRow="1" w:lastRow="0" w:firstColumn="1" w:lastColumn="0" w:noHBand="0" w:noVBand="1"/>
        </w:tblPrEx>
        <w:tc>
          <w:tcPr>
            <w:tcW w:w="9639" w:type="dxa"/>
            <w:gridSpan w:val="41"/>
            <w:tcBorders>
              <w:top w:val="nil"/>
              <w:left w:val="single" w:sz="4" w:space="0" w:color="000000"/>
              <w:bottom w:val="single" w:sz="4" w:space="0" w:color="auto"/>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rPr>
                <w:sz w:val="22"/>
                <w:szCs w:val="22"/>
                <w:lang w:val="es-ES"/>
              </w:rPr>
            </w:pPr>
            <w:r w:rsidRPr="009F3769">
              <w:rPr>
                <w:b/>
                <w:bCs/>
                <w:sz w:val="22"/>
                <w:szCs w:val="22"/>
                <w:lang w:val="es-ES"/>
              </w:rPr>
              <w:t>Descripción de las Condiciones Legales</w:t>
            </w:r>
          </w:p>
        </w:tc>
      </w:tr>
      <w:tr w:rsidR="00971692" w:rsidRPr="00085452" w:rsidTr="00B40C7B">
        <w:tblPrEx>
          <w:tblLook w:val="04A0" w:firstRow="1" w:lastRow="0" w:firstColumn="1" w:lastColumn="0" w:noHBand="0" w:noVBand="1"/>
        </w:tblPrEx>
        <w:tc>
          <w:tcPr>
            <w:tcW w:w="9639" w:type="dxa"/>
            <w:gridSpan w:val="41"/>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widowControl w:val="0"/>
              <w:adjustRightInd w:val="0"/>
              <w:rPr>
                <w:bCs/>
                <w:sz w:val="22"/>
                <w:szCs w:val="22"/>
                <w:lang w:val="es-ES"/>
              </w:rPr>
            </w:pPr>
            <w:r w:rsidRPr="009F3769">
              <w:rPr>
                <w:bCs/>
                <w:sz w:val="22"/>
                <w:szCs w:val="22"/>
                <w:lang w:val="es-ES"/>
              </w:rPr>
              <w:t xml:space="preserve">Anexo 2, Sección IV, B. 1 (a) – (i) Una cantidad global que no exceda el 20% del monto asignado a la Categoría (1)  podría destinarse a pagos antes de la fecha del presente acuerdo pero  incurridos en o antes del 31 de agosto del 2012 para los gastos autorizados de la Categoría 1; (ii) Una cantidad global que no </w:t>
            </w:r>
            <w:r w:rsidRPr="009F3769">
              <w:rPr>
                <w:bCs/>
                <w:sz w:val="22"/>
                <w:szCs w:val="22"/>
                <w:lang w:val="es-ES"/>
              </w:rPr>
              <w:lastRenderedPageBreak/>
              <w:t>exceda el 40% del monto asignado a la Categoría (2)  podría destinarse a pagos antes de esta fecha pero  incurridos en o después del 31 de agosto del 2012 para los gastos autorizados de la Categoría 2.</w:t>
            </w:r>
          </w:p>
          <w:p w:rsidR="0003675E" w:rsidRPr="009F3769" w:rsidRDefault="0003675E" w:rsidP="00971692">
            <w:pPr>
              <w:widowControl w:val="0"/>
              <w:adjustRightInd w:val="0"/>
              <w:rPr>
                <w:bCs/>
                <w:sz w:val="22"/>
                <w:szCs w:val="22"/>
                <w:lang w:val="es-ES"/>
              </w:rPr>
            </w:pP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lastRenderedPageBreak/>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Recurrente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Fecha límite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Frecuencia</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Creación de la UCP, el CIP y el CTO</w:t>
            </w:r>
          </w:p>
        </w:tc>
        <w:tc>
          <w:tcPr>
            <w:tcW w:w="1872" w:type="dxa"/>
            <w:gridSpan w:val="8"/>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jc w:val="center"/>
              <w:rPr>
                <w:sz w:val="22"/>
                <w:szCs w:val="22"/>
                <w:lang w:val="es-ES"/>
              </w:rPr>
            </w:pPr>
            <w:r w:rsidRPr="009F3769">
              <w:rPr>
                <w:sz w:val="22"/>
                <w:szCs w:val="22"/>
                <w:lang w:val="es-ES"/>
              </w:rPr>
              <w:t>X</w:t>
            </w:r>
          </w:p>
        </w:tc>
        <w:tc>
          <w:tcPr>
            <w:tcW w:w="1872" w:type="dxa"/>
            <w:gridSpan w:val="7"/>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tcPr>
          <w:p w:rsidR="00971692" w:rsidRPr="009F3769" w:rsidRDefault="00971692" w:rsidP="00971692">
            <w:pPr>
              <w:keepNext/>
              <w:numPr>
                <w:ilvl w:val="0"/>
                <w:numId w:val="48"/>
              </w:numPr>
              <w:spacing w:after="240"/>
              <w:outlineLvl w:val="0"/>
              <w:rPr>
                <w:sz w:val="22"/>
                <w:szCs w:val="22"/>
                <w:lang w:val="es-ES"/>
              </w:rPr>
            </w:pPr>
          </w:p>
        </w:tc>
        <w:tc>
          <w:tcPr>
            <w:tcW w:w="2149" w:type="dxa"/>
            <w:gridSpan w:val="11"/>
            <w:tcBorders>
              <w:top w:val="single" w:sz="4" w:space="0" w:color="000000"/>
              <w:left w:val="single" w:sz="4" w:space="0" w:color="000000"/>
              <w:bottom w:val="single" w:sz="4" w:space="0" w:color="auto"/>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Anual</w:t>
            </w:r>
          </w:p>
        </w:tc>
      </w:tr>
      <w:tr w:rsidR="00971692" w:rsidRPr="00085452" w:rsidTr="00B40C7B">
        <w:tblPrEx>
          <w:tblLook w:val="04A0" w:firstRow="1" w:lastRow="0" w:firstColumn="1" w:lastColumn="0" w:noHBand="0" w:noVBand="1"/>
        </w:tblPrEx>
        <w:tc>
          <w:tcPr>
            <w:tcW w:w="9639" w:type="dxa"/>
            <w:gridSpan w:val="41"/>
            <w:tcBorders>
              <w:top w:val="single" w:sz="4" w:space="0" w:color="auto"/>
              <w:left w:val="single" w:sz="4" w:space="0" w:color="000000"/>
              <w:bottom w:val="single" w:sz="4" w:space="0" w:color="auto"/>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rPr>
                <w:sz w:val="22"/>
                <w:szCs w:val="22"/>
                <w:lang w:val="es-ES"/>
              </w:rPr>
            </w:pPr>
            <w:r w:rsidRPr="009F3769">
              <w:rPr>
                <w:b/>
                <w:bCs/>
                <w:sz w:val="22"/>
                <w:szCs w:val="22"/>
                <w:lang w:val="es-ES"/>
              </w:rPr>
              <w:t>Descripción de las Condiciones Legales</w:t>
            </w:r>
          </w:p>
        </w:tc>
      </w:tr>
      <w:tr w:rsidR="00971692" w:rsidRPr="00085452" w:rsidTr="00B40C7B">
        <w:tblPrEx>
          <w:tblLook w:val="04A0" w:firstRow="1" w:lastRow="0" w:firstColumn="1" w:lastColumn="0" w:noHBand="0" w:noVBand="1"/>
        </w:tblPrEx>
        <w:tc>
          <w:tcPr>
            <w:tcW w:w="9639" w:type="dxa"/>
            <w:gridSpan w:val="41"/>
            <w:tcBorders>
              <w:top w:val="single" w:sz="4" w:space="0" w:color="auto"/>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widowControl w:val="0"/>
              <w:adjustRightInd w:val="0"/>
              <w:rPr>
                <w:bCs/>
                <w:sz w:val="22"/>
                <w:szCs w:val="22"/>
                <w:lang w:val="es-ES"/>
              </w:rPr>
            </w:pPr>
            <w:r w:rsidRPr="009F3769">
              <w:rPr>
                <w:bCs/>
                <w:sz w:val="22"/>
                <w:szCs w:val="22"/>
                <w:lang w:val="es-ES"/>
              </w:rPr>
              <w:t>Auditorías de las operaciones de adquisiciones</w:t>
            </w:r>
          </w:p>
        </w:tc>
      </w:tr>
      <w:tr w:rsidR="00971692" w:rsidRPr="00085452"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widowControl w:val="0"/>
              <w:adjustRightInd w:val="0"/>
              <w:rPr>
                <w:bCs/>
                <w:sz w:val="22"/>
                <w:szCs w:val="22"/>
                <w:lang w:val="es-NI"/>
              </w:rPr>
            </w:pPr>
            <w:r w:rsidRPr="009F3769">
              <w:rPr>
                <w:bCs/>
                <w:sz w:val="22"/>
                <w:szCs w:val="22"/>
                <w:lang w:val="es-ES"/>
              </w:rPr>
              <w:t>Anexo 2, Sección V, 1 – El Beneficiario a través de la PGR: (i) Someterá todos los registros de las operaciones de adquisiciones y contrataciones del Proyecto a auditorías independientes cada año fiscal durante el periodo de ejecución del Proyecto, de conformidad con los debidos principios de auditoría, realizadas por firmas independientes aceptables para la Asociación; (ii) Remitirle a la Asociación con la mayor brevedad posible, a más tardar 6 meses del final de cada año fiscal, el informe de auditoría con el nivel de alcance y detalle que la Asociación pueda razonablemente solicitar; (iii) Remitirle a la Asociación  cualquier otra información asociada con los registros, documentación y revisión de las operaciones de adquisiciones que solicite de vez en cuando razonablemente la Asociación.</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Nombre</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Recurrente</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Fecha límite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Frecuencia</w:t>
            </w:r>
          </w:p>
        </w:tc>
      </w:tr>
      <w:tr w:rsidR="00971692" w:rsidRPr="00B40C7B" w:rsidTr="00B40C7B">
        <w:tblPrEx>
          <w:tblLook w:val="04A0" w:firstRow="1" w:lastRow="0" w:firstColumn="1" w:lastColumn="0" w:noHBand="0" w:noVBand="1"/>
        </w:tblPrEx>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Encuesta de Medición de Pobreza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jc w:val="center"/>
              <w:rPr>
                <w:sz w:val="22"/>
                <w:szCs w:val="22"/>
                <w:lang w:val="es-ES"/>
              </w:rPr>
            </w:pPr>
            <w:r w:rsidRPr="009F3769">
              <w:rPr>
                <w:sz w:val="22"/>
                <w:szCs w:val="22"/>
                <w:lang w:val="es-ES"/>
              </w:rPr>
              <w:t>X</w:t>
            </w:r>
          </w:p>
        </w:tc>
        <w:tc>
          <w:tcPr>
            <w:tcW w:w="187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971692" w:rsidP="00971692">
            <w:pPr>
              <w:keepNext/>
              <w:numPr>
                <w:ilvl w:val="0"/>
                <w:numId w:val="48"/>
              </w:numPr>
              <w:spacing w:after="240"/>
              <w:outlineLvl w:val="0"/>
              <w:rPr>
                <w:sz w:val="22"/>
                <w:szCs w:val="22"/>
                <w:lang w:val="es-ES"/>
              </w:rPr>
            </w:pP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Trimestral</w:t>
            </w:r>
          </w:p>
        </w:tc>
      </w:tr>
      <w:tr w:rsidR="00971692" w:rsidRPr="00085452"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spacing w:before="120"/>
              <w:ind w:left="1080" w:hanging="360"/>
              <w:rPr>
                <w:sz w:val="22"/>
                <w:szCs w:val="22"/>
                <w:lang w:val="es-ES"/>
              </w:rPr>
            </w:pPr>
            <w:r w:rsidRPr="009F3769">
              <w:rPr>
                <w:b/>
                <w:bCs/>
                <w:sz w:val="22"/>
                <w:szCs w:val="22"/>
                <w:lang w:val="es-ES"/>
              </w:rPr>
              <w:t>Descripción de las Condiciones Legales</w:t>
            </w:r>
          </w:p>
        </w:tc>
      </w:tr>
      <w:tr w:rsidR="00971692" w:rsidRPr="00085452"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widowControl w:val="0"/>
              <w:adjustRightInd w:val="0"/>
              <w:spacing w:before="120"/>
              <w:ind w:left="1080" w:hanging="360"/>
              <w:rPr>
                <w:bCs/>
                <w:sz w:val="22"/>
                <w:szCs w:val="22"/>
                <w:lang w:val="es-ES"/>
              </w:rPr>
            </w:pPr>
            <w:r w:rsidRPr="009F3769">
              <w:rPr>
                <w:bCs/>
                <w:sz w:val="22"/>
                <w:szCs w:val="22"/>
                <w:lang w:val="es-ES"/>
              </w:rPr>
              <w:t>Anexo 2, Sección V, 2 – El Beneficiario realizará las actividades contempladas en la Parte 1. C (a) del Anexo 1 del presente Acuerdo, de conformidad con las mejores prácticas internacionales aceptables para la Asociación.</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9F3769" w:rsidRDefault="00971692" w:rsidP="00971692">
            <w:pPr>
              <w:rPr>
                <w:rFonts w:ascii="Times" w:hAnsi="Times" w:cs="Times"/>
                <w:sz w:val="4"/>
                <w:szCs w:val="4"/>
                <w:lang w:val="es-ES"/>
              </w:rPr>
            </w:pPr>
          </w:p>
        </w:tc>
      </w:tr>
      <w:tr w:rsidR="00971692" w:rsidRPr="00B40C7B" w:rsidTr="00B40C7B">
        <w:tblPrEx>
          <w:tblLook w:val="04A0" w:firstRow="1" w:lastRow="0" w:firstColumn="1" w:lastColumn="0" w:noHBand="0" w:noVBand="1"/>
        </w:tblPrEx>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9F3769" w:rsidRDefault="00C46691" w:rsidP="00971692">
            <w:pPr>
              <w:rPr>
                <w:b/>
                <w:bCs/>
                <w:sz w:val="22"/>
                <w:szCs w:val="22"/>
                <w:lang w:val="es-ES"/>
              </w:rPr>
            </w:pPr>
            <w:r w:rsidRPr="009F3769">
              <w:rPr>
                <w:b/>
                <w:bCs/>
                <w:sz w:val="22"/>
                <w:szCs w:val="22"/>
                <w:lang w:val="es-ES"/>
              </w:rPr>
              <w:t>Condiciones</w:t>
            </w:r>
          </w:p>
        </w:tc>
      </w:tr>
      <w:tr w:rsidR="00971692" w:rsidRPr="00B40C7B" w:rsidTr="00B40C7B">
        <w:tblPrEx>
          <w:tblLook w:val="04A0" w:firstRow="1" w:lastRow="0" w:firstColumn="1" w:lastColumn="0" w:noHBand="0" w:noVBand="1"/>
        </w:tblPrEx>
        <w:tc>
          <w:tcPr>
            <w:tcW w:w="7490" w:type="dxa"/>
            <w:gridSpan w:val="3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Nombre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Tipo</w:t>
            </w:r>
          </w:p>
        </w:tc>
      </w:tr>
      <w:tr w:rsidR="00971692" w:rsidRPr="00B40C7B" w:rsidTr="00B40C7B">
        <w:tblPrEx>
          <w:tblLook w:val="04A0" w:firstRow="1" w:lastRow="0" w:firstColumn="1" w:lastColumn="0" w:noHBand="0" w:noVBand="1"/>
        </w:tblPrEx>
        <w:tc>
          <w:tcPr>
            <w:tcW w:w="7490" w:type="dxa"/>
            <w:gridSpan w:val="3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Entrada en vigencia del crédito</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Vigencia</w:t>
            </w:r>
          </w:p>
        </w:tc>
      </w:tr>
      <w:tr w:rsidR="00971692" w:rsidRPr="00B40C7B"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rPr>
                <w:sz w:val="22"/>
                <w:szCs w:val="22"/>
                <w:lang w:val="es-ES"/>
              </w:rPr>
            </w:pPr>
            <w:r w:rsidRPr="009F3769">
              <w:rPr>
                <w:b/>
                <w:bCs/>
                <w:sz w:val="22"/>
                <w:szCs w:val="22"/>
                <w:lang w:val="es-ES"/>
              </w:rPr>
              <w:t xml:space="preserve">Descripción de Condiciones </w:t>
            </w:r>
          </w:p>
        </w:tc>
      </w:tr>
      <w:tr w:rsidR="00971692" w:rsidRPr="00085452" w:rsidTr="00B40C7B">
        <w:tc>
          <w:tcPr>
            <w:tcW w:w="9639" w:type="dxa"/>
            <w:gridSpan w:val="4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971692">
            <w:pPr>
              <w:rPr>
                <w:sz w:val="22"/>
                <w:szCs w:val="22"/>
                <w:lang w:val="es-ES"/>
              </w:rPr>
            </w:pPr>
            <w:r w:rsidRPr="009F3769">
              <w:rPr>
                <w:sz w:val="22"/>
                <w:szCs w:val="22"/>
                <w:lang w:val="es-ES"/>
              </w:rPr>
              <w:t>Arto. V, 5.01 – Las causales adicionales de vigencia consisten, propiamente, en que la PGR en  representación del Beneficiario firme los Convenios de co-ejecución respectivamente con (i) La Corte Suprema (DNR y DIRAC); (ii) INETER; (iii) INIFOM; (iv) INIDE; (v) MARENA.</w:t>
            </w:r>
          </w:p>
          <w:p w:rsidR="00971692" w:rsidRPr="009F3769" w:rsidRDefault="00C46691" w:rsidP="00971692">
            <w:pPr>
              <w:rPr>
                <w:sz w:val="22"/>
                <w:szCs w:val="22"/>
                <w:lang w:val="es-ES"/>
              </w:rPr>
            </w:pPr>
            <w:r w:rsidRPr="009F3769">
              <w:rPr>
                <w:sz w:val="22"/>
                <w:szCs w:val="22"/>
                <w:lang w:val="es-ES"/>
              </w:rPr>
              <w:t>5.02 -  El asunto de naturaleza legal surge propiamente cuando cada uno de los Convenios de co-ejecución hayan sido debidamente ratificados o autorizados por la PGR en representación del Beneficiario y la respectiva entidad co-ejecutora y sean de obligatoriedad jurídica tanto para el Beneficiario como para las entidades co-ejecutoras de conformidad con los términos allí plasmados.</w:t>
            </w:r>
          </w:p>
        </w:tc>
      </w:tr>
      <w:tr w:rsidR="00971692" w:rsidRPr="00B40C7B" w:rsidTr="00B40C7B">
        <w:tblPrEx>
          <w:tblLook w:val="04A0" w:firstRow="1" w:lastRow="0" w:firstColumn="1" w:lastColumn="0" w:noHBand="0" w:noVBand="1"/>
        </w:tblPrEx>
        <w:tc>
          <w:tcPr>
            <w:tcW w:w="7490" w:type="dxa"/>
            <w:gridSpan w:val="3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Nombre</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b/>
                <w:bCs/>
                <w:sz w:val="22"/>
                <w:szCs w:val="22"/>
                <w:lang w:val="es-ES"/>
              </w:rPr>
              <w:t>Tipo</w:t>
            </w:r>
          </w:p>
        </w:tc>
      </w:tr>
      <w:tr w:rsidR="00971692" w:rsidRPr="00B40C7B" w:rsidTr="00B40C7B">
        <w:tblPrEx>
          <w:tblLook w:val="04A0" w:firstRow="1" w:lastRow="0" w:firstColumn="1" w:lastColumn="0" w:noHBand="0" w:noVBand="1"/>
        </w:tblPrEx>
        <w:tc>
          <w:tcPr>
            <w:tcW w:w="7490" w:type="dxa"/>
            <w:gridSpan w:val="3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 xml:space="preserve">Retiro de fondos para la Parte 5 (CERC) </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rsidR="00971692" w:rsidRPr="009F3769" w:rsidRDefault="00C46691" w:rsidP="00971692">
            <w:pPr>
              <w:rPr>
                <w:sz w:val="22"/>
                <w:szCs w:val="22"/>
                <w:lang w:val="es-ES"/>
              </w:rPr>
            </w:pPr>
            <w:r w:rsidRPr="009F3769">
              <w:rPr>
                <w:sz w:val="22"/>
                <w:szCs w:val="22"/>
                <w:lang w:val="es-ES"/>
              </w:rPr>
              <w:t>Desembolsos</w:t>
            </w:r>
          </w:p>
        </w:tc>
      </w:tr>
      <w:tr w:rsidR="00971692" w:rsidRPr="00B40C7B" w:rsidTr="00B40C7B">
        <w:tblPrEx>
          <w:tblLook w:val="04A0" w:firstRow="1" w:lastRow="0" w:firstColumn="1" w:lastColumn="0" w:noHBand="0" w:noVBand="1"/>
        </w:tblPrEx>
        <w:tc>
          <w:tcPr>
            <w:tcW w:w="9639" w:type="dxa"/>
            <w:gridSpan w:val="41"/>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hideMark/>
          </w:tcPr>
          <w:p w:rsidR="00971692" w:rsidRPr="009F3769" w:rsidRDefault="00C46691" w:rsidP="00971692">
            <w:pPr>
              <w:widowControl w:val="0"/>
              <w:adjustRightInd w:val="0"/>
              <w:rPr>
                <w:sz w:val="22"/>
                <w:szCs w:val="22"/>
                <w:lang w:val="es-ES"/>
              </w:rPr>
            </w:pPr>
            <w:r w:rsidRPr="009F3769">
              <w:rPr>
                <w:b/>
                <w:bCs/>
                <w:sz w:val="22"/>
                <w:szCs w:val="22"/>
                <w:lang w:val="es-ES"/>
              </w:rPr>
              <w:t xml:space="preserve">Descripción de Condiciones </w:t>
            </w:r>
          </w:p>
        </w:tc>
      </w:tr>
      <w:tr w:rsidR="00971692" w:rsidRPr="00C073BA" w:rsidTr="00B40C7B">
        <w:tc>
          <w:tcPr>
            <w:tcW w:w="9639" w:type="dxa"/>
            <w:gridSpan w:val="4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9F3769" w:rsidRDefault="00C46691" w:rsidP="001E6507">
            <w:pPr>
              <w:rPr>
                <w:i/>
                <w:sz w:val="22"/>
                <w:szCs w:val="22"/>
              </w:rPr>
            </w:pPr>
            <w:r w:rsidRPr="009F3769">
              <w:rPr>
                <w:sz w:val="22"/>
                <w:szCs w:val="22"/>
                <w:lang w:val="es-ES"/>
              </w:rPr>
              <w:t xml:space="preserve">Anexo 2, Sección IV, B. 1 (b) No se autorizará ningún retiro de fondos para la Categoría (2) Gastos de Emergencia, a menos y hasta que la Asociación esté satisfecha y le haya notificado al Beneficiario su satisfacción que cada una de las siguientes condiciones fueron cumplidas en dichas actividades: (i) El Beneficiario ha determinado que ocurrió una emergencia relevante y le mandó a la Asociación una solicitud </w:t>
            </w:r>
            <w:r w:rsidRPr="009F3769">
              <w:rPr>
                <w:sz w:val="22"/>
                <w:szCs w:val="22"/>
                <w:lang w:val="es-ES"/>
              </w:rPr>
              <w:lastRenderedPageBreak/>
              <w:t xml:space="preserve">para incluir dichas actividades en la Parte del CERC para enfrentar dicha emergencia y que la Asociación haya aceptado la determinación, haya aceptado la solicitud y le haya mandado la respectiva notificación al Beneficiario; (ii) El Beneficiario ha preparado y dado a conocer todos los instrumentos de salvaguardas requeridas para dichas actividades; el Beneficiario ha ejecutado las acciones exigidas por dichos instrumentos, todo de conformidad con lo dispuesto en la Sección I. F 3 (b) del presente Anexo 2; (iii) La autoridad coordinadora del Beneficiario cuenta con suficientes recursos materiales y humanos según lo dispuesto en la Sección I. F. 2 del Anexo 2 para fines de dichas actividades; (iv) El Beneficiario ha adoptado el Manual Operativo del CER en forma y fondo aceptables para la Asociación y las cláusulas del Manual Operativo permanezcan o se actualicen conforme con las disposiciones de la Sección I. F. 1 (a) del Anexo 2 para que sea apropiado para la inclusión y ejecución de dichas actividades bajo la parte CER. </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971692" w:rsidRPr="00B40C7B" w:rsidRDefault="00971692" w:rsidP="00971692">
            <w:pPr>
              <w:jc w:val="center"/>
              <w:rPr>
                <w:sz w:val="22"/>
                <w:szCs w:val="22"/>
                <w:lang w:val="es-ES"/>
              </w:rPr>
            </w:pPr>
            <w:r w:rsidRPr="00B40C7B">
              <w:rPr>
                <w:b/>
                <w:bCs/>
                <w:sz w:val="22"/>
                <w:szCs w:val="22"/>
                <w:lang w:val="es-ES"/>
              </w:rPr>
              <w:lastRenderedPageBreak/>
              <w:t>Integrantes del Grupo de Trabajo</w:t>
            </w:r>
          </w:p>
        </w:tc>
      </w:tr>
      <w:tr w:rsidR="00971692" w:rsidRPr="00B40C7B"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color w:val="314F4F"/>
                <w:sz w:val="22"/>
                <w:szCs w:val="22"/>
                <w:lang w:val="es-ES"/>
              </w:rPr>
            </w:pPr>
            <w:r w:rsidRPr="00B40C7B">
              <w:rPr>
                <w:b/>
                <w:bCs/>
                <w:color w:val="314F4F"/>
                <w:sz w:val="22"/>
                <w:szCs w:val="22"/>
                <w:lang w:val="es-ES"/>
              </w:rPr>
              <w:t>Personal del Banco</w:t>
            </w:r>
          </w:p>
        </w:tc>
      </w:tr>
      <w:tr w:rsidR="00971692" w:rsidRPr="00B40C7B"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b/>
                <w:bCs/>
                <w:sz w:val="22"/>
                <w:szCs w:val="22"/>
                <w:lang w:val="es-ES"/>
              </w:rPr>
              <w:t>Nombre</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b/>
                <w:bCs/>
                <w:sz w:val="22"/>
                <w:szCs w:val="22"/>
                <w:lang w:val="es-ES"/>
              </w:rPr>
              <w:t>Cargo</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b/>
                <w:bCs/>
                <w:sz w:val="22"/>
                <w:szCs w:val="22"/>
                <w:lang w:val="es-ES"/>
              </w:rPr>
              <w:t>Especialidad</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B40C7B" w:rsidRDefault="00971692" w:rsidP="00971692">
            <w:pPr>
              <w:rPr>
                <w:sz w:val="22"/>
                <w:szCs w:val="22"/>
                <w:lang w:val="es-ES"/>
              </w:rPr>
            </w:pPr>
            <w:r w:rsidRPr="00B40C7B">
              <w:rPr>
                <w:b/>
                <w:bCs/>
                <w:sz w:val="22"/>
                <w:szCs w:val="22"/>
                <w:lang w:val="es-ES"/>
              </w:rPr>
              <w:t>Unidad</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Teresa M. Roncal</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Analista de Operaciones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Presupuesto y planificación</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SBMCAR</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Jorge A. Muñoz</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Asesor</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Revisor de pares</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AES</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Mary Lisbeth González</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Especialista en Desarrollo Social</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Desarrollo Social</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SBMCSO</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Jelena Pantelic</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Oficial Superior de Operaciones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Ordenamiento territorial  y GRD</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AFTN2</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Patricia de la Fuente Hoyes</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Oficial Superior de Finanzas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Mecanismos de financiamiento y desembolsos </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CTRLN</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Ketty Morales</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Asistente del Programa de idiomas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Apoyo al Programa</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SBMCAR</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Ellen Hamilton</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Especialista en Jefe de Urbanismo</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Revisor de pares</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UDRUR</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Enrique Pantoja</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Especialista en Ordenamiento de la Propiedad</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Jefe de Grupo de Trabajo</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SBMCAR</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Ana Campos García</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Especialista en Gestión de Riesgos ante Desastres </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Gestión de Riesgos ante Desastres </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SBMCDU</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Enrique Antonio Román</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Especialista en Gestión Financiera </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Gestión Financiera</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SBMCFM</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Augusto García</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Oficial de Operaciones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Operaciones</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SBMCAR</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Francisco Rodríguez</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Especialista en Adquisiciones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Adquisiciones</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SBMCPT</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Jeanine Guerrero</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Asistente del Programa </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Apoyo al Programa</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LCCNI</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Nuria De Oca</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Analista de Operaciones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Revisor de pares</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FGIDB</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Ramiro Ignacio Jauregui-Zabalaga</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Consejero</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Legal</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LEGLE</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Escarlata Baza Núñez</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 T Consultora</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Legal</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LEGLE</w:t>
            </w:r>
          </w:p>
        </w:tc>
      </w:tr>
      <w:tr w:rsidR="00971692" w:rsidRPr="002F671E" w:rsidTr="006A0D6F">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Stamatis Kotouzas</w:t>
            </w:r>
          </w:p>
        </w:tc>
        <w:tc>
          <w:tcPr>
            <w:tcW w:w="2904"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F3769" w:rsidP="00971692">
            <w:pPr>
              <w:rPr>
                <w:sz w:val="22"/>
                <w:szCs w:val="22"/>
                <w:lang w:val="es-ES"/>
              </w:rPr>
            </w:pPr>
            <w:r>
              <w:rPr>
                <w:sz w:val="22"/>
                <w:szCs w:val="22"/>
                <w:lang w:val="es-ES"/>
              </w:rPr>
              <w:t>Especialista Junior en Políticas de Tierras</w:t>
            </w:r>
          </w:p>
        </w:tc>
        <w:tc>
          <w:tcPr>
            <w:tcW w:w="2977"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Análisis Operativo/Técnico</w:t>
            </w:r>
          </w:p>
        </w:tc>
        <w:tc>
          <w:tcPr>
            <w:tcW w:w="1417" w:type="dxa"/>
            <w:gridSpan w:val="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SBMCAR</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b/>
                <w:bCs/>
                <w:color w:val="314F4F"/>
                <w:sz w:val="22"/>
                <w:szCs w:val="22"/>
                <w:lang w:val="es-ES"/>
              </w:rPr>
              <w:t xml:space="preserve">Personal no perteneciente al Banco Mundial </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lastRenderedPageBreak/>
              <w:t>Nombre</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Cargo</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 xml:space="preserve">Teléfono Oficina </w:t>
            </w: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Ciudad</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Marco Zambrano</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Sostenibilidad Ambiental</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San José</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Fabrice Edouard</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Monitoreo &amp; Evaluación/ FAO</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Roma</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Reina Altagracia Zavala Castro</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Fortalecimiento Municipal</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Tegucigalpa</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Margarita Arguello</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Coordinación Inter-Institucional </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Managua</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Mario Castejón</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Economista Agrónomo / FAO</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Panamá</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María Manuela Faria</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Comunicaciones </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Washington, DC</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Fernando Galeana</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Especialista en M&amp;E</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Washington, DC</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Víctor Endo</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Gobernanza de la Tierra</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Lima</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Ricardo  Castellón Zamora</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Salvaguardas Sociales</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Managua</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Juan José Valencia</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Sistemas Integrados de Información de Registros y Catastro</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Tegucigalpa</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Víctor Fajardo</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Evaluación de Impactos / FAO</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Ciudad de México</w:t>
            </w:r>
          </w:p>
        </w:tc>
      </w:tr>
      <w:tr w:rsidR="00971692" w:rsidRPr="002F671E" w:rsidTr="00B40C7B">
        <w:tc>
          <w:tcPr>
            <w:tcW w:w="2341"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Camilo Pardo</w:t>
            </w:r>
          </w:p>
        </w:tc>
        <w:tc>
          <w:tcPr>
            <w:tcW w:w="2621"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Analista Institucional/ Políticas</w:t>
            </w:r>
          </w:p>
        </w:tc>
        <w:tc>
          <w:tcPr>
            <w:tcW w:w="2060"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2617" w:type="dxa"/>
            <w:gridSpan w:val="1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Washington, DC</w:t>
            </w: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F671E" w:rsidRDefault="00971692" w:rsidP="00971692">
            <w:pPr>
              <w:rPr>
                <w:rFonts w:ascii="Times" w:hAnsi="Times" w:cs="Times"/>
                <w:sz w:val="4"/>
                <w:szCs w:val="4"/>
                <w:lang w:val="es-ES"/>
              </w:rPr>
            </w:pP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b/>
                <w:bCs/>
                <w:color w:val="314F4F"/>
                <w:sz w:val="22"/>
                <w:szCs w:val="22"/>
                <w:lang w:val="es-ES"/>
              </w:rPr>
              <w:t xml:space="preserve">Cedes </w:t>
            </w: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País</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 xml:space="preserve">Primera División Administrativa </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Ubicación</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Proyectado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Existe</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b/>
                <w:bCs/>
                <w:sz w:val="22"/>
                <w:szCs w:val="22"/>
                <w:lang w:val="es-ES"/>
              </w:rPr>
              <w:t>Comentario</w:t>
            </w: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Nicaragua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Nueva Segovia</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Nueva Segovia</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jc w:val="center"/>
              <w:rPr>
                <w:sz w:val="22"/>
                <w:szCs w:val="22"/>
                <w:lang w:val="es-E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sz w:val="22"/>
                <w:szCs w:val="22"/>
                <w:lang w:val="es-ES"/>
              </w:rPr>
            </w:pPr>
            <w:r w:rsidRPr="00085452">
              <w:rPr>
                <w:bCs/>
                <w:sz w:val="22"/>
                <w:szCs w:val="22"/>
                <w:lang w:val="es-ES"/>
              </w:rPr>
              <w:t>X</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085452" w:rsidRDefault="00971692" w:rsidP="00971692">
            <w:pPr>
              <w:keepNext/>
              <w:numPr>
                <w:ilvl w:val="0"/>
                <w:numId w:val="48"/>
              </w:numPr>
              <w:spacing w:after="240"/>
              <w:outlineLvl w:val="0"/>
              <w:rPr>
                <w:sz w:val="22"/>
                <w:szCs w:val="22"/>
                <w:lang w:val="es-ES"/>
              </w:rPr>
            </w:pP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Nicaragua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Madriz</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Madriz</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jc w:val="center"/>
              <w:rPr>
                <w:sz w:val="22"/>
                <w:szCs w:val="22"/>
                <w:lang w:val="es-E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sz w:val="22"/>
                <w:szCs w:val="22"/>
                <w:lang w:val="es-ES"/>
              </w:rPr>
            </w:pPr>
            <w:r w:rsidRPr="00085452">
              <w:rPr>
                <w:bCs/>
                <w:sz w:val="22"/>
                <w:szCs w:val="22"/>
                <w:lang w:val="es-ES"/>
              </w:rPr>
              <w:t>X</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085452" w:rsidRDefault="00971692" w:rsidP="00971692">
            <w:pPr>
              <w:keepNext/>
              <w:numPr>
                <w:ilvl w:val="0"/>
                <w:numId w:val="48"/>
              </w:numPr>
              <w:spacing w:after="240"/>
              <w:outlineLvl w:val="0"/>
              <w:rPr>
                <w:sz w:val="22"/>
                <w:szCs w:val="22"/>
                <w:lang w:val="es-ES"/>
              </w:rPr>
            </w:pP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Nicaragua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León</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León</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jc w:val="center"/>
              <w:rPr>
                <w:sz w:val="22"/>
                <w:szCs w:val="22"/>
                <w:lang w:val="es-E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sz w:val="22"/>
                <w:szCs w:val="22"/>
                <w:lang w:val="es-ES"/>
              </w:rPr>
            </w:pPr>
            <w:r w:rsidRPr="00085452">
              <w:rPr>
                <w:bCs/>
                <w:sz w:val="22"/>
                <w:szCs w:val="22"/>
                <w:lang w:val="es-ES"/>
              </w:rPr>
              <w:t>X</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085452" w:rsidRDefault="00971692" w:rsidP="00971692">
            <w:pPr>
              <w:keepNext/>
              <w:numPr>
                <w:ilvl w:val="0"/>
                <w:numId w:val="48"/>
              </w:numPr>
              <w:spacing w:after="240"/>
              <w:outlineLvl w:val="0"/>
              <w:rPr>
                <w:sz w:val="22"/>
                <w:szCs w:val="22"/>
                <w:lang w:val="es-ES"/>
              </w:rPr>
            </w:pP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Nicaragua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Jinotega</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Jinotega</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jc w:val="center"/>
              <w:rPr>
                <w:sz w:val="22"/>
                <w:szCs w:val="22"/>
                <w:lang w:val="es-E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sz w:val="22"/>
                <w:szCs w:val="22"/>
                <w:lang w:val="es-ES"/>
              </w:rPr>
            </w:pPr>
            <w:r w:rsidRPr="00085452">
              <w:rPr>
                <w:bCs/>
                <w:sz w:val="22"/>
                <w:szCs w:val="22"/>
                <w:lang w:val="es-ES"/>
              </w:rPr>
              <w:t>X</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085452" w:rsidRDefault="00971692" w:rsidP="00971692">
            <w:pPr>
              <w:keepNext/>
              <w:numPr>
                <w:ilvl w:val="0"/>
                <w:numId w:val="48"/>
              </w:numPr>
              <w:spacing w:after="240"/>
              <w:outlineLvl w:val="0"/>
              <w:rPr>
                <w:sz w:val="22"/>
                <w:szCs w:val="22"/>
                <w:lang w:val="es-ES"/>
              </w:rPr>
            </w:pP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Nicaragua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Estelí</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Estelí</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jc w:val="center"/>
              <w:rPr>
                <w:sz w:val="22"/>
                <w:szCs w:val="22"/>
                <w:lang w:val="es-E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sz w:val="22"/>
                <w:szCs w:val="22"/>
                <w:lang w:val="es-ES"/>
              </w:rPr>
            </w:pPr>
            <w:r w:rsidRPr="00085452">
              <w:rPr>
                <w:bCs/>
                <w:sz w:val="22"/>
                <w:szCs w:val="22"/>
                <w:lang w:val="es-ES"/>
              </w:rPr>
              <w:t>X</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085452" w:rsidRDefault="00971692" w:rsidP="00971692">
            <w:pPr>
              <w:keepNext/>
              <w:numPr>
                <w:ilvl w:val="0"/>
                <w:numId w:val="48"/>
              </w:numPr>
              <w:spacing w:after="240"/>
              <w:outlineLvl w:val="0"/>
              <w:rPr>
                <w:sz w:val="22"/>
                <w:szCs w:val="22"/>
                <w:lang w:val="es-ES"/>
              </w:rPr>
            </w:pPr>
          </w:p>
        </w:tc>
      </w:tr>
      <w:tr w:rsidR="00971692" w:rsidRPr="002F671E" w:rsidTr="00B40C7B">
        <w:tc>
          <w:tcPr>
            <w:tcW w:w="1405"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Nicaragua</w:t>
            </w:r>
          </w:p>
        </w:tc>
        <w:tc>
          <w:tcPr>
            <w:tcW w:w="1872"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Chinandega</w:t>
            </w:r>
          </w:p>
        </w:tc>
        <w:tc>
          <w:tcPr>
            <w:tcW w:w="1873"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Departamento de Chinandega</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jc w:val="center"/>
              <w:rPr>
                <w:sz w:val="22"/>
                <w:szCs w:val="22"/>
                <w:lang w:val="es-ES"/>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sz w:val="22"/>
                <w:szCs w:val="22"/>
                <w:lang w:val="es-ES"/>
              </w:rPr>
            </w:pPr>
            <w:r w:rsidRPr="00085452">
              <w:rPr>
                <w:bCs/>
                <w:sz w:val="22"/>
                <w:szCs w:val="22"/>
                <w:lang w:val="es-ES"/>
              </w:rPr>
              <w:t>X</w:t>
            </w:r>
          </w:p>
        </w:tc>
        <w:tc>
          <w:tcPr>
            <w:tcW w:w="2551"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085452" w:rsidRDefault="00971692" w:rsidP="00971692">
            <w:pPr>
              <w:keepNext/>
              <w:numPr>
                <w:ilvl w:val="0"/>
                <w:numId w:val="48"/>
              </w:numPr>
              <w:spacing w:after="240"/>
              <w:outlineLvl w:val="0"/>
              <w:rPr>
                <w:sz w:val="22"/>
                <w:szCs w:val="22"/>
                <w:lang w:val="es-ES"/>
              </w:rPr>
            </w:pP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085452" w:rsidRDefault="00971692" w:rsidP="00971692">
            <w:pPr>
              <w:keepNext/>
              <w:numPr>
                <w:ilvl w:val="0"/>
                <w:numId w:val="48"/>
              </w:numPr>
              <w:spacing w:after="240"/>
              <w:outlineLvl w:val="0"/>
              <w:rPr>
                <w:rFonts w:ascii="Times" w:hAnsi="Times" w:cs="Times"/>
                <w:sz w:val="4"/>
                <w:szCs w:val="4"/>
                <w:lang w:val="es-ES"/>
              </w:rPr>
            </w:pP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971692" w:rsidRPr="002F671E" w:rsidRDefault="00C46691" w:rsidP="00971692">
            <w:pPr>
              <w:widowControl w:val="0"/>
              <w:adjustRightInd w:val="0"/>
              <w:jc w:val="center"/>
              <w:rPr>
                <w:sz w:val="22"/>
                <w:szCs w:val="22"/>
                <w:lang w:val="es-ES"/>
              </w:rPr>
            </w:pPr>
            <w:r w:rsidRPr="00085452">
              <w:rPr>
                <w:b/>
                <w:bCs/>
                <w:sz w:val="22"/>
                <w:szCs w:val="22"/>
                <w:lang w:val="es-ES"/>
              </w:rPr>
              <w:t>Datos Institucionales</w:t>
            </w: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widowControl w:val="0"/>
              <w:adjustRightInd w:val="0"/>
              <w:rPr>
                <w:color w:val="314F4F"/>
                <w:sz w:val="22"/>
                <w:szCs w:val="22"/>
                <w:lang w:val="es-ES"/>
              </w:rPr>
            </w:pPr>
            <w:r w:rsidRPr="00085452">
              <w:rPr>
                <w:b/>
                <w:bCs/>
                <w:color w:val="314F4F"/>
                <w:sz w:val="22"/>
                <w:szCs w:val="22"/>
                <w:lang w:val="es-ES"/>
              </w:rPr>
              <w:t>Junta Sectorial</w:t>
            </w: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lastRenderedPageBreak/>
              <w:t>Agricultura y Desarrollo Rural</w:t>
            </w: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6A0D6F" w:rsidRPr="002F671E" w:rsidRDefault="006A0D6F" w:rsidP="00971692">
            <w:pPr>
              <w:rPr>
                <w:rFonts w:ascii="Times" w:hAnsi="Times" w:cs="Times"/>
                <w:sz w:val="4"/>
                <w:szCs w:val="4"/>
                <w:lang w:val="es-ES"/>
              </w:rPr>
            </w:pP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b/>
                <w:bCs/>
                <w:color w:val="314F4F"/>
                <w:sz w:val="22"/>
                <w:szCs w:val="22"/>
                <w:lang w:val="es-ES"/>
              </w:rPr>
              <w:t xml:space="preserve">Sectores / Cambio Climático  </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Sector (Máximo 5 y % total debe equivaler a 100)</w:t>
            </w:r>
          </w:p>
        </w:tc>
      </w:tr>
      <w:tr w:rsidR="00971692" w:rsidRPr="002F671E" w:rsidTr="00B40C7B">
        <w:tc>
          <w:tcPr>
            <w:tcW w:w="346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color w:val="314F4F"/>
                <w:sz w:val="22"/>
                <w:szCs w:val="22"/>
                <w:lang w:val="es-ES"/>
              </w:rPr>
              <w:t>Sector Principal</w:t>
            </w:r>
          </w:p>
        </w:tc>
        <w:tc>
          <w:tcPr>
            <w:tcW w:w="234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color w:val="314F4F"/>
                <w:sz w:val="22"/>
                <w:szCs w:val="22"/>
                <w:lang w:val="es-ES"/>
              </w:rPr>
              <w:t>Sector</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color w:val="314F4F"/>
                <w:sz w:val="22"/>
                <w:szCs w:val="22"/>
                <w:lang w:val="es-ES"/>
              </w:rPr>
              <w:t>%</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color w:val="314F4F"/>
                <w:sz w:val="22"/>
                <w:szCs w:val="22"/>
                <w:lang w:val="es-ES"/>
              </w:rPr>
            </w:pPr>
            <w:r w:rsidRPr="00085452">
              <w:rPr>
                <w:color w:val="314F4F"/>
                <w:sz w:val="22"/>
                <w:szCs w:val="22"/>
                <w:lang w:val="es-ES"/>
              </w:rPr>
              <w:t>% Beneficios colaterales de adaptación</w:t>
            </w: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jc w:val="center"/>
              <w:rPr>
                <w:color w:val="314F4F"/>
                <w:sz w:val="22"/>
                <w:szCs w:val="22"/>
                <w:lang w:val="es-ES"/>
              </w:rPr>
            </w:pPr>
            <w:r w:rsidRPr="00085452">
              <w:rPr>
                <w:color w:val="314F4F"/>
                <w:sz w:val="22"/>
                <w:szCs w:val="22"/>
                <w:lang w:val="es-ES"/>
              </w:rPr>
              <w:t>% Beneficios colaterales de mitigación</w:t>
            </w:r>
          </w:p>
        </w:tc>
      </w:tr>
      <w:tr w:rsidR="00971692" w:rsidRPr="002F671E" w:rsidTr="00B40C7B">
        <w:tc>
          <w:tcPr>
            <w:tcW w:w="346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Administración Pública, Derecho y Justicia</w:t>
            </w:r>
          </w:p>
        </w:tc>
        <w:tc>
          <w:tcPr>
            <w:tcW w:w="234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05120" w:rsidRDefault="00C46691">
            <w:pPr>
              <w:rPr>
                <w:sz w:val="22"/>
                <w:szCs w:val="22"/>
                <w:lang w:val="es-ES"/>
              </w:rPr>
            </w:pPr>
            <w:r w:rsidRPr="00085452">
              <w:rPr>
                <w:sz w:val="22"/>
                <w:szCs w:val="22"/>
                <w:lang w:val="es-ES"/>
              </w:rPr>
              <w:t>Administración de  Gobierno Central</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60</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r>
      <w:tr w:rsidR="00971692" w:rsidRPr="002F671E" w:rsidTr="00B40C7B">
        <w:tc>
          <w:tcPr>
            <w:tcW w:w="346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Administración Pública, Derecho y Justicia</w:t>
            </w:r>
          </w:p>
        </w:tc>
        <w:tc>
          <w:tcPr>
            <w:tcW w:w="234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05120" w:rsidRDefault="00C46691">
            <w:pPr>
              <w:rPr>
                <w:sz w:val="22"/>
                <w:szCs w:val="22"/>
                <w:lang w:val="es-ES"/>
              </w:rPr>
            </w:pPr>
            <w:r w:rsidRPr="00085452">
              <w:rPr>
                <w:sz w:val="22"/>
                <w:szCs w:val="22"/>
                <w:lang w:val="es-ES"/>
              </w:rPr>
              <w:t xml:space="preserve">Administración de gobiernos departamentales o municipales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25</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r>
      <w:tr w:rsidR="00971692" w:rsidRPr="002F671E" w:rsidTr="00B40C7B">
        <w:tc>
          <w:tcPr>
            <w:tcW w:w="3465" w:type="dxa"/>
            <w:gridSpan w:val="1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Agricultura, pesca y forestal</w:t>
            </w:r>
          </w:p>
        </w:tc>
        <w:tc>
          <w:tcPr>
            <w:tcW w:w="2340"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9F3769">
              <w:rPr>
                <w:sz w:val="22"/>
                <w:szCs w:val="22"/>
                <w:lang w:val="es-ES"/>
              </w:rPr>
              <w:t xml:space="preserve">Sector de Agricultura, Pesca y Forestal en general </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15</w:t>
            </w:r>
          </w:p>
        </w:tc>
        <w:tc>
          <w:tcPr>
            <w:tcW w:w="1404"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c>
          <w:tcPr>
            <w:tcW w:w="1681" w:type="dxa"/>
            <w:gridSpan w:val="8"/>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971692" w:rsidP="00971692">
            <w:pPr>
              <w:rPr>
                <w:sz w:val="22"/>
                <w:szCs w:val="22"/>
                <w:lang w:val="es-ES"/>
              </w:rPr>
            </w:pPr>
          </w:p>
        </w:tc>
      </w:tr>
      <w:tr w:rsidR="00971692" w:rsidRPr="002F671E" w:rsidTr="00B40C7B">
        <w:tc>
          <w:tcPr>
            <w:tcW w:w="5805" w:type="dxa"/>
            <w:gridSpan w:val="2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Total</w:t>
            </w:r>
          </w:p>
        </w:tc>
        <w:tc>
          <w:tcPr>
            <w:tcW w:w="3834" w:type="dxa"/>
            <w:gridSpan w:val="1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100</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971692" w:rsidRPr="002F671E" w:rsidRDefault="00C46691" w:rsidP="00F91221">
            <w:pPr>
              <w:numPr>
                <w:ilvl w:val="0"/>
                <w:numId w:val="42"/>
              </w:numPr>
              <w:spacing w:line="320" w:lineRule="atLeast"/>
              <w:contextualSpacing/>
              <w:rPr>
                <w:sz w:val="22"/>
                <w:szCs w:val="22"/>
                <w:lang w:val="es-ES"/>
              </w:rPr>
            </w:pPr>
            <w:r w:rsidRPr="00085452">
              <w:rPr>
                <w:sz w:val="22"/>
                <w:szCs w:val="22"/>
                <w:lang w:val="es-ES"/>
              </w:rPr>
              <w:t xml:space="preserve">Yo certifico que no existe información sobre los beneficios colaterales de la adaptación y mitigación de los efectos del cambio climático aplicable al Proyecto </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971692" w:rsidRPr="002F671E" w:rsidRDefault="00971692" w:rsidP="00971692">
            <w:pPr>
              <w:rPr>
                <w:rFonts w:ascii="Times" w:hAnsi="Times" w:cs="Times"/>
                <w:sz w:val="4"/>
                <w:szCs w:val="4"/>
                <w:lang w:val="es-ES"/>
              </w:rPr>
            </w:pPr>
          </w:p>
        </w:tc>
      </w:tr>
      <w:tr w:rsidR="00971692" w:rsidRPr="002F671E"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b/>
                <w:bCs/>
                <w:color w:val="314F4F"/>
                <w:sz w:val="22"/>
                <w:szCs w:val="22"/>
                <w:lang w:val="es-ES"/>
              </w:rPr>
              <w:t>Temas</w:t>
            </w:r>
          </w:p>
        </w:tc>
      </w:tr>
      <w:tr w:rsidR="00971692" w:rsidRPr="00085452" w:rsidTr="00B40C7B">
        <w:tc>
          <w:tcPr>
            <w:tcW w:w="9639" w:type="dxa"/>
            <w:gridSpan w:val="4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Tema (Máximo 5 y % total debe equivaler a 100)</w:t>
            </w:r>
          </w:p>
        </w:tc>
      </w:tr>
      <w:tr w:rsidR="00971692" w:rsidRPr="002F671E"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color w:val="314F4F"/>
                <w:sz w:val="22"/>
                <w:szCs w:val="22"/>
                <w:lang w:val="es-ES"/>
              </w:rPr>
              <w:t>Tema Principal</w:t>
            </w:r>
          </w:p>
        </w:tc>
        <w:tc>
          <w:tcPr>
            <w:tcW w:w="374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color w:val="314F4F"/>
                <w:sz w:val="22"/>
                <w:szCs w:val="22"/>
                <w:lang w:val="es-ES"/>
              </w:rPr>
              <w:t xml:space="preserve">Tema </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color w:val="314F4F"/>
                <w:sz w:val="22"/>
                <w:szCs w:val="22"/>
                <w:lang w:val="es-ES"/>
              </w:rPr>
            </w:pPr>
            <w:r w:rsidRPr="00085452">
              <w:rPr>
                <w:color w:val="314F4F"/>
                <w:sz w:val="22"/>
                <w:szCs w:val="22"/>
                <w:lang w:val="es-ES"/>
              </w:rPr>
              <w:t>%</w:t>
            </w:r>
          </w:p>
        </w:tc>
      </w:tr>
      <w:tr w:rsidR="00971692" w:rsidRPr="002F671E"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9F3769">
              <w:rPr>
                <w:sz w:val="22"/>
                <w:szCs w:val="22"/>
                <w:lang w:val="es-ES"/>
              </w:rPr>
              <w:t xml:space="preserve">Administración </w:t>
            </w:r>
            <w:r w:rsidRPr="00085452">
              <w:rPr>
                <w:sz w:val="22"/>
                <w:szCs w:val="22"/>
                <w:lang w:val="es-ES"/>
              </w:rPr>
              <w:t xml:space="preserve">del medio ambiente y recursos naturales </w:t>
            </w:r>
          </w:p>
        </w:tc>
        <w:tc>
          <w:tcPr>
            <w:tcW w:w="374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9F3769">
              <w:rPr>
                <w:sz w:val="22"/>
                <w:szCs w:val="22"/>
                <w:lang w:val="es-ES"/>
              </w:rPr>
              <w:t xml:space="preserve">Administración </w:t>
            </w:r>
            <w:r w:rsidRPr="00085452">
              <w:rPr>
                <w:sz w:val="22"/>
                <w:szCs w:val="22"/>
                <w:lang w:val="es-ES"/>
              </w:rPr>
              <w:t>y ordenamiento de la propiedad</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56</w:t>
            </w:r>
          </w:p>
        </w:tc>
      </w:tr>
      <w:tr w:rsidR="00971692" w:rsidRPr="002F671E"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Estado de Derecho</w:t>
            </w:r>
          </w:p>
        </w:tc>
        <w:tc>
          <w:tcPr>
            <w:tcW w:w="374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Derechos personales y </w:t>
            </w:r>
            <w:r w:rsidRPr="009F3769">
              <w:rPr>
                <w:sz w:val="22"/>
                <w:szCs w:val="22"/>
                <w:lang w:val="es-ES"/>
              </w:rPr>
              <w:t xml:space="preserve">de propiedad </w:t>
            </w:r>
            <w:r w:rsidRPr="00085452">
              <w:rPr>
                <w:sz w:val="22"/>
                <w:szCs w:val="22"/>
                <w:lang w:val="es-ES"/>
              </w:rPr>
              <w:t xml:space="preserve"> </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15</w:t>
            </w:r>
          </w:p>
        </w:tc>
      </w:tr>
      <w:tr w:rsidR="00971692" w:rsidRPr="002F671E"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Gobernanza del Sector Público  </w:t>
            </w:r>
          </w:p>
        </w:tc>
        <w:tc>
          <w:tcPr>
            <w:tcW w:w="374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Descentralización</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7</w:t>
            </w:r>
          </w:p>
        </w:tc>
      </w:tr>
      <w:tr w:rsidR="00971692" w:rsidRPr="002F671E"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Desarrollo social/ género /inclusión</w:t>
            </w:r>
          </w:p>
        </w:tc>
        <w:tc>
          <w:tcPr>
            <w:tcW w:w="374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 xml:space="preserve">Pueblos Indígenas </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2</w:t>
            </w:r>
          </w:p>
        </w:tc>
      </w:tr>
      <w:tr w:rsidR="00971692" w:rsidRPr="002F671E" w:rsidTr="00B40C7B">
        <w:tc>
          <w:tcPr>
            <w:tcW w:w="3746"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Protección social y gestión de riesgos</w:t>
            </w:r>
          </w:p>
        </w:tc>
        <w:tc>
          <w:tcPr>
            <w:tcW w:w="3744" w:type="dxa"/>
            <w:gridSpan w:val="1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9F3769">
              <w:rPr>
                <w:sz w:val="22"/>
                <w:szCs w:val="22"/>
                <w:lang w:val="es-ES"/>
              </w:rPr>
              <w:t xml:space="preserve">Administración ante </w:t>
            </w:r>
            <w:r w:rsidRPr="00085452">
              <w:rPr>
                <w:sz w:val="22"/>
                <w:szCs w:val="22"/>
                <w:lang w:val="es-ES"/>
              </w:rPr>
              <w:t>desastres naturales</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20</w:t>
            </w:r>
          </w:p>
        </w:tc>
      </w:tr>
      <w:tr w:rsidR="00971692" w:rsidRPr="002F671E" w:rsidTr="00B40C7B">
        <w:tc>
          <w:tcPr>
            <w:tcW w:w="7490" w:type="dxa"/>
            <w:gridSpan w:val="3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Total</w:t>
            </w:r>
          </w:p>
        </w:tc>
        <w:tc>
          <w:tcPr>
            <w:tcW w:w="2149" w:type="dxa"/>
            <w:gridSpan w:val="11"/>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971692" w:rsidRPr="002F671E" w:rsidRDefault="00C46691" w:rsidP="00971692">
            <w:pPr>
              <w:rPr>
                <w:sz w:val="22"/>
                <w:szCs w:val="22"/>
                <w:lang w:val="es-ES"/>
              </w:rPr>
            </w:pPr>
            <w:r w:rsidRPr="00085452">
              <w:rPr>
                <w:sz w:val="22"/>
                <w:szCs w:val="22"/>
                <w:lang w:val="es-ES"/>
              </w:rPr>
              <w:t>100</w:t>
            </w:r>
          </w:p>
        </w:tc>
      </w:tr>
    </w:tbl>
    <w:p w:rsidR="00971692" w:rsidRPr="002F671E" w:rsidRDefault="00971692" w:rsidP="00971692">
      <w:pPr>
        <w:rPr>
          <w:sz w:val="22"/>
          <w:szCs w:val="22"/>
          <w:lang w:val="es-ES"/>
        </w:rPr>
      </w:pPr>
    </w:p>
    <w:p w:rsidR="00971692" w:rsidRPr="002F671E" w:rsidRDefault="00971692" w:rsidP="00971692">
      <w:pPr>
        <w:jc w:val="center"/>
        <w:rPr>
          <w:sz w:val="22"/>
          <w:szCs w:val="22"/>
          <w:lang w:val="es-ES"/>
        </w:rPr>
      </w:pPr>
    </w:p>
    <w:p w:rsidR="00971692" w:rsidRPr="002F671E" w:rsidRDefault="00971692" w:rsidP="00971692">
      <w:pPr>
        <w:rPr>
          <w:lang w:val="es-ES"/>
        </w:rPr>
        <w:sectPr w:rsidR="00971692" w:rsidRPr="002F671E">
          <w:footerReference w:type="even" r:id="rId12"/>
          <w:pgSz w:w="12240" w:h="15840" w:code="1"/>
          <w:pgMar w:top="1440" w:right="1440" w:bottom="1440" w:left="1440" w:header="720" w:footer="720" w:gutter="0"/>
          <w:cols w:space="720"/>
          <w:docGrid w:linePitch="360"/>
        </w:sectPr>
      </w:pPr>
    </w:p>
    <w:p w:rsidR="00971692" w:rsidRPr="002F671E" w:rsidRDefault="00C46691" w:rsidP="004B4F08">
      <w:pPr>
        <w:pStyle w:val="Heading1"/>
        <w:spacing w:after="0"/>
      </w:pPr>
      <w:bookmarkStart w:id="6" w:name="_Toc347866106"/>
      <w:bookmarkStart w:id="7" w:name="_Toc357981059"/>
      <w:bookmarkStart w:id="8" w:name="_Toc295296807"/>
      <w:r w:rsidRPr="00085452">
        <w:lastRenderedPageBreak/>
        <w:t>CONTEXTO ESTRATÉGICO</w:t>
      </w:r>
      <w:bookmarkEnd w:id="6"/>
      <w:bookmarkEnd w:id="7"/>
      <w:bookmarkEnd w:id="8"/>
    </w:p>
    <w:p w:rsidR="00971692" w:rsidRPr="002F671E" w:rsidRDefault="00C46691" w:rsidP="00F91221">
      <w:pPr>
        <w:pStyle w:val="Heading2"/>
        <w:numPr>
          <w:ilvl w:val="0"/>
          <w:numId w:val="45"/>
        </w:numPr>
        <w:spacing w:after="0"/>
      </w:pPr>
      <w:bookmarkStart w:id="9" w:name="_Toc295296808"/>
      <w:bookmarkStart w:id="10" w:name="_Toc347866107"/>
      <w:bookmarkStart w:id="11" w:name="_Toc357981060"/>
      <w:bookmarkStart w:id="12" w:name="CountrySectorIssues"/>
      <w:r w:rsidRPr="00085452">
        <w:t>Context</w:t>
      </w:r>
      <w:bookmarkEnd w:id="9"/>
      <w:r w:rsidRPr="00085452">
        <w:t>o de País</w:t>
      </w:r>
      <w:bookmarkEnd w:id="10"/>
      <w:bookmarkEnd w:id="11"/>
    </w:p>
    <w:p w:rsidR="00971692" w:rsidRPr="002F671E" w:rsidRDefault="00C46691" w:rsidP="004B4F08">
      <w:pPr>
        <w:numPr>
          <w:ilvl w:val="0"/>
          <w:numId w:val="14"/>
        </w:numPr>
        <w:tabs>
          <w:tab w:val="clear" w:pos="360"/>
        </w:tabs>
        <w:contextualSpacing/>
        <w:jc w:val="both"/>
        <w:rPr>
          <w:sz w:val="23"/>
          <w:szCs w:val="23"/>
          <w:lang w:val="es-ES"/>
        </w:rPr>
      </w:pPr>
      <w:r w:rsidRPr="00085452">
        <w:rPr>
          <w:sz w:val="23"/>
          <w:szCs w:val="23"/>
          <w:lang w:val="es-ES"/>
        </w:rPr>
        <w:t>Con un Producto Nacional Bruto (PNB) per cápita de US$ 1,510 en 2011,</w:t>
      </w:r>
      <w:r w:rsidRPr="00085452">
        <w:rPr>
          <w:sz w:val="23"/>
          <w:szCs w:val="23"/>
          <w:vertAlign w:val="superscript"/>
          <w:lang w:val="es-ES"/>
        </w:rPr>
        <w:footnoteReference w:id="1"/>
      </w:r>
      <w:r w:rsidRPr="00085452">
        <w:rPr>
          <w:sz w:val="23"/>
          <w:szCs w:val="23"/>
          <w:lang w:val="es-ES"/>
        </w:rPr>
        <w:t xml:space="preserve"> Nicaragua es uno de los países más pobres de América Latina. Aunque su situación ha mejorado, cerca del 42% de una población total (5.9 millones de habitantes) vive en condiciones de pobreza y 1 de cada 7 nicaragüenses vive en pobreza extrema. Los pueblos indígenas</w:t>
      </w:r>
      <w:r w:rsidR="00085452">
        <w:rPr>
          <w:sz w:val="23"/>
          <w:szCs w:val="23"/>
          <w:lang w:val="es-ES"/>
        </w:rPr>
        <w:t xml:space="preserve"> </w:t>
      </w:r>
      <w:r w:rsidRPr="00085452">
        <w:rPr>
          <w:sz w:val="23"/>
          <w:szCs w:val="23"/>
          <w:lang w:val="es-ES"/>
        </w:rPr>
        <w:t xml:space="preserve">(5% de la población total), han sufrido penurias y exclusión social. Más de la mitad de nicaragüenses viven en las zonas urbanas (57%), pero la pobreza es un fenómeno con rostro rural.  Cabe señalar que el rendimiento económico del país ha mejorado en la última década, al experimentar una tasa de crecimiento moderado de 3.2% anual.  Después de la crisis económica mundial del 2008 – 2009, Nicaragua tuvo un repunte económico más vigoroso que el resto de sus vecinos centroamericanos y la tasa  de crecimiento del 4.7% en el 2011 fue la segunda más alta en una década. </w:t>
      </w:r>
      <w:r w:rsidRPr="009F3769">
        <w:rPr>
          <w:sz w:val="23"/>
          <w:szCs w:val="23"/>
          <w:lang w:val="es-ES"/>
        </w:rPr>
        <w:t>El reto a largo plazo es mantener mayores índices de crecimiento para reducir la pobreza: mejorando la productividad y aumentando el ingreso en todos los segmentos poblacionales.</w:t>
      </w:r>
      <w:r w:rsidRPr="00085452">
        <w:rPr>
          <w:sz w:val="23"/>
          <w:szCs w:val="23"/>
          <w:lang w:val="es-ES"/>
        </w:rPr>
        <w:t xml:space="preserve">. </w:t>
      </w:r>
      <w:r w:rsidRPr="009F3769">
        <w:rPr>
          <w:sz w:val="23"/>
          <w:szCs w:val="23"/>
          <w:lang w:val="es-ES"/>
        </w:rPr>
        <w:t xml:space="preserve">También (indicado </w:t>
      </w:r>
      <w:r w:rsidRPr="00085452">
        <w:rPr>
          <w:sz w:val="23"/>
          <w:szCs w:val="23"/>
          <w:lang w:val="es-ES"/>
        </w:rPr>
        <w:t xml:space="preserve">en el Anexo 7), Nicaragua </w:t>
      </w:r>
      <w:r w:rsidRPr="009F3769">
        <w:rPr>
          <w:sz w:val="23"/>
          <w:szCs w:val="23"/>
          <w:lang w:val="es-ES"/>
        </w:rPr>
        <w:t xml:space="preserve">es altamente vulnerable </w:t>
      </w:r>
      <w:r w:rsidRPr="00085452">
        <w:rPr>
          <w:sz w:val="23"/>
          <w:szCs w:val="23"/>
          <w:lang w:val="es-ES"/>
        </w:rPr>
        <w:t>ante desastres y trastornos externos que amenazan los avances alcanzados en materia de desarrollo. Sólo en los últimos cien años, Nicaragua ha sufrido los efectos de al menos cinco eventos destructivos en extremo, contándose entre ellos tormentas y huracanes.</w:t>
      </w:r>
    </w:p>
    <w:p w:rsidR="00971692" w:rsidRPr="002F671E" w:rsidRDefault="00971692" w:rsidP="004B4F08">
      <w:pPr>
        <w:contextualSpacing/>
        <w:jc w:val="both"/>
        <w:rPr>
          <w:sz w:val="23"/>
          <w:szCs w:val="23"/>
          <w:lang w:val="es-ES"/>
        </w:rPr>
      </w:pPr>
    </w:p>
    <w:p w:rsidR="00971692" w:rsidRPr="002F671E" w:rsidRDefault="00C46691" w:rsidP="004B4F08">
      <w:pPr>
        <w:numPr>
          <w:ilvl w:val="0"/>
          <w:numId w:val="14"/>
        </w:numPr>
        <w:tabs>
          <w:tab w:val="clear" w:pos="360"/>
        </w:tabs>
        <w:contextualSpacing/>
        <w:jc w:val="both"/>
        <w:rPr>
          <w:sz w:val="23"/>
          <w:szCs w:val="23"/>
          <w:lang w:val="es-ES"/>
        </w:rPr>
      </w:pPr>
      <w:r w:rsidRPr="009F3769">
        <w:rPr>
          <w:sz w:val="23"/>
          <w:szCs w:val="23"/>
          <w:lang w:val="es-ES"/>
        </w:rPr>
        <w:t xml:space="preserve">Garantizar </w:t>
      </w:r>
      <w:r w:rsidRPr="00085452">
        <w:rPr>
          <w:sz w:val="23"/>
          <w:szCs w:val="23"/>
          <w:lang w:val="es-ES"/>
        </w:rPr>
        <w:t xml:space="preserve">los derechos de  propiedad y </w:t>
      </w:r>
      <w:r w:rsidRPr="009F3769">
        <w:rPr>
          <w:sz w:val="23"/>
          <w:szCs w:val="23"/>
          <w:lang w:val="es-ES"/>
        </w:rPr>
        <w:t xml:space="preserve">modernizar </w:t>
      </w:r>
      <w:r w:rsidRPr="00085452">
        <w:rPr>
          <w:sz w:val="23"/>
          <w:szCs w:val="23"/>
          <w:lang w:val="es-ES"/>
        </w:rPr>
        <w:t xml:space="preserve">las instituciones relacionadas con el ordenamiento de la propiedad son fundamentales para mejorar la productividad de Nicaragua. Años de inconsistencia en la toma de decisiones legales y administrativas en cuanto a la propiedad, contribuyeron a elevar la inseguridad en la tenencia de la tierra y socavó la confianza de la población en las instituciones públicas. Con apoyo del Banco Mundial y  socios de desarrollo, como el Fondo Nórdico para el Desarrollo (NDF) y la Corporación Reto del Milenio (EE.UU.), las administraciones recientes han transformado </w:t>
      </w:r>
      <w:r w:rsidRPr="009F3769">
        <w:rPr>
          <w:sz w:val="23"/>
          <w:szCs w:val="23"/>
          <w:lang w:val="es-ES"/>
        </w:rPr>
        <w:t>el sector de la propiedad al promulgar nuevas leyes, modernizar las instituciones y regularizar de forma sistemática las tierras</w:t>
      </w:r>
      <w:r w:rsidRPr="00085452">
        <w:rPr>
          <w:sz w:val="23"/>
          <w:szCs w:val="23"/>
          <w:lang w:val="es-ES"/>
        </w:rPr>
        <w:t xml:space="preserve">. Cerca del 20% del territorio nacional </w:t>
      </w:r>
      <w:r w:rsidRPr="00085452">
        <w:rPr>
          <w:sz w:val="23"/>
          <w:szCs w:val="23"/>
          <w:vertAlign w:val="superscript"/>
          <w:lang w:val="es-ES"/>
        </w:rPr>
        <w:footnoteReference w:id="2"/>
      </w:r>
      <w:r w:rsidRPr="00085452">
        <w:rPr>
          <w:sz w:val="23"/>
          <w:szCs w:val="23"/>
          <w:lang w:val="es-ES"/>
        </w:rPr>
        <w:t xml:space="preserve"> </w:t>
      </w:r>
      <w:r w:rsidRPr="009F3769">
        <w:rPr>
          <w:sz w:val="23"/>
          <w:szCs w:val="23"/>
          <w:lang w:val="es-ES"/>
        </w:rPr>
        <w:t xml:space="preserve">se ha beneficiado con </w:t>
      </w:r>
      <w:r w:rsidRPr="00085452">
        <w:rPr>
          <w:sz w:val="23"/>
          <w:szCs w:val="23"/>
          <w:lang w:val="es-ES"/>
        </w:rPr>
        <w:t>las actividades de barrido catastral y regularización sistemática. Mientras avanza y se consolida el progreso alcanzado dentro del ámbito de la propiedad, el Gobierno necesita ampliar y expandir estos esfuerzos desde las áreas piloto hacia el resto del país, especialmente a regiones sin catastro o con registros de propiedad desfasados.</w:t>
      </w:r>
    </w:p>
    <w:p w:rsidR="00971692" w:rsidRPr="002F671E" w:rsidRDefault="00971692" w:rsidP="004B4F08">
      <w:pPr>
        <w:contextualSpacing/>
        <w:rPr>
          <w:lang w:val="es-ES"/>
        </w:rPr>
      </w:pPr>
    </w:p>
    <w:p w:rsidR="00971692" w:rsidRPr="002F671E" w:rsidRDefault="00C46691" w:rsidP="00F91221">
      <w:pPr>
        <w:pStyle w:val="Heading2"/>
        <w:numPr>
          <w:ilvl w:val="0"/>
          <w:numId w:val="45"/>
        </w:numPr>
        <w:spacing w:after="0"/>
      </w:pPr>
      <w:bookmarkStart w:id="13" w:name="_Toc295296809"/>
      <w:bookmarkStart w:id="14" w:name="_Toc347866108"/>
      <w:bookmarkStart w:id="15" w:name="_Toc357981061"/>
      <w:bookmarkStart w:id="16" w:name="RationaleBankInvolvement"/>
      <w:bookmarkEnd w:id="12"/>
      <w:r w:rsidRPr="00085452">
        <w:t>Context</w:t>
      </w:r>
      <w:bookmarkEnd w:id="13"/>
      <w:r w:rsidRPr="00085452">
        <w:t>o Sectorial e Institucional</w:t>
      </w:r>
      <w:bookmarkEnd w:id="14"/>
      <w:bookmarkEnd w:id="15"/>
    </w:p>
    <w:p w:rsidR="00971692" w:rsidRPr="009B2B42" w:rsidRDefault="00C46691" w:rsidP="004B4F08">
      <w:pPr>
        <w:numPr>
          <w:ilvl w:val="0"/>
          <w:numId w:val="14"/>
        </w:numPr>
        <w:tabs>
          <w:tab w:val="clear" w:pos="360"/>
        </w:tabs>
        <w:jc w:val="both"/>
        <w:rPr>
          <w:sz w:val="23"/>
          <w:szCs w:val="23"/>
          <w:lang w:val="es-ES"/>
        </w:rPr>
      </w:pPr>
      <w:r w:rsidRPr="00085452">
        <w:rPr>
          <w:sz w:val="23"/>
          <w:szCs w:val="23"/>
          <w:lang w:val="es-ES"/>
        </w:rPr>
        <w:t xml:space="preserve">Con el tiempo, reconociendo la importancia que la tenencia de la tierra juega en la agenda del desarrollo de Nicaragua, el Gobierno y el Banco Mundial han </w:t>
      </w:r>
      <w:r w:rsidRPr="009F3769">
        <w:rPr>
          <w:sz w:val="23"/>
          <w:szCs w:val="23"/>
          <w:lang w:val="es-ES"/>
        </w:rPr>
        <w:t xml:space="preserve">construido una fuerte </w:t>
      </w:r>
      <w:r w:rsidRPr="00085452">
        <w:rPr>
          <w:sz w:val="23"/>
          <w:szCs w:val="23"/>
          <w:lang w:val="es-ES"/>
        </w:rPr>
        <w:t xml:space="preserve">alianza con el pasar del tiempo. </w:t>
      </w:r>
      <w:r w:rsidRPr="009F3769">
        <w:rPr>
          <w:sz w:val="23"/>
          <w:szCs w:val="23"/>
          <w:lang w:val="es-ES"/>
        </w:rPr>
        <w:t xml:space="preserve">Financiado por el Banco Mundial entre 1993 y el 2000, </w:t>
      </w:r>
      <w:r w:rsidRPr="00085452">
        <w:rPr>
          <w:sz w:val="23"/>
          <w:szCs w:val="23"/>
          <w:lang w:val="es-ES"/>
        </w:rPr>
        <w:t xml:space="preserve">el Proyecto de Tecnología Agropecuaria y Ordenamiento de la Propiedad Agraria (ATLMP, P007780) </w:t>
      </w:r>
      <w:r w:rsidRPr="009F3769">
        <w:rPr>
          <w:sz w:val="23"/>
          <w:szCs w:val="23"/>
          <w:lang w:val="es-ES"/>
        </w:rPr>
        <w:t xml:space="preserve">apoyó </w:t>
      </w:r>
      <w:r w:rsidRPr="00085452">
        <w:rPr>
          <w:sz w:val="23"/>
          <w:szCs w:val="23"/>
          <w:lang w:val="es-ES"/>
        </w:rPr>
        <w:t xml:space="preserve"> los esfuerzos iniciales del Gobierno por modernizar el sistema de ordenamiento de la propiedad, incluyendo esfuerzos por resolver la situación de tenencia de parcelas redistribuidas durante la reforma agraria </w:t>
      </w:r>
      <w:r w:rsidR="00085452">
        <w:rPr>
          <w:sz w:val="23"/>
          <w:szCs w:val="23"/>
          <w:lang w:val="es-ES"/>
        </w:rPr>
        <w:t>ocurrida en la década de los 80</w:t>
      </w:r>
      <w:r w:rsidRPr="00085452">
        <w:rPr>
          <w:sz w:val="23"/>
          <w:szCs w:val="23"/>
          <w:lang w:val="es-ES"/>
        </w:rPr>
        <w:t>. Estos esfuerzos iniciales se vieron obstaculizados por políticas contradictorias intentando proteger simultáneamente</w:t>
      </w:r>
      <w:r w:rsidR="00971692" w:rsidRPr="009B2B42">
        <w:rPr>
          <w:sz w:val="23"/>
          <w:szCs w:val="23"/>
          <w:lang w:val="es-ES"/>
        </w:rPr>
        <w:t xml:space="preserve"> los derechos de </w:t>
      </w:r>
      <w:r w:rsidR="002F671E">
        <w:rPr>
          <w:sz w:val="23"/>
          <w:szCs w:val="23"/>
          <w:lang w:val="es-ES"/>
        </w:rPr>
        <w:t xml:space="preserve">las personas beneficiarias </w:t>
      </w:r>
      <w:r w:rsidR="00971692" w:rsidRPr="009B2B42">
        <w:rPr>
          <w:sz w:val="23"/>
          <w:szCs w:val="23"/>
          <w:lang w:val="es-ES"/>
        </w:rPr>
        <w:t xml:space="preserve"> de la </w:t>
      </w:r>
      <w:r w:rsidR="002F671E">
        <w:rPr>
          <w:sz w:val="23"/>
          <w:szCs w:val="23"/>
          <w:lang w:val="es-ES"/>
        </w:rPr>
        <w:t>R</w:t>
      </w:r>
      <w:r w:rsidR="00971692" w:rsidRPr="009B2B42">
        <w:rPr>
          <w:sz w:val="23"/>
          <w:szCs w:val="23"/>
          <w:lang w:val="es-ES"/>
        </w:rPr>
        <w:t xml:space="preserve">eforma </w:t>
      </w:r>
      <w:r w:rsidR="002F671E">
        <w:rPr>
          <w:sz w:val="23"/>
          <w:szCs w:val="23"/>
          <w:lang w:val="es-ES"/>
        </w:rPr>
        <w:t>A</w:t>
      </w:r>
      <w:r w:rsidR="00971692" w:rsidRPr="009B2B42">
        <w:rPr>
          <w:sz w:val="23"/>
          <w:szCs w:val="23"/>
          <w:lang w:val="es-ES"/>
        </w:rPr>
        <w:t>graria y los derechos de</w:t>
      </w:r>
      <w:r w:rsidR="00085452">
        <w:rPr>
          <w:sz w:val="23"/>
          <w:szCs w:val="23"/>
          <w:lang w:val="es-ES"/>
        </w:rPr>
        <w:t xml:space="preserve"> </w:t>
      </w:r>
      <w:r w:rsidR="002F671E">
        <w:rPr>
          <w:sz w:val="23"/>
          <w:szCs w:val="23"/>
          <w:lang w:val="es-ES"/>
        </w:rPr>
        <w:t>personas anteriormente dueñas</w:t>
      </w:r>
      <w:r w:rsidR="00971692" w:rsidRPr="009B2B42">
        <w:rPr>
          <w:sz w:val="23"/>
          <w:szCs w:val="23"/>
          <w:lang w:val="es-ES"/>
        </w:rPr>
        <w:t xml:space="preserve">. </w:t>
      </w:r>
      <w:r w:rsidR="002F671E">
        <w:rPr>
          <w:sz w:val="23"/>
          <w:szCs w:val="23"/>
          <w:lang w:val="es-ES"/>
        </w:rPr>
        <w:t xml:space="preserve">Se </w:t>
      </w:r>
      <w:r w:rsidR="00971692" w:rsidRPr="009B2B42">
        <w:rPr>
          <w:sz w:val="23"/>
          <w:szCs w:val="23"/>
          <w:lang w:val="es-ES"/>
        </w:rPr>
        <w:t>hizo evidente que el país necesitaba establecer un marco de ordenamiento de la propiedad adecuado antes de lanzar a nivel nacional un programa de ordenamiento.</w:t>
      </w:r>
    </w:p>
    <w:p w:rsidR="00971692" w:rsidRDefault="00971692" w:rsidP="004B4F08">
      <w:pPr>
        <w:numPr>
          <w:ilvl w:val="0"/>
          <w:numId w:val="14"/>
        </w:numPr>
        <w:tabs>
          <w:tab w:val="clear" w:pos="360"/>
        </w:tabs>
        <w:jc w:val="both"/>
        <w:rPr>
          <w:sz w:val="23"/>
          <w:szCs w:val="23"/>
          <w:lang w:val="es-ES"/>
        </w:rPr>
      </w:pPr>
      <w:r w:rsidRPr="009B2B42">
        <w:rPr>
          <w:sz w:val="23"/>
          <w:szCs w:val="23"/>
          <w:lang w:val="es-ES"/>
        </w:rPr>
        <w:lastRenderedPageBreak/>
        <w:t xml:space="preserve">Al tomar en cuenta dichas necesidades, el Proyecto de Ordenamiento de la Propiedad (PRODEPP056018) fue designado como  esfuerzo piloto </w:t>
      </w:r>
      <w:r w:rsidR="002F671E">
        <w:rPr>
          <w:sz w:val="23"/>
          <w:szCs w:val="23"/>
          <w:lang w:val="es-ES"/>
        </w:rPr>
        <w:t>de gran proporción</w:t>
      </w:r>
      <w:r w:rsidR="002F671E" w:rsidRPr="009B2B42" w:rsidDel="002F671E">
        <w:rPr>
          <w:sz w:val="23"/>
          <w:szCs w:val="23"/>
          <w:lang w:val="es-ES"/>
        </w:rPr>
        <w:t xml:space="preserve"> </w:t>
      </w:r>
      <w:r w:rsidRPr="009B2B42">
        <w:rPr>
          <w:sz w:val="23"/>
          <w:szCs w:val="23"/>
          <w:lang w:val="es-ES"/>
        </w:rPr>
        <w:t xml:space="preserve">financiado mediante dos créditos otorgados por la AIF, uno de los cuales es el Financiamiento Adicional. </w:t>
      </w:r>
      <w:r w:rsidRPr="009B2B42">
        <w:rPr>
          <w:sz w:val="23"/>
          <w:szCs w:val="23"/>
          <w:vertAlign w:val="superscript"/>
          <w:lang w:val="es-ES"/>
        </w:rPr>
        <w:footnoteReference w:id="3"/>
      </w:r>
      <w:r w:rsidRPr="009B2B42">
        <w:rPr>
          <w:sz w:val="23"/>
          <w:szCs w:val="23"/>
          <w:lang w:val="es-ES"/>
        </w:rPr>
        <w:t xml:space="preserve"> Desde el 2002, PRODEP ha ayudado a Nicaragua a alcanzar dos grandes logros: un marco de ordenamiento de la propiedad más sólido y transparente y una metodología comprobada para llevar a cabo la regularización sistemática de la propiedad. </w:t>
      </w:r>
      <w:r w:rsidRPr="009B2B42">
        <w:rPr>
          <w:sz w:val="23"/>
          <w:szCs w:val="23"/>
          <w:vertAlign w:val="superscript"/>
          <w:lang w:val="es-ES"/>
        </w:rPr>
        <w:footnoteReference w:id="4"/>
      </w:r>
      <w:r w:rsidRPr="009B2B42">
        <w:rPr>
          <w:sz w:val="23"/>
          <w:szCs w:val="23"/>
          <w:lang w:val="es-ES"/>
        </w:rPr>
        <w:t xml:space="preserve"> </w:t>
      </w:r>
      <w:r w:rsidR="002F671E" w:rsidRPr="00F64B22">
        <w:rPr>
          <w:sz w:val="23"/>
          <w:szCs w:val="23"/>
          <w:lang w:val="es-ES"/>
        </w:rPr>
        <w:t>Detallado</w:t>
      </w:r>
      <w:r w:rsidR="002F671E" w:rsidRPr="009B2B42" w:rsidDel="002F671E">
        <w:rPr>
          <w:sz w:val="23"/>
          <w:szCs w:val="23"/>
          <w:lang w:val="es-ES"/>
        </w:rPr>
        <w:t xml:space="preserve"> </w:t>
      </w:r>
      <w:r w:rsidRPr="009B2B42">
        <w:rPr>
          <w:sz w:val="23"/>
          <w:szCs w:val="23"/>
          <w:lang w:val="es-ES"/>
        </w:rPr>
        <w:t xml:space="preserve">en el Anexo 6, el marco de políticas y legislativo ha experimentado una transformación positiva, la capacidad de las </w:t>
      </w:r>
      <w:r w:rsidR="00F702EF">
        <w:rPr>
          <w:sz w:val="23"/>
          <w:szCs w:val="23"/>
          <w:lang w:val="es-ES"/>
        </w:rPr>
        <w:t>i</w:t>
      </w:r>
      <w:r w:rsidR="002F671E">
        <w:rPr>
          <w:sz w:val="23"/>
          <w:szCs w:val="23"/>
          <w:lang w:val="es-ES"/>
        </w:rPr>
        <w:t>nstituciones</w:t>
      </w:r>
      <w:r w:rsidR="00F702EF">
        <w:rPr>
          <w:sz w:val="23"/>
          <w:szCs w:val="23"/>
          <w:lang w:val="es-ES"/>
        </w:rPr>
        <w:t xml:space="preserve"> </w:t>
      </w:r>
      <w:r w:rsidRPr="009B2B42">
        <w:rPr>
          <w:sz w:val="23"/>
          <w:szCs w:val="23"/>
          <w:lang w:val="es-ES"/>
        </w:rPr>
        <w:t>claves se ha visto</w:t>
      </w:r>
      <w:r w:rsidR="002F671E">
        <w:rPr>
          <w:sz w:val="23"/>
          <w:szCs w:val="23"/>
          <w:lang w:val="es-ES"/>
        </w:rPr>
        <w:t xml:space="preserve"> fortalecida</w:t>
      </w:r>
      <w:r w:rsidRPr="009B2B42">
        <w:rPr>
          <w:sz w:val="23"/>
          <w:szCs w:val="23"/>
          <w:lang w:val="es-ES"/>
        </w:rPr>
        <w:t xml:space="preserve"> y los servicios que prestan</w:t>
      </w:r>
      <w:r w:rsidR="002F671E">
        <w:rPr>
          <w:sz w:val="23"/>
          <w:szCs w:val="23"/>
          <w:lang w:val="es-ES"/>
        </w:rPr>
        <w:t xml:space="preserve"> </w:t>
      </w:r>
      <w:r w:rsidR="00C46691" w:rsidRPr="00085452">
        <w:rPr>
          <w:sz w:val="23"/>
          <w:szCs w:val="23"/>
          <w:lang w:val="es-ES"/>
        </w:rPr>
        <w:t xml:space="preserve">que prestan dichas Instituciones están descentralizadas dentro las áreas pilotos. </w:t>
      </w:r>
      <w:r w:rsidR="00C46691" w:rsidRPr="00085452">
        <w:rPr>
          <w:sz w:val="23"/>
          <w:szCs w:val="23"/>
          <w:vertAlign w:val="superscript"/>
          <w:lang w:val="es-ES"/>
        </w:rPr>
        <w:footnoteReference w:id="5"/>
      </w:r>
      <w:r w:rsidR="00C46691" w:rsidRPr="00F702EF">
        <w:rPr>
          <w:sz w:val="23"/>
          <w:szCs w:val="23"/>
          <w:lang w:val="es-ES"/>
        </w:rPr>
        <w:t xml:space="preserve"> El aumento en la eficiencia de los servicios administrativos dentro de las área piloto del PRODEP, ha reducido por más de la mitad el tiempo necesario para completar transacciones de tierras o propiedades</w:t>
      </w:r>
      <w:r w:rsidRPr="009B2B42">
        <w:rPr>
          <w:sz w:val="23"/>
          <w:szCs w:val="23"/>
          <w:lang w:val="es-ES"/>
        </w:rPr>
        <w:t xml:space="preserve">. </w:t>
      </w:r>
      <w:r w:rsidR="007F215B" w:rsidRPr="00F64B22">
        <w:rPr>
          <w:sz w:val="23"/>
          <w:szCs w:val="23"/>
          <w:lang w:val="es-ES"/>
        </w:rPr>
        <w:t xml:space="preserve">Además, implementar la metodología de regularización sistemática de la propiedad, benefició a más de 110,000 hogares rurales y </w:t>
      </w:r>
      <w:r w:rsidR="00C46691" w:rsidRPr="00F702EF">
        <w:rPr>
          <w:sz w:val="23"/>
          <w:szCs w:val="23"/>
          <w:lang w:val="es-ES"/>
        </w:rPr>
        <w:t>urbanos (su mayoría viviendo en la pobreza),</w:t>
      </w:r>
      <w:r w:rsidR="007F215B" w:rsidRPr="00F64B22">
        <w:rPr>
          <w:sz w:val="23"/>
          <w:szCs w:val="23"/>
          <w:lang w:val="es-ES"/>
        </w:rPr>
        <w:t xml:space="preserve"> extendiéndoles títulos de propiedad. </w:t>
      </w:r>
      <w:r w:rsidR="00C46691" w:rsidRPr="00F702EF">
        <w:rPr>
          <w:sz w:val="23"/>
          <w:szCs w:val="23"/>
          <w:lang w:val="es-ES"/>
        </w:rPr>
        <w:t>Representando un logro histórico, las Comunidades Indígenas del Caribe recibieron Títulos de Colectivos de Propiedad,</w:t>
      </w:r>
      <w:r w:rsidR="007F215B" w:rsidRPr="00F64B22">
        <w:rPr>
          <w:sz w:val="23"/>
          <w:szCs w:val="23"/>
          <w:lang w:val="es-ES"/>
        </w:rPr>
        <w:t xml:space="preserve"> cubriendo la mayoría de los Territorios Ancestrales al abarcar más de 22,000 kilómetros cuadrados o</w:t>
      </w:r>
      <w:r w:rsidR="00F702EF">
        <w:rPr>
          <w:sz w:val="23"/>
          <w:szCs w:val="23"/>
          <w:lang w:val="es-ES"/>
        </w:rPr>
        <w:t xml:space="preserve"> el 19% del territorio nacional</w:t>
      </w:r>
      <w:r w:rsidRPr="009B2B42">
        <w:rPr>
          <w:sz w:val="23"/>
          <w:szCs w:val="23"/>
          <w:lang w:val="es-ES"/>
        </w:rPr>
        <w:t xml:space="preserve">. Aunque el PRODEP está programado para cerrar operaciones en abril del 2013, todas las actividades ya se completaron y casi todos los fondos han sido desembolsados para agosto del 2012. Su desempeño satisfactorio se ha visto </w:t>
      </w:r>
      <w:r w:rsidR="007F215B">
        <w:rPr>
          <w:sz w:val="23"/>
          <w:szCs w:val="23"/>
          <w:lang w:val="es-ES"/>
        </w:rPr>
        <w:t>favorecido</w:t>
      </w:r>
      <w:r w:rsidR="00F702EF">
        <w:rPr>
          <w:sz w:val="23"/>
          <w:szCs w:val="23"/>
          <w:lang w:val="es-ES"/>
        </w:rPr>
        <w:t xml:space="preserve"> </w:t>
      </w:r>
      <w:r w:rsidRPr="009B2B42">
        <w:rPr>
          <w:sz w:val="23"/>
          <w:szCs w:val="23"/>
          <w:lang w:val="es-ES"/>
        </w:rPr>
        <w:t>por un robusto compromiso gubernamental y estrecha coordinación interinstitucional.</w:t>
      </w:r>
    </w:p>
    <w:p w:rsidR="004B4F08" w:rsidRPr="009B2B42" w:rsidRDefault="004B4F08" w:rsidP="004B4F08">
      <w:pPr>
        <w:jc w:val="both"/>
        <w:rPr>
          <w:sz w:val="23"/>
          <w:szCs w:val="23"/>
          <w:lang w:val="es-ES"/>
        </w:rPr>
      </w:pPr>
    </w:p>
    <w:p w:rsidR="00971692" w:rsidRDefault="00971692" w:rsidP="004B4F08">
      <w:pPr>
        <w:numPr>
          <w:ilvl w:val="0"/>
          <w:numId w:val="14"/>
        </w:numPr>
        <w:tabs>
          <w:tab w:val="clear" w:pos="360"/>
        </w:tabs>
        <w:jc w:val="both"/>
        <w:rPr>
          <w:sz w:val="23"/>
          <w:szCs w:val="23"/>
          <w:lang w:val="es-ES"/>
        </w:rPr>
      </w:pPr>
      <w:r w:rsidRPr="009B2B42">
        <w:rPr>
          <w:sz w:val="23"/>
          <w:szCs w:val="23"/>
          <w:lang w:val="es-ES"/>
        </w:rPr>
        <w:t xml:space="preserve">PRODEP le ha dado al </w:t>
      </w:r>
      <w:r w:rsidR="007F215B">
        <w:rPr>
          <w:sz w:val="23"/>
          <w:szCs w:val="23"/>
          <w:lang w:val="es-ES"/>
        </w:rPr>
        <w:t>G</w:t>
      </w:r>
      <w:r w:rsidRPr="009B2B42">
        <w:rPr>
          <w:sz w:val="23"/>
          <w:szCs w:val="23"/>
          <w:lang w:val="es-ES"/>
        </w:rPr>
        <w:t>obierno los fundamentos para lanzar un programa nacional a largo plazo que financiará el Proyecto propuesto.  Las mejoras vistas en el marco del ordenamiento de la propiedad y los procesos de regularización han sido integrad</w:t>
      </w:r>
      <w:r w:rsidR="007F215B">
        <w:rPr>
          <w:sz w:val="23"/>
          <w:szCs w:val="23"/>
          <w:lang w:val="es-ES"/>
        </w:rPr>
        <w:t>a</w:t>
      </w:r>
      <w:r w:rsidRPr="009B2B42">
        <w:rPr>
          <w:sz w:val="23"/>
          <w:szCs w:val="23"/>
          <w:lang w:val="es-ES"/>
        </w:rPr>
        <w:t xml:space="preserve">s ya que la metodología consolidada bajo PRODEP ha sido empleada en otras áreas del país. Esta metodología ha incorporado tecnologías actuales y buenas prácticas </w:t>
      </w:r>
      <w:r w:rsidR="00C46691" w:rsidRPr="00F702EF">
        <w:rPr>
          <w:sz w:val="23"/>
          <w:szCs w:val="23"/>
          <w:lang w:val="es-ES"/>
        </w:rPr>
        <w:t>globales. Respondiendo</w:t>
      </w:r>
      <w:r w:rsidR="007F215B" w:rsidRPr="00F64B22">
        <w:rPr>
          <w:sz w:val="23"/>
          <w:szCs w:val="23"/>
          <w:lang w:val="es-ES"/>
        </w:rPr>
        <w:t xml:space="preserve"> </w:t>
      </w:r>
      <w:r w:rsidRPr="009B2B42">
        <w:rPr>
          <w:sz w:val="23"/>
          <w:szCs w:val="23"/>
          <w:lang w:val="es-ES"/>
        </w:rPr>
        <w:t xml:space="preserve">al contexto del país, simultáneamente </w:t>
      </w:r>
      <w:r w:rsidR="00C46691" w:rsidRPr="00F702EF">
        <w:rPr>
          <w:sz w:val="23"/>
          <w:szCs w:val="23"/>
          <w:lang w:val="es-ES"/>
        </w:rPr>
        <w:t>incrementando</w:t>
      </w:r>
      <w:r w:rsidR="007F215B" w:rsidRPr="009B2B42" w:rsidDel="007F215B">
        <w:rPr>
          <w:sz w:val="23"/>
          <w:szCs w:val="23"/>
          <w:lang w:val="es-ES"/>
        </w:rPr>
        <w:t xml:space="preserve"> </w:t>
      </w:r>
      <w:r w:rsidRPr="009B2B42">
        <w:rPr>
          <w:sz w:val="23"/>
          <w:szCs w:val="23"/>
          <w:lang w:val="es-ES"/>
        </w:rPr>
        <w:t xml:space="preserve">su capacidad nacional y la apropiación institucional de los resultados alcanzados. Al mismo tiempo, la creciente capacidad técnica poco a poco se ha visto </w:t>
      </w:r>
      <w:r w:rsidR="00C46691" w:rsidRPr="00F702EF">
        <w:rPr>
          <w:sz w:val="23"/>
          <w:szCs w:val="23"/>
          <w:lang w:val="es-ES"/>
        </w:rPr>
        <w:t>progresivamente</w:t>
      </w:r>
      <w:r w:rsidR="007F215B" w:rsidRPr="00F64B22">
        <w:rPr>
          <w:sz w:val="23"/>
          <w:szCs w:val="23"/>
          <w:lang w:val="es-ES"/>
        </w:rPr>
        <w:t xml:space="preserve"> </w:t>
      </w:r>
      <w:r w:rsidRPr="009B2B42">
        <w:rPr>
          <w:sz w:val="23"/>
          <w:szCs w:val="23"/>
          <w:lang w:val="es-ES"/>
        </w:rPr>
        <w:t xml:space="preserve">incorporada en las principales instituciones pertinentes, como el Instituto Nicaragüense de Estudios Territoriales, la Intendencia de la Propiedad (IP), adscrita a la PGR – la entidad ejecutora de PRODEP – y el </w:t>
      </w:r>
      <w:r w:rsidR="007F215B">
        <w:rPr>
          <w:sz w:val="23"/>
          <w:szCs w:val="23"/>
          <w:lang w:val="es-ES"/>
        </w:rPr>
        <w:t>R</w:t>
      </w:r>
      <w:r w:rsidRPr="009B2B42">
        <w:rPr>
          <w:sz w:val="23"/>
          <w:szCs w:val="23"/>
          <w:lang w:val="es-ES"/>
        </w:rPr>
        <w:t xml:space="preserve">egistro de la </w:t>
      </w:r>
      <w:r w:rsidR="007F215B">
        <w:rPr>
          <w:sz w:val="23"/>
          <w:szCs w:val="23"/>
          <w:lang w:val="es-ES"/>
        </w:rPr>
        <w:t>P</w:t>
      </w:r>
      <w:r w:rsidRPr="009B2B42">
        <w:rPr>
          <w:sz w:val="23"/>
          <w:szCs w:val="23"/>
          <w:lang w:val="es-ES"/>
        </w:rPr>
        <w:t xml:space="preserve">ropiedad, adscrito a la Corte Suprema de Justicia (CSJ). Al descansar en esta base, el </w:t>
      </w:r>
      <w:r w:rsidR="007F215B">
        <w:rPr>
          <w:sz w:val="23"/>
          <w:szCs w:val="23"/>
          <w:lang w:val="es-ES"/>
        </w:rPr>
        <w:t>G</w:t>
      </w:r>
      <w:r w:rsidRPr="009B2B42">
        <w:rPr>
          <w:sz w:val="23"/>
          <w:szCs w:val="23"/>
          <w:lang w:val="es-ES"/>
        </w:rPr>
        <w:t xml:space="preserve">obierno ha formulado su visión para los siguientes 15 años, con la meta general de continuar promoviendo la gobernanza de la propiedad,  ir perfeccionando los procesos catastrales y de regularización </w:t>
      </w:r>
      <w:r w:rsidR="00F171A9">
        <w:rPr>
          <w:sz w:val="23"/>
          <w:szCs w:val="23"/>
          <w:lang w:val="es-ES"/>
        </w:rPr>
        <w:t>además</w:t>
      </w:r>
      <w:r w:rsidRPr="009B2B42">
        <w:rPr>
          <w:sz w:val="23"/>
          <w:szCs w:val="23"/>
          <w:lang w:val="es-ES"/>
        </w:rPr>
        <w:t xml:space="preserve"> de seguir mejorando los servicios de ordenamiento de la propiedad (para ver los detalles del Programa Nacional, consultar el Anexo 6).</w:t>
      </w:r>
    </w:p>
    <w:p w:rsidR="004B4F08" w:rsidRPr="009B2B42" w:rsidRDefault="004B4F08" w:rsidP="004B4F08">
      <w:pPr>
        <w:jc w:val="both"/>
        <w:rPr>
          <w:sz w:val="23"/>
          <w:szCs w:val="23"/>
          <w:lang w:val="es-ES"/>
        </w:rPr>
      </w:pPr>
    </w:p>
    <w:p w:rsidR="00971692" w:rsidRDefault="00F171A9" w:rsidP="004B4F08">
      <w:pPr>
        <w:numPr>
          <w:ilvl w:val="0"/>
          <w:numId w:val="14"/>
        </w:numPr>
        <w:tabs>
          <w:tab w:val="clear" w:pos="360"/>
        </w:tabs>
        <w:jc w:val="both"/>
        <w:rPr>
          <w:sz w:val="23"/>
          <w:szCs w:val="23"/>
          <w:lang w:val="es-ES"/>
        </w:rPr>
      </w:pPr>
      <w:r>
        <w:rPr>
          <w:sz w:val="23"/>
          <w:szCs w:val="23"/>
          <w:lang w:val="es-ES"/>
        </w:rPr>
        <w:t xml:space="preserve">Considerando </w:t>
      </w:r>
      <w:r w:rsidR="00971692" w:rsidRPr="009B2B42">
        <w:rPr>
          <w:sz w:val="23"/>
          <w:szCs w:val="23"/>
          <w:lang w:val="es-ES"/>
        </w:rPr>
        <w:t xml:space="preserve">los retos que aún enfrenta Nicaragua en relación con la tenencia de la tierra, ejecutar un programa nacional de ordenamiento de la propiedad exigirá un esfuerzo concertado y recursos sustanciales. </w:t>
      </w:r>
      <w:r w:rsidR="00971692" w:rsidRPr="009B2B42">
        <w:rPr>
          <w:sz w:val="23"/>
          <w:szCs w:val="23"/>
          <w:vertAlign w:val="superscript"/>
          <w:lang w:val="es-ES"/>
        </w:rPr>
        <w:footnoteReference w:id="6"/>
      </w:r>
      <w:r w:rsidR="00971692" w:rsidRPr="009B2B42">
        <w:rPr>
          <w:sz w:val="23"/>
          <w:szCs w:val="23"/>
          <w:lang w:val="es-ES"/>
        </w:rPr>
        <w:t xml:space="preserve"> Es necesario consolidar aún más el marco institucional y las políticas</w:t>
      </w:r>
      <w:r>
        <w:rPr>
          <w:sz w:val="23"/>
          <w:szCs w:val="23"/>
          <w:lang w:val="es-ES"/>
        </w:rPr>
        <w:t xml:space="preserve">, </w:t>
      </w:r>
      <w:r w:rsidR="00C46691" w:rsidRPr="00F702EF">
        <w:rPr>
          <w:sz w:val="23"/>
          <w:szCs w:val="23"/>
          <w:lang w:val="es-ES"/>
        </w:rPr>
        <w:t>incluyendo seguir avanzando en integrar</w:t>
      </w:r>
      <w:r w:rsidR="00971692" w:rsidRPr="009B2B42">
        <w:rPr>
          <w:sz w:val="23"/>
          <w:szCs w:val="23"/>
          <w:lang w:val="es-ES"/>
        </w:rPr>
        <w:t xml:space="preserve"> la información del catastro y del registro de la propiedad</w:t>
      </w:r>
      <w:r w:rsidR="00C46691" w:rsidRPr="00F702EF">
        <w:rPr>
          <w:sz w:val="23"/>
          <w:szCs w:val="23"/>
          <w:lang w:val="es-ES"/>
        </w:rPr>
        <w:t>. Al</w:t>
      </w:r>
      <w:r w:rsidR="00971692" w:rsidRPr="009B2B42">
        <w:rPr>
          <w:sz w:val="23"/>
          <w:szCs w:val="23"/>
          <w:lang w:val="es-ES"/>
        </w:rPr>
        <w:t xml:space="preserve"> </w:t>
      </w:r>
      <w:r w:rsidR="00971692" w:rsidRPr="009B2B42">
        <w:rPr>
          <w:sz w:val="23"/>
          <w:szCs w:val="23"/>
          <w:lang w:val="es-ES"/>
        </w:rPr>
        <w:lastRenderedPageBreak/>
        <w:t xml:space="preserve">mismo tiempo, los municipios deben seguir fortaleciéndose para promover la descentralización, el ordenamiento territorial y la Gestión de Riesgos de Desastres (GRD), mientras actualizan la información catastral. Reviste de enorme importancia señalar que un </w:t>
      </w:r>
      <w:r w:rsidR="00C46691" w:rsidRPr="00F702EF">
        <w:rPr>
          <w:sz w:val="23"/>
          <w:szCs w:val="23"/>
          <w:lang w:val="es-ES"/>
        </w:rPr>
        <w:t>tercio de las parcelas aún carecen de titulación, lo cual afecta las personas viviendo en la pobreza y a las personas productoras a menor escala</w:t>
      </w:r>
      <w:r w:rsidR="00971692" w:rsidRPr="009B2B42">
        <w:rPr>
          <w:sz w:val="23"/>
          <w:szCs w:val="23"/>
          <w:lang w:val="es-ES"/>
        </w:rPr>
        <w:t xml:space="preserve">. La reforma agraria de los años 80 favoreció la distribución de tierras entre hombres </w:t>
      </w:r>
      <w:r w:rsidR="00005120">
        <w:rPr>
          <w:sz w:val="23"/>
          <w:szCs w:val="23"/>
          <w:lang w:val="es-ES"/>
        </w:rPr>
        <w:t xml:space="preserve">como </w:t>
      </w:r>
      <w:r w:rsidR="00971692" w:rsidRPr="009B2B42">
        <w:rPr>
          <w:sz w:val="23"/>
          <w:szCs w:val="23"/>
          <w:lang w:val="es-ES"/>
        </w:rPr>
        <w:t xml:space="preserve">jefes de familia y </w:t>
      </w:r>
      <w:r w:rsidR="00C46691" w:rsidRPr="00F702EF">
        <w:rPr>
          <w:sz w:val="23"/>
          <w:szCs w:val="23"/>
          <w:lang w:val="es-ES"/>
        </w:rPr>
        <w:t>a personas tradicionalmente empleadas a tiempo completo en la agricultura</w:t>
      </w:r>
      <w:r w:rsidR="00971692" w:rsidRPr="009B2B42">
        <w:rPr>
          <w:sz w:val="23"/>
          <w:szCs w:val="23"/>
          <w:lang w:val="es-ES"/>
        </w:rPr>
        <w:t xml:space="preserve">. </w:t>
      </w:r>
      <w:r w:rsidR="00C46691" w:rsidRPr="00F702EF">
        <w:rPr>
          <w:sz w:val="23"/>
          <w:szCs w:val="23"/>
          <w:lang w:val="es-ES"/>
        </w:rPr>
        <w:t>En esas circunstancias, la igualdad de género debe promoverse implementando la legislación actual, que promueve la titulación conjunta de parejas e impulsa los derechos de la mujer a poseer propiedades</w:t>
      </w:r>
      <w:r w:rsidR="00971692" w:rsidRPr="009B2B42">
        <w:rPr>
          <w:sz w:val="23"/>
          <w:szCs w:val="23"/>
          <w:lang w:val="es-ES"/>
        </w:rPr>
        <w:t xml:space="preserve">. En términos generales, la inseguridad en la tenencia de la tierra obstaculiza </w:t>
      </w:r>
      <w:r w:rsidR="00C46691" w:rsidRPr="00F702EF">
        <w:rPr>
          <w:sz w:val="23"/>
          <w:szCs w:val="23"/>
          <w:lang w:val="es-ES"/>
        </w:rPr>
        <w:t>potenciales</w:t>
      </w:r>
      <w:r w:rsidR="00005120">
        <w:rPr>
          <w:sz w:val="23"/>
          <w:szCs w:val="23"/>
          <w:lang w:val="es-ES"/>
        </w:rPr>
        <w:t xml:space="preserve"> </w:t>
      </w:r>
      <w:r w:rsidR="00971692" w:rsidRPr="009B2B42">
        <w:rPr>
          <w:sz w:val="23"/>
          <w:szCs w:val="23"/>
          <w:lang w:val="es-ES"/>
        </w:rPr>
        <w:t>inversiones y las transacciones de compra venta</w:t>
      </w:r>
      <w:r w:rsidR="00005120">
        <w:rPr>
          <w:sz w:val="23"/>
          <w:szCs w:val="23"/>
          <w:lang w:val="es-ES"/>
        </w:rPr>
        <w:t>,</w:t>
      </w:r>
      <w:r w:rsidR="00971692" w:rsidRPr="009B2B42">
        <w:rPr>
          <w:sz w:val="23"/>
          <w:szCs w:val="23"/>
          <w:lang w:val="es-ES"/>
        </w:rPr>
        <w:t xml:space="preserve"> y más </w:t>
      </w:r>
      <w:r w:rsidR="00F702EF">
        <w:rPr>
          <w:sz w:val="23"/>
          <w:szCs w:val="23"/>
          <w:lang w:val="es-ES"/>
        </w:rPr>
        <w:t xml:space="preserve">generando </w:t>
      </w:r>
      <w:r w:rsidR="00971692" w:rsidRPr="009B2B42">
        <w:rPr>
          <w:sz w:val="23"/>
          <w:szCs w:val="23"/>
          <w:lang w:val="es-ES"/>
        </w:rPr>
        <w:t>disputas.</w:t>
      </w:r>
      <w:r w:rsidR="00971692" w:rsidRPr="009B2B42">
        <w:rPr>
          <w:sz w:val="23"/>
          <w:szCs w:val="23"/>
          <w:vertAlign w:val="superscript"/>
          <w:lang w:val="es-ES"/>
        </w:rPr>
        <w:footnoteReference w:id="7"/>
      </w:r>
      <w:r w:rsidR="00971692" w:rsidRPr="009B2B42">
        <w:rPr>
          <w:sz w:val="23"/>
          <w:szCs w:val="23"/>
          <w:lang w:val="es-ES"/>
        </w:rPr>
        <w:t xml:space="preserve"> Sustentado por el progreso alcanzado en el tema de la Gestión de Riesgos de Desastres, el gobierno necesita asegurarse que los temas de vulnerabilidad ante </w:t>
      </w:r>
      <w:r w:rsidR="00C46691" w:rsidRPr="00F702EF">
        <w:rPr>
          <w:sz w:val="23"/>
          <w:szCs w:val="23"/>
          <w:lang w:val="es-ES"/>
        </w:rPr>
        <w:t>desastres y el cambio climático se aborden de manera apropiada al avanzar con la agenda de la propiedad. Dada su larga trayectoria en el país y su experiencia regional y global, el Banco Mundial (actualmente socio principal de Nicaragua en modernizar el ordenamiento de la propiedad), está únicamente posicionado para continuar apoyando a Nicaragua</w:t>
      </w:r>
      <w:r w:rsidR="00971692" w:rsidRPr="009B2B42">
        <w:rPr>
          <w:sz w:val="23"/>
          <w:szCs w:val="23"/>
          <w:lang w:val="es-ES"/>
        </w:rPr>
        <w:t xml:space="preserve"> en la modernización del ordenamiento de la propiedad, goza de un posición única para seguirla apoyando en la resolución de estos desafíos. </w:t>
      </w:r>
    </w:p>
    <w:p w:rsidR="005A3614" w:rsidRPr="009B2B42" w:rsidRDefault="005A3614" w:rsidP="005A3614">
      <w:pPr>
        <w:jc w:val="both"/>
        <w:rPr>
          <w:sz w:val="23"/>
          <w:szCs w:val="23"/>
          <w:lang w:val="es-ES"/>
        </w:rPr>
      </w:pPr>
    </w:p>
    <w:p w:rsidR="00971692" w:rsidRPr="009B2B42" w:rsidRDefault="00971692" w:rsidP="00F91221">
      <w:pPr>
        <w:pStyle w:val="Heading2"/>
        <w:numPr>
          <w:ilvl w:val="0"/>
          <w:numId w:val="45"/>
        </w:numPr>
        <w:spacing w:after="0"/>
        <w:rPr>
          <w:sz w:val="23"/>
          <w:szCs w:val="23"/>
        </w:rPr>
      </w:pPr>
      <w:bookmarkStart w:id="17" w:name="_Toc40780171"/>
      <w:bookmarkStart w:id="18" w:name="_Toc295296810"/>
      <w:bookmarkStart w:id="19" w:name="_Toc347866109"/>
      <w:bookmarkStart w:id="20" w:name="_Toc357981062"/>
      <w:bookmarkEnd w:id="16"/>
      <w:r w:rsidRPr="009B2B42">
        <w:rPr>
          <w:sz w:val="23"/>
          <w:szCs w:val="23"/>
        </w:rPr>
        <w:t>Objetivos de Mayor Nivel a los que Contribuye el Pr</w:t>
      </w:r>
      <w:bookmarkStart w:id="21" w:name="HigherLevelObjectives"/>
      <w:bookmarkEnd w:id="17"/>
      <w:bookmarkEnd w:id="18"/>
      <w:r w:rsidRPr="009B2B42">
        <w:rPr>
          <w:sz w:val="23"/>
          <w:szCs w:val="23"/>
        </w:rPr>
        <w:t>oyecto</w:t>
      </w:r>
      <w:bookmarkEnd w:id="19"/>
      <w:bookmarkEnd w:id="20"/>
    </w:p>
    <w:p w:rsidR="00971692" w:rsidRPr="009B2B42" w:rsidRDefault="00971692" w:rsidP="004B4F08">
      <w:pPr>
        <w:numPr>
          <w:ilvl w:val="0"/>
          <w:numId w:val="14"/>
        </w:numPr>
        <w:tabs>
          <w:tab w:val="clear" w:pos="360"/>
        </w:tabs>
        <w:jc w:val="both"/>
        <w:rPr>
          <w:sz w:val="23"/>
          <w:szCs w:val="23"/>
          <w:lang w:val="es-ES"/>
        </w:rPr>
      </w:pPr>
      <w:r w:rsidRPr="009B2B42">
        <w:rPr>
          <w:sz w:val="23"/>
          <w:szCs w:val="23"/>
          <w:lang w:val="es-ES"/>
        </w:rPr>
        <w:t>El Proyecto propuesto guarda consistencia con la Alianza Estratégica de País AIF/R2012-0263 (Informe No. 69231-NI), planteada por el Grupo del Banco Mundial y discutida por el Director</w:t>
      </w:r>
      <w:r w:rsidR="00C46691" w:rsidRPr="00F702EF">
        <w:rPr>
          <w:sz w:val="23"/>
          <w:szCs w:val="23"/>
          <w:lang w:val="es-ES"/>
        </w:rPr>
        <w:t>io del mismo</w:t>
      </w:r>
      <w:r w:rsidRPr="009B2B42">
        <w:rPr>
          <w:sz w:val="23"/>
          <w:szCs w:val="23"/>
          <w:lang w:val="es-ES"/>
        </w:rPr>
        <w:t xml:space="preserve"> el </w:t>
      </w:r>
      <w:r w:rsidR="00C46691" w:rsidRPr="00F702EF">
        <w:rPr>
          <w:sz w:val="23"/>
          <w:szCs w:val="23"/>
          <w:lang w:val="es-ES"/>
        </w:rPr>
        <w:t>13</w:t>
      </w:r>
      <w:r w:rsidRPr="009B2B42">
        <w:rPr>
          <w:sz w:val="23"/>
          <w:szCs w:val="23"/>
          <w:lang w:val="es-ES"/>
        </w:rPr>
        <w:t xml:space="preserve"> de noviembre del 2012. La AEP correspondiente al periodo fiscal 2013 – 2017 tiene dos objetivos estratégicos: (i) Mejorar el bienestar social mediante un mayor y mejor acceso a servicios básicos de calidad, en especial por parte de los hogares </w:t>
      </w:r>
      <w:r w:rsidR="00C46691" w:rsidRPr="00F702EF">
        <w:rPr>
          <w:sz w:val="23"/>
          <w:szCs w:val="23"/>
          <w:lang w:val="es-ES"/>
        </w:rPr>
        <w:t>rurales</w:t>
      </w:r>
      <w:r w:rsidR="00005120" w:rsidRPr="009B2B42">
        <w:rPr>
          <w:sz w:val="23"/>
          <w:szCs w:val="23"/>
          <w:lang w:val="es-ES"/>
        </w:rPr>
        <w:t xml:space="preserve"> </w:t>
      </w:r>
      <w:r w:rsidRPr="009B2B42">
        <w:rPr>
          <w:sz w:val="23"/>
          <w:szCs w:val="23"/>
          <w:lang w:val="es-ES"/>
        </w:rPr>
        <w:t xml:space="preserve">pobres; (ii) Elevar los ingresos </w:t>
      </w:r>
      <w:r w:rsidR="00C46691" w:rsidRPr="00F702EF">
        <w:rPr>
          <w:sz w:val="23"/>
          <w:szCs w:val="23"/>
          <w:lang w:val="es-ES"/>
        </w:rPr>
        <w:t>mejorando</w:t>
      </w:r>
      <w:r w:rsidR="004A3E79">
        <w:rPr>
          <w:sz w:val="23"/>
          <w:szCs w:val="23"/>
          <w:lang w:val="es-ES"/>
        </w:rPr>
        <w:t xml:space="preserve"> </w:t>
      </w:r>
      <w:r w:rsidRPr="009B2B42">
        <w:rPr>
          <w:sz w:val="23"/>
          <w:szCs w:val="23"/>
          <w:lang w:val="es-ES"/>
        </w:rPr>
        <w:t>la productividad, competitividad y diversificación.</w:t>
      </w:r>
      <w:r w:rsidR="004A3E79">
        <w:rPr>
          <w:sz w:val="23"/>
          <w:szCs w:val="23"/>
          <w:lang w:val="es-ES"/>
        </w:rPr>
        <w:t xml:space="preserve"> </w:t>
      </w:r>
      <w:r w:rsidR="00C46691" w:rsidRPr="00F702EF">
        <w:rPr>
          <w:sz w:val="23"/>
          <w:szCs w:val="23"/>
          <w:lang w:val="es-ES"/>
        </w:rPr>
        <w:t>La AEP reitera la importancia de modernizar el ordenamiento de la propiedad para Nicaragua, contexto dentro del cual se espera que el Proyecto contribuya directamente a alcanzar el segundo objetivo estratégico. Mejorar el clima de inversión fortaleciendo las políticas, desarrollando más las instituciones pertinentes y sistematizando el levantamiento topográfico, la titulación y registro de propiedades; se alcanzará este segundo objetivo.</w:t>
      </w:r>
      <w:r w:rsidRPr="009B2B42">
        <w:rPr>
          <w:sz w:val="23"/>
          <w:szCs w:val="23"/>
          <w:lang w:val="es-ES"/>
        </w:rPr>
        <w:t xml:space="preserve">. En general, el Proyecto complementará el programa de país al concentrar varias operaciones, </w:t>
      </w:r>
      <w:r w:rsidRPr="009B2B42">
        <w:rPr>
          <w:sz w:val="23"/>
          <w:szCs w:val="23"/>
          <w:vertAlign w:val="superscript"/>
          <w:lang w:val="es-ES"/>
        </w:rPr>
        <w:footnoteReference w:id="8"/>
      </w:r>
      <w:r w:rsidRPr="009B2B42">
        <w:rPr>
          <w:sz w:val="23"/>
          <w:szCs w:val="23"/>
          <w:lang w:val="es-ES"/>
        </w:rPr>
        <w:t xml:space="preserve"> que se traducirán en beneficios de desarrollo sostenible </w:t>
      </w:r>
      <w:r w:rsidR="004A3E79">
        <w:rPr>
          <w:sz w:val="23"/>
          <w:szCs w:val="23"/>
          <w:lang w:val="es-ES"/>
        </w:rPr>
        <w:t>favoreciendo a la población de las municipalidades en eñ area de influencia del Proyecto</w:t>
      </w:r>
      <w:r w:rsidRPr="009B2B42">
        <w:rPr>
          <w:sz w:val="23"/>
          <w:szCs w:val="23"/>
          <w:lang w:val="es-ES"/>
        </w:rPr>
        <w:t>.</w:t>
      </w:r>
    </w:p>
    <w:p w:rsidR="00971692" w:rsidRPr="009B2B42" w:rsidRDefault="00971692" w:rsidP="00971692">
      <w:pPr>
        <w:jc w:val="both"/>
        <w:rPr>
          <w:sz w:val="23"/>
          <w:szCs w:val="23"/>
          <w:lang w:val="es-ES"/>
        </w:rPr>
      </w:pPr>
    </w:p>
    <w:p w:rsidR="00971692" w:rsidRPr="009B2B42" w:rsidRDefault="00C46691" w:rsidP="005A3614">
      <w:pPr>
        <w:widowControl w:val="0"/>
        <w:numPr>
          <w:ilvl w:val="0"/>
          <w:numId w:val="14"/>
        </w:numPr>
        <w:tabs>
          <w:tab w:val="clear" w:pos="360"/>
        </w:tabs>
        <w:adjustRightInd w:val="0"/>
        <w:jc w:val="both"/>
        <w:textAlignment w:val="baseline"/>
        <w:rPr>
          <w:sz w:val="23"/>
          <w:szCs w:val="23"/>
          <w:lang w:val="es-ES"/>
        </w:rPr>
      </w:pPr>
      <w:r w:rsidRPr="009F3769">
        <w:rPr>
          <w:sz w:val="23"/>
          <w:szCs w:val="23"/>
          <w:lang w:val="es-ES"/>
        </w:rPr>
        <w:t xml:space="preserve"> El Proyecto propuesto también contribuirá a la GRD y a la adaptación al cambio climático, reconocidas por la AEP como un tema central necesario para garantizar mayor resiliencia en la productividad y el desarrollo socioeconómico de Nicaragua. Tal como se indica en el Anexo 7, el Proyecto facilitará el rápido acceso de Nicaragua a los recursos financieros de la AIF de enfrentarse un desastre, mediante un componente específico y apoyando la operatividad del Mecanismo de Respuesta Inmediata (MRI) en el país. Este esfuerzo complementará las actividades para continuar fortaleciendo el sistema nacional de GRD, el cual el Banco Mundial ayudó a establecer mediante el </w:t>
      </w:r>
      <w:r w:rsidRPr="009F3769">
        <w:rPr>
          <w:sz w:val="23"/>
          <w:szCs w:val="23"/>
          <w:lang w:val="es-ES"/>
        </w:rPr>
        <w:lastRenderedPageBreak/>
        <w:t>Proyecto de Reducción de Vulnerabilidad ante Desastres Naturales (P064916, 2000-2009); incluyendo la preparación  de una Estrategia Nacional Financiera para Evaluar y Administrar Riesgos, incluso a nivel específico de sitios y localidades. Adicionalmente, el Proyecto contribuirá a la GRD financiando la recolección de información geo-espacial y la capacidad para planificación territorial dentro de los municipios participantes; la demarcación de varias Áreas Protegidas acompañadas de campañas para educar y crear sensibilidad sobre la sostenibilidad del medio ambiente; y la titulación colectiva de las Áreas Complementarias de dos Territorios Indígenas dentro de la regionalmente importante Reserva Biósfera de Bosawás. A mediano plazo, estas dos últimas actividades contribuirán a la Estrategia del Gobierno para REDD.</w:t>
      </w:r>
    </w:p>
    <w:p w:rsidR="00971692" w:rsidRPr="009B2B42" w:rsidRDefault="00971692" w:rsidP="005A3614">
      <w:pPr>
        <w:widowControl w:val="0"/>
        <w:adjustRightInd w:val="0"/>
        <w:jc w:val="both"/>
        <w:textAlignment w:val="baseline"/>
        <w:rPr>
          <w:sz w:val="23"/>
          <w:szCs w:val="23"/>
          <w:lang w:val="es-ES"/>
        </w:rPr>
      </w:pPr>
    </w:p>
    <w:p w:rsidR="00971692" w:rsidRPr="009B2B42" w:rsidRDefault="00971692" w:rsidP="005A3614">
      <w:pPr>
        <w:widowControl w:val="0"/>
        <w:numPr>
          <w:ilvl w:val="0"/>
          <w:numId w:val="14"/>
        </w:numPr>
        <w:tabs>
          <w:tab w:val="clear" w:pos="360"/>
        </w:tabs>
        <w:adjustRightInd w:val="0"/>
        <w:jc w:val="both"/>
        <w:textAlignment w:val="baseline"/>
        <w:rPr>
          <w:sz w:val="23"/>
          <w:szCs w:val="23"/>
          <w:lang w:val="es-ES"/>
        </w:rPr>
      </w:pPr>
      <w:r w:rsidRPr="009B2B42">
        <w:rPr>
          <w:sz w:val="23"/>
          <w:szCs w:val="23"/>
          <w:lang w:val="es-ES"/>
        </w:rPr>
        <w:t>La AEP continúa enfocada en la agenda de gobernabilidad relacionada con la calidad de la regulación, efectividad gubernamenta</w:t>
      </w:r>
      <w:r w:rsidR="00432346">
        <w:rPr>
          <w:sz w:val="23"/>
          <w:szCs w:val="23"/>
          <w:lang w:val="es-ES"/>
        </w:rPr>
        <w:t xml:space="preserve">l, voz y rendición de cuentas. </w:t>
      </w:r>
      <w:r w:rsidRPr="009B2B42">
        <w:rPr>
          <w:sz w:val="23"/>
          <w:szCs w:val="23"/>
          <w:lang w:val="es-ES"/>
        </w:rPr>
        <w:t xml:space="preserve">Al apoyar la consolidación continua de las políticas y marco institucional de los derechos de la propiedad, el Proyecto ayudará directamente a mejorar la calidad de regulación y la efectividad del gobierno. En paralelo, permitirá proyectar el sentir de </w:t>
      </w:r>
      <w:r w:rsidR="00C46691" w:rsidRPr="00F702EF">
        <w:rPr>
          <w:sz w:val="23"/>
          <w:szCs w:val="23"/>
          <w:lang w:val="es-ES"/>
        </w:rPr>
        <w:t>las personas involucradas</w:t>
      </w:r>
      <w:r w:rsidR="002648E3" w:rsidRPr="005658B5">
        <w:rPr>
          <w:sz w:val="23"/>
          <w:szCs w:val="23"/>
          <w:lang w:val="es-ES"/>
        </w:rPr>
        <w:t xml:space="preserve"> </w:t>
      </w:r>
      <w:r w:rsidRPr="009B2B42">
        <w:rPr>
          <w:sz w:val="23"/>
          <w:szCs w:val="23"/>
          <w:lang w:val="es-ES"/>
        </w:rPr>
        <w:t xml:space="preserve">y la transparencia mediante la creación de una mejor capacidad institucional de Monitoreo &amp; Evaluación (M&amp;E) y a la vez ayudando a generar y a publicar resultados del M&amp;E relacionado con el actuar de las instituciones encargadas de la administración de tierras y con las tendencias de la pobreza y patrones observados en la tenencia de la tierra. </w:t>
      </w:r>
    </w:p>
    <w:p w:rsidR="00971692" w:rsidRPr="009B2B42" w:rsidRDefault="00971692" w:rsidP="005A3614">
      <w:pPr>
        <w:widowControl w:val="0"/>
        <w:adjustRightInd w:val="0"/>
        <w:jc w:val="both"/>
        <w:textAlignment w:val="baseline"/>
        <w:rPr>
          <w:sz w:val="23"/>
          <w:szCs w:val="23"/>
          <w:lang w:val="es-ES"/>
        </w:rPr>
      </w:pPr>
    </w:p>
    <w:p w:rsidR="00971692" w:rsidRPr="009B2B42" w:rsidRDefault="00971692" w:rsidP="005A3614">
      <w:pPr>
        <w:widowControl w:val="0"/>
        <w:numPr>
          <w:ilvl w:val="0"/>
          <w:numId w:val="14"/>
        </w:numPr>
        <w:tabs>
          <w:tab w:val="clear" w:pos="360"/>
        </w:tabs>
        <w:adjustRightInd w:val="0"/>
        <w:jc w:val="both"/>
        <w:textAlignment w:val="baseline"/>
        <w:rPr>
          <w:sz w:val="23"/>
          <w:szCs w:val="23"/>
          <w:lang w:val="es-ES"/>
        </w:rPr>
      </w:pPr>
      <w:r w:rsidRPr="009B2B42">
        <w:rPr>
          <w:sz w:val="23"/>
          <w:szCs w:val="23"/>
          <w:lang w:val="es-ES"/>
        </w:rPr>
        <w:t xml:space="preserve">Es importante señalar que el Proyecto propuesto está alineado con el Plan Nacional de Desarrollo Humano (PNDH), cuyos objetivos son reducir la desigualdad al incrementar el gasto para combatir la pobreza e impulsar las inversiones en los sectores sociales </w:t>
      </w:r>
      <w:r w:rsidR="005A3614">
        <w:rPr>
          <w:sz w:val="23"/>
          <w:szCs w:val="23"/>
          <w:lang w:val="es-ES"/>
        </w:rPr>
        <w:t>e</w:t>
      </w:r>
      <w:r w:rsidRPr="009B2B42">
        <w:rPr>
          <w:sz w:val="23"/>
          <w:szCs w:val="23"/>
          <w:lang w:val="es-ES"/>
        </w:rPr>
        <w:t xml:space="preserve"> infraestructura rural. El PNDH reconoce la seguridad en la tenencia de la tierra como una estrategia para alcanzar el desarrollo económico mediante el mejoramiento de la productividad a través de un mayor acceso crediticio y facilitación de los servicios </w:t>
      </w:r>
      <w:r w:rsidR="002648E3">
        <w:rPr>
          <w:sz w:val="23"/>
          <w:szCs w:val="23"/>
          <w:lang w:val="es-ES"/>
        </w:rPr>
        <w:t xml:space="preserve">gratuitos </w:t>
      </w:r>
      <w:r w:rsidRPr="009B2B42">
        <w:rPr>
          <w:sz w:val="23"/>
          <w:szCs w:val="23"/>
          <w:lang w:val="es-ES"/>
        </w:rPr>
        <w:t>de ordenamiento de la propiedad a nivel local.  Reitera la importancia de la GRD y de la adaptación al cambio climático para la sostenibilidad de los esfuerzos de desarrollo que ha desplegado el país. El programa de ordenamiento de la propiedad a largo plazo que tiene el gobierno, que financiará el Proyecto, va de la mano del PNDH.</w:t>
      </w:r>
    </w:p>
    <w:p w:rsidR="00971692" w:rsidRPr="009B2B42" w:rsidRDefault="00971692" w:rsidP="005A3614">
      <w:pPr>
        <w:jc w:val="both"/>
        <w:rPr>
          <w:sz w:val="23"/>
          <w:szCs w:val="23"/>
          <w:lang w:val="es-ES"/>
        </w:rPr>
      </w:pPr>
    </w:p>
    <w:p w:rsidR="00971692" w:rsidRPr="00971692" w:rsidRDefault="00971692" w:rsidP="005A3614">
      <w:pPr>
        <w:pStyle w:val="Heading1"/>
        <w:spacing w:after="0"/>
      </w:pPr>
      <w:bookmarkStart w:id="22" w:name="_Toc295296811"/>
      <w:bookmarkStart w:id="23" w:name="_Toc347866110"/>
      <w:bookmarkStart w:id="24" w:name="_Toc357981063"/>
      <w:bookmarkStart w:id="25" w:name="_Toc40780172"/>
      <w:bookmarkEnd w:id="21"/>
      <w:r w:rsidRPr="00971692">
        <w:t>OBJETIVOS DE DESARROLLO DEL PROYECTO</w:t>
      </w:r>
      <w:bookmarkEnd w:id="22"/>
      <w:bookmarkEnd w:id="23"/>
      <w:bookmarkEnd w:id="24"/>
    </w:p>
    <w:p w:rsidR="00971692" w:rsidRPr="00971692" w:rsidRDefault="00971692" w:rsidP="00F91221">
      <w:pPr>
        <w:pStyle w:val="Heading2"/>
        <w:numPr>
          <w:ilvl w:val="0"/>
          <w:numId w:val="47"/>
        </w:numPr>
        <w:spacing w:after="0"/>
      </w:pPr>
      <w:bookmarkStart w:id="26" w:name="_Toc347866111"/>
      <w:bookmarkStart w:id="27" w:name="_Toc357981064"/>
      <w:r w:rsidRPr="00971692">
        <w:t>ODP</w:t>
      </w:r>
      <w:bookmarkEnd w:id="26"/>
      <w:bookmarkEnd w:id="27"/>
    </w:p>
    <w:p w:rsidR="00971692" w:rsidRPr="00151A84" w:rsidRDefault="00971692" w:rsidP="005A3614">
      <w:pPr>
        <w:widowControl w:val="0"/>
        <w:numPr>
          <w:ilvl w:val="0"/>
          <w:numId w:val="14"/>
        </w:numPr>
        <w:tabs>
          <w:tab w:val="clear" w:pos="360"/>
        </w:tabs>
        <w:adjustRightInd w:val="0"/>
        <w:jc w:val="both"/>
        <w:textAlignment w:val="baseline"/>
        <w:rPr>
          <w:sz w:val="23"/>
          <w:szCs w:val="23"/>
          <w:lang w:val="es-ES"/>
        </w:rPr>
      </w:pPr>
      <w:r w:rsidRPr="00151A84">
        <w:rPr>
          <w:sz w:val="23"/>
          <w:szCs w:val="23"/>
          <w:lang w:val="es-ES"/>
        </w:rPr>
        <w:t xml:space="preserve">Los Objetivos de Desarrollo del Proyecto (ODP) son: (a) Fortalecer los derechos de propiedad de la población del área de influencia del Proyecto, a través del mejoramiento de los servicios de regularización, titulación y </w:t>
      </w:r>
      <w:r w:rsidR="007C2E0C">
        <w:rPr>
          <w:sz w:val="23"/>
          <w:szCs w:val="23"/>
          <w:lang w:val="es-ES"/>
        </w:rPr>
        <w:t xml:space="preserve">servicios de </w:t>
      </w:r>
      <w:r w:rsidRPr="00151A84">
        <w:rPr>
          <w:sz w:val="23"/>
          <w:szCs w:val="23"/>
          <w:lang w:val="es-ES"/>
        </w:rPr>
        <w:t>registro; (b) Mejorar la capacidad de Nicaragua para responder de manera rápida y efectiva ante emergencias</w:t>
      </w:r>
      <w:r w:rsidR="00C930C6">
        <w:rPr>
          <w:sz w:val="23"/>
          <w:szCs w:val="23"/>
          <w:lang w:val="es-ES"/>
        </w:rPr>
        <w:t xml:space="preserve"> </w:t>
      </w:r>
      <w:r w:rsidR="007C2E0C">
        <w:rPr>
          <w:sz w:val="23"/>
          <w:szCs w:val="23"/>
          <w:lang w:val="es-ES"/>
        </w:rPr>
        <w:t>elegibles</w:t>
      </w:r>
      <w:r w:rsidRPr="00151A84">
        <w:rPr>
          <w:sz w:val="23"/>
          <w:szCs w:val="23"/>
          <w:lang w:val="es-ES"/>
        </w:rPr>
        <w:t>. Sustentado por las bases del proyecto previo, el primer objetivo se alcanzará fortaleci</w:t>
      </w:r>
      <w:r w:rsidR="00C930C6">
        <w:rPr>
          <w:sz w:val="23"/>
          <w:szCs w:val="23"/>
          <w:lang w:val="es-ES"/>
        </w:rPr>
        <w:t>endo</w:t>
      </w:r>
      <w:r w:rsidRPr="00151A84">
        <w:rPr>
          <w:sz w:val="23"/>
          <w:szCs w:val="23"/>
          <w:lang w:val="es-ES"/>
        </w:rPr>
        <w:t xml:space="preserve"> adicional</w:t>
      </w:r>
      <w:r w:rsidR="00C930C6">
        <w:rPr>
          <w:sz w:val="23"/>
          <w:szCs w:val="23"/>
          <w:lang w:val="es-ES"/>
        </w:rPr>
        <w:t>mente a</w:t>
      </w:r>
      <w:r w:rsidRPr="00151A84">
        <w:rPr>
          <w:sz w:val="23"/>
          <w:szCs w:val="23"/>
          <w:lang w:val="es-ES"/>
        </w:rPr>
        <w:t xml:space="preserve"> las instituciones de administración </w:t>
      </w:r>
      <w:r w:rsidR="00C930C6">
        <w:rPr>
          <w:sz w:val="23"/>
          <w:szCs w:val="23"/>
          <w:lang w:val="es-ES"/>
        </w:rPr>
        <w:t xml:space="preserve">y </w:t>
      </w:r>
      <w:r w:rsidRPr="00151A84">
        <w:rPr>
          <w:sz w:val="23"/>
          <w:szCs w:val="23"/>
          <w:lang w:val="es-ES"/>
        </w:rPr>
        <w:t xml:space="preserve">regularización de tierras, </w:t>
      </w:r>
      <w:r w:rsidR="00C930C6">
        <w:rPr>
          <w:sz w:val="23"/>
          <w:szCs w:val="23"/>
          <w:lang w:val="es-ES"/>
        </w:rPr>
        <w:t>fortalecimiento</w:t>
      </w:r>
      <w:r w:rsidRPr="00151A84">
        <w:rPr>
          <w:sz w:val="23"/>
          <w:szCs w:val="23"/>
          <w:lang w:val="es-ES"/>
        </w:rPr>
        <w:t xml:space="preserve"> de los derechos de propiedad de los </w:t>
      </w:r>
      <w:r w:rsidR="00C930C6">
        <w:rPr>
          <w:sz w:val="23"/>
          <w:szCs w:val="23"/>
          <w:lang w:val="es-ES"/>
        </w:rPr>
        <w:t>P</w:t>
      </w:r>
      <w:r w:rsidRPr="00151A84">
        <w:rPr>
          <w:sz w:val="23"/>
          <w:szCs w:val="23"/>
          <w:lang w:val="es-ES"/>
        </w:rPr>
        <w:t xml:space="preserve">ueblos </w:t>
      </w:r>
      <w:r w:rsidR="00C930C6">
        <w:rPr>
          <w:sz w:val="23"/>
          <w:szCs w:val="23"/>
          <w:lang w:val="es-ES"/>
        </w:rPr>
        <w:t>I</w:t>
      </w:r>
      <w:r w:rsidRPr="00151A84">
        <w:rPr>
          <w:sz w:val="23"/>
          <w:szCs w:val="23"/>
          <w:lang w:val="es-ES"/>
        </w:rPr>
        <w:t xml:space="preserve">ndígenas y demarcación de las áreas protegidas. Para  cumplir el primer objetivo y en línea con las prioridades establecidas en el PNDH y en el programa nacional de tierras, el Proyecto se ampliará hacia nuevos municipios </w:t>
      </w:r>
      <w:r w:rsidR="00C930C6">
        <w:rPr>
          <w:sz w:val="23"/>
          <w:szCs w:val="23"/>
          <w:lang w:val="es-ES"/>
        </w:rPr>
        <w:t>en</w:t>
      </w:r>
      <w:r w:rsidRPr="00151A84">
        <w:rPr>
          <w:sz w:val="23"/>
          <w:szCs w:val="23"/>
          <w:lang w:val="es-ES"/>
        </w:rPr>
        <w:t xml:space="preserve"> los dep</w:t>
      </w:r>
      <w:r w:rsidR="00C930C6">
        <w:rPr>
          <w:sz w:val="23"/>
          <w:szCs w:val="23"/>
          <w:lang w:val="es-ES"/>
        </w:rPr>
        <w:t>artamen</w:t>
      </w:r>
      <w:r w:rsidRPr="00151A84">
        <w:rPr>
          <w:sz w:val="23"/>
          <w:szCs w:val="23"/>
          <w:lang w:val="es-ES"/>
        </w:rPr>
        <w:t>tos de Nueva Segovia y Jinotega consolida</w:t>
      </w:r>
      <w:r w:rsidR="00C930C6">
        <w:rPr>
          <w:sz w:val="23"/>
          <w:szCs w:val="23"/>
          <w:lang w:val="es-ES"/>
        </w:rPr>
        <w:t>ndo</w:t>
      </w:r>
      <w:r w:rsidRPr="00151A84">
        <w:rPr>
          <w:sz w:val="23"/>
          <w:szCs w:val="23"/>
          <w:lang w:val="es-ES"/>
        </w:rPr>
        <w:t xml:space="preserve"> los  alcan</w:t>
      </w:r>
      <w:r w:rsidR="00C930C6">
        <w:rPr>
          <w:sz w:val="23"/>
          <w:szCs w:val="23"/>
          <w:lang w:val="es-ES"/>
        </w:rPr>
        <w:t xml:space="preserve">ces </w:t>
      </w:r>
      <w:r w:rsidRPr="00151A84">
        <w:rPr>
          <w:sz w:val="23"/>
          <w:szCs w:val="23"/>
          <w:lang w:val="es-ES"/>
        </w:rPr>
        <w:t xml:space="preserve"> en los departamentos de Chinandega, Estelí, Madriz y León (ver en detalle el área de influencia en el Anexo 2).</w:t>
      </w:r>
      <w:r w:rsidRPr="00151A84">
        <w:rPr>
          <w:sz w:val="23"/>
          <w:szCs w:val="23"/>
          <w:vertAlign w:val="superscript"/>
          <w:lang w:val="es-ES"/>
        </w:rPr>
        <w:footnoteReference w:id="9"/>
      </w:r>
      <w:r w:rsidRPr="00151A84">
        <w:rPr>
          <w:sz w:val="23"/>
          <w:szCs w:val="23"/>
          <w:lang w:val="es-ES"/>
        </w:rPr>
        <w:t xml:space="preserve"> El segundo objetivo se alcanzará a través del Componente Contingente de Respuestas a Emergencias (CERC) y </w:t>
      </w:r>
      <w:r w:rsidR="0056232A">
        <w:rPr>
          <w:sz w:val="23"/>
          <w:szCs w:val="23"/>
          <w:lang w:val="es-ES"/>
        </w:rPr>
        <w:t xml:space="preserve">asistiendo a </w:t>
      </w:r>
      <w:r w:rsidRPr="00151A84">
        <w:rPr>
          <w:sz w:val="23"/>
          <w:szCs w:val="23"/>
          <w:lang w:val="es-ES"/>
        </w:rPr>
        <w:t>activa</w:t>
      </w:r>
      <w:r w:rsidR="0056232A">
        <w:rPr>
          <w:sz w:val="23"/>
          <w:szCs w:val="23"/>
          <w:lang w:val="es-ES"/>
        </w:rPr>
        <w:t xml:space="preserve">r la operatividad </w:t>
      </w:r>
      <w:r w:rsidRPr="00151A84">
        <w:rPr>
          <w:sz w:val="23"/>
          <w:szCs w:val="23"/>
          <w:lang w:val="es-ES"/>
        </w:rPr>
        <w:t xml:space="preserve"> del Mecanismo de </w:t>
      </w:r>
      <w:r w:rsidRPr="00151A84">
        <w:rPr>
          <w:sz w:val="23"/>
          <w:szCs w:val="23"/>
          <w:lang w:val="es-ES"/>
        </w:rPr>
        <w:lastRenderedPageBreak/>
        <w:t>Respuesta Inmediata (MRI).</w:t>
      </w:r>
    </w:p>
    <w:p w:rsidR="00971692" w:rsidRPr="00151A84" w:rsidRDefault="00971692" w:rsidP="005A3614">
      <w:pPr>
        <w:widowControl w:val="0"/>
        <w:adjustRightInd w:val="0"/>
        <w:jc w:val="both"/>
        <w:textAlignment w:val="baseline"/>
        <w:rPr>
          <w:sz w:val="23"/>
          <w:szCs w:val="23"/>
          <w:lang w:val="es-ES"/>
        </w:rPr>
      </w:pPr>
    </w:p>
    <w:p w:rsidR="00971692" w:rsidRPr="00971692" w:rsidRDefault="0056232A" w:rsidP="00F91221">
      <w:pPr>
        <w:pStyle w:val="Heading2"/>
        <w:numPr>
          <w:ilvl w:val="0"/>
          <w:numId w:val="47"/>
        </w:numPr>
        <w:spacing w:after="0"/>
      </w:pPr>
      <w:bookmarkStart w:id="28" w:name="_Toc295296813"/>
      <w:bookmarkStart w:id="29" w:name="_Toc347866112"/>
      <w:bookmarkStart w:id="30" w:name="_Toc357981065"/>
      <w:r>
        <w:t xml:space="preserve">Entidades </w:t>
      </w:r>
      <w:r w:rsidR="00971692" w:rsidRPr="00971692">
        <w:t>Beneficiari</w:t>
      </w:r>
      <w:r>
        <w:t>a</w:t>
      </w:r>
      <w:r w:rsidR="00971692" w:rsidRPr="00971692">
        <w:t>s</w:t>
      </w:r>
      <w:bookmarkEnd w:id="28"/>
      <w:r w:rsidR="00971692" w:rsidRPr="00971692">
        <w:t xml:space="preserve"> del Proyecto</w:t>
      </w:r>
      <w:bookmarkEnd w:id="29"/>
      <w:bookmarkEnd w:id="30"/>
    </w:p>
    <w:p w:rsidR="00971692" w:rsidRPr="006B6082" w:rsidRDefault="0056232A" w:rsidP="005A3614">
      <w:pPr>
        <w:widowControl w:val="0"/>
        <w:numPr>
          <w:ilvl w:val="0"/>
          <w:numId w:val="14"/>
        </w:numPr>
        <w:tabs>
          <w:tab w:val="clear" w:pos="360"/>
        </w:tabs>
        <w:adjustRightInd w:val="0"/>
        <w:jc w:val="both"/>
        <w:textAlignment w:val="baseline"/>
        <w:rPr>
          <w:sz w:val="23"/>
          <w:szCs w:val="23"/>
          <w:lang w:val="es-ES"/>
        </w:rPr>
      </w:pPr>
      <w:r>
        <w:rPr>
          <w:sz w:val="23"/>
          <w:szCs w:val="23"/>
          <w:lang w:val="es-ES"/>
        </w:rPr>
        <w:t xml:space="preserve">El Proyecto beneficia directamente a: </w:t>
      </w:r>
      <w:r w:rsidR="00971692" w:rsidRPr="004B4F08">
        <w:rPr>
          <w:sz w:val="23"/>
          <w:szCs w:val="23"/>
          <w:lang w:val="es-ES"/>
        </w:rPr>
        <w:t xml:space="preserve">(a) </w:t>
      </w:r>
      <w:r w:rsidR="00971692" w:rsidRPr="004B4F08">
        <w:rPr>
          <w:i/>
          <w:sz w:val="23"/>
          <w:szCs w:val="23"/>
          <w:lang w:val="es-ES"/>
        </w:rPr>
        <w:t>Hogares de los municipios participantes</w:t>
      </w:r>
      <w:r w:rsidR="00971692" w:rsidRPr="004B4F08">
        <w:rPr>
          <w:sz w:val="23"/>
          <w:szCs w:val="23"/>
          <w:lang w:val="es-ES"/>
        </w:rPr>
        <w:t xml:space="preserve"> que se beneficiarán del levantamiento topográfico catastral, titulación y regularización; (b) </w:t>
      </w:r>
      <w:r w:rsidR="00971692" w:rsidRPr="004B4F08">
        <w:rPr>
          <w:i/>
          <w:sz w:val="23"/>
          <w:szCs w:val="23"/>
          <w:lang w:val="es-ES"/>
        </w:rPr>
        <w:t>Mujeres habitantes de los municipios participantes</w:t>
      </w:r>
      <w:r w:rsidR="00971692" w:rsidRPr="004B4F08">
        <w:rPr>
          <w:sz w:val="23"/>
          <w:szCs w:val="23"/>
          <w:lang w:val="es-ES"/>
        </w:rPr>
        <w:t xml:space="preserve">, quienes se beneficiarán de los servicios de titulación y regularización al promover la emisión de títulos de propiedad conjuntos a parejas y a </w:t>
      </w:r>
      <w:r w:rsidR="00971692" w:rsidRPr="006B6082">
        <w:rPr>
          <w:sz w:val="23"/>
          <w:szCs w:val="23"/>
          <w:lang w:val="es-ES"/>
        </w:rPr>
        <w:t xml:space="preserve">jefas de hogares para reflejar la orientación de género que tiene la legislación de Nicaragua; (c) </w:t>
      </w:r>
      <w:r w:rsidR="00971692" w:rsidRPr="006B6082">
        <w:rPr>
          <w:i/>
          <w:sz w:val="23"/>
          <w:szCs w:val="23"/>
          <w:lang w:val="es-ES"/>
        </w:rPr>
        <w:t xml:space="preserve">Comunidades </w:t>
      </w:r>
      <w:r>
        <w:rPr>
          <w:i/>
          <w:sz w:val="23"/>
          <w:szCs w:val="23"/>
          <w:lang w:val="es-ES"/>
        </w:rPr>
        <w:t>I</w:t>
      </w:r>
      <w:r w:rsidR="00971692" w:rsidRPr="006B6082">
        <w:rPr>
          <w:i/>
          <w:sz w:val="23"/>
          <w:szCs w:val="23"/>
          <w:lang w:val="es-ES"/>
        </w:rPr>
        <w:t xml:space="preserve">ndígenas </w:t>
      </w:r>
      <w:r w:rsidR="00971692" w:rsidRPr="006B6082">
        <w:rPr>
          <w:sz w:val="23"/>
          <w:szCs w:val="23"/>
          <w:lang w:val="es-ES"/>
        </w:rPr>
        <w:t xml:space="preserve">que viven en las dos áreas complementarias a demarcar y titular, así como posiblemente otras comunidades que viven en algunos de los municipios participantes; (d) </w:t>
      </w:r>
      <w:r w:rsidR="00971692" w:rsidRPr="006B6082">
        <w:rPr>
          <w:i/>
          <w:sz w:val="23"/>
          <w:szCs w:val="23"/>
          <w:lang w:val="es-ES"/>
        </w:rPr>
        <w:t>Autoridades y personal técnico de los municipios participantes</w:t>
      </w:r>
      <w:r w:rsidR="00971692" w:rsidRPr="006B6082">
        <w:rPr>
          <w:sz w:val="23"/>
          <w:szCs w:val="23"/>
          <w:lang w:val="es-ES"/>
        </w:rPr>
        <w:t xml:space="preserve">, quienes se beneficiarán de la asistencia técnica, información catastral y </w:t>
      </w:r>
      <w:r>
        <w:rPr>
          <w:sz w:val="23"/>
          <w:szCs w:val="23"/>
          <w:lang w:val="es-ES"/>
        </w:rPr>
        <w:t xml:space="preserve">mejor </w:t>
      </w:r>
      <w:r w:rsidR="00971692" w:rsidRPr="006B6082">
        <w:rPr>
          <w:sz w:val="23"/>
          <w:szCs w:val="23"/>
          <w:lang w:val="es-ES"/>
        </w:rPr>
        <w:t xml:space="preserve">coordinación con las instituciones asociadas </w:t>
      </w:r>
      <w:r>
        <w:rPr>
          <w:sz w:val="23"/>
          <w:szCs w:val="23"/>
          <w:lang w:val="es-ES"/>
        </w:rPr>
        <w:t>al</w:t>
      </w:r>
      <w:r w:rsidR="009C3CAC">
        <w:rPr>
          <w:sz w:val="23"/>
          <w:szCs w:val="23"/>
          <w:lang w:val="es-ES"/>
        </w:rPr>
        <w:t xml:space="preserve"> </w:t>
      </w:r>
      <w:r w:rsidR="00971692" w:rsidRPr="006B6082">
        <w:rPr>
          <w:sz w:val="23"/>
          <w:szCs w:val="23"/>
          <w:lang w:val="es-ES"/>
        </w:rPr>
        <w:t xml:space="preserve">ordenamiento de la propiedad en Nicaragua; (e) </w:t>
      </w:r>
      <w:r w:rsidR="00971692" w:rsidRPr="006B6082">
        <w:rPr>
          <w:i/>
          <w:sz w:val="23"/>
          <w:szCs w:val="23"/>
          <w:lang w:val="es-ES"/>
        </w:rPr>
        <w:t>Instituciones asociadas con el ordenamiento de la propiedad</w:t>
      </w:r>
      <w:r w:rsidR="00971692" w:rsidRPr="006B6082">
        <w:rPr>
          <w:sz w:val="23"/>
          <w:szCs w:val="23"/>
          <w:lang w:val="es-ES"/>
        </w:rPr>
        <w:t>, que se beneficiarán de las mejoras en la estructura de gobernanza y de la capacidad</w:t>
      </w:r>
      <w:r w:rsidR="009C3CAC">
        <w:rPr>
          <w:sz w:val="23"/>
          <w:szCs w:val="23"/>
          <w:lang w:val="es-ES"/>
        </w:rPr>
        <w:t xml:space="preserve"> para el desarrollo</w:t>
      </w:r>
      <w:r w:rsidR="00971692" w:rsidRPr="006B6082">
        <w:rPr>
          <w:sz w:val="23"/>
          <w:szCs w:val="23"/>
          <w:lang w:val="es-ES"/>
        </w:rPr>
        <w:t xml:space="preserve">. </w:t>
      </w:r>
      <w:r w:rsidR="009C3CAC">
        <w:rPr>
          <w:sz w:val="23"/>
          <w:szCs w:val="23"/>
          <w:lang w:val="es-ES"/>
        </w:rPr>
        <w:t>G</w:t>
      </w:r>
      <w:r w:rsidR="00971692" w:rsidRPr="006B6082">
        <w:rPr>
          <w:sz w:val="23"/>
          <w:szCs w:val="23"/>
          <w:lang w:val="es-ES"/>
        </w:rPr>
        <w:t>eneral</w:t>
      </w:r>
      <w:r w:rsidR="009C3CAC">
        <w:rPr>
          <w:sz w:val="23"/>
          <w:szCs w:val="23"/>
          <w:lang w:val="es-ES"/>
        </w:rPr>
        <w:t>mente</w:t>
      </w:r>
      <w:r w:rsidR="00971692" w:rsidRPr="006B6082">
        <w:rPr>
          <w:sz w:val="23"/>
          <w:szCs w:val="23"/>
          <w:lang w:val="es-ES"/>
        </w:rPr>
        <w:t>, se espera que el Proyecto beneficie a toda la población del país al integrar las metodologías y mejorar la capacidad de las operaciones de catastro y regularización, así como una mayor capacidad para responder a emergencias a través del CERC y del MRI.</w:t>
      </w:r>
    </w:p>
    <w:p w:rsidR="00971692" w:rsidRPr="006B6082" w:rsidRDefault="00971692" w:rsidP="005A3614">
      <w:pPr>
        <w:widowControl w:val="0"/>
        <w:adjustRightInd w:val="0"/>
        <w:jc w:val="both"/>
        <w:textAlignment w:val="baseline"/>
        <w:rPr>
          <w:sz w:val="23"/>
          <w:szCs w:val="23"/>
          <w:lang w:val="es-ES"/>
        </w:rPr>
      </w:pPr>
    </w:p>
    <w:p w:rsidR="00971692" w:rsidRPr="006B6082" w:rsidRDefault="00971692" w:rsidP="00F91221">
      <w:pPr>
        <w:pStyle w:val="Heading2"/>
        <w:numPr>
          <w:ilvl w:val="0"/>
          <w:numId w:val="47"/>
        </w:numPr>
        <w:spacing w:after="0"/>
        <w:rPr>
          <w:szCs w:val="24"/>
        </w:rPr>
      </w:pPr>
      <w:bookmarkStart w:id="31" w:name="_Toc295296814"/>
      <w:bookmarkStart w:id="32" w:name="_Toc347866113"/>
      <w:bookmarkStart w:id="33" w:name="_Toc357981066"/>
      <w:r w:rsidRPr="006B6082">
        <w:rPr>
          <w:szCs w:val="24"/>
        </w:rPr>
        <w:t>Indicadores</w:t>
      </w:r>
      <w:bookmarkEnd w:id="31"/>
      <w:r w:rsidRPr="006B6082">
        <w:rPr>
          <w:szCs w:val="24"/>
        </w:rPr>
        <w:t xml:space="preserve"> de Resultados a Nivel de ODP</w:t>
      </w:r>
      <w:bookmarkEnd w:id="32"/>
      <w:bookmarkEnd w:id="33"/>
    </w:p>
    <w:p w:rsidR="00971692" w:rsidRPr="006B6082" w:rsidRDefault="00971692" w:rsidP="006B6082">
      <w:pPr>
        <w:widowControl w:val="0"/>
        <w:numPr>
          <w:ilvl w:val="0"/>
          <w:numId w:val="14"/>
        </w:numPr>
        <w:tabs>
          <w:tab w:val="clear" w:pos="360"/>
        </w:tabs>
        <w:adjustRightInd w:val="0"/>
        <w:jc w:val="both"/>
        <w:textAlignment w:val="baseline"/>
        <w:rPr>
          <w:sz w:val="23"/>
          <w:szCs w:val="23"/>
          <w:lang w:val="es-ES"/>
        </w:rPr>
      </w:pPr>
      <w:r w:rsidRPr="006B6082">
        <w:rPr>
          <w:sz w:val="23"/>
          <w:szCs w:val="23"/>
          <w:lang w:val="es-ES"/>
        </w:rPr>
        <w:t xml:space="preserve">El Proyecto dará como resultado un sistema de ordenamiento de la propiedad más efectivo, transparente, responsable y coordinado, el cual a su vez contribuirá a los esfuerzos del </w:t>
      </w:r>
      <w:r w:rsidR="009C3CAC">
        <w:rPr>
          <w:sz w:val="23"/>
          <w:szCs w:val="23"/>
          <w:lang w:val="es-ES"/>
        </w:rPr>
        <w:t>G</w:t>
      </w:r>
      <w:r w:rsidRPr="006B6082">
        <w:rPr>
          <w:sz w:val="23"/>
          <w:szCs w:val="23"/>
          <w:lang w:val="es-ES"/>
        </w:rPr>
        <w:t xml:space="preserve">obierno para mejorar el clima de inversión y </w:t>
      </w:r>
      <w:r w:rsidR="009C3CAC">
        <w:rPr>
          <w:sz w:val="23"/>
          <w:szCs w:val="23"/>
          <w:lang w:val="es-ES"/>
        </w:rPr>
        <w:t xml:space="preserve">expandir </w:t>
      </w:r>
      <w:r w:rsidRPr="006B6082">
        <w:rPr>
          <w:sz w:val="23"/>
          <w:szCs w:val="23"/>
          <w:lang w:val="es-ES"/>
        </w:rPr>
        <w:t xml:space="preserve"> las oportunidades de crecimiento económico para los nicaragüenses. E</w:t>
      </w:r>
      <w:r w:rsidR="009C3CAC">
        <w:rPr>
          <w:sz w:val="23"/>
          <w:szCs w:val="23"/>
          <w:lang w:val="es-ES"/>
        </w:rPr>
        <w:t>n particular, e</w:t>
      </w:r>
      <w:r w:rsidRPr="006B6082">
        <w:rPr>
          <w:sz w:val="23"/>
          <w:szCs w:val="23"/>
          <w:lang w:val="es-ES"/>
        </w:rPr>
        <w:t>l fortalecimiento de los derechos de propiedad</w:t>
      </w:r>
      <w:r w:rsidR="00020DA8">
        <w:rPr>
          <w:sz w:val="23"/>
          <w:szCs w:val="23"/>
          <w:lang w:val="es-ES"/>
        </w:rPr>
        <w:t xml:space="preserve"> </w:t>
      </w:r>
      <w:r w:rsidR="009C3CAC">
        <w:rPr>
          <w:sz w:val="23"/>
          <w:szCs w:val="23"/>
          <w:lang w:val="es-ES"/>
        </w:rPr>
        <w:t>contribuirá</w:t>
      </w:r>
      <w:r w:rsidRPr="006B6082">
        <w:rPr>
          <w:sz w:val="23"/>
          <w:szCs w:val="23"/>
          <w:lang w:val="es-ES"/>
        </w:rPr>
        <w:t xml:space="preserve"> </w:t>
      </w:r>
      <w:r w:rsidR="009C3CAC">
        <w:rPr>
          <w:sz w:val="23"/>
          <w:szCs w:val="23"/>
          <w:lang w:val="es-ES"/>
        </w:rPr>
        <w:t xml:space="preserve"> a una </w:t>
      </w:r>
      <w:r w:rsidRPr="006B6082">
        <w:rPr>
          <w:sz w:val="23"/>
          <w:szCs w:val="23"/>
          <w:lang w:val="es-ES"/>
        </w:rPr>
        <w:t xml:space="preserve">mayor seguridad </w:t>
      </w:r>
      <w:r w:rsidR="009C3CAC">
        <w:rPr>
          <w:sz w:val="23"/>
          <w:szCs w:val="23"/>
          <w:lang w:val="es-ES"/>
        </w:rPr>
        <w:t xml:space="preserve">en el acceso a la tierra para </w:t>
      </w:r>
      <w:r w:rsidRPr="006B6082">
        <w:rPr>
          <w:sz w:val="23"/>
          <w:szCs w:val="23"/>
          <w:lang w:val="es-ES"/>
        </w:rPr>
        <w:t xml:space="preserve"> los segmentos empobrecidos y demás grupos vulnerables</w:t>
      </w:r>
      <w:r w:rsidR="009C3CAC">
        <w:rPr>
          <w:sz w:val="23"/>
          <w:szCs w:val="23"/>
          <w:lang w:val="es-ES"/>
        </w:rPr>
        <w:t>.</w:t>
      </w:r>
      <w:r w:rsidRPr="006B6082">
        <w:rPr>
          <w:sz w:val="23"/>
          <w:szCs w:val="23"/>
          <w:lang w:val="es-ES"/>
        </w:rPr>
        <w:t>. Por ende, se esperan los siguientes resultados claves:</w:t>
      </w:r>
    </w:p>
    <w:p w:rsidR="00971692" w:rsidRPr="006B6082" w:rsidRDefault="00971692" w:rsidP="00971692">
      <w:pPr>
        <w:rPr>
          <w:sz w:val="23"/>
          <w:szCs w:val="23"/>
          <w:lang w:val="es-ES"/>
        </w:rPr>
      </w:pPr>
    </w:p>
    <w:tbl>
      <w:tblPr>
        <w:tblW w:w="922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220"/>
      </w:tblGrid>
      <w:tr w:rsidR="006B6082" w:rsidRPr="00F702EF" w:rsidTr="006B6082">
        <w:tc>
          <w:tcPr>
            <w:tcW w:w="9220" w:type="dxa"/>
            <w:tcBorders>
              <w:top w:val="nil"/>
              <w:left w:val="nil"/>
              <w:bottom w:val="nil"/>
              <w:right w:val="nil"/>
            </w:tcBorders>
            <w:shd w:val="clear" w:color="auto" w:fill="FFFFFF"/>
            <w:tcMar>
              <w:top w:w="50" w:type="dxa"/>
              <w:left w:w="50" w:type="dxa"/>
              <w:bottom w:w="50" w:type="dxa"/>
              <w:right w:w="50" w:type="dxa"/>
            </w:tcMar>
            <w:vAlign w:val="center"/>
          </w:tcPr>
          <w:p w:rsidR="006B6082" w:rsidRPr="006B6082" w:rsidRDefault="006B6082" w:rsidP="00FF33C1">
            <w:pPr>
              <w:numPr>
                <w:ilvl w:val="0"/>
                <w:numId w:val="17"/>
              </w:numPr>
              <w:jc w:val="both"/>
              <w:rPr>
                <w:sz w:val="23"/>
                <w:szCs w:val="23"/>
                <w:lang w:val="es-ES"/>
              </w:rPr>
            </w:pPr>
            <w:r w:rsidRPr="006B6082">
              <w:rPr>
                <w:sz w:val="23"/>
                <w:szCs w:val="23"/>
                <w:lang w:val="es-ES"/>
              </w:rPr>
              <w:t>Cantidad total de beneficiarios directos del Proyecto (entre ellos, el porcentaje de mujeres) [INDICADOR BÁSICO]</w:t>
            </w:r>
          </w:p>
          <w:p w:rsidR="006B6082" w:rsidRPr="006B6082" w:rsidRDefault="006B6082" w:rsidP="00FF33C1">
            <w:pPr>
              <w:numPr>
                <w:ilvl w:val="0"/>
                <w:numId w:val="17"/>
              </w:numPr>
              <w:jc w:val="both"/>
              <w:rPr>
                <w:sz w:val="23"/>
                <w:szCs w:val="23"/>
                <w:lang w:val="es-ES"/>
              </w:rPr>
            </w:pPr>
            <w:r w:rsidRPr="006B6082">
              <w:rPr>
                <w:sz w:val="23"/>
                <w:szCs w:val="23"/>
                <w:lang w:val="es-ES"/>
              </w:rPr>
              <w:t xml:space="preserve">Al menos 90,000 hogares </w:t>
            </w:r>
            <w:r w:rsidR="00A251A7">
              <w:rPr>
                <w:sz w:val="23"/>
                <w:szCs w:val="23"/>
                <w:lang w:val="es-ES"/>
              </w:rPr>
              <w:t xml:space="preserve">obtienen documentos </w:t>
            </w:r>
            <w:r w:rsidRPr="006B6082">
              <w:rPr>
                <w:sz w:val="23"/>
                <w:szCs w:val="23"/>
                <w:lang w:val="es-ES"/>
              </w:rPr>
              <w:t>legales, entre ellos  60,000 nuevos títulos de propiedad (al menos 50% otorgados a favor de mujeres o de manera conjunta a parejas)</w:t>
            </w:r>
          </w:p>
          <w:p w:rsidR="006B6082" w:rsidRPr="006B6082" w:rsidRDefault="006B6082" w:rsidP="00FF33C1">
            <w:pPr>
              <w:numPr>
                <w:ilvl w:val="0"/>
                <w:numId w:val="17"/>
              </w:numPr>
              <w:jc w:val="both"/>
              <w:rPr>
                <w:sz w:val="23"/>
                <w:szCs w:val="23"/>
                <w:lang w:val="es-ES"/>
              </w:rPr>
            </w:pPr>
            <w:r w:rsidRPr="006B6082">
              <w:rPr>
                <w:sz w:val="23"/>
                <w:szCs w:val="23"/>
                <w:lang w:val="es-ES"/>
              </w:rPr>
              <w:t>Sistema Integrado de Información de Catastro y Registro (SIICAR) sometido a una evaluación independiente, queda catalogado como satisfactorio en términos de operación, datos y seguridad.</w:t>
            </w:r>
          </w:p>
          <w:p w:rsidR="006B6082" w:rsidRPr="006B6082" w:rsidRDefault="00A251A7" w:rsidP="00FF33C1">
            <w:pPr>
              <w:numPr>
                <w:ilvl w:val="0"/>
                <w:numId w:val="17"/>
              </w:numPr>
              <w:jc w:val="both"/>
              <w:rPr>
                <w:sz w:val="23"/>
                <w:szCs w:val="23"/>
                <w:lang w:val="es-ES"/>
              </w:rPr>
            </w:pPr>
            <w:r>
              <w:rPr>
                <w:sz w:val="23"/>
                <w:szCs w:val="23"/>
                <w:lang w:val="es-ES"/>
              </w:rPr>
              <w:t>Promedio de c</w:t>
            </w:r>
            <w:r w:rsidR="006B6082" w:rsidRPr="006B6082">
              <w:rPr>
                <w:sz w:val="23"/>
                <w:szCs w:val="23"/>
                <w:lang w:val="es-ES"/>
              </w:rPr>
              <w:t>antidad de días para completar el registro de la compraventa de una propiedad en el sistema (procesado a través del SIICAR, pasa de 50 a 28 días) [INDICADOR BÁSICO]</w:t>
            </w:r>
          </w:p>
          <w:p w:rsidR="00002BAB" w:rsidRDefault="006B6082">
            <w:pPr>
              <w:widowControl w:val="0"/>
              <w:numPr>
                <w:ilvl w:val="0"/>
                <w:numId w:val="17"/>
              </w:numPr>
              <w:adjustRightInd w:val="0"/>
              <w:jc w:val="both"/>
              <w:textAlignment w:val="baseline"/>
              <w:rPr>
                <w:sz w:val="23"/>
                <w:szCs w:val="23"/>
                <w:lang w:val="es-ES"/>
              </w:rPr>
            </w:pPr>
            <w:r w:rsidRPr="006B6082">
              <w:rPr>
                <w:sz w:val="23"/>
                <w:szCs w:val="23"/>
                <w:lang w:val="es-ES"/>
              </w:rPr>
              <w:t xml:space="preserve">Tiempo tomado para desembolsar los fondos solicitados por el </w:t>
            </w:r>
            <w:r w:rsidR="00A251A7">
              <w:rPr>
                <w:sz w:val="23"/>
                <w:szCs w:val="23"/>
                <w:lang w:val="es-ES"/>
              </w:rPr>
              <w:t>G</w:t>
            </w:r>
            <w:r w:rsidRPr="006B6082">
              <w:rPr>
                <w:sz w:val="23"/>
                <w:szCs w:val="23"/>
                <w:lang w:val="es-ES"/>
              </w:rPr>
              <w:t xml:space="preserve">obierno para enfrentar  una emergencia </w:t>
            </w:r>
            <w:r w:rsidR="00A251A7">
              <w:rPr>
                <w:sz w:val="23"/>
                <w:szCs w:val="23"/>
                <w:lang w:val="es-ES"/>
              </w:rPr>
              <w:t>elegible</w:t>
            </w:r>
            <w:r w:rsidR="00020DA8">
              <w:rPr>
                <w:sz w:val="23"/>
                <w:szCs w:val="23"/>
                <w:lang w:val="es-ES"/>
              </w:rPr>
              <w:t xml:space="preserve"> </w:t>
            </w:r>
            <w:r w:rsidRPr="006B6082">
              <w:rPr>
                <w:sz w:val="23"/>
                <w:szCs w:val="23"/>
                <w:lang w:val="es-ES"/>
              </w:rPr>
              <w:t>(meta: 4 semanas).</w:t>
            </w:r>
          </w:p>
        </w:tc>
      </w:tr>
    </w:tbl>
    <w:p w:rsidR="00971692" w:rsidRPr="004B4F08" w:rsidRDefault="00971692" w:rsidP="00971692">
      <w:pPr>
        <w:jc w:val="both"/>
        <w:rPr>
          <w:sz w:val="23"/>
          <w:szCs w:val="23"/>
          <w:lang w:val="es-ES"/>
        </w:rPr>
      </w:pPr>
    </w:p>
    <w:p w:rsidR="00971692" w:rsidRPr="00971692" w:rsidRDefault="00971692" w:rsidP="00B82B58">
      <w:pPr>
        <w:pStyle w:val="Heading1"/>
        <w:rPr>
          <w:caps/>
        </w:rPr>
      </w:pPr>
      <w:bookmarkStart w:id="34" w:name="_Toc347866114"/>
      <w:bookmarkStart w:id="35" w:name="_Toc357981067"/>
      <w:bookmarkStart w:id="36" w:name="_Toc295296815"/>
      <w:r w:rsidRPr="00971692">
        <w:t>DESCRIPCIÓN DEL PROYECTO</w:t>
      </w:r>
      <w:bookmarkEnd w:id="25"/>
      <w:bookmarkEnd w:id="34"/>
      <w:bookmarkEnd w:id="35"/>
      <w:bookmarkEnd w:id="36"/>
    </w:p>
    <w:p w:rsidR="00971692" w:rsidRPr="009445CF" w:rsidRDefault="00971692" w:rsidP="00F91221">
      <w:pPr>
        <w:pStyle w:val="Heading2"/>
        <w:numPr>
          <w:ilvl w:val="0"/>
          <w:numId w:val="49"/>
        </w:numPr>
        <w:rPr>
          <w:szCs w:val="24"/>
        </w:rPr>
      </w:pPr>
      <w:bookmarkStart w:id="37" w:name="_Toc347866115"/>
      <w:bookmarkStart w:id="38" w:name="_Toc357981068"/>
      <w:bookmarkStart w:id="39" w:name="_Toc40780175"/>
      <w:bookmarkStart w:id="40" w:name="_Toc295296816"/>
      <w:bookmarkStart w:id="41" w:name="_Toc40780173"/>
      <w:r w:rsidRPr="009445CF">
        <w:rPr>
          <w:szCs w:val="24"/>
        </w:rPr>
        <w:t>Componentes del Proyecto</w:t>
      </w:r>
      <w:bookmarkEnd w:id="37"/>
      <w:bookmarkEnd w:id="38"/>
      <w:bookmarkEnd w:id="39"/>
      <w:bookmarkEnd w:id="40"/>
    </w:p>
    <w:p w:rsidR="00971692" w:rsidRPr="006B6082" w:rsidRDefault="006B6082" w:rsidP="00FF33C1">
      <w:pPr>
        <w:widowControl w:val="0"/>
        <w:numPr>
          <w:ilvl w:val="0"/>
          <w:numId w:val="14"/>
        </w:numPr>
        <w:tabs>
          <w:tab w:val="num" w:pos="0"/>
        </w:tabs>
        <w:adjustRightInd w:val="0"/>
        <w:jc w:val="both"/>
        <w:textAlignment w:val="baseline"/>
        <w:rPr>
          <w:sz w:val="23"/>
          <w:szCs w:val="23"/>
          <w:lang w:val="es-ES"/>
        </w:rPr>
      </w:pPr>
      <w:r w:rsidRPr="006B6082">
        <w:rPr>
          <w:sz w:val="23"/>
          <w:szCs w:val="23"/>
          <w:lang w:val="es-ES"/>
        </w:rPr>
        <w:t>El Proyecto comprende</w:t>
      </w:r>
      <w:r w:rsidR="00971692" w:rsidRPr="006B6082">
        <w:rPr>
          <w:sz w:val="23"/>
          <w:szCs w:val="23"/>
          <w:lang w:val="es-ES"/>
        </w:rPr>
        <w:t xml:space="preserve"> cinco componentes (ver detalles en el Anexo 2):</w:t>
      </w:r>
    </w:p>
    <w:p w:rsidR="00971692" w:rsidRPr="006B6082" w:rsidRDefault="00971692" w:rsidP="00971692">
      <w:pPr>
        <w:keepNext/>
        <w:rPr>
          <w:b/>
          <w:bCs/>
          <w:sz w:val="23"/>
          <w:szCs w:val="23"/>
          <w:lang w:val="es-ES"/>
        </w:rPr>
      </w:pPr>
    </w:p>
    <w:p w:rsidR="00971692" w:rsidRPr="009445CF" w:rsidRDefault="00971692" w:rsidP="00971692">
      <w:pPr>
        <w:rPr>
          <w:b/>
          <w:lang w:val="es-ES"/>
        </w:rPr>
      </w:pPr>
      <w:bookmarkStart w:id="42" w:name="_Toc342563071"/>
      <w:bookmarkStart w:id="43" w:name="_Toc342732202"/>
      <w:bookmarkStart w:id="44" w:name="_Toc342909531"/>
      <w:r w:rsidRPr="009445CF">
        <w:rPr>
          <w:b/>
          <w:lang w:val="es-ES"/>
        </w:rPr>
        <w:t>Componente 1: Consolidación del Marco Institucional y de Políticas (US$ 7.30 millones de dólares)</w:t>
      </w:r>
      <w:bookmarkEnd w:id="42"/>
      <w:bookmarkEnd w:id="43"/>
      <w:bookmarkEnd w:id="44"/>
    </w:p>
    <w:p w:rsidR="00971692" w:rsidRPr="00B82B58" w:rsidRDefault="00971692" w:rsidP="00971692">
      <w:pPr>
        <w:rPr>
          <w:b/>
          <w:bCs/>
          <w:sz w:val="23"/>
          <w:szCs w:val="23"/>
          <w:lang w:val="es-ES"/>
        </w:rPr>
      </w:pPr>
    </w:p>
    <w:p w:rsidR="00971692" w:rsidRPr="00B82B58" w:rsidRDefault="00971692" w:rsidP="00FF33C1">
      <w:pPr>
        <w:widowControl w:val="0"/>
        <w:numPr>
          <w:ilvl w:val="0"/>
          <w:numId w:val="14"/>
        </w:numPr>
        <w:adjustRightInd w:val="0"/>
        <w:jc w:val="both"/>
        <w:textAlignment w:val="baseline"/>
        <w:rPr>
          <w:sz w:val="23"/>
          <w:szCs w:val="23"/>
          <w:lang w:val="es-ES"/>
        </w:rPr>
      </w:pPr>
      <w:r w:rsidRPr="00B82B58">
        <w:rPr>
          <w:i/>
          <w:sz w:val="23"/>
          <w:szCs w:val="23"/>
          <w:lang w:val="es-ES"/>
        </w:rPr>
        <w:t xml:space="preserve">Subcomponente 1.1: Fortalecimiento de los servicios catastrales y de la capacidad de </w:t>
      </w:r>
      <w:r w:rsidRPr="00B82B58">
        <w:rPr>
          <w:i/>
          <w:sz w:val="23"/>
          <w:szCs w:val="23"/>
          <w:lang w:val="es-ES"/>
        </w:rPr>
        <w:lastRenderedPageBreak/>
        <w:t xml:space="preserve">ordenamiento territorial </w:t>
      </w:r>
      <w:r w:rsidRPr="00B82B58">
        <w:rPr>
          <w:sz w:val="23"/>
          <w:szCs w:val="23"/>
          <w:lang w:val="es-ES"/>
        </w:rPr>
        <w:t>mediante (a) El apoyo al INETER, traducido en: (i) La preparación de las regulaciones catastrales técnicas y administrativas; (ii) La realización de capacitaciones sobre la estandarización de las políticas y procedimientos catastrales; (iii) El fortalecimiento de la capacidad de oferta de servicios catastrales; (iv) El mantenimiento, acondicionamiento y equipamiento de ciertas oficinas de INETER seleccionadas de conformidad con los criterios establecidos en el Manual Operativo; (b) El Apoyo al IP a través de: (i) La actualización del SIIPRO y el despliegue del SILEC en las oficinas regional del IP; (ii) El fortalecimiento del IP para brindar los servicios de titulación</w:t>
      </w:r>
      <w:r w:rsidR="002C2656">
        <w:rPr>
          <w:sz w:val="23"/>
          <w:szCs w:val="23"/>
          <w:lang w:val="es-ES"/>
        </w:rPr>
        <w:t>, regularización</w:t>
      </w:r>
      <w:r w:rsidRPr="00B82B58">
        <w:rPr>
          <w:sz w:val="23"/>
          <w:szCs w:val="23"/>
          <w:lang w:val="es-ES"/>
        </w:rPr>
        <w:t xml:space="preserve"> y servicios legales; (iii) El Mantenimiento, acondicionamiento y equipamiento de ciertas oficinas del IP seleccionadas </w:t>
      </w:r>
      <w:r w:rsidR="002C2656">
        <w:rPr>
          <w:sz w:val="23"/>
          <w:szCs w:val="23"/>
          <w:lang w:val="es-ES"/>
        </w:rPr>
        <w:t>según</w:t>
      </w:r>
      <w:r w:rsidR="00020DA8">
        <w:rPr>
          <w:sz w:val="23"/>
          <w:szCs w:val="23"/>
          <w:lang w:val="es-ES"/>
        </w:rPr>
        <w:t xml:space="preserve"> </w:t>
      </w:r>
      <w:r w:rsidRPr="00B82B58">
        <w:rPr>
          <w:sz w:val="23"/>
          <w:szCs w:val="23"/>
          <w:lang w:val="es-ES"/>
        </w:rPr>
        <w:t>los criterios establecidos en el Manual Operativo.</w:t>
      </w:r>
    </w:p>
    <w:p w:rsidR="00971692" w:rsidRPr="00B82B58" w:rsidRDefault="00971692" w:rsidP="00971692">
      <w:pPr>
        <w:widowControl w:val="0"/>
        <w:adjustRightInd w:val="0"/>
        <w:jc w:val="both"/>
        <w:textAlignment w:val="baseline"/>
        <w:rPr>
          <w:sz w:val="23"/>
          <w:szCs w:val="23"/>
          <w:lang w:val="es-ES"/>
        </w:rPr>
      </w:pPr>
    </w:p>
    <w:p w:rsidR="00971692" w:rsidRPr="00B82B58" w:rsidRDefault="00971692" w:rsidP="009445CF">
      <w:pPr>
        <w:widowControl w:val="0"/>
        <w:numPr>
          <w:ilvl w:val="0"/>
          <w:numId w:val="14"/>
        </w:numPr>
        <w:adjustRightInd w:val="0"/>
        <w:jc w:val="both"/>
        <w:textAlignment w:val="baseline"/>
        <w:rPr>
          <w:sz w:val="23"/>
          <w:szCs w:val="23"/>
          <w:lang w:val="es-ES"/>
        </w:rPr>
      </w:pPr>
      <w:r w:rsidRPr="00B82B58">
        <w:rPr>
          <w:i/>
          <w:sz w:val="23"/>
          <w:szCs w:val="23"/>
          <w:lang w:val="es-ES"/>
        </w:rPr>
        <w:t xml:space="preserve">Subcomponente 1.2: Fortalecimiento de los servicios municipales de administración de tierras </w:t>
      </w:r>
      <w:r w:rsidRPr="00B82B58">
        <w:rPr>
          <w:sz w:val="23"/>
          <w:szCs w:val="23"/>
          <w:lang w:val="es-ES"/>
        </w:rPr>
        <w:t xml:space="preserve">mediante el apoyo al INIFOM traducido en: (a) La preparación de las guías y regulaciones técnicas del manejo catastral municipal; (b)  La consolidación de la capacidad de los municipios participantes en (i) El manejo del SISCAT para el cobro de los impuestos de la propiedad y </w:t>
      </w:r>
      <w:r w:rsidR="002C2656">
        <w:rPr>
          <w:sz w:val="23"/>
          <w:szCs w:val="23"/>
          <w:lang w:val="es-ES"/>
        </w:rPr>
        <w:t>planificación</w:t>
      </w:r>
      <w:r w:rsidRPr="00B82B58">
        <w:rPr>
          <w:sz w:val="23"/>
          <w:szCs w:val="23"/>
          <w:lang w:val="es-ES"/>
        </w:rPr>
        <w:t xml:space="preserve"> territorial; (ii) El mantenimiento de la sostenibilidad de los catastros municipales; (iii) La coordinación de los servicios catastrales con INETER; (c) El enlace entre el SISCAT y el catastro nacional del INETER.</w:t>
      </w:r>
    </w:p>
    <w:p w:rsidR="00971692" w:rsidRPr="00B82B58" w:rsidRDefault="00971692" w:rsidP="009445CF">
      <w:pPr>
        <w:ind w:left="720"/>
        <w:rPr>
          <w:sz w:val="23"/>
          <w:szCs w:val="23"/>
          <w:lang w:val="es-ES"/>
        </w:rPr>
      </w:pPr>
    </w:p>
    <w:p w:rsidR="00971692" w:rsidRPr="00B82B58" w:rsidRDefault="00971692" w:rsidP="009445CF">
      <w:pPr>
        <w:widowControl w:val="0"/>
        <w:numPr>
          <w:ilvl w:val="0"/>
          <w:numId w:val="14"/>
        </w:numPr>
        <w:adjustRightInd w:val="0"/>
        <w:jc w:val="both"/>
        <w:textAlignment w:val="baseline"/>
        <w:rPr>
          <w:sz w:val="23"/>
          <w:szCs w:val="23"/>
          <w:lang w:val="es-ES"/>
        </w:rPr>
      </w:pPr>
      <w:r w:rsidRPr="00B82B58">
        <w:rPr>
          <w:i/>
          <w:sz w:val="23"/>
          <w:szCs w:val="23"/>
          <w:lang w:val="es-ES"/>
        </w:rPr>
        <w:t>Subcomponente 1.3:</w:t>
      </w:r>
      <w:r w:rsidR="002C2656">
        <w:rPr>
          <w:i/>
          <w:sz w:val="23"/>
          <w:szCs w:val="23"/>
          <w:lang w:val="es-ES"/>
        </w:rPr>
        <w:t xml:space="preserve"> </w:t>
      </w:r>
      <w:r w:rsidRPr="00B82B58">
        <w:rPr>
          <w:i/>
          <w:sz w:val="23"/>
          <w:szCs w:val="23"/>
          <w:lang w:val="es-ES"/>
        </w:rPr>
        <w:t xml:space="preserve">Reforzamiento de la capacidad de recopilación y evaluación de datos </w:t>
      </w:r>
      <w:r w:rsidRPr="00B82B58">
        <w:rPr>
          <w:sz w:val="23"/>
          <w:szCs w:val="23"/>
          <w:lang w:val="es-ES"/>
        </w:rPr>
        <w:t>mediante el apoyo a INIDE, traducido en: (i) La ejecución de una encuesta de medición de los niveles de pobreza y de un módulo para capturar información sobre la tenencia de la tierra; (ii) El fortalecimiento de la capacidad de análisis de datos y de encuestas, a través de la dotación de capacitaciones, equipamiento, software, vehículos, equipamiento y reacondicionamiento de las instalaciones de capacitación.</w:t>
      </w:r>
    </w:p>
    <w:p w:rsidR="00971692" w:rsidRPr="00971692" w:rsidRDefault="00971692" w:rsidP="009445CF">
      <w:pPr>
        <w:jc w:val="both"/>
        <w:rPr>
          <w:b/>
          <w:iCs/>
          <w:lang w:val="es-ES"/>
        </w:rPr>
      </w:pPr>
    </w:p>
    <w:p w:rsidR="00971692" w:rsidRPr="00971692" w:rsidRDefault="00971692" w:rsidP="009445CF">
      <w:pPr>
        <w:jc w:val="both"/>
        <w:rPr>
          <w:b/>
          <w:iCs/>
          <w:lang w:val="es-ES"/>
        </w:rPr>
      </w:pPr>
      <w:r w:rsidRPr="00971692">
        <w:rPr>
          <w:b/>
          <w:iCs/>
          <w:lang w:val="es-ES"/>
        </w:rPr>
        <w:t>Componente 2: Fortalecimiento del Registro de la Propiedad y de la Resolución Alterna de Conflictos (US$ 3.70 millones de dólares)</w:t>
      </w:r>
    </w:p>
    <w:p w:rsidR="00971692" w:rsidRPr="00971692" w:rsidRDefault="00971692" w:rsidP="009445CF">
      <w:pPr>
        <w:jc w:val="both"/>
        <w:rPr>
          <w:iCs/>
          <w:lang w:val="es-ES"/>
        </w:rPr>
      </w:pPr>
    </w:p>
    <w:p w:rsidR="00971692" w:rsidRPr="009445CF" w:rsidRDefault="00971692" w:rsidP="009445CF">
      <w:pPr>
        <w:numPr>
          <w:ilvl w:val="0"/>
          <w:numId w:val="14"/>
        </w:numPr>
        <w:jc w:val="both"/>
        <w:rPr>
          <w:iCs/>
          <w:sz w:val="23"/>
          <w:szCs w:val="23"/>
          <w:lang w:val="es-ES"/>
        </w:rPr>
      </w:pPr>
      <w:r w:rsidRPr="009445CF">
        <w:rPr>
          <w:i/>
          <w:iCs/>
          <w:sz w:val="23"/>
          <w:szCs w:val="23"/>
          <w:lang w:val="es-ES"/>
        </w:rPr>
        <w:t>Sub-componente 2.1: Fortalecimiento del Registro de la Propiedad y de la Resolución Alterna de Conflictos</w:t>
      </w:r>
      <w:r w:rsidRPr="009445CF">
        <w:rPr>
          <w:iCs/>
          <w:sz w:val="23"/>
          <w:szCs w:val="23"/>
          <w:lang w:val="es-ES"/>
        </w:rPr>
        <w:t xml:space="preserve"> mediante el apoyo a la Corte Suprema traducido entre otras cosas en: (a)  El apoyo a las actividades de formación de capacidades dirigidas al personal y consultores para la titulación y registro sistemático en los registros de la propiedad regionales en los municipios participantes; (b) La prestación de servicios de mediación durante los procesos catastrales y de regularización, incluyendo (i) La prestación de capacitaciones de resolución de conflictos, dirigidas a l</w:t>
      </w:r>
      <w:r w:rsidR="00BF61B5">
        <w:rPr>
          <w:iCs/>
          <w:sz w:val="23"/>
          <w:szCs w:val="23"/>
          <w:lang w:val="es-ES"/>
        </w:rPr>
        <w:t>a</w:t>
      </w:r>
      <w:r w:rsidRPr="009445CF">
        <w:rPr>
          <w:iCs/>
          <w:sz w:val="23"/>
          <w:szCs w:val="23"/>
          <w:lang w:val="es-ES"/>
        </w:rPr>
        <w:t>s</w:t>
      </w:r>
      <w:r w:rsidR="00BF61B5">
        <w:rPr>
          <w:iCs/>
          <w:sz w:val="23"/>
          <w:szCs w:val="23"/>
          <w:lang w:val="es-ES"/>
        </w:rPr>
        <w:t xml:space="preserve"> personas</w:t>
      </w:r>
      <w:r w:rsidRPr="009445CF">
        <w:rPr>
          <w:iCs/>
          <w:sz w:val="23"/>
          <w:szCs w:val="23"/>
          <w:lang w:val="es-ES"/>
        </w:rPr>
        <w:t xml:space="preserve"> mediador</w:t>
      </w:r>
      <w:r w:rsidR="00BF61B5">
        <w:rPr>
          <w:iCs/>
          <w:sz w:val="23"/>
          <w:szCs w:val="23"/>
          <w:lang w:val="es-ES"/>
        </w:rPr>
        <w:t>a</w:t>
      </w:r>
      <w:r w:rsidRPr="009445CF">
        <w:rPr>
          <w:iCs/>
          <w:sz w:val="23"/>
          <w:szCs w:val="23"/>
          <w:lang w:val="es-ES"/>
        </w:rPr>
        <w:t>s y personal de las agencias co-ejecutoras y (ii) La preparación de un manual para estandarizar los resultados de mediación.</w:t>
      </w:r>
    </w:p>
    <w:p w:rsidR="00971692" w:rsidRPr="009445CF" w:rsidRDefault="00971692" w:rsidP="009445CF">
      <w:pPr>
        <w:jc w:val="both"/>
        <w:rPr>
          <w:iCs/>
          <w:sz w:val="23"/>
          <w:szCs w:val="23"/>
          <w:lang w:val="es-ES"/>
        </w:rPr>
      </w:pPr>
    </w:p>
    <w:p w:rsidR="00971692" w:rsidRPr="009445CF" w:rsidRDefault="00971692" w:rsidP="009445CF">
      <w:pPr>
        <w:numPr>
          <w:ilvl w:val="0"/>
          <w:numId w:val="14"/>
        </w:numPr>
        <w:jc w:val="both"/>
        <w:rPr>
          <w:iCs/>
          <w:sz w:val="23"/>
          <w:szCs w:val="23"/>
          <w:lang w:val="es-ES"/>
        </w:rPr>
      </w:pPr>
      <w:r w:rsidRPr="009445CF">
        <w:rPr>
          <w:i/>
          <w:iCs/>
          <w:sz w:val="23"/>
          <w:szCs w:val="23"/>
          <w:lang w:val="es-ES"/>
        </w:rPr>
        <w:t>Sub-componente 2.2: Consolidación del SIICAR</w:t>
      </w:r>
      <w:r w:rsidRPr="009445CF">
        <w:rPr>
          <w:iCs/>
          <w:sz w:val="23"/>
          <w:szCs w:val="23"/>
          <w:lang w:val="es-ES"/>
        </w:rPr>
        <w:t xml:space="preserve"> mediante el apoyo a la Corte Suprema e INETER traducido entre otras cosas en: (i) La finalización y perfeccionamiento de la versión piloto del SIICAR; (ii) El despliegue del SIICAR en los municipios participantes en al menos tres departamentos del país a través de asistencia técnica, </w:t>
      </w:r>
      <w:r w:rsidR="00BF61B5">
        <w:rPr>
          <w:iCs/>
          <w:sz w:val="23"/>
          <w:szCs w:val="23"/>
          <w:lang w:val="es-ES"/>
        </w:rPr>
        <w:t xml:space="preserve">incluyendo </w:t>
      </w:r>
      <w:r w:rsidRPr="009445CF">
        <w:rPr>
          <w:iCs/>
          <w:sz w:val="23"/>
          <w:szCs w:val="23"/>
          <w:lang w:val="es-ES"/>
        </w:rPr>
        <w:t>capacitaciones dirigidas a la CSJ, INETER y dotación de equipos de computación y de oficina, inclu</w:t>
      </w:r>
      <w:r w:rsidR="00BF61B5">
        <w:rPr>
          <w:iCs/>
          <w:sz w:val="23"/>
          <w:szCs w:val="23"/>
          <w:lang w:val="es-ES"/>
        </w:rPr>
        <w:t xml:space="preserve">yendo </w:t>
      </w:r>
      <w:r w:rsidRPr="009445CF">
        <w:rPr>
          <w:iCs/>
          <w:sz w:val="23"/>
          <w:szCs w:val="23"/>
          <w:lang w:val="es-ES"/>
        </w:rPr>
        <w:t xml:space="preserve"> software, hardware y licencias.</w:t>
      </w:r>
    </w:p>
    <w:p w:rsidR="00971692" w:rsidRPr="009445CF" w:rsidRDefault="00971692" w:rsidP="009445CF">
      <w:pPr>
        <w:widowControl w:val="0"/>
        <w:adjustRightInd w:val="0"/>
        <w:jc w:val="both"/>
        <w:textAlignment w:val="baseline"/>
        <w:rPr>
          <w:sz w:val="23"/>
          <w:szCs w:val="23"/>
          <w:lang w:val="es-ES"/>
        </w:rPr>
      </w:pPr>
    </w:p>
    <w:p w:rsidR="00971692" w:rsidRPr="00971692" w:rsidRDefault="00971692" w:rsidP="009445CF">
      <w:pPr>
        <w:widowControl w:val="0"/>
        <w:adjustRightInd w:val="0"/>
        <w:jc w:val="both"/>
        <w:textAlignment w:val="baseline"/>
        <w:rPr>
          <w:i/>
          <w:lang w:val="es-ES"/>
        </w:rPr>
      </w:pPr>
      <w:r w:rsidRPr="00971692">
        <w:rPr>
          <w:b/>
          <w:lang w:val="es-ES"/>
        </w:rPr>
        <w:t xml:space="preserve">Componente 3: </w:t>
      </w:r>
      <w:r w:rsidRPr="00971692">
        <w:rPr>
          <w:b/>
          <w:iCs/>
          <w:lang w:val="es-ES"/>
        </w:rPr>
        <w:t>Servicios de Titulación y Regularización (US$ 17.80 millones de dólares)</w:t>
      </w:r>
    </w:p>
    <w:p w:rsidR="00971692" w:rsidRPr="009445CF" w:rsidRDefault="00971692" w:rsidP="009445CF">
      <w:pPr>
        <w:jc w:val="both"/>
        <w:rPr>
          <w:iCs/>
          <w:sz w:val="23"/>
          <w:szCs w:val="23"/>
          <w:lang w:val="es-ES"/>
        </w:rPr>
      </w:pPr>
    </w:p>
    <w:p w:rsidR="00971692" w:rsidRPr="009445CF" w:rsidRDefault="00971692" w:rsidP="009445CF">
      <w:pPr>
        <w:numPr>
          <w:ilvl w:val="0"/>
          <w:numId w:val="14"/>
        </w:numPr>
        <w:jc w:val="both"/>
        <w:rPr>
          <w:iCs/>
          <w:sz w:val="23"/>
          <w:szCs w:val="23"/>
          <w:lang w:val="es-ES"/>
        </w:rPr>
      </w:pPr>
      <w:r w:rsidRPr="009445CF">
        <w:rPr>
          <w:i/>
          <w:iCs/>
          <w:sz w:val="23"/>
          <w:szCs w:val="23"/>
          <w:lang w:val="es-ES"/>
        </w:rPr>
        <w:t>Sub-componente 3.1: Fomento de la prestación de servicios de catastro, titulación y regularización</w:t>
      </w:r>
      <w:r w:rsidRPr="009445CF">
        <w:rPr>
          <w:iCs/>
          <w:sz w:val="23"/>
          <w:szCs w:val="23"/>
          <w:lang w:val="es-ES"/>
        </w:rPr>
        <w:t xml:space="preserve"> mediante el apoyo al INETER, IP y CSJ traducido en: (a) Ejecución de actividades </w:t>
      </w:r>
      <w:r w:rsidRPr="009445CF">
        <w:rPr>
          <w:iCs/>
          <w:sz w:val="23"/>
          <w:szCs w:val="23"/>
          <w:lang w:val="es-ES"/>
        </w:rPr>
        <w:lastRenderedPageBreak/>
        <w:t>sistemáticas de levantamiento catastral, regularización, titulación y registro en los municipios participantes; (b) Elaboración de encuestas, regularización, titulación y registro de parcelas propuestas por</w:t>
      </w:r>
      <w:r w:rsidR="00A32E64">
        <w:rPr>
          <w:iCs/>
          <w:sz w:val="23"/>
          <w:szCs w:val="23"/>
          <w:lang w:val="es-ES"/>
        </w:rPr>
        <w:t>: (i) Demanda o</w:t>
      </w:r>
      <w:r w:rsidR="00F702EF">
        <w:rPr>
          <w:iCs/>
          <w:sz w:val="23"/>
          <w:szCs w:val="23"/>
          <w:lang w:val="es-ES"/>
        </w:rPr>
        <w:t xml:space="preserve"> </w:t>
      </w:r>
      <w:r w:rsidR="00A32E64">
        <w:rPr>
          <w:iCs/>
          <w:sz w:val="23"/>
          <w:szCs w:val="23"/>
          <w:lang w:val="es-ES"/>
        </w:rPr>
        <w:t>(ii) P</w:t>
      </w:r>
      <w:r w:rsidRPr="009445CF">
        <w:rPr>
          <w:iCs/>
          <w:sz w:val="23"/>
          <w:szCs w:val="23"/>
          <w:lang w:val="es-ES"/>
        </w:rPr>
        <w:t>ersonas naturales priorizad</w:t>
      </w:r>
      <w:r w:rsidR="00A32E64">
        <w:rPr>
          <w:iCs/>
          <w:sz w:val="23"/>
          <w:szCs w:val="23"/>
          <w:lang w:val="es-ES"/>
        </w:rPr>
        <w:t>a</w:t>
      </w:r>
      <w:r w:rsidRPr="009445CF">
        <w:rPr>
          <w:iCs/>
          <w:sz w:val="23"/>
          <w:szCs w:val="23"/>
          <w:lang w:val="es-ES"/>
        </w:rPr>
        <w:t>s por  programas nacionales, seleccionados conform</w:t>
      </w:r>
      <w:r w:rsidR="00A32E64">
        <w:rPr>
          <w:iCs/>
          <w:sz w:val="23"/>
          <w:szCs w:val="23"/>
          <w:lang w:val="es-ES"/>
        </w:rPr>
        <w:t>e a</w:t>
      </w:r>
      <w:r w:rsidRPr="009445CF">
        <w:rPr>
          <w:iCs/>
          <w:sz w:val="23"/>
          <w:szCs w:val="23"/>
          <w:lang w:val="es-ES"/>
        </w:rPr>
        <w:t xml:space="preserve"> los criterios estipulados en Manual Operativo; (c)  Ejecución de acciones de titulación y registro de propiedades elegibles, seleccionadas conform</w:t>
      </w:r>
      <w:r w:rsidR="00A32E64">
        <w:rPr>
          <w:iCs/>
          <w:sz w:val="23"/>
          <w:szCs w:val="23"/>
          <w:lang w:val="es-ES"/>
        </w:rPr>
        <w:t xml:space="preserve">e a </w:t>
      </w:r>
      <w:r w:rsidRPr="009445CF">
        <w:rPr>
          <w:iCs/>
          <w:sz w:val="23"/>
          <w:szCs w:val="23"/>
          <w:lang w:val="es-ES"/>
        </w:rPr>
        <w:t xml:space="preserve"> los criterios estipulados en el Manual Operativo, </w:t>
      </w:r>
      <w:r w:rsidR="00A32E64">
        <w:rPr>
          <w:iCs/>
          <w:sz w:val="23"/>
          <w:szCs w:val="23"/>
          <w:lang w:val="es-ES"/>
        </w:rPr>
        <w:t>derivadas de la</w:t>
      </w:r>
      <w:r w:rsidR="00F702EF">
        <w:rPr>
          <w:iCs/>
          <w:sz w:val="23"/>
          <w:szCs w:val="23"/>
          <w:lang w:val="es-ES"/>
        </w:rPr>
        <w:t xml:space="preserve"> </w:t>
      </w:r>
      <w:r w:rsidRPr="009445CF">
        <w:rPr>
          <w:iCs/>
          <w:sz w:val="23"/>
          <w:szCs w:val="23"/>
          <w:lang w:val="es-ES"/>
        </w:rPr>
        <w:t>reforma agraria para beneficiar a l</w:t>
      </w:r>
      <w:r w:rsidR="00293D7B">
        <w:rPr>
          <w:iCs/>
          <w:sz w:val="23"/>
          <w:szCs w:val="23"/>
          <w:lang w:val="es-ES"/>
        </w:rPr>
        <w:t>a</w:t>
      </w:r>
      <w:r w:rsidRPr="009445CF">
        <w:rPr>
          <w:iCs/>
          <w:sz w:val="23"/>
          <w:szCs w:val="23"/>
          <w:lang w:val="es-ES"/>
        </w:rPr>
        <w:t xml:space="preserve">s </w:t>
      </w:r>
      <w:r w:rsidR="00293D7B">
        <w:rPr>
          <w:iCs/>
          <w:sz w:val="23"/>
          <w:szCs w:val="23"/>
          <w:lang w:val="es-ES"/>
        </w:rPr>
        <w:t xml:space="preserve">personas en posesión </w:t>
      </w:r>
      <w:r w:rsidRPr="009445CF">
        <w:rPr>
          <w:iCs/>
          <w:sz w:val="23"/>
          <w:szCs w:val="23"/>
          <w:lang w:val="es-ES"/>
        </w:rPr>
        <w:t>s actual</w:t>
      </w:r>
      <w:r w:rsidR="00293D7B">
        <w:rPr>
          <w:iCs/>
          <w:sz w:val="23"/>
          <w:szCs w:val="23"/>
          <w:lang w:val="es-ES"/>
        </w:rPr>
        <w:t>mente</w:t>
      </w:r>
      <w:r w:rsidRPr="009445CF">
        <w:rPr>
          <w:iCs/>
          <w:sz w:val="23"/>
          <w:szCs w:val="23"/>
          <w:lang w:val="es-ES"/>
        </w:rPr>
        <w:t xml:space="preserve">; (d) Implementación de la estrategia </w:t>
      </w:r>
      <w:r w:rsidR="009A52DB" w:rsidRPr="009445CF">
        <w:rPr>
          <w:iCs/>
          <w:sz w:val="23"/>
          <w:szCs w:val="23"/>
          <w:lang w:val="es-ES"/>
        </w:rPr>
        <w:t>de comunicación</w:t>
      </w:r>
      <w:r w:rsidRPr="009445CF">
        <w:rPr>
          <w:iCs/>
          <w:sz w:val="23"/>
          <w:szCs w:val="23"/>
          <w:lang w:val="es-ES"/>
        </w:rPr>
        <w:t xml:space="preserve"> del Proyecto.</w:t>
      </w:r>
    </w:p>
    <w:p w:rsidR="00971692" w:rsidRPr="00971692" w:rsidRDefault="00971692" w:rsidP="009445CF">
      <w:pPr>
        <w:jc w:val="both"/>
        <w:rPr>
          <w:iCs/>
          <w:lang w:val="es-ES"/>
        </w:rPr>
      </w:pPr>
    </w:p>
    <w:p w:rsidR="00971692" w:rsidRPr="009445CF" w:rsidRDefault="00971692" w:rsidP="009445CF">
      <w:pPr>
        <w:numPr>
          <w:ilvl w:val="0"/>
          <w:numId w:val="14"/>
        </w:numPr>
        <w:tabs>
          <w:tab w:val="clear" w:pos="360"/>
        </w:tabs>
        <w:jc w:val="both"/>
        <w:rPr>
          <w:iCs/>
          <w:sz w:val="23"/>
          <w:szCs w:val="23"/>
          <w:lang w:val="es-ES"/>
        </w:rPr>
      </w:pPr>
      <w:r w:rsidRPr="009445CF">
        <w:rPr>
          <w:i/>
          <w:iCs/>
          <w:sz w:val="23"/>
          <w:szCs w:val="23"/>
          <w:lang w:val="es-ES"/>
        </w:rPr>
        <w:t xml:space="preserve">Sub-componente 3.2: Demarcación y titulación de los </w:t>
      </w:r>
      <w:r w:rsidR="00293D7B">
        <w:rPr>
          <w:i/>
          <w:iCs/>
          <w:sz w:val="23"/>
          <w:szCs w:val="23"/>
          <w:lang w:val="es-ES"/>
        </w:rPr>
        <w:t>T</w:t>
      </w:r>
      <w:r w:rsidRPr="009445CF">
        <w:rPr>
          <w:i/>
          <w:iCs/>
          <w:sz w:val="23"/>
          <w:szCs w:val="23"/>
          <w:lang w:val="es-ES"/>
        </w:rPr>
        <w:t xml:space="preserve">erritorios </w:t>
      </w:r>
      <w:r w:rsidR="00293D7B">
        <w:rPr>
          <w:i/>
          <w:iCs/>
          <w:sz w:val="23"/>
          <w:szCs w:val="23"/>
          <w:lang w:val="es-ES"/>
        </w:rPr>
        <w:t>I</w:t>
      </w:r>
      <w:r w:rsidRPr="009445CF">
        <w:rPr>
          <w:i/>
          <w:iCs/>
          <w:sz w:val="23"/>
          <w:szCs w:val="23"/>
          <w:lang w:val="es-ES"/>
        </w:rPr>
        <w:t>ndígenas</w:t>
      </w:r>
      <w:r w:rsidRPr="009445CF">
        <w:rPr>
          <w:iCs/>
          <w:sz w:val="23"/>
          <w:szCs w:val="23"/>
          <w:lang w:val="es-ES"/>
        </w:rPr>
        <w:t xml:space="preserve"> mediante el apoyo al IP en la demarcación y titulación de dos áreas complementarias de los </w:t>
      </w:r>
      <w:r w:rsidR="00293D7B">
        <w:rPr>
          <w:iCs/>
          <w:sz w:val="23"/>
          <w:szCs w:val="23"/>
          <w:lang w:val="es-ES"/>
        </w:rPr>
        <w:t>T</w:t>
      </w:r>
      <w:r w:rsidRPr="009445CF">
        <w:rPr>
          <w:iCs/>
          <w:sz w:val="23"/>
          <w:szCs w:val="23"/>
          <w:lang w:val="es-ES"/>
        </w:rPr>
        <w:t xml:space="preserve">erritorios </w:t>
      </w:r>
      <w:r w:rsidR="00293D7B">
        <w:rPr>
          <w:iCs/>
          <w:sz w:val="23"/>
          <w:szCs w:val="23"/>
          <w:lang w:val="es-ES"/>
        </w:rPr>
        <w:t>I</w:t>
      </w:r>
      <w:r w:rsidRPr="009445CF">
        <w:rPr>
          <w:iCs/>
          <w:sz w:val="23"/>
          <w:szCs w:val="23"/>
          <w:lang w:val="es-ES"/>
        </w:rPr>
        <w:t>ndígenas MSBU y MITK,</w:t>
      </w:r>
      <w:r w:rsidR="002A7FD5" w:rsidRPr="002A7FD5">
        <w:rPr>
          <w:iCs/>
          <w:sz w:val="23"/>
          <w:szCs w:val="23"/>
          <w:vertAlign w:val="superscript"/>
        </w:rPr>
        <w:footnoteReference w:id="10"/>
      </w:r>
      <w:r w:rsidRPr="009445CF">
        <w:rPr>
          <w:iCs/>
          <w:sz w:val="23"/>
          <w:szCs w:val="23"/>
          <w:lang w:val="es-ES"/>
        </w:rPr>
        <w:t xml:space="preserve"> traducido, entre otras cosas en: (a) La ejecución de actividades de formación de capacidades y coordinación; (b) La validación de los diagnósticos territoriales existentes; (c) El apoyo a la creación de mecanismos de solución alterna de conflictos; (d) Demarcación, titulación y registro. </w:t>
      </w:r>
    </w:p>
    <w:p w:rsidR="00971692" w:rsidRPr="009445CF" w:rsidRDefault="00971692" w:rsidP="009445CF">
      <w:pPr>
        <w:jc w:val="both"/>
        <w:rPr>
          <w:iCs/>
          <w:sz w:val="23"/>
          <w:szCs w:val="23"/>
          <w:lang w:val="es-ES"/>
        </w:rPr>
      </w:pPr>
    </w:p>
    <w:p w:rsidR="00971692" w:rsidRPr="009445CF" w:rsidRDefault="00971692" w:rsidP="009445CF">
      <w:pPr>
        <w:numPr>
          <w:ilvl w:val="0"/>
          <w:numId w:val="14"/>
        </w:numPr>
        <w:tabs>
          <w:tab w:val="clear" w:pos="360"/>
        </w:tabs>
        <w:jc w:val="both"/>
        <w:rPr>
          <w:iCs/>
          <w:sz w:val="23"/>
          <w:szCs w:val="23"/>
          <w:lang w:val="es-ES"/>
        </w:rPr>
      </w:pPr>
      <w:r w:rsidRPr="009445CF">
        <w:rPr>
          <w:i/>
          <w:iCs/>
          <w:sz w:val="23"/>
          <w:szCs w:val="23"/>
          <w:lang w:val="es-ES"/>
        </w:rPr>
        <w:t>Sub-componente 3.3: Demarcación de las áreas protegidas</w:t>
      </w:r>
      <w:r w:rsidRPr="009445CF">
        <w:rPr>
          <w:iCs/>
          <w:sz w:val="23"/>
          <w:szCs w:val="23"/>
          <w:lang w:val="es-ES"/>
        </w:rPr>
        <w:t xml:space="preserve"> seleccionadas conform</w:t>
      </w:r>
      <w:r w:rsidR="00293D7B">
        <w:rPr>
          <w:iCs/>
          <w:sz w:val="23"/>
          <w:szCs w:val="23"/>
          <w:lang w:val="es-ES"/>
        </w:rPr>
        <w:t xml:space="preserve">e a </w:t>
      </w:r>
      <w:r w:rsidRPr="009445CF">
        <w:rPr>
          <w:iCs/>
          <w:sz w:val="23"/>
          <w:szCs w:val="23"/>
          <w:lang w:val="es-ES"/>
        </w:rPr>
        <w:t xml:space="preserve">los criterios estipulados en el Manual Operativo mediante el apoyo al MARENA, traducido entre otras cosas en: (a) La demarcación de los linderos externos de las áreas protegidas, </w:t>
      </w:r>
      <w:r w:rsidR="00293D7B">
        <w:rPr>
          <w:iCs/>
          <w:sz w:val="23"/>
          <w:szCs w:val="23"/>
          <w:lang w:val="es-ES"/>
        </w:rPr>
        <w:t xml:space="preserve">actividades </w:t>
      </w:r>
      <w:r w:rsidRPr="009445CF">
        <w:rPr>
          <w:iCs/>
          <w:sz w:val="23"/>
          <w:szCs w:val="23"/>
          <w:lang w:val="es-ES"/>
        </w:rPr>
        <w:t>preparativ</w:t>
      </w:r>
      <w:r w:rsidR="00293D7B">
        <w:rPr>
          <w:iCs/>
          <w:sz w:val="23"/>
          <w:szCs w:val="23"/>
          <w:lang w:val="es-ES"/>
        </w:rPr>
        <w:t>a</w:t>
      </w:r>
      <w:r w:rsidRPr="009445CF">
        <w:rPr>
          <w:iCs/>
          <w:sz w:val="23"/>
          <w:szCs w:val="23"/>
          <w:lang w:val="es-ES"/>
        </w:rPr>
        <w:t>s, recopilación de datos, consultas con los beneficiarios, determinación de linderos, geo referencia y demarcación física de los linderos; (b) El lanzamiento de una campaña de comunicación y educación ambiental en las áreas protegidas y comunidades aledañas.</w:t>
      </w:r>
    </w:p>
    <w:p w:rsidR="00F86E08" w:rsidRPr="009445CF" w:rsidRDefault="00F86E08" w:rsidP="009445CF">
      <w:pPr>
        <w:widowControl w:val="0"/>
        <w:adjustRightInd w:val="0"/>
        <w:jc w:val="both"/>
        <w:textAlignment w:val="baseline"/>
        <w:rPr>
          <w:b/>
          <w:sz w:val="23"/>
          <w:szCs w:val="23"/>
          <w:lang w:val="es-ES"/>
        </w:rPr>
      </w:pPr>
    </w:p>
    <w:p w:rsidR="00971692" w:rsidRPr="00971692" w:rsidRDefault="00971692" w:rsidP="009445CF">
      <w:pPr>
        <w:widowControl w:val="0"/>
        <w:adjustRightInd w:val="0"/>
        <w:jc w:val="both"/>
        <w:textAlignment w:val="baseline"/>
        <w:rPr>
          <w:b/>
          <w:lang w:val="es-ES"/>
        </w:rPr>
      </w:pPr>
      <w:r w:rsidRPr="00971692">
        <w:rPr>
          <w:b/>
          <w:lang w:val="es-ES"/>
        </w:rPr>
        <w:t>Componente 4: Administración, Monitoreo y Evaluación del Proyecto (US$ 3.20 millones de dólares)</w:t>
      </w:r>
    </w:p>
    <w:p w:rsidR="00971692" w:rsidRPr="009445CF" w:rsidRDefault="00971692" w:rsidP="009445CF">
      <w:pPr>
        <w:widowControl w:val="0"/>
        <w:adjustRightInd w:val="0"/>
        <w:jc w:val="both"/>
        <w:textAlignment w:val="baseline"/>
        <w:rPr>
          <w:b/>
          <w:sz w:val="23"/>
          <w:szCs w:val="23"/>
          <w:lang w:val="es-ES"/>
        </w:rPr>
      </w:pPr>
    </w:p>
    <w:p w:rsidR="00971692" w:rsidRPr="009445CF" w:rsidRDefault="00971692" w:rsidP="009445CF">
      <w:pPr>
        <w:numPr>
          <w:ilvl w:val="0"/>
          <w:numId w:val="14"/>
        </w:numPr>
        <w:tabs>
          <w:tab w:val="clear" w:pos="360"/>
        </w:tabs>
        <w:jc w:val="both"/>
        <w:rPr>
          <w:iCs/>
          <w:sz w:val="23"/>
          <w:szCs w:val="23"/>
          <w:lang w:val="es-ES"/>
        </w:rPr>
      </w:pPr>
      <w:r w:rsidRPr="009445CF">
        <w:rPr>
          <w:i/>
          <w:iCs/>
          <w:sz w:val="23"/>
          <w:szCs w:val="23"/>
          <w:lang w:val="es-ES"/>
        </w:rPr>
        <w:t>Sub-componente 4.1: Apoyo a la Administración del Proyecto</w:t>
      </w:r>
      <w:r w:rsidRPr="009445CF">
        <w:rPr>
          <w:iCs/>
          <w:sz w:val="23"/>
          <w:szCs w:val="23"/>
          <w:lang w:val="es-ES"/>
        </w:rPr>
        <w:t>, traducido entre otras en: (i) Capacitaciones y talleres; (ii) Actividades de coordinación, administrativas y fiduciarias del Proyecto, incluyendo auditorías; (iii) Supervisión de la</w:t>
      </w:r>
      <w:r w:rsidR="006D6E95">
        <w:rPr>
          <w:iCs/>
          <w:sz w:val="23"/>
          <w:szCs w:val="23"/>
          <w:lang w:val="es-ES"/>
        </w:rPr>
        <w:t xml:space="preserve"> implementación</w:t>
      </w:r>
      <w:r w:rsidRPr="009445CF">
        <w:rPr>
          <w:iCs/>
          <w:sz w:val="23"/>
          <w:szCs w:val="23"/>
          <w:lang w:val="es-ES"/>
        </w:rPr>
        <w:t xml:space="preserve"> de la estrategia de comunicación y  estrategia de género para el Proyecto. </w:t>
      </w:r>
    </w:p>
    <w:p w:rsidR="00971692" w:rsidRPr="009445CF" w:rsidRDefault="00971692" w:rsidP="009445CF">
      <w:pPr>
        <w:jc w:val="both"/>
        <w:rPr>
          <w:iCs/>
          <w:sz w:val="23"/>
          <w:szCs w:val="23"/>
          <w:lang w:val="es-ES"/>
        </w:rPr>
      </w:pPr>
    </w:p>
    <w:p w:rsidR="00971692" w:rsidRPr="009445CF" w:rsidRDefault="00971692" w:rsidP="009445CF">
      <w:pPr>
        <w:numPr>
          <w:ilvl w:val="0"/>
          <w:numId w:val="14"/>
        </w:numPr>
        <w:jc w:val="both"/>
        <w:rPr>
          <w:iCs/>
          <w:sz w:val="23"/>
          <w:szCs w:val="23"/>
          <w:lang w:val="es-ES"/>
        </w:rPr>
      </w:pPr>
      <w:r w:rsidRPr="009445CF">
        <w:rPr>
          <w:i/>
          <w:iCs/>
          <w:sz w:val="23"/>
          <w:szCs w:val="23"/>
          <w:lang w:val="es-ES"/>
        </w:rPr>
        <w:t>Sub-componente 4.2 Apoyo al monitoreo y evaluación</w:t>
      </w:r>
      <w:r w:rsidRPr="009445CF">
        <w:rPr>
          <w:iCs/>
          <w:sz w:val="23"/>
          <w:szCs w:val="23"/>
          <w:lang w:val="es-ES"/>
        </w:rPr>
        <w:t xml:space="preserve">, traducido entre otras cosas en: (i) La recopilación de los datos de la línea de base para cuantificar los impactos sociales, ambientales y económicos provocados por el Proyecto; (ii) La preparación de los informes de avance semestrales, la evaluación de mitad de periodo y la evaluación final; (iii) La realización de </w:t>
      </w:r>
      <w:r w:rsidR="006D6E95">
        <w:rPr>
          <w:iCs/>
          <w:sz w:val="23"/>
          <w:szCs w:val="23"/>
          <w:lang w:val="es-ES"/>
        </w:rPr>
        <w:t>una</w:t>
      </w:r>
      <w:r w:rsidRPr="009445CF">
        <w:rPr>
          <w:iCs/>
          <w:sz w:val="23"/>
          <w:szCs w:val="23"/>
          <w:lang w:val="es-ES"/>
        </w:rPr>
        <w:t xml:space="preserve"> auditoría social de las principales actividades.</w:t>
      </w:r>
    </w:p>
    <w:p w:rsidR="00971692" w:rsidRPr="009445CF" w:rsidRDefault="00971692" w:rsidP="009445CF">
      <w:pPr>
        <w:rPr>
          <w:sz w:val="23"/>
          <w:szCs w:val="23"/>
          <w:lang w:val="es-ES"/>
        </w:rPr>
      </w:pPr>
    </w:p>
    <w:p w:rsidR="00971692" w:rsidRPr="00971692" w:rsidRDefault="00971692" w:rsidP="009445CF">
      <w:pPr>
        <w:rPr>
          <w:b/>
          <w:lang w:val="es-ES"/>
        </w:rPr>
      </w:pPr>
      <w:r w:rsidRPr="00971692">
        <w:rPr>
          <w:b/>
          <w:lang w:val="es-ES"/>
        </w:rPr>
        <w:t>Componente 5: Componente Contingente de Respuestas a Emergencias (US$ 8.00 millones de dólares)</w:t>
      </w:r>
    </w:p>
    <w:p w:rsidR="00971692" w:rsidRPr="00971692" w:rsidRDefault="00971692" w:rsidP="009445CF">
      <w:pPr>
        <w:rPr>
          <w:b/>
          <w:lang w:val="es-ES"/>
        </w:rPr>
      </w:pPr>
    </w:p>
    <w:p w:rsidR="006D6E95" w:rsidRDefault="00971692" w:rsidP="00910B70">
      <w:pPr>
        <w:numPr>
          <w:ilvl w:val="0"/>
          <w:numId w:val="14"/>
        </w:numPr>
        <w:tabs>
          <w:tab w:val="clear" w:pos="360"/>
        </w:tabs>
        <w:jc w:val="both"/>
        <w:rPr>
          <w:i/>
          <w:sz w:val="23"/>
          <w:szCs w:val="23"/>
          <w:lang w:val="es-ES"/>
        </w:rPr>
      </w:pPr>
      <w:r w:rsidRPr="009445CF">
        <w:rPr>
          <w:i/>
          <w:sz w:val="23"/>
          <w:szCs w:val="23"/>
          <w:lang w:val="es-ES"/>
        </w:rPr>
        <w:t>Brindar respuesta inmediata para enfrentar una emergencia</w:t>
      </w:r>
      <w:r w:rsidR="00020DA8">
        <w:rPr>
          <w:i/>
          <w:sz w:val="23"/>
          <w:szCs w:val="23"/>
          <w:lang w:val="es-ES"/>
        </w:rPr>
        <w:t xml:space="preserve"> </w:t>
      </w:r>
      <w:r w:rsidR="006D6E95">
        <w:rPr>
          <w:i/>
          <w:sz w:val="23"/>
          <w:szCs w:val="23"/>
          <w:lang w:val="es-ES"/>
        </w:rPr>
        <w:t>elegible</w:t>
      </w:r>
      <w:r w:rsidRPr="009445CF">
        <w:rPr>
          <w:i/>
          <w:sz w:val="23"/>
          <w:szCs w:val="23"/>
          <w:lang w:val="es-ES"/>
        </w:rPr>
        <w:t>.</w:t>
      </w:r>
    </w:p>
    <w:p w:rsidR="00971692" w:rsidRPr="00910B70" w:rsidRDefault="00971692" w:rsidP="00910B70">
      <w:pPr>
        <w:numPr>
          <w:ilvl w:val="0"/>
          <w:numId w:val="14"/>
        </w:numPr>
        <w:tabs>
          <w:tab w:val="clear" w:pos="360"/>
        </w:tabs>
        <w:jc w:val="both"/>
        <w:rPr>
          <w:i/>
          <w:sz w:val="23"/>
          <w:szCs w:val="23"/>
          <w:lang w:val="es-ES"/>
        </w:rPr>
      </w:pPr>
      <w:r w:rsidRPr="002A7FD5">
        <w:rPr>
          <w:sz w:val="23"/>
          <w:szCs w:val="23"/>
          <w:lang w:val="es-ES"/>
        </w:rPr>
        <w:t>El componente financiará gastos públicos y privados de una lista positiva de bienes nacionales e importados y/u obras</w:t>
      </w:r>
      <w:r w:rsidR="006D6E95">
        <w:rPr>
          <w:sz w:val="23"/>
          <w:szCs w:val="23"/>
          <w:lang w:val="es-ES"/>
        </w:rPr>
        <w:t xml:space="preserve"> específicas</w:t>
      </w:r>
      <w:r w:rsidRPr="002A7FD5">
        <w:rPr>
          <w:sz w:val="23"/>
          <w:szCs w:val="23"/>
          <w:lang w:val="es-ES"/>
        </w:rPr>
        <w:t xml:space="preserve">, bienes, servicios (incluyendo costos de auditoría) y costos de operaciones de emergencia necesarios para posibilitar la recuperación de emergencia de </w:t>
      </w:r>
      <w:r w:rsidR="000A09C6" w:rsidRPr="002A7FD5">
        <w:rPr>
          <w:sz w:val="23"/>
          <w:szCs w:val="23"/>
          <w:lang w:val="es-ES"/>
        </w:rPr>
        <w:t>Nicaragua.</w:t>
      </w:r>
      <w:r w:rsidRPr="002A7FD5">
        <w:rPr>
          <w:sz w:val="23"/>
          <w:szCs w:val="23"/>
          <w:lang w:val="es-ES"/>
        </w:rPr>
        <w:t xml:space="preserve"> Un Manual Operativo</w:t>
      </w:r>
      <w:r w:rsidR="006D6E95">
        <w:rPr>
          <w:sz w:val="23"/>
          <w:szCs w:val="23"/>
          <w:lang w:val="es-ES"/>
        </w:rPr>
        <w:t xml:space="preserve"> CCRE</w:t>
      </w:r>
      <w:r w:rsidRPr="002A7FD5">
        <w:rPr>
          <w:sz w:val="23"/>
          <w:szCs w:val="23"/>
          <w:lang w:val="es-ES"/>
        </w:rPr>
        <w:t xml:space="preserve"> se aplicará en este componente, detallando la gestión </w:t>
      </w:r>
      <w:r w:rsidRPr="002A7FD5">
        <w:rPr>
          <w:sz w:val="23"/>
          <w:szCs w:val="23"/>
          <w:lang w:val="es-ES"/>
        </w:rPr>
        <w:lastRenderedPageBreak/>
        <w:t xml:space="preserve">financiera, compras, salvaguardas y demás </w:t>
      </w:r>
      <w:r w:rsidR="006D6E95">
        <w:rPr>
          <w:sz w:val="23"/>
          <w:szCs w:val="23"/>
          <w:lang w:val="es-ES"/>
        </w:rPr>
        <w:t>arreglos necesarios para su implementación</w:t>
      </w:r>
      <w:r w:rsidRPr="002A7FD5">
        <w:rPr>
          <w:sz w:val="23"/>
          <w:szCs w:val="23"/>
          <w:lang w:val="es-ES"/>
        </w:rPr>
        <w:t>.</w:t>
      </w:r>
      <w:r w:rsidRPr="009445CF">
        <w:rPr>
          <w:sz w:val="23"/>
          <w:szCs w:val="23"/>
          <w:vertAlign w:val="superscript"/>
          <w:lang w:val="es-ES"/>
        </w:rPr>
        <w:footnoteReference w:id="11"/>
      </w:r>
      <w:r w:rsidRPr="002A7FD5">
        <w:rPr>
          <w:sz w:val="23"/>
          <w:szCs w:val="23"/>
          <w:lang w:val="es-ES"/>
        </w:rPr>
        <w:t xml:space="preserve">  A</w:t>
      </w:r>
      <w:r w:rsidR="00320038">
        <w:rPr>
          <w:sz w:val="23"/>
          <w:szCs w:val="23"/>
          <w:lang w:val="es-ES"/>
        </w:rPr>
        <w:t>dicionalmente</w:t>
      </w:r>
      <w:r w:rsidRPr="002A7FD5">
        <w:rPr>
          <w:sz w:val="23"/>
          <w:szCs w:val="23"/>
          <w:lang w:val="es-ES"/>
        </w:rPr>
        <w:t>, el Proyecto ayudará a activar el MRI explicado en detalle en el Anexo 7, Sección D.</w:t>
      </w:r>
      <w:bookmarkStart w:id="45" w:name="PADLendingInstrument"/>
      <w:bookmarkEnd w:id="41"/>
    </w:p>
    <w:p w:rsidR="00971692" w:rsidRPr="009445CF" w:rsidRDefault="00971692" w:rsidP="009445CF">
      <w:pPr>
        <w:widowControl w:val="0"/>
        <w:adjustRightInd w:val="0"/>
        <w:jc w:val="both"/>
        <w:textAlignment w:val="baseline"/>
        <w:rPr>
          <w:sz w:val="23"/>
          <w:szCs w:val="23"/>
          <w:lang w:val="es-ES"/>
        </w:rPr>
      </w:pPr>
    </w:p>
    <w:p w:rsidR="00971692" w:rsidRPr="00971692" w:rsidRDefault="00971692" w:rsidP="00F91221">
      <w:pPr>
        <w:pStyle w:val="Heading2"/>
        <w:numPr>
          <w:ilvl w:val="0"/>
          <w:numId w:val="49"/>
        </w:numPr>
        <w:spacing w:after="0"/>
      </w:pPr>
      <w:bookmarkStart w:id="46" w:name="_Toc295296817"/>
      <w:bookmarkStart w:id="47" w:name="_Toc347866116"/>
      <w:bookmarkStart w:id="48" w:name="_Toc357981069"/>
      <w:r w:rsidRPr="00971692">
        <w:t>Financiación del Proyecto</w:t>
      </w:r>
      <w:bookmarkEnd w:id="46"/>
      <w:bookmarkEnd w:id="47"/>
      <w:bookmarkEnd w:id="48"/>
    </w:p>
    <w:p w:rsidR="00971692" w:rsidRPr="00971692" w:rsidRDefault="00910B70" w:rsidP="00224C37">
      <w:pPr>
        <w:contextualSpacing/>
        <w:rPr>
          <w:b/>
          <w:lang w:val="es-ES"/>
        </w:rPr>
      </w:pPr>
      <w:r>
        <w:rPr>
          <w:b/>
          <w:lang w:val="es-ES"/>
        </w:rPr>
        <w:t>Instrumento</w:t>
      </w:r>
      <w:r w:rsidR="00971692" w:rsidRPr="00971692">
        <w:rPr>
          <w:b/>
          <w:lang w:val="es-ES"/>
        </w:rPr>
        <w:t xml:space="preserve"> Crediticio</w:t>
      </w:r>
    </w:p>
    <w:p w:rsidR="00971692" w:rsidRPr="009445CF" w:rsidRDefault="00971692" w:rsidP="00224C37">
      <w:pPr>
        <w:numPr>
          <w:ilvl w:val="0"/>
          <w:numId w:val="14"/>
        </w:numPr>
        <w:contextualSpacing/>
        <w:jc w:val="both"/>
        <w:rPr>
          <w:sz w:val="23"/>
          <w:szCs w:val="23"/>
          <w:lang w:val="es-ES"/>
        </w:rPr>
      </w:pPr>
      <w:r w:rsidRPr="009445CF">
        <w:rPr>
          <w:sz w:val="23"/>
          <w:szCs w:val="23"/>
          <w:lang w:val="es-ES"/>
        </w:rPr>
        <w:t xml:space="preserve">El Proyecto se financiará mediante un crédito de la AIF y comprende el 100% de los gastos </w:t>
      </w:r>
      <w:r w:rsidR="00320038">
        <w:rPr>
          <w:sz w:val="23"/>
          <w:szCs w:val="23"/>
          <w:lang w:val="es-ES"/>
        </w:rPr>
        <w:t xml:space="preserve">elegibles </w:t>
      </w:r>
      <w:r w:rsidRPr="009445CF">
        <w:rPr>
          <w:sz w:val="23"/>
          <w:szCs w:val="23"/>
          <w:lang w:val="es-ES"/>
        </w:rPr>
        <w:t xml:space="preserve">autorizados. Atendiendo la solicitud del </w:t>
      </w:r>
      <w:r w:rsidR="00320038">
        <w:rPr>
          <w:sz w:val="23"/>
          <w:szCs w:val="23"/>
          <w:lang w:val="es-ES"/>
        </w:rPr>
        <w:t>G</w:t>
      </w:r>
      <w:r w:rsidRPr="009445CF">
        <w:rPr>
          <w:sz w:val="23"/>
          <w:szCs w:val="23"/>
          <w:lang w:val="es-ES"/>
        </w:rPr>
        <w:t>obierno, el crédito contempla el financiamiento retroactivo de hasta el 20% de los Componentes 1 al 4 y hasta el 40% del monto total del Componente 5 (de conformidad con la salvaguarda OP/BP 8.00 – Respuesta Rápida a Crisis y Emergencias). Para facilitar la preparación del Proyecto y asegurar continuidad entre el proyecto previo y el actual, el Banco Mundial aprobó el 2 de octubre del 2012 un Anticipo para los Preparativos del Proyecto (PPA) de US$ 3.0 millones de dólares.</w:t>
      </w:r>
    </w:p>
    <w:p w:rsidR="00971692" w:rsidRPr="009445CF" w:rsidRDefault="00971692" w:rsidP="00224C37">
      <w:pPr>
        <w:contextualSpacing/>
        <w:rPr>
          <w:sz w:val="23"/>
          <w:szCs w:val="23"/>
          <w:lang w:val="es-ES"/>
        </w:rPr>
      </w:pPr>
    </w:p>
    <w:p w:rsidR="00971692" w:rsidRPr="00587EFC" w:rsidRDefault="00971692" w:rsidP="00224C37">
      <w:pPr>
        <w:contextualSpacing/>
        <w:rPr>
          <w:b/>
          <w:lang w:val="es-ES"/>
        </w:rPr>
      </w:pPr>
      <w:bookmarkStart w:id="49" w:name="_Toc297302672"/>
      <w:r w:rsidRPr="00971692">
        <w:rPr>
          <w:b/>
          <w:lang w:val="es-ES"/>
        </w:rPr>
        <w:t xml:space="preserve">Costo y Financiación del Proyecto </w:t>
      </w:r>
      <w:bookmarkEnd w:id="49"/>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9"/>
        <w:gridCol w:w="1134"/>
        <w:gridCol w:w="1417"/>
        <w:gridCol w:w="1388"/>
      </w:tblGrid>
      <w:tr w:rsidR="00971692" w:rsidRPr="00971692" w:rsidTr="00971692">
        <w:tc>
          <w:tcPr>
            <w:tcW w:w="5169" w:type="dxa"/>
            <w:tcBorders>
              <w:top w:val="single" w:sz="4" w:space="0" w:color="auto"/>
              <w:left w:val="single" w:sz="4" w:space="0" w:color="auto"/>
              <w:bottom w:val="single" w:sz="4" w:space="0" w:color="000000"/>
              <w:right w:val="single" w:sz="4" w:space="0" w:color="auto"/>
            </w:tcBorders>
            <w:vAlign w:val="center"/>
          </w:tcPr>
          <w:p w:rsidR="00971692" w:rsidRPr="00971692" w:rsidRDefault="00971692" w:rsidP="00224C37">
            <w:pPr>
              <w:contextualSpacing/>
              <w:jc w:val="center"/>
              <w:rPr>
                <w:b/>
                <w:sz w:val="20"/>
                <w:szCs w:val="20"/>
                <w:lang w:val="es-ES"/>
              </w:rPr>
            </w:pPr>
            <w:r w:rsidRPr="00971692">
              <w:rPr>
                <w:b/>
                <w:sz w:val="20"/>
                <w:szCs w:val="20"/>
                <w:lang w:val="es-ES"/>
              </w:rPr>
              <w:t>Componentes del Proyecto</w:t>
            </w:r>
          </w:p>
        </w:tc>
        <w:tc>
          <w:tcPr>
            <w:tcW w:w="1134" w:type="dxa"/>
            <w:tcBorders>
              <w:top w:val="single" w:sz="4" w:space="0" w:color="auto"/>
              <w:left w:val="single" w:sz="4" w:space="0" w:color="auto"/>
              <w:bottom w:val="single" w:sz="4" w:space="0" w:color="000000"/>
              <w:right w:val="single" w:sz="4" w:space="0" w:color="auto"/>
            </w:tcBorders>
            <w:vAlign w:val="center"/>
          </w:tcPr>
          <w:p w:rsidR="00971692" w:rsidRPr="00971692" w:rsidRDefault="00971692" w:rsidP="00224C37">
            <w:pPr>
              <w:contextualSpacing/>
              <w:jc w:val="center"/>
              <w:rPr>
                <w:b/>
                <w:sz w:val="20"/>
                <w:szCs w:val="20"/>
                <w:lang w:val="es-ES"/>
              </w:rPr>
            </w:pPr>
            <w:r w:rsidRPr="00971692">
              <w:rPr>
                <w:b/>
                <w:sz w:val="20"/>
                <w:szCs w:val="20"/>
                <w:lang w:val="es-ES"/>
              </w:rPr>
              <w:t>Costo del Proyecto</w:t>
            </w:r>
          </w:p>
          <w:p w:rsidR="00971692" w:rsidRPr="00971692" w:rsidRDefault="00971692" w:rsidP="00224C37">
            <w:pPr>
              <w:contextualSpacing/>
              <w:jc w:val="center"/>
              <w:rPr>
                <w:b/>
                <w:sz w:val="20"/>
                <w:szCs w:val="20"/>
                <w:lang w:val="es-ES"/>
              </w:rPr>
            </w:pPr>
            <w:r w:rsidRPr="00971692">
              <w:rPr>
                <w:b/>
                <w:sz w:val="20"/>
                <w:szCs w:val="20"/>
                <w:lang w:val="es-ES"/>
              </w:rPr>
              <w:t>(US$ m)</w:t>
            </w:r>
          </w:p>
        </w:tc>
        <w:tc>
          <w:tcPr>
            <w:tcW w:w="1417" w:type="dxa"/>
            <w:tcBorders>
              <w:top w:val="single" w:sz="4" w:space="0" w:color="auto"/>
              <w:left w:val="single" w:sz="4" w:space="0" w:color="auto"/>
              <w:bottom w:val="single" w:sz="4" w:space="0" w:color="000000"/>
              <w:right w:val="single" w:sz="4" w:space="0" w:color="auto"/>
            </w:tcBorders>
            <w:vAlign w:val="center"/>
          </w:tcPr>
          <w:p w:rsidR="00971692" w:rsidRPr="00971692" w:rsidRDefault="00971692" w:rsidP="00224C37">
            <w:pPr>
              <w:contextualSpacing/>
              <w:jc w:val="center"/>
              <w:rPr>
                <w:b/>
                <w:sz w:val="20"/>
                <w:szCs w:val="20"/>
                <w:lang w:val="es-ES"/>
              </w:rPr>
            </w:pPr>
            <w:r w:rsidRPr="00971692">
              <w:rPr>
                <w:b/>
                <w:sz w:val="20"/>
                <w:szCs w:val="20"/>
                <w:lang w:val="es-ES"/>
              </w:rPr>
              <w:t>Financiación AIF</w:t>
            </w:r>
          </w:p>
          <w:p w:rsidR="00971692" w:rsidRPr="00971692" w:rsidRDefault="00971692" w:rsidP="00224C37">
            <w:pPr>
              <w:contextualSpacing/>
              <w:jc w:val="center"/>
              <w:rPr>
                <w:b/>
                <w:sz w:val="20"/>
                <w:szCs w:val="20"/>
                <w:lang w:val="es-ES"/>
              </w:rPr>
            </w:pPr>
            <w:r w:rsidRPr="00971692">
              <w:rPr>
                <w:b/>
                <w:sz w:val="20"/>
                <w:szCs w:val="20"/>
                <w:lang w:val="es-ES"/>
              </w:rPr>
              <w:t>(US$ m)</w:t>
            </w:r>
          </w:p>
        </w:tc>
        <w:tc>
          <w:tcPr>
            <w:tcW w:w="1388" w:type="dxa"/>
            <w:tcBorders>
              <w:top w:val="single" w:sz="4" w:space="0" w:color="auto"/>
              <w:left w:val="single" w:sz="4" w:space="0" w:color="auto"/>
              <w:bottom w:val="single" w:sz="4" w:space="0" w:color="000000"/>
              <w:right w:val="single" w:sz="4" w:space="0" w:color="auto"/>
            </w:tcBorders>
            <w:vAlign w:val="center"/>
          </w:tcPr>
          <w:p w:rsidR="00971692" w:rsidRPr="00971692" w:rsidRDefault="00971692" w:rsidP="00224C37">
            <w:pPr>
              <w:contextualSpacing/>
              <w:jc w:val="center"/>
              <w:rPr>
                <w:b/>
                <w:sz w:val="20"/>
                <w:szCs w:val="20"/>
                <w:lang w:val="es-ES"/>
              </w:rPr>
            </w:pPr>
            <w:r w:rsidRPr="00971692">
              <w:rPr>
                <w:b/>
                <w:sz w:val="20"/>
                <w:szCs w:val="20"/>
                <w:lang w:val="es-ES"/>
              </w:rPr>
              <w:t>% Financiación</w:t>
            </w:r>
          </w:p>
        </w:tc>
      </w:tr>
      <w:tr w:rsidR="00C8498F" w:rsidRPr="00C8498F" w:rsidTr="00971692">
        <w:trPr>
          <w:trHeight w:val="274"/>
        </w:trPr>
        <w:tc>
          <w:tcPr>
            <w:tcW w:w="5169" w:type="dxa"/>
            <w:tcBorders>
              <w:left w:val="single" w:sz="4" w:space="0" w:color="auto"/>
              <w:bottom w:val="nil"/>
              <w:right w:val="single" w:sz="4" w:space="0" w:color="auto"/>
            </w:tcBorders>
          </w:tcPr>
          <w:p w:rsidR="00C8498F" w:rsidRPr="00C8498F" w:rsidRDefault="00C8498F" w:rsidP="00F91221">
            <w:pPr>
              <w:numPr>
                <w:ilvl w:val="0"/>
                <w:numId w:val="43"/>
              </w:numPr>
              <w:ind w:left="383"/>
              <w:contextualSpacing/>
              <w:rPr>
                <w:sz w:val="20"/>
                <w:szCs w:val="20"/>
                <w:lang w:val="es-ES"/>
              </w:rPr>
            </w:pPr>
            <w:r w:rsidRPr="00971692">
              <w:rPr>
                <w:sz w:val="20"/>
                <w:szCs w:val="20"/>
                <w:lang w:val="es-ES"/>
              </w:rPr>
              <w:t>Consolidación del Marco Institucional y de Políticas</w:t>
            </w:r>
          </w:p>
        </w:tc>
        <w:tc>
          <w:tcPr>
            <w:tcW w:w="1134" w:type="dxa"/>
            <w:tcBorders>
              <w:left w:val="single" w:sz="4" w:space="0" w:color="auto"/>
              <w:bottom w:val="nil"/>
              <w:right w:val="single" w:sz="4" w:space="0" w:color="auto"/>
            </w:tcBorders>
          </w:tcPr>
          <w:p w:rsidR="00C8498F" w:rsidRPr="00971692" w:rsidRDefault="00C8498F" w:rsidP="00C8498F">
            <w:pPr>
              <w:contextualSpacing/>
              <w:jc w:val="right"/>
              <w:rPr>
                <w:sz w:val="20"/>
                <w:szCs w:val="20"/>
                <w:lang w:val="es-ES"/>
              </w:rPr>
            </w:pPr>
            <w:r w:rsidRPr="00971692">
              <w:rPr>
                <w:sz w:val="20"/>
                <w:szCs w:val="20"/>
                <w:lang w:val="es-ES"/>
              </w:rPr>
              <w:t>7.30</w:t>
            </w:r>
          </w:p>
        </w:tc>
        <w:tc>
          <w:tcPr>
            <w:tcW w:w="1417" w:type="dxa"/>
            <w:tcBorders>
              <w:left w:val="single" w:sz="4" w:space="0" w:color="auto"/>
              <w:bottom w:val="nil"/>
              <w:right w:val="single" w:sz="4" w:space="0" w:color="auto"/>
            </w:tcBorders>
          </w:tcPr>
          <w:p w:rsidR="00C8498F" w:rsidRPr="00971692" w:rsidRDefault="00C8498F" w:rsidP="00C8498F">
            <w:pPr>
              <w:contextualSpacing/>
              <w:jc w:val="right"/>
              <w:rPr>
                <w:sz w:val="20"/>
                <w:szCs w:val="20"/>
                <w:lang w:val="es-ES"/>
              </w:rPr>
            </w:pPr>
            <w:r w:rsidRPr="00971692">
              <w:rPr>
                <w:sz w:val="20"/>
                <w:szCs w:val="20"/>
                <w:lang w:val="es-ES"/>
              </w:rPr>
              <w:t>7.30</w:t>
            </w:r>
          </w:p>
        </w:tc>
        <w:tc>
          <w:tcPr>
            <w:tcW w:w="1388" w:type="dxa"/>
            <w:tcBorders>
              <w:left w:val="single" w:sz="4" w:space="0" w:color="auto"/>
              <w:bottom w:val="nil"/>
              <w:right w:val="single" w:sz="4" w:space="0" w:color="auto"/>
            </w:tcBorders>
          </w:tcPr>
          <w:p w:rsidR="00C8498F" w:rsidRPr="00971692" w:rsidRDefault="00C8498F" w:rsidP="00C8498F">
            <w:pPr>
              <w:contextualSpacing/>
              <w:jc w:val="right"/>
              <w:rPr>
                <w:sz w:val="20"/>
                <w:szCs w:val="20"/>
                <w:lang w:val="es-ES"/>
              </w:rPr>
            </w:pPr>
            <w:r w:rsidRPr="00971692">
              <w:rPr>
                <w:sz w:val="20"/>
                <w:szCs w:val="20"/>
                <w:lang w:val="es-ES"/>
              </w:rPr>
              <w:t>100.00</w:t>
            </w:r>
          </w:p>
        </w:tc>
      </w:tr>
      <w:tr w:rsidR="00971692" w:rsidRPr="00971692" w:rsidTr="00971692">
        <w:trPr>
          <w:trHeight w:val="274"/>
        </w:trPr>
        <w:tc>
          <w:tcPr>
            <w:tcW w:w="5169" w:type="dxa"/>
            <w:tcBorders>
              <w:left w:val="single" w:sz="4" w:space="0" w:color="auto"/>
              <w:bottom w:val="nil"/>
              <w:right w:val="single" w:sz="4" w:space="0" w:color="auto"/>
            </w:tcBorders>
          </w:tcPr>
          <w:p w:rsidR="00971692" w:rsidRPr="00971692" w:rsidRDefault="00971692" w:rsidP="00F91221">
            <w:pPr>
              <w:numPr>
                <w:ilvl w:val="0"/>
                <w:numId w:val="43"/>
              </w:numPr>
              <w:ind w:left="383"/>
              <w:contextualSpacing/>
              <w:rPr>
                <w:sz w:val="20"/>
                <w:szCs w:val="20"/>
                <w:lang w:val="es-ES"/>
              </w:rPr>
            </w:pPr>
            <w:r w:rsidRPr="00971692">
              <w:rPr>
                <w:sz w:val="20"/>
                <w:szCs w:val="20"/>
                <w:lang w:val="es-ES"/>
              </w:rPr>
              <w:t>Fortalecimiento del Registro de la Propiedad y de la Resolución Alterna de Conflictos</w:t>
            </w:r>
          </w:p>
        </w:tc>
        <w:tc>
          <w:tcPr>
            <w:tcW w:w="1134" w:type="dxa"/>
            <w:tcBorders>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3.70</w:t>
            </w:r>
          </w:p>
          <w:p w:rsidR="00971692" w:rsidRPr="00971692" w:rsidRDefault="00971692" w:rsidP="00224C37">
            <w:pPr>
              <w:contextualSpacing/>
              <w:jc w:val="right"/>
              <w:rPr>
                <w:sz w:val="20"/>
                <w:szCs w:val="20"/>
                <w:lang w:val="es-ES"/>
              </w:rPr>
            </w:pPr>
          </w:p>
        </w:tc>
        <w:tc>
          <w:tcPr>
            <w:tcW w:w="1417" w:type="dxa"/>
            <w:tcBorders>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3.70</w:t>
            </w:r>
          </w:p>
          <w:p w:rsidR="00971692" w:rsidRPr="00971692" w:rsidRDefault="00971692" w:rsidP="00224C37">
            <w:pPr>
              <w:contextualSpacing/>
              <w:jc w:val="right"/>
              <w:rPr>
                <w:sz w:val="20"/>
                <w:szCs w:val="20"/>
                <w:lang w:val="es-ES"/>
              </w:rPr>
            </w:pPr>
          </w:p>
        </w:tc>
        <w:tc>
          <w:tcPr>
            <w:tcW w:w="1388" w:type="dxa"/>
            <w:tcBorders>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100.00</w:t>
            </w:r>
          </w:p>
        </w:tc>
      </w:tr>
      <w:tr w:rsidR="00971692" w:rsidRPr="00971692" w:rsidTr="00224C37">
        <w:trPr>
          <w:trHeight w:val="185"/>
        </w:trPr>
        <w:tc>
          <w:tcPr>
            <w:tcW w:w="5169" w:type="dxa"/>
            <w:tcBorders>
              <w:top w:val="nil"/>
              <w:left w:val="single" w:sz="4" w:space="0" w:color="auto"/>
              <w:bottom w:val="nil"/>
              <w:right w:val="single" w:sz="4" w:space="0" w:color="auto"/>
            </w:tcBorders>
          </w:tcPr>
          <w:p w:rsidR="00971692" w:rsidRPr="00971692" w:rsidRDefault="00971692" w:rsidP="00F91221">
            <w:pPr>
              <w:numPr>
                <w:ilvl w:val="0"/>
                <w:numId w:val="43"/>
              </w:numPr>
              <w:ind w:left="383"/>
              <w:contextualSpacing/>
              <w:rPr>
                <w:sz w:val="20"/>
                <w:szCs w:val="20"/>
                <w:lang w:val="es-ES"/>
              </w:rPr>
            </w:pPr>
            <w:r w:rsidRPr="00971692">
              <w:rPr>
                <w:sz w:val="20"/>
                <w:szCs w:val="20"/>
                <w:lang w:val="es-ES"/>
              </w:rPr>
              <w:t>Servicios de Titulación y Regularización</w:t>
            </w:r>
          </w:p>
        </w:tc>
        <w:tc>
          <w:tcPr>
            <w:tcW w:w="1134"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17.80</w:t>
            </w:r>
          </w:p>
        </w:tc>
        <w:tc>
          <w:tcPr>
            <w:tcW w:w="1417"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17.80</w:t>
            </w:r>
          </w:p>
        </w:tc>
        <w:tc>
          <w:tcPr>
            <w:tcW w:w="1388"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100.0</w:t>
            </w:r>
            <w:r w:rsidR="00224C37">
              <w:rPr>
                <w:sz w:val="20"/>
                <w:szCs w:val="20"/>
                <w:lang w:val="es-ES"/>
              </w:rPr>
              <w:t>0</w:t>
            </w:r>
          </w:p>
        </w:tc>
      </w:tr>
      <w:tr w:rsidR="00971692" w:rsidRPr="00971692" w:rsidTr="00971692">
        <w:trPr>
          <w:trHeight w:val="132"/>
        </w:trPr>
        <w:tc>
          <w:tcPr>
            <w:tcW w:w="5169" w:type="dxa"/>
            <w:tcBorders>
              <w:top w:val="nil"/>
              <w:left w:val="single" w:sz="4" w:space="0" w:color="auto"/>
              <w:bottom w:val="nil"/>
              <w:right w:val="single" w:sz="4" w:space="0" w:color="auto"/>
            </w:tcBorders>
          </w:tcPr>
          <w:p w:rsidR="00971692" w:rsidRPr="00971692" w:rsidRDefault="00971692" w:rsidP="00F91221">
            <w:pPr>
              <w:numPr>
                <w:ilvl w:val="0"/>
                <w:numId w:val="43"/>
              </w:numPr>
              <w:ind w:left="383"/>
              <w:contextualSpacing/>
              <w:rPr>
                <w:sz w:val="20"/>
                <w:szCs w:val="20"/>
                <w:lang w:val="es-ES"/>
              </w:rPr>
            </w:pPr>
            <w:r w:rsidRPr="00971692">
              <w:rPr>
                <w:sz w:val="20"/>
                <w:szCs w:val="20"/>
                <w:lang w:val="es-ES"/>
              </w:rPr>
              <w:t>Administración, Monitoreo &amp; Evaluación del Proyecto</w:t>
            </w:r>
          </w:p>
        </w:tc>
        <w:tc>
          <w:tcPr>
            <w:tcW w:w="1134"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3.20</w:t>
            </w:r>
          </w:p>
        </w:tc>
        <w:tc>
          <w:tcPr>
            <w:tcW w:w="1417"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3.20</w:t>
            </w:r>
          </w:p>
        </w:tc>
        <w:tc>
          <w:tcPr>
            <w:tcW w:w="1388"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100.00</w:t>
            </w:r>
          </w:p>
        </w:tc>
      </w:tr>
      <w:tr w:rsidR="00971692" w:rsidRPr="00971692" w:rsidTr="00971692">
        <w:trPr>
          <w:trHeight w:val="132"/>
        </w:trPr>
        <w:tc>
          <w:tcPr>
            <w:tcW w:w="5169" w:type="dxa"/>
            <w:tcBorders>
              <w:top w:val="nil"/>
              <w:left w:val="single" w:sz="4" w:space="0" w:color="auto"/>
              <w:bottom w:val="nil"/>
              <w:right w:val="single" w:sz="4" w:space="0" w:color="auto"/>
            </w:tcBorders>
          </w:tcPr>
          <w:p w:rsidR="00971692" w:rsidRPr="00971692" w:rsidRDefault="00971692" w:rsidP="00F91221">
            <w:pPr>
              <w:numPr>
                <w:ilvl w:val="0"/>
                <w:numId w:val="43"/>
              </w:numPr>
              <w:ind w:left="383"/>
              <w:contextualSpacing/>
              <w:rPr>
                <w:sz w:val="20"/>
                <w:szCs w:val="20"/>
                <w:lang w:val="es-ES"/>
              </w:rPr>
            </w:pPr>
            <w:r w:rsidRPr="00971692">
              <w:rPr>
                <w:sz w:val="20"/>
                <w:szCs w:val="20"/>
                <w:lang w:val="es-ES"/>
              </w:rPr>
              <w:t>Componente Contingente de Respuestas a Emergencias</w:t>
            </w:r>
          </w:p>
        </w:tc>
        <w:tc>
          <w:tcPr>
            <w:tcW w:w="1134"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8.0</w:t>
            </w:r>
          </w:p>
        </w:tc>
        <w:tc>
          <w:tcPr>
            <w:tcW w:w="1417"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8.0</w:t>
            </w:r>
          </w:p>
        </w:tc>
        <w:tc>
          <w:tcPr>
            <w:tcW w:w="1388" w:type="dxa"/>
            <w:tcBorders>
              <w:top w:val="nil"/>
              <w:left w:val="single" w:sz="4" w:space="0" w:color="auto"/>
              <w:bottom w:val="nil"/>
              <w:right w:val="single" w:sz="4" w:space="0" w:color="auto"/>
            </w:tcBorders>
          </w:tcPr>
          <w:p w:rsidR="00971692" w:rsidRPr="00971692" w:rsidRDefault="00971692" w:rsidP="00224C37">
            <w:pPr>
              <w:contextualSpacing/>
              <w:jc w:val="right"/>
              <w:rPr>
                <w:sz w:val="20"/>
                <w:szCs w:val="20"/>
                <w:lang w:val="es-ES"/>
              </w:rPr>
            </w:pPr>
            <w:r w:rsidRPr="00971692">
              <w:rPr>
                <w:sz w:val="20"/>
                <w:szCs w:val="20"/>
                <w:lang w:val="es-ES"/>
              </w:rPr>
              <w:t>100.00</w:t>
            </w:r>
          </w:p>
        </w:tc>
      </w:tr>
      <w:tr w:rsidR="00971692" w:rsidRPr="00971692" w:rsidTr="00971692">
        <w:trPr>
          <w:trHeight w:val="207"/>
        </w:trPr>
        <w:tc>
          <w:tcPr>
            <w:tcW w:w="5169" w:type="dxa"/>
            <w:tcBorders>
              <w:top w:val="nil"/>
              <w:left w:val="single" w:sz="4" w:space="0" w:color="auto"/>
              <w:bottom w:val="single" w:sz="4" w:space="0" w:color="auto"/>
              <w:right w:val="single" w:sz="4" w:space="0" w:color="auto"/>
            </w:tcBorders>
          </w:tcPr>
          <w:p w:rsidR="00971692" w:rsidRPr="00971692" w:rsidRDefault="00971692" w:rsidP="00224C37">
            <w:pPr>
              <w:jc w:val="right"/>
              <w:rPr>
                <w:b/>
                <w:sz w:val="20"/>
                <w:szCs w:val="20"/>
                <w:lang w:val="es-ES"/>
              </w:rPr>
            </w:pPr>
            <w:r w:rsidRPr="00971692">
              <w:rPr>
                <w:b/>
                <w:sz w:val="20"/>
                <w:szCs w:val="20"/>
                <w:lang w:val="es-ES"/>
              </w:rPr>
              <w:t xml:space="preserve">TOTAL </w:t>
            </w:r>
          </w:p>
        </w:tc>
        <w:tc>
          <w:tcPr>
            <w:tcW w:w="1134" w:type="dxa"/>
            <w:tcBorders>
              <w:top w:val="nil"/>
              <w:left w:val="single" w:sz="4" w:space="0" w:color="auto"/>
              <w:bottom w:val="single" w:sz="4" w:space="0" w:color="auto"/>
              <w:right w:val="single" w:sz="4" w:space="0" w:color="auto"/>
            </w:tcBorders>
          </w:tcPr>
          <w:p w:rsidR="00971692" w:rsidRPr="00971692" w:rsidRDefault="00971692" w:rsidP="00971692">
            <w:pPr>
              <w:jc w:val="right"/>
              <w:rPr>
                <w:b/>
                <w:sz w:val="20"/>
                <w:szCs w:val="20"/>
                <w:lang w:val="es-ES"/>
              </w:rPr>
            </w:pPr>
            <w:r w:rsidRPr="00971692">
              <w:rPr>
                <w:b/>
                <w:sz w:val="20"/>
                <w:szCs w:val="20"/>
                <w:lang w:val="es-ES"/>
              </w:rPr>
              <w:t>40.00</w:t>
            </w:r>
          </w:p>
        </w:tc>
        <w:tc>
          <w:tcPr>
            <w:tcW w:w="1417" w:type="dxa"/>
            <w:tcBorders>
              <w:top w:val="nil"/>
              <w:left w:val="single" w:sz="4" w:space="0" w:color="auto"/>
              <w:bottom w:val="single" w:sz="4" w:space="0" w:color="auto"/>
              <w:right w:val="single" w:sz="4" w:space="0" w:color="auto"/>
            </w:tcBorders>
          </w:tcPr>
          <w:p w:rsidR="00971692" w:rsidRPr="00971692" w:rsidRDefault="00971692" w:rsidP="00971692">
            <w:pPr>
              <w:jc w:val="right"/>
              <w:rPr>
                <w:b/>
                <w:sz w:val="20"/>
                <w:szCs w:val="20"/>
                <w:lang w:val="es-ES"/>
              </w:rPr>
            </w:pPr>
            <w:r w:rsidRPr="00971692">
              <w:rPr>
                <w:b/>
                <w:sz w:val="20"/>
                <w:szCs w:val="20"/>
                <w:lang w:val="es-ES"/>
              </w:rPr>
              <w:t>40.00</w:t>
            </w:r>
          </w:p>
        </w:tc>
        <w:tc>
          <w:tcPr>
            <w:tcW w:w="1388" w:type="dxa"/>
            <w:tcBorders>
              <w:top w:val="nil"/>
              <w:left w:val="single" w:sz="4" w:space="0" w:color="auto"/>
              <w:bottom w:val="single" w:sz="4" w:space="0" w:color="auto"/>
              <w:right w:val="single" w:sz="4" w:space="0" w:color="auto"/>
            </w:tcBorders>
          </w:tcPr>
          <w:p w:rsidR="00971692" w:rsidRPr="00971692" w:rsidRDefault="00971692" w:rsidP="00971692">
            <w:pPr>
              <w:jc w:val="right"/>
              <w:rPr>
                <w:b/>
                <w:sz w:val="20"/>
                <w:szCs w:val="20"/>
                <w:lang w:val="es-ES"/>
              </w:rPr>
            </w:pPr>
            <w:r w:rsidRPr="00971692">
              <w:rPr>
                <w:b/>
                <w:sz w:val="20"/>
                <w:szCs w:val="20"/>
                <w:lang w:val="es-ES"/>
              </w:rPr>
              <w:t>100.00</w:t>
            </w:r>
          </w:p>
        </w:tc>
      </w:tr>
    </w:tbl>
    <w:p w:rsidR="00971692" w:rsidRPr="00971692" w:rsidRDefault="00971692" w:rsidP="00971692">
      <w:pPr>
        <w:rPr>
          <w:lang w:val="es-ES"/>
        </w:rPr>
      </w:pPr>
    </w:p>
    <w:p w:rsidR="00971692" w:rsidRPr="00176C1E" w:rsidRDefault="00971692" w:rsidP="00F91221">
      <w:pPr>
        <w:pStyle w:val="ListParagraph"/>
        <w:numPr>
          <w:ilvl w:val="0"/>
          <w:numId w:val="55"/>
        </w:numPr>
        <w:tabs>
          <w:tab w:val="num" w:pos="630"/>
        </w:tabs>
        <w:jc w:val="both"/>
        <w:rPr>
          <w:b/>
          <w:bCs/>
          <w:lang w:val="es-ES"/>
        </w:rPr>
      </w:pPr>
      <w:bookmarkStart w:id="50" w:name="_Toc347339499"/>
      <w:bookmarkStart w:id="51" w:name="_Toc297302674"/>
      <w:r w:rsidRPr="00176C1E">
        <w:rPr>
          <w:b/>
          <w:bCs/>
          <w:lang w:val="es-ES"/>
        </w:rPr>
        <w:t>Lecciones Aprendidas y Reflejadas en el Diseño del Proyecto</w:t>
      </w:r>
      <w:bookmarkEnd w:id="50"/>
      <w:bookmarkEnd w:id="51"/>
    </w:p>
    <w:p w:rsidR="00971692" w:rsidRPr="002042E1" w:rsidRDefault="00971692" w:rsidP="00C8498F">
      <w:pPr>
        <w:numPr>
          <w:ilvl w:val="0"/>
          <w:numId w:val="14"/>
        </w:numPr>
        <w:jc w:val="both"/>
        <w:rPr>
          <w:sz w:val="23"/>
          <w:szCs w:val="23"/>
          <w:lang w:val="es-ES"/>
        </w:rPr>
      </w:pPr>
      <w:r w:rsidRPr="002042E1">
        <w:rPr>
          <w:sz w:val="23"/>
          <w:szCs w:val="23"/>
          <w:lang w:val="es-ES"/>
        </w:rPr>
        <w:t>El diseño del Proyecto refleja las lecciones aprendidas de la evaluación de mitad de periodo del 2006 y de la evaluación final (en marcha) del proyecto previo, así como de análisis actualizados realizados durante la preparación del Financiamiento Adicional en el 2009. A</w:t>
      </w:r>
      <w:r w:rsidR="00320038">
        <w:rPr>
          <w:sz w:val="23"/>
          <w:szCs w:val="23"/>
          <w:lang w:val="es-ES"/>
        </w:rPr>
        <w:t>dicionalmente</w:t>
      </w:r>
      <w:r w:rsidRPr="002042E1">
        <w:rPr>
          <w:sz w:val="23"/>
          <w:szCs w:val="23"/>
          <w:lang w:val="es-ES"/>
        </w:rPr>
        <w:t xml:space="preserve">, el diseño del Proyecto tomó en cuenta las lecciones aprendidas de programas similares </w:t>
      </w:r>
      <w:r w:rsidR="00924E04" w:rsidRPr="002042E1">
        <w:rPr>
          <w:sz w:val="23"/>
          <w:szCs w:val="23"/>
          <w:lang w:val="es-ES"/>
        </w:rPr>
        <w:t>financiados por el Banco Mundial y demás socios donantes</w:t>
      </w:r>
      <w:r w:rsidR="00924E04">
        <w:rPr>
          <w:sz w:val="23"/>
          <w:szCs w:val="23"/>
          <w:lang w:val="es-ES"/>
        </w:rPr>
        <w:t xml:space="preserve">, realizados </w:t>
      </w:r>
      <w:r w:rsidRPr="002042E1">
        <w:rPr>
          <w:sz w:val="23"/>
          <w:szCs w:val="23"/>
          <w:lang w:val="es-ES"/>
        </w:rPr>
        <w:t>en Latinoamérica y en otras regiones del mundo</w:t>
      </w:r>
      <w:r w:rsidR="00924E04">
        <w:rPr>
          <w:sz w:val="23"/>
          <w:szCs w:val="23"/>
          <w:lang w:val="es-ES"/>
        </w:rPr>
        <w:t xml:space="preserve">. </w:t>
      </w:r>
      <w:r w:rsidRPr="002042E1">
        <w:rPr>
          <w:sz w:val="23"/>
          <w:szCs w:val="23"/>
          <w:lang w:val="es-ES"/>
        </w:rPr>
        <w:t>Las lecciones más valiosas son:</w:t>
      </w:r>
    </w:p>
    <w:p w:rsidR="00971692" w:rsidRPr="002042E1" w:rsidRDefault="00971692" w:rsidP="00C8498F">
      <w:pPr>
        <w:jc w:val="both"/>
        <w:rPr>
          <w:sz w:val="23"/>
          <w:szCs w:val="23"/>
          <w:lang w:val="es-ES"/>
        </w:rPr>
      </w:pP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t>Alcanzar los Objetivos de Desarrollo del Proyecto exige forjar un compromiso social y político de largo plazo, movilizar apoyo de diversos actores, garantizar un alto nivel de transparencia y promover  la buena gobernanza.</w:t>
      </w: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t>Mejorar un sistema de ordenamiento de la propiedad requiere cambios graduales en el marco institucional y legal, demandando un constante monitoreo de dichos cambios para poder entender las implicaciones necesarias para impulsar el programa de reformas y la ejecución del Proyecto. Esta lección es fundamental porque el resultado de los procesos para fortalecer y/o consolidar el marco legal va más allá del control del Proyecto.</w:t>
      </w: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t>Concentrarse en los municipios es trascendental para la sostenibilidad de las inversiones enfocadas en la modernización del catastro y registro. Es de suma importancia integrar el ordenamiento de la propiedad dentro de la visión a largo plazo de los municipios y tornar a éstos en socios activos para ejecutar el sistema nacional de catastro. Lo anterior exige delinear planes a mediano plazo para fortalecer dicho sistema y establecer una estrategia de descentralización cohesiva y mandatos bien definidos a nivel central y municipal.</w:t>
      </w: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lastRenderedPageBreak/>
        <w:t xml:space="preserve">Promover una buena coordinación interinstitucional exige contar con un robusto liderazgo y comprensión plena del papel y funciones que juegan las instituciones claves. Estos factores fundamentales se pueden fortalecer a nivel operativo al crear comités coordinadores y </w:t>
      </w:r>
      <w:r w:rsidR="004904B2" w:rsidRPr="002042E1">
        <w:rPr>
          <w:sz w:val="23"/>
          <w:szCs w:val="23"/>
          <w:lang w:val="es-ES"/>
        </w:rPr>
        <w:t>convenios de co</w:t>
      </w:r>
      <w:r w:rsidRPr="002042E1">
        <w:rPr>
          <w:sz w:val="23"/>
          <w:szCs w:val="23"/>
          <w:lang w:val="es-ES"/>
        </w:rPr>
        <w:t>-ejecución interinstitucionales que sean efectivos.</w:t>
      </w:r>
    </w:p>
    <w:p w:rsidR="00020DA8" w:rsidRDefault="00971692" w:rsidP="00587EFC">
      <w:pPr>
        <w:numPr>
          <w:ilvl w:val="2"/>
          <w:numId w:val="14"/>
        </w:numPr>
        <w:ind w:left="567" w:hanging="566"/>
        <w:contextualSpacing/>
        <w:jc w:val="both"/>
        <w:rPr>
          <w:sz w:val="23"/>
          <w:szCs w:val="23"/>
          <w:lang w:val="es-ES"/>
        </w:rPr>
      </w:pPr>
      <w:r w:rsidRPr="00020DA8">
        <w:rPr>
          <w:sz w:val="23"/>
          <w:szCs w:val="23"/>
          <w:lang w:val="es-ES"/>
        </w:rPr>
        <w:t>Obtener un amplio apoyo comunitario a favor de un proyecto requiere prestar atención a la representatividad, responsabilidad social y legitimidad de los mecanismos de consultas. Las consultas y la participación deben descansar en estructuras y organizaciones existentes. Debe contarse con una metodología clara para que las consultas reflejen con fidelidad los valores socioculturales y las percepciones de l</w:t>
      </w:r>
      <w:r w:rsidR="00BC7DE1" w:rsidRPr="00020DA8">
        <w:rPr>
          <w:sz w:val="23"/>
          <w:szCs w:val="23"/>
          <w:lang w:val="es-ES"/>
        </w:rPr>
        <w:t>a</w:t>
      </w:r>
      <w:r w:rsidRPr="00020DA8">
        <w:rPr>
          <w:sz w:val="23"/>
          <w:szCs w:val="23"/>
          <w:lang w:val="es-ES"/>
        </w:rPr>
        <w:t xml:space="preserve">s </w:t>
      </w:r>
      <w:r w:rsidR="00BC7DE1" w:rsidRPr="00020DA8">
        <w:rPr>
          <w:sz w:val="23"/>
          <w:szCs w:val="23"/>
          <w:lang w:val="es-ES"/>
        </w:rPr>
        <w:t xml:space="preserve">potenciales personas </w:t>
      </w:r>
      <w:r w:rsidRPr="00020DA8">
        <w:rPr>
          <w:sz w:val="23"/>
          <w:szCs w:val="23"/>
          <w:lang w:val="es-ES"/>
        </w:rPr>
        <w:t>beneficiari</w:t>
      </w:r>
      <w:r w:rsidR="00BC7DE1" w:rsidRPr="00020DA8">
        <w:rPr>
          <w:sz w:val="23"/>
          <w:szCs w:val="23"/>
          <w:lang w:val="es-ES"/>
        </w:rPr>
        <w:t>a</w:t>
      </w:r>
      <w:r w:rsidRPr="00020DA8">
        <w:rPr>
          <w:sz w:val="23"/>
          <w:szCs w:val="23"/>
          <w:lang w:val="es-ES"/>
        </w:rPr>
        <w:t>s, en especial los pueblos indígenas y las mujeres. En el caso de Nicaragua, los procesos de consultas y participación demandan una aplicación distinta tanto en la región del Pacifico, Central y el Caribe</w:t>
      </w:r>
      <w:r w:rsidR="00020DA8">
        <w:rPr>
          <w:sz w:val="23"/>
          <w:szCs w:val="23"/>
          <w:lang w:val="es-ES"/>
        </w:rPr>
        <w:t>.</w:t>
      </w:r>
    </w:p>
    <w:p w:rsidR="00971692" w:rsidRPr="00020DA8" w:rsidRDefault="00971692" w:rsidP="00587EFC">
      <w:pPr>
        <w:numPr>
          <w:ilvl w:val="2"/>
          <w:numId w:val="14"/>
        </w:numPr>
        <w:ind w:left="567" w:hanging="566"/>
        <w:contextualSpacing/>
        <w:jc w:val="both"/>
        <w:rPr>
          <w:sz w:val="23"/>
          <w:szCs w:val="23"/>
          <w:lang w:val="es-ES"/>
        </w:rPr>
      </w:pPr>
      <w:r w:rsidRPr="00020DA8">
        <w:rPr>
          <w:sz w:val="23"/>
          <w:szCs w:val="23"/>
          <w:lang w:val="es-ES"/>
        </w:rPr>
        <w:t xml:space="preserve">Los sistemas de resolución alterna de conflictos pueden facilitar </w:t>
      </w:r>
      <w:r w:rsidR="008B79DA" w:rsidRPr="00020DA8">
        <w:rPr>
          <w:sz w:val="23"/>
          <w:szCs w:val="23"/>
          <w:lang w:val="es-ES"/>
        </w:rPr>
        <w:t xml:space="preserve">efectivamente </w:t>
      </w:r>
      <w:r w:rsidRPr="00020DA8">
        <w:rPr>
          <w:sz w:val="23"/>
          <w:szCs w:val="23"/>
          <w:lang w:val="es-ES"/>
        </w:rPr>
        <w:t>los procesos catastrales y de regularización, tal como lo demuestra la experiencia de Nicaragua durante</w:t>
      </w:r>
      <w:r w:rsidR="008B79DA" w:rsidRPr="00020DA8">
        <w:rPr>
          <w:sz w:val="23"/>
          <w:szCs w:val="23"/>
          <w:lang w:val="es-ES"/>
        </w:rPr>
        <w:t xml:space="preserve"> la fase previa del</w:t>
      </w:r>
      <w:r w:rsidR="00020DA8">
        <w:rPr>
          <w:sz w:val="23"/>
          <w:szCs w:val="23"/>
          <w:lang w:val="es-ES"/>
        </w:rPr>
        <w:t xml:space="preserve"> </w:t>
      </w:r>
      <w:r w:rsidRPr="00020DA8">
        <w:rPr>
          <w:sz w:val="23"/>
          <w:szCs w:val="23"/>
          <w:lang w:val="es-ES"/>
        </w:rPr>
        <w:t>proyecto. Los principales elementos de este proceso deben contemplar el desarrollo de capacidades para la mediación de conflictos, el alcance comunitario y el desarrollo de una estrecha coordinación interinstitucional.</w:t>
      </w: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t>Contar con sistemas de M&amp;E bien diseñados es crítico para abordar los problemas de ejecución en tiempo y forma, para sistematizar las lecciones, para intercambiar conocimientos y para promover la transparencia y la rendición de cuentas. Ejecutar con todo rigor las evaluaciones de impactos ofrece una base más robusta para diseñar y formular las políticas del proyecto.</w:t>
      </w: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t>Para fortalecer la efectividad, contar con fondos de contingencias debe formar parte de una estrategia amplia de financiación de riesgos de desastres, complementada con la promoción de un enfoque integral de GRD. A nivel operacional, tanto un Manual Operativo bien definido y práctico como la planificación de las acciones de emergencia y rehabilitación, son fundamentales para realizar desembolsos y acciones en el momento indicado.</w:t>
      </w:r>
    </w:p>
    <w:p w:rsidR="00971692" w:rsidRPr="002042E1" w:rsidRDefault="00971692" w:rsidP="00587EFC">
      <w:pPr>
        <w:numPr>
          <w:ilvl w:val="2"/>
          <w:numId w:val="14"/>
        </w:numPr>
        <w:ind w:left="567" w:hanging="566"/>
        <w:contextualSpacing/>
        <w:jc w:val="both"/>
        <w:rPr>
          <w:sz w:val="23"/>
          <w:szCs w:val="23"/>
          <w:lang w:val="es-ES"/>
        </w:rPr>
      </w:pPr>
      <w:r w:rsidRPr="002042E1">
        <w:rPr>
          <w:sz w:val="23"/>
          <w:szCs w:val="23"/>
          <w:lang w:val="es-ES"/>
        </w:rPr>
        <w:t xml:space="preserve"> Aunque la Unidad Coordinadora del Proyectos (UCP) puede tornar la institucionalización más difícil, en sí representa una solución práctica para alcanzar la eficiencia y la eficacia y controlar los riesgos en contextos donde hay capacidades limitadas y desafíos de gobernanza. Para mitigar el riesgo de crear una estructura paralela bajo la UCP, deben crearse mecanismos efectivos de coordinación con las agencias co-ejecutoras, mientras que el desarrollo de la capacidad administrativa y técnica a nivel nacional debe formar parte de las actividades del Proyecto.</w:t>
      </w:r>
    </w:p>
    <w:p w:rsidR="00971692" w:rsidRPr="00971692" w:rsidRDefault="00971692" w:rsidP="00C8498F">
      <w:pPr>
        <w:jc w:val="both"/>
        <w:rPr>
          <w:lang w:val="es-ES"/>
        </w:rPr>
      </w:pPr>
      <w:bookmarkStart w:id="52" w:name="AlternativesConsidered"/>
      <w:bookmarkEnd w:id="45"/>
    </w:p>
    <w:p w:rsidR="00971692" w:rsidRPr="00971692" w:rsidRDefault="00971692" w:rsidP="00C8498F">
      <w:pPr>
        <w:pStyle w:val="Heading1"/>
        <w:spacing w:after="0"/>
      </w:pPr>
      <w:bookmarkStart w:id="53" w:name="_Toc347866117"/>
      <w:bookmarkStart w:id="54" w:name="_Toc357981070"/>
      <w:bookmarkEnd w:id="52"/>
      <w:r w:rsidRPr="00971692">
        <w:t>EJECUCIÓN</w:t>
      </w:r>
      <w:bookmarkEnd w:id="53"/>
      <w:bookmarkEnd w:id="54"/>
    </w:p>
    <w:p w:rsidR="00971692" w:rsidRPr="00DB3546" w:rsidRDefault="00971692" w:rsidP="00F91221">
      <w:pPr>
        <w:pStyle w:val="Heading2"/>
        <w:numPr>
          <w:ilvl w:val="0"/>
          <w:numId w:val="50"/>
        </w:numPr>
        <w:spacing w:after="0"/>
      </w:pPr>
      <w:bookmarkStart w:id="55" w:name="_Toc347866118"/>
      <w:bookmarkStart w:id="56" w:name="_Toc357981071"/>
      <w:bookmarkStart w:id="57" w:name="_Toc40780180"/>
      <w:bookmarkStart w:id="58" w:name="_Toc295296822"/>
      <w:r w:rsidRPr="00DB3546">
        <w:t>Mecanismos Institucionales y de Ejecución</w:t>
      </w:r>
      <w:bookmarkStart w:id="59" w:name="InstitutionalImplementationArrangements"/>
      <w:bookmarkEnd w:id="55"/>
      <w:bookmarkEnd w:id="56"/>
      <w:bookmarkEnd w:id="57"/>
      <w:bookmarkEnd w:id="58"/>
    </w:p>
    <w:p w:rsidR="00971692" w:rsidRPr="00971692" w:rsidRDefault="00971692" w:rsidP="00C8498F">
      <w:pPr>
        <w:jc w:val="both"/>
        <w:rPr>
          <w:lang w:val="es-ES"/>
        </w:rPr>
      </w:pPr>
    </w:p>
    <w:p w:rsidR="00971692" w:rsidRPr="00587EFC" w:rsidRDefault="00971692" w:rsidP="00C8498F">
      <w:pPr>
        <w:numPr>
          <w:ilvl w:val="0"/>
          <w:numId w:val="14"/>
        </w:numPr>
        <w:tabs>
          <w:tab w:val="num" w:pos="0"/>
        </w:tabs>
        <w:jc w:val="both"/>
        <w:rPr>
          <w:sz w:val="23"/>
          <w:szCs w:val="23"/>
          <w:lang w:val="es-ES"/>
        </w:rPr>
      </w:pPr>
      <w:r w:rsidRPr="00587EFC">
        <w:rPr>
          <w:sz w:val="23"/>
          <w:szCs w:val="23"/>
          <w:lang w:val="es-ES"/>
        </w:rPr>
        <w:t xml:space="preserve">En el caso de los Componentes 1 al 4, el Proyecto propuesto repetirá los mecanismos de ejecución que con éxito se aplicaron en la operación previa. Los mecanismos de ejecución del Componente 5 (CERC) se detallarán en el Manual Operativo (el cual es una condición para hacer los desembolsos del Componente).  </w:t>
      </w:r>
      <w:r w:rsidR="00A760D3">
        <w:rPr>
          <w:sz w:val="23"/>
          <w:szCs w:val="23"/>
          <w:lang w:val="es-ES"/>
        </w:rPr>
        <w:t>Por consiguiente</w:t>
      </w:r>
      <w:r w:rsidRPr="00587EFC">
        <w:rPr>
          <w:sz w:val="23"/>
          <w:szCs w:val="23"/>
          <w:lang w:val="es-ES"/>
        </w:rPr>
        <w:t xml:space="preserve">, la PGR – la principal institución de la propiedad en el país – continuará siendo la entidad ejecutora a través de la actual Unidad Coordinadora del Proyecto (SE-PRODEP). La UCP-PGR por ende siempre estará a cargo de la gestión financiera, adquisiciones y administración de todos los fondos del crédito. También se encargará de darle cumplimiento a las salvaguardas, de supervisar la aplicación de las estrategias </w:t>
      </w:r>
      <w:r w:rsidR="009A52DB" w:rsidRPr="00587EFC">
        <w:rPr>
          <w:sz w:val="23"/>
          <w:szCs w:val="23"/>
          <w:lang w:val="es-ES"/>
        </w:rPr>
        <w:t>de comunicación</w:t>
      </w:r>
      <w:r w:rsidRPr="00587EFC">
        <w:rPr>
          <w:sz w:val="23"/>
          <w:szCs w:val="23"/>
          <w:lang w:val="es-ES"/>
        </w:rPr>
        <w:t xml:space="preserve"> y de género y del Monitoreo &amp; Evaluación (M&amp;E) del Proyecto. La ejecución técnica del Proyecto conservará su carácter descentralizado a través de las agencias co-ejecutoras. El Comité Interinstitucional del Proyecto (CIP), encabezado por la PGR e integrado por los directivos de las </w:t>
      </w:r>
      <w:r w:rsidRPr="00587EFC">
        <w:rPr>
          <w:sz w:val="23"/>
          <w:szCs w:val="23"/>
          <w:lang w:val="es-ES"/>
        </w:rPr>
        <w:lastRenderedPageBreak/>
        <w:t>agencias co-ejecutoras será responsable de la orientación política y estratégica; mientras tanto, el Comité Técnico Operativo (CTO) desempeñará un papel consultivo para actuar como un grupo ad hoc adscrito al CIP cuando se aborden temas específicos que requieran un análisis de mayor profundidad.</w:t>
      </w:r>
    </w:p>
    <w:p w:rsidR="00971692" w:rsidRPr="00587EFC" w:rsidRDefault="00971692" w:rsidP="00971692">
      <w:pPr>
        <w:jc w:val="both"/>
        <w:rPr>
          <w:sz w:val="23"/>
          <w:szCs w:val="23"/>
          <w:lang w:val="es-ES"/>
        </w:rPr>
      </w:pPr>
    </w:p>
    <w:p w:rsidR="00971692" w:rsidRPr="00587EFC" w:rsidRDefault="00971692" w:rsidP="00FF33C1">
      <w:pPr>
        <w:numPr>
          <w:ilvl w:val="0"/>
          <w:numId w:val="14"/>
        </w:numPr>
        <w:tabs>
          <w:tab w:val="num" w:pos="0"/>
        </w:tabs>
        <w:jc w:val="both"/>
        <w:rPr>
          <w:sz w:val="23"/>
          <w:szCs w:val="23"/>
          <w:lang w:val="es-ES"/>
        </w:rPr>
      </w:pPr>
      <w:r w:rsidRPr="00587EFC">
        <w:rPr>
          <w:sz w:val="23"/>
          <w:szCs w:val="23"/>
          <w:lang w:val="es-ES"/>
        </w:rPr>
        <w:t>La UCP, bajo el liderazgo de un coordinador, estará integrada al menos un</w:t>
      </w:r>
      <w:r w:rsidR="00A760D3">
        <w:rPr>
          <w:sz w:val="23"/>
          <w:szCs w:val="23"/>
          <w:lang w:val="es-ES"/>
        </w:rPr>
        <w:t>a persona</w:t>
      </w:r>
      <w:r w:rsidRPr="00587EFC">
        <w:rPr>
          <w:sz w:val="23"/>
          <w:szCs w:val="23"/>
          <w:lang w:val="es-ES"/>
        </w:rPr>
        <w:t xml:space="preserve"> especialista en adquisiciones y contrataciones, un</w:t>
      </w:r>
      <w:r w:rsidR="00A760D3">
        <w:rPr>
          <w:sz w:val="23"/>
          <w:szCs w:val="23"/>
          <w:lang w:val="es-ES"/>
        </w:rPr>
        <w:t>a persona</w:t>
      </w:r>
      <w:r w:rsidRPr="00587EFC">
        <w:rPr>
          <w:sz w:val="23"/>
          <w:szCs w:val="23"/>
          <w:lang w:val="es-ES"/>
        </w:rPr>
        <w:t xml:space="preserve"> especialista en finanzas, un</w:t>
      </w:r>
      <w:r w:rsidR="00A760D3">
        <w:rPr>
          <w:sz w:val="23"/>
          <w:szCs w:val="23"/>
          <w:lang w:val="es-ES"/>
        </w:rPr>
        <w:t>a persona</w:t>
      </w:r>
      <w:r w:rsidRPr="00587EFC">
        <w:rPr>
          <w:sz w:val="23"/>
          <w:szCs w:val="23"/>
          <w:lang w:val="es-ES"/>
        </w:rPr>
        <w:t xml:space="preserve"> especialista en monitoreo &amp; evaluación (M&amp;E), un</w:t>
      </w:r>
      <w:r w:rsidR="00A760D3">
        <w:rPr>
          <w:sz w:val="23"/>
          <w:szCs w:val="23"/>
          <w:lang w:val="es-ES"/>
        </w:rPr>
        <w:t>a persona</w:t>
      </w:r>
      <w:r w:rsidRPr="00587EFC">
        <w:rPr>
          <w:sz w:val="23"/>
          <w:szCs w:val="23"/>
          <w:lang w:val="es-ES"/>
        </w:rPr>
        <w:t xml:space="preserve"> especialista social/género, </w:t>
      </w:r>
      <w:r w:rsidR="008A47E3">
        <w:rPr>
          <w:sz w:val="23"/>
          <w:szCs w:val="23"/>
          <w:lang w:val="es-ES"/>
        </w:rPr>
        <w:t xml:space="preserve">una persona </w:t>
      </w:r>
      <w:r w:rsidRPr="00587EFC">
        <w:rPr>
          <w:sz w:val="23"/>
          <w:szCs w:val="23"/>
          <w:lang w:val="es-ES"/>
        </w:rPr>
        <w:t>especialista en medio ambiente y un</w:t>
      </w:r>
      <w:r w:rsidR="008A47E3">
        <w:rPr>
          <w:sz w:val="23"/>
          <w:szCs w:val="23"/>
          <w:lang w:val="es-ES"/>
        </w:rPr>
        <w:t>a persona</w:t>
      </w:r>
      <w:r w:rsidRPr="00587EFC">
        <w:rPr>
          <w:sz w:val="23"/>
          <w:szCs w:val="23"/>
          <w:lang w:val="es-ES"/>
        </w:rPr>
        <w:t xml:space="preserve"> especialista en comunicaciones.  </w:t>
      </w:r>
      <w:r w:rsidR="008A47E3">
        <w:rPr>
          <w:sz w:val="23"/>
          <w:szCs w:val="23"/>
          <w:lang w:val="es-ES"/>
        </w:rPr>
        <w:t xml:space="preserve">La persona </w:t>
      </w:r>
      <w:r w:rsidRPr="00587EFC">
        <w:rPr>
          <w:sz w:val="23"/>
          <w:szCs w:val="23"/>
          <w:lang w:val="es-ES"/>
        </w:rPr>
        <w:t>coordinador</w:t>
      </w:r>
      <w:r w:rsidR="008A47E3">
        <w:rPr>
          <w:sz w:val="23"/>
          <w:szCs w:val="23"/>
          <w:lang w:val="es-ES"/>
        </w:rPr>
        <w:t>a</w:t>
      </w:r>
      <w:r w:rsidRPr="00587EFC">
        <w:rPr>
          <w:sz w:val="23"/>
          <w:szCs w:val="23"/>
          <w:lang w:val="es-ES"/>
        </w:rPr>
        <w:t xml:space="preserve"> tendrá la responsabilidad general de supervisar al personal en las acciones de planificación, organización y ejecución cotidianas del Proyecto, sean de carácter administrativo, técnico o legal. La estructura organizativa, deberes y responsabilidades del personal de la UCP aparecen descritas en el Manual Operativo junto con los procedimientos técnicos, administrativos, financieros, de adquisiciones, de salvaguardas, de </w:t>
      </w:r>
      <w:r w:rsidR="00091F09">
        <w:rPr>
          <w:sz w:val="23"/>
          <w:szCs w:val="23"/>
          <w:lang w:val="es-ES"/>
        </w:rPr>
        <w:t>M&amp;E</w:t>
      </w:r>
      <w:r w:rsidRPr="00587EFC">
        <w:rPr>
          <w:sz w:val="23"/>
          <w:szCs w:val="23"/>
          <w:lang w:val="es-ES"/>
        </w:rPr>
        <w:t xml:space="preserve"> del Proyecto. </w:t>
      </w:r>
    </w:p>
    <w:p w:rsidR="00971692" w:rsidRPr="00587EFC" w:rsidRDefault="00971692" w:rsidP="00971692">
      <w:pPr>
        <w:jc w:val="both"/>
        <w:rPr>
          <w:sz w:val="23"/>
          <w:szCs w:val="23"/>
          <w:lang w:val="es-ES"/>
        </w:rPr>
      </w:pPr>
    </w:p>
    <w:p w:rsidR="00971692" w:rsidRPr="00587EFC" w:rsidRDefault="00971692" w:rsidP="00FF33C1">
      <w:pPr>
        <w:numPr>
          <w:ilvl w:val="0"/>
          <w:numId w:val="14"/>
        </w:numPr>
        <w:contextualSpacing/>
        <w:jc w:val="both"/>
        <w:rPr>
          <w:sz w:val="23"/>
          <w:szCs w:val="23"/>
          <w:lang w:val="es-ES"/>
        </w:rPr>
      </w:pPr>
      <w:r w:rsidRPr="00587EFC">
        <w:rPr>
          <w:sz w:val="23"/>
          <w:szCs w:val="23"/>
          <w:lang w:val="es-ES"/>
        </w:rPr>
        <w:t>El Proyecto trabajará con las cuatro principales entidades co-ejecutoras del proyecto anterior: (i) CSJ, a través de la Dirección de Registros de Propiedad Pública (DRPP) y la Dirección de Resolución Alterna de Conflictos, se encargará del registro de las propiedades, mediación ante conflictos y de desarrollar el SIICAR en colaboración estrecha con INETER; (ii) INETER, responsable del catastro nacional y de los levantamientos topográficos; (iii) INIFOM, se encarga de desarrollar la capacidad municipal; (iv) MARENA (Ministerio de Recursos Naturales y Ambiente), a cargo de las actividades relacionadas con las áreas protegidas. Asimismo, INIDE, co-ejecutará las actividades de fortalecimiento de la capacidad de recopilación y de evaluación de datos, contempladas en el Componente 1. Antes que entre en vigencia el Acuerdo del Crédito, las agencias deberán firmar convenio</w:t>
      </w:r>
      <w:r w:rsidR="00B74460" w:rsidRPr="00587EFC">
        <w:rPr>
          <w:sz w:val="23"/>
          <w:szCs w:val="23"/>
          <w:lang w:val="es-ES"/>
        </w:rPr>
        <w:t xml:space="preserve">s de </w:t>
      </w:r>
      <w:r w:rsidRPr="00587EFC">
        <w:rPr>
          <w:sz w:val="23"/>
          <w:szCs w:val="23"/>
          <w:lang w:val="es-ES"/>
        </w:rPr>
        <w:t>co-ejecución por Componente con la PGR, especificando sus respectivas funciones y responsabilidades en el Proyecto. Finalmente, la Intendencia de la Propiedad (IP), un ente descentralizado de la PGR, continuará siendo parte del Proyecto y se encargará de facilitar los procesos de regularización y titulación.</w:t>
      </w:r>
    </w:p>
    <w:p w:rsidR="00971692" w:rsidRPr="00587EFC" w:rsidRDefault="00971692" w:rsidP="00971692">
      <w:pPr>
        <w:jc w:val="both"/>
        <w:rPr>
          <w:sz w:val="23"/>
          <w:szCs w:val="23"/>
          <w:lang w:val="es-ES"/>
        </w:rPr>
      </w:pPr>
    </w:p>
    <w:p w:rsidR="00971692" w:rsidRPr="00587EFC" w:rsidRDefault="00971692" w:rsidP="00FF33C1">
      <w:pPr>
        <w:numPr>
          <w:ilvl w:val="0"/>
          <w:numId w:val="14"/>
        </w:numPr>
        <w:tabs>
          <w:tab w:val="num" w:pos="0"/>
        </w:tabs>
        <w:jc w:val="both"/>
        <w:rPr>
          <w:sz w:val="23"/>
          <w:szCs w:val="23"/>
          <w:lang w:val="es-ES"/>
        </w:rPr>
      </w:pPr>
      <w:r w:rsidRPr="00587EFC">
        <w:rPr>
          <w:sz w:val="23"/>
          <w:szCs w:val="23"/>
          <w:lang w:val="es-ES"/>
        </w:rPr>
        <w:t>Tal como se procedió en la operación anterior, antes de arrancar con las actividades a nivel local, la PGR deberá suscribir convenios de participación con los municipios beneficiarios del Proyecto. Dichos convenios deberán definir las funciones y responsabilidades de los municipios a lo interno de sus competencias locales como parte del sistema de ordenamiento de la propiedad.</w:t>
      </w:r>
    </w:p>
    <w:p w:rsidR="00971692" w:rsidRPr="00587EFC" w:rsidRDefault="00971692" w:rsidP="00971692">
      <w:pPr>
        <w:jc w:val="both"/>
        <w:rPr>
          <w:sz w:val="23"/>
          <w:szCs w:val="23"/>
          <w:lang w:val="es-ES"/>
        </w:rPr>
      </w:pPr>
    </w:p>
    <w:p w:rsidR="00971692" w:rsidRPr="007C61CE" w:rsidRDefault="00971692" w:rsidP="00F91221">
      <w:pPr>
        <w:pStyle w:val="Heading2"/>
        <w:numPr>
          <w:ilvl w:val="0"/>
          <w:numId w:val="51"/>
        </w:numPr>
        <w:rPr>
          <w:sz w:val="23"/>
          <w:szCs w:val="23"/>
        </w:rPr>
      </w:pPr>
      <w:bookmarkStart w:id="60" w:name="_Toc40780181"/>
      <w:bookmarkStart w:id="61" w:name="_Toc295296823"/>
      <w:bookmarkStart w:id="62" w:name="_Toc347866119"/>
      <w:bookmarkStart w:id="63" w:name="_Toc357981072"/>
      <w:bookmarkEnd w:id="59"/>
      <w:r w:rsidRPr="00971692">
        <w:t>Monitoreo y Evaluaci</w:t>
      </w:r>
      <w:bookmarkStart w:id="64" w:name="MonitoringOutcomesResults"/>
      <w:bookmarkEnd w:id="60"/>
      <w:r w:rsidRPr="00971692">
        <w:t>ón</w:t>
      </w:r>
      <w:bookmarkEnd w:id="61"/>
      <w:r w:rsidRPr="00971692">
        <w:t xml:space="preserve"> de los Resultados</w:t>
      </w:r>
      <w:bookmarkEnd w:id="62"/>
      <w:bookmarkEnd w:id="63"/>
    </w:p>
    <w:p w:rsidR="00971692" w:rsidRPr="007C61CE" w:rsidRDefault="00971692" w:rsidP="00FF33C1">
      <w:pPr>
        <w:widowControl w:val="0"/>
        <w:numPr>
          <w:ilvl w:val="0"/>
          <w:numId w:val="14"/>
        </w:numPr>
        <w:tabs>
          <w:tab w:val="num" w:pos="0"/>
        </w:tabs>
        <w:adjustRightInd w:val="0"/>
        <w:jc w:val="both"/>
        <w:textAlignment w:val="baseline"/>
        <w:rPr>
          <w:sz w:val="23"/>
          <w:szCs w:val="23"/>
          <w:lang w:val="es-ES"/>
        </w:rPr>
      </w:pPr>
      <w:r w:rsidRPr="007C61CE">
        <w:rPr>
          <w:sz w:val="23"/>
          <w:szCs w:val="23"/>
          <w:lang w:val="es-ES"/>
        </w:rPr>
        <w:t xml:space="preserve">La PGR, </w:t>
      </w:r>
      <w:r w:rsidR="00002BAB">
        <w:rPr>
          <w:sz w:val="23"/>
          <w:szCs w:val="23"/>
          <w:lang w:val="es-ES"/>
        </w:rPr>
        <w:t>mediante</w:t>
      </w:r>
      <w:r w:rsidRPr="007C61CE">
        <w:rPr>
          <w:sz w:val="23"/>
          <w:szCs w:val="23"/>
          <w:lang w:val="es-ES"/>
        </w:rPr>
        <w:t xml:space="preserve"> la UCP, se </w:t>
      </w:r>
      <w:r w:rsidR="00002BAB">
        <w:rPr>
          <w:sz w:val="23"/>
          <w:szCs w:val="23"/>
          <w:lang w:val="es-ES"/>
        </w:rPr>
        <w:t>responsabilisará</w:t>
      </w:r>
      <w:r w:rsidRPr="007C61CE">
        <w:rPr>
          <w:sz w:val="23"/>
          <w:szCs w:val="23"/>
          <w:lang w:val="es-ES"/>
        </w:rPr>
        <w:t xml:space="preserve"> de las actividades de Monitoreo &amp; Evaluación (M&amp;E). En consecuencia, la UCP: (a) Recopilará, consolidará y rendirá datos sobre la marcha del Proyecto (incluyendo avances físicos y financieros); (b) Brindará información periódica sobre los resultados intermedios y el avance hacia el cumplimiento de resultados de mayor nivel. Las entidades co-ejecutoras y los municipios participantes ayudarán a la UCP al brindarle los insumos necesarios para garantizar un Monitoreo &amp; Evaluación (M&amp;E) adecuado. Durante la ejecución del Proyecto, la UCP deberá preparar los informes de avance semestrales. El crédito servirá para reunir los datos de la línea de base y así evaluar los impactos sociales, ambientales y económicos de las principales actividades, inclusive los de naturaleza de género diferenciado. La valoración de los indicadores e impactos del Proyecto estará a cargo de consultores independientes durante la evaluación de mitad de periodo y la evaluación final. Una auditoría social de las actividades principales se llevará a cabo para complementar el M&amp;E y promover la transparencia y rendición de cuentas.</w:t>
      </w:r>
    </w:p>
    <w:p w:rsidR="00971692" w:rsidRPr="007C61CE" w:rsidRDefault="00971692" w:rsidP="00971692">
      <w:pPr>
        <w:widowControl w:val="0"/>
        <w:adjustRightInd w:val="0"/>
        <w:jc w:val="both"/>
        <w:textAlignment w:val="baseline"/>
        <w:rPr>
          <w:sz w:val="23"/>
          <w:szCs w:val="23"/>
          <w:lang w:val="es-ES"/>
        </w:rPr>
      </w:pPr>
    </w:p>
    <w:p w:rsidR="00971692" w:rsidRPr="00F24755" w:rsidRDefault="00971692" w:rsidP="00F91221">
      <w:pPr>
        <w:pStyle w:val="Heading2"/>
        <w:numPr>
          <w:ilvl w:val="0"/>
          <w:numId w:val="52"/>
        </w:numPr>
      </w:pPr>
      <w:bookmarkStart w:id="65" w:name="_Toc347866120"/>
      <w:bookmarkStart w:id="66" w:name="_Toc357981073"/>
      <w:bookmarkStart w:id="67" w:name="Sustainability"/>
      <w:bookmarkEnd w:id="64"/>
      <w:r w:rsidRPr="00971692">
        <w:lastRenderedPageBreak/>
        <w:t>Sostenibilidad</w:t>
      </w:r>
      <w:bookmarkEnd w:id="65"/>
      <w:bookmarkEnd w:id="66"/>
    </w:p>
    <w:p w:rsidR="00971692" w:rsidRPr="007C61CE" w:rsidRDefault="00971692" w:rsidP="00FF33C1">
      <w:pPr>
        <w:numPr>
          <w:ilvl w:val="0"/>
          <w:numId w:val="14"/>
        </w:numPr>
        <w:tabs>
          <w:tab w:val="num" w:pos="0"/>
          <w:tab w:val="num" w:pos="720"/>
        </w:tabs>
        <w:jc w:val="both"/>
        <w:rPr>
          <w:sz w:val="23"/>
          <w:szCs w:val="23"/>
          <w:lang w:val="es-ES"/>
        </w:rPr>
      </w:pPr>
      <w:r w:rsidRPr="007C61CE">
        <w:rPr>
          <w:sz w:val="23"/>
          <w:szCs w:val="23"/>
          <w:lang w:val="es-ES"/>
        </w:rPr>
        <w:t xml:space="preserve">El Proyecto propuesto se sustenta en la experiencia y resultados satisfactorios del esfuerzo piloto financiado por la operación previa. En la vida de ese proyecto, gobiernos </w:t>
      </w:r>
      <w:r w:rsidR="00631CE8">
        <w:rPr>
          <w:sz w:val="23"/>
          <w:szCs w:val="23"/>
          <w:lang w:val="es-ES"/>
        </w:rPr>
        <w:t xml:space="preserve">sucesivos </w:t>
      </w:r>
      <w:r w:rsidRPr="007C61CE">
        <w:rPr>
          <w:sz w:val="23"/>
          <w:szCs w:val="23"/>
          <w:lang w:val="es-ES"/>
        </w:rPr>
        <w:t>mantuvieron una cohesiva política y estrategia de ordenamiento de la propiedad y han evolucionado hacia reformas que han creado un marco legal e institucional más definido y claro.  La coordinación interinstitucional se verá acentuada por el Proyecto, a la vez que tornará a los municipios en actores activos del proceso de ordenamiento de la propiedad. Asimismo, los logros actuales se verán consolidados al continuar apoyando la formación de capacidades institucionales, la modernización de los registros de la propiedad y el desarrollo e institucionalización del SIICAR. El involucramiento de los municipios permite incrementar aún más la sostenibilidad de los resultados del Proyecto al mantener actualizada la información catastral. A través de las mejoras en los servicios de registro y catastro, potenciados por una comunicación y alcance social, en el país se asentará una cultura de registro de propiedades.</w:t>
      </w:r>
    </w:p>
    <w:p w:rsidR="00971692" w:rsidRPr="007C61CE" w:rsidRDefault="00971692" w:rsidP="00971692">
      <w:pPr>
        <w:jc w:val="both"/>
        <w:rPr>
          <w:sz w:val="23"/>
          <w:szCs w:val="23"/>
          <w:lang w:val="es-ES"/>
        </w:rPr>
      </w:pPr>
      <w:bookmarkStart w:id="68" w:name="CritialRisks"/>
      <w:bookmarkEnd w:id="67"/>
    </w:p>
    <w:p w:rsidR="00971692" w:rsidRPr="00971692" w:rsidRDefault="006D59C0" w:rsidP="006A0D6F">
      <w:pPr>
        <w:pStyle w:val="Heading1"/>
      </w:pPr>
      <w:bookmarkStart w:id="69" w:name="_Toc347866121"/>
      <w:bookmarkStart w:id="70" w:name="_Toc357981074"/>
      <w:bookmarkStart w:id="71" w:name="_Toc295296825"/>
      <w:bookmarkStart w:id="72" w:name="_Toc40780185"/>
      <w:bookmarkEnd w:id="68"/>
      <w:r w:rsidRPr="00971692">
        <w:t xml:space="preserve">PRINCIPALES </w:t>
      </w:r>
      <w:r w:rsidR="00971692" w:rsidRPr="00971692">
        <w:t>RIESGOS Y MEDIDAS DE MITIGACIÓN</w:t>
      </w:r>
      <w:bookmarkEnd w:id="69"/>
      <w:bookmarkEnd w:id="70"/>
      <w:bookmarkEnd w:id="71"/>
    </w:p>
    <w:p w:rsidR="00971692" w:rsidRPr="00176C1E" w:rsidRDefault="00971692" w:rsidP="00F91221">
      <w:pPr>
        <w:pStyle w:val="ListParagraph"/>
        <w:keepNext/>
        <w:numPr>
          <w:ilvl w:val="0"/>
          <w:numId w:val="53"/>
        </w:numPr>
        <w:spacing w:after="240"/>
        <w:jc w:val="both"/>
        <w:rPr>
          <w:b/>
          <w:bCs/>
          <w:szCs w:val="20"/>
          <w:lang w:val="es-ES"/>
        </w:rPr>
      </w:pPr>
      <w:bookmarkStart w:id="73" w:name="_Toc347339505"/>
      <w:bookmarkStart w:id="74" w:name="_Toc347866122"/>
      <w:r w:rsidRPr="00F24755">
        <w:rPr>
          <w:b/>
          <w:bCs/>
          <w:szCs w:val="20"/>
          <w:lang w:val="es-ES"/>
        </w:rPr>
        <w:t>Tabla Resumen de la Calificación de Riesgos</w:t>
      </w:r>
      <w:bookmarkEnd w:id="73"/>
      <w:bookmarkEnd w:id="74"/>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1341"/>
      </w:tblGrid>
      <w:tr w:rsidR="00971692" w:rsidRPr="00971692" w:rsidTr="00971692">
        <w:trPr>
          <w:jc w:val="center"/>
        </w:trPr>
        <w:tc>
          <w:tcPr>
            <w:tcW w:w="4608" w:type="dxa"/>
            <w:tcBorders>
              <w:bottom w:val="single" w:sz="4" w:space="0" w:color="000000"/>
            </w:tcBorders>
          </w:tcPr>
          <w:p w:rsidR="00971692" w:rsidRPr="00971692" w:rsidRDefault="00971692" w:rsidP="00971692">
            <w:pPr>
              <w:jc w:val="center"/>
              <w:rPr>
                <w:b/>
                <w:sz w:val="20"/>
                <w:szCs w:val="20"/>
                <w:lang w:val="es-ES"/>
              </w:rPr>
            </w:pPr>
            <w:r w:rsidRPr="00971692">
              <w:rPr>
                <w:b/>
                <w:sz w:val="20"/>
                <w:szCs w:val="20"/>
                <w:lang w:val="es-ES"/>
              </w:rPr>
              <w:t>Riesgo</w:t>
            </w:r>
          </w:p>
        </w:tc>
        <w:tc>
          <w:tcPr>
            <w:tcW w:w="1341" w:type="dxa"/>
            <w:tcBorders>
              <w:bottom w:val="single" w:sz="4" w:space="0" w:color="000000"/>
            </w:tcBorders>
            <w:vAlign w:val="bottom"/>
          </w:tcPr>
          <w:p w:rsidR="00971692" w:rsidRPr="00971692" w:rsidRDefault="00971692" w:rsidP="00971692">
            <w:pPr>
              <w:jc w:val="center"/>
              <w:rPr>
                <w:b/>
                <w:bCs/>
                <w:sz w:val="20"/>
                <w:szCs w:val="20"/>
                <w:lang w:val="es-ES"/>
              </w:rPr>
            </w:pPr>
            <w:r w:rsidRPr="00971692">
              <w:rPr>
                <w:b/>
                <w:bCs/>
                <w:sz w:val="20"/>
                <w:szCs w:val="20"/>
                <w:lang w:val="es-ES"/>
              </w:rPr>
              <w:t>Calificación</w:t>
            </w:r>
          </w:p>
        </w:tc>
      </w:tr>
      <w:tr w:rsidR="00971692" w:rsidRPr="00971692" w:rsidTr="00971692">
        <w:trPr>
          <w:jc w:val="center"/>
        </w:trPr>
        <w:tc>
          <w:tcPr>
            <w:tcW w:w="4608" w:type="dxa"/>
            <w:tcBorders>
              <w:bottom w:val="single" w:sz="4" w:space="0" w:color="000000"/>
            </w:tcBorders>
          </w:tcPr>
          <w:p w:rsidR="00971692" w:rsidRPr="00971692" w:rsidRDefault="00971692" w:rsidP="00971692">
            <w:pPr>
              <w:rPr>
                <w:b/>
                <w:sz w:val="20"/>
                <w:szCs w:val="20"/>
                <w:lang w:val="es-ES"/>
              </w:rPr>
            </w:pPr>
            <w:r w:rsidRPr="00971692">
              <w:rPr>
                <w:b/>
                <w:sz w:val="20"/>
                <w:szCs w:val="20"/>
                <w:lang w:val="es-ES"/>
              </w:rPr>
              <w:t xml:space="preserve"> Riesgo relacionado con </w:t>
            </w:r>
            <w:r w:rsidR="00624567">
              <w:rPr>
                <w:b/>
                <w:sz w:val="20"/>
                <w:szCs w:val="20"/>
                <w:lang w:val="es-ES"/>
              </w:rPr>
              <w:t>personas</w:t>
            </w:r>
            <w:r w:rsidRPr="00971692">
              <w:rPr>
                <w:b/>
                <w:sz w:val="20"/>
                <w:szCs w:val="20"/>
                <w:lang w:val="es-ES"/>
              </w:rPr>
              <w:t xml:space="preserve"> involucrad</w:t>
            </w:r>
            <w:r w:rsidR="00624567">
              <w:rPr>
                <w:b/>
                <w:sz w:val="20"/>
                <w:szCs w:val="20"/>
                <w:lang w:val="es-ES"/>
              </w:rPr>
              <w:t>a</w:t>
            </w:r>
            <w:r w:rsidRPr="00971692">
              <w:rPr>
                <w:b/>
                <w:sz w:val="20"/>
                <w:szCs w:val="20"/>
                <w:lang w:val="es-ES"/>
              </w:rPr>
              <w:t>s</w:t>
            </w:r>
          </w:p>
        </w:tc>
        <w:tc>
          <w:tcPr>
            <w:tcW w:w="1341" w:type="dxa"/>
            <w:tcBorders>
              <w:bottom w:val="single" w:sz="4" w:space="0" w:color="000000"/>
            </w:tcBorders>
            <w:vAlign w:val="bottom"/>
          </w:tcPr>
          <w:p w:rsidR="00971692" w:rsidRPr="00971692" w:rsidRDefault="00971692" w:rsidP="00971692">
            <w:pPr>
              <w:rPr>
                <w:bCs/>
                <w:sz w:val="20"/>
                <w:szCs w:val="20"/>
                <w:lang w:val="es-ES"/>
              </w:rPr>
            </w:pPr>
            <w:r w:rsidRPr="00971692">
              <w:rPr>
                <w:bCs/>
                <w:sz w:val="20"/>
                <w:szCs w:val="20"/>
                <w:lang w:val="es-ES"/>
              </w:rPr>
              <w:t>Moderado</w:t>
            </w:r>
          </w:p>
        </w:tc>
      </w:tr>
      <w:tr w:rsidR="00971692" w:rsidRPr="00F702EF" w:rsidTr="00971692">
        <w:trPr>
          <w:jc w:val="center"/>
        </w:trPr>
        <w:tc>
          <w:tcPr>
            <w:tcW w:w="4608" w:type="dxa"/>
          </w:tcPr>
          <w:p w:rsidR="00971692" w:rsidRPr="00971692" w:rsidRDefault="00971692" w:rsidP="00971692">
            <w:pPr>
              <w:rPr>
                <w:b/>
                <w:sz w:val="20"/>
                <w:szCs w:val="20"/>
                <w:lang w:val="es-ES"/>
              </w:rPr>
            </w:pPr>
            <w:r w:rsidRPr="00971692">
              <w:rPr>
                <w:b/>
                <w:sz w:val="20"/>
                <w:szCs w:val="20"/>
                <w:lang w:val="es-ES"/>
              </w:rPr>
              <w:t>Riesgo relacionado con la Entidad Ejecutora</w:t>
            </w:r>
          </w:p>
        </w:tc>
        <w:tc>
          <w:tcPr>
            <w:tcW w:w="1341" w:type="dxa"/>
            <w:shd w:val="clear" w:color="auto" w:fill="auto"/>
            <w:vAlign w:val="bottom"/>
          </w:tcPr>
          <w:p w:rsidR="00971692" w:rsidRPr="00971692" w:rsidRDefault="00971692" w:rsidP="00971692">
            <w:pPr>
              <w:rPr>
                <w:b/>
                <w:bCs/>
                <w:sz w:val="20"/>
                <w:szCs w:val="20"/>
                <w:lang w:val="es-ES"/>
              </w:rPr>
            </w:pPr>
          </w:p>
        </w:tc>
      </w:tr>
      <w:tr w:rsidR="00971692" w:rsidRPr="00971692" w:rsidTr="00971692">
        <w:trPr>
          <w:jc w:val="center"/>
        </w:trPr>
        <w:tc>
          <w:tcPr>
            <w:tcW w:w="4608" w:type="dxa"/>
          </w:tcPr>
          <w:p w:rsidR="00971692" w:rsidRPr="00971692" w:rsidRDefault="00971692" w:rsidP="00FF33C1">
            <w:pPr>
              <w:numPr>
                <w:ilvl w:val="0"/>
                <w:numId w:val="16"/>
              </w:numPr>
              <w:tabs>
                <w:tab w:val="num" w:pos="720"/>
              </w:tabs>
              <w:rPr>
                <w:sz w:val="20"/>
                <w:szCs w:val="20"/>
                <w:lang w:val="es-ES"/>
              </w:rPr>
            </w:pPr>
            <w:r w:rsidRPr="00971692">
              <w:rPr>
                <w:sz w:val="20"/>
                <w:szCs w:val="20"/>
                <w:lang w:val="es-ES"/>
              </w:rPr>
              <w:t>Capacidad</w:t>
            </w:r>
          </w:p>
        </w:tc>
        <w:tc>
          <w:tcPr>
            <w:tcW w:w="1341" w:type="dxa"/>
            <w:shd w:val="clear" w:color="auto" w:fill="auto"/>
            <w:vAlign w:val="bottom"/>
          </w:tcPr>
          <w:p w:rsidR="00971692" w:rsidRPr="00971692" w:rsidRDefault="00971692" w:rsidP="00971692">
            <w:pPr>
              <w:rPr>
                <w:bCs/>
                <w:sz w:val="20"/>
                <w:szCs w:val="20"/>
                <w:lang w:val="es-ES"/>
              </w:rPr>
            </w:pPr>
            <w:r w:rsidRPr="00971692">
              <w:rPr>
                <w:bCs/>
                <w:sz w:val="20"/>
                <w:szCs w:val="20"/>
                <w:lang w:val="es-ES"/>
              </w:rPr>
              <w:t>Moderado</w:t>
            </w:r>
          </w:p>
        </w:tc>
      </w:tr>
      <w:tr w:rsidR="00971692" w:rsidRPr="00971692" w:rsidTr="00971692">
        <w:trPr>
          <w:jc w:val="center"/>
        </w:trPr>
        <w:tc>
          <w:tcPr>
            <w:tcW w:w="4608" w:type="dxa"/>
            <w:tcBorders>
              <w:bottom w:val="single" w:sz="4" w:space="0" w:color="000000"/>
            </w:tcBorders>
          </w:tcPr>
          <w:p w:rsidR="00971692" w:rsidRPr="00971692" w:rsidRDefault="00971692" w:rsidP="00FF33C1">
            <w:pPr>
              <w:numPr>
                <w:ilvl w:val="0"/>
                <w:numId w:val="16"/>
              </w:numPr>
              <w:tabs>
                <w:tab w:val="num" w:pos="720"/>
              </w:tabs>
              <w:rPr>
                <w:sz w:val="20"/>
                <w:szCs w:val="20"/>
                <w:lang w:val="es-ES"/>
              </w:rPr>
            </w:pPr>
            <w:r w:rsidRPr="00971692">
              <w:rPr>
                <w:sz w:val="20"/>
                <w:szCs w:val="20"/>
                <w:lang w:val="es-ES"/>
              </w:rPr>
              <w:t>Gobernanza</w:t>
            </w:r>
          </w:p>
        </w:tc>
        <w:tc>
          <w:tcPr>
            <w:tcW w:w="1341" w:type="dxa"/>
            <w:shd w:val="clear" w:color="auto" w:fill="auto"/>
            <w:vAlign w:val="bottom"/>
          </w:tcPr>
          <w:p w:rsidR="00971692" w:rsidRPr="00971692" w:rsidRDefault="00971692" w:rsidP="00971692">
            <w:pPr>
              <w:rPr>
                <w:bCs/>
                <w:sz w:val="20"/>
                <w:szCs w:val="20"/>
                <w:lang w:val="es-ES"/>
              </w:rPr>
            </w:pPr>
            <w:r w:rsidRPr="00971692">
              <w:rPr>
                <w:bCs/>
                <w:sz w:val="20"/>
                <w:szCs w:val="20"/>
                <w:lang w:val="es-ES"/>
              </w:rPr>
              <w:t>Moderado</w:t>
            </w:r>
          </w:p>
        </w:tc>
      </w:tr>
      <w:tr w:rsidR="00971692" w:rsidRPr="00F702EF" w:rsidTr="00971692">
        <w:trPr>
          <w:jc w:val="center"/>
        </w:trPr>
        <w:tc>
          <w:tcPr>
            <w:tcW w:w="4608" w:type="dxa"/>
          </w:tcPr>
          <w:p w:rsidR="00971692" w:rsidRPr="00971692" w:rsidRDefault="00971692" w:rsidP="00971692">
            <w:pPr>
              <w:rPr>
                <w:b/>
                <w:sz w:val="20"/>
                <w:szCs w:val="20"/>
                <w:lang w:val="es-ES"/>
              </w:rPr>
            </w:pPr>
            <w:r w:rsidRPr="00971692">
              <w:rPr>
                <w:b/>
                <w:sz w:val="20"/>
                <w:szCs w:val="20"/>
                <w:lang w:val="es-ES"/>
              </w:rPr>
              <w:t>Riesgo relacionado con el Proyecto</w:t>
            </w:r>
          </w:p>
        </w:tc>
        <w:tc>
          <w:tcPr>
            <w:tcW w:w="1341" w:type="dxa"/>
            <w:vAlign w:val="bottom"/>
          </w:tcPr>
          <w:p w:rsidR="00971692" w:rsidRPr="00971692" w:rsidRDefault="00971692" w:rsidP="00971692">
            <w:pPr>
              <w:rPr>
                <w:bCs/>
                <w:sz w:val="20"/>
                <w:szCs w:val="20"/>
                <w:lang w:val="es-ES"/>
              </w:rPr>
            </w:pPr>
          </w:p>
        </w:tc>
      </w:tr>
      <w:tr w:rsidR="00971692" w:rsidRPr="00971692" w:rsidTr="00971692">
        <w:trPr>
          <w:jc w:val="center"/>
        </w:trPr>
        <w:tc>
          <w:tcPr>
            <w:tcW w:w="4608" w:type="dxa"/>
          </w:tcPr>
          <w:p w:rsidR="00971692" w:rsidRPr="00971692" w:rsidRDefault="00971692" w:rsidP="00FF33C1">
            <w:pPr>
              <w:numPr>
                <w:ilvl w:val="0"/>
                <w:numId w:val="16"/>
              </w:numPr>
              <w:tabs>
                <w:tab w:val="num" w:pos="720"/>
              </w:tabs>
              <w:rPr>
                <w:sz w:val="20"/>
                <w:szCs w:val="20"/>
                <w:lang w:val="es-ES"/>
              </w:rPr>
            </w:pPr>
            <w:r w:rsidRPr="00971692">
              <w:rPr>
                <w:sz w:val="20"/>
                <w:szCs w:val="20"/>
                <w:lang w:val="es-ES"/>
              </w:rPr>
              <w:t>Diseño</w:t>
            </w:r>
          </w:p>
        </w:tc>
        <w:tc>
          <w:tcPr>
            <w:tcW w:w="1341" w:type="dxa"/>
            <w:vAlign w:val="bottom"/>
          </w:tcPr>
          <w:p w:rsidR="00971692" w:rsidRPr="00971692" w:rsidRDefault="00971692" w:rsidP="00971692">
            <w:pPr>
              <w:rPr>
                <w:bCs/>
                <w:sz w:val="20"/>
                <w:szCs w:val="20"/>
                <w:lang w:val="es-ES"/>
              </w:rPr>
            </w:pPr>
            <w:r w:rsidRPr="00971692">
              <w:rPr>
                <w:bCs/>
                <w:sz w:val="20"/>
                <w:szCs w:val="20"/>
                <w:lang w:val="es-ES"/>
              </w:rPr>
              <w:t>Bajo</w:t>
            </w:r>
          </w:p>
        </w:tc>
      </w:tr>
      <w:tr w:rsidR="00971692" w:rsidRPr="00971692" w:rsidTr="00971692">
        <w:trPr>
          <w:jc w:val="center"/>
        </w:trPr>
        <w:tc>
          <w:tcPr>
            <w:tcW w:w="4608" w:type="dxa"/>
          </w:tcPr>
          <w:p w:rsidR="00971692" w:rsidRPr="00971692" w:rsidRDefault="00971692" w:rsidP="00FF33C1">
            <w:pPr>
              <w:numPr>
                <w:ilvl w:val="0"/>
                <w:numId w:val="16"/>
              </w:numPr>
              <w:tabs>
                <w:tab w:val="num" w:pos="720"/>
              </w:tabs>
              <w:rPr>
                <w:sz w:val="20"/>
                <w:szCs w:val="20"/>
                <w:lang w:val="es-ES"/>
              </w:rPr>
            </w:pPr>
            <w:r w:rsidRPr="00971692">
              <w:rPr>
                <w:sz w:val="20"/>
                <w:szCs w:val="20"/>
                <w:lang w:val="es-ES"/>
              </w:rPr>
              <w:t>Social y ambiental</w:t>
            </w:r>
          </w:p>
        </w:tc>
        <w:tc>
          <w:tcPr>
            <w:tcW w:w="1341" w:type="dxa"/>
            <w:vAlign w:val="bottom"/>
          </w:tcPr>
          <w:p w:rsidR="00971692" w:rsidRPr="00971692" w:rsidRDefault="00971692" w:rsidP="00971692">
            <w:pPr>
              <w:rPr>
                <w:bCs/>
                <w:sz w:val="20"/>
                <w:szCs w:val="20"/>
                <w:lang w:val="es-ES"/>
              </w:rPr>
            </w:pPr>
            <w:r w:rsidRPr="00971692">
              <w:rPr>
                <w:bCs/>
                <w:sz w:val="20"/>
                <w:szCs w:val="20"/>
                <w:lang w:val="es-ES"/>
              </w:rPr>
              <w:t>Moderado</w:t>
            </w:r>
          </w:p>
        </w:tc>
      </w:tr>
      <w:tr w:rsidR="00971692" w:rsidRPr="00971692" w:rsidTr="00971692">
        <w:trPr>
          <w:jc w:val="center"/>
        </w:trPr>
        <w:tc>
          <w:tcPr>
            <w:tcW w:w="4608" w:type="dxa"/>
          </w:tcPr>
          <w:p w:rsidR="00971692" w:rsidRPr="00971692" w:rsidRDefault="00971692" w:rsidP="00FF33C1">
            <w:pPr>
              <w:numPr>
                <w:ilvl w:val="0"/>
                <w:numId w:val="16"/>
              </w:numPr>
              <w:tabs>
                <w:tab w:val="num" w:pos="720"/>
              </w:tabs>
              <w:rPr>
                <w:sz w:val="20"/>
                <w:szCs w:val="20"/>
                <w:lang w:val="es-ES"/>
              </w:rPr>
            </w:pPr>
            <w:r w:rsidRPr="00971692">
              <w:rPr>
                <w:sz w:val="20"/>
                <w:szCs w:val="20"/>
                <w:lang w:val="es-ES"/>
              </w:rPr>
              <w:t>Programa y donantes</w:t>
            </w:r>
          </w:p>
        </w:tc>
        <w:tc>
          <w:tcPr>
            <w:tcW w:w="1341" w:type="dxa"/>
            <w:vAlign w:val="bottom"/>
          </w:tcPr>
          <w:p w:rsidR="00971692" w:rsidRPr="00971692" w:rsidRDefault="00971692" w:rsidP="00971692">
            <w:pPr>
              <w:rPr>
                <w:bCs/>
                <w:sz w:val="20"/>
                <w:szCs w:val="20"/>
                <w:lang w:val="es-ES"/>
              </w:rPr>
            </w:pPr>
            <w:r w:rsidRPr="00971692">
              <w:rPr>
                <w:bCs/>
                <w:sz w:val="20"/>
                <w:szCs w:val="20"/>
                <w:lang w:val="es-ES"/>
              </w:rPr>
              <w:t>Bajo</w:t>
            </w:r>
          </w:p>
        </w:tc>
      </w:tr>
      <w:tr w:rsidR="00971692" w:rsidRPr="00971692" w:rsidTr="00971692">
        <w:trPr>
          <w:jc w:val="center"/>
        </w:trPr>
        <w:tc>
          <w:tcPr>
            <w:tcW w:w="4608" w:type="dxa"/>
          </w:tcPr>
          <w:p w:rsidR="00971692" w:rsidRPr="00971692" w:rsidRDefault="00971692" w:rsidP="00FF33C1">
            <w:pPr>
              <w:numPr>
                <w:ilvl w:val="0"/>
                <w:numId w:val="16"/>
              </w:numPr>
              <w:tabs>
                <w:tab w:val="num" w:pos="720"/>
              </w:tabs>
              <w:rPr>
                <w:sz w:val="20"/>
                <w:szCs w:val="20"/>
                <w:lang w:val="es-ES"/>
              </w:rPr>
            </w:pPr>
            <w:r w:rsidRPr="00971692">
              <w:rPr>
                <w:sz w:val="20"/>
                <w:szCs w:val="20"/>
                <w:lang w:val="es-ES"/>
              </w:rPr>
              <w:t>Entrega, Monitoreo y Sostenibilidad</w:t>
            </w:r>
          </w:p>
        </w:tc>
        <w:tc>
          <w:tcPr>
            <w:tcW w:w="1341" w:type="dxa"/>
            <w:vAlign w:val="bottom"/>
          </w:tcPr>
          <w:p w:rsidR="00971692" w:rsidRPr="00971692" w:rsidRDefault="00971692" w:rsidP="00971692">
            <w:pPr>
              <w:rPr>
                <w:bCs/>
                <w:sz w:val="20"/>
                <w:szCs w:val="20"/>
                <w:lang w:val="es-ES"/>
              </w:rPr>
            </w:pPr>
            <w:r w:rsidRPr="00971692">
              <w:rPr>
                <w:bCs/>
                <w:sz w:val="20"/>
                <w:szCs w:val="20"/>
                <w:lang w:val="es-ES"/>
              </w:rPr>
              <w:t>Bajo</w:t>
            </w:r>
          </w:p>
        </w:tc>
      </w:tr>
      <w:tr w:rsidR="00971692" w:rsidRPr="00971692" w:rsidTr="00971692">
        <w:trPr>
          <w:jc w:val="center"/>
        </w:trPr>
        <w:tc>
          <w:tcPr>
            <w:tcW w:w="4608" w:type="dxa"/>
          </w:tcPr>
          <w:p w:rsidR="00971692" w:rsidRPr="00971692" w:rsidRDefault="00971692" w:rsidP="00971692">
            <w:pPr>
              <w:rPr>
                <w:b/>
                <w:sz w:val="20"/>
                <w:szCs w:val="20"/>
                <w:lang w:val="es-ES"/>
              </w:rPr>
            </w:pPr>
            <w:r w:rsidRPr="00971692">
              <w:rPr>
                <w:b/>
                <w:sz w:val="20"/>
                <w:szCs w:val="20"/>
                <w:lang w:val="es-ES"/>
              </w:rPr>
              <w:t>Riesgo de Ejecución en General</w:t>
            </w:r>
          </w:p>
        </w:tc>
        <w:tc>
          <w:tcPr>
            <w:tcW w:w="1341" w:type="dxa"/>
            <w:vAlign w:val="bottom"/>
          </w:tcPr>
          <w:p w:rsidR="00971692" w:rsidRPr="00971692" w:rsidRDefault="00971692" w:rsidP="00971692">
            <w:pPr>
              <w:rPr>
                <w:b/>
                <w:bCs/>
                <w:sz w:val="20"/>
                <w:szCs w:val="20"/>
                <w:lang w:val="es-ES"/>
              </w:rPr>
            </w:pPr>
            <w:r w:rsidRPr="00971692">
              <w:rPr>
                <w:b/>
                <w:bCs/>
                <w:sz w:val="20"/>
                <w:szCs w:val="20"/>
                <w:lang w:val="es-ES"/>
              </w:rPr>
              <w:t>Moderado</w:t>
            </w:r>
          </w:p>
        </w:tc>
      </w:tr>
    </w:tbl>
    <w:p w:rsidR="00971692" w:rsidRPr="00971692" w:rsidRDefault="00971692" w:rsidP="00971692">
      <w:pPr>
        <w:rPr>
          <w:lang w:val="es-ES"/>
        </w:rPr>
      </w:pPr>
    </w:p>
    <w:p w:rsidR="00971692" w:rsidRPr="00971692" w:rsidRDefault="00971692" w:rsidP="00F91221">
      <w:pPr>
        <w:pStyle w:val="Heading2"/>
        <w:numPr>
          <w:ilvl w:val="0"/>
          <w:numId w:val="54"/>
        </w:numPr>
      </w:pPr>
      <w:bookmarkStart w:id="75" w:name="_Toc347339506"/>
      <w:bookmarkStart w:id="76" w:name="_Toc347866123"/>
      <w:bookmarkStart w:id="77" w:name="_Toc357981075"/>
      <w:r w:rsidRPr="00971692">
        <w:t>Explicación de la Calificación del Riesgo en General</w:t>
      </w:r>
      <w:bookmarkEnd w:id="75"/>
      <w:bookmarkEnd w:id="76"/>
      <w:bookmarkEnd w:id="77"/>
    </w:p>
    <w:p w:rsidR="00971692" w:rsidRPr="007C61CE" w:rsidRDefault="00971692" w:rsidP="00F24755">
      <w:pPr>
        <w:widowControl w:val="0"/>
        <w:numPr>
          <w:ilvl w:val="0"/>
          <w:numId w:val="14"/>
        </w:numPr>
        <w:tabs>
          <w:tab w:val="clear" w:pos="360"/>
        </w:tabs>
        <w:adjustRightInd w:val="0"/>
        <w:jc w:val="both"/>
        <w:textAlignment w:val="baseline"/>
        <w:rPr>
          <w:sz w:val="23"/>
          <w:szCs w:val="23"/>
          <w:lang w:val="es-ES"/>
        </w:rPr>
      </w:pPr>
      <w:r w:rsidRPr="007C61CE">
        <w:rPr>
          <w:sz w:val="23"/>
          <w:szCs w:val="23"/>
          <w:lang w:val="es-ES"/>
        </w:rPr>
        <w:t xml:space="preserve">El riesgo de ejecución en general se cataloga como Moderado (el análisis más detallado aparece en el Anexo 4). El fortalecimiento de los derechos de propiedad continúa siendo una prioridad para el gobierno; la PGR y las agencias co-ejecutoras poseen la fuerte determinación de alcanzar los ODP, </w:t>
      </w:r>
      <w:r w:rsidR="00624567">
        <w:rPr>
          <w:sz w:val="23"/>
          <w:szCs w:val="23"/>
          <w:lang w:val="es-ES"/>
        </w:rPr>
        <w:t xml:space="preserve">y </w:t>
      </w:r>
      <w:r w:rsidRPr="007C61CE">
        <w:rPr>
          <w:sz w:val="23"/>
          <w:szCs w:val="23"/>
          <w:lang w:val="es-ES"/>
        </w:rPr>
        <w:t xml:space="preserve">existe </w:t>
      </w:r>
      <w:r w:rsidR="00736727">
        <w:rPr>
          <w:sz w:val="23"/>
          <w:szCs w:val="23"/>
          <w:lang w:val="es-ES"/>
        </w:rPr>
        <w:t xml:space="preserve"> amplio</w:t>
      </w:r>
      <w:r w:rsidR="00F702EF">
        <w:rPr>
          <w:sz w:val="23"/>
          <w:szCs w:val="23"/>
          <w:lang w:val="es-ES"/>
        </w:rPr>
        <w:t xml:space="preserve"> </w:t>
      </w:r>
      <w:r w:rsidRPr="007C61CE">
        <w:rPr>
          <w:sz w:val="23"/>
          <w:szCs w:val="23"/>
          <w:lang w:val="es-ES"/>
        </w:rPr>
        <w:t>consenso sobre la regularización de la propiedad en Nicaragua. Asimismo, la marcha del Proyecto tiene posibilidades de encontrarse con un entorno de políticas estables. El marco legal en términos relativos es completo aunque requiere de cierta consolidación. La PGR ha demostrado ser una entidad ejecutora capaz y diligente; las metodologías de ordenamiento de la propiedad fueron desarrolladas y sometidas a pruebas, mientras que la capacidad nacional se ha visto robustecida e instaurada en las principales instituciones. A pesar de estas perspectivas positivas, el Proyecto enfrenta varios riesgos críticos:</w:t>
      </w:r>
    </w:p>
    <w:p w:rsidR="00971692" w:rsidRPr="007C61CE" w:rsidRDefault="00971692" w:rsidP="00971692">
      <w:pPr>
        <w:widowControl w:val="0"/>
        <w:adjustRightInd w:val="0"/>
        <w:jc w:val="both"/>
        <w:textAlignment w:val="baseline"/>
        <w:rPr>
          <w:sz w:val="23"/>
          <w:szCs w:val="23"/>
          <w:lang w:val="es-ES"/>
        </w:rPr>
      </w:pPr>
    </w:p>
    <w:p w:rsidR="00971692" w:rsidRPr="007C61CE" w:rsidRDefault="00971692" w:rsidP="00F24755">
      <w:pPr>
        <w:widowControl w:val="0"/>
        <w:numPr>
          <w:ilvl w:val="0"/>
          <w:numId w:val="14"/>
        </w:numPr>
        <w:tabs>
          <w:tab w:val="clear" w:pos="360"/>
        </w:tabs>
        <w:adjustRightInd w:val="0"/>
        <w:jc w:val="both"/>
        <w:textAlignment w:val="baseline"/>
        <w:rPr>
          <w:sz w:val="23"/>
          <w:szCs w:val="23"/>
          <w:lang w:val="es-ES"/>
        </w:rPr>
      </w:pPr>
      <w:r w:rsidRPr="007C61CE">
        <w:rPr>
          <w:i/>
          <w:sz w:val="23"/>
          <w:szCs w:val="23"/>
          <w:lang w:val="es-ES"/>
        </w:rPr>
        <w:t>Asegurar el apoyo y la participación de las comunidades indígenas de los municipios del Pacifico y Región Central</w:t>
      </w:r>
      <w:r w:rsidRPr="007C61CE">
        <w:rPr>
          <w:sz w:val="23"/>
          <w:szCs w:val="23"/>
          <w:lang w:val="es-ES"/>
        </w:rPr>
        <w:t xml:space="preserve">. Cumplir algunas expectativas de las comunidades indígenas continúa siendo todo un reto debido a las limitaciones del marco legal en relación con el reconocimiento de los </w:t>
      </w:r>
      <w:r w:rsidRPr="007C61CE">
        <w:rPr>
          <w:sz w:val="23"/>
          <w:szCs w:val="23"/>
          <w:lang w:val="es-ES"/>
        </w:rPr>
        <w:lastRenderedPageBreak/>
        <w:t xml:space="preserve">derechos de los pueblos indígenas sobre sus territorios ancestrales en estas zonas. </w:t>
      </w:r>
      <w:r w:rsidRPr="007C61CE">
        <w:rPr>
          <w:sz w:val="23"/>
          <w:szCs w:val="23"/>
          <w:vertAlign w:val="superscript"/>
          <w:lang w:val="es-ES"/>
        </w:rPr>
        <w:footnoteReference w:id="12"/>
      </w:r>
      <w:r w:rsidRPr="007C61CE">
        <w:rPr>
          <w:sz w:val="23"/>
          <w:szCs w:val="23"/>
          <w:lang w:val="es-ES"/>
        </w:rPr>
        <w:t xml:space="preserve"> Por ende, es posible que algunas comunidades en estas áreas se muestren reticentes de dar el apoyo amplio requerido para llevar a cabo las acciones catastrales y de regularización en algunos municipios. A pesar de esas barreras legales que en la actualidad no se pueden superar y de algunos factores políticos que impiden un mayor progreso en este respecto, el </w:t>
      </w:r>
      <w:r w:rsidR="00736727">
        <w:rPr>
          <w:sz w:val="23"/>
          <w:szCs w:val="23"/>
          <w:lang w:val="es-ES"/>
        </w:rPr>
        <w:t>G</w:t>
      </w:r>
      <w:r w:rsidRPr="007C61CE">
        <w:rPr>
          <w:sz w:val="23"/>
          <w:szCs w:val="23"/>
          <w:lang w:val="es-ES"/>
        </w:rPr>
        <w:t xml:space="preserve">obierno ha demostrado su compromiso para reconocer los derechos de los pueblos indígenas sobre sus territorios ancestrales. Para asegurar consultas adecuadas, se elaboró un Plan de Pueblos Indígenas (IPP), complementado por una Estrategia </w:t>
      </w:r>
      <w:r w:rsidR="009A52DB" w:rsidRPr="007C61CE">
        <w:rPr>
          <w:sz w:val="23"/>
          <w:szCs w:val="23"/>
          <w:lang w:val="es-ES"/>
        </w:rPr>
        <w:t>de comunicación</w:t>
      </w:r>
      <w:r w:rsidRPr="007C61CE">
        <w:rPr>
          <w:sz w:val="23"/>
          <w:szCs w:val="23"/>
          <w:lang w:val="es-ES"/>
        </w:rPr>
        <w:t xml:space="preserve"> y por un mecanismo de atención y </w:t>
      </w:r>
      <w:r w:rsidR="007C2CFB" w:rsidRPr="007C61CE">
        <w:rPr>
          <w:sz w:val="23"/>
          <w:szCs w:val="23"/>
          <w:lang w:val="es-ES"/>
        </w:rPr>
        <w:t>re</w:t>
      </w:r>
      <w:r w:rsidRPr="007C61CE">
        <w:rPr>
          <w:sz w:val="23"/>
          <w:szCs w:val="23"/>
          <w:lang w:val="es-ES"/>
        </w:rPr>
        <w:t xml:space="preserve">solución de quejas y denuncias. Siguiendo la misma mecánica del proyecto anterior, no se ejecutará ninguna actividad catastral en un municipio donde una comunidad indígena haya interpuesto reclamos sobre tierras o en un municipio que enfrente problemas de propiedad, salvo que dicha comunidad consienta llevar a cabo dichas actividades o acciones afines bajo el marco actual.  </w:t>
      </w:r>
    </w:p>
    <w:p w:rsidR="00971692" w:rsidRPr="007C61CE" w:rsidRDefault="00971692" w:rsidP="00971692">
      <w:pPr>
        <w:ind w:left="720"/>
        <w:contextualSpacing/>
        <w:rPr>
          <w:sz w:val="23"/>
          <w:szCs w:val="23"/>
          <w:lang w:val="es-ES"/>
        </w:rPr>
      </w:pPr>
    </w:p>
    <w:p w:rsidR="00971692" w:rsidRPr="007C61CE" w:rsidRDefault="00176C1E" w:rsidP="00FF33C1">
      <w:pPr>
        <w:widowControl w:val="0"/>
        <w:numPr>
          <w:ilvl w:val="0"/>
          <w:numId w:val="14"/>
        </w:numPr>
        <w:tabs>
          <w:tab w:val="num" w:pos="0"/>
        </w:tabs>
        <w:adjustRightInd w:val="0"/>
        <w:jc w:val="both"/>
        <w:textAlignment w:val="baseline"/>
        <w:rPr>
          <w:sz w:val="23"/>
          <w:szCs w:val="23"/>
          <w:lang w:val="es-ES"/>
        </w:rPr>
      </w:pPr>
      <w:r>
        <w:rPr>
          <w:i/>
          <w:sz w:val="23"/>
          <w:szCs w:val="23"/>
          <w:lang w:val="es-ES"/>
        </w:rPr>
        <w:t>Mantener una colaboración</w:t>
      </w:r>
      <w:r w:rsidR="00971692" w:rsidRPr="007C61CE">
        <w:rPr>
          <w:i/>
          <w:sz w:val="23"/>
          <w:szCs w:val="23"/>
          <w:lang w:val="es-ES"/>
        </w:rPr>
        <w:t xml:space="preserve"> interinstitucional adecuada</w:t>
      </w:r>
      <w:r w:rsidR="00971692" w:rsidRPr="007C61CE">
        <w:rPr>
          <w:sz w:val="23"/>
          <w:szCs w:val="23"/>
          <w:lang w:val="es-ES"/>
        </w:rPr>
        <w:t>. La coordinación y colaboración</w:t>
      </w:r>
      <w:r w:rsidR="00262204">
        <w:rPr>
          <w:sz w:val="23"/>
          <w:szCs w:val="23"/>
          <w:lang w:val="es-ES"/>
        </w:rPr>
        <w:t xml:space="preserve"> </w:t>
      </w:r>
      <w:r w:rsidR="00971692" w:rsidRPr="007C61CE">
        <w:rPr>
          <w:sz w:val="23"/>
          <w:szCs w:val="23"/>
          <w:lang w:val="es-ES"/>
        </w:rPr>
        <w:t xml:space="preserve">interinstitucional entre las instituciones responsables del ordenamiento de la propiedad </w:t>
      </w:r>
      <w:r w:rsidR="00262204">
        <w:rPr>
          <w:sz w:val="23"/>
          <w:szCs w:val="23"/>
          <w:lang w:val="es-ES"/>
        </w:rPr>
        <w:t xml:space="preserve">ha </w:t>
      </w:r>
      <w:r w:rsidR="00971692" w:rsidRPr="007C61CE">
        <w:rPr>
          <w:sz w:val="23"/>
          <w:szCs w:val="23"/>
          <w:lang w:val="es-ES"/>
        </w:rPr>
        <w:t>mejora</w:t>
      </w:r>
      <w:r w:rsidR="00262204">
        <w:rPr>
          <w:sz w:val="23"/>
          <w:szCs w:val="23"/>
          <w:lang w:val="es-ES"/>
        </w:rPr>
        <w:t>da con los</w:t>
      </w:r>
      <w:r w:rsidR="00971692" w:rsidRPr="007C61CE">
        <w:rPr>
          <w:sz w:val="23"/>
          <w:szCs w:val="23"/>
          <w:lang w:val="es-ES"/>
        </w:rPr>
        <w:t xml:space="preserve"> año</w:t>
      </w:r>
      <w:r w:rsidR="00262204">
        <w:rPr>
          <w:sz w:val="23"/>
          <w:szCs w:val="23"/>
          <w:lang w:val="es-ES"/>
        </w:rPr>
        <w:t>s</w:t>
      </w:r>
      <w:r w:rsidR="00971692" w:rsidRPr="007C61CE">
        <w:rPr>
          <w:sz w:val="23"/>
          <w:szCs w:val="23"/>
          <w:lang w:val="es-ES"/>
        </w:rPr>
        <w:t xml:space="preserve">.  Mantener esa colaboración interinstitucional ha sido todo un reto en vista de los factores políticos y de posibles cambios de liderazgo. Asimismo, las funciones de ordenamiento de la propiedad, al igual que en otros países, están compartidas entre el poder judicial (registro de la propiedad) y el poder ejecutivo (catastro y regularización). </w:t>
      </w:r>
      <w:r w:rsidR="00262204">
        <w:rPr>
          <w:sz w:val="23"/>
          <w:szCs w:val="23"/>
          <w:lang w:val="es-ES"/>
        </w:rPr>
        <w:t>La</w:t>
      </w:r>
      <w:r w:rsidR="00971692" w:rsidRPr="007C61CE">
        <w:rPr>
          <w:sz w:val="23"/>
          <w:szCs w:val="23"/>
          <w:lang w:val="es-ES"/>
        </w:rPr>
        <w:t xml:space="preserve"> PGR cuenta con el fuerte mandato de coordinar todo el sistema de administración de tierras en Nicaragua. Integrar aún más las plataformas de registro de propiedades e información catastral a través del SIICAR incentivará una colaboración más estrecha y permanente. A nivel operativo, este riesgo se podrá mitigar al otorgársele un papel activo al Comité Interinstitucional del Proyecto y al firmar </w:t>
      </w:r>
      <w:r w:rsidR="004904B2" w:rsidRPr="007C61CE">
        <w:rPr>
          <w:sz w:val="23"/>
          <w:szCs w:val="23"/>
          <w:lang w:val="es-ES"/>
        </w:rPr>
        <w:t>convenios de co</w:t>
      </w:r>
      <w:r w:rsidR="00971692" w:rsidRPr="007C61CE">
        <w:rPr>
          <w:sz w:val="23"/>
          <w:szCs w:val="23"/>
          <w:lang w:val="es-ES"/>
        </w:rPr>
        <w:t>-ejecución por componente.</w:t>
      </w:r>
    </w:p>
    <w:p w:rsidR="00971692" w:rsidRPr="007C61CE" w:rsidRDefault="00971692" w:rsidP="00971692">
      <w:pPr>
        <w:widowControl w:val="0"/>
        <w:adjustRightInd w:val="0"/>
        <w:jc w:val="both"/>
        <w:textAlignment w:val="baseline"/>
        <w:rPr>
          <w:sz w:val="23"/>
          <w:szCs w:val="23"/>
          <w:lang w:val="es-ES"/>
        </w:rPr>
      </w:pPr>
    </w:p>
    <w:p w:rsidR="00971692" w:rsidRPr="007C61CE" w:rsidRDefault="00971692" w:rsidP="00FF33C1">
      <w:pPr>
        <w:widowControl w:val="0"/>
        <w:numPr>
          <w:ilvl w:val="0"/>
          <w:numId w:val="14"/>
        </w:numPr>
        <w:adjustRightInd w:val="0"/>
        <w:jc w:val="both"/>
        <w:textAlignment w:val="baseline"/>
        <w:rPr>
          <w:sz w:val="23"/>
          <w:szCs w:val="23"/>
          <w:lang w:val="es-ES"/>
        </w:rPr>
      </w:pPr>
      <w:r w:rsidRPr="007C61CE">
        <w:rPr>
          <w:i/>
          <w:sz w:val="23"/>
          <w:szCs w:val="23"/>
          <w:lang w:val="es-ES"/>
        </w:rPr>
        <w:t xml:space="preserve">Fortalecimiento de la gobernanza. </w:t>
      </w:r>
      <w:r w:rsidRPr="007C61CE">
        <w:rPr>
          <w:sz w:val="23"/>
          <w:szCs w:val="23"/>
          <w:lang w:val="es-ES"/>
        </w:rPr>
        <w:t>La gobernabilidad se percibe en el país como débil, lo cual puede afectar la cartera del país. En general, el Banco Mundial ha apoyado a Nicaragua en mejora</w:t>
      </w:r>
      <w:r w:rsidR="00262204">
        <w:rPr>
          <w:sz w:val="23"/>
          <w:szCs w:val="23"/>
          <w:lang w:val="es-ES"/>
        </w:rPr>
        <w:t>r</w:t>
      </w:r>
      <w:r w:rsidRPr="007C61CE">
        <w:rPr>
          <w:sz w:val="23"/>
          <w:szCs w:val="23"/>
          <w:lang w:val="es-ES"/>
        </w:rPr>
        <w:t xml:space="preserve"> del sistema de gestión financiera pública y la promoción de la rendición de cuentas. Para controlar los riesgos fiduciarios del Proyecto, el Banco Mundial continuará descentralizando la supervisión de las operaciones de adquisición y de gestión financiera. En consecuencia, una supervisión más estricta, la adopción del Sistema de Ejecución de Planes de Adquisiciones (SEPA) y capacitaciones fiduciarias periódicas dirigidas al personal del gobierno y del Proyecto han generado resultados positivos. El Proyecto propuesto continuará empleando los mecanismos fiduciarios de la operación previa, pero se llevarán a cabo acciones específicas para promover la fiscalización, auditorías anuales sobre las operaciones de adquisiciones y una auditoría social sobre las operaciones principales – que seguramente se darán en la evaluación de mitad de periodo, complementado con un estrecho monitoreo del mecanismo de atención y solución de quejas y denuncias (se incluyó un indicador específico en la matriz de resultados). Se espera que se conserve el personal fiduciario de la UCP de la PGR, cuya capacidad </w:t>
      </w:r>
      <w:r w:rsidR="00DD531C">
        <w:rPr>
          <w:sz w:val="23"/>
          <w:szCs w:val="23"/>
          <w:lang w:val="es-ES"/>
        </w:rPr>
        <w:t xml:space="preserve">generalmente </w:t>
      </w:r>
      <w:r w:rsidRPr="007C61CE">
        <w:rPr>
          <w:sz w:val="23"/>
          <w:szCs w:val="23"/>
          <w:lang w:val="es-ES"/>
        </w:rPr>
        <w:t xml:space="preserve">se considera </w:t>
      </w:r>
      <w:r w:rsidR="00DD531C">
        <w:rPr>
          <w:sz w:val="23"/>
          <w:szCs w:val="23"/>
          <w:lang w:val="es-ES"/>
        </w:rPr>
        <w:t>adecuada</w:t>
      </w:r>
      <w:r w:rsidRPr="007C61CE">
        <w:rPr>
          <w:sz w:val="23"/>
          <w:szCs w:val="23"/>
          <w:lang w:val="es-ES"/>
        </w:rPr>
        <w:t>.</w:t>
      </w:r>
    </w:p>
    <w:p w:rsidR="00971692" w:rsidRPr="007C61CE" w:rsidRDefault="00971692" w:rsidP="00971692">
      <w:pPr>
        <w:widowControl w:val="0"/>
        <w:adjustRightInd w:val="0"/>
        <w:jc w:val="both"/>
        <w:textAlignment w:val="baseline"/>
        <w:rPr>
          <w:sz w:val="23"/>
          <w:szCs w:val="23"/>
          <w:lang w:val="es-ES"/>
        </w:rPr>
      </w:pPr>
    </w:p>
    <w:p w:rsidR="00971692" w:rsidRPr="00176C1E" w:rsidRDefault="00971692" w:rsidP="00867CD4">
      <w:pPr>
        <w:widowControl w:val="0"/>
        <w:numPr>
          <w:ilvl w:val="0"/>
          <w:numId w:val="14"/>
        </w:numPr>
        <w:tabs>
          <w:tab w:val="num" w:pos="0"/>
        </w:tabs>
        <w:adjustRightInd w:val="0"/>
        <w:jc w:val="both"/>
        <w:textAlignment w:val="baseline"/>
        <w:rPr>
          <w:sz w:val="23"/>
          <w:szCs w:val="23"/>
          <w:lang w:val="es-ES"/>
        </w:rPr>
      </w:pPr>
      <w:r w:rsidRPr="007C61CE">
        <w:rPr>
          <w:i/>
          <w:sz w:val="23"/>
          <w:szCs w:val="23"/>
          <w:lang w:val="es-ES"/>
        </w:rPr>
        <w:t>Vulnerabilidad ante Desastres.</w:t>
      </w:r>
      <w:r w:rsidRPr="007C61CE">
        <w:rPr>
          <w:sz w:val="23"/>
          <w:szCs w:val="23"/>
          <w:lang w:val="es-ES"/>
        </w:rPr>
        <w:t xml:space="preserve"> </w:t>
      </w:r>
      <w:r w:rsidR="000B3261">
        <w:rPr>
          <w:sz w:val="23"/>
          <w:szCs w:val="23"/>
          <w:lang w:val="es-ES"/>
        </w:rPr>
        <w:t>Considerando</w:t>
      </w:r>
      <w:r w:rsidR="00F702EF">
        <w:rPr>
          <w:sz w:val="23"/>
          <w:szCs w:val="23"/>
          <w:lang w:val="es-ES"/>
        </w:rPr>
        <w:t xml:space="preserve"> </w:t>
      </w:r>
      <w:r w:rsidRPr="007C61CE">
        <w:rPr>
          <w:sz w:val="23"/>
          <w:szCs w:val="23"/>
          <w:lang w:val="es-ES"/>
        </w:rPr>
        <w:t>la vulnerabilidad de Nicaragua, es</w:t>
      </w:r>
      <w:r w:rsidR="000B3261">
        <w:rPr>
          <w:sz w:val="23"/>
          <w:szCs w:val="23"/>
          <w:lang w:val="es-ES"/>
        </w:rPr>
        <w:t xml:space="preserve"> probable</w:t>
      </w:r>
      <w:r w:rsidRPr="007C61CE">
        <w:rPr>
          <w:sz w:val="23"/>
          <w:szCs w:val="23"/>
          <w:lang w:val="es-ES"/>
        </w:rPr>
        <w:t xml:space="preserve"> que ocurra un desastre de grandes dimensiones </w:t>
      </w:r>
      <w:r w:rsidR="000B3261">
        <w:rPr>
          <w:sz w:val="23"/>
          <w:szCs w:val="23"/>
          <w:lang w:val="es-ES"/>
        </w:rPr>
        <w:t>durante</w:t>
      </w:r>
      <w:r w:rsidR="00F702EF">
        <w:rPr>
          <w:sz w:val="23"/>
          <w:szCs w:val="23"/>
          <w:lang w:val="es-ES"/>
        </w:rPr>
        <w:t xml:space="preserve"> </w:t>
      </w:r>
      <w:r w:rsidRPr="007C61CE">
        <w:rPr>
          <w:sz w:val="23"/>
          <w:szCs w:val="23"/>
          <w:lang w:val="es-ES"/>
        </w:rPr>
        <w:t>los cinco años de</w:t>
      </w:r>
      <w:r w:rsidR="000B3261">
        <w:rPr>
          <w:sz w:val="23"/>
          <w:szCs w:val="23"/>
          <w:lang w:val="es-ES"/>
        </w:rPr>
        <w:t xml:space="preserve"> implementación</w:t>
      </w:r>
      <w:r w:rsidRPr="007C61CE">
        <w:rPr>
          <w:sz w:val="23"/>
          <w:szCs w:val="23"/>
          <w:lang w:val="es-ES"/>
        </w:rPr>
        <w:t xml:space="preserve"> del Proyecto. Para mitigar este riesgo</w:t>
      </w:r>
      <w:r w:rsidR="000B3261">
        <w:rPr>
          <w:sz w:val="23"/>
          <w:szCs w:val="23"/>
          <w:lang w:val="es-ES"/>
        </w:rPr>
        <w:t xml:space="preserve"> del</w:t>
      </w:r>
      <w:r w:rsidRPr="007C61CE">
        <w:rPr>
          <w:sz w:val="23"/>
          <w:szCs w:val="23"/>
          <w:lang w:val="es-ES"/>
        </w:rPr>
        <w:t xml:space="preserve"> país, el Proyecto </w:t>
      </w:r>
      <w:r w:rsidR="000B3261">
        <w:rPr>
          <w:sz w:val="23"/>
          <w:szCs w:val="23"/>
          <w:lang w:val="es-ES"/>
        </w:rPr>
        <w:t>incluye</w:t>
      </w:r>
      <w:r w:rsidR="00F702EF">
        <w:rPr>
          <w:sz w:val="23"/>
          <w:szCs w:val="23"/>
          <w:lang w:val="es-ES"/>
        </w:rPr>
        <w:t xml:space="preserve"> </w:t>
      </w:r>
      <w:r w:rsidRPr="007C61CE">
        <w:rPr>
          <w:sz w:val="23"/>
          <w:szCs w:val="23"/>
          <w:lang w:val="es-ES"/>
        </w:rPr>
        <w:t xml:space="preserve">un CERC específico y facilitará la </w:t>
      </w:r>
      <w:r w:rsidR="000B3261">
        <w:rPr>
          <w:sz w:val="23"/>
          <w:szCs w:val="23"/>
          <w:lang w:val="es-ES"/>
        </w:rPr>
        <w:t>implementación</w:t>
      </w:r>
      <w:r w:rsidR="00F702EF">
        <w:rPr>
          <w:sz w:val="23"/>
          <w:szCs w:val="23"/>
          <w:lang w:val="es-ES"/>
        </w:rPr>
        <w:t xml:space="preserve"> </w:t>
      </w:r>
      <w:r w:rsidRPr="007C61CE">
        <w:rPr>
          <w:sz w:val="23"/>
          <w:szCs w:val="23"/>
          <w:lang w:val="es-ES"/>
        </w:rPr>
        <w:t xml:space="preserve">del MRI a través de otros proyectos de la cartera del país (ver Anexo 7). El Banco </w:t>
      </w:r>
      <w:r w:rsidRPr="007C61CE">
        <w:rPr>
          <w:sz w:val="23"/>
          <w:szCs w:val="23"/>
          <w:lang w:val="es-ES"/>
        </w:rPr>
        <w:lastRenderedPageBreak/>
        <w:t xml:space="preserve">Mundial continuará apoyando los esfuerzos de la GRD </w:t>
      </w:r>
      <w:r w:rsidR="000B3261">
        <w:rPr>
          <w:sz w:val="23"/>
          <w:szCs w:val="23"/>
          <w:lang w:val="es-ES"/>
        </w:rPr>
        <w:t>mediante</w:t>
      </w:r>
      <w:r w:rsidR="00F702EF">
        <w:rPr>
          <w:sz w:val="23"/>
          <w:szCs w:val="23"/>
          <w:lang w:val="es-ES"/>
        </w:rPr>
        <w:t xml:space="preserve"> </w:t>
      </w:r>
      <w:r w:rsidRPr="007C61CE">
        <w:rPr>
          <w:sz w:val="23"/>
          <w:szCs w:val="23"/>
          <w:lang w:val="es-ES"/>
        </w:rPr>
        <w:t xml:space="preserve">fondos fiduciarios y un trabajo analítico. </w:t>
      </w:r>
    </w:p>
    <w:p w:rsidR="00971692" w:rsidRPr="007C61CE" w:rsidRDefault="00971692" w:rsidP="00867CD4">
      <w:pPr>
        <w:widowControl w:val="0"/>
        <w:adjustRightInd w:val="0"/>
        <w:jc w:val="both"/>
        <w:textAlignment w:val="baseline"/>
        <w:rPr>
          <w:sz w:val="23"/>
          <w:szCs w:val="23"/>
          <w:lang w:val="es-ES"/>
        </w:rPr>
      </w:pPr>
    </w:p>
    <w:p w:rsidR="00971692" w:rsidRPr="00971692" w:rsidRDefault="00971692" w:rsidP="00867CD4">
      <w:pPr>
        <w:pStyle w:val="Heading1"/>
        <w:spacing w:after="0"/>
      </w:pPr>
      <w:bookmarkStart w:id="78" w:name="_Toc347339507"/>
      <w:bookmarkStart w:id="79" w:name="_Toc347866124"/>
      <w:bookmarkStart w:id="80" w:name="_Toc357981076"/>
      <w:bookmarkStart w:id="81" w:name="_Toc295296826"/>
      <w:r w:rsidRPr="00971692">
        <w:t>RESUMEN DE LOS ANÁLISIS</w:t>
      </w:r>
      <w:bookmarkEnd w:id="72"/>
      <w:bookmarkEnd w:id="78"/>
      <w:bookmarkEnd w:id="79"/>
      <w:bookmarkEnd w:id="80"/>
      <w:bookmarkEnd w:id="81"/>
    </w:p>
    <w:p w:rsidR="00971692" w:rsidRPr="00971692" w:rsidRDefault="00971692" w:rsidP="00867CD4">
      <w:pPr>
        <w:pStyle w:val="Heading2"/>
        <w:spacing w:after="0"/>
      </w:pPr>
      <w:bookmarkStart w:id="82" w:name="_Toc347339508"/>
      <w:bookmarkStart w:id="83" w:name="_Toc347866125"/>
      <w:bookmarkStart w:id="84" w:name="_Toc357981077"/>
      <w:bookmarkStart w:id="85" w:name="_Toc40780186"/>
      <w:bookmarkStart w:id="86" w:name="_Toc295296827"/>
      <w:r w:rsidRPr="00971692">
        <w:t>Análisis Económico y Financiero</w:t>
      </w:r>
      <w:bookmarkStart w:id="87" w:name="EconomicFinancialAnalyses"/>
      <w:bookmarkEnd w:id="82"/>
      <w:bookmarkEnd w:id="83"/>
      <w:bookmarkEnd w:id="84"/>
      <w:bookmarkEnd w:id="85"/>
      <w:bookmarkEnd w:id="86"/>
    </w:p>
    <w:tbl>
      <w:tblPr>
        <w:tblW w:w="0" w:type="auto"/>
        <w:jc w:val="center"/>
        <w:tblInd w:w="-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57"/>
        <w:gridCol w:w="2736"/>
      </w:tblGrid>
      <w:tr w:rsidR="00971692" w:rsidRPr="00F702EF" w:rsidTr="00971692">
        <w:trPr>
          <w:jc w:val="center"/>
        </w:trPr>
        <w:tc>
          <w:tcPr>
            <w:tcW w:w="2457" w:type="dxa"/>
            <w:tcBorders>
              <w:top w:val="single" w:sz="4" w:space="0" w:color="auto"/>
              <w:left w:val="single" w:sz="8" w:space="0" w:color="auto"/>
              <w:bottom w:val="single" w:sz="4" w:space="0" w:color="auto"/>
            </w:tcBorders>
          </w:tcPr>
          <w:p w:rsidR="00971692" w:rsidRPr="00971692" w:rsidRDefault="00971692" w:rsidP="00867CD4">
            <w:pPr>
              <w:jc w:val="center"/>
              <w:rPr>
                <w:b/>
                <w:sz w:val="20"/>
                <w:szCs w:val="20"/>
                <w:lang w:val="es-ES"/>
              </w:rPr>
            </w:pPr>
          </w:p>
        </w:tc>
        <w:tc>
          <w:tcPr>
            <w:tcW w:w="2736" w:type="dxa"/>
            <w:tcBorders>
              <w:top w:val="single" w:sz="4" w:space="0" w:color="auto"/>
              <w:bottom w:val="single" w:sz="4" w:space="0" w:color="auto"/>
              <w:right w:val="single" w:sz="8" w:space="0" w:color="auto"/>
            </w:tcBorders>
          </w:tcPr>
          <w:p w:rsidR="00971692" w:rsidRPr="00971692" w:rsidRDefault="00971692" w:rsidP="00867CD4">
            <w:pPr>
              <w:rPr>
                <w:sz w:val="20"/>
                <w:szCs w:val="20"/>
                <w:lang w:val="es-ES"/>
              </w:rPr>
            </w:pPr>
            <w:r w:rsidRPr="00971692">
              <w:rPr>
                <w:sz w:val="20"/>
                <w:szCs w:val="20"/>
                <w:lang w:val="es-ES"/>
              </w:rPr>
              <w:t>Valor Actual Neto de Flujos</w:t>
            </w:r>
          </w:p>
        </w:tc>
      </w:tr>
      <w:tr w:rsidR="00971692" w:rsidRPr="00971692" w:rsidTr="00971692">
        <w:trPr>
          <w:jc w:val="center"/>
        </w:trPr>
        <w:tc>
          <w:tcPr>
            <w:tcW w:w="2457" w:type="dxa"/>
            <w:tcBorders>
              <w:top w:val="single" w:sz="4" w:space="0" w:color="auto"/>
              <w:left w:val="single" w:sz="8" w:space="0" w:color="auto"/>
              <w:bottom w:val="single" w:sz="4" w:space="0" w:color="auto"/>
            </w:tcBorders>
          </w:tcPr>
          <w:p w:rsidR="00971692" w:rsidRPr="00971692" w:rsidRDefault="00971692" w:rsidP="00867CD4">
            <w:pPr>
              <w:rPr>
                <w:sz w:val="20"/>
                <w:szCs w:val="20"/>
                <w:lang w:val="es-ES"/>
              </w:rPr>
            </w:pPr>
            <w:r w:rsidRPr="00971692">
              <w:rPr>
                <w:sz w:val="20"/>
                <w:szCs w:val="20"/>
                <w:lang w:val="es-ES"/>
              </w:rPr>
              <w:t>Beneficios esperados:</w:t>
            </w:r>
          </w:p>
          <w:p w:rsidR="00971692" w:rsidRPr="00971692" w:rsidRDefault="00971692" w:rsidP="00867CD4">
            <w:pPr>
              <w:rPr>
                <w:sz w:val="20"/>
                <w:szCs w:val="20"/>
                <w:lang w:val="es-ES"/>
              </w:rPr>
            </w:pPr>
            <w:r w:rsidRPr="00971692">
              <w:rPr>
                <w:sz w:val="20"/>
                <w:szCs w:val="20"/>
                <w:lang w:val="es-ES"/>
              </w:rPr>
              <w:t>Costos del Proyecto:</w:t>
            </w:r>
          </w:p>
        </w:tc>
        <w:tc>
          <w:tcPr>
            <w:tcW w:w="2736" w:type="dxa"/>
            <w:tcBorders>
              <w:top w:val="single" w:sz="4" w:space="0" w:color="auto"/>
              <w:bottom w:val="single" w:sz="4" w:space="0" w:color="auto"/>
              <w:right w:val="single" w:sz="8" w:space="0" w:color="auto"/>
            </w:tcBorders>
          </w:tcPr>
          <w:p w:rsidR="00971692" w:rsidRPr="00971692" w:rsidRDefault="00971692" w:rsidP="00867CD4">
            <w:pPr>
              <w:rPr>
                <w:sz w:val="20"/>
                <w:szCs w:val="20"/>
                <w:lang w:val="es-ES"/>
              </w:rPr>
            </w:pPr>
            <w:r w:rsidRPr="00971692">
              <w:rPr>
                <w:sz w:val="20"/>
                <w:szCs w:val="20"/>
                <w:lang w:val="es-ES"/>
              </w:rPr>
              <w:t xml:space="preserve">US$    </w:t>
            </w:r>
            <w:r w:rsidRPr="00971692">
              <w:rPr>
                <w:sz w:val="20"/>
                <w:szCs w:val="20"/>
                <w:lang w:val="es-ES" w:eastAsia="es-HN"/>
              </w:rPr>
              <w:t>30.18 millones</w:t>
            </w:r>
          </w:p>
          <w:p w:rsidR="00971692" w:rsidRPr="00971692" w:rsidRDefault="00971692" w:rsidP="00867CD4">
            <w:pPr>
              <w:rPr>
                <w:sz w:val="20"/>
                <w:szCs w:val="20"/>
                <w:lang w:val="es-ES" w:eastAsia="es-HN"/>
              </w:rPr>
            </w:pPr>
            <w:r w:rsidRPr="00971692">
              <w:rPr>
                <w:sz w:val="20"/>
                <w:szCs w:val="20"/>
                <w:lang w:val="es-ES"/>
              </w:rPr>
              <w:t xml:space="preserve">US$    (22.97) </w:t>
            </w:r>
            <w:r w:rsidRPr="00971692">
              <w:rPr>
                <w:sz w:val="20"/>
                <w:szCs w:val="20"/>
                <w:lang w:val="es-ES" w:eastAsia="es-HN"/>
              </w:rPr>
              <w:t>millones</w:t>
            </w:r>
          </w:p>
        </w:tc>
      </w:tr>
      <w:tr w:rsidR="00971692" w:rsidRPr="00971692" w:rsidTr="00971692">
        <w:trPr>
          <w:jc w:val="center"/>
        </w:trPr>
        <w:tc>
          <w:tcPr>
            <w:tcW w:w="2457" w:type="dxa"/>
            <w:tcBorders>
              <w:top w:val="single" w:sz="4" w:space="0" w:color="auto"/>
              <w:left w:val="single" w:sz="8" w:space="0" w:color="auto"/>
              <w:bottom w:val="nil"/>
            </w:tcBorders>
          </w:tcPr>
          <w:p w:rsidR="00971692" w:rsidRPr="00971692" w:rsidRDefault="00971692" w:rsidP="00867CD4">
            <w:pPr>
              <w:rPr>
                <w:sz w:val="20"/>
                <w:szCs w:val="20"/>
                <w:lang w:val="es-ES"/>
              </w:rPr>
            </w:pPr>
            <w:r w:rsidRPr="00971692">
              <w:rPr>
                <w:sz w:val="20"/>
                <w:szCs w:val="20"/>
                <w:lang w:val="es-ES"/>
              </w:rPr>
              <w:t>Beneficios netos:</w:t>
            </w:r>
          </w:p>
        </w:tc>
        <w:tc>
          <w:tcPr>
            <w:tcW w:w="2736" w:type="dxa"/>
            <w:tcBorders>
              <w:top w:val="single" w:sz="4" w:space="0" w:color="auto"/>
              <w:bottom w:val="nil"/>
              <w:right w:val="single" w:sz="8" w:space="0" w:color="auto"/>
            </w:tcBorders>
          </w:tcPr>
          <w:p w:rsidR="00971692" w:rsidRPr="00971692" w:rsidRDefault="00971692" w:rsidP="00867CD4">
            <w:pPr>
              <w:rPr>
                <w:sz w:val="20"/>
                <w:szCs w:val="20"/>
                <w:lang w:val="es-ES"/>
              </w:rPr>
            </w:pPr>
            <w:r w:rsidRPr="00971692">
              <w:rPr>
                <w:sz w:val="20"/>
                <w:szCs w:val="20"/>
                <w:lang w:val="es-ES"/>
              </w:rPr>
              <w:t>US$ 7.21 millones</w:t>
            </w:r>
          </w:p>
        </w:tc>
      </w:tr>
      <w:tr w:rsidR="00971692" w:rsidRPr="00971692" w:rsidTr="00971692">
        <w:trPr>
          <w:jc w:val="center"/>
        </w:trPr>
        <w:tc>
          <w:tcPr>
            <w:tcW w:w="2457" w:type="dxa"/>
            <w:tcBorders>
              <w:top w:val="nil"/>
              <w:left w:val="single" w:sz="8" w:space="0" w:color="auto"/>
              <w:bottom w:val="single" w:sz="8" w:space="0" w:color="auto"/>
            </w:tcBorders>
          </w:tcPr>
          <w:p w:rsidR="00971692" w:rsidRPr="00971692" w:rsidRDefault="00971692" w:rsidP="00867CD4">
            <w:pPr>
              <w:rPr>
                <w:sz w:val="20"/>
                <w:szCs w:val="20"/>
                <w:lang w:val="es-ES"/>
              </w:rPr>
            </w:pPr>
            <w:r w:rsidRPr="00971692">
              <w:rPr>
                <w:sz w:val="20"/>
                <w:szCs w:val="20"/>
                <w:lang w:val="es-ES"/>
              </w:rPr>
              <w:t xml:space="preserve">Tasa Interna de Retorno </w:t>
            </w:r>
          </w:p>
        </w:tc>
        <w:tc>
          <w:tcPr>
            <w:tcW w:w="2736" w:type="dxa"/>
            <w:tcBorders>
              <w:top w:val="nil"/>
              <w:bottom w:val="single" w:sz="8" w:space="0" w:color="auto"/>
              <w:right w:val="single" w:sz="8" w:space="0" w:color="auto"/>
            </w:tcBorders>
          </w:tcPr>
          <w:p w:rsidR="00971692" w:rsidRPr="00971692" w:rsidRDefault="00971692" w:rsidP="00867CD4">
            <w:pPr>
              <w:rPr>
                <w:sz w:val="20"/>
                <w:szCs w:val="20"/>
                <w:lang w:val="es-ES"/>
              </w:rPr>
            </w:pPr>
            <w:r w:rsidRPr="00971692">
              <w:rPr>
                <w:sz w:val="20"/>
                <w:szCs w:val="20"/>
                <w:lang w:val="es-ES"/>
              </w:rPr>
              <w:t>26%</w:t>
            </w:r>
          </w:p>
        </w:tc>
      </w:tr>
    </w:tbl>
    <w:p w:rsidR="00971692" w:rsidRPr="007C61CE" w:rsidRDefault="00971692" w:rsidP="00867CD4">
      <w:pPr>
        <w:widowControl w:val="0"/>
        <w:adjustRightInd w:val="0"/>
        <w:jc w:val="both"/>
        <w:textAlignment w:val="baseline"/>
        <w:rPr>
          <w:sz w:val="23"/>
          <w:szCs w:val="23"/>
          <w:lang w:val="es-ES"/>
        </w:rPr>
      </w:pPr>
    </w:p>
    <w:p w:rsidR="00971692" w:rsidRPr="007C61CE" w:rsidRDefault="00971692" w:rsidP="00867CD4">
      <w:pPr>
        <w:widowControl w:val="0"/>
        <w:numPr>
          <w:ilvl w:val="0"/>
          <w:numId w:val="14"/>
        </w:numPr>
        <w:tabs>
          <w:tab w:val="clear" w:pos="360"/>
        </w:tabs>
        <w:adjustRightInd w:val="0"/>
        <w:jc w:val="both"/>
        <w:textAlignment w:val="baseline"/>
        <w:rPr>
          <w:sz w:val="23"/>
          <w:szCs w:val="23"/>
          <w:lang w:val="es-ES"/>
        </w:rPr>
      </w:pPr>
      <w:r w:rsidRPr="007C61CE">
        <w:rPr>
          <w:sz w:val="23"/>
          <w:szCs w:val="23"/>
          <w:lang w:val="es-ES"/>
        </w:rPr>
        <w:t>Tal como indica la tabla, los resultados de los análisis económicos y financieros indican que el Proyecto representa una buena inversión desde la perspectiva fiscal y de cost</w:t>
      </w:r>
      <w:r w:rsidR="000B3261">
        <w:rPr>
          <w:sz w:val="23"/>
          <w:szCs w:val="23"/>
          <w:lang w:val="es-ES"/>
        </w:rPr>
        <w:t>o</w:t>
      </w:r>
      <w:r w:rsidRPr="007C61CE">
        <w:rPr>
          <w:sz w:val="23"/>
          <w:szCs w:val="23"/>
          <w:lang w:val="es-ES"/>
        </w:rPr>
        <w:t>/beneficio. El análisis cost</w:t>
      </w:r>
      <w:r w:rsidR="000B3261">
        <w:rPr>
          <w:sz w:val="23"/>
          <w:szCs w:val="23"/>
          <w:lang w:val="es-ES"/>
        </w:rPr>
        <w:t>o</w:t>
      </w:r>
      <w:r w:rsidRPr="007C61CE">
        <w:rPr>
          <w:sz w:val="23"/>
          <w:szCs w:val="23"/>
          <w:lang w:val="es-ES"/>
        </w:rPr>
        <w:t>/beneficio pretende establecer la justificación de una inversión en específico si demuestra generar suficiente retorno/beneficios y justifica los costos y el cost</w:t>
      </w:r>
      <w:r w:rsidR="000B3261">
        <w:rPr>
          <w:sz w:val="23"/>
          <w:szCs w:val="23"/>
          <w:lang w:val="es-ES"/>
        </w:rPr>
        <w:t>o</w:t>
      </w:r>
      <w:r w:rsidRPr="007C61CE">
        <w:rPr>
          <w:sz w:val="23"/>
          <w:szCs w:val="23"/>
          <w:lang w:val="es-ES"/>
        </w:rPr>
        <w:t xml:space="preserve"> de oportunidad de capital desde la perspectiva de la sociedad. Los beneficios económicos cuantificados para el análisis </w:t>
      </w:r>
      <w:r w:rsidR="00471304">
        <w:rPr>
          <w:sz w:val="23"/>
          <w:szCs w:val="23"/>
          <w:lang w:val="es-ES"/>
        </w:rPr>
        <w:t xml:space="preserve">de </w:t>
      </w:r>
      <w:r w:rsidRPr="007C61CE">
        <w:rPr>
          <w:sz w:val="23"/>
          <w:szCs w:val="23"/>
          <w:lang w:val="es-ES"/>
        </w:rPr>
        <w:t>cost</w:t>
      </w:r>
      <w:r w:rsidR="00471304">
        <w:rPr>
          <w:sz w:val="23"/>
          <w:szCs w:val="23"/>
          <w:lang w:val="es-ES"/>
        </w:rPr>
        <w:t>o</w:t>
      </w:r>
      <w:r w:rsidRPr="007C61CE">
        <w:rPr>
          <w:sz w:val="23"/>
          <w:szCs w:val="23"/>
          <w:lang w:val="es-ES"/>
        </w:rPr>
        <w:t xml:space="preserve">/beneficio son aquellos </w:t>
      </w:r>
      <w:r w:rsidR="00471304">
        <w:rPr>
          <w:sz w:val="23"/>
          <w:szCs w:val="23"/>
          <w:lang w:val="es-ES"/>
        </w:rPr>
        <w:t xml:space="preserve">que se </w:t>
      </w:r>
      <w:r w:rsidRPr="007C61CE">
        <w:rPr>
          <w:sz w:val="23"/>
          <w:szCs w:val="23"/>
          <w:lang w:val="es-ES"/>
        </w:rPr>
        <w:t>espera  se acumul</w:t>
      </w:r>
      <w:r w:rsidR="00471304">
        <w:rPr>
          <w:sz w:val="23"/>
          <w:szCs w:val="23"/>
          <w:lang w:val="es-ES"/>
        </w:rPr>
        <w:t>ará</w:t>
      </w:r>
      <w:r w:rsidRPr="007C61CE">
        <w:rPr>
          <w:sz w:val="23"/>
          <w:szCs w:val="23"/>
          <w:lang w:val="es-ES"/>
        </w:rPr>
        <w:t xml:space="preserve">n </w:t>
      </w:r>
      <w:r w:rsidR="00471304">
        <w:rPr>
          <w:sz w:val="23"/>
          <w:szCs w:val="23"/>
          <w:lang w:val="es-ES"/>
        </w:rPr>
        <w:t xml:space="preserve"> aumentando el</w:t>
      </w:r>
      <w:r w:rsidRPr="007C61CE">
        <w:rPr>
          <w:sz w:val="23"/>
          <w:szCs w:val="23"/>
          <w:lang w:val="es-ES"/>
        </w:rPr>
        <w:t xml:space="preserve"> valor de </w:t>
      </w:r>
      <w:r w:rsidR="00471304">
        <w:rPr>
          <w:sz w:val="23"/>
          <w:szCs w:val="23"/>
          <w:lang w:val="es-ES"/>
        </w:rPr>
        <w:t xml:space="preserve">la </w:t>
      </w:r>
      <w:r w:rsidRPr="007C61CE">
        <w:rPr>
          <w:sz w:val="23"/>
          <w:szCs w:val="23"/>
          <w:lang w:val="es-ES"/>
        </w:rPr>
        <w:t>propiedad</w:t>
      </w:r>
      <w:r w:rsidR="00471304">
        <w:rPr>
          <w:sz w:val="23"/>
          <w:szCs w:val="23"/>
          <w:lang w:val="es-ES"/>
        </w:rPr>
        <w:t>,</w:t>
      </w:r>
      <w:r w:rsidRPr="007C61CE">
        <w:rPr>
          <w:sz w:val="23"/>
          <w:szCs w:val="23"/>
          <w:lang w:val="es-ES"/>
        </w:rPr>
        <w:t xml:space="preserve"> como resultado de</w:t>
      </w:r>
      <w:r w:rsidR="00471304">
        <w:rPr>
          <w:sz w:val="23"/>
          <w:szCs w:val="23"/>
          <w:lang w:val="es-ES"/>
        </w:rPr>
        <w:t xml:space="preserve"> la titulación</w:t>
      </w:r>
      <w:r w:rsidRPr="007C61CE">
        <w:rPr>
          <w:sz w:val="23"/>
          <w:szCs w:val="23"/>
          <w:lang w:val="es-ES"/>
        </w:rPr>
        <w:t xml:space="preserve"> </w:t>
      </w:r>
      <w:r w:rsidR="00471304">
        <w:rPr>
          <w:sz w:val="23"/>
          <w:szCs w:val="23"/>
          <w:lang w:val="es-ES"/>
        </w:rPr>
        <w:t xml:space="preserve">(ya que garantiza </w:t>
      </w:r>
      <w:r w:rsidRPr="007C61CE">
        <w:rPr>
          <w:sz w:val="23"/>
          <w:szCs w:val="23"/>
          <w:lang w:val="es-ES"/>
        </w:rPr>
        <w:t>una mayor seguridad en la tenencia de la tierra</w:t>
      </w:r>
      <w:r w:rsidR="00471304">
        <w:rPr>
          <w:sz w:val="23"/>
          <w:szCs w:val="23"/>
          <w:lang w:val="es-ES"/>
        </w:rPr>
        <w:t>).</w:t>
      </w:r>
      <w:r w:rsidRPr="007C61CE">
        <w:rPr>
          <w:sz w:val="23"/>
          <w:szCs w:val="23"/>
          <w:lang w:val="es-ES"/>
        </w:rPr>
        <w:t xml:space="preserve"> . El posible impacto de la titulación en los valores de la tierra  se estimó </w:t>
      </w:r>
      <w:r w:rsidR="00AF1CBA">
        <w:rPr>
          <w:sz w:val="23"/>
          <w:szCs w:val="23"/>
          <w:lang w:val="es-ES"/>
        </w:rPr>
        <w:t>usando</w:t>
      </w:r>
      <w:r w:rsidRPr="007C61CE">
        <w:rPr>
          <w:sz w:val="23"/>
          <w:szCs w:val="23"/>
          <w:lang w:val="es-ES"/>
        </w:rPr>
        <w:t xml:space="preserve"> la econometría y demás métodos estadísticos  que permitieron aislar, con un razonable grado de confianza estadística, el efecto de la titulación en los valores percibidos del mercado a partir del efecto de otras variables que contribuyen a la determinación de los precios de la tierra. Tomando en cuenta los incrementos estimados a causa de la titulación y de las metas físicas establecidas por el Proyecto, fue posible calcular el flujo de beneficios económicos derivados del Proyecto, el cual junto con otros costos relevantes del Proyecto permitieron calcular los indicadores de los costos/beneficios económicos.</w:t>
      </w:r>
    </w:p>
    <w:p w:rsidR="00971692" w:rsidRPr="007C61CE" w:rsidRDefault="00971692" w:rsidP="00971692">
      <w:pPr>
        <w:widowControl w:val="0"/>
        <w:adjustRightInd w:val="0"/>
        <w:jc w:val="both"/>
        <w:textAlignment w:val="baseline"/>
        <w:rPr>
          <w:sz w:val="23"/>
          <w:szCs w:val="23"/>
          <w:lang w:val="es-ES"/>
        </w:rPr>
      </w:pPr>
    </w:p>
    <w:p w:rsidR="00971692" w:rsidRPr="007C61CE" w:rsidRDefault="00971692" w:rsidP="00867CD4">
      <w:pPr>
        <w:widowControl w:val="0"/>
        <w:numPr>
          <w:ilvl w:val="0"/>
          <w:numId w:val="14"/>
        </w:numPr>
        <w:tabs>
          <w:tab w:val="clear" w:pos="360"/>
        </w:tabs>
        <w:adjustRightInd w:val="0"/>
        <w:jc w:val="both"/>
        <w:textAlignment w:val="baseline"/>
        <w:rPr>
          <w:sz w:val="23"/>
          <w:szCs w:val="23"/>
          <w:lang w:val="es-ES"/>
        </w:rPr>
      </w:pPr>
      <w:r w:rsidRPr="007C61CE">
        <w:rPr>
          <w:sz w:val="23"/>
          <w:szCs w:val="23"/>
          <w:lang w:val="es-ES"/>
        </w:rPr>
        <w:t xml:space="preserve">El </w:t>
      </w:r>
      <w:r w:rsidRPr="007C61CE">
        <w:rPr>
          <w:i/>
          <w:sz w:val="23"/>
          <w:szCs w:val="23"/>
          <w:lang w:val="es-ES"/>
        </w:rPr>
        <w:t>análisis del impacto</w:t>
      </w:r>
      <w:r w:rsidR="00AF1CBA">
        <w:rPr>
          <w:i/>
          <w:sz w:val="23"/>
          <w:szCs w:val="23"/>
          <w:lang w:val="es-ES"/>
        </w:rPr>
        <w:t xml:space="preserve"> </w:t>
      </w:r>
      <w:r w:rsidRPr="007C61CE">
        <w:rPr>
          <w:i/>
          <w:sz w:val="23"/>
          <w:szCs w:val="23"/>
          <w:lang w:val="es-ES"/>
        </w:rPr>
        <w:t>fiscal</w:t>
      </w:r>
      <w:r w:rsidRPr="007C61CE">
        <w:rPr>
          <w:sz w:val="23"/>
          <w:szCs w:val="23"/>
          <w:lang w:val="es-ES"/>
        </w:rPr>
        <w:t xml:space="preserve"> pretende cuantificar el impacto neto que la realización del Proyecto tendría en las finanzas públicas del gobierno central y de las municipalidades. En este caso, el impacto se estimó con base en los crecientes costos operativos e ingresos fiscales </w:t>
      </w:r>
      <w:r w:rsidR="00AF1CBA">
        <w:rPr>
          <w:sz w:val="23"/>
          <w:szCs w:val="23"/>
          <w:lang w:val="es-ES"/>
        </w:rPr>
        <w:t xml:space="preserve">recolectados </w:t>
      </w:r>
      <w:r w:rsidRPr="007C61CE">
        <w:rPr>
          <w:sz w:val="23"/>
          <w:szCs w:val="23"/>
          <w:lang w:val="es-ES"/>
        </w:rPr>
        <w:t>por las instituciones prestadoras de los servicios como parte del sistema de administración de tierras</w:t>
      </w:r>
      <w:r w:rsidR="00AF1CBA">
        <w:rPr>
          <w:sz w:val="23"/>
          <w:szCs w:val="23"/>
          <w:lang w:val="es-ES"/>
        </w:rPr>
        <w:t>.</w:t>
      </w:r>
      <w:r w:rsidRPr="007C61CE">
        <w:rPr>
          <w:sz w:val="23"/>
          <w:szCs w:val="23"/>
          <w:lang w:val="es-ES"/>
        </w:rPr>
        <w:t xml:space="preserve">  Los resultados preliminares demuestra</w:t>
      </w:r>
      <w:r w:rsidR="00B82BA3">
        <w:rPr>
          <w:sz w:val="23"/>
          <w:szCs w:val="23"/>
          <w:lang w:val="es-ES"/>
        </w:rPr>
        <w:t>n</w:t>
      </w:r>
      <w:r w:rsidRPr="007C61CE">
        <w:rPr>
          <w:sz w:val="23"/>
          <w:szCs w:val="23"/>
          <w:lang w:val="es-ES"/>
        </w:rPr>
        <w:t xml:space="preserve"> que</w:t>
      </w:r>
      <w:r w:rsidR="00B82BA3">
        <w:rPr>
          <w:sz w:val="23"/>
          <w:szCs w:val="23"/>
          <w:lang w:val="es-ES"/>
        </w:rPr>
        <w:t xml:space="preserve"> en su totalidad</w:t>
      </w:r>
      <w:r w:rsidRPr="007C61CE">
        <w:rPr>
          <w:sz w:val="23"/>
          <w:szCs w:val="23"/>
          <w:lang w:val="es-ES"/>
        </w:rPr>
        <w:t xml:space="preserve">, el valor actual neto de los ingresos fiscales son suficientes para cubrir los costos incrementales asociados con las actividades del Proyecto </w:t>
      </w:r>
      <w:r w:rsidR="00B82BA3">
        <w:rPr>
          <w:sz w:val="23"/>
          <w:szCs w:val="23"/>
          <w:lang w:val="es-ES"/>
        </w:rPr>
        <w:t xml:space="preserve">mientras el resultado son ganancias netas por las </w:t>
      </w:r>
      <w:r w:rsidRPr="007C61CE">
        <w:rPr>
          <w:sz w:val="23"/>
          <w:szCs w:val="23"/>
          <w:lang w:val="es-ES"/>
        </w:rPr>
        <w:t>utilidades fiscales</w:t>
      </w:r>
      <w:r w:rsidR="00020DA8">
        <w:rPr>
          <w:sz w:val="23"/>
          <w:szCs w:val="23"/>
          <w:lang w:val="es-ES"/>
        </w:rPr>
        <w:t xml:space="preserve"> </w:t>
      </w:r>
      <w:r w:rsidRPr="007C61CE">
        <w:rPr>
          <w:sz w:val="23"/>
          <w:szCs w:val="23"/>
          <w:lang w:val="es-ES"/>
        </w:rPr>
        <w:t>(en los archivos del Proyecto y en el sitio web del Proyecto aparece un análisis económico y financiero completo).</w:t>
      </w:r>
      <w:r w:rsidRPr="007C61CE">
        <w:rPr>
          <w:sz w:val="23"/>
          <w:szCs w:val="23"/>
          <w:vertAlign w:val="superscript"/>
          <w:lang w:val="es-ES"/>
        </w:rPr>
        <w:footnoteReference w:id="13"/>
      </w:r>
    </w:p>
    <w:p w:rsidR="00971692" w:rsidRPr="007C61CE" w:rsidRDefault="00971692" w:rsidP="00971692">
      <w:pPr>
        <w:widowControl w:val="0"/>
        <w:adjustRightInd w:val="0"/>
        <w:jc w:val="both"/>
        <w:textAlignment w:val="baseline"/>
        <w:rPr>
          <w:sz w:val="23"/>
          <w:szCs w:val="23"/>
          <w:lang w:val="es-ES"/>
        </w:rPr>
      </w:pPr>
    </w:p>
    <w:p w:rsidR="00971692" w:rsidRPr="00971692" w:rsidRDefault="00971692" w:rsidP="00F91221">
      <w:pPr>
        <w:pStyle w:val="Heading2"/>
        <w:numPr>
          <w:ilvl w:val="0"/>
          <w:numId w:val="56"/>
        </w:numPr>
      </w:pPr>
      <w:bookmarkStart w:id="88" w:name="_Toc347866126"/>
      <w:bookmarkStart w:id="89" w:name="_Toc357981078"/>
      <w:bookmarkStart w:id="90" w:name="_Toc40780187"/>
      <w:bookmarkStart w:id="91" w:name="_Toc295296828"/>
      <w:bookmarkEnd w:id="87"/>
      <w:r w:rsidRPr="00971692">
        <w:t>Análisis Técnico</w:t>
      </w:r>
      <w:bookmarkStart w:id="92" w:name="Technical"/>
      <w:bookmarkEnd w:id="88"/>
      <w:bookmarkEnd w:id="89"/>
      <w:bookmarkEnd w:id="90"/>
      <w:bookmarkEnd w:id="91"/>
    </w:p>
    <w:p w:rsidR="00971692" w:rsidRPr="007C61CE" w:rsidRDefault="00971692" w:rsidP="00867CD4">
      <w:pPr>
        <w:numPr>
          <w:ilvl w:val="0"/>
          <w:numId w:val="14"/>
        </w:numPr>
        <w:tabs>
          <w:tab w:val="clear" w:pos="360"/>
        </w:tabs>
        <w:contextualSpacing/>
        <w:jc w:val="both"/>
        <w:rPr>
          <w:sz w:val="23"/>
          <w:szCs w:val="23"/>
          <w:lang w:val="es-ES"/>
        </w:rPr>
      </w:pPr>
      <w:r w:rsidRPr="007C61CE">
        <w:rPr>
          <w:sz w:val="23"/>
          <w:szCs w:val="23"/>
          <w:lang w:val="es-ES"/>
        </w:rPr>
        <w:t xml:space="preserve">El Proyecto se forjó a partir de la experiencia, de las metodologías comprobadas y de las capacidades nacionales y locales desarrolladas a lo largo de años </w:t>
      </w:r>
      <w:r w:rsidR="00B82BA3">
        <w:rPr>
          <w:sz w:val="23"/>
          <w:szCs w:val="23"/>
          <w:lang w:val="es-ES"/>
        </w:rPr>
        <w:t xml:space="preserve">con </w:t>
      </w:r>
      <w:r w:rsidRPr="007C61CE">
        <w:rPr>
          <w:sz w:val="23"/>
          <w:szCs w:val="23"/>
          <w:lang w:val="es-ES"/>
        </w:rPr>
        <w:t xml:space="preserve"> al apoyo del Banco Mundial y </w:t>
      </w:r>
      <w:r w:rsidR="00B82BA3">
        <w:rPr>
          <w:sz w:val="23"/>
          <w:szCs w:val="23"/>
          <w:lang w:val="es-ES"/>
        </w:rPr>
        <w:t xml:space="preserve">otros </w:t>
      </w:r>
      <w:r w:rsidRPr="007C61CE">
        <w:rPr>
          <w:sz w:val="23"/>
          <w:szCs w:val="23"/>
          <w:lang w:val="es-ES"/>
        </w:rPr>
        <w:t xml:space="preserve"> socios </w:t>
      </w:r>
      <w:r w:rsidR="00B82BA3">
        <w:rPr>
          <w:sz w:val="23"/>
          <w:szCs w:val="23"/>
          <w:lang w:val="es-ES"/>
        </w:rPr>
        <w:t>apoyando el desarrollo de Nicaragua.</w:t>
      </w:r>
      <w:r w:rsidRPr="007C61CE">
        <w:rPr>
          <w:sz w:val="23"/>
          <w:szCs w:val="23"/>
          <w:lang w:val="es-ES"/>
        </w:rPr>
        <w:t xml:space="preserve">. Al mismo tiempo, dichas metodologías reflejan las actuales buenas prácticas internacionales adoptadas al contexto legal e institucional nicaragüense. La metodología del levantamiento topográfico catastral y de la regularización de propiedades se vio consolidada durante el proyecto previo a partir del pilotaje impulsado por la MCC – EE.UU. en León. Dicha metodología está sustentada por un proceso estandarizado de levantamiento catastral de parcelas que emplea tecnologías modernas como ortofotografías, sistemas de posicionamiento global (GPS) y estaciones totales que son eficientes en términos de tiempo y costo. La experiencia </w:t>
      </w:r>
      <w:r w:rsidRPr="007C61CE">
        <w:rPr>
          <w:sz w:val="23"/>
          <w:szCs w:val="23"/>
          <w:lang w:val="es-ES"/>
        </w:rPr>
        <w:lastRenderedPageBreak/>
        <w:t xml:space="preserve">acumulada, por el momento, facilita contar con una estimación más precisa de costos y mejor comprensión de las demandas técnicas y de capacidad que exigen las actividades catastrales y de regularización. De último, la integración automatizada de las plataformas de información del catastro y registro de la propiedad se verá fortalecida al garantizar consistencia entre los procesos, el desarrollo del programa y la coordinación interinstitucional.       </w:t>
      </w:r>
    </w:p>
    <w:p w:rsidR="00971692" w:rsidRPr="00971692" w:rsidRDefault="00971692" w:rsidP="00971692">
      <w:pPr>
        <w:jc w:val="both"/>
        <w:rPr>
          <w:lang w:val="es-ES"/>
        </w:rPr>
      </w:pPr>
    </w:p>
    <w:p w:rsidR="00971692" w:rsidRPr="007C61CE" w:rsidRDefault="00971692" w:rsidP="00F91221">
      <w:pPr>
        <w:pStyle w:val="Heading2"/>
        <w:numPr>
          <w:ilvl w:val="0"/>
          <w:numId w:val="57"/>
        </w:numPr>
        <w:rPr>
          <w:sz w:val="23"/>
          <w:szCs w:val="23"/>
        </w:rPr>
      </w:pPr>
      <w:bookmarkStart w:id="93" w:name="_Toc295296829"/>
      <w:bookmarkStart w:id="94" w:name="_Toc347866127"/>
      <w:bookmarkStart w:id="95" w:name="_Toc357981079"/>
      <w:bookmarkStart w:id="96" w:name="Fiduciary"/>
      <w:bookmarkEnd w:id="92"/>
      <w:r w:rsidRPr="00971692">
        <w:t>Gestión Financiera</w:t>
      </w:r>
      <w:bookmarkEnd w:id="93"/>
      <w:bookmarkEnd w:id="94"/>
      <w:bookmarkEnd w:id="95"/>
    </w:p>
    <w:p w:rsidR="00971692" w:rsidRPr="007C61CE" w:rsidRDefault="00971692" w:rsidP="00867CD4">
      <w:pPr>
        <w:numPr>
          <w:ilvl w:val="0"/>
          <w:numId w:val="14"/>
        </w:numPr>
        <w:tabs>
          <w:tab w:val="clear" w:pos="360"/>
        </w:tabs>
        <w:contextualSpacing/>
        <w:jc w:val="both"/>
        <w:rPr>
          <w:sz w:val="23"/>
          <w:szCs w:val="23"/>
          <w:lang w:val="es-ES"/>
        </w:rPr>
      </w:pPr>
      <w:r w:rsidRPr="007C61CE">
        <w:rPr>
          <w:sz w:val="23"/>
          <w:szCs w:val="23"/>
          <w:lang w:val="es-ES"/>
        </w:rPr>
        <w:t xml:space="preserve">La PGR, </w:t>
      </w:r>
      <w:r w:rsidR="00CE05BF">
        <w:rPr>
          <w:sz w:val="23"/>
          <w:szCs w:val="23"/>
          <w:lang w:val="es-ES"/>
        </w:rPr>
        <w:t xml:space="preserve">mediante </w:t>
      </w:r>
      <w:r w:rsidRPr="007C61CE">
        <w:rPr>
          <w:sz w:val="23"/>
          <w:szCs w:val="23"/>
          <w:lang w:val="es-ES"/>
        </w:rPr>
        <w:t>la UCP, se encargará directamente de las tareas de gestión financiera, entre ellas: (i) Formulación y monitoreo de presupuestos; (ii) Gestión de flujo de caja (procesamiento de pagos, remisión al Banco Mundial de solicitudes de retiro de fondos, etc.); (iii) Mantenimiento de los registros contables (administración y mantenimiento de un inventario de los bienes del Proyecto); (iv) Preparación de los informes financieros del año y de fin de año; (v) Administración de los sistemas de información subyacente; (vi) Preparativos para la contratación de las auditorías externas. Asimismo, la UCP supervisará los aspectos administrativos del Proyecto propuesto y trabajará en coordinación con las agencias co-ejecutoras. Finalmente, con base en una evaluación reciente, el riesgo relacionado con la gestión financiera se cataloga como “Moderado” (ver medidas de mitigación en el Anexo 3).</w:t>
      </w:r>
    </w:p>
    <w:p w:rsidR="00971692" w:rsidRPr="00971692" w:rsidRDefault="00971692" w:rsidP="00971692">
      <w:pPr>
        <w:jc w:val="both"/>
        <w:rPr>
          <w:lang w:val="es-ES"/>
        </w:rPr>
      </w:pPr>
    </w:p>
    <w:p w:rsidR="00971692" w:rsidRPr="00971692" w:rsidRDefault="00971692" w:rsidP="00F91221">
      <w:pPr>
        <w:pStyle w:val="Heading2"/>
        <w:numPr>
          <w:ilvl w:val="0"/>
          <w:numId w:val="47"/>
        </w:numPr>
      </w:pPr>
      <w:bookmarkStart w:id="97" w:name="_Toc295296830"/>
      <w:bookmarkStart w:id="98" w:name="_Toc347339511"/>
      <w:bookmarkStart w:id="99" w:name="_Toc347866128"/>
      <w:bookmarkStart w:id="100" w:name="_Toc357981080"/>
      <w:bookmarkStart w:id="101" w:name="Social"/>
      <w:bookmarkEnd w:id="96"/>
      <w:r w:rsidRPr="00971692">
        <w:t>Adquisiciones y Contrataciones</w:t>
      </w:r>
      <w:bookmarkEnd w:id="97"/>
      <w:bookmarkEnd w:id="98"/>
      <w:bookmarkEnd w:id="99"/>
      <w:bookmarkEnd w:id="100"/>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La PGR, a través de la UCP, se encargará incluso de las tareas de adquisiciones del Proyecto propuesto, las cuales deberán hacerse  conform</w:t>
      </w:r>
      <w:r w:rsidR="00CE05BF">
        <w:rPr>
          <w:sz w:val="23"/>
          <w:szCs w:val="23"/>
          <w:lang w:val="es-ES"/>
        </w:rPr>
        <w:t xml:space="preserve">e a </w:t>
      </w:r>
      <w:r w:rsidRPr="007C61CE">
        <w:rPr>
          <w:sz w:val="23"/>
          <w:szCs w:val="23"/>
          <w:lang w:val="es-ES"/>
        </w:rPr>
        <w:t xml:space="preserve"> las “Normas: Adquisiciones de Bienes, Obras y Servicios distintos a los de Consultoría con Préstamos del BIRF, Créditos de la AIF y Donaciones por Prestatarios del Banco Mundial” de enero del 2011, con </w:t>
      </w:r>
      <w:r w:rsidRPr="007C61CE">
        <w:rPr>
          <w:bCs/>
          <w:sz w:val="23"/>
          <w:szCs w:val="23"/>
          <w:lang w:val="es-ES"/>
        </w:rPr>
        <w:t>las “Normas</w:t>
      </w:r>
      <w:r w:rsidRPr="007C61CE">
        <w:rPr>
          <w:sz w:val="23"/>
          <w:szCs w:val="23"/>
          <w:lang w:val="es-ES"/>
        </w:rPr>
        <w:t>: Selección y </w:t>
      </w:r>
      <w:r w:rsidRPr="007C61CE">
        <w:rPr>
          <w:bCs/>
          <w:sz w:val="23"/>
          <w:szCs w:val="23"/>
          <w:lang w:val="es-ES"/>
        </w:rPr>
        <w:t>Contratación</w:t>
      </w:r>
      <w:r w:rsidRPr="007C61CE">
        <w:rPr>
          <w:sz w:val="23"/>
          <w:szCs w:val="23"/>
          <w:lang w:val="es-ES"/>
        </w:rPr>
        <w:t> de </w:t>
      </w:r>
      <w:r w:rsidRPr="007C61CE">
        <w:rPr>
          <w:bCs/>
          <w:sz w:val="23"/>
          <w:szCs w:val="23"/>
          <w:lang w:val="es-ES"/>
        </w:rPr>
        <w:t>Consultores</w:t>
      </w:r>
      <w:r w:rsidRPr="007C61CE">
        <w:rPr>
          <w:sz w:val="23"/>
          <w:szCs w:val="23"/>
          <w:lang w:val="es-ES"/>
        </w:rPr>
        <w:t> por Prestatarios del </w:t>
      </w:r>
      <w:r w:rsidRPr="007C61CE">
        <w:rPr>
          <w:bCs/>
          <w:sz w:val="23"/>
          <w:szCs w:val="23"/>
          <w:lang w:val="es-ES"/>
        </w:rPr>
        <w:t>Banco Mundial”</w:t>
      </w:r>
      <w:r w:rsidRPr="007C61CE">
        <w:rPr>
          <w:sz w:val="23"/>
          <w:szCs w:val="23"/>
          <w:lang w:val="es-ES"/>
        </w:rPr>
        <w:t xml:space="preserve"> de enero del 2011 y con las disposiciones del Acuerdo de Financiamiento. Tal como lo reveló una reciente evaluación de capacidad, se considera que la UCP está bien preparada y cuenta con suficiente experiencia y conocimientos sobre las operaciones de adquisición y contratación. El riesgo asociado con las adquisiciones se cataloga como Moderado (ver medidas de mitigación en el Anexo 3). Se procedió a elaborar un Plan de Adquisiciones y Contrataciones para los primeros 18 meses de ejecución del Proyecto, con fecha del 5 de febrero del 2013.</w:t>
      </w:r>
    </w:p>
    <w:p w:rsidR="00971692" w:rsidRPr="007C61CE" w:rsidRDefault="00971692" w:rsidP="00971692">
      <w:pPr>
        <w:jc w:val="both"/>
        <w:rPr>
          <w:sz w:val="23"/>
          <w:szCs w:val="23"/>
          <w:lang w:val="es-ES"/>
        </w:rPr>
      </w:pPr>
    </w:p>
    <w:p w:rsidR="00971692" w:rsidRPr="00971692" w:rsidRDefault="00971692" w:rsidP="00971692">
      <w:pPr>
        <w:jc w:val="both"/>
        <w:rPr>
          <w:lang w:val="es-ES"/>
        </w:rPr>
      </w:pPr>
    </w:p>
    <w:p w:rsidR="00971692" w:rsidRPr="00867CD4" w:rsidRDefault="00971692" w:rsidP="00F91221">
      <w:pPr>
        <w:pStyle w:val="Heading2"/>
        <w:numPr>
          <w:ilvl w:val="0"/>
          <w:numId w:val="47"/>
        </w:numPr>
      </w:pPr>
      <w:bookmarkStart w:id="102" w:name="_Toc295296831"/>
      <w:bookmarkStart w:id="103" w:name="_Toc347339512"/>
      <w:bookmarkStart w:id="104" w:name="_Toc297302685"/>
      <w:bookmarkStart w:id="105" w:name="_Toc347866129"/>
      <w:bookmarkStart w:id="106" w:name="_Toc357981081"/>
      <w:bookmarkStart w:id="107" w:name="Environment"/>
      <w:bookmarkEnd w:id="101"/>
      <w:r w:rsidRPr="00971692">
        <w:t>Estudio Social (inclusive Salvaguardas)</w:t>
      </w:r>
      <w:bookmarkEnd w:id="102"/>
      <w:bookmarkEnd w:id="103"/>
      <w:bookmarkEnd w:id="104"/>
      <w:bookmarkEnd w:id="105"/>
      <w:bookmarkEnd w:id="106"/>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 xml:space="preserve">El Proyecto activa las salvaguardas sociales para los Pueblos Indígenas (OP 4.10) y Reasentamiento Involuntario (OP 4.12). </w:t>
      </w:r>
      <w:r w:rsidRPr="007C61CE">
        <w:rPr>
          <w:sz w:val="23"/>
          <w:szCs w:val="23"/>
          <w:vertAlign w:val="superscript"/>
          <w:lang w:val="es-ES"/>
        </w:rPr>
        <w:footnoteReference w:id="14"/>
      </w:r>
      <w:r w:rsidRPr="007C61CE">
        <w:rPr>
          <w:sz w:val="23"/>
          <w:szCs w:val="23"/>
          <w:lang w:val="es-ES"/>
        </w:rPr>
        <w:t xml:space="preserve"> En consecuencia, se efectuó un Estudio Social (ES) para analizar los aspectos socioeconómicos relacionados con la tierra, determinar los posibles riesgos e impactos y, finalmente, para identificar y caracterizar a l</w:t>
      </w:r>
      <w:r w:rsidR="00461AF7">
        <w:rPr>
          <w:sz w:val="23"/>
          <w:szCs w:val="23"/>
          <w:lang w:val="es-ES"/>
        </w:rPr>
        <w:t>a</w:t>
      </w:r>
      <w:r w:rsidRPr="007C61CE">
        <w:rPr>
          <w:sz w:val="23"/>
          <w:szCs w:val="23"/>
          <w:lang w:val="es-ES"/>
        </w:rPr>
        <w:t xml:space="preserve">s </w:t>
      </w:r>
      <w:r w:rsidR="00F702EF">
        <w:rPr>
          <w:sz w:val="23"/>
          <w:szCs w:val="23"/>
          <w:lang w:val="es-ES"/>
        </w:rPr>
        <w:t>entidad</w:t>
      </w:r>
      <w:r w:rsidRPr="007C61CE">
        <w:rPr>
          <w:sz w:val="23"/>
          <w:szCs w:val="23"/>
          <w:lang w:val="es-ES"/>
        </w:rPr>
        <w:t>es involucrad</w:t>
      </w:r>
      <w:r w:rsidR="00461AF7">
        <w:rPr>
          <w:sz w:val="23"/>
          <w:szCs w:val="23"/>
          <w:lang w:val="es-ES"/>
        </w:rPr>
        <w:t>a</w:t>
      </w:r>
      <w:r w:rsidRPr="007C61CE">
        <w:rPr>
          <w:sz w:val="23"/>
          <w:szCs w:val="23"/>
          <w:lang w:val="es-ES"/>
        </w:rPr>
        <w:t xml:space="preserve">s. Se </w:t>
      </w:r>
      <w:r w:rsidR="00F702EF">
        <w:rPr>
          <w:sz w:val="23"/>
          <w:szCs w:val="23"/>
          <w:lang w:val="es-ES"/>
        </w:rPr>
        <w:t>elabo</w:t>
      </w:r>
      <w:r w:rsidRPr="007C61CE">
        <w:rPr>
          <w:sz w:val="23"/>
          <w:szCs w:val="23"/>
          <w:lang w:val="es-ES"/>
        </w:rPr>
        <w:t>r</w:t>
      </w:r>
      <w:r w:rsidR="00461AF7">
        <w:rPr>
          <w:sz w:val="23"/>
          <w:szCs w:val="23"/>
          <w:lang w:val="es-ES"/>
        </w:rPr>
        <w:t>ó</w:t>
      </w:r>
      <w:r w:rsidRPr="007C61CE">
        <w:rPr>
          <w:sz w:val="23"/>
          <w:szCs w:val="23"/>
          <w:lang w:val="es-ES"/>
        </w:rPr>
        <w:t xml:space="preserve"> </w:t>
      </w:r>
      <w:r w:rsidR="00461AF7">
        <w:rPr>
          <w:sz w:val="23"/>
          <w:szCs w:val="23"/>
          <w:lang w:val="es-ES"/>
        </w:rPr>
        <w:t xml:space="preserve">el Plan para Pueblos Indígenas y un Marco Procesal </w:t>
      </w:r>
      <w:r w:rsidRPr="007C61CE">
        <w:rPr>
          <w:sz w:val="23"/>
          <w:szCs w:val="23"/>
          <w:lang w:val="es-ES"/>
        </w:rPr>
        <w:t>para inclu</w:t>
      </w:r>
      <w:r w:rsidR="00461AF7">
        <w:rPr>
          <w:sz w:val="23"/>
          <w:szCs w:val="23"/>
          <w:lang w:val="es-ES"/>
        </w:rPr>
        <w:t>irlo</w:t>
      </w:r>
      <w:r w:rsidRPr="007C61CE">
        <w:rPr>
          <w:sz w:val="23"/>
          <w:szCs w:val="23"/>
          <w:lang w:val="es-ES"/>
        </w:rPr>
        <w:t xml:space="preserve"> en el Manual Operativo. Ambos instrumentos (el ES y el PPI) fueron sometidos a consultas con los representantes de los </w:t>
      </w:r>
      <w:r w:rsidR="00461AF7">
        <w:rPr>
          <w:sz w:val="23"/>
          <w:szCs w:val="23"/>
          <w:lang w:val="es-ES"/>
        </w:rPr>
        <w:t>P</w:t>
      </w:r>
      <w:r w:rsidRPr="007C61CE">
        <w:rPr>
          <w:sz w:val="23"/>
          <w:szCs w:val="23"/>
          <w:lang w:val="es-ES"/>
        </w:rPr>
        <w:t xml:space="preserve">ueblos </w:t>
      </w:r>
      <w:r w:rsidR="00461AF7">
        <w:rPr>
          <w:sz w:val="23"/>
          <w:szCs w:val="23"/>
          <w:lang w:val="es-ES"/>
        </w:rPr>
        <w:t>I</w:t>
      </w:r>
      <w:r w:rsidRPr="007C61CE">
        <w:rPr>
          <w:sz w:val="23"/>
          <w:szCs w:val="23"/>
          <w:lang w:val="es-ES"/>
        </w:rPr>
        <w:t>ndígenas del área de influencia del Proyecto.</w:t>
      </w:r>
      <w:r w:rsidRPr="007C61CE">
        <w:rPr>
          <w:sz w:val="23"/>
          <w:szCs w:val="23"/>
          <w:vertAlign w:val="superscript"/>
          <w:lang w:val="es-ES"/>
        </w:rPr>
        <w:footnoteReference w:id="15"/>
      </w:r>
      <w:r w:rsidRPr="007C61CE">
        <w:rPr>
          <w:sz w:val="23"/>
          <w:szCs w:val="23"/>
          <w:lang w:val="es-ES"/>
        </w:rPr>
        <w:t xml:space="preserve">  </w:t>
      </w:r>
      <w:r w:rsidR="00461AF7">
        <w:rPr>
          <w:sz w:val="23"/>
          <w:szCs w:val="23"/>
          <w:lang w:val="es-ES"/>
        </w:rPr>
        <w:t>Según</w:t>
      </w:r>
      <w:r w:rsidR="00F702EF">
        <w:rPr>
          <w:sz w:val="23"/>
          <w:szCs w:val="23"/>
          <w:lang w:val="es-ES"/>
        </w:rPr>
        <w:t xml:space="preserve"> </w:t>
      </w:r>
      <w:r w:rsidRPr="007C61CE">
        <w:rPr>
          <w:sz w:val="23"/>
          <w:szCs w:val="23"/>
          <w:lang w:val="es-ES"/>
        </w:rPr>
        <w:t xml:space="preserve">la Política de </w:t>
      </w:r>
      <w:r w:rsidR="00D33345" w:rsidRPr="007C61CE">
        <w:rPr>
          <w:sz w:val="23"/>
          <w:szCs w:val="23"/>
          <w:lang w:val="es-ES"/>
        </w:rPr>
        <w:t>Acceso a la</w:t>
      </w:r>
      <w:r w:rsidRPr="007C61CE">
        <w:rPr>
          <w:sz w:val="23"/>
          <w:szCs w:val="23"/>
          <w:lang w:val="es-ES"/>
        </w:rPr>
        <w:t xml:space="preserve"> Información </w:t>
      </w:r>
      <w:r w:rsidR="00D33345" w:rsidRPr="007C61CE">
        <w:rPr>
          <w:sz w:val="23"/>
          <w:szCs w:val="23"/>
          <w:lang w:val="es-ES"/>
        </w:rPr>
        <w:t xml:space="preserve">Pública </w:t>
      </w:r>
      <w:r w:rsidRPr="007C61CE">
        <w:rPr>
          <w:sz w:val="23"/>
          <w:szCs w:val="23"/>
          <w:lang w:val="es-ES"/>
        </w:rPr>
        <w:t xml:space="preserve">del Banco Mundial (BP 17.50), el PPI y el Marco Procesal fueron publicados en los sitios web del </w:t>
      </w:r>
      <w:r w:rsidRPr="007C61CE">
        <w:rPr>
          <w:sz w:val="23"/>
          <w:szCs w:val="23"/>
          <w:lang w:val="es-ES"/>
        </w:rPr>
        <w:lastRenderedPageBreak/>
        <w:t>país y del Banco Mundial el 27 de diciembre del 2012. En las oficinas de la PGR en Managua y oficinas regionales de las principales agencias co-ejecutoras también estos documentos están a la disposición del público.</w:t>
      </w:r>
    </w:p>
    <w:p w:rsidR="00971692" w:rsidRPr="007C61CE" w:rsidRDefault="00971692" w:rsidP="00867CD4">
      <w:pPr>
        <w:jc w:val="both"/>
        <w:rPr>
          <w:sz w:val="23"/>
          <w:szCs w:val="23"/>
          <w:lang w:val="es-ES"/>
        </w:rPr>
      </w:pPr>
    </w:p>
    <w:p w:rsidR="00971692" w:rsidRPr="007C61CE" w:rsidRDefault="00971692" w:rsidP="00867CD4">
      <w:pPr>
        <w:numPr>
          <w:ilvl w:val="0"/>
          <w:numId w:val="14"/>
        </w:numPr>
        <w:tabs>
          <w:tab w:val="clear" w:pos="360"/>
        </w:tabs>
        <w:jc w:val="both"/>
        <w:rPr>
          <w:sz w:val="23"/>
          <w:szCs w:val="23"/>
          <w:lang w:val="es-ES"/>
        </w:rPr>
      </w:pPr>
      <w:r w:rsidRPr="007C61CE">
        <w:rPr>
          <w:sz w:val="23"/>
          <w:szCs w:val="23"/>
          <w:lang w:val="es-ES"/>
        </w:rPr>
        <w:t xml:space="preserve">El Proyecto delimitará y demarcará los límites externos de las áreas protegidas seleccionadas, pero no financiará ninguna regularización dentro de dichas áreas ni demarcará los linderos de sus núcleos. Dichas áreas protegidas cuentan con planes de gestión ambiental aprobados por el MARENA. </w:t>
      </w:r>
      <w:r w:rsidR="00C46691" w:rsidRPr="00F702EF">
        <w:rPr>
          <w:sz w:val="23"/>
          <w:szCs w:val="23"/>
          <w:lang w:val="es-ES"/>
        </w:rPr>
        <w:t>El Proyecto no contempla la actualización de dichos planes ni impulsará cambios en la zonificación actual de las áreas protegidas.</w:t>
      </w:r>
      <w:r w:rsidRPr="007C61CE">
        <w:rPr>
          <w:sz w:val="23"/>
          <w:szCs w:val="23"/>
          <w:lang w:val="es-ES"/>
        </w:rPr>
        <w:t xml:space="preserve"> Sin embargo, en vista que la demarcación podría representar el riesgo potencial de restricción a los recursos naturales, tal como lo exige la política de reasentamiento (OP/BP 4.12), se elaboró un Marco Procesal para garantizar que: (a) La población que vive dentro o alrededor de una área protegida o que aprovecha los recursos de dicha área debe consultarse durante el proceso de demarcación y, de ser necesario, que (b) se adopten las medidas adecuadas de manera participativa para minimizar/mitigar cualquier posible impacto adverso.</w:t>
      </w:r>
    </w:p>
    <w:p w:rsidR="00971692" w:rsidRPr="007C61CE" w:rsidRDefault="00971692" w:rsidP="00867CD4">
      <w:pPr>
        <w:jc w:val="both"/>
        <w:rPr>
          <w:sz w:val="23"/>
          <w:szCs w:val="23"/>
          <w:lang w:val="es-ES"/>
        </w:rPr>
      </w:pPr>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 xml:space="preserve">Para complementar las salvaguardas, el Proyecto contempla estrategias de género y de comunicación. Con base en una evaluación de género y en las lecciones aprendidas del proyecto anterior, la Estrategia de Género pretende integrar el género a las actividades del Proyecto y empoderar a las mujeres beneficiarias al concientizarlas sobre sus derechos de propiedad. Para ayudar a monitorear el desempeño de dicha estrategia, el marco de resultados contiene indicadores diferenciados de género. La </w:t>
      </w:r>
      <w:r w:rsidR="009A52DB" w:rsidRPr="007C61CE">
        <w:rPr>
          <w:sz w:val="23"/>
          <w:szCs w:val="23"/>
          <w:lang w:val="es-ES"/>
        </w:rPr>
        <w:t>e</w:t>
      </w:r>
      <w:r w:rsidRPr="007C61CE">
        <w:rPr>
          <w:sz w:val="23"/>
          <w:szCs w:val="23"/>
          <w:lang w:val="es-ES"/>
        </w:rPr>
        <w:t xml:space="preserve">strategia </w:t>
      </w:r>
      <w:r w:rsidR="009A52DB" w:rsidRPr="007C61CE">
        <w:rPr>
          <w:sz w:val="23"/>
          <w:szCs w:val="23"/>
          <w:lang w:val="es-ES"/>
        </w:rPr>
        <w:t>de comunicación</w:t>
      </w:r>
      <w:r w:rsidRPr="007C61CE">
        <w:rPr>
          <w:sz w:val="23"/>
          <w:szCs w:val="23"/>
          <w:lang w:val="es-ES"/>
        </w:rPr>
        <w:t xml:space="preserve"> tiene dos objetivos principales: (i) Apoyar la ejecución de las actividades del Proyecto, en especial la participación activa de los beneficiarios en los procesos catastrales y de regularización, así como la ampliación de los servicios de mediación para la resolución de conflictos; (b) Promover la sostenibilidad de dichas actividades. Al mismo tiempo, esta estrategia busca cómo </w:t>
      </w:r>
      <w:r w:rsidR="009C46E2">
        <w:rPr>
          <w:sz w:val="23"/>
          <w:szCs w:val="23"/>
          <w:lang w:val="es-ES"/>
        </w:rPr>
        <w:t>promover</w:t>
      </w:r>
      <w:r w:rsidRPr="007C61CE">
        <w:rPr>
          <w:sz w:val="23"/>
          <w:szCs w:val="23"/>
          <w:lang w:val="es-ES"/>
        </w:rPr>
        <w:t xml:space="preserve"> tres aspectos transversales: educación ambiental, igualdad de género, transparencia y rendición de cuentas.</w:t>
      </w:r>
    </w:p>
    <w:p w:rsidR="00971692" w:rsidRPr="007C61CE" w:rsidRDefault="00971692" w:rsidP="00867CD4">
      <w:pPr>
        <w:ind w:left="720"/>
        <w:contextualSpacing/>
        <w:rPr>
          <w:sz w:val="23"/>
          <w:szCs w:val="23"/>
          <w:lang w:val="es-ES"/>
        </w:rPr>
      </w:pPr>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 xml:space="preserve">El mecanismo de atención y resolución de quejas (GRM), inserto en la </w:t>
      </w:r>
      <w:r w:rsidR="009A52DB" w:rsidRPr="007C61CE">
        <w:rPr>
          <w:sz w:val="23"/>
          <w:szCs w:val="23"/>
          <w:lang w:val="es-ES"/>
        </w:rPr>
        <w:t>e</w:t>
      </w:r>
      <w:r w:rsidRPr="007C61CE">
        <w:rPr>
          <w:sz w:val="23"/>
          <w:szCs w:val="23"/>
          <w:lang w:val="es-ES"/>
        </w:rPr>
        <w:t xml:space="preserve">strategia </w:t>
      </w:r>
      <w:r w:rsidR="009A52DB" w:rsidRPr="007C61CE">
        <w:rPr>
          <w:sz w:val="23"/>
          <w:szCs w:val="23"/>
          <w:lang w:val="es-ES"/>
        </w:rPr>
        <w:t>de comunicación</w:t>
      </w:r>
      <w:r w:rsidRPr="007C61CE">
        <w:rPr>
          <w:sz w:val="23"/>
          <w:szCs w:val="23"/>
          <w:lang w:val="es-ES"/>
        </w:rPr>
        <w:t xml:space="preserve"> busca cómo promover canales y procesos de comunicación en dos vías; por un lado,  para que l</w:t>
      </w:r>
      <w:r w:rsidR="009C46E2">
        <w:rPr>
          <w:sz w:val="23"/>
          <w:szCs w:val="23"/>
          <w:lang w:val="es-ES"/>
        </w:rPr>
        <w:t>a</w:t>
      </w:r>
      <w:r w:rsidRPr="007C61CE">
        <w:rPr>
          <w:sz w:val="23"/>
          <w:szCs w:val="23"/>
          <w:lang w:val="es-ES"/>
        </w:rPr>
        <w:t>s</w:t>
      </w:r>
      <w:r w:rsidR="009C46E2">
        <w:rPr>
          <w:sz w:val="23"/>
          <w:szCs w:val="23"/>
          <w:lang w:val="es-ES"/>
        </w:rPr>
        <w:t xml:space="preserve"> personas</w:t>
      </w:r>
      <w:r w:rsidRPr="007C61CE">
        <w:rPr>
          <w:sz w:val="23"/>
          <w:szCs w:val="23"/>
          <w:lang w:val="es-ES"/>
        </w:rPr>
        <w:t xml:space="preserve"> beneficiari</w:t>
      </w:r>
      <w:r w:rsidR="009C46E2">
        <w:rPr>
          <w:sz w:val="23"/>
          <w:szCs w:val="23"/>
          <w:lang w:val="es-ES"/>
        </w:rPr>
        <w:t>a</w:t>
      </w:r>
      <w:r w:rsidRPr="007C61CE">
        <w:rPr>
          <w:sz w:val="23"/>
          <w:szCs w:val="23"/>
          <w:lang w:val="es-ES"/>
        </w:rPr>
        <w:t>s busquen información adicional sobre el Proyecto y por otro lado, para que presenten sus quejas o denuncias. Incluso, le permitirá a la UCP promover la participación de l</w:t>
      </w:r>
      <w:r w:rsidR="009C46E2">
        <w:rPr>
          <w:sz w:val="23"/>
          <w:szCs w:val="23"/>
          <w:lang w:val="es-ES"/>
        </w:rPr>
        <w:t>a</w:t>
      </w:r>
      <w:r w:rsidRPr="007C61CE">
        <w:rPr>
          <w:sz w:val="23"/>
          <w:szCs w:val="23"/>
          <w:lang w:val="es-ES"/>
        </w:rPr>
        <w:t xml:space="preserve">s </w:t>
      </w:r>
      <w:r w:rsidR="009C46E2">
        <w:rPr>
          <w:sz w:val="23"/>
          <w:szCs w:val="23"/>
          <w:lang w:val="es-ES"/>
        </w:rPr>
        <w:t xml:space="preserve">personas </w:t>
      </w:r>
      <w:r w:rsidRPr="007C61CE">
        <w:rPr>
          <w:sz w:val="23"/>
          <w:szCs w:val="23"/>
          <w:lang w:val="es-ES"/>
        </w:rPr>
        <w:t>beneficiari</w:t>
      </w:r>
      <w:r w:rsidR="009C46E2">
        <w:rPr>
          <w:sz w:val="23"/>
          <w:szCs w:val="23"/>
          <w:lang w:val="es-ES"/>
        </w:rPr>
        <w:t>a</w:t>
      </w:r>
      <w:r w:rsidRPr="007C61CE">
        <w:rPr>
          <w:sz w:val="23"/>
          <w:szCs w:val="23"/>
          <w:lang w:val="es-ES"/>
        </w:rPr>
        <w:t>s y les informará sobre la gestión de sus quejas. Una variedad de puntos de entrada garantizará que el sistema sea accesible para tod</w:t>
      </w:r>
      <w:r w:rsidR="009C46E2">
        <w:rPr>
          <w:sz w:val="23"/>
          <w:szCs w:val="23"/>
          <w:lang w:val="es-ES"/>
        </w:rPr>
        <w:t>a</w:t>
      </w:r>
      <w:r w:rsidRPr="007C61CE">
        <w:rPr>
          <w:sz w:val="23"/>
          <w:szCs w:val="23"/>
          <w:lang w:val="es-ES"/>
        </w:rPr>
        <w:t>s l</w:t>
      </w:r>
      <w:r w:rsidR="009C46E2">
        <w:rPr>
          <w:sz w:val="23"/>
          <w:szCs w:val="23"/>
          <w:lang w:val="es-ES"/>
        </w:rPr>
        <w:t>a</w:t>
      </w:r>
      <w:r w:rsidRPr="007C61CE">
        <w:rPr>
          <w:sz w:val="23"/>
          <w:szCs w:val="23"/>
          <w:lang w:val="es-ES"/>
        </w:rPr>
        <w:t xml:space="preserve">s </w:t>
      </w:r>
      <w:r w:rsidR="009C46E2">
        <w:rPr>
          <w:sz w:val="23"/>
          <w:szCs w:val="23"/>
          <w:lang w:val="es-ES"/>
        </w:rPr>
        <w:t xml:space="preserve">personas </w:t>
      </w:r>
      <w:r w:rsidRPr="007C61CE">
        <w:rPr>
          <w:sz w:val="23"/>
          <w:szCs w:val="23"/>
          <w:lang w:val="es-ES"/>
        </w:rPr>
        <w:t>beneficiari</w:t>
      </w:r>
      <w:r w:rsidR="009C46E2">
        <w:rPr>
          <w:sz w:val="23"/>
          <w:szCs w:val="23"/>
          <w:lang w:val="es-ES"/>
        </w:rPr>
        <w:t>a</w:t>
      </w:r>
      <w:r w:rsidRPr="007C61CE">
        <w:rPr>
          <w:sz w:val="23"/>
          <w:szCs w:val="23"/>
          <w:lang w:val="es-ES"/>
        </w:rPr>
        <w:t xml:space="preserve">s, sin importar ubicación geográfica o nivel de escolaridad. La </w:t>
      </w:r>
      <w:r w:rsidR="000756F2" w:rsidRPr="007C61CE">
        <w:rPr>
          <w:sz w:val="23"/>
          <w:szCs w:val="23"/>
          <w:lang w:val="es-ES"/>
        </w:rPr>
        <w:t>e</w:t>
      </w:r>
      <w:r w:rsidRPr="007C61CE">
        <w:rPr>
          <w:sz w:val="23"/>
          <w:szCs w:val="23"/>
          <w:lang w:val="es-ES"/>
        </w:rPr>
        <w:t xml:space="preserve">strategia </w:t>
      </w:r>
      <w:r w:rsidR="009A52DB" w:rsidRPr="007C61CE">
        <w:rPr>
          <w:sz w:val="23"/>
          <w:szCs w:val="23"/>
          <w:lang w:val="es-ES"/>
        </w:rPr>
        <w:t>de comunicación</w:t>
      </w:r>
      <w:r w:rsidRPr="007C61CE">
        <w:rPr>
          <w:sz w:val="23"/>
          <w:szCs w:val="23"/>
          <w:lang w:val="es-ES"/>
        </w:rPr>
        <w:t xml:space="preserve"> permitirá mantener informad</w:t>
      </w:r>
      <w:r w:rsidR="00C53BA2">
        <w:rPr>
          <w:sz w:val="23"/>
          <w:szCs w:val="23"/>
          <w:lang w:val="es-ES"/>
        </w:rPr>
        <w:t>a</w:t>
      </w:r>
      <w:r w:rsidRPr="007C61CE">
        <w:rPr>
          <w:sz w:val="23"/>
          <w:szCs w:val="23"/>
          <w:lang w:val="es-ES"/>
        </w:rPr>
        <w:t>s a l</w:t>
      </w:r>
      <w:r w:rsidR="00C53BA2">
        <w:rPr>
          <w:sz w:val="23"/>
          <w:szCs w:val="23"/>
          <w:lang w:val="es-ES"/>
        </w:rPr>
        <w:t>a</w:t>
      </w:r>
      <w:r w:rsidRPr="007C61CE">
        <w:rPr>
          <w:sz w:val="23"/>
          <w:szCs w:val="23"/>
          <w:lang w:val="es-ES"/>
        </w:rPr>
        <w:t>s</w:t>
      </w:r>
      <w:r w:rsidR="00C53BA2">
        <w:rPr>
          <w:sz w:val="23"/>
          <w:szCs w:val="23"/>
          <w:lang w:val="es-ES"/>
        </w:rPr>
        <w:t xml:space="preserve"> personas</w:t>
      </w:r>
      <w:r w:rsidRPr="007C61CE">
        <w:rPr>
          <w:sz w:val="23"/>
          <w:szCs w:val="23"/>
          <w:lang w:val="es-ES"/>
        </w:rPr>
        <w:t xml:space="preserve"> sobre la existencia de dicho mecanismo, de sus múltiples puntos de entrada y de cómo las quejas/denuncias son abordadas por las instituciones pertinentes.</w:t>
      </w:r>
    </w:p>
    <w:p w:rsidR="00971692" w:rsidRPr="007C61CE" w:rsidRDefault="00971692" w:rsidP="00867CD4">
      <w:pPr>
        <w:ind w:left="720"/>
        <w:contextualSpacing/>
        <w:rPr>
          <w:sz w:val="23"/>
          <w:szCs w:val="23"/>
          <w:lang w:val="es-ES"/>
        </w:rPr>
      </w:pPr>
    </w:p>
    <w:p w:rsidR="00971692" w:rsidRPr="007C61CE" w:rsidRDefault="00971692" w:rsidP="00971692">
      <w:pPr>
        <w:jc w:val="both"/>
        <w:rPr>
          <w:sz w:val="23"/>
          <w:szCs w:val="23"/>
          <w:lang w:val="es-ES"/>
        </w:rPr>
      </w:pPr>
    </w:p>
    <w:p w:rsidR="00971692" w:rsidRPr="00971692" w:rsidRDefault="00971692" w:rsidP="00F91221">
      <w:pPr>
        <w:pStyle w:val="Heading2"/>
        <w:numPr>
          <w:ilvl w:val="0"/>
          <w:numId w:val="47"/>
        </w:numPr>
      </w:pPr>
      <w:bookmarkStart w:id="108" w:name="_Toc295296832"/>
      <w:bookmarkStart w:id="109" w:name="_Toc347866130"/>
      <w:bookmarkStart w:id="110" w:name="_Toc357981082"/>
      <w:bookmarkStart w:id="111" w:name="SafeguardPolicies"/>
      <w:bookmarkEnd w:id="107"/>
      <w:r w:rsidRPr="00971692">
        <w:t>Análisis Ambiental (incluyendo Salvaguardas)</w:t>
      </w:r>
      <w:bookmarkEnd w:id="108"/>
      <w:bookmarkEnd w:id="109"/>
      <w:bookmarkEnd w:id="110"/>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 xml:space="preserve">El Proyecto está clasificado </w:t>
      </w:r>
      <w:r w:rsidR="00C34AA5">
        <w:rPr>
          <w:sz w:val="23"/>
          <w:szCs w:val="23"/>
          <w:lang w:val="es-ES"/>
        </w:rPr>
        <w:t>en</w:t>
      </w:r>
      <w:r w:rsidRPr="007C61CE">
        <w:rPr>
          <w:sz w:val="23"/>
          <w:szCs w:val="23"/>
          <w:lang w:val="es-ES"/>
        </w:rPr>
        <w:t xml:space="preserve"> Categoría B. Activa las siguientes salvaguardas ambientales: Estudio Ambiental (OP 4.01), Hábitats Naturales (OP 4.04), Patrimonio Cultural Tangible (OP 4.11) y Bosques (OP 4.36). Se elaboró un Estudio Ambiental y un Plan de Gestión Ambiental (PGA) en consultas realizadas con l</w:t>
      </w:r>
      <w:r w:rsidR="00C34AA5">
        <w:rPr>
          <w:sz w:val="23"/>
          <w:szCs w:val="23"/>
          <w:lang w:val="es-ES"/>
        </w:rPr>
        <w:t>a</w:t>
      </w:r>
      <w:r w:rsidRPr="007C61CE">
        <w:rPr>
          <w:sz w:val="23"/>
          <w:szCs w:val="23"/>
          <w:lang w:val="es-ES"/>
        </w:rPr>
        <w:t>s</w:t>
      </w:r>
      <w:r w:rsidR="00F702EF">
        <w:rPr>
          <w:sz w:val="23"/>
          <w:szCs w:val="23"/>
          <w:lang w:val="es-ES"/>
        </w:rPr>
        <w:t xml:space="preserve"> </w:t>
      </w:r>
      <w:r w:rsidRPr="007C61CE">
        <w:rPr>
          <w:sz w:val="23"/>
          <w:szCs w:val="23"/>
          <w:lang w:val="es-ES"/>
        </w:rPr>
        <w:t xml:space="preserve">principales </w:t>
      </w:r>
      <w:r w:rsidR="00C34AA5">
        <w:rPr>
          <w:sz w:val="23"/>
          <w:szCs w:val="23"/>
          <w:lang w:val="es-ES"/>
        </w:rPr>
        <w:t>entidades involucradas</w:t>
      </w:r>
      <w:r w:rsidRPr="007C61CE">
        <w:rPr>
          <w:sz w:val="23"/>
          <w:szCs w:val="23"/>
          <w:lang w:val="es-ES"/>
        </w:rPr>
        <w:t>.</w:t>
      </w:r>
      <w:r w:rsidRPr="007C61CE">
        <w:rPr>
          <w:sz w:val="23"/>
          <w:szCs w:val="23"/>
          <w:vertAlign w:val="superscript"/>
          <w:lang w:val="es-ES"/>
        </w:rPr>
        <w:footnoteReference w:id="16"/>
      </w:r>
      <w:r w:rsidRPr="007C61CE">
        <w:rPr>
          <w:sz w:val="23"/>
          <w:szCs w:val="23"/>
          <w:lang w:val="es-ES"/>
        </w:rPr>
        <w:t xml:space="preserve">  </w:t>
      </w:r>
      <w:r w:rsidR="00C34AA5">
        <w:rPr>
          <w:sz w:val="23"/>
          <w:szCs w:val="23"/>
          <w:lang w:val="es-ES"/>
        </w:rPr>
        <w:t xml:space="preserve">Conforme </w:t>
      </w:r>
      <w:r w:rsidRPr="007C61CE">
        <w:rPr>
          <w:sz w:val="23"/>
          <w:szCs w:val="23"/>
          <w:lang w:val="es-ES"/>
        </w:rPr>
        <w:t xml:space="preserve">la Política de </w:t>
      </w:r>
      <w:r w:rsidR="00EC195E" w:rsidRPr="007C61CE">
        <w:rPr>
          <w:sz w:val="23"/>
          <w:szCs w:val="23"/>
          <w:lang w:val="es-ES"/>
        </w:rPr>
        <w:t xml:space="preserve">Acceso a la </w:t>
      </w:r>
      <w:r w:rsidRPr="007C61CE">
        <w:rPr>
          <w:sz w:val="23"/>
          <w:szCs w:val="23"/>
          <w:lang w:val="es-ES"/>
        </w:rPr>
        <w:t xml:space="preserve">Información </w:t>
      </w:r>
      <w:r w:rsidR="00EC195E" w:rsidRPr="007C61CE">
        <w:rPr>
          <w:sz w:val="23"/>
          <w:szCs w:val="23"/>
          <w:lang w:val="es-ES"/>
        </w:rPr>
        <w:t xml:space="preserve">Pública </w:t>
      </w:r>
      <w:r w:rsidRPr="007C61CE">
        <w:rPr>
          <w:sz w:val="23"/>
          <w:szCs w:val="23"/>
          <w:lang w:val="es-ES"/>
        </w:rPr>
        <w:t xml:space="preserve">del Banco Mundial  (BP 17.50),  el EA y el PGA </w:t>
      </w:r>
      <w:r w:rsidR="00C34AA5">
        <w:rPr>
          <w:sz w:val="23"/>
          <w:szCs w:val="23"/>
          <w:lang w:val="es-ES"/>
        </w:rPr>
        <w:t>se dieron</w:t>
      </w:r>
      <w:r w:rsidR="00F702EF">
        <w:rPr>
          <w:sz w:val="23"/>
          <w:szCs w:val="23"/>
          <w:lang w:val="es-ES"/>
        </w:rPr>
        <w:t xml:space="preserve"> </w:t>
      </w:r>
      <w:r w:rsidRPr="007C61CE">
        <w:rPr>
          <w:sz w:val="23"/>
          <w:szCs w:val="23"/>
          <w:lang w:val="es-ES"/>
        </w:rPr>
        <w:t xml:space="preserve">a conocer en los sitios web del país y del Banco Mundial el 27 de diciembre del 2012. Hay copias de dichos </w:t>
      </w:r>
      <w:r w:rsidRPr="007C61CE">
        <w:rPr>
          <w:sz w:val="23"/>
          <w:szCs w:val="23"/>
          <w:lang w:val="es-ES"/>
        </w:rPr>
        <w:lastRenderedPageBreak/>
        <w:t xml:space="preserve">documentos </w:t>
      </w:r>
      <w:r w:rsidR="00C34AA5">
        <w:rPr>
          <w:sz w:val="23"/>
          <w:szCs w:val="23"/>
          <w:lang w:val="es-ES"/>
        </w:rPr>
        <w:t>disponibles al</w:t>
      </w:r>
      <w:r w:rsidR="00F702EF">
        <w:rPr>
          <w:sz w:val="23"/>
          <w:szCs w:val="23"/>
          <w:lang w:val="es-ES"/>
        </w:rPr>
        <w:t xml:space="preserve"> </w:t>
      </w:r>
      <w:r w:rsidRPr="007C61CE">
        <w:rPr>
          <w:sz w:val="23"/>
          <w:szCs w:val="23"/>
          <w:lang w:val="es-ES"/>
        </w:rPr>
        <w:t>públic</w:t>
      </w:r>
      <w:r w:rsidR="00554E07">
        <w:rPr>
          <w:sz w:val="23"/>
          <w:szCs w:val="23"/>
          <w:lang w:val="es-ES"/>
        </w:rPr>
        <w:t>o</w:t>
      </w:r>
      <w:r w:rsidRPr="007C61CE">
        <w:rPr>
          <w:sz w:val="23"/>
          <w:szCs w:val="23"/>
          <w:lang w:val="es-ES"/>
        </w:rPr>
        <w:t xml:space="preserve"> en las oficinas de la PGR en Managua y en las oficinas regionales de las principales agencias co-ejecutoras.</w:t>
      </w:r>
    </w:p>
    <w:p w:rsidR="00971692" w:rsidRPr="007C61CE" w:rsidRDefault="00971692" w:rsidP="00971692">
      <w:pPr>
        <w:jc w:val="both"/>
        <w:rPr>
          <w:sz w:val="23"/>
          <w:szCs w:val="23"/>
          <w:lang w:val="es-ES"/>
        </w:rPr>
      </w:pPr>
    </w:p>
    <w:p w:rsidR="00971692" w:rsidRPr="007C61CE" w:rsidRDefault="00554E07" w:rsidP="00D44902">
      <w:pPr>
        <w:numPr>
          <w:ilvl w:val="0"/>
          <w:numId w:val="14"/>
        </w:numPr>
        <w:tabs>
          <w:tab w:val="clear" w:pos="360"/>
        </w:tabs>
        <w:jc w:val="both"/>
        <w:rPr>
          <w:sz w:val="23"/>
          <w:szCs w:val="23"/>
          <w:lang w:val="es-ES"/>
        </w:rPr>
      </w:pPr>
      <w:r>
        <w:rPr>
          <w:sz w:val="23"/>
          <w:szCs w:val="23"/>
          <w:lang w:val="es-ES"/>
        </w:rPr>
        <w:t>En general, s</w:t>
      </w:r>
      <w:r w:rsidR="00971692" w:rsidRPr="007C61CE">
        <w:rPr>
          <w:sz w:val="23"/>
          <w:szCs w:val="23"/>
          <w:lang w:val="es-ES"/>
        </w:rPr>
        <w:t xml:space="preserve">e espera que el Proyecto </w:t>
      </w:r>
      <w:r>
        <w:rPr>
          <w:sz w:val="23"/>
          <w:szCs w:val="23"/>
          <w:lang w:val="es-ES"/>
        </w:rPr>
        <w:t xml:space="preserve">tenga </w:t>
      </w:r>
      <w:r w:rsidR="00971692" w:rsidRPr="007C61CE">
        <w:rPr>
          <w:sz w:val="23"/>
          <w:szCs w:val="23"/>
          <w:lang w:val="es-ES"/>
        </w:rPr>
        <w:t xml:space="preserve">impactos positivos. Debe contribuir a la conservación de hábitats críticos al ayudar a identificar dichas zonas y facilitar el manejo y gestión de las áreas protegidas. Tal como lo corroboró el proyecto anterior, el proceso de demarcación incentiva la participación comunitaria e interinstitucional y a la vez incrementa los niveles de concientización y educación pública sobre la importancia de proteger las áreas protegidas y los recursos naturales </w:t>
      </w:r>
      <w:bookmarkStart w:id="112" w:name="Readiness"/>
      <w:bookmarkEnd w:id="111"/>
      <w:r w:rsidR="00971692" w:rsidRPr="007C61CE">
        <w:rPr>
          <w:sz w:val="23"/>
          <w:szCs w:val="23"/>
          <w:lang w:val="es-ES"/>
        </w:rPr>
        <w:t>en general.</w:t>
      </w:r>
      <w:r w:rsidR="00971692" w:rsidRPr="007C61CE">
        <w:rPr>
          <w:sz w:val="23"/>
          <w:szCs w:val="23"/>
          <w:vertAlign w:val="superscript"/>
          <w:lang w:val="es-ES"/>
        </w:rPr>
        <w:footnoteReference w:id="17"/>
      </w:r>
      <w:r w:rsidR="00971692" w:rsidRPr="007C61CE">
        <w:rPr>
          <w:sz w:val="23"/>
          <w:szCs w:val="23"/>
          <w:lang w:val="es-ES"/>
        </w:rPr>
        <w:t xml:space="preserve"> Asimismo, se espera que la regularización de tierras desmotivará la deforestación </w:t>
      </w:r>
      <w:r>
        <w:rPr>
          <w:sz w:val="23"/>
          <w:szCs w:val="23"/>
          <w:lang w:val="es-ES"/>
        </w:rPr>
        <w:t>causada por</w:t>
      </w:r>
      <w:r w:rsidR="00F702EF">
        <w:rPr>
          <w:sz w:val="23"/>
          <w:szCs w:val="23"/>
          <w:lang w:val="es-ES"/>
        </w:rPr>
        <w:t xml:space="preserve"> </w:t>
      </w:r>
      <w:r>
        <w:rPr>
          <w:sz w:val="23"/>
          <w:szCs w:val="23"/>
          <w:lang w:val="es-ES"/>
        </w:rPr>
        <w:t>personas asentadas</w:t>
      </w:r>
      <w:r w:rsidR="00F702EF">
        <w:rPr>
          <w:sz w:val="23"/>
          <w:szCs w:val="23"/>
          <w:lang w:val="es-ES"/>
        </w:rPr>
        <w:t xml:space="preserve"> </w:t>
      </w:r>
      <w:r w:rsidR="00971692" w:rsidRPr="007C61CE">
        <w:rPr>
          <w:sz w:val="23"/>
          <w:szCs w:val="23"/>
          <w:lang w:val="es-ES"/>
        </w:rPr>
        <w:t>ilegal</w:t>
      </w:r>
      <w:r>
        <w:rPr>
          <w:sz w:val="23"/>
          <w:szCs w:val="23"/>
          <w:lang w:val="es-ES"/>
        </w:rPr>
        <w:t>mente.</w:t>
      </w:r>
      <w:r w:rsidR="00971692" w:rsidRPr="007C61CE">
        <w:rPr>
          <w:sz w:val="23"/>
          <w:szCs w:val="23"/>
          <w:lang w:val="es-ES"/>
        </w:rPr>
        <w:t xml:space="preserve"> </w:t>
      </w:r>
      <w:r>
        <w:rPr>
          <w:sz w:val="23"/>
          <w:szCs w:val="23"/>
          <w:lang w:val="es-ES"/>
        </w:rPr>
        <w:t xml:space="preserve">Se espera </w:t>
      </w:r>
      <w:r w:rsidR="00971692" w:rsidRPr="007C61CE">
        <w:rPr>
          <w:sz w:val="23"/>
          <w:szCs w:val="23"/>
          <w:lang w:val="es-ES"/>
        </w:rPr>
        <w:t xml:space="preserve">que induzca cambios </w:t>
      </w:r>
      <w:r>
        <w:rPr>
          <w:sz w:val="23"/>
          <w:szCs w:val="23"/>
          <w:lang w:val="es-ES"/>
        </w:rPr>
        <w:t xml:space="preserve">para una actitud </w:t>
      </w:r>
      <w:r w:rsidR="00971692" w:rsidRPr="007C61CE">
        <w:rPr>
          <w:sz w:val="23"/>
          <w:szCs w:val="23"/>
          <w:lang w:val="es-ES"/>
        </w:rPr>
        <w:t>positiv</w:t>
      </w:r>
      <w:r>
        <w:rPr>
          <w:sz w:val="23"/>
          <w:szCs w:val="23"/>
          <w:lang w:val="es-ES"/>
        </w:rPr>
        <w:t>a</w:t>
      </w:r>
      <w:r w:rsidR="00971692" w:rsidRPr="007C61CE">
        <w:rPr>
          <w:sz w:val="23"/>
          <w:szCs w:val="23"/>
          <w:lang w:val="es-ES"/>
        </w:rPr>
        <w:t xml:space="preserve"> que result</w:t>
      </w:r>
      <w:r>
        <w:rPr>
          <w:sz w:val="23"/>
          <w:szCs w:val="23"/>
          <w:lang w:val="es-ES"/>
        </w:rPr>
        <w:t>e</w:t>
      </w:r>
      <w:r w:rsidR="00971692" w:rsidRPr="007C61CE">
        <w:rPr>
          <w:sz w:val="23"/>
          <w:szCs w:val="23"/>
          <w:lang w:val="es-ES"/>
        </w:rPr>
        <w:t xml:space="preserve"> </w:t>
      </w:r>
      <w:r>
        <w:rPr>
          <w:sz w:val="23"/>
          <w:szCs w:val="23"/>
          <w:lang w:val="es-ES"/>
        </w:rPr>
        <w:t xml:space="preserve">en </w:t>
      </w:r>
      <w:r w:rsidR="00971692" w:rsidRPr="007C61CE">
        <w:rPr>
          <w:sz w:val="23"/>
          <w:szCs w:val="23"/>
          <w:lang w:val="es-ES"/>
        </w:rPr>
        <w:t xml:space="preserve">el </w:t>
      </w:r>
      <w:r w:rsidR="008F57D5">
        <w:rPr>
          <w:sz w:val="23"/>
          <w:szCs w:val="23"/>
          <w:lang w:val="es-ES"/>
        </w:rPr>
        <w:t>uso</w:t>
      </w:r>
      <w:r w:rsidR="00020DA8">
        <w:rPr>
          <w:sz w:val="23"/>
          <w:szCs w:val="23"/>
          <w:lang w:val="es-ES"/>
        </w:rPr>
        <w:t xml:space="preserve"> </w:t>
      </w:r>
      <w:r w:rsidR="00971692" w:rsidRPr="007C61CE">
        <w:rPr>
          <w:sz w:val="23"/>
          <w:szCs w:val="23"/>
          <w:lang w:val="es-ES"/>
        </w:rPr>
        <w:t>racional y sostenible de la tierra y  los recursos naturales.</w:t>
      </w:r>
    </w:p>
    <w:p w:rsidR="00971692" w:rsidRPr="007C61CE" w:rsidRDefault="00971692" w:rsidP="00971692">
      <w:pPr>
        <w:ind w:left="720"/>
        <w:contextualSpacing/>
        <w:rPr>
          <w:sz w:val="23"/>
          <w:szCs w:val="23"/>
          <w:lang w:val="es-ES"/>
        </w:rPr>
      </w:pPr>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Tal como se hizo satisfactoriamente con el proyecto anterior, se le prestará atención especial a posibles riesgos como la posibilidad que las instituciones asociadas con el ordenamiento de la propiedad de manera inadvertida (i) Regularicen la tenencia de la tierra dentro de un área protegida en caso que no haya una coordinación adecuada entre las acciones de demarcación y catastro regular; (ii) Titulen propiedades privadas que posean patrimonios culturales valiosos antes de proceder con su debida identificación. Al mismo tiempo, será muy importante darle seguimiento a posibles impactos ambientales adversos asociados con los procesos de regularización derivados de conductas impredecibles y motivadas por factores heterogéneos. Ejemplos: (i) Los campesinos proceden a deforestar de manera apresurada las tierras antes que los visiten los técnicos del Proyecto para aparentar que tienen grandes extensiones con un uso productivo; (ii) Las personas que recién reciban sus títulos de propiedad decidan deforestar zonas boscosas dentro de sus propiedades para ampliar los pastizales o las áreas de cultivo una vez que se conviertan en sujetos de créditos.</w:t>
      </w:r>
    </w:p>
    <w:p w:rsidR="00971692" w:rsidRPr="007C61CE" w:rsidRDefault="00971692" w:rsidP="00971692">
      <w:pPr>
        <w:tabs>
          <w:tab w:val="left" w:pos="709"/>
        </w:tabs>
        <w:jc w:val="both"/>
        <w:rPr>
          <w:sz w:val="23"/>
          <w:szCs w:val="23"/>
          <w:lang w:val="es-ES"/>
        </w:rPr>
      </w:pPr>
    </w:p>
    <w:p w:rsidR="00971692" w:rsidRPr="007C61CE" w:rsidRDefault="00971692" w:rsidP="00D44902">
      <w:pPr>
        <w:numPr>
          <w:ilvl w:val="0"/>
          <w:numId w:val="14"/>
        </w:numPr>
        <w:tabs>
          <w:tab w:val="clear" w:pos="360"/>
        </w:tabs>
        <w:jc w:val="both"/>
        <w:rPr>
          <w:sz w:val="23"/>
          <w:szCs w:val="23"/>
          <w:lang w:val="es-ES"/>
        </w:rPr>
      </w:pPr>
      <w:r w:rsidRPr="007C61CE">
        <w:rPr>
          <w:sz w:val="23"/>
          <w:szCs w:val="23"/>
          <w:lang w:val="es-ES"/>
        </w:rPr>
        <w:t xml:space="preserve">El PGA contempla actividades, recursos financieros y responsabilidades específicas que garanticen el seguimiento y mitigación adecuado de los riesgos antes mencionados. Las medidas de mitigación, en su mayoría integradas en los componentes y actividades del Proyecto comprenden: (i) Secuencia sincronizada de las actividades de regularización y de comunicación social; (ii) Actividades de alcance y activismo social para evitar la titulación prematura e incondicional de tierras dentro de áreas protegidas; (iii) Actividades de educación y concientización ambiental. Además, el PGA ofrece una guía </w:t>
      </w:r>
      <w:r w:rsidR="00C46691" w:rsidRPr="00F702EF">
        <w:rPr>
          <w:sz w:val="23"/>
          <w:szCs w:val="23"/>
          <w:lang w:val="es-ES"/>
        </w:rPr>
        <w:t>contractualmente obligatoria</w:t>
      </w:r>
      <w:r w:rsidRPr="007C61CE">
        <w:rPr>
          <w:sz w:val="23"/>
          <w:szCs w:val="23"/>
          <w:lang w:val="es-ES"/>
        </w:rPr>
        <w:t xml:space="preserve"> sobre las prácticas respetuosas del medio ambiente, de las leyes laborales y de la seguridad ocupacional que deben observarse durante la colocación de los linderos o mojones de las áreas protegidas y durante la ejecución de las obras menores de rehabilitación en algunas oficinas de las agencias co-ejecutoras. El PGA orienta sobre los permisos requeridos para dichas actividades. Vale la pena recalcar que durante las acciones de demarcación, el MARENA aplicará las Normas de las Buenas Prácticas Ambientales desarrolladas y puestas en práctica durante el proyecto anterior. </w:t>
      </w:r>
    </w:p>
    <w:bookmarkEnd w:id="112"/>
    <w:p w:rsidR="00842CC0" w:rsidRPr="007C61CE" w:rsidRDefault="00842CC0" w:rsidP="00542E60">
      <w:pPr>
        <w:pStyle w:val="PDSAnnexHeading"/>
        <w:jc w:val="left"/>
        <w:rPr>
          <w:sz w:val="23"/>
          <w:szCs w:val="23"/>
          <w:lang w:val="es-ES"/>
        </w:rPr>
        <w:sectPr w:rsidR="00842CC0" w:rsidRPr="007C61CE" w:rsidSect="001C220F">
          <w:footerReference w:type="default" r:id="rId13"/>
          <w:pgSz w:w="12240" w:h="15840" w:code="1"/>
          <w:pgMar w:top="1440" w:right="1440" w:bottom="1440" w:left="1440" w:header="720" w:footer="720" w:gutter="0"/>
          <w:pgNumType w:start="1"/>
          <w:cols w:space="720"/>
          <w:docGrid w:linePitch="360"/>
        </w:sectPr>
      </w:pPr>
    </w:p>
    <w:bookmarkEnd w:id="2"/>
    <w:bookmarkEnd w:id="3"/>
    <w:tbl>
      <w:tblPr>
        <w:tblW w:w="1322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13221"/>
      </w:tblGrid>
      <w:tr w:rsidR="00D4690A" w:rsidRPr="00F702EF"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D4690A" w:rsidRPr="007C61CE" w:rsidRDefault="00D4690A" w:rsidP="00C1184E">
            <w:pPr>
              <w:rPr>
                <w:rFonts w:ascii="Times" w:hAnsi="Times" w:cs="Times"/>
                <w:color w:val="FFFFFF"/>
                <w:sz w:val="23"/>
                <w:szCs w:val="23"/>
                <w:lang w:val="es-ES"/>
              </w:rPr>
            </w:pPr>
          </w:p>
        </w:tc>
      </w:tr>
      <w:tr w:rsidR="00D4690A" w:rsidRPr="00F702EF"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D4690A" w:rsidRPr="005B6CFA" w:rsidRDefault="00D4690A" w:rsidP="00C1184E">
            <w:pPr>
              <w:rPr>
                <w:rFonts w:ascii="Times" w:hAnsi="Times" w:cs="Times"/>
                <w:color w:val="FFFFFF"/>
                <w:sz w:val="18"/>
                <w:szCs w:val="18"/>
                <w:lang w:val="es-ES"/>
              </w:rPr>
            </w:pPr>
          </w:p>
        </w:tc>
      </w:tr>
      <w:tr w:rsidR="000146F6" w:rsidRPr="00F702EF"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1C770C" w:rsidRDefault="005B6CFA" w:rsidP="00161DCB">
            <w:pPr>
              <w:pStyle w:val="Heading4"/>
            </w:pPr>
            <w:bookmarkStart w:id="113" w:name="_Toc357981083"/>
            <w:r w:rsidRPr="001C770C">
              <w:t>Anexo</w:t>
            </w:r>
            <w:r w:rsidR="000146F6" w:rsidRPr="001C770C">
              <w:t xml:space="preserve"> 1: </w:t>
            </w:r>
            <w:r w:rsidRPr="001C770C">
              <w:t xml:space="preserve">Marco de </w:t>
            </w:r>
            <w:r w:rsidR="000146F6" w:rsidRPr="001C770C">
              <w:t>Result</w:t>
            </w:r>
            <w:r w:rsidRPr="001C770C">
              <w:t>ado</w:t>
            </w:r>
            <w:r w:rsidR="000146F6" w:rsidRPr="001C770C">
              <w:t xml:space="preserve">s </w:t>
            </w:r>
            <w:r w:rsidRPr="001C770C">
              <w:t xml:space="preserve">y </w:t>
            </w:r>
            <w:r w:rsidR="000146F6" w:rsidRPr="001C770C">
              <w:t>Monitor</w:t>
            </w:r>
            <w:r w:rsidRPr="001C770C">
              <w:t>eo</w:t>
            </w:r>
            <w:bookmarkEnd w:id="113"/>
          </w:p>
        </w:tc>
      </w:tr>
      <w:tr w:rsidR="000146F6" w:rsidRPr="005B6CFA"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0146F6" w:rsidP="000146F6">
            <w:pPr>
              <w:rPr>
                <w:rFonts w:ascii="Times" w:hAnsi="Times" w:cs="Times"/>
                <w:color w:val="FFFFFF"/>
                <w:sz w:val="4"/>
                <w:szCs w:val="4"/>
                <w:lang w:val="es-ES"/>
              </w:rPr>
            </w:pPr>
            <w:r w:rsidRPr="005B6CFA">
              <w:rPr>
                <w:rFonts w:ascii="Times" w:hAnsi="Times" w:cs="Times"/>
                <w:color w:val="FFFFFF"/>
                <w:sz w:val="4"/>
                <w:szCs w:val="4"/>
                <w:lang w:val="es-ES"/>
              </w:rPr>
              <w:t>.</w:t>
            </w:r>
          </w:p>
        </w:tc>
      </w:tr>
      <w:tr w:rsidR="000146F6" w:rsidRPr="005B6CFA"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5B6CFA" w:rsidP="000146F6">
            <w:pPr>
              <w:jc w:val="center"/>
              <w:rPr>
                <w:lang w:val="es-ES"/>
              </w:rPr>
            </w:pPr>
            <w:r>
              <w:rPr>
                <w:b/>
                <w:bCs/>
                <w:lang w:val="es-ES"/>
              </w:rPr>
              <w:t>País</w:t>
            </w:r>
            <w:r w:rsidR="000146F6" w:rsidRPr="005B6CFA">
              <w:rPr>
                <w:b/>
                <w:bCs/>
                <w:lang w:val="es-ES"/>
              </w:rPr>
              <w:t>: Nicaragua</w:t>
            </w:r>
          </w:p>
        </w:tc>
      </w:tr>
      <w:tr w:rsidR="000146F6" w:rsidRPr="00F702EF"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5B6CFA" w:rsidP="000146F6">
            <w:pPr>
              <w:jc w:val="center"/>
              <w:rPr>
                <w:lang w:val="es-ES"/>
              </w:rPr>
            </w:pPr>
            <w:r>
              <w:rPr>
                <w:b/>
                <w:bCs/>
                <w:lang w:val="es-ES"/>
              </w:rPr>
              <w:t>Nombre del Proyecto</w:t>
            </w:r>
            <w:r w:rsidR="000146F6" w:rsidRPr="005B6CFA">
              <w:rPr>
                <w:b/>
                <w:bCs/>
                <w:lang w:val="es-ES"/>
              </w:rPr>
              <w:t xml:space="preserve">: </w:t>
            </w:r>
            <w:r w:rsidR="001209FA" w:rsidRPr="005B6CFA">
              <w:rPr>
                <w:b/>
                <w:bCs/>
                <w:lang w:val="es-ES"/>
              </w:rPr>
              <w:t>Segundo Proyecto de Ordenamiento de la Propiedad</w:t>
            </w:r>
            <w:r w:rsidR="000146F6" w:rsidRPr="005B6CFA">
              <w:rPr>
                <w:b/>
                <w:bCs/>
                <w:lang w:val="es-ES"/>
              </w:rPr>
              <w:t xml:space="preserve"> (P121152)</w:t>
            </w:r>
          </w:p>
        </w:tc>
      </w:tr>
      <w:tr w:rsidR="000146F6" w:rsidRPr="005B6CFA"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0146F6" w:rsidP="000146F6">
            <w:pPr>
              <w:rPr>
                <w:rFonts w:ascii="Times" w:hAnsi="Times" w:cs="Times"/>
                <w:color w:val="FFFFFF"/>
                <w:sz w:val="4"/>
                <w:szCs w:val="4"/>
                <w:lang w:val="es-ES"/>
              </w:rPr>
            </w:pPr>
            <w:r w:rsidRPr="005B6CFA">
              <w:rPr>
                <w:rFonts w:ascii="Times" w:hAnsi="Times" w:cs="Times"/>
                <w:color w:val="FFFFFF"/>
                <w:sz w:val="4"/>
                <w:szCs w:val="4"/>
                <w:lang w:val="es-ES"/>
              </w:rPr>
              <w:t>.</w:t>
            </w:r>
          </w:p>
          <w:p w:rsidR="00BA7348" w:rsidRPr="005B6CFA" w:rsidRDefault="00BA7348" w:rsidP="000146F6">
            <w:pPr>
              <w:rPr>
                <w:rFonts w:ascii="Times" w:hAnsi="Times" w:cs="Times"/>
                <w:color w:val="FFFFFF"/>
                <w:sz w:val="4"/>
                <w:szCs w:val="4"/>
                <w:lang w:val="es-ES"/>
              </w:rPr>
            </w:pPr>
            <w:r w:rsidRPr="005B6CFA">
              <w:rPr>
                <w:rFonts w:ascii="Times" w:hAnsi="Times" w:cs="Times"/>
                <w:color w:val="FFFFFF"/>
                <w:sz w:val="4"/>
                <w:szCs w:val="4"/>
                <w:lang w:val="es-ES"/>
              </w:rPr>
              <w:t>\</w:t>
            </w:r>
          </w:p>
          <w:p w:rsidR="00BA7348" w:rsidRPr="005B6CFA" w:rsidRDefault="00BA7348" w:rsidP="000146F6">
            <w:pPr>
              <w:rPr>
                <w:rFonts w:ascii="Times" w:hAnsi="Times" w:cs="Times"/>
                <w:color w:val="FFFFFF"/>
                <w:sz w:val="4"/>
                <w:szCs w:val="4"/>
                <w:lang w:val="es-ES"/>
              </w:rPr>
            </w:pPr>
          </w:p>
          <w:p w:rsidR="00BA7348" w:rsidRPr="005B6CFA" w:rsidRDefault="00BA7348" w:rsidP="000146F6">
            <w:pPr>
              <w:rPr>
                <w:rFonts w:ascii="Times" w:hAnsi="Times" w:cs="Times"/>
                <w:color w:val="FFFFFF"/>
                <w:sz w:val="4"/>
                <w:szCs w:val="4"/>
                <w:lang w:val="es-ES"/>
              </w:rPr>
            </w:pPr>
          </w:p>
        </w:tc>
      </w:tr>
      <w:tr w:rsidR="000146F6" w:rsidRPr="005B6CFA"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0146F6" w:rsidP="000146F6">
            <w:pPr>
              <w:rPr>
                <w:rFonts w:ascii="Times" w:hAnsi="Times" w:cs="Times"/>
                <w:color w:val="FFFFFF"/>
                <w:sz w:val="4"/>
                <w:szCs w:val="4"/>
                <w:lang w:val="es-ES"/>
              </w:rPr>
            </w:pPr>
            <w:r w:rsidRPr="005B6CFA">
              <w:rPr>
                <w:rFonts w:ascii="Times" w:hAnsi="Times" w:cs="Times"/>
                <w:color w:val="FFFFFF"/>
                <w:sz w:val="4"/>
                <w:szCs w:val="4"/>
                <w:lang w:val="es-ES"/>
              </w:rPr>
              <w:t>.</w:t>
            </w:r>
          </w:p>
        </w:tc>
      </w:tr>
      <w:tr w:rsidR="000146F6" w:rsidRPr="00F702EF" w:rsidTr="00CA3788">
        <w:tc>
          <w:tcPr>
            <w:tcW w:w="13221" w:type="dxa"/>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0146F6" w:rsidRPr="005B6CFA" w:rsidRDefault="005B6CFA" w:rsidP="000146F6">
            <w:pPr>
              <w:rPr>
                <w:sz w:val="18"/>
                <w:szCs w:val="18"/>
                <w:lang w:val="es-ES"/>
              </w:rPr>
            </w:pPr>
            <w:r w:rsidRPr="005B6CFA">
              <w:rPr>
                <w:b/>
                <w:bCs/>
                <w:sz w:val="18"/>
                <w:szCs w:val="18"/>
                <w:lang w:val="es-ES"/>
              </w:rPr>
              <w:t>Objetivos de Desarrollo del Proyecto</w:t>
            </w:r>
          </w:p>
        </w:tc>
      </w:tr>
      <w:tr w:rsidR="000146F6" w:rsidRPr="005B6CFA"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0146F6" w:rsidP="000146F6">
            <w:pPr>
              <w:rPr>
                <w:rFonts w:ascii="Times" w:hAnsi="Times" w:cs="Times"/>
                <w:color w:val="FFFFFF"/>
                <w:sz w:val="18"/>
                <w:szCs w:val="18"/>
                <w:lang w:val="es-ES"/>
              </w:rPr>
            </w:pPr>
            <w:r w:rsidRPr="005B6CFA">
              <w:rPr>
                <w:rFonts w:ascii="Times" w:hAnsi="Times" w:cs="Times"/>
                <w:color w:val="FFFFFF"/>
                <w:sz w:val="18"/>
                <w:szCs w:val="18"/>
                <w:lang w:val="es-ES"/>
              </w:rPr>
              <w:t>.</w:t>
            </w:r>
          </w:p>
        </w:tc>
      </w:tr>
      <w:tr w:rsidR="000146F6" w:rsidRPr="005B6CFA" w:rsidTr="00CA3788">
        <w:tc>
          <w:tcPr>
            <w:tcW w:w="13221" w:type="dxa"/>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0146F6" w:rsidRPr="005B6CFA" w:rsidRDefault="005B6CFA" w:rsidP="000146F6">
            <w:pPr>
              <w:rPr>
                <w:color w:val="314F4F"/>
                <w:sz w:val="18"/>
                <w:szCs w:val="18"/>
                <w:lang w:val="es-ES"/>
              </w:rPr>
            </w:pPr>
            <w:r w:rsidRPr="005B6CFA">
              <w:rPr>
                <w:color w:val="314F4F"/>
                <w:sz w:val="18"/>
                <w:szCs w:val="18"/>
                <w:lang w:val="es-ES"/>
              </w:rPr>
              <w:t>ODP</w:t>
            </w:r>
          </w:p>
        </w:tc>
      </w:tr>
      <w:tr w:rsidR="000146F6" w:rsidRPr="00F702EF" w:rsidTr="00CA3788">
        <w:tc>
          <w:tcPr>
            <w:tcW w:w="13221" w:type="dxa"/>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0146F6" w:rsidRPr="001C770C" w:rsidRDefault="001C770C" w:rsidP="00D0221A">
            <w:pPr>
              <w:rPr>
                <w:sz w:val="18"/>
                <w:szCs w:val="18"/>
                <w:lang w:val="es-NI"/>
              </w:rPr>
            </w:pPr>
            <w:r w:rsidRPr="001C770C">
              <w:rPr>
                <w:sz w:val="18"/>
                <w:szCs w:val="18"/>
                <w:lang w:val="es-NI"/>
              </w:rPr>
              <w:t>Los Objetivos de Desarrollo del Proyecto (ODP) son: (a) Fortalecer los derechos de propiedad de la población del área de influencia del Proyecto, a través del mejoramiento de los servicios de regularización, titulación y registro de propiedades; (b) Mejorar la capacidad de Nicaragua para responder de manera rápida y efectiva ante emergencias relevante</w:t>
            </w:r>
            <w:r w:rsidR="00D0221A">
              <w:rPr>
                <w:sz w:val="18"/>
                <w:szCs w:val="18"/>
                <w:lang w:val="es-NI"/>
              </w:rPr>
              <w:t>s</w:t>
            </w:r>
            <w:r w:rsidR="000146F6" w:rsidRPr="001C770C">
              <w:rPr>
                <w:sz w:val="18"/>
                <w:szCs w:val="18"/>
                <w:lang w:val="es-NI"/>
              </w:rPr>
              <w:t>.</w:t>
            </w:r>
          </w:p>
        </w:tc>
      </w:tr>
      <w:tr w:rsidR="000146F6" w:rsidRPr="005B6CFA" w:rsidTr="00CA3788">
        <w:tc>
          <w:tcPr>
            <w:tcW w:w="13221" w:type="dxa"/>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0146F6" w:rsidP="000146F6">
            <w:pPr>
              <w:rPr>
                <w:rFonts w:ascii="Times" w:hAnsi="Times" w:cs="Times"/>
                <w:color w:val="FFFFFF"/>
                <w:sz w:val="18"/>
                <w:szCs w:val="18"/>
                <w:lang w:val="es-ES"/>
              </w:rPr>
            </w:pPr>
            <w:r w:rsidRPr="005B6CFA">
              <w:rPr>
                <w:rFonts w:ascii="Times" w:hAnsi="Times" w:cs="Times"/>
                <w:color w:val="FFFFFF"/>
                <w:sz w:val="18"/>
                <w:szCs w:val="18"/>
                <w:lang w:val="es-ES"/>
              </w:rPr>
              <w:t>.</w:t>
            </w:r>
          </w:p>
        </w:tc>
      </w:tr>
      <w:tr w:rsidR="000146F6" w:rsidRPr="00F702EF" w:rsidTr="00CA3788">
        <w:tc>
          <w:tcPr>
            <w:tcW w:w="13221" w:type="dxa"/>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0146F6" w:rsidRPr="005B6CFA" w:rsidRDefault="00D0221A" w:rsidP="000146F6">
            <w:pPr>
              <w:rPr>
                <w:sz w:val="18"/>
                <w:szCs w:val="18"/>
                <w:lang w:val="es-ES"/>
              </w:rPr>
            </w:pPr>
            <w:r w:rsidRPr="005B6CFA">
              <w:rPr>
                <w:b/>
                <w:bCs/>
                <w:sz w:val="18"/>
                <w:szCs w:val="18"/>
                <w:lang w:val="es-ES"/>
              </w:rPr>
              <w:t>Indicadores</w:t>
            </w:r>
            <w:r w:rsidR="00FE4009">
              <w:rPr>
                <w:b/>
                <w:bCs/>
                <w:sz w:val="18"/>
                <w:szCs w:val="18"/>
                <w:lang w:val="es-ES"/>
              </w:rPr>
              <w:t xml:space="preserve"> </w:t>
            </w:r>
            <w:r>
              <w:rPr>
                <w:b/>
                <w:bCs/>
                <w:sz w:val="18"/>
                <w:szCs w:val="18"/>
                <w:lang w:val="es-ES"/>
              </w:rPr>
              <w:t xml:space="preserve">de los </w:t>
            </w:r>
            <w:r w:rsidRPr="00D0221A">
              <w:rPr>
                <w:b/>
                <w:bCs/>
                <w:sz w:val="18"/>
                <w:szCs w:val="18"/>
                <w:lang w:val="es-ES"/>
              </w:rPr>
              <w:t>Objetivos de Desarrollo del Proyecto</w:t>
            </w:r>
          </w:p>
        </w:tc>
      </w:tr>
    </w:tbl>
    <w:p w:rsidR="00BD3F13" w:rsidRDefault="00BD3F13" w:rsidP="000146F6">
      <w:pPr>
        <w:tabs>
          <w:tab w:val="left" w:pos="2362"/>
          <w:tab w:val="left" w:pos="3014"/>
          <w:tab w:val="left" w:pos="3919"/>
          <w:tab w:val="left" w:pos="4679"/>
          <w:tab w:val="left" w:pos="9304"/>
          <w:tab w:val="left" w:pos="10494"/>
          <w:tab w:val="left" w:pos="12020"/>
        </w:tabs>
        <w:ind w:left="50"/>
        <w:rPr>
          <w:color w:val="314F4F"/>
          <w:sz w:val="18"/>
          <w:szCs w:val="18"/>
          <w:lang w:val="es-ES"/>
        </w:rPr>
      </w:pPr>
      <w:r w:rsidRPr="00D0221A">
        <w:rPr>
          <w:sz w:val="18"/>
          <w:szCs w:val="18"/>
          <w:lang w:val="es-ES"/>
        </w:rPr>
        <w:tab/>
      </w:r>
      <w:r w:rsidRPr="00D0221A">
        <w:rPr>
          <w:sz w:val="18"/>
          <w:szCs w:val="18"/>
          <w:lang w:val="es-ES"/>
        </w:rPr>
        <w:tab/>
      </w:r>
      <w:r w:rsidRPr="00D0221A">
        <w:rPr>
          <w:sz w:val="18"/>
          <w:szCs w:val="18"/>
          <w:lang w:val="es-ES"/>
        </w:rPr>
        <w:tab/>
      </w:r>
      <w:r w:rsidRPr="00D0221A">
        <w:rPr>
          <w:sz w:val="18"/>
          <w:szCs w:val="18"/>
          <w:lang w:val="es-ES"/>
        </w:rPr>
        <w:tab/>
      </w:r>
      <w:r>
        <w:rPr>
          <w:color w:val="314F4F"/>
          <w:sz w:val="18"/>
          <w:szCs w:val="18"/>
          <w:lang w:val="es-ES"/>
        </w:rPr>
        <w:tab/>
      </w:r>
      <w:r w:rsidRPr="00D0221A">
        <w:rPr>
          <w:sz w:val="18"/>
          <w:szCs w:val="18"/>
          <w:lang w:val="es-ES"/>
        </w:rPr>
        <w:tab/>
      </w:r>
      <w:r>
        <w:rPr>
          <w:color w:val="314F4F"/>
          <w:sz w:val="18"/>
          <w:szCs w:val="18"/>
          <w:lang w:val="es-ES"/>
        </w:rPr>
        <w:tab/>
      </w:r>
    </w:p>
    <w:tbl>
      <w:tblPr>
        <w:tblW w:w="13221"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322"/>
        <w:gridCol w:w="12"/>
        <w:gridCol w:w="6"/>
        <w:gridCol w:w="70"/>
        <w:gridCol w:w="554"/>
        <w:gridCol w:w="6"/>
        <w:gridCol w:w="899"/>
        <w:gridCol w:w="384"/>
        <w:gridCol w:w="283"/>
        <w:gridCol w:w="93"/>
        <w:gridCol w:w="925"/>
        <w:gridCol w:w="925"/>
        <w:gridCol w:w="925"/>
        <w:gridCol w:w="925"/>
        <w:gridCol w:w="925"/>
        <w:gridCol w:w="952"/>
        <w:gridCol w:w="238"/>
        <w:gridCol w:w="1180"/>
        <w:gridCol w:w="142"/>
        <w:gridCol w:w="1196"/>
        <w:gridCol w:w="259"/>
      </w:tblGrid>
      <w:tr w:rsidR="000146F6" w:rsidRPr="00BD3F13" w:rsidTr="006C246F">
        <w:tc>
          <w:tcPr>
            <w:tcW w:w="2410"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p>
        </w:tc>
        <w:tc>
          <w:tcPr>
            <w:tcW w:w="554"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p>
        </w:tc>
        <w:tc>
          <w:tcPr>
            <w:tcW w:w="905"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p>
        </w:tc>
        <w:tc>
          <w:tcPr>
            <w:tcW w:w="760" w:type="dxa"/>
            <w:gridSpan w:val="3"/>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Valores Acumulativos de Meta a Alcanzar</w:t>
            </w:r>
          </w:p>
        </w:tc>
        <w:tc>
          <w:tcPr>
            <w:tcW w:w="952"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p>
        </w:tc>
        <w:tc>
          <w:tcPr>
            <w:tcW w:w="1418"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0146F6" w:rsidRPr="00E55CAC" w:rsidRDefault="00D0221A" w:rsidP="000146F6">
            <w:pPr>
              <w:rPr>
                <w:color w:val="314F4F"/>
                <w:sz w:val="16"/>
                <w:szCs w:val="16"/>
                <w:lang w:val="es-ES"/>
              </w:rPr>
            </w:pPr>
            <w:r w:rsidRPr="00E55CAC">
              <w:rPr>
                <w:color w:val="314F4F"/>
                <w:sz w:val="16"/>
                <w:szCs w:val="16"/>
                <w:lang w:val="es-ES"/>
              </w:rPr>
              <w:t>Fuente de Datos</w:t>
            </w:r>
            <w:r w:rsidR="000146F6" w:rsidRPr="00E55CAC">
              <w:rPr>
                <w:color w:val="314F4F"/>
                <w:sz w:val="16"/>
                <w:szCs w:val="16"/>
                <w:lang w:val="es-ES"/>
              </w:rPr>
              <w:t>/</w:t>
            </w:r>
          </w:p>
        </w:tc>
        <w:tc>
          <w:tcPr>
            <w:tcW w:w="1597" w:type="dxa"/>
            <w:gridSpan w:val="3"/>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0146F6" w:rsidRPr="00E55CAC" w:rsidRDefault="00D0221A" w:rsidP="000146F6">
            <w:pPr>
              <w:rPr>
                <w:color w:val="314F4F"/>
                <w:sz w:val="16"/>
                <w:szCs w:val="16"/>
                <w:lang w:val="es-ES"/>
              </w:rPr>
            </w:pPr>
            <w:r w:rsidRPr="00E55CAC">
              <w:rPr>
                <w:color w:val="314F4F"/>
                <w:sz w:val="16"/>
                <w:szCs w:val="16"/>
                <w:lang w:val="es-ES"/>
              </w:rPr>
              <w:t>Responsable de</w:t>
            </w:r>
          </w:p>
        </w:tc>
      </w:tr>
      <w:tr w:rsidR="000146F6" w:rsidRPr="00BD3F13" w:rsidTr="006C246F">
        <w:tc>
          <w:tcPr>
            <w:tcW w:w="2410"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rPr>
                <w:color w:val="314F4F"/>
                <w:sz w:val="16"/>
                <w:szCs w:val="16"/>
                <w:lang w:val="es-ES"/>
              </w:rPr>
            </w:pPr>
            <w:r w:rsidRPr="00E55CAC">
              <w:rPr>
                <w:color w:val="314F4F"/>
                <w:sz w:val="16"/>
                <w:szCs w:val="16"/>
                <w:lang w:val="es-ES"/>
              </w:rPr>
              <w:t>Indicador</w:t>
            </w:r>
          </w:p>
        </w:tc>
        <w:tc>
          <w:tcPr>
            <w:tcW w:w="554"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Base</w:t>
            </w:r>
          </w:p>
        </w:tc>
        <w:tc>
          <w:tcPr>
            <w:tcW w:w="905"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rPr>
                <w:color w:val="314F4F"/>
                <w:sz w:val="16"/>
                <w:szCs w:val="16"/>
                <w:lang w:val="es-ES"/>
              </w:rPr>
            </w:pPr>
            <w:r w:rsidRPr="00E55CAC">
              <w:rPr>
                <w:color w:val="314F4F"/>
                <w:sz w:val="16"/>
                <w:szCs w:val="16"/>
                <w:lang w:val="es-ES"/>
              </w:rPr>
              <w:t>Unidad de medida</w:t>
            </w:r>
          </w:p>
        </w:tc>
        <w:tc>
          <w:tcPr>
            <w:tcW w:w="760"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Línea de base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 xml:space="preserve">AÑO </w:t>
            </w:r>
            <w:r w:rsidR="000146F6" w:rsidRPr="00E55CAC">
              <w:rPr>
                <w:color w:val="314F4F"/>
                <w:sz w:val="16"/>
                <w:szCs w:val="16"/>
                <w:lang w:val="es-ES"/>
              </w:rPr>
              <w:t>1</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 xml:space="preserve">AÑO </w:t>
            </w:r>
            <w:r w:rsidR="000146F6" w:rsidRPr="00E55CAC">
              <w:rPr>
                <w:color w:val="314F4F"/>
                <w:sz w:val="16"/>
                <w:szCs w:val="16"/>
                <w:lang w:val="es-ES"/>
              </w:rPr>
              <w:t>2</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 xml:space="preserve">AÑO </w:t>
            </w:r>
            <w:r w:rsidR="000146F6" w:rsidRPr="00E55CAC">
              <w:rPr>
                <w:color w:val="314F4F"/>
                <w:sz w:val="16"/>
                <w:szCs w:val="16"/>
                <w:lang w:val="es-ES"/>
              </w:rPr>
              <w:t>3</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 xml:space="preserve">AÑO </w:t>
            </w:r>
            <w:r w:rsidR="000146F6" w:rsidRPr="00E55CAC">
              <w:rPr>
                <w:color w:val="314F4F"/>
                <w:sz w:val="16"/>
                <w:szCs w:val="16"/>
                <w:lang w:val="es-ES"/>
              </w:rPr>
              <w:t>4</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jc w:val="center"/>
              <w:rPr>
                <w:color w:val="314F4F"/>
                <w:sz w:val="16"/>
                <w:szCs w:val="16"/>
                <w:lang w:val="es-ES"/>
              </w:rPr>
            </w:pPr>
            <w:r w:rsidRPr="00E55CAC">
              <w:rPr>
                <w:color w:val="314F4F"/>
                <w:sz w:val="16"/>
                <w:szCs w:val="16"/>
                <w:lang w:val="es-ES"/>
              </w:rPr>
              <w:t>Meta final</w:t>
            </w:r>
          </w:p>
        </w:tc>
        <w:tc>
          <w:tcPr>
            <w:tcW w:w="952"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D0221A" w:rsidP="000146F6">
            <w:pPr>
              <w:rPr>
                <w:color w:val="314F4F"/>
                <w:sz w:val="16"/>
                <w:szCs w:val="16"/>
                <w:lang w:val="es-ES"/>
              </w:rPr>
            </w:pPr>
            <w:r w:rsidRPr="00E55CAC">
              <w:rPr>
                <w:color w:val="314F4F"/>
                <w:sz w:val="16"/>
                <w:szCs w:val="16"/>
                <w:lang w:val="es-ES"/>
              </w:rPr>
              <w:t>Frecuencia</w:t>
            </w:r>
          </w:p>
        </w:tc>
        <w:tc>
          <w:tcPr>
            <w:tcW w:w="1418"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D0221A" w:rsidP="000146F6">
            <w:pPr>
              <w:rPr>
                <w:color w:val="314F4F"/>
                <w:sz w:val="16"/>
                <w:szCs w:val="16"/>
                <w:lang w:val="es-ES"/>
              </w:rPr>
            </w:pPr>
            <w:r w:rsidRPr="00E55CAC">
              <w:rPr>
                <w:color w:val="314F4F"/>
                <w:sz w:val="16"/>
                <w:szCs w:val="16"/>
                <w:lang w:val="es-ES"/>
              </w:rPr>
              <w:t>Metodología</w:t>
            </w:r>
          </w:p>
        </w:tc>
        <w:tc>
          <w:tcPr>
            <w:tcW w:w="1597" w:type="dxa"/>
            <w:gridSpan w:val="3"/>
            <w:tcBorders>
              <w:top w:val="nil"/>
              <w:left w:val="nil"/>
              <w:bottom w:val="single" w:sz="4" w:space="0" w:color="000000"/>
              <w:right w:val="nil"/>
            </w:tcBorders>
            <w:shd w:val="clear" w:color="auto" w:fill="FFFFFF"/>
            <w:tcMar>
              <w:top w:w="50" w:type="dxa"/>
              <w:left w:w="50" w:type="dxa"/>
              <w:bottom w:w="50" w:type="dxa"/>
              <w:right w:w="50" w:type="dxa"/>
            </w:tcMar>
          </w:tcPr>
          <w:p w:rsidR="000146F6" w:rsidRPr="00E55CAC" w:rsidRDefault="00D0221A" w:rsidP="000146F6">
            <w:pPr>
              <w:rPr>
                <w:color w:val="314F4F"/>
                <w:sz w:val="16"/>
                <w:szCs w:val="16"/>
                <w:lang w:val="es-ES"/>
              </w:rPr>
            </w:pPr>
            <w:r w:rsidRPr="00E55CAC">
              <w:rPr>
                <w:color w:val="314F4F"/>
                <w:sz w:val="16"/>
                <w:szCs w:val="16"/>
                <w:lang w:val="es-ES"/>
              </w:rPr>
              <w:t>Recolectar datos</w:t>
            </w:r>
          </w:p>
        </w:tc>
      </w:tr>
      <w:tr w:rsidR="000146F6" w:rsidRPr="00890CA6" w:rsidTr="006C246F">
        <w:trPr>
          <w:trHeight w:val="1323"/>
        </w:trPr>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2A0AF7">
            <w:pPr>
              <w:rPr>
                <w:sz w:val="16"/>
                <w:szCs w:val="16"/>
                <w:lang w:val="es-ES"/>
              </w:rPr>
            </w:pPr>
            <w:r w:rsidRPr="00E55CAC">
              <w:rPr>
                <w:sz w:val="16"/>
                <w:szCs w:val="16"/>
                <w:lang w:val="es-ES"/>
              </w:rPr>
              <w:t xml:space="preserve">[1] </w:t>
            </w:r>
            <w:r w:rsidR="002A0AF7" w:rsidRPr="00E55CAC">
              <w:rPr>
                <w:sz w:val="16"/>
                <w:szCs w:val="16"/>
                <w:lang w:val="es-ES"/>
              </w:rPr>
              <w:t xml:space="preserve">Beneficiarios directos del Proyecto </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300000.00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750000.00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Mitad de periodo y final del Proyecto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90CA6" w:rsidP="00890CA6">
            <w:pPr>
              <w:rPr>
                <w:sz w:val="16"/>
                <w:szCs w:val="16"/>
                <w:lang w:val="es-ES"/>
              </w:rPr>
            </w:pPr>
            <w:r w:rsidRPr="00E55CAC">
              <w:rPr>
                <w:sz w:val="16"/>
                <w:szCs w:val="16"/>
                <w:lang w:val="es-ES"/>
              </w:rPr>
              <w:t>P</w:t>
            </w:r>
            <w:r w:rsidR="000146F6" w:rsidRPr="00E55CAC">
              <w:rPr>
                <w:sz w:val="16"/>
                <w:szCs w:val="16"/>
                <w:lang w:val="es-ES"/>
              </w:rPr>
              <w:t>ro</w:t>
            </w:r>
            <w:r w:rsidRPr="00E55CAC">
              <w:rPr>
                <w:sz w:val="16"/>
                <w:szCs w:val="16"/>
                <w:lang w:val="es-ES"/>
              </w:rPr>
              <w:t>y</w:t>
            </w:r>
            <w:r w:rsidR="000146F6" w:rsidRPr="00E55CAC">
              <w:rPr>
                <w:sz w:val="16"/>
                <w:szCs w:val="16"/>
                <w:lang w:val="es-ES"/>
              </w:rPr>
              <w:t>ec</w:t>
            </w:r>
            <w:r w:rsidRPr="00E55CAC">
              <w:rPr>
                <w:sz w:val="16"/>
                <w:szCs w:val="16"/>
                <w:lang w:val="es-ES"/>
              </w:rPr>
              <w:t>c</w:t>
            </w:r>
            <w:r w:rsidR="000146F6" w:rsidRPr="00E55CAC">
              <w:rPr>
                <w:sz w:val="16"/>
                <w:szCs w:val="16"/>
                <w:lang w:val="es-ES"/>
              </w:rPr>
              <w:t>ion</w:t>
            </w:r>
            <w:r w:rsidRPr="00E55CAC">
              <w:rPr>
                <w:sz w:val="16"/>
                <w:szCs w:val="16"/>
                <w:lang w:val="es-ES"/>
              </w:rPr>
              <w:t>e</w:t>
            </w:r>
            <w:r w:rsidR="000146F6" w:rsidRPr="00E55CAC">
              <w:rPr>
                <w:sz w:val="16"/>
                <w:szCs w:val="16"/>
                <w:lang w:val="es-ES"/>
              </w:rPr>
              <w:t>s</w:t>
            </w:r>
            <w:r w:rsidRPr="00E55CAC">
              <w:rPr>
                <w:sz w:val="16"/>
                <w:szCs w:val="16"/>
                <w:lang w:val="es-ES"/>
              </w:rPr>
              <w:t xml:space="preserve"> demográficas del Instituto Nacional de Estadísticas y base de datos de los beneficiarios del Proyecto</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890CA6">
            <w:pPr>
              <w:rPr>
                <w:sz w:val="16"/>
                <w:szCs w:val="16"/>
              </w:rPr>
            </w:pPr>
            <w:r w:rsidRPr="00E55CAC">
              <w:rPr>
                <w:sz w:val="16"/>
                <w:szCs w:val="16"/>
              </w:rPr>
              <w:t>UCP</w:t>
            </w:r>
            <w:r w:rsidR="000146F6" w:rsidRPr="00E55CAC">
              <w:rPr>
                <w:sz w:val="16"/>
                <w:szCs w:val="16"/>
              </w:rPr>
              <w:t xml:space="preserve">-PGR, </w:t>
            </w:r>
            <w:r w:rsidRPr="00E55CAC">
              <w:rPr>
                <w:sz w:val="16"/>
                <w:szCs w:val="16"/>
                <w:lang w:val="es-ES"/>
              </w:rPr>
              <w:t>en colaboración con todas las agencias co-ejecutoras</w:t>
            </w:r>
            <w:r w:rsidR="000146F6" w:rsidRPr="00E55CAC">
              <w:rPr>
                <w:sz w:val="16"/>
                <w:szCs w:val="16"/>
              </w:rPr>
              <w:t>collaboration with all co-executing agencies</w:t>
            </w:r>
          </w:p>
        </w:tc>
      </w:tr>
      <w:tr w:rsidR="001B5C21" w:rsidRPr="00F702EF" w:rsidTr="006C246F">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1B5C21" w:rsidRPr="00E55CAC" w:rsidRDefault="001B5C21" w:rsidP="00BD3F13">
            <w:pPr>
              <w:rPr>
                <w:sz w:val="16"/>
                <w:szCs w:val="16"/>
                <w:lang w:val="es-ES"/>
              </w:rPr>
            </w:pPr>
            <w:r w:rsidRPr="00E55CAC">
              <w:rPr>
                <w:sz w:val="16"/>
                <w:szCs w:val="16"/>
                <w:lang w:val="es-ES"/>
              </w:rPr>
              <w:t xml:space="preserve">[1(a)] </w:t>
            </w:r>
            <w:r w:rsidR="00BD3F13" w:rsidRPr="00E55CAC">
              <w:rPr>
                <w:sz w:val="16"/>
                <w:szCs w:val="16"/>
                <w:lang w:val="es-ES"/>
              </w:rPr>
              <w:t>Mujeres beneficiarias</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5C21" w:rsidRPr="00E55CAC" w:rsidRDefault="001B5C21"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BD3F13" w:rsidP="000146F6">
            <w:pPr>
              <w:rPr>
                <w:sz w:val="16"/>
                <w:szCs w:val="16"/>
                <w:lang w:val="es-ES"/>
              </w:rPr>
            </w:pPr>
            <w:r w:rsidRPr="00E55CAC">
              <w:rPr>
                <w:sz w:val="16"/>
                <w:szCs w:val="16"/>
                <w:lang w:val="es-ES"/>
              </w:rPr>
              <w:t>Porcentaje</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1B5C21"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1B5C21"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1B5C21"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1B5C21" w:rsidP="000146F6">
            <w:pPr>
              <w:rPr>
                <w:sz w:val="16"/>
                <w:szCs w:val="16"/>
                <w:lang w:val="es-ES"/>
              </w:rPr>
            </w:pPr>
            <w:r w:rsidRPr="00E55CAC">
              <w:rPr>
                <w:sz w:val="16"/>
                <w:szCs w:val="16"/>
                <w:lang w:val="es-ES"/>
              </w:rPr>
              <w:t>45.00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1B5C21"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1B5C21" w:rsidP="000146F6">
            <w:pPr>
              <w:rPr>
                <w:sz w:val="16"/>
                <w:szCs w:val="16"/>
                <w:lang w:val="es-ES"/>
              </w:rPr>
            </w:pPr>
            <w:r w:rsidRPr="00E55CAC">
              <w:rPr>
                <w:sz w:val="16"/>
                <w:szCs w:val="16"/>
                <w:lang w:val="es-ES"/>
              </w:rPr>
              <w:t>51.00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2A0AF7" w:rsidP="000146F6">
            <w:pPr>
              <w:rPr>
                <w:sz w:val="16"/>
                <w:szCs w:val="16"/>
                <w:lang w:val="es-ES"/>
              </w:rPr>
            </w:pPr>
            <w:r w:rsidRPr="00E55CAC">
              <w:rPr>
                <w:sz w:val="16"/>
                <w:szCs w:val="16"/>
                <w:lang w:val="es-ES"/>
              </w:rPr>
              <w:t>Mitad de periodo y final del Proyecto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1B5C21" w:rsidRPr="00E55CAC" w:rsidRDefault="00031178" w:rsidP="000146F6">
            <w:pPr>
              <w:rPr>
                <w:sz w:val="16"/>
                <w:szCs w:val="16"/>
                <w:lang w:val="es-ES"/>
              </w:rPr>
            </w:pPr>
            <w:r w:rsidRPr="00E55CAC">
              <w:rPr>
                <w:sz w:val="16"/>
                <w:szCs w:val="16"/>
                <w:lang w:val="es-ES"/>
              </w:rPr>
              <w:t>Proyecciones demográficas del Instituto Nacional de Estadísticas y base de datos de los beneficiarios del Proyecto</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1B5C21" w:rsidRPr="00E55CAC" w:rsidRDefault="00890CA6" w:rsidP="0067158A">
            <w:pPr>
              <w:rPr>
                <w:sz w:val="16"/>
                <w:szCs w:val="16"/>
                <w:lang w:val="es-NI"/>
              </w:rPr>
            </w:pPr>
            <w:r w:rsidRPr="00E55CAC">
              <w:rPr>
                <w:sz w:val="16"/>
                <w:szCs w:val="16"/>
                <w:lang w:val="es-NI"/>
              </w:rPr>
              <w:t>UCP</w:t>
            </w:r>
            <w:r w:rsidR="001B5C21" w:rsidRPr="00E55CAC">
              <w:rPr>
                <w:sz w:val="16"/>
                <w:szCs w:val="16"/>
                <w:lang w:val="es-NI"/>
              </w:rPr>
              <w:t xml:space="preserve">-PGR, </w:t>
            </w:r>
            <w:r w:rsidRPr="00E55CAC">
              <w:rPr>
                <w:sz w:val="16"/>
                <w:szCs w:val="16"/>
                <w:lang w:val="es-NI"/>
              </w:rPr>
              <w:t xml:space="preserve">en colaboración con todas las agencias co-ejecutoras </w:t>
            </w:r>
          </w:p>
        </w:tc>
      </w:tr>
      <w:tr w:rsidR="000146F6" w:rsidRPr="00F702EF" w:rsidTr="006C246F">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31178">
            <w:pPr>
              <w:rPr>
                <w:sz w:val="16"/>
                <w:szCs w:val="16"/>
                <w:lang w:val="es-ES"/>
              </w:rPr>
            </w:pPr>
            <w:r w:rsidRPr="00E55CAC">
              <w:rPr>
                <w:sz w:val="16"/>
                <w:szCs w:val="16"/>
                <w:lang w:val="es-ES"/>
              </w:rPr>
              <w:t xml:space="preserve">[2] </w:t>
            </w:r>
            <w:r w:rsidR="00BD3F13" w:rsidRPr="00E55CAC">
              <w:rPr>
                <w:sz w:val="16"/>
                <w:szCs w:val="16"/>
                <w:lang w:val="es-ES"/>
              </w:rPr>
              <w:t xml:space="preserve">Al menos </w:t>
            </w:r>
            <w:r w:rsidRPr="00E55CAC">
              <w:rPr>
                <w:sz w:val="16"/>
                <w:szCs w:val="16"/>
                <w:lang w:val="es-ES"/>
              </w:rPr>
              <w:t xml:space="preserve">90,000 </w:t>
            </w:r>
            <w:r w:rsidR="00031178" w:rsidRPr="00E55CAC">
              <w:rPr>
                <w:sz w:val="16"/>
                <w:szCs w:val="16"/>
                <w:lang w:val="es-ES"/>
              </w:rPr>
              <w:t xml:space="preserve">hogares reciben sus documentos legales a través del Proyecto </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65000.00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90000.00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31178" w:rsidP="00031178">
            <w:pPr>
              <w:rPr>
                <w:sz w:val="16"/>
                <w:szCs w:val="16"/>
                <w:lang w:val="es-NI"/>
              </w:rPr>
            </w:pPr>
            <w:r w:rsidRPr="00E55CAC">
              <w:rPr>
                <w:sz w:val="16"/>
                <w:szCs w:val="16"/>
                <w:lang w:val="es-NI"/>
              </w:rPr>
              <w:t>Base de datos</w:t>
            </w:r>
            <w:r w:rsidR="00FE4009">
              <w:rPr>
                <w:sz w:val="16"/>
                <w:szCs w:val="16"/>
                <w:lang w:val="es-NI"/>
              </w:rPr>
              <w:t xml:space="preserve"> </w:t>
            </w:r>
            <w:r w:rsidRPr="00E55CAC">
              <w:rPr>
                <w:sz w:val="16"/>
                <w:szCs w:val="16"/>
                <w:lang w:val="es-NI"/>
              </w:rPr>
              <w:t>del</w:t>
            </w:r>
            <w:r w:rsidR="000146F6" w:rsidRPr="00E55CAC">
              <w:rPr>
                <w:sz w:val="16"/>
                <w:szCs w:val="16"/>
                <w:lang w:val="es-NI"/>
              </w:rPr>
              <w:t xml:space="preserve"> IP </w:t>
            </w:r>
            <w:r w:rsidRPr="00E55CAC">
              <w:rPr>
                <w:sz w:val="16"/>
                <w:szCs w:val="16"/>
                <w:lang w:val="es-NI"/>
              </w:rPr>
              <w:t>y</w:t>
            </w:r>
            <w:r w:rsidR="000146F6" w:rsidRPr="00E55CAC">
              <w:rPr>
                <w:sz w:val="16"/>
                <w:szCs w:val="16"/>
                <w:lang w:val="es-NI"/>
              </w:rPr>
              <w:t xml:space="preserve"> PGR</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0146F6">
            <w:pPr>
              <w:rPr>
                <w:sz w:val="16"/>
                <w:szCs w:val="16"/>
                <w:lang w:val="es-NI"/>
              </w:rPr>
            </w:pPr>
            <w:r w:rsidRPr="00E55CAC">
              <w:rPr>
                <w:sz w:val="16"/>
                <w:szCs w:val="16"/>
                <w:lang w:val="es-NI"/>
              </w:rPr>
              <w:t>UCP</w:t>
            </w:r>
            <w:r w:rsidR="000146F6" w:rsidRPr="00E55CAC">
              <w:rPr>
                <w:sz w:val="16"/>
                <w:szCs w:val="16"/>
                <w:lang w:val="es-NI"/>
              </w:rPr>
              <w:t xml:space="preserve">-PGR </w:t>
            </w:r>
            <w:r w:rsidR="00031178" w:rsidRPr="00E55CAC">
              <w:rPr>
                <w:sz w:val="16"/>
                <w:szCs w:val="16"/>
                <w:lang w:val="es-NI"/>
              </w:rPr>
              <w:t>en colaboración con</w:t>
            </w:r>
            <w:r w:rsidR="000146F6" w:rsidRPr="00E55CAC">
              <w:rPr>
                <w:sz w:val="16"/>
                <w:szCs w:val="16"/>
                <w:lang w:val="es-NI"/>
              </w:rPr>
              <w:t xml:space="preserve"> IP</w:t>
            </w:r>
          </w:p>
        </w:tc>
      </w:tr>
      <w:tr w:rsidR="000146F6" w:rsidRPr="00F702EF" w:rsidTr="006C246F">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251D5F">
            <w:pPr>
              <w:rPr>
                <w:sz w:val="16"/>
                <w:szCs w:val="16"/>
                <w:lang w:val="es-NI"/>
              </w:rPr>
            </w:pPr>
            <w:r w:rsidRPr="00E55CAC">
              <w:rPr>
                <w:sz w:val="16"/>
                <w:szCs w:val="16"/>
                <w:lang w:val="es-NI"/>
              </w:rPr>
              <w:lastRenderedPageBreak/>
              <w:t xml:space="preserve">[2(a)] </w:t>
            </w:r>
            <w:r w:rsidR="00251D5F" w:rsidRPr="00E55CAC">
              <w:rPr>
                <w:sz w:val="16"/>
                <w:szCs w:val="16"/>
                <w:lang w:val="es-NI"/>
              </w:rPr>
              <w:t>de los cuales</w:t>
            </w:r>
            <w:r w:rsidRPr="00E55CAC">
              <w:rPr>
                <w:sz w:val="16"/>
                <w:szCs w:val="16"/>
                <w:lang w:val="es-NI"/>
              </w:rPr>
              <w:t xml:space="preserve"> 60,000 </w:t>
            </w:r>
            <w:r w:rsidR="00251D5F" w:rsidRPr="00E55CAC">
              <w:rPr>
                <w:sz w:val="16"/>
                <w:szCs w:val="16"/>
                <w:lang w:val="es-NI"/>
              </w:rPr>
              <w:t xml:space="preserve">recibieron sus nuevos títulos </w:t>
            </w:r>
            <w:r w:rsidR="00BA7348" w:rsidRPr="00E55CAC">
              <w:rPr>
                <w:sz w:val="16"/>
                <w:szCs w:val="16"/>
                <w:lang w:val="es-NI"/>
              </w:rPr>
              <w:t xml:space="preserve"> (50% </w:t>
            </w:r>
            <w:r w:rsidR="00251D5F" w:rsidRPr="00E55CAC">
              <w:rPr>
                <w:sz w:val="16"/>
                <w:szCs w:val="16"/>
                <w:lang w:val="es-NI"/>
              </w:rPr>
              <w:t>de beneficiarios son mujeres o parejas</w:t>
            </w:r>
            <w:r w:rsidRPr="00E55CAC">
              <w:rPr>
                <w:sz w:val="16"/>
                <w:szCs w:val="16"/>
                <w:lang w:val="es-NI"/>
              </w:rPr>
              <w:t>)</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8000.00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12000.00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32000.00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60000.00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31178" w:rsidP="000146F6">
            <w:pPr>
              <w:rPr>
                <w:sz w:val="16"/>
                <w:szCs w:val="16"/>
                <w:lang w:val="es-ES"/>
              </w:rPr>
            </w:pPr>
            <w:r w:rsidRPr="00E55CAC">
              <w:rPr>
                <w:sz w:val="16"/>
                <w:szCs w:val="16"/>
                <w:lang w:val="es-NI"/>
              </w:rPr>
              <w:t>Base de datos del IP y PGR</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0146F6">
            <w:pPr>
              <w:rPr>
                <w:sz w:val="16"/>
                <w:szCs w:val="16"/>
                <w:lang w:val="es-NI"/>
              </w:rPr>
            </w:pPr>
            <w:r w:rsidRPr="00E55CAC">
              <w:rPr>
                <w:sz w:val="16"/>
                <w:szCs w:val="16"/>
                <w:lang w:val="es-NI"/>
              </w:rPr>
              <w:t>UCP</w:t>
            </w:r>
            <w:r w:rsidR="000146F6" w:rsidRPr="00E55CAC">
              <w:rPr>
                <w:sz w:val="16"/>
                <w:szCs w:val="16"/>
                <w:lang w:val="es-NI"/>
              </w:rPr>
              <w:t xml:space="preserve">-PGR </w:t>
            </w:r>
            <w:r w:rsidR="00031178" w:rsidRPr="00E55CAC">
              <w:rPr>
                <w:sz w:val="16"/>
                <w:szCs w:val="16"/>
                <w:lang w:val="es-NI"/>
              </w:rPr>
              <w:t>en colaboración con</w:t>
            </w:r>
            <w:r w:rsidR="000146F6" w:rsidRPr="00E55CAC">
              <w:rPr>
                <w:sz w:val="16"/>
                <w:szCs w:val="16"/>
                <w:lang w:val="es-NI"/>
              </w:rPr>
              <w:t xml:space="preserve"> IP</w:t>
            </w:r>
          </w:p>
        </w:tc>
      </w:tr>
      <w:tr w:rsidR="000146F6" w:rsidRPr="00BD3F13" w:rsidTr="006C246F">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D76AAE">
            <w:pPr>
              <w:rPr>
                <w:sz w:val="16"/>
                <w:szCs w:val="16"/>
                <w:lang w:val="es-NI"/>
              </w:rPr>
            </w:pPr>
            <w:r w:rsidRPr="00E55CAC">
              <w:rPr>
                <w:sz w:val="16"/>
                <w:szCs w:val="16"/>
                <w:lang w:val="es-NI"/>
              </w:rPr>
              <w:t xml:space="preserve">[3] </w:t>
            </w:r>
            <w:r w:rsidR="00D76AAE" w:rsidRPr="00E55CAC">
              <w:rPr>
                <w:sz w:val="16"/>
                <w:szCs w:val="16"/>
                <w:lang w:val="es-NI"/>
              </w:rPr>
              <w:t xml:space="preserve">Evaluación independiente determina que el </w:t>
            </w:r>
            <w:r w:rsidRPr="00E55CAC">
              <w:rPr>
                <w:sz w:val="16"/>
                <w:szCs w:val="16"/>
                <w:lang w:val="es-NI"/>
              </w:rPr>
              <w:t>SIICAR</w:t>
            </w:r>
            <w:r w:rsidR="00FE4009">
              <w:rPr>
                <w:sz w:val="16"/>
                <w:szCs w:val="16"/>
                <w:lang w:val="es-NI"/>
              </w:rPr>
              <w:t xml:space="preserve"> </w:t>
            </w:r>
            <w:r w:rsidR="00D76AAE" w:rsidRPr="00E55CAC">
              <w:rPr>
                <w:sz w:val="16"/>
                <w:szCs w:val="16"/>
                <w:lang w:val="es-NI"/>
              </w:rPr>
              <w:t>obtiene resultados satisfactorios en términos de operación, datos y seguridad</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r w:rsidR="00601A3A" w:rsidRPr="00E55CAC">
              <w:rPr>
                <w:sz w:val="16"/>
                <w:szCs w:val="16"/>
                <w:lang w:val="es-ES"/>
              </w:rPr>
              <w:t>/No</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Mitad de periodo y final del Proyecto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51D5F" w:rsidP="000146F6">
            <w:pPr>
              <w:rPr>
                <w:sz w:val="16"/>
                <w:szCs w:val="16"/>
                <w:lang w:val="es-ES"/>
              </w:rPr>
            </w:pPr>
            <w:r w:rsidRPr="00E55CAC">
              <w:rPr>
                <w:sz w:val="16"/>
                <w:szCs w:val="16"/>
                <w:lang w:val="es-ES"/>
              </w:rPr>
              <w:t>P</w:t>
            </w:r>
            <w:r w:rsidR="00031178" w:rsidRPr="00E55CAC">
              <w:rPr>
                <w:sz w:val="16"/>
                <w:szCs w:val="16"/>
                <w:lang w:val="es-ES"/>
              </w:rPr>
              <w:t>lataformas</w:t>
            </w:r>
            <w:r w:rsidR="00FE4009">
              <w:rPr>
                <w:sz w:val="16"/>
                <w:szCs w:val="16"/>
                <w:lang w:val="es-ES"/>
              </w:rPr>
              <w:t xml:space="preserve"> </w:t>
            </w:r>
            <w:r w:rsidRPr="00E55CAC">
              <w:rPr>
                <w:sz w:val="16"/>
                <w:szCs w:val="16"/>
                <w:lang w:val="es-ES"/>
              </w:rPr>
              <w:t>SIICAR</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251D5F">
            <w:pPr>
              <w:rPr>
                <w:sz w:val="16"/>
                <w:szCs w:val="16"/>
                <w:lang w:val="es-ES"/>
              </w:rPr>
            </w:pPr>
            <w:r w:rsidRPr="00E55CAC">
              <w:rPr>
                <w:sz w:val="16"/>
                <w:szCs w:val="16"/>
                <w:lang w:val="es-ES"/>
              </w:rPr>
              <w:t xml:space="preserve">CSJ </w:t>
            </w:r>
            <w:r w:rsidR="00251D5F" w:rsidRPr="00E55CAC">
              <w:rPr>
                <w:sz w:val="16"/>
                <w:szCs w:val="16"/>
                <w:lang w:val="es-ES"/>
              </w:rPr>
              <w:t>e</w:t>
            </w:r>
            <w:r w:rsidR="00FE4009">
              <w:rPr>
                <w:sz w:val="16"/>
                <w:szCs w:val="16"/>
                <w:lang w:val="es-ES"/>
              </w:rPr>
              <w:t xml:space="preserve"> </w:t>
            </w:r>
            <w:r w:rsidRPr="00E55CAC">
              <w:rPr>
                <w:sz w:val="16"/>
                <w:szCs w:val="16"/>
                <w:lang w:val="es-ES"/>
              </w:rPr>
              <w:t>INETER</w:t>
            </w:r>
          </w:p>
        </w:tc>
      </w:tr>
      <w:tr w:rsidR="000146F6" w:rsidRPr="00F702EF" w:rsidTr="006C246F">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E226BB">
            <w:pPr>
              <w:rPr>
                <w:sz w:val="16"/>
                <w:szCs w:val="16"/>
                <w:lang w:val="es-ES"/>
              </w:rPr>
            </w:pPr>
            <w:r w:rsidRPr="00E55CAC">
              <w:rPr>
                <w:sz w:val="16"/>
                <w:szCs w:val="16"/>
                <w:lang w:val="es-ES"/>
              </w:rPr>
              <w:t xml:space="preserve">[4] </w:t>
            </w:r>
            <w:r w:rsidR="00E85EFF" w:rsidRPr="00E55CAC">
              <w:rPr>
                <w:sz w:val="16"/>
                <w:szCs w:val="16"/>
                <w:lang w:val="es-ES"/>
              </w:rPr>
              <w:t>Numero</w:t>
            </w:r>
            <w:r w:rsidR="00E226BB" w:rsidRPr="00E55CAC">
              <w:rPr>
                <w:sz w:val="16"/>
                <w:szCs w:val="16"/>
                <w:lang w:val="es-ES"/>
              </w:rPr>
              <w:t xml:space="preserve"> promedio de días para completar el registro de la compraventa de inmuebles en el sistema </w:t>
            </w:r>
            <w:r w:rsidR="00CA3788" w:rsidRPr="00E55CAC">
              <w:rPr>
                <w:sz w:val="16"/>
                <w:szCs w:val="16"/>
                <w:lang w:val="es-ES"/>
              </w:rPr>
              <w:t>SIICAR</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28.00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Mitad de periodo y final del Proyecto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51D5F" w:rsidP="00251D5F">
            <w:pPr>
              <w:rPr>
                <w:sz w:val="16"/>
                <w:szCs w:val="16"/>
                <w:lang w:val="pt-BR"/>
              </w:rPr>
            </w:pPr>
            <w:r w:rsidRPr="00E55CAC">
              <w:rPr>
                <w:sz w:val="16"/>
                <w:szCs w:val="16"/>
                <w:lang w:val="pt-BR"/>
              </w:rPr>
              <w:t>SIICAR (</w:t>
            </w:r>
            <w:r w:rsidR="00031178" w:rsidRPr="00E55CAC">
              <w:rPr>
                <w:sz w:val="16"/>
                <w:szCs w:val="16"/>
                <w:lang w:val="pt-BR"/>
              </w:rPr>
              <w:t>Base</w:t>
            </w:r>
            <w:r w:rsidRPr="00E55CAC">
              <w:rPr>
                <w:sz w:val="16"/>
                <w:szCs w:val="16"/>
                <w:lang w:val="pt-BR"/>
              </w:rPr>
              <w:t>s</w:t>
            </w:r>
            <w:r w:rsidR="00031178" w:rsidRPr="00E55CAC">
              <w:rPr>
                <w:sz w:val="16"/>
                <w:szCs w:val="16"/>
                <w:lang w:val="pt-BR"/>
              </w:rPr>
              <w:t xml:space="preserve"> de datos</w:t>
            </w:r>
            <w:r w:rsidRPr="00E55CAC">
              <w:rPr>
                <w:sz w:val="16"/>
                <w:szCs w:val="16"/>
                <w:lang w:val="pt-BR"/>
              </w:rPr>
              <w:t xml:space="preserve"> de INETER e IP</w:t>
            </w:r>
            <w:r w:rsidR="000146F6" w:rsidRPr="00E55CAC">
              <w:rPr>
                <w:sz w:val="16"/>
                <w:szCs w:val="16"/>
                <w:lang w:val="pt-BR"/>
              </w:rPr>
              <w:t>)</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251D5F">
            <w:pPr>
              <w:rPr>
                <w:sz w:val="16"/>
                <w:szCs w:val="16"/>
                <w:lang w:val="es-ES"/>
              </w:rPr>
            </w:pPr>
            <w:r w:rsidRPr="00E55CAC">
              <w:rPr>
                <w:sz w:val="16"/>
                <w:szCs w:val="16"/>
                <w:lang w:val="es-ES"/>
              </w:rPr>
              <w:t>UCP</w:t>
            </w:r>
            <w:r w:rsidR="000146F6" w:rsidRPr="00E55CAC">
              <w:rPr>
                <w:sz w:val="16"/>
                <w:szCs w:val="16"/>
                <w:lang w:val="es-ES"/>
              </w:rPr>
              <w:t xml:space="preserve">-PGR </w:t>
            </w:r>
            <w:r w:rsidR="00031178" w:rsidRPr="00E55CAC">
              <w:rPr>
                <w:sz w:val="16"/>
                <w:szCs w:val="16"/>
                <w:lang w:val="es-ES"/>
              </w:rPr>
              <w:t>en colaboración con</w:t>
            </w:r>
            <w:r w:rsidR="00FE4009">
              <w:rPr>
                <w:sz w:val="16"/>
                <w:szCs w:val="16"/>
                <w:lang w:val="es-ES"/>
              </w:rPr>
              <w:t xml:space="preserve"> </w:t>
            </w:r>
            <w:r w:rsidR="000146F6" w:rsidRPr="00E55CAC">
              <w:rPr>
                <w:sz w:val="16"/>
                <w:szCs w:val="16"/>
                <w:lang w:val="es-ES"/>
              </w:rPr>
              <w:t>INETER</w:t>
            </w:r>
            <w:r w:rsidR="00FE4009">
              <w:rPr>
                <w:sz w:val="16"/>
                <w:szCs w:val="16"/>
                <w:lang w:val="es-ES"/>
              </w:rPr>
              <w:t xml:space="preserve"> </w:t>
            </w:r>
            <w:r w:rsidR="00251D5F" w:rsidRPr="00E55CAC">
              <w:rPr>
                <w:sz w:val="16"/>
                <w:szCs w:val="16"/>
                <w:lang w:val="es-ES"/>
              </w:rPr>
              <w:t>e</w:t>
            </w:r>
            <w:r w:rsidR="000146F6" w:rsidRPr="00E55CAC">
              <w:rPr>
                <w:sz w:val="16"/>
                <w:szCs w:val="16"/>
                <w:lang w:val="es-ES"/>
              </w:rPr>
              <w:t xml:space="preserve"> IP</w:t>
            </w:r>
          </w:p>
        </w:tc>
      </w:tr>
      <w:tr w:rsidR="000146F6" w:rsidRPr="00013925" w:rsidTr="006C246F">
        <w:tc>
          <w:tcPr>
            <w:tcW w:w="2410"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E72DC5">
            <w:pPr>
              <w:rPr>
                <w:sz w:val="16"/>
                <w:szCs w:val="16"/>
                <w:lang w:val="es-ES"/>
              </w:rPr>
            </w:pPr>
            <w:r w:rsidRPr="00E55CAC">
              <w:rPr>
                <w:sz w:val="16"/>
                <w:szCs w:val="16"/>
                <w:lang w:val="es-ES"/>
              </w:rPr>
              <w:t xml:space="preserve">[5] </w:t>
            </w:r>
            <w:r w:rsidR="00E226BB" w:rsidRPr="00E55CAC">
              <w:rPr>
                <w:sz w:val="16"/>
                <w:szCs w:val="16"/>
                <w:lang w:val="es-ES"/>
              </w:rPr>
              <w:t>Tiempo para de</w:t>
            </w:r>
            <w:r w:rsidR="00013925" w:rsidRPr="00E55CAC">
              <w:rPr>
                <w:sz w:val="16"/>
                <w:szCs w:val="16"/>
                <w:lang w:val="es-ES"/>
              </w:rPr>
              <w:t>sembolsar</w:t>
            </w:r>
            <w:r w:rsidR="00E72DC5" w:rsidRPr="00E55CAC">
              <w:rPr>
                <w:sz w:val="16"/>
                <w:szCs w:val="16"/>
                <w:lang w:val="es-ES"/>
              </w:rPr>
              <w:t xml:space="preserve"> los fondos solicitados por el gobierno para enfrentar una emergencia relevante</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51D5F" w:rsidP="000146F6">
            <w:pPr>
              <w:rPr>
                <w:sz w:val="16"/>
                <w:szCs w:val="16"/>
                <w:lang w:val="es-ES"/>
              </w:rPr>
            </w:pPr>
            <w:r w:rsidRPr="00E55CAC">
              <w:rPr>
                <w:sz w:val="16"/>
                <w:szCs w:val="16"/>
                <w:lang w:val="es-ES"/>
              </w:rPr>
              <w:t>Semanas</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95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Según sea necesario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51D5F" w:rsidP="00251D5F">
            <w:pPr>
              <w:rPr>
                <w:sz w:val="16"/>
                <w:szCs w:val="16"/>
                <w:lang w:val="es-ES"/>
              </w:rPr>
            </w:pPr>
            <w:r w:rsidRPr="00E55CAC">
              <w:rPr>
                <w:sz w:val="16"/>
                <w:szCs w:val="16"/>
                <w:lang w:val="es-ES"/>
              </w:rPr>
              <w:t xml:space="preserve">Sistemas del </w:t>
            </w:r>
            <w:r w:rsidR="000146F6" w:rsidRPr="00E55CAC">
              <w:rPr>
                <w:sz w:val="16"/>
                <w:szCs w:val="16"/>
                <w:lang w:val="es-ES"/>
              </w:rPr>
              <w:t xml:space="preserve">MHCP, SINAPRED, </w:t>
            </w:r>
            <w:r w:rsidRPr="00E55CAC">
              <w:rPr>
                <w:sz w:val="16"/>
                <w:szCs w:val="16"/>
                <w:lang w:val="es-ES"/>
              </w:rPr>
              <w:t xml:space="preserve">Banco Mundial </w:t>
            </w:r>
          </w:p>
        </w:tc>
        <w:tc>
          <w:tcPr>
            <w:tcW w:w="1597"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MHCP</w:t>
            </w:r>
          </w:p>
        </w:tc>
      </w:tr>
      <w:tr w:rsidR="000146F6" w:rsidRPr="00BD3F13" w:rsidTr="00237729">
        <w:tc>
          <w:tcPr>
            <w:tcW w:w="13221" w:type="dxa"/>
            <w:gridSpan w:val="21"/>
            <w:tcBorders>
              <w:top w:val="nil"/>
              <w:left w:val="nil"/>
              <w:bottom w:val="nil"/>
              <w:right w:val="nil"/>
            </w:tcBorders>
            <w:shd w:val="clear" w:color="auto" w:fill="FFFFFF"/>
            <w:tcMar>
              <w:top w:w="50" w:type="dxa"/>
              <w:left w:w="50" w:type="dxa"/>
              <w:bottom w:w="50" w:type="dxa"/>
              <w:right w:w="50" w:type="dxa"/>
            </w:tcMar>
            <w:vAlign w:val="center"/>
          </w:tcPr>
          <w:p w:rsidR="000146F6" w:rsidRPr="00E55CAC" w:rsidRDefault="000146F6" w:rsidP="000146F6">
            <w:pPr>
              <w:rPr>
                <w:rFonts w:ascii="Times" w:hAnsi="Times" w:cs="Times"/>
                <w:color w:val="FFFFFF"/>
                <w:sz w:val="16"/>
                <w:szCs w:val="16"/>
                <w:lang w:val="es-ES"/>
              </w:rPr>
            </w:pPr>
            <w:r w:rsidRPr="00E55CAC">
              <w:rPr>
                <w:rFonts w:ascii="Times" w:hAnsi="Times" w:cs="Times"/>
                <w:color w:val="FFFFFF"/>
                <w:sz w:val="16"/>
                <w:szCs w:val="16"/>
                <w:lang w:val="es-ES"/>
              </w:rPr>
              <w:t>.</w:t>
            </w:r>
          </w:p>
        </w:tc>
      </w:tr>
      <w:tr w:rsidR="000146F6" w:rsidRPr="00BD3F13" w:rsidTr="00237729">
        <w:tc>
          <w:tcPr>
            <w:tcW w:w="13221" w:type="dxa"/>
            <w:gridSpan w:val="21"/>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0146F6" w:rsidRPr="00E55CAC" w:rsidRDefault="00B12C56" w:rsidP="000146F6">
            <w:pPr>
              <w:rPr>
                <w:sz w:val="16"/>
                <w:szCs w:val="16"/>
                <w:lang w:val="es-ES"/>
              </w:rPr>
            </w:pPr>
            <w:r w:rsidRPr="00E55CAC">
              <w:rPr>
                <w:b/>
                <w:bCs/>
                <w:sz w:val="16"/>
                <w:szCs w:val="16"/>
                <w:lang w:val="es-ES"/>
              </w:rPr>
              <w:t>Indicadores de Resultados Intermedios</w:t>
            </w:r>
          </w:p>
        </w:tc>
      </w:tr>
      <w:tr w:rsidR="00237729" w:rsidRPr="00BD3F13" w:rsidTr="008C2352">
        <w:tc>
          <w:tcPr>
            <w:tcW w:w="2322" w:type="dxa"/>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sz w:val="16"/>
                <w:szCs w:val="16"/>
                <w:lang w:val="es-ES"/>
              </w:rPr>
            </w:pPr>
          </w:p>
        </w:tc>
        <w:tc>
          <w:tcPr>
            <w:tcW w:w="642" w:type="dxa"/>
            <w:gridSpan w:val="4"/>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sz w:val="16"/>
                <w:szCs w:val="16"/>
                <w:lang w:val="es-ES"/>
              </w:rPr>
            </w:pPr>
          </w:p>
        </w:tc>
        <w:tc>
          <w:tcPr>
            <w:tcW w:w="905"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sz w:val="16"/>
                <w:szCs w:val="16"/>
                <w:lang w:val="es-ES"/>
              </w:rPr>
            </w:pPr>
          </w:p>
        </w:tc>
        <w:tc>
          <w:tcPr>
            <w:tcW w:w="760" w:type="dxa"/>
            <w:gridSpan w:val="3"/>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sz w:val="16"/>
                <w:szCs w:val="16"/>
                <w:lang w:val="es-ES"/>
              </w:rPr>
            </w:pPr>
          </w:p>
        </w:tc>
        <w:tc>
          <w:tcPr>
            <w:tcW w:w="462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Valores Acumulativos de Meta a Alcanzar</w:t>
            </w:r>
          </w:p>
        </w:tc>
        <w:tc>
          <w:tcPr>
            <w:tcW w:w="1190"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sz w:val="16"/>
                <w:szCs w:val="16"/>
                <w:lang w:val="es-ES"/>
              </w:rPr>
            </w:pPr>
          </w:p>
        </w:tc>
        <w:tc>
          <w:tcPr>
            <w:tcW w:w="1322"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vAlign w:val="bottom"/>
          </w:tcPr>
          <w:p w:rsidR="00237729" w:rsidRPr="00E55CAC" w:rsidRDefault="00237729" w:rsidP="00237729">
            <w:pPr>
              <w:rPr>
                <w:color w:val="314F4F"/>
                <w:sz w:val="16"/>
                <w:szCs w:val="16"/>
                <w:lang w:val="es-ES"/>
              </w:rPr>
            </w:pPr>
            <w:r w:rsidRPr="00E55CAC">
              <w:rPr>
                <w:color w:val="314F4F"/>
                <w:sz w:val="16"/>
                <w:szCs w:val="16"/>
                <w:lang w:val="es-ES"/>
              </w:rPr>
              <w:t>Fuente de Datos/</w:t>
            </w:r>
          </w:p>
        </w:tc>
        <w:tc>
          <w:tcPr>
            <w:tcW w:w="1455" w:type="dxa"/>
            <w:gridSpan w:val="2"/>
            <w:tcBorders>
              <w:top w:val="single" w:sz="4" w:space="0" w:color="000000"/>
              <w:left w:val="nil"/>
              <w:bottom w:val="nil"/>
              <w:right w:val="nil"/>
            </w:tcBorders>
            <w:shd w:val="clear" w:color="auto" w:fill="FFFFFF"/>
            <w:tcMar>
              <w:top w:w="50" w:type="dxa"/>
              <w:left w:w="50" w:type="dxa"/>
              <w:bottom w:w="50" w:type="dxa"/>
              <w:right w:w="50" w:type="dxa"/>
            </w:tcMar>
            <w:vAlign w:val="bottom"/>
          </w:tcPr>
          <w:p w:rsidR="00237729" w:rsidRPr="00E55CAC" w:rsidRDefault="00237729" w:rsidP="00237729">
            <w:pPr>
              <w:rPr>
                <w:color w:val="314F4F"/>
                <w:sz w:val="16"/>
                <w:szCs w:val="16"/>
                <w:lang w:val="es-ES"/>
              </w:rPr>
            </w:pPr>
            <w:r w:rsidRPr="00E55CAC">
              <w:rPr>
                <w:color w:val="314F4F"/>
                <w:sz w:val="16"/>
                <w:szCs w:val="16"/>
                <w:lang w:val="es-ES"/>
              </w:rPr>
              <w:t>Responsable de</w:t>
            </w:r>
          </w:p>
        </w:tc>
      </w:tr>
      <w:tr w:rsidR="00237729" w:rsidRPr="00BD3F13" w:rsidTr="008C2352">
        <w:tc>
          <w:tcPr>
            <w:tcW w:w="2322" w:type="dxa"/>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color w:val="314F4F"/>
                <w:sz w:val="16"/>
                <w:szCs w:val="16"/>
                <w:lang w:val="es-ES"/>
              </w:rPr>
            </w:pPr>
            <w:r w:rsidRPr="00E55CAC">
              <w:rPr>
                <w:color w:val="314F4F"/>
                <w:sz w:val="16"/>
                <w:szCs w:val="16"/>
                <w:lang w:val="es-ES"/>
              </w:rPr>
              <w:t>Indicador</w:t>
            </w:r>
          </w:p>
        </w:tc>
        <w:tc>
          <w:tcPr>
            <w:tcW w:w="642" w:type="dxa"/>
            <w:gridSpan w:val="4"/>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Base</w:t>
            </w:r>
          </w:p>
        </w:tc>
        <w:tc>
          <w:tcPr>
            <w:tcW w:w="905"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color w:val="314F4F"/>
                <w:sz w:val="16"/>
                <w:szCs w:val="16"/>
                <w:lang w:val="es-ES"/>
              </w:rPr>
            </w:pPr>
            <w:r w:rsidRPr="00E55CAC">
              <w:rPr>
                <w:color w:val="314F4F"/>
                <w:sz w:val="16"/>
                <w:szCs w:val="16"/>
                <w:lang w:val="es-ES"/>
              </w:rPr>
              <w:t>Unidad de medida</w:t>
            </w:r>
          </w:p>
        </w:tc>
        <w:tc>
          <w:tcPr>
            <w:tcW w:w="760" w:type="dxa"/>
            <w:gridSpan w:val="3"/>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Línea de base</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AÑO 1</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AÑO 2</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AÑO 3</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AÑO 4</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color w:val="314F4F"/>
                <w:sz w:val="16"/>
                <w:szCs w:val="16"/>
                <w:lang w:val="es-ES"/>
              </w:rPr>
            </w:pPr>
            <w:r w:rsidRPr="00E55CAC">
              <w:rPr>
                <w:color w:val="314F4F"/>
                <w:sz w:val="16"/>
                <w:szCs w:val="16"/>
                <w:lang w:val="es-ES"/>
              </w:rPr>
              <w:t>Indicador</w:t>
            </w:r>
          </w:p>
        </w:tc>
        <w:tc>
          <w:tcPr>
            <w:tcW w:w="1190"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Base</w:t>
            </w:r>
          </w:p>
        </w:tc>
        <w:tc>
          <w:tcPr>
            <w:tcW w:w="1322"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237729" w:rsidRPr="00E55CAC" w:rsidRDefault="00237729" w:rsidP="00237729">
            <w:pPr>
              <w:rPr>
                <w:color w:val="314F4F"/>
                <w:sz w:val="16"/>
                <w:szCs w:val="16"/>
                <w:lang w:val="es-ES"/>
              </w:rPr>
            </w:pPr>
            <w:r w:rsidRPr="00E55CAC">
              <w:rPr>
                <w:color w:val="314F4F"/>
                <w:sz w:val="16"/>
                <w:szCs w:val="16"/>
                <w:lang w:val="es-ES"/>
              </w:rPr>
              <w:t>Unidad de medida</w:t>
            </w:r>
          </w:p>
        </w:tc>
        <w:tc>
          <w:tcPr>
            <w:tcW w:w="1455" w:type="dxa"/>
            <w:gridSpan w:val="2"/>
            <w:tcBorders>
              <w:top w:val="nil"/>
              <w:left w:val="nil"/>
              <w:bottom w:val="single" w:sz="4" w:space="0" w:color="000000"/>
              <w:right w:val="nil"/>
            </w:tcBorders>
            <w:shd w:val="clear" w:color="auto" w:fill="FFFFFF"/>
            <w:tcMar>
              <w:top w:w="50" w:type="dxa"/>
              <w:left w:w="50" w:type="dxa"/>
              <w:bottom w:w="50" w:type="dxa"/>
              <w:right w:w="50" w:type="dxa"/>
            </w:tcMar>
            <w:vAlign w:val="center"/>
          </w:tcPr>
          <w:p w:rsidR="00237729" w:rsidRPr="00E55CAC" w:rsidRDefault="00237729" w:rsidP="00237729">
            <w:pPr>
              <w:jc w:val="center"/>
              <w:rPr>
                <w:color w:val="314F4F"/>
                <w:sz w:val="16"/>
                <w:szCs w:val="16"/>
                <w:lang w:val="es-ES"/>
              </w:rPr>
            </w:pPr>
            <w:r w:rsidRPr="00E55CAC">
              <w:rPr>
                <w:color w:val="314F4F"/>
                <w:sz w:val="16"/>
                <w:szCs w:val="16"/>
                <w:lang w:val="es-ES"/>
              </w:rPr>
              <w:t>Línea de base</w:t>
            </w:r>
          </w:p>
        </w:tc>
      </w:tr>
      <w:tr w:rsidR="000146F6" w:rsidRPr="00F702EF" w:rsidTr="00237729">
        <w:tc>
          <w:tcPr>
            <w:tcW w:w="13221" w:type="dxa"/>
            <w:gridSpan w:val="21"/>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237729" w:rsidP="00AD72A3">
            <w:pPr>
              <w:rPr>
                <w:sz w:val="16"/>
                <w:szCs w:val="16"/>
                <w:lang w:val="es-NI"/>
              </w:rPr>
            </w:pPr>
            <w:r w:rsidRPr="00E55CAC">
              <w:rPr>
                <w:sz w:val="16"/>
                <w:szCs w:val="16"/>
                <w:lang w:val="es-NI"/>
              </w:rPr>
              <w:t>Componente</w:t>
            </w:r>
            <w:r w:rsidR="000146F6" w:rsidRPr="00E55CAC">
              <w:rPr>
                <w:sz w:val="16"/>
                <w:szCs w:val="16"/>
                <w:lang w:val="es-NI"/>
              </w:rPr>
              <w:t xml:space="preserve"> 1: Consolida</w:t>
            </w:r>
            <w:r w:rsidR="00AD72A3" w:rsidRPr="00E55CAC">
              <w:rPr>
                <w:sz w:val="16"/>
                <w:szCs w:val="16"/>
                <w:lang w:val="es-NI"/>
              </w:rPr>
              <w:t>ción del Marco Institucional y de Políticas</w:t>
            </w:r>
          </w:p>
        </w:tc>
      </w:tr>
      <w:tr w:rsidR="000146F6" w:rsidRPr="00F702EF" w:rsidTr="008C2352">
        <w:tc>
          <w:tcPr>
            <w:tcW w:w="232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AD72A3">
            <w:pPr>
              <w:rPr>
                <w:sz w:val="16"/>
                <w:szCs w:val="16"/>
                <w:lang w:val="es-ES"/>
              </w:rPr>
            </w:pPr>
            <w:r w:rsidRPr="00E55CAC">
              <w:rPr>
                <w:sz w:val="16"/>
                <w:szCs w:val="16"/>
                <w:lang w:val="es-ES"/>
              </w:rPr>
              <w:t xml:space="preserve">1.1 </w:t>
            </w:r>
            <w:r w:rsidR="00AD72A3" w:rsidRPr="00E55CAC">
              <w:rPr>
                <w:sz w:val="16"/>
                <w:szCs w:val="16"/>
                <w:lang w:val="es-ES"/>
              </w:rPr>
              <w:t>Reducción de la c</w:t>
            </w:r>
            <w:r w:rsidR="002A0AF7" w:rsidRPr="00E55CAC">
              <w:rPr>
                <w:sz w:val="16"/>
                <w:szCs w:val="16"/>
                <w:lang w:val="es-ES"/>
              </w:rPr>
              <w:t>antidad</w:t>
            </w:r>
            <w:r w:rsidR="00AD72A3" w:rsidRPr="00E55CAC">
              <w:rPr>
                <w:sz w:val="16"/>
                <w:szCs w:val="16"/>
                <w:lang w:val="es-ES"/>
              </w:rPr>
              <w:t xml:space="preserve"> de días para emitir un certificado catastral</w:t>
            </w:r>
          </w:p>
        </w:tc>
        <w:tc>
          <w:tcPr>
            <w:tcW w:w="6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AD72A3" w:rsidP="000146F6">
            <w:pPr>
              <w:rPr>
                <w:sz w:val="16"/>
                <w:szCs w:val="16"/>
                <w:lang w:val="es-ES"/>
              </w:rPr>
            </w:pPr>
            <w:r w:rsidRPr="00E55CAC">
              <w:rPr>
                <w:sz w:val="16"/>
                <w:szCs w:val="16"/>
                <w:lang w:val="es-ES"/>
              </w:rPr>
              <w:t>Días</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9.00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7.50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6.00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B7159" w:rsidP="000B7159">
            <w:pPr>
              <w:rPr>
                <w:sz w:val="16"/>
                <w:szCs w:val="16"/>
                <w:lang w:val="es-ES"/>
              </w:rPr>
            </w:pPr>
            <w:r w:rsidRPr="00E55CAC">
              <w:rPr>
                <w:sz w:val="16"/>
                <w:szCs w:val="16"/>
                <w:lang w:val="es-ES"/>
              </w:rPr>
              <w:t xml:space="preserve">Plataforma </w:t>
            </w:r>
            <w:r w:rsidR="000146F6" w:rsidRPr="00E55CAC">
              <w:rPr>
                <w:sz w:val="16"/>
                <w:szCs w:val="16"/>
                <w:lang w:val="es-ES"/>
              </w:rPr>
              <w:t xml:space="preserve">SIICAR-CAT </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0146F6">
            <w:pPr>
              <w:rPr>
                <w:sz w:val="16"/>
                <w:szCs w:val="16"/>
                <w:lang w:val="es-ES"/>
              </w:rPr>
            </w:pPr>
            <w:r w:rsidRPr="00E55CAC">
              <w:rPr>
                <w:sz w:val="16"/>
                <w:szCs w:val="16"/>
                <w:lang w:val="es-ES"/>
              </w:rPr>
              <w:t>UCP</w:t>
            </w:r>
            <w:r w:rsidR="000146F6" w:rsidRPr="00E55CAC">
              <w:rPr>
                <w:sz w:val="16"/>
                <w:szCs w:val="16"/>
                <w:lang w:val="es-ES"/>
              </w:rPr>
              <w:t xml:space="preserve">-PGR </w:t>
            </w:r>
            <w:r w:rsidR="00031178" w:rsidRPr="00E55CAC">
              <w:rPr>
                <w:sz w:val="16"/>
                <w:szCs w:val="16"/>
                <w:lang w:val="es-ES"/>
              </w:rPr>
              <w:t>en colaboración con</w:t>
            </w:r>
            <w:r w:rsidR="00FE4009">
              <w:rPr>
                <w:sz w:val="16"/>
                <w:szCs w:val="16"/>
                <w:lang w:val="es-ES"/>
              </w:rPr>
              <w:t xml:space="preserve"> </w:t>
            </w:r>
            <w:r w:rsidR="000146F6" w:rsidRPr="00E55CAC">
              <w:rPr>
                <w:sz w:val="16"/>
                <w:szCs w:val="16"/>
                <w:lang w:val="es-ES"/>
              </w:rPr>
              <w:t>INETER</w:t>
            </w:r>
          </w:p>
        </w:tc>
      </w:tr>
      <w:tr w:rsidR="000146F6" w:rsidRPr="00F702EF" w:rsidTr="008C2352">
        <w:tc>
          <w:tcPr>
            <w:tcW w:w="232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B7159">
            <w:pPr>
              <w:rPr>
                <w:sz w:val="16"/>
                <w:szCs w:val="16"/>
                <w:lang w:val="es-ES"/>
              </w:rPr>
            </w:pPr>
            <w:r w:rsidRPr="00E55CAC">
              <w:rPr>
                <w:sz w:val="16"/>
                <w:szCs w:val="16"/>
                <w:lang w:val="es-ES"/>
              </w:rPr>
              <w:t xml:space="preserve">1.2 </w:t>
            </w:r>
            <w:r w:rsidR="000B7159" w:rsidRPr="00E55CAC">
              <w:rPr>
                <w:sz w:val="16"/>
                <w:szCs w:val="16"/>
                <w:lang w:val="es-ES"/>
              </w:rPr>
              <w:t xml:space="preserve">Los municipios participantes </w:t>
            </w:r>
            <w:r w:rsidRPr="00E55CAC">
              <w:rPr>
                <w:sz w:val="16"/>
                <w:szCs w:val="16"/>
                <w:lang w:val="es-ES"/>
              </w:rPr>
              <w:t>incre</w:t>
            </w:r>
            <w:r w:rsidR="000B7159" w:rsidRPr="00E55CAC">
              <w:rPr>
                <w:sz w:val="16"/>
                <w:szCs w:val="16"/>
                <w:lang w:val="es-ES"/>
              </w:rPr>
              <w:t>mentan en un 25% la b</w:t>
            </w:r>
            <w:r w:rsidR="00031178" w:rsidRPr="00E55CAC">
              <w:rPr>
                <w:sz w:val="16"/>
                <w:szCs w:val="16"/>
                <w:lang w:val="es-ES"/>
              </w:rPr>
              <w:t>ase de datos</w:t>
            </w:r>
            <w:r w:rsidR="000B7159" w:rsidRPr="00E55CAC">
              <w:rPr>
                <w:sz w:val="16"/>
                <w:szCs w:val="16"/>
                <w:lang w:val="es-ES"/>
              </w:rPr>
              <w:t xml:space="preserve"> del catastro </w:t>
            </w:r>
            <w:r w:rsidR="009A5B36" w:rsidRPr="00E55CAC">
              <w:rPr>
                <w:sz w:val="16"/>
                <w:szCs w:val="16"/>
                <w:lang w:val="es-ES"/>
              </w:rPr>
              <w:t>fiscal</w:t>
            </w:r>
          </w:p>
        </w:tc>
        <w:tc>
          <w:tcPr>
            <w:tcW w:w="6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B7159" w:rsidP="000146F6">
            <w:pPr>
              <w:rPr>
                <w:sz w:val="16"/>
                <w:szCs w:val="16"/>
                <w:lang w:val="es-ES"/>
              </w:rPr>
            </w:pPr>
            <w:r w:rsidRPr="00E55CAC">
              <w:rPr>
                <w:sz w:val="16"/>
                <w:szCs w:val="16"/>
                <w:lang w:val="es-ES"/>
              </w:rPr>
              <w:t>Porcentaje</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25.00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31178" w:rsidP="000146F6">
            <w:pPr>
              <w:rPr>
                <w:sz w:val="16"/>
                <w:szCs w:val="16"/>
                <w:lang w:val="es-ES"/>
              </w:rPr>
            </w:pPr>
            <w:r w:rsidRPr="00E55CAC">
              <w:rPr>
                <w:sz w:val="16"/>
                <w:szCs w:val="16"/>
                <w:lang w:val="es-ES"/>
              </w:rPr>
              <w:t>Base de datos</w:t>
            </w:r>
            <w:r w:rsidR="000B7159" w:rsidRPr="00E55CAC">
              <w:rPr>
                <w:sz w:val="16"/>
                <w:szCs w:val="16"/>
                <w:lang w:val="es-ES"/>
              </w:rPr>
              <w:t xml:space="preserve"> del Proyecto </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0146F6">
            <w:pPr>
              <w:rPr>
                <w:sz w:val="16"/>
                <w:szCs w:val="16"/>
                <w:lang w:val="es-ES"/>
              </w:rPr>
            </w:pPr>
            <w:r w:rsidRPr="00E55CAC">
              <w:rPr>
                <w:sz w:val="16"/>
                <w:szCs w:val="16"/>
                <w:lang w:val="es-ES"/>
              </w:rPr>
              <w:t>UCP</w:t>
            </w:r>
            <w:r w:rsidR="000146F6" w:rsidRPr="00E55CAC">
              <w:rPr>
                <w:sz w:val="16"/>
                <w:szCs w:val="16"/>
                <w:lang w:val="es-ES"/>
              </w:rPr>
              <w:t xml:space="preserve">-PGR </w:t>
            </w:r>
            <w:r w:rsidR="00031178" w:rsidRPr="00E55CAC">
              <w:rPr>
                <w:sz w:val="16"/>
                <w:szCs w:val="16"/>
                <w:lang w:val="es-ES"/>
              </w:rPr>
              <w:t>en colaboración con</w:t>
            </w:r>
            <w:r w:rsidR="00FE4009">
              <w:rPr>
                <w:sz w:val="16"/>
                <w:szCs w:val="16"/>
                <w:lang w:val="es-ES"/>
              </w:rPr>
              <w:t xml:space="preserve"> </w:t>
            </w:r>
            <w:r w:rsidR="000146F6" w:rsidRPr="00E55CAC">
              <w:rPr>
                <w:sz w:val="16"/>
                <w:szCs w:val="16"/>
                <w:lang w:val="es-ES"/>
              </w:rPr>
              <w:t>INETER, INIFOM</w:t>
            </w:r>
            <w:r w:rsidR="00FE4009">
              <w:rPr>
                <w:sz w:val="16"/>
                <w:szCs w:val="16"/>
                <w:lang w:val="es-ES"/>
              </w:rPr>
              <w:t xml:space="preserve"> </w:t>
            </w:r>
            <w:r w:rsidR="00E700D4" w:rsidRPr="00E55CAC">
              <w:rPr>
                <w:sz w:val="16"/>
                <w:szCs w:val="16"/>
                <w:lang w:val="es-ES"/>
              </w:rPr>
              <w:t>y municipios</w:t>
            </w:r>
          </w:p>
        </w:tc>
      </w:tr>
      <w:tr w:rsidR="000146F6" w:rsidRPr="00F702EF" w:rsidTr="00237729">
        <w:tc>
          <w:tcPr>
            <w:tcW w:w="13221" w:type="dxa"/>
            <w:gridSpan w:val="21"/>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237729" w:rsidP="009E611B">
            <w:pPr>
              <w:rPr>
                <w:sz w:val="16"/>
                <w:szCs w:val="16"/>
                <w:lang w:val="es-NI"/>
              </w:rPr>
            </w:pPr>
            <w:r w:rsidRPr="00E55CAC">
              <w:rPr>
                <w:sz w:val="16"/>
                <w:szCs w:val="16"/>
                <w:lang w:val="es-NI"/>
              </w:rPr>
              <w:t>Componente</w:t>
            </w:r>
            <w:r w:rsidR="000146F6" w:rsidRPr="00E55CAC">
              <w:rPr>
                <w:sz w:val="16"/>
                <w:szCs w:val="16"/>
                <w:lang w:val="es-NI"/>
              </w:rPr>
              <w:t xml:space="preserve"> 2: </w:t>
            </w:r>
            <w:r w:rsidR="00B80DE8" w:rsidRPr="00E55CAC">
              <w:rPr>
                <w:sz w:val="16"/>
                <w:szCs w:val="16"/>
                <w:lang w:val="es-NI"/>
              </w:rPr>
              <w:t xml:space="preserve">Fortalecimiento </w:t>
            </w:r>
            <w:r w:rsidR="009E611B" w:rsidRPr="00E55CAC">
              <w:rPr>
                <w:sz w:val="16"/>
                <w:szCs w:val="16"/>
                <w:lang w:val="es-NI"/>
              </w:rPr>
              <w:t xml:space="preserve">de la Capacidad de Registro de Propiedad y de Resolución Alterna de Conflictos </w:t>
            </w:r>
          </w:p>
        </w:tc>
      </w:tr>
      <w:tr w:rsidR="000146F6" w:rsidRPr="00B80DE8" w:rsidTr="008C2352">
        <w:tc>
          <w:tcPr>
            <w:tcW w:w="232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A97B42">
            <w:pPr>
              <w:rPr>
                <w:sz w:val="16"/>
                <w:szCs w:val="16"/>
                <w:lang w:val="es-ES"/>
              </w:rPr>
            </w:pPr>
            <w:r w:rsidRPr="00E55CAC">
              <w:rPr>
                <w:sz w:val="16"/>
                <w:szCs w:val="16"/>
                <w:lang w:val="es-ES"/>
              </w:rPr>
              <w:t>2.1 SIICAR consolida</w:t>
            </w:r>
            <w:r w:rsidR="00B80DE8" w:rsidRPr="00E55CAC">
              <w:rPr>
                <w:sz w:val="16"/>
                <w:szCs w:val="16"/>
                <w:lang w:val="es-ES"/>
              </w:rPr>
              <w:t>d</w:t>
            </w:r>
            <w:r w:rsidR="00A97B42" w:rsidRPr="00E55CAC">
              <w:rPr>
                <w:sz w:val="16"/>
                <w:szCs w:val="16"/>
                <w:lang w:val="es-ES"/>
              </w:rPr>
              <w:t>o</w:t>
            </w:r>
            <w:r w:rsidR="00B80DE8" w:rsidRPr="00E55CAC">
              <w:rPr>
                <w:sz w:val="16"/>
                <w:szCs w:val="16"/>
                <w:lang w:val="es-ES"/>
              </w:rPr>
              <w:t xml:space="preserve"> e</w:t>
            </w:r>
            <w:r w:rsidRPr="00E55CAC">
              <w:rPr>
                <w:sz w:val="16"/>
                <w:szCs w:val="16"/>
                <w:lang w:val="es-ES"/>
              </w:rPr>
              <w:t xml:space="preserve">n Chinandega </w:t>
            </w:r>
            <w:r w:rsidR="00B80DE8" w:rsidRPr="00E55CAC">
              <w:rPr>
                <w:sz w:val="16"/>
                <w:szCs w:val="16"/>
                <w:lang w:val="es-ES"/>
              </w:rPr>
              <w:t>y ampliado al menos a otros tres departamentos</w:t>
            </w:r>
          </w:p>
        </w:tc>
        <w:tc>
          <w:tcPr>
            <w:tcW w:w="6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E700D4" w:rsidP="00E700D4">
            <w:pPr>
              <w:rPr>
                <w:sz w:val="16"/>
                <w:szCs w:val="16"/>
                <w:lang w:val="es-ES"/>
              </w:rPr>
            </w:pPr>
            <w:r w:rsidRPr="00E55CAC">
              <w:rPr>
                <w:sz w:val="16"/>
                <w:szCs w:val="16"/>
                <w:lang w:val="es-ES"/>
              </w:rPr>
              <w:t>Informes de progreso</w:t>
            </w:r>
            <w:r w:rsidR="000146F6" w:rsidRPr="00E55CAC">
              <w:rPr>
                <w:sz w:val="16"/>
                <w:szCs w:val="16"/>
                <w:lang w:val="es-ES"/>
              </w:rPr>
              <w:t xml:space="preserve">; </w:t>
            </w:r>
            <w:r w:rsidRPr="00E55CAC">
              <w:rPr>
                <w:sz w:val="16"/>
                <w:szCs w:val="16"/>
                <w:lang w:val="es-ES"/>
              </w:rPr>
              <w:t>Informes de evaluación de mitad de periodo y final</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B80DE8">
            <w:pPr>
              <w:rPr>
                <w:sz w:val="16"/>
                <w:szCs w:val="16"/>
                <w:lang w:val="es-ES"/>
              </w:rPr>
            </w:pPr>
            <w:r w:rsidRPr="00E55CAC">
              <w:rPr>
                <w:sz w:val="16"/>
                <w:szCs w:val="16"/>
                <w:lang w:val="es-ES"/>
              </w:rPr>
              <w:t xml:space="preserve">CSJ </w:t>
            </w:r>
            <w:r w:rsidR="00B80DE8" w:rsidRPr="00E55CAC">
              <w:rPr>
                <w:sz w:val="16"/>
                <w:szCs w:val="16"/>
                <w:lang w:val="es-ES"/>
              </w:rPr>
              <w:t>e</w:t>
            </w:r>
            <w:r w:rsidR="0078224D">
              <w:rPr>
                <w:sz w:val="16"/>
                <w:szCs w:val="16"/>
                <w:lang w:val="es-ES"/>
              </w:rPr>
              <w:t xml:space="preserve"> </w:t>
            </w:r>
            <w:r w:rsidRPr="00E55CAC">
              <w:rPr>
                <w:sz w:val="16"/>
                <w:szCs w:val="16"/>
                <w:lang w:val="es-ES"/>
              </w:rPr>
              <w:t>INETER</w:t>
            </w:r>
          </w:p>
        </w:tc>
      </w:tr>
      <w:tr w:rsidR="000146F6" w:rsidRPr="00F702EF" w:rsidTr="008C2352">
        <w:tc>
          <w:tcPr>
            <w:tcW w:w="2322"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 xml:space="preserve">2.2 </w:t>
            </w:r>
            <w:r w:rsidR="00BD3F13" w:rsidRPr="00E55CAC">
              <w:rPr>
                <w:sz w:val="16"/>
                <w:szCs w:val="16"/>
                <w:lang w:val="es-ES"/>
              </w:rPr>
              <w:t>Al menos</w:t>
            </w:r>
            <w:r w:rsidRPr="00E55CAC">
              <w:rPr>
                <w:sz w:val="16"/>
                <w:szCs w:val="16"/>
                <w:lang w:val="es-ES"/>
              </w:rPr>
              <w:t xml:space="preserve"> 30% </w:t>
            </w:r>
            <w:r w:rsidR="00607881" w:rsidRPr="00E55CAC">
              <w:rPr>
                <w:sz w:val="16"/>
                <w:szCs w:val="16"/>
                <w:lang w:val="es-ES"/>
              </w:rPr>
              <w:t xml:space="preserve">de acuerdos de mediación de conflictos resueltos a través del DIRAC los formaliza el Registro de la Propiedad </w:t>
            </w:r>
          </w:p>
          <w:p w:rsidR="00CF1B75" w:rsidRPr="00E55CAC" w:rsidRDefault="00CF1B75" w:rsidP="000146F6">
            <w:pPr>
              <w:rPr>
                <w:sz w:val="16"/>
                <w:szCs w:val="16"/>
                <w:lang w:val="es-ES"/>
              </w:rPr>
            </w:pPr>
          </w:p>
        </w:tc>
        <w:tc>
          <w:tcPr>
            <w:tcW w:w="64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B7159" w:rsidP="000146F6">
            <w:pPr>
              <w:rPr>
                <w:sz w:val="16"/>
                <w:szCs w:val="16"/>
                <w:lang w:val="es-ES"/>
              </w:rPr>
            </w:pPr>
            <w:r w:rsidRPr="00E55CAC">
              <w:rPr>
                <w:sz w:val="16"/>
                <w:szCs w:val="16"/>
                <w:lang w:val="es-ES"/>
              </w:rPr>
              <w:t>Porcentaje</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30.00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E700D4" w:rsidP="000146F6">
            <w:pPr>
              <w:rPr>
                <w:sz w:val="16"/>
                <w:szCs w:val="16"/>
                <w:lang w:val="es-ES"/>
              </w:rPr>
            </w:pPr>
            <w:r w:rsidRPr="00E55CAC">
              <w:rPr>
                <w:sz w:val="16"/>
                <w:szCs w:val="16"/>
                <w:lang w:val="es-ES"/>
              </w:rPr>
              <w:t>Informes de progreso</w:t>
            </w:r>
            <w:r w:rsidR="0078224D">
              <w:rPr>
                <w:sz w:val="16"/>
                <w:szCs w:val="16"/>
                <w:lang w:val="es-ES"/>
              </w:rPr>
              <w:t xml:space="preserve"> </w:t>
            </w:r>
            <w:r w:rsidRPr="00E55CAC">
              <w:rPr>
                <w:sz w:val="16"/>
                <w:szCs w:val="16"/>
                <w:lang w:val="es-ES"/>
              </w:rPr>
              <w:t>Informes de evaluación de mitad de periodo y final</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 xml:space="preserve">CSJ </w:t>
            </w:r>
            <w:r w:rsidR="00031178" w:rsidRPr="00E55CAC">
              <w:rPr>
                <w:sz w:val="16"/>
                <w:szCs w:val="16"/>
                <w:lang w:val="es-ES"/>
              </w:rPr>
              <w:t>en colaboración con</w:t>
            </w:r>
            <w:r w:rsidR="0078224D">
              <w:rPr>
                <w:sz w:val="16"/>
                <w:szCs w:val="16"/>
                <w:lang w:val="es-ES"/>
              </w:rPr>
              <w:t xml:space="preserve"> </w:t>
            </w:r>
            <w:r w:rsidR="00890CA6" w:rsidRPr="00E55CAC">
              <w:rPr>
                <w:sz w:val="16"/>
                <w:szCs w:val="16"/>
                <w:lang w:val="es-ES"/>
              </w:rPr>
              <w:t>UCP</w:t>
            </w:r>
            <w:r w:rsidRPr="00E55CAC">
              <w:rPr>
                <w:sz w:val="16"/>
                <w:szCs w:val="16"/>
                <w:lang w:val="es-ES"/>
              </w:rPr>
              <w:t>-PGR</w:t>
            </w:r>
          </w:p>
        </w:tc>
      </w:tr>
      <w:tr w:rsidR="000146F6" w:rsidRPr="00F702EF" w:rsidTr="00237729">
        <w:tc>
          <w:tcPr>
            <w:tcW w:w="13221" w:type="dxa"/>
            <w:gridSpan w:val="21"/>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237729" w:rsidP="00B80DE8">
            <w:pPr>
              <w:rPr>
                <w:sz w:val="16"/>
                <w:szCs w:val="16"/>
                <w:lang w:val="es-ES"/>
              </w:rPr>
            </w:pPr>
            <w:r w:rsidRPr="00E55CAC">
              <w:rPr>
                <w:sz w:val="16"/>
                <w:szCs w:val="16"/>
                <w:lang w:val="es-ES"/>
              </w:rPr>
              <w:lastRenderedPageBreak/>
              <w:t>Componente</w:t>
            </w:r>
            <w:r w:rsidR="00B80DE8" w:rsidRPr="00E55CAC">
              <w:rPr>
                <w:sz w:val="16"/>
                <w:szCs w:val="16"/>
                <w:lang w:val="es-ES"/>
              </w:rPr>
              <w:t xml:space="preserve"> 3: </w:t>
            </w:r>
            <w:r w:rsidR="00607881" w:rsidRPr="00E55CAC">
              <w:rPr>
                <w:sz w:val="16"/>
                <w:szCs w:val="16"/>
                <w:lang w:val="es-ES"/>
              </w:rPr>
              <w:t>Servicios</w:t>
            </w:r>
            <w:r w:rsidR="00B80DE8" w:rsidRPr="00E55CAC">
              <w:rPr>
                <w:sz w:val="16"/>
                <w:szCs w:val="16"/>
                <w:lang w:val="es-ES"/>
              </w:rPr>
              <w:t xml:space="preserve"> de Titulación y Regularización </w:t>
            </w:r>
          </w:p>
        </w:tc>
      </w:tr>
      <w:tr w:rsidR="000146F6" w:rsidRPr="00F702EF"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FA2468">
            <w:pPr>
              <w:rPr>
                <w:sz w:val="16"/>
                <w:szCs w:val="16"/>
                <w:lang w:val="es-ES"/>
              </w:rPr>
            </w:pPr>
            <w:r w:rsidRPr="00E55CAC">
              <w:rPr>
                <w:sz w:val="16"/>
                <w:szCs w:val="16"/>
                <w:lang w:val="es-ES"/>
              </w:rPr>
              <w:t xml:space="preserve">3.1 </w:t>
            </w:r>
            <w:r w:rsidR="00FA2468" w:rsidRPr="00E55CAC">
              <w:rPr>
                <w:sz w:val="16"/>
                <w:szCs w:val="16"/>
                <w:lang w:val="es-ES"/>
              </w:rPr>
              <w:t>P</w:t>
            </w:r>
            <w:r w:rsidRPr="00E55CAC">
              <w:rPr>
                <w:sz w:val="16"/>
                <w:szCs w:val="16"/>
                <w:lang w:val="es-ES"/>
              </w:rPr>
              <w:t>arcel</w:t>
            </w:r>
            <w:r w:rsidR="00FA2468" w:rsidRPr="00E55CAC">
              <w:rPr>
                <w:sz w:val="16"/>
                <w:szCs w:val="16"/>
                <w:lang w:val="es-ES"/>
              </w:rPr>
              <w:t>a</w:t>
            </w:r>
            <w:r w:rsidRPr="00E55CAC">
              <w:rPr>
                <w:sz w:val="16"/>
                <w:szCs w:val="16"/>
                <w:lang w:val="es-ES"/>
              </w:rPr>
              <w:t>s</w:t>
            </w:r>
            <w:r w:rsidR="00FA2468" w:rsidRPr="00E55CAC">
              <w:rPr>
                <w:sz w:val="16"/>
                <w:szCs w:val="16"/>
                <w:lang w:val="es-ES"/>
              </w:rPr>
              <w:t xml:space="preserve"> con derechos de usufructo o de propiedad registrados como resultado de la intervención del Proyecto </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474D78" w:rsidP="000146F6">
            <w:pPr>
              <w:rPr>
                <w:sz w:val="16"/>
                <w:szCs w:val="16"/>
                <w:lang w:val="es-ES"/>
              </w:rPr>
            </w:pPr>
            <w:r w:rsidRPr="00E55CAC">
              <w:rPr>
                <w:sz w:val="16"/>
                <w:szCs w:val="16"/>
                <w:lang w:val="es-ES"/>
              </w:rPr>
              <w:t>30</w:t>
            </w:r>
            <w:r w:rsidR="000146F6" w:rsidRPr="00E55CAC">
              <w:rPr>
                <w:sz w:val="16"/>
                <w:szCs w:val="16"/>
                <w:lang w:val="es-ES"/>
              </w:rPr>
              <w:t>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75000.00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474D78" w:rsidP="000146F6">
            <w:pPr>
              <w:rPr>
                <w:sz w:val="16"/>
                <w:szCs w:val="16"/>
                <w:lang w:val="es-ES"/>
              </w:rPr>
            </w:pPr>
            <w:r w:rsidRPr="00E55CAC">
              <w:rPr>
                <w:sz w:val="16"/>
                <w:szCs w:val="16"/>
                <w:lang w:val="es-ES"/>
              </w:rPr>
              <w:t>123</w:t>
            </w:r>
            <w:r w:rsidR="000146F6" w:rsidRPr="00E55CAC">
              <w:rPr>
                <w:sz w:val="16"/>
                <w:szCs w:val="16"/>
                <w:lang w:val="es-ES"/>
              </w:rPr>
              <w:t>000.00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31178" w:rsidP="00D15991">
            <w:pPr>
              <w:rPr>
                <w:sz w:val="16"/>
                <w:szCs w:val="16"/>
                <w:lang w:val="es-ES"/>
              </w:rPr>
            </w:pPr>
            <w:r w:rsidRPr="00E55CAC">
              <w:rPr>
                <w:sz w:val="16"/>
                <w:szCs w:val="16"/>
                <w:lang w:val="es-ES"/>
              </w:rPr>
              <w:t>Base de datos</w:t>
            </w:r>
            <w:r w:rsidR="00D15991" w:rsidRPr="00E55CAC">
              <w:rPr>
                <w:sz w:val="16"/>
                <w:szCs w:val="16"/>
                <w:lang w:val="es-ES"/>
              </w:rPr>
              <w:t xml:space="preserve">  de INETER</w:t>
            </w:r>
            <w:r w:rsidR="000146F6" w:rsidRPr="00E55CAC">
              <w:rPr>
                <w:sz w:val="16"/>
                <w:szCs w:val="16"/>
                <w:lang w:val="es-ES"/>
              </w:rPr>
              <w:t xml:space="preserve">, </w:t>
            </w:r>
            <w:r w:rsidR="00E700D4" w:rsidRPr="00E55CAC">
              <w:rPr>
                <w:sz w:val="16"/>
                <w:szCs w:val="16"/>
                <w:lang w:val="es-ES"/>
              </w:rPr>
              <w:t>Informes de progreso</w:t>
            </w:r>
            <w:r w:rsidR="0078224D">
              <w:rPr>
                <w:sz w:val="16"/>
                <w:szCs w:val="16"/>
                <w:lang w:val="es-ES"/>
              </w:rPr>
              <w:t xml:space="preserve"> </w:t>
            </w:r>
            <w:r w:rsidR="00E700D4" w:rsidRPr="00E55CAC">
              <w:rPr>
                <w:sz w:val="16"/>
                <w:szCs w:val="16"/>
                <w:lang w:val="es-ES"/>
              </w:rPr>
              <w:t>Informes de evaluación de mitad de periodo y final</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INETER</w:t>
            </w:r>
            <w:r w:rsidR="0078224D">
              <w:rPr>
                <w:sz w:val="16"/>
                <w:szCs w:val="16"/>
                <w:lang w:val="es-ES"/>
              </w:rPr>
              <w:t xml:space="preserve"> </w:t>
            </w:r>
            <w:r w:rsidR="00031178" w:rsidRPr="00E55CAC">
              <w:rPr>
                <w:sz w:val="16"/>
                <w:szCs w:val="16"/>
                <w:lang w:val="es-ES"/>
              </w:rPr>
              <w:t>en colaboración con</w:t>
            </w:r>
            <w:r w:rsidR="0078224D">
              <w:rPr>
                <w:sz w:val="16"/>
                <w:szCs w:val="16"/>
                <w:lang w:val="es-ES"/>
              </w:rPr>
              <w:t xml:space="preserve"> </w:t>
            </w:r>
            <w:r w:rsidR="00890CA6" w:rsidRPr="00E55CAC">
              <w:rPr>
                <w:sz w:val="16"/>
                <w:szCs w:val="16"/>
                <w:lang w:val="es-ES"/>
              </w:rPr>
              <w:t>UCP</w:t>
            </w:r>
            <w:r w:rsidRPr="00E55CAC">
              <w:rPr>
                <w:sz w:val="16"/>
                <w:szCs w:val="16"/>
                <w:lang w:val="es-ES"/>
              </w:rPr>
              <w:t>-PGR</w:t>
            </w:r>
          </w:p>
        </w:tc>
      </w:tr>
      <w:tr w:rsidR="000146F6" w:rsidRPr="009E611B"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450938">
            <w:pPr>
              <w:rPr>
                <w:sz w:val="16"/>
                <w:szCs w:val="16"/>
                <w:lang w:val="es-ES"/>
              </w:rPr>
            </w:pPr>
            <w:r w:rsidRPr="00E55CAC">
              <w:rPr>
                <w:sz w:val="16"/>
                <w:szCs w:val="16"/>
                <w:lang w:val="es-ES"/>
              </w:rPr>
              <w:t xml:space="preserve">3.1 (a) </w:t>
            </w:r>
            <w:r w:rsidR="00450938" w:rsidRPr="00E55CAC">
              <w:rPr>
                <w:sz w:val="16"/>
                <w:szCs w:val="16"/>
                <w:lang w:val="es-ES"/>
              </w:rPr>
              <w:t>Parcelas con derechos de usufructo o de propiedad registrados como resultado de la intervención del Proyecto – beneficiarias</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474D78" w:rsidP="000146F6">
            <w:pPr>
              <w:rPr>
                <w:sz w:val="16"/>
                <w:szCs w:val="16"/>
                <w:lang w:val="es-ES"/>
              </w:rPr>
            </w:pPr>
            <w:r w:rsidRPr="00E55CAC">
              <w:rPr>
                <w:sz w:val="16"/>
                <w:szCs w:val="16"/>
                <w:lang w:val="es-ES"/>
              </w:rPr>
              <w:t>9</w:t>
            </w:r>
            <w:r w:rsidR="000146F6" w:rsidRPr="00E55CAC">
              <w:rPr>
                <w:sz w:val="16"/>
                <w:szCs w:val="16"/>
                <w:lang w:val="es-ES"/>
              </w:rPr>
              <w:t>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15000.00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22500.00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474D78" w:rsidP="000146F6">
            <w:pPr>
              <w:rPr>
                <w:sz w:val="16"/>
                <w:szCs w:val="16"/>
                <w:lang w:val="es-ES"/>
              </w:rPr>
            </w:pPr>
            <w:r w:rsidRPr="00E55CAC">
              <w:rPr>
                <w:sz w:val="16"/>
                <w:szCs w:val="16"/>
                <w:lang w:val="es-ES"/>
              </w:rPr>
              <w:t>28</w:t>
            </w:r>
            <w:r w:rsidR="000146F6" w:rsidRPr="00E55CAC">
              <w:rPr>
                <w:sz w:val="16"/>
                <w:szCs w:val="16"/>
                <w:lang w:val="es-ES"/>
              </w:rPr>
              <w:t>000.00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474D78" w:rsidP="000146F6">
            <w:pPr>
              <w:rPr>
                <w:sz w:val="16"/>
                <w:szCs w:val="16"/>
                <w:lang w:val="es-ES"/>
              </w:rPr>
            </w:pPr>
            <w:r w:rsidRPr="00E55CAC">
              <w:rPr>
                <w:sz w:val="16"/>
                <w:szCs w:val="16"/>
                <w:lang w:val="es-ES"/>
              </w:rPr>
              <w:t>37</w:t>
            </w:r>
            <w:r w:rsidR="000146F6" w:rsidRPr="00E55CAC">
              <w:rPr>
                <w:sz w:val="16"/>
                <w:szCs w:val="16"/>
                <w:lang w:val="es-ES"/>
              </w:rPr>
              <w:t>000.00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450938" w:rsidP="00450938">
            <w:pPr>
              <w:rPr>
                <w:sz w:val="16"/>
                <w:szCs w:val="16"/>
                <w:lang w:val="es-ES"/>
              </w:rPr>
            </w:pPr>
            <w:r w:rsidRPr="00E55CAC">
              <w:rPr>
                <w:sz w:val="16"/>
                <w:szCs w:val="16"/>
                <w:lang w:val="es-ES"/>
              </w:rPr>
              <w:t xml:space="preserve">Ídem </w:t>
            </w:r>
            <w:r w:rsidR="000146F6" w:rsidRPr="00E55CAC">
              <w:rPr>
                <w:sz w:val="16"/>
                <w:szCs w:val="16"/>
                <w:lang w:val="es-ES"/>
              </w:rPr>
              <w:t xml:space="preserve"> 3.1 </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450938" w:rsidP="00450938">
            <w:pPr>
              <w:rPr>
                <w:sz w:val="16"/>
                <w:szCs w:val="16"/>
                <w:lang w:val="es-ES"/>
              </w:rPr>
            </w:pPr>
            <w:r w:rsidRPr="00E55CAC">
              <w:rPr>
                <w:sz w:val="16"/>
                <w:szCs w:val="16"/>
                <w:lang w:val="es-ES"/>
              </w:rPr>
              <w:t>Ídem</w:t>
            </w:r>
            <w:r w:rsidR="000146F6" w:rsidRPr="00E55CAC">
              <w:rPr>
                <w:sz w:val="16"/>
                <w:szCs w:val="16"/>
                <w:lang w:val="es-ES"/>
              </w:rPr>
              <w:t xml:space="preserve"> 3.1 </w:t>
            </w:r>
          </w:p>
        </w:tc>
      </w:tr>
      <w:tr w:rsidR="000146F6" w:rsidRPr="00F702EF"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450938">
            <w:pPr>
              <w:rPr>
                <w:sz w:val="16"/>
                <w:szCs w:val="16"/>
                <w:lang w:val="es-ES"/>
              </w:rPr>
            </w:pPr>
            <w:r w:rsidRPr="00E55CAC">
              <w:rPr>
                <w:sz w:val="16"/>
                <w:szCs w:val="16"/>
                <w:lang w:val="es-ES"/>
              </w:rPr>
              <w:t xml:space="preserve">3.2 </w:t>
            </w:r>
            <w:r w:rsidR="00BD3F13" w:rsidRPr="00E55CAC">
              <w:rPr>
                <w:sz w:val="16"/>
                <w:szCs w:val="16"/>
                <w:lang w:val="es-ES"/>
              </w:rPr>
              <w:t>Al menos</w:t>
            </w:r>
            <w:r w:rsidRPr="00E55CAC">
              <w:rPr>
                <w:sz w:val="16"/>
                <w:szCs w:val="16"/>
                <w:lang w:val="es-ES"/>
              </w:rPr>
              <w:t xml:space="preserve"> 70% </w:t>
            </w:r>
            <w:r w:rsidR="00450938" w:rsidRPr="00E55CAC">
              <w:rPr>
                <w:sz w:val="16"/>
                <w:szCs w:val="16"/>
                <w:lang w:val="es-ES"/>
              </w:rPr>
              <w:t>de los hogares con levantamiento topográfico de sus parcelas reportan mejoramiento sustancial de la seguridad en la tenencia de la tierra</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B7159" w:rsidP="000146F6">
            <w:pPr>
              <w:rPr>
                <w:sz w:val="16"/>
                <w:szCs w:val="16"/>
                <w:lang w:val="es-ES"/>
              </w:rPr>
            </w:pPr>
            <w:r w:rsidRPr="00E55CAC">
              <w:rPr>
                <w:sz w:val="16"/>
                <w:szCs w:val="16"/>
                <w:lang w:val="es-ES"/>
              </w:rPr>
              <w:t>Porcentaje</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70.00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6221CF" w:rsidP="006221CF">
            <w:pPr>
              <w:rPr>
                <w:sz w:val="16"/>
                <w:szCs w:val="16"/>
                <w:lang w:val="es-NI"/>
              </w:rPr>
            </w:pPr>
            <w:r w:rsidRPr="00E55CAC">
              <w:rPr>
                <w:sz w:val="16"/>
                <w:szCs w:val="16"/>
                <w:lang w:val="es-NI"/>
              </w:rPr>
              <w:t>Evaluación de mitad de periodo y final</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6221CF" w:rsidP="006221CF">
            <w:pPr>
              <w:rPr>
                <w:sz w:val="16"/>
                <w:szCs w:val="16"/>
                <w:lang w:val="es-ES"/>
              </w:rPr>
            </w:pPr>
            <w:r w:rsidRPr="00E55CAC">
              <w:rPr>
                <w:sz w:val="16"/>
                <w:szCs w:val="16"/>
                <w:lang w:val="es-ES"/>
              </w:rPr>
              <w:t>Encuestas</w:t>
            </w:r>
            <w:r w:rsidR="000146F6" w:rsidRPr="00E55CAC">
              <w:rPr>
                <w:sz w:val="16"/>
                <w:szCs w:val="16"/>
                <w:lang w:val="es-ES"/>
              </w:rPr>
              <w:t xml:space="preserve">; </w:t>
            </w:r>
            <w:r w:rsidRPr="00E55CAC">
              <w:rPr>
                <w:sz w:val="16"/>
                <w:szCs w:val="16"/>
                <w:lang w:val="es-ES"/>
              </w:rPr>
              <w:t>grupos f</w:t>
            </w:r>
            <w:r w:rsidR="000146F6" w:rsidRPr="00E55CAC">
              <w:rPr>
                <w:sz w:val="16"/>
                <w:szCs w:val="16"/>
                <w:lang w:val="es-ES"/>
              </w:rPr>
              <w:t>oc</w:t>
            </w:r>
            <w:r w:rsidRPr="00E55CAC">
              <w:rPr>
                <w:sz w:val="16"/>
                <w:szCs w:val="16"/>
                <w:lang w:val="es-ES"/>
              </w:rPr>
              <w:t>ales</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6221CF">
            <w:pPr>
              <w:rPr>
                <w:sz w:val="16"/>
                <w:szCs w:val="16"/>
                <w:lang w:val="es-ES"/>
              </w:rPr>
            </w:pPr>
            <w:r w:rsidRPr="00E55CAC">
              <w:rPr>
                <w:sz w:val="16"/>
                <w:szCs w:val="16"/>
                <w:lang w:val="es-ES"/>
              </w:rPr>
              <w:t>UCP</w:t>
            </w:r>
            <w:r w:rsidR="000146F6" w:rsidRPr="00E55CAC">
              <w:rPr>
                <w:sz w:val="16"/>
                <w:szCs w:val="16"/>
                <w:lang w:val="es-ES"/>
              </w:rPr>
              <w:t xml:space="preserve">-PGR, </w:t>
            </w:r>
            <w:r w:rsidR="00031178" w:rsidRPr="00E55CAC">
              <w:rPr>
                <w:sz w:val="16"/>
                <w:szCs w:val="16"/>
                <w:lang w:val="es-ES"/>
              </w:rPr>
              <w:t>en colaboración con</w:t>
            </w:r>
            <w:r w:rsidR="000146F6" w:rsidRPr="00E55CAC">
              <w:rPr>
                <w:sz w:val="16"/>
                <w:szCs w:val="16"/>
                <w:lang w:val="es-ES"/>
              </w:rPr>
              <w:t xml:space="preserve"> IP, INETER</w:t>
            </w:r>
            <w:r w:rsidR="0078224D">
              <w:rPr>
                <w:sz w:val="16"/>
                <w:szCs w:val="16"/>
                <w:lang w:val="es-ES"/>
              </w:rPr>
              <w:t xml:space="preserve"> </w:t>
            </w:r>
            <w:r w:rsidR="006221CF" w:rsidRPr="00E55CAC">
              <w:rPr>
                <w:sz w:val="16"/>
                <w:szCs w:val="16"/>
                <w:lang w:val="es-ES"/>
              </w:rPr>
              <w:t>y</w:t>
            </w:r>
            <w:r w:rsidR="000146F6" w:rsidRPr="00E55CAC">
              <w:rPr>
                <w:sz w:val="16"/>
                <w:szCs w:val="16"/>
                <w:lang w:val="es-ES"/>
              </w:rPr>
              <w:t xml:space="preserve"> CSJ</w:t>
            </w:r>
          </w:p>
        </w:tc>
      </w:tr>
      <w:tr w:rsidR="000146F6" w:rsidRPr="00F702EF"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6221CF">
            <w:pPr>
              <w:rPr>
                <w:sz w:val="16"/>
                <w:szCs w:val="16"/>
                <w:lang w:val="es-NI"/>
              </w:rPr>
            </w:pPr>
            <w:r w:rsidRPr="00E55CAC">
              <w:rPr>
                <w:sz w:val="16"/>
                <w:szCs w:val="16"/>
                <w:lang w:val="es-NI"/>
              </w:rPr>
              <w:t xml:space="preserve">3.3 </w:t>
            </w:r>
            <w:r w:rsidR="006221CF" w:rsidRPr="00E55CAC">
              <w:rPr>
                <w:sz w:val="16"/>
                <w:szCs w:val="16"/>
                <w:lang w:val="es-NI"/>
              </w:rPr>
              <w:t xml:space="preserve">Atención efectiva de las quejas/denuncias relacionadas con el Proyecto </w:t>
            </w:r>
            <w:r w:rsidRPr="00E55CAC">
              <w:rPr>
                <w:sz w:val="16"/>
                <w:szCs w:val="16"/>
                <w:lang w:val="es-NI"/>
              </w:rPr>
              <w:t>(%)</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B7159" w:rsidP="000146F6">
            <w:pPr>
              <w:rPr>
                <w:sz w:val="16"/>
                <w:szCs w:val="16"/>
                <w:lang w:val="es-ES"/>
              </w:rPr>
            </w:pPr>
            <w:r w:rsidRPr="00E55CAC">
              <w:rPr>
                <w:sz w:val="16"/>
                <w:szCs w:val="16"/>
                <w:lang w:val="es-ES"/>
              </w:rPr>
              <w:t>Porcentaje</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 xml:space="preserve">n/a </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31178" w:rsidP="006221CF">
            <w:pPr>
              <w:rPr>
                <w:sz w:val="16"/>
                <w:szCs w:val="16"/>
                <w:lang w:val="es-ES"/>
              </w:rPr>
            </w:pPr>
            <w:r w:rsidRPr="00E55CAC">
              <w:rPr>
                <w:sz w:val="16"/>
                <w:szCs w:val="16"/>
                <w:lang w:val="es-ES"/>
              </w:rPr>
              <w:t>Base de datos</w:t>
            </w:r>
            <w:r w:rsidR="006221CF" w:rsidRPr="00E55CAC">
              <w:rPr>
                <w:sz w:val="16"/>
                <w:szCs w:val="16"/>
                <w:lang w:val="es-ES"/>
              </w:rPr>
              <w:t xml:space="preserve"> de monitoreo GRM</w:t>
            </w:r>
            <w:r w:rsidR="000146F6" w:rsidRPr="00E55CAC">
              <w:rPr>
                <w:sz w:val="16"/>
                <w:szCs w:val="16"/>
                <w:lang w:val="es-ES"/>
              </w:rPr>
              <w:t xml:space="preserve">; </w:t>
            </w:r>
            <w:r w:rsidR="00E700D4" w:rsidRPr="00E55CAC">
              <w:rPr>
                <w:sz w:val="16"/>
                <w:szCs w:val="16"/>
                <w:lang w:val="es-ES"/>
              </w:rPr>
              <w:t>Informes de progreso</w:t>
            </w:r>
            <w:r w:rsidR="0078224D">
              <w:rPr>
                <w:sz w:val="16"/>
                <w:szCs w:val="16"/>
                <w:lang w:val="es-ES"/>
              </w:rPr>
              <w:t xml:space="preserve"> </w:t>
            </w:r>
            <w:r w:rsidR="00E700D4" w:rsidRPr="00E55CAC">
              <w:rPr>
                <w:sz w:val="16"/>
                <w:szCs w:val="16"/>
                <w:lang w:val="es-ES"/>
              </w:rPr>
              <w:t>Informes de evaluación de mitad de periodo y final</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90CA6" w:rsidP="006221CF">
            <w:pPr>
              <w:rPr>
                <w:sz w:val="16"/>
                <w:szCs w:val="16"/>
                <w:lang w:val="es-ES"/>
              </w:rPr>
            </w:pPr>
            <w:r w:rsidRPr="00E55CAC">
              <w:rPr>
                <w:sz w:val="16"/>
                <w:szCs w:val="16"/>
                <w:lang w:val="es-ES"/>
              </w:rPr>
              <w:t>UCP</w:t>
            </w:r>
            <w:r w:rsidR="000146F6" w:rsidRPr="00E55CAC">
              <w:rPr>
                <w:sz w:val="16"/>
                <w:szCs w:val="16"/>
                <w:lang w:val="es-ES"/>
              </w:rPr>
              <w:t xml:space="preserve">-PGR </w:t>
            </w:r>
            <w:r w:rsidR="006221CF" w:rsidRPr="00E55CAC">
              <w:rPr>
                <w:sz w:val="16"/>
                <w:szCs w:val="16"/>
                <w:lang w:val="es-ES"/>
              </w:rPr>
              <w:t>en coordinación con agencias co-ejecutoras</w:t>
            </w:r>
          </w:p>
        </w:tc>
      </w:tr>
      <w:tr w:rsidR="000146F6" w:rsidRPr="00B80DE8"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5C3187">
            <w:pPr>
              <w:rPr>
                <w:sz w:val="16"/>
                <w:szCs w:val="16"/>
                <w:lang w:val="es-ES"/>
              </w:rPr>
            </w:pPr>
            <w:r w:rsidRPr="00E55CAC">
              <w:rPr>
                <w:sz w:val="16"/>
                <w:szCs w:val="16"/>
                <w:lang w:val="es-ES"/>
              </w:rPr>
              <w:t xml:space="preserve">3.3 (a) </w:t>
            </w:r>
            <w:r w:rsidR="005C3187" w:rsidRPr="00E55CAC">
              <w:rPr>
                <w:sz w:val="16"/>
                <w:szCs w:val="16"/>
                <w:lang w:val="es-ES"/>
              </w:rPr>
              <w:t xml:space="preserve">Atención efectiva de las quejas/denuncias relacionadas con el Proyecto </w:t>
            </w:r>
            <w:r w:rsidRPr="00E55CAC">
              <w:rPr>
                <w:sz w:val="16"/>
                <w:szCs w:val="16"/>
                <w:lang w:val="es-ES"/>
              </w:rPr>
              <w:t>-(</w:t>
            </w:r>
            <w:r w:rsidR="005C3187" w:rsidRPr="00E55CAC">
              <w:rPr>
                <w:sz w:val="16"/>
                <w:szCs w:val="16"/>
                <w:lang w:val="es-ES"/>
              </w:rPr>
              <w:t>Cuantificación</w:t>
            </w:r>
            <w:r w:rsidRPr="00E55CAC">
              <w:rPr>
                <w:sz w:val="16"/>
                <w:szCs w:val="16"/>
                <w:lang w:val="es-ES"/>
              </w:rPr>
              <w:t>)</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66700" cy="2571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n/a</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5C3187" w:rsidP="00CD5C63">
            <w:pPr>
              <w:rPr>
                <w:sz w:val="16"/>
                <w:szCs w:val="16"/>
                <w:lang w:val="es-ES"/>
              </w:rPr>
            </w:pPr>
            <w:r w:rsidRPr="00E55CAC">
              <w:rPr>
                <w:sz w:val="16"/>
                <w:szCs w:val="16"/>
                <w:lang w:val="es-ES"/>
              </w:rPr>
              <w:t>Ídem</w:t>
            </w:r>
            <w:r w:rsidR="002B236F" w:rsidRPr="00E55CAC">
              <w:rPr>
                <w:sz w:val="16"/>
                <w:szCs w:val="16"/>
                <w:lang w:val="es-ES"/>
              </w:rPr>
              <w:t xml:space="preserve"> 3.3 </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CD5C63" w:rsidP="00CD5C63">
            <w:pPr>
              <w:rPr>
                <w:sz w:val="16"/>
                <w:szCs w:val="16"/>
                <w:lang w:val="es-ES"/>
              </w:rPr>
            </w:pPr>
            <w:r w:rsidRPr="00E55CAC">
              <w:rPr>
                <w:sz w:val="16"/>
                <w:szCs w:val="16"/>
                <w:lang w:val="es-ES"/>
              </w:rPr>
              <w:t>Ídem</w:t>
            </w:r>
            <w:r w:rsidR="002B236F" w:rsidRPr="00E55CAC">
              <w:rPr>
                <w:sz w:val="16"/>
                <w:szCs w:val="16"/>
                <w:lang w:val="es-ES"/>
              </w:rPr>
              <w:t xml:space="preserve"> 3.3</w:t>
            </w:r>
          </w:p>
        </w:tc>
      </w:tr>
      <w:tr w:rsidR="000146F6" w:rsidRPr="00F702EF"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CE4DDE">
            <w:pPr>
              <w:rPr>
                <w:sz w:val="16"/>
                <w:szCs w:val="16"/>
                <w:lang w:val="es-ES"/>
              </w:rPr>
            </w:pPr>
            <w:r w:rsidRPr="00E55CAC">
              <w:rPr>
                <w:sz w:val="16"/>
                <w:szCs w:val="16"/>
                <w:lang w:val="es-ES"/>
              </w:rPr>
              <w:t xml:space="preserve">3.4 </w:t>
            </w:r>
            <w:r w:rsidR="00BD3F13" w:rsidRPr="00E55CAC">
              <w:rPr>
                <w:sz w:val="16"/>
                <w:szCs w:val="16"/>
                <w:lang w:val="es-ES"/>
              </w:rPr>
              <w:t>Al menos</w:t>
            </w:r>
            <w:r w:rsidR="00FE4009">
              <w:rPr>
                <w:sz w:val="16"/>
                <w:szCs w:val="16"/>
                <w:lang w:val="es-ES"/>
              </w:rPr>
              <w:t xml:space="preserve"> </w:t>
            </w:r>
            <w:r w:rsidR="00CD5C63" w:rsidRPr="00E55CAC">
              <w:rPr>
                <w:sz w:val="16"/>
                <w:szCs w:val="16"/>
                <w:lang w:val="es-ES"/>
              </w:rPr>
              <w:t xml:space="preserve">dos áreas </w:t>
            </w:r>
            <w:r w:rsidR="00C013C9" w:rsidRPr="00E55CAC">
              <w:rPr>
                <w:sz w:val="16"/>
                <w:szCs w:val="16"/>
                <w:lang w:val="es-ES"/>
              </w:rPr>
              <w:t>complementar</w:t>
            </w:r>
            <w:r w:rsidR="00CD5C63" w:rsidRPr="00E55CAC">
              <w:rPr>
                <w:sz w:val="16"/>
                <w:szCs w:val="16"/>
                <w:lang w:val="es-ES"/>
              </w:rPr>
              <w:t>ias de los territorios indígenas</w:t>
            </w:r>
            <w:r w:rsidR="00CE4DDE" w:rsidRPr="00E55CAC">
              <w:rPr>
                <w:sz w:val="16"/>
                <w:szCs w:val="16"/>
                <w:lang w:val="es-ES"/>
              </w:rPr>
              <w:t xml:space="preserve"> en la zona de desarrollo especial de Bosaw</w:t>
            </w:r>
            <w:r w:rsidR="0078224D">
              <w:rPr>
                <w:sz w:val="16"/>
                <w:szCs w:val="16"/>
                <w:lang w:val="es-ES"/>
              </w:rPr>
              <w:t>á</w:t>
            </w:r>
            <w:r w:rsidR="00CE4DDE" w:rsidRPr="00E55CAC">
              <w:rPr>
                <w:sz w:val="16"/>
                <w:szCs w:val="16"/>
                <w:lang w:val="es-ES"/>
              </w:rPr>
              <w:t>s ya están demarcadas y tituladas</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31178" w:rsidP="00CE4DDE">
            <w:pPr>
              <w:rPr>
                <w:sz w:val="16"/>
                <w:szCs w:val="16"/>
                <w:lang w:val="es-ES"/>
              </w:rPr>
            </w:pPr>
            <w:r w:rsidRPr="00E55CAC">
              <w:rPr>
                <w:sz w:val="16"/>
                <w:szCs w:val="16"/>
                <w:lang w:val="es-ES"/>
              </w:rPr>
              <w:t>Base de datos</w:t>
            </w:r>
            <w:r w:rsidR="00CD5C63" w:rsidRPr="00E55CAC">
              <w:rPr>
                <w:sz w:val="16"/>
                <w:szCs w:val="16"/>
                <w:lang w:val="es-ES"/>
              </w:rPr>
              <w:t xml:space="preserve"> del Proyecto </w:t>
            </w:r>
            <w:r w:rsidR="000146F6" w:rsidRPr="00E55CAC">
              <w:rPr>
                <w:sz w:val="16"/>
                <w:szCs w:val="16"/>
                <w:lang w:val="es-ES"/>
              </w:rPr>
              <w:t>;</w:t>
            </w:r>
            <w:r w:rsidR="00CE4DDE" w:rsidRPr="00E55CAC">
              <w:rPr>
                <w:sz w:val="16"/>
                <w:szCs w:val="16"/>
                <w:lang w:val="es-ES"/>
              </w:rPr>
              <w:t>Informes de</w:t>
            </w:r>
            <w:r w:rsidR="000146F6" w:rsidRPr="00E55CAC">
              <w:rPr>
                <w:sz w:val="16"/>
                <w:szCs w:val="16"/>
                <w:lang w:val="es-ES"/>
              </w:rPr>
              <w:t xml:space="preserve"> Progres</w:t>
            </w:r>
            <w:r w:rsidR="00CE4DDE" w:rsidRPr="00E55CAC">
              <w:rPr>
                <w:sz w:val="16"/>
                <w:szCs w:val="16"/>
                <w:lang w:val="es-ES"/>
              </w:rPr>
              <w:t>o</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CE4DDE" w:rsidP="000146F6">
            <w:pPr>
              <w:rPr>
                <w:sz w:val="16"/>
                <w:szCs w:val="16"/>
                <w:lang w:val="es-NI"/>
              </w:rPr>
            </w:pPr>
            <w:r w:rsidRPr="00E55CAC">
              <w:rPr>
                <w:sz w:val="16"/>
                <w:szCs w:val="16"/>
                <w:lang w:val="es-ES"/>
              </w:rPr>
              <w:t>UCP-PGR en coordinación con agencias co-ejecutoras</w:t>
            </w:r>
          </w:p>
        </w:tc>
      </w:tr>
      <w:tr w:rsidR="000146F6" w:rsidRPr="00F702EF"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5C4ADB" w:rsidRPr="00E55CAC" w:rsidRDefault="000146F6" w:rsidP="00F404BB">
            <w:pPr>
              <w:rPr>
                <w:sz w:val="16"/>
                <w:szCs w:val="16"/>
                <w:lang w:val="es-NI"/>
              </w:rPr>
            </w:pPr>
            <w:r w:rsidRPr="00E55CAC">
              <w:rPr>
                <w:sz w:val="16"/>
                <w:szCs w:val="16"/>
                <w:lang w:val="es-NI"/>
              </w:rPr>
              <w:t xml:space="preserve">3.5 </w:t>
            </w:r>
            <w:r w:rsidR="00BD3F13" w:rsidRPr="00E55CAC">
              <w:rPr>
                <w:sz w:val="16"/>
                <w:szCs w:val="16"/>
                <w:lang w:val="es-NI"/>
              </w:rPr>
              <w:t>Al menos</w:t>
            </w:r>
            <w:r w:rsidR="00FE4009">
              <w:rPr>
                <w:sz w:val="16"/>
                <w:szCs w:val="16"/>
                <w:lang w:val="es-NI"/>
              </w:rPr>
              <w:t xml:space="preserve"> </w:t>
            </w:r>
            <w:r w:rsidR="00F404BB" w:rsidRPr="00E55CAC">
              <w:rPr>
                <w:sz w:val="16"/>
                <w:szCs w:val="16"/>
                <w:lang w:val="es-NI"/>
              </w:rPr>
              <w:t xml:space="preserve">cinco </w:t>
            </w:r>
            <w:r w:rsidR="00156785" w:rsidRPr="00E55CAC">
              <w:rPr>
                <w:sz w:val="16"/>
                <w:szCs w:val="16"/>
                <w:lang w:val="es-NI"/>
              </w:rPr>
              <w:t xml:space="preserve">áreas </w:t>
            </w:r>
            <w:r w:rsidR="00F404BB" w:rsidRPr="00E55CAC">
              <w:rPr>
                <w:sz w:val="16"/>
                <w:szCs w:val="16"/>
                <w:lang w:val="es-NI"/>
              </w:rPr>
              <w:t xml:space="preserve"> protegidas están demarcadas y registradas en la b</w:t>
            </w:r>
            <w:r w:rsidR="00031178" w:rsidRPr="00E55CAC">
              <w:rPr>
                <w:sz w:val="16"/>
                <w:szCs w:val="16"/>
                <w:lang w:val="es-NI"/>
              </w:rPr>
              <w:t>ase de datos</w:t>
            </w:r>
            <w:r w:rsidR="00FE4009">
              <w:rPr>
                <w:sz w:val="16"/>
                <w:szCs w:val="16"/>
                <w:lang w:val="es-NI"/>
              </w:rPr>
              <w:t xml:space="preserve"> </w:t>
            </w:r>
            <w:r w:rsidR="00F404BB" w:rsidRPr="00E55CAC">
              <w:rPr>
                <w:sz w:val="16"/>
                <w:szCs w:val="16"/>
                <w:lang w:val="es-NI"/>
              </w:rPr>
              <w:t xml:space="preserve">del Sistema Nacional de Áreas Protegidas </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4.00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5.00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NI"/>
              </w:rPr>
            </w:pPr>
            <w:r w:rsidRPr="00E55CAC">
              <w:rPr>
                <w:sz w:val="16"/>
                <w:szCs w:val="16"/>
                <w:lang w:val="es-NI"/>
              </w:rPr>
              <w:t xml:space="preserve">Project </w:t>
            </w:r>
            <w:r w:rsidR="00031178" w:rsidRPr="00E55CAC">
              <w:rPr>
                <w:sz w:val="16"/>
                <w:szCs w:val="16"/>
                <w:lang w:val="es-NI"/>
              </w:rPr>
              <w:t>Base de datos</w:t>
            </w:r>
            <w:r w:rsidRPr="00E55CAC">
              <w:rPr>
                <w:sz w:val="16"/>
                <w:szCs w:val="16"/>
                <w:lang w:val="es-NI"/>
              </w:rPr>
              <w:t xml:space="preserve">; </w:t>
            </w:r>
            <w:r w:rsidR="00E700D4" w:rsidRPr="00E55CAC">
              <w:rPr>
                <w:sz w:val="16"/>
                <w:szCs w:val="16"/>
                <w:lang w:val="es-NI"/>
              </w:rPr>
              <w:t>Informes de evaluación de mitad de periodo y final</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NI"/>
              </w:rPr>
            </w:pPr>
            <w:r w:rsidRPr="00E55CAC">
              <w:rPr>
                <w:sz w:val="16"/>
                <w:szCs w:val="16"/>
                <w:lang w:val="es-NI"/>
              </w:rPr>
              <w:t>MARENA</w:t>
            </w:r>
            <w:r w:rsidR="0078224D">
              <w:rPr>
                <w:sz w:val="16"/>
                <w:szCs w:val="16"/>
                <w:lang w:val="es-NI"/>
              </w:rPr>
              <w:t xml:space="preserve"> </w:t>
            </w:r>
            <w:r w:rsidR="00031178" w:rsidRPr="00E55CAC">
              <w:rPr>
                <w:sz w:val="16"/>
                <w:szCs w:val="16"/>
                <w:lang w:val="es-NI"/>
              </w:rPr>
              <w:t>en colaboración con</w:t>
            </w:r>
            <w:r w:rsidR="0078224D">
              <w:rPr>
                <w:sz w:val="16"/>
                <w:szCs w:val="16"/>
                <w:lang w:val="es-NI"/>
              </w:rPr>
              <w:t xml:space="preserve"> </w:t>
            </w:r>
            <w:r w:rsidR="00890CA6" w:rsidRPr="00E55CAC">
              <w:rPr>
                <w:sz w:val="16"/>
                <w:szCs w:val="16"/>
                <w:lang w:val="es-NI"/>
              </w:rPr>
              <w:t>UCP</w:t>
            </w:r>
            <w:r w:rsidRPr="00E55CAC">
              <w:rPr>
                <w:sz w:val="16"/>
                <w:szCs w:val="16"/>
                <w:lang w:val="es-NI"/>
              </w:rPr>
              <w:t>-PGR</w:t>
            </w:r>
          </w:p>
        </w:tc>
      </w:tr>
      <w:tr w:rsidR="000146F6" w:rsidRPr="00F702EF" w:rsidTr="00237729">
        <w:tc>
          <w:tcPr>
            <w:tcW w:w="13221" w:type="dxa"/>
            <w:gridSpan w:val="21"/>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237729" w:rsidP="00156785">
            <w:pPr>
              <w:rPr>
                <w:sz w:val="16"/>
                <w:szCs w:val="16"/>
                <w:lang w:val="es-ES"/>
              </w:rPr>
            </w:pPr>
            <w:r w:rsidRPr="00E55CAC">
              <w:rPr>
                <w:sz w:val="16"/>
                <w:szCs w:val="16"/>
                <w:lang w:val="es-ES"/>
              </w:rPr>
              <w:t>Componente</w:t>
            </w:r>
            <w:r w:rsidR="000146F6" w:rsidRPr="00E55CAC">
              <w:rPr>
                <w:sz w:val="16"/>
                <w:szCs w:val="16"/>
                <w:lang w:val="es-ES"/>
              </w:rPr>
              <w:t xml:space="preserve"> 4: </w:t>
            </w:r>
            <w:r w:rsidR="00156785" w:rsidRPr="00E55CAC">
              <w:rPr>
                <w:sz w:val="16"/>
                <w:szCs w:val="16"/>
                <w:lang w:val="es-ES"/>
              </w:rPr>
              <w:t xml:space="preserve">Administración, Monitoreo &amp; Evaluación del Proyecto </w:t>
            </w:r>
          </w:p>
        </w:tc>
      </w:tr>
      <w:tr w:rsidR="005C4ADB" w:rsidRPr="00F702EF" w:rsidTr="008C2352">
        <w:tc>
          <w:tcPr>
            <w:tcW w:w="2334"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E24A40" w:rsidP="00156785">
            <w:pPr>
              <w:rPr>
                <w:sz w:val="16"/>
                <w:szCs w:val="16"/>
                <w:lang w:val="es-NI"/>
              </w:rPr>
            </w:pPr>
            <w:r w:rsidRPr="00E55CAC">
              <w:rPr>
                <w:sz w:val="16"/>
                <w:szCs w:val="16"/>
                <w:lang w:val="es-ES"/>
              </w:rPr>
              <w:t xml:space="preserve">4.1 </w:t>
            </w:r>
            <w:r w:rsidR="00156785" w:rsidRPr="00E55CAC">
              <w:rPr>
                <w:sz w:val="16"/>
                <w:szCs w:val="16"/>
                <w:lang w:val="es-ES"/>
              </w:rPr>
              <w:t xml:space="preserve">Línea de base para el informe de mitad de periodo y final sobre la evaluación de impactos se completó en tiempo y forma </w:t>
            </w:r>
            <w:r w:rsidR="00156785" w:rsidRPr="00E55CAC">
              <w:rPr>
                <w:sz w:val="16"/>
                <w:szCs w:val="16"/>
                <w:lang w:val="es-ES"/>
              </w:rPr>
              <w:lastRenderedPageBreak/>
              <w:t>satisfactoria</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lastRenderedPageBreak/>
              <w:drawing>
                <wp:inline distT="0" distB="0" distL="0" distR="0">
                  <wp:extent cx="23812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905"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Cantidad</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1.00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2.00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3.00</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Anualmente</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8C410E">
            <w:pPr>
              <w:rPr>
                <w:sz w:val="16"/>
                <w:szCs w:val="16"/>
                <w:lang w:val="es-ES"/>
              </w:rPr>
            </w:pPr>
            <w:r w:rsidRPr="00E55CAC">
              <w:rPr>
                <w:sz w:val="16"/>
                <w:szCs w:val="16"/>
                <w:lang w:val="es-ES"/>
              </w:rPr>
              <w:t>Archivos del Proyecto</w:t>
            </w:r>
            <w:r w:rsidR="000146F6" w:rsidRPr="00E55CAC">
              <w:rPr>
                <w:sz w:val="16"/>
                <w:szCs w:val="16"/>
                <w:lang w:val="es-ES"/>
              </w:rPr>
              <w:t xml:space="preserve">; </w:t>
            </w:r>
            <w:r w:rsidRPr="00E55CAC">
              <w:rPr>
                <w:sz w:val="16"/>
                <w:szCs w:val="16"/>
                <w:lang w:val="es-ES"/>
              </w:rPr>
              <w:t>Informes</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 xml:space="preserve">UCP-PGR en coordinación con agencias co-ejecutoras </w:t>
            </w:r>
          </w:p>
        </w:tc>
      </w:tr>
      <w:tr w:rsidR="000146F6" w:rsidRPr="00F702EF" w:rsidTr="00237729">
        <w:tc>
          <w:tcPr>
            <w:tcW w:w="13221" w:type="dxa"/>
            <w:gridSpan w:val="21"/>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C410E" w:rsidRPr="00E55CAC" w:rsidRDefault="00237729" w:rsidP="008C410E">
            <w:pPr>
              <w:rPr>
                <w:sz w:val="16"/>
                <w:szCs w:val="16"/>
                <w:lang w:val="es-ES"/>
              </w:rPr>
            </w:pPr>
            <w:r w:rsidRPr="00E55CAC">
              <w:rPr>
                <w:sz w:val="16"/>
                <w:szCs w:val="16"/>
                <w:lang w:val="es-ES"/>
              </w:rPr>
              <w:lastRenderedPageBreak/>
              <w:t>Componente</w:t>
            </w:r>
            <w:r w:rsidR="000146F6" w:rsidRPr="00E55CAC">
              <w:rPr>
                <w:sz w:val="16"/>
                <w:szCs w:val="16"/>
                <w:lang w:val="es-ES"/>
              </w:rPr>
              <w:t xml:space="preserve"> 5: </w:t>
            </w:r>
            <w:r w:rsidR="008C410E" w:rsidRPr="00E55CAC">
              <w:rPr>
                <w:sz w:val="16"/>
                <w:szCs w:val="16"/>
                <w:lang w:val="es-ES"/>
              </w:rPr>
              <w:t xml:space="preserve">Componente Contingente de Respuestas a Emergencias </w:t>
            </w:r>
          </w:p>
        </w:tc>
      </w:tr>
      <w:tr w:rsidR="005C4ADB" w:rsidRPr="00156785" w:rsidTr="008C2352">
        <w:tc>
          <w:tcPr>
            <w:tcW w:w="2340" w:type="dxa"/>
            <w:gridSpan w:val="3"/>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E24A40" w:rsidP="00E85EFF">
            <w:pPr>
              <w:rPr>
                <w:sz w:val="16"/>
                <w:szCs w:val="16"/>
                <w:lang w:val="es-ES"/>
              </w:rPr>
            </w:pPr>
            <w:r w:rsidRPr="00E55CAC">
              <w:rPr>
                <w:sz w:val="16"/>
                <w:szCs w:val="16"/>
                <w:lang w:val="es-ES"/>
              </w:rPr>
              <w:t xml:space="preserve">5.1 </w:t>
            </w:r>
            <w:r w:rsidR="000146F6" w:rsidRPr="00E55CAC">
              <w:rPr>
                <w:sz w:val="16"/>
                <w:szCs w:val="16"/>
                <w:lang w:val="es-ES"/>
              </w:rPr>
              <w:t>CERC</w:t>
            </w:r>
            <w:r w:rsidR="0078224D">
              <w:rPr>
                <w:sz w:val="16"/>
                <w:szCs w:val="16"/>
                <w:lang w:val="es-ES"/>
              </w:rPr>
              <w:t xml:space="preserve"> </w:t>
            </w:r>
            <w:r w:rsidR="00E85EFF" w:rsidRPr="00E55CAC">
              <w:rPr>
                <w:sz w:val="16"/>
                <w:szCs w:val="16"/>
                <w:lang w:val="es-ES"/>
              </w:rPr>
              <w:t>establecido y listo para brindarle a Nicaragua acceso a recursos financieros a la hora de enfrentar una emergencia relevante</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46F6" w:rsidRPr="00E55CAC" w:rsidRDefault="000146F6" w:rsidP="000146F6">
            <w:pPr>
              <w:spacing w:line="320" w:lineRule="atLeast"/>
              <w:jc w:val="center"/>
              <w:rPr>
                <w:sz w:val="16"/>
                <w:szCs w:val="16"/>
                <w:lang w:val="es-ES"/>
              </w:rPr>
            </w:pPr>
            <w:r w:rsidRPr="00E55CAC">
              <w:rPr>
                <w:noProof/>
                <w:sz w:val="16"/>
                <w:szCs w:val="16"/>
              </w:rPr>
              <w:drawing>
                <wp:inline distT="0" distB="0" distL="0" distR="0">
                  <wp:extent cx="23812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p>
        </w:tc>
        <w:tc>
          <w:tcPr>
            <w:tcW w:w="899"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r w:rsidR="00B47209" w:rsidRPr="00E55CAC">
              <w:rPr>
                <w:sz w:val="16"/>
                <w:szCs w:val="16"/>
                <w:lang w:val="es-ES"/>
              </w:rPr>
              <w:t>/No</w:t>
            </w:r>
          </w:p>
        </w:tc>
        <w:tc>
          <w:tcPr>
            <w:tcW w:w="76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0146F6" w:rsidP="000146F6">
            <w:pPr>
              <w:rPr>
                <w:sz w:val="16"/>
                <w:szCs w:val="16"/>
                <w:lang w:val="es-ES"/>
              </w:rPr>
            </w:pPr>
            <w:r w:rsidRPr="00E55CAC">
              <w:rPr>
                <w:sz w:val="16"/>
                <w:szCs w:val="16"/>
                <w:lang w:val="es-ES"/>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92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8C410E" w:rsidP="000146F6">
            <w:pPr>
              <w:rPr>
                <w:sz w:val="16"/>
                <w:szCs w:val="16"/>
                <w:lang w:val="es-ES"/>
              </w:rPr>
            </w:pPr>
            <w:r w:rsidRPr="00E55CAC">
              <w:rPr>
                <w:sz w:val="16"/>
                <w:szCs w:val="16"/>
                <w:lang w:val="es-ES"/>
              </w:rPr>
              <w:t>Sí</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2A0AF7" w:rsidP="000146F6">
            <w:pPr>
              <w:rPr>
                <w:sz w:val="16"/>
                <w:szCs w:val="16"/>
                <w:lang w:val="es-ES"/>
              </w:rPr>
            </w:pPr>
            <w:r w:rsidRPr="00E55CAC">
              <w:rPr>
                <w:sz w:val="16"/>
                <w:szCs w:val="16"/>
                <w:lang w:val="es-ES"/>
              </w:rPr>
              <w:t>Según sea necesario</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E55CAC" w:rsidRDefault="00E85EFF" w:rsidP="00E85EFF">
            <w:pPr>
              <w:rPr>
                <w:sz w:val="16"/>
                <w:szCs w:val="16"/>
                <w:lang w:val="es-ES"/>
              </w:rPr>
            </w:pPr>
            <w:r w:rsidRPr="00E55CAC">
              <w:rPr>
                <w:sz w:val="16"/>
                <w:szCs w:val="16"/>
                <w:lang w:val="es-ES"/>
              </w:rPr>
              <w:t xml:space="preserve">Archivos </w:t>
            </w:r>
            <w:r w:rsidR="000146F6" w:rsidRPr="00E55CAC">
              <w:rPr>
                <w:sz w:val="16"/>
                <w:szCs w:val="16"/>
                <w:lang w:val="es-ES"/>
              </w:rPr>
              <w:t xml:space="preserve">MHCP, </w:t>
            </w:r>
            <w:r w:rsidRPr="00E55CAC">
              <w:rPr>
                <w:sz w:val="16"/>
                <w:szCs w:val="16"/>
                <w:lang w:val="es-ES"/>
              </w:rPr>
              <w:t xml:space="preserve">Manual Operativo </w:t>
            </w:r>
            <w:r w:rsidR="000146F6" w:rsidRPr="00E55CAC">
              <w:rPr>
                <w:sz w:val="16"/>
                <w:szCs w:val="16"/>
                <w:lang w:val="es-ES"/>
              </w:rPr>
              <w:t>CERC</w:t>
            </w:r>
          </w:p>
        </w:tc>
        <w:tc>
          <w:tcPr>
            <w:tcW w:w="1455"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E55CAC" w:rsidRDefault="000146F6" w:rsidP="00E85EFF">
            <w:pPr>
              <w:rPr>
                <w:sz w:val="16"/>
                <w:szCs w:val="16"/>
                <w:lang w:val="es-ES"/>
              </w:rPr>
            </w:pPr>
            <w:r w:rsidRPr="00E55CAC">
              <w:rPr>
                <w:sz w:val="16"/>
                <w:szCs w:val="16"/>
                <w:lang w:val="es-ES"/>
              </w:rPr>
              <w:t xml:space="preserve">MHCP, </w:t>
            </w:r>
            <w:r w:rsidR="00E85EFF" w:rsidRPr="00E55CAC">
              <w:rPr>
                <w:sz w:val="16"/>
                <w:szCs w:val="16"/>
                <w:lang w:val="es-ES"/>
              </w:rPr>
              <w:t>Banco Mundial</w:t>
            </w:r>
          </w:p>
        </w:tc>
      </w:tr>
      <w:tr w:rsidR="000146F6" w:rsidRPr="005B6CFA" w:rsidTr="00237729">
        <w:trPr>
          <w:gridAfter w:val="1"/>
          <w:wAfter w:w="259" w:type="dxa"/>
        </w:trPr>
        <w:tc>
          <w:tcPr>
            <w:tcW w:w="12962" w:type="dxa"/>
            <w:gridSpan w:val="20"/>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0146F6" w:rsidP="000146F6">
            <w:pPr>
              <w:rPr>
                <w:rFonts w:ascii="Times" w:hAnsi="Times" w:cs="Times"/>
                <w:color w:val="FFFFFF"/>
                <w:sz w:val="4"/>
                <w:szCs w:val="4"/>
                <w:lang w:val="es-ES"/>
              </w:rPr>
            </w:pPr>
            <w:r w:rsidRPr="005B6CFA">
              <w:rPr>
                <w:rFonts w:ascii="Times" w:hAnsi="Times" w:cs="Times"/>
                <w:color w:val="FFFFFF"/>
                <w:sz w:val="4"/>
                <w:szCs w:val="4"/>
                <w:lang w:val="es-ES"/>
              </w:rPr>
              <w:t>.</w:t>
            </w:r>
          </w:p>
        </w:tc>
      </w:tr>
      <w:tr w:rsidR="000146F6" w:rsidRPr="005B6CFA" w:rsidTr="00237729">
        <w:trPr>
          <w:gridAfter w:val="1"/>
          <w:wAfter w:w="259" w:type="dxa"/>
        </w:trPr>
        <w:tc>
          <w:tcPr>
            <w:tcW w:w="12962" w:type="dxa"/>
            <w:gridSpan w:val="20"/>
            <w:tcBorders>
              <w:top w:val="nil"/>
              <w:left w:val="nil"/>
              <w:bottom w:val="nil"/>
              <w:right w:val="nil"/>
            </w:tcBorders>
            <w:shd w:val="clear" w:color="auto" w:fill="FFFFFF"/>
            <w:tcMar>
              <w:top w:w="50" w:type="dxa"/>
              <w:left w:w="50" w:type="dxa"/>
              <w:bottom w:w="50" w:type="dxa"/>
              <w:right w:w="50" w:type="dxa"/>
            </w:tcMar>
            <w:vAlign w:val="center"/>
          </w:tcPr>
          <w:p w:rsidR="000146F6" w:rsidRPr="005B6CFA" w:rsidRDefault="00E85EFF" w:rsidP="00E85EFF">
            <w:pPr>
              <w:jc w:val="center"/>
              <w:rPr>
                <w:b/>
                <w:lang w:val="es-ES"/>
              </w:rPr>
            </w:pPr>
            <w:r w:rsidRPr="005B6CFA">
              <w:rPr>
                <w:b/>
                <w:lang w:val="es-ES"/>
              </w:rPr>
              <w:t>Descripción</w:t>
            </w:r>
            <w:r w:rsidR="0078224D">
              <w:rPr>
                <w:b/>
                <w:lang w:val="es-ES"/>
              </w:rPr>
              <w:t xml:space="preserve"> </w:t>
            </w:r>
            <w:r>
              <w:rPr>
                <w:b/>
                <w:lang w:val="es-ES"/>
              </w:rPr>
              <w:t>de los</w:t>
            </w:r>
            <w:r w:rsidR="0078224D">
              <w:rPr>
                <w:b/>
                <w:lang w:val="es-ES"/>
              </w:rPr>
              <w:t xml:space="preserve"> </w:t>
            </w:r>
            <w:r w:rsidRPr="005B6CFA">
              <w:rPr>
                <w:b/>
                <w:lang w:val="es-ES"/>
              </w:rPr>
              <w:t>Indicadores</w:t>
            </w:r>
          </w:p>
        </w:tc>
      </w:tr>
      <w:tr w:rsidR="000146F6" w:rsidRPr="00F702EF" w:rsidTr="00237729">
        <w:trPr>
          <w:gridAfter w:val="1"/>
          <w:wAfter w:w="259" w:type="dxa"/>
        </w:trPr>
        <w:tc>
          <w:tcPr>
            <w:tcW w:w="12962" w:type="dxa"/>
            <w:gridSpan w:val="20"/>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0146F6" w:rsidRPr="008C2352" w:rsidRDefault="00E85EFF" w:rsidP="000146F6">
            <w:pPr>
              <w:rPr>
                <w:sz w:val="16"/>
                <w:szCs w:val="16"/>
                <w:lang w:val="es-ES"/>
              </w:rPr>
            </w:pPr>
            <w:r w:rsidRPr="008C2352">
              <w:rPr>
                <w:b/>
                <w:bCs/>
                <w:sz w:val="16"/>
                <w:szCs w:val="16"/>
                <w:lang w:val="es-ES"/>
              </w:rPr>
              <w:t xml:space="preserve">Indicadores de los Objetivos de Desarrollo del Proyecto </w:t>
            </w:r>
          </w:p>
        </w:tc>
      </w:tr>
      <w:tr w:rsidR="000146F6" w:rsidRPr="005B6CFA"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0146F6" w:rsidRPr="008C2352" w:rsidRDefault="00E85EFF" w:rsidP="000146F6">
            <w:pPr>
              <w:rPr>
                <w:color w:val="314F4F"/>
                <w:sz w:val="16"/>
                <w:szCs w:val="16"/>
                <w:lang w:val="es-ES"/>
              </w:rPr>
            </w:pPr>
            <w:r w:rsidRPr="008C2352">
              <w:rPr>
                <w:color w:val="314F4F"/>
                <w:sz w:val="16"/>
                <w:szCs w:val="16"/>
                <w:lang w:val="es-ES"/>
              </w:rPr>
              <w:t>Nombre del Indicador</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0146F6" w:rsidRPr="008C2352" w:rsidRDefault="00E85EFF" w:rsidP="00E85EFF">
            <w:pPr>
              <w:rPr>
                <w:color w:val="314F4F"/>
                <w:sz w:val="16"/>
                <w:szCs w:val="16"/>
                <w:lang w:val="es-ES"/>
              </w:rPr>
            </w:pPr>
            <w:r w:rsidRPr="008C2352">
              <w:rPr>
                <w:color w:val="314F4F"/>
                <w:sz w:val="16"/>
                <w:szCs w:val="16"/>
                <w:lang w:val="es-ES"/>
              </w:rPr>
              <w:t>Descripción</w:t>
            </w:r>
            <w:r w:rsidR="000146F6" w:rsidRPr="008C2352">
              <w:rPr>
                <w:color w:val="314F4F"/>
                <w:sz w:val="16"/>
                <w:szCs w:val="16"/>
                <w:lang w:val="es-ES"/>
              </w:rPr>
              <w:t xml:space="preserve"> (</w:t>
            </w:r>
            <w:r w:rsidRPr="008C2352">
              <w:rPr>
                <w:color w:val="314F4F"/>
                <w:sz w:val="16"/>
                <w:szCs w:val="16"/>
                <w:lang w:val="es-ES"/>
              </w:rPr>
              <w:t>definición,</w:t>
            </w:r>
            <w:r w:rsidR="000146F6" w:rsidRPr="008C2352">
              <w:rPr>
                <w:color w:val="314F4F"/>
                <w:sz w:val="16"/>
                <w:szCs w:val="16"/>
                <w:lang w:val="es-ES"/>
              </w:rPr>
              <w:t xml:space="preserve"> etc.)</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0146F6">
            <w:pPr>
              <w:rPr>
                <w:sz w:val="16"/>
                <w:szCs w:val="16"/>
                <w:lang w:val="es-ES"/>
              </w:rPr>
            </w:pPr>
            <w:r w:rsidRPr="008C2352">
              <w:rPr>
                <w:sz w:val="16"/>
                <w:szCs w:val="16"/>
                <w:lang w:val="es-ES"/>
              </w:rPr>
              <w:t xml:space="preserve">[1] </w:t>
            </w:r>
            <w:r w:rsidR="00FA3EEF" w:rsidRPr="008C2352">
              <w:rPr>
                <w:sz w:val="16"/>
                <w:szCs w:val="16"/>
                <w:lang w:val="es-ES"/>
              </w:rPr>
              <w:t xml:space="preserve">Beneficiarios directos del Proyecto </w:t>
            </w:r>
            <w:r w:rsidRPr="008C2352">
              <w:rPr>
                <w:sz w:val="16"/>
                <w:szCs w:val="16"/>
                <w:lang w:val="es-ES"/>
              </w:rPr>
              <w:t>[</w:t>
            </w:r>
            <w:r w:rsidR="00FA3EEF" w:rsidRPr="008C2352">
              <w:rPr>
                <w:sz w:val="16"/>
                <w:szCs w:val="16"/>
                <w:lang w:val="es-ES"/>
              </w:rPr>
              <w:t>INDICADOR BASE</w:t>
            </w:r>
            <w:r w:rsidRPr="008C2352">
              <w:rPr>
                <w:sz w:val="16"/>
                <w:szCs w:val="16"/>
                <w:lang w:val="es-ES"/>
              </w:rPr>
              <w:t>]</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ED630C" w:rsidP="00A7123B">
            <w:pPr>
              <w:rPr>
                <w:sz w:val="16"/>
                <w:szCs w:val="16"/>
                <w:lang w:val="es-ES"/>
              </w:rPr>
            </w:pPr>
            <w:r w:rsidRPr="008C2352">
              <w:rPr>
                <w:sz w:val="16"/>
                <w:szCs w:val="16"/>
                <w:lang w:val="es-ES"/>
              </w:rPr>
              <w:t xml:space="preserve">Los </w:t>
            </w:r>
            <w:r w:rsidR="000146F6" w:rsidRPr="008C2352">
              <w:rPr>
                <w:sz w:val="16"/>
                <w:szCs w:val="16"/>
                <w:lang w:val="es-ES"/>
              </w:rPr>
              <w:t>beneficiari</w:t>
            </w:r>
            <w:r w:rsidRPr="008C2352">
              <w:rPr>
                <w:sz w:val="16"/>
                <w:szCs w:val="16"/>
                <w:lang w:val="es-ES"/>
              </w:rPr>
              <w:t>o</w:t>
            </w:r>
            <w:r w:rsidR="000146F6" w:rsidRPr="008C2352">
              <w:rPr>
                <w:sz w:val="16"/>
                <w:szCs w:val="16"/>
                <w:lang w:val="es-ES"/>
              </w:rPr>
              <w:t xml:space="preserve">s </w:t>
            </w:r>
            <w:r w:rsidRPr="008C2352">
              <w:rPr>
                <w:sz w:val="16"/>
                <w:szCs w:val="16"/>
                <w:lang w:val="es-ES"/>
              </w:rPr>
              <w:t>direct</w:t>
            </w:r>
            <w:r w:rsidR="00244667" w:rsidRPr="008C2352">
              <w:rPr>
                <w:sz w:val="16"/>
                <w:szCs w:val="16"/>
                <w:lang w:val="es-ES"/>
              </w:rPr>
              <w:t xml:space="preserve">os son personas o grupos que </w:t>
            </w:r>
            <w:r w:rsidR="007723C4" w:rsidRPr="008C2352">
              <w:rPr>
                <w:sz w:val="16"/>
                <w:szCs w:val="16"/>
                <w:lang w:val="es-ES"/>
              </w:rPr>
              <w:t xml:space="preserve">se ven favorecidos directamente por una intervención (Ej. niños en el caso de una campaña de vacunación, familias con </w:t>
            </w:r>
            <w:r w:rsidR="00A7123B" w:rsidRPr="008C2352">
              <w:rPr>
                <w:sz w:val="16"/>
                <w:szCs w:val="16"/>
                <w:lang w:val="es-ES"/>
              </w:rPr>
              <w:t>una nueva conexión por acueductos). En el caso del Proyecto propuesto, el presente indicador cuantifica el total de</w:t>
            </w:r>
            <w:r w:rsidRPr="008C2352">
              <w:rPr>
                <w:sz w:val="16"/>
                <w:szCs w:val="16"/>
                <w:lang w:val="es-ES"/>
              </w:rPr>
              <w:t xml:space="preserve"> beneficiarios directos</w:t>
            </w:r>
            <w:r w:rsidR="0078224D">
              <w:rPr>
                <w:sz w:val="16"/>
                <w:szCs w:val="16"/>
                <w:lang w:val="es-ES"/>
              </w:rPr>
              <w:t xml:space="preserve"> </w:t>
            </w:r>
            <w:r w:rsidR="00A7123B" w:rsidRPr="008C2352">
              <w:rPr>
                <w:sz w:val="16"/>
                <w:szCs w:val="16"/>
                <w:lang w:val="es-ES"/>
              </w:rPr>
              <w:t>de las nuevas actividades de levantado catastral y de todas las acciones de regularización</w:t>
            </w:r>
            <w:r w:rsidR="0095199B" w:rsidRPr="008C2352">
              <w:rPr>
                <w:sz w:val="16"/>
                <w:szCs w:val="16"/>
                <w:lang w:val="es-ES"/>
              </w:rPr>
              <w:t>.</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0146F6">
            <w:pPr>
              <w:rPr>
                <w:sz w:val="16"/>
                <w:szCs w:val="16"/>
                <w:lang w:val="es-ES"/>
              </w:rPr>
            </w:pPr>
            <w:r w:rsidRPr="008C2352">
              <w:rPr>
                <w:sz w:val="16"/>
                <w:szCs w:val="16"/>
                <w:lang w:val="es-ES"/>
              </w:rPr>
              <w:t xml:space="preserve">[1(a)] </w:t>
            </w:r>
            <w:r w:rsidR="00FA3EEF" w:rsidRPr="008C2352">
              <w:rPr>
                <w:sz w:val="16"/>
                <w:szCs w:val="16"/>
                <w:lang w:val="es-ES"/>
              </w:rPr>
              <w:t>Mujeres beneficiarias</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A7123B" w:rsidP="00A7123B">
            <w:pPr>
              <w:rPr>
                <w:sz w:val="16"/>
                <w:szCs w:val="16"/>
                <w:lang w:val="es-ES"/>
              </w:rPr>
            </w:pPr>
            <w:r w:rsidRPr="008C2352">
              <w:rPr>
                <w:sz w:val="16"/>
                <w:szCs w:val="16"/>
                <w:lang w:val="es-ES"/>
              </w:rPr>
              <w:t>Con b</w:t>
            </w:r>
            <w:r w:rsidR="000146F6" w:rsidRPr="008C2352">
              <w:rPr>
                <w:sz w:val="16"/>
                <w:szCs w:val="16"/>
                <w:lang w:val="es-ES"/>
              </w:rPr>
              <w:t>ase</w:t>
            </w:r>
            <w:r w:rsidRPr="008C2352">
              <w:rPr>
                <w:sz w:val="16"/>
                <w:szCs w:val="16"/>
                <w:lang w:val="es-ES"/>
              </w:rPr>
              <w:t xml:space="preserve"> en la evaluación y definición de los beneficiarios directos, este indicador arrojará el porcentaje de beneficiarios que son mujeres.</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FA3EEF">
            <w:pPr>
              <w:rPr>
                <w:sz w:val="16"/>
                <w:szCs w:val="16"/>
                <w:lang w:val="es-ES"/>
              </w:rPr>
            </w:pPr>
            <w:r w:rsidRPr="008C2352">
              <w:rPr>
                <w:sz w:val="16"/>
                <w:szCs w:val="16"/>
                <w:lang w:val="es-ES"/>
              </w:rPr>
              <w:t xml:space="preserve">[2] </w:t>
            </w:r>
            <w:r w:rsidR="00BD3F13" w:rsidRPr="008C2352">
              <w:rPr>
                <w:sz w:val="16"/>
                <w:szCs w:val="16"/>
                <w:lang w:val="es-ES"/>
              </w:rPr>
              <w:t xml:space="preserve">Al </w:t>
            </w:r>
            <w:r w:rsidR="00FA3EEF" w:rsidRPr="008C2352">
              <w:rPr>
                <w:sz w:val="16"/>
                <w:szCs w:val="16"/>
                <w:lang w:val="es-ES"/>
              </w:rPr>
              <w:t xml:space="preserve">menos 90,000 hogares reciben sus documentos legales a través del Proyecto </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B8728F" w:rsidP="00DA7087">
            <w:pPr>
              <w:rPr>
                <w:sz w:val="16"/>
                <w:szCs w:val="16"/>
                <w:lang w:val="es-ES"/>
              </w:rPr>
            </w:pPr>
            <w:r w:rsidRPr="008C2352">
              <w:rPr>
                <w:sz w:val="16"/>
                <w:szCs w:val="16"/>
                <w:lang w:val="es-ES"/>
              </w:rPr>
              <w:t>El presente</w:t>
            </w:r>
            <w:r w:rsidR="00CE1B57" w:rsidRPr="008C2352">
              <w:rPr>
                <w:sz w:val="16"/>
                <w:szCs w:val="16"/>
                <w:lang w:val="es-ES"/>
              </w:rPr>
              <w:t xml:space="preserve"> i</w:t>
            </w:r>
            <w:r w:rsidR="000146F6" w:rsidRPr="008C2352">
              <w:rPr>
                <w:sz w:val="16"/>
                <w:szCs w:val="16"/>
                <w:lang w:val="es-ES"/>
              </w:rPr>
              <w:t>nd</w:t>
            </w:r>
            <w:r w:rsidR="00CE1B57" w:rsidRPr="008C2352">
              <w:rPr>
                <w:sz w:val="16"/>
                <w:szCs w:val="16"/>
                <w:lang w:val="es-ES"/>
              </w:rPr>
              <w:t>ica</w:t>
            </w:r>
            <w:r w:rsidRPr="008C2352">
              <w:rPr>
                <w:sz w:val="16"/>
                <w:szCs w:val="16"/>
                <w:lang w:val="es-ES"/>
              </w:rPr>
              <w:t>d</w:t>
            </w:r>
            <w:r w:rsidR="00CE1B57" w:rsidRPr="008C2352">
              <w:rPr>
                <w:sz w:val="16"/>
                <w:szCs w:val="16"/>
                <w:lang w:val="es-ES"/>
              </w:rPr>
              <w:t>or</w:t>
            </w:r>
            <w:r w:rsidR="00DA7087" w:rsidRPr="008C2352">
              <w:rPr>
                <w:sz w:val="16"/>
                <w:szCs w:val="16"/>
                <w:lang w:val="es-ES"/>
              </w:rPr>
              <w:t xml:space="preserve"> sólo cuantifica los resultados de las actividades de regularización como títulos nuevos, resoluciones (solvencias), certificados de tenencia y demás documentos legales que confirman derechos de propiedad</w:t>
            </w:r>
            <w:r w:rsidR="000146F6" w:rsidRPr="008C2352">
              <w:rPr>
                <w:sz w:val="16"/>
                <w:szCs w:val="16"/>
                <w:lang w:val="es-ES"/>
              </w:rPr>
              <w:t>.</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FA3EEF">
            <w:pPr>
              <w:rPr>
                <w:sz w:val="16"/>
                <w:szCs w:val="16"/>
                <w:lang w:val="es-ES"/>
              </w:rPr>
            </w:pPr>
            <w:r w:rsidRPr="008C2352">
              <w:rPr>
                <w:sz w:val="16"/>
                <w:szCs w:val="16"/>
                <w:lang w:val="es-ES"/>
              </w:rPr>
              <w:t xml:space="preserve">[2(a)] </w:t>
            </w:r>
            <w:r w:rsidR="00FA3EEF" w:rsidRPr="008C2352">
              <w:rPr>
                <w:sz w:val="16"/>
                <w:szCs w:val="16"/>
                <w:lang w:val="es-ES"/>
              </w:rPr>
              <w:t>de los cuales 60,000 recibieron sus nuevos títulos  (50% de beneficiarios son mujeres o parejas)</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DA7087" w:rsidP="007347C2">
            <w:pPr>
              <w:rPr>
                <w:sz w:val="16"/>
                <w:szCs w:val="16"/>
                <w:lang w:val="es-ES"/>
              </w:rPr>
            </w:pPr>
            <w:r w:rsidRPr="008C2352">
              <w:rPr>
                <w:sz w:val="16"/>
                <w:szCs w:val="16"/>
                <w:lang w:val="es-ES"/>
              </w:rPr>
              <w:t>Este s</w:t>
            </w:r>
            <w:r w:rsidR="000146F6" w:rsidRPr="008C2352">
              <w:rPr>
                <w:sz w:val="16"/>
                <w:szCs w:val="16"/>
                <w:lang w:val="es-ES"/>
              </w:rPr>
              <w:t>ub-</w:t>
            </w:r>
            <w:r w:rsidRPr="008C2352">
              <w:rPr>
                <w:sz w:val="16"/>
                <w:szCs w:val="16"/>
                <w:lang w:val="es-ES"/>
              </w:rPr>
              <w:t>indicador</w:t>
            </w:r>
            <w:r w:rsidR="0078224D">
              <w:rPr>
                <w:sz w:val="16"/>
                <w:szCs w:val="16"/>
                <w:lang w:val="es-ES"/>
              </w:rPr>
              <w:t xml:space="preserve"> </w:t>
            </w:r>
            <w:r w:rsidRPr="008C2352">
              <w:rPr>
                <w:sz w:val="16"/>
                <w:szCs w:val="16"/>
                <w:lang w:val="es-ES"/>
              </w:rPr>
              <w:t xml:space="preserve">cuantifica los beneficiarios que reciben nuevos títulos de propiedad e impactos en las </w:t>
            </w:r>
            <w:r w:rsidR="007347C2" w:rsidRPr="008C2352">
              <w:rPr>
                <w:sz w:val="16"/>
                <w:szCs w:val="16"/>
                <w:lang w:val="es-ES"/>
              </w:rPr>
              <w:t>beneficiarias.</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FA3EEF">
            <w:pPr>
              <w:rPr>
                <w:sz w:val="16"/>
                <w:szCs w:val="16"/>
                <w:lang w:val="es-ES"/>
              </w:rPr>
            </w:pPr>
            <w:r w:rsidRPr="008C2352">
              <w:rPr>
                <w:sz w:val="16"/>
                <w:szCs w:val="16"/>
                <w:lang w:val="es-ES"/>
              </w:rPr>
              <w:t xml:space="preserve">[3] </w:t>
            </w:r>
            <w:r w:rsidR="00FA3EEF" w:rsidRPr="008C2352">
              <w:rPr>
                <w:sz w:val="16"/>
                <w:szCs w:val="16"/>
                <w:lang w:val="es-ES"/>
              </w:rPr>
              <w:t xml:space="preserve">Evaluación independiente determina que el SIICAR obtiene resultados satisfactorios en términos de operación, datos y seguridad </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7347C2" w:rsidP="0070747F">
            <w:pPr>
              <w:rPr>
                <w:sz w:val="16"/>
                <w:szCs w:val="16"/>
                <w:lang w:val="es-ES"/>
              </w:rPr>
            </w:pPr>
            <w:r w:rsidRPr="008C2352">
              <w:rPr>
                <w:sz w:val="16"/>
                <w:szCs w:val="16"/>
                <w:lang w:val="es-NI"/>
              </w:rPr>
              <w:t>Se llevarán a cabo evaluaciones independientes</w:t>
            </w:r>
            <w:r w:rsidR="0078224D">
              <w:rPr>
                <w:sz w:val="16"/>
                <w:szCs w:val="16"/>
                <w:lang w:val="es-NI"/>
              </w:rPr>
              <w:t xml:space="preserve"> </w:t>
            </w:r>
            <w:r w:rsidRPr="008C2352">
              <w:rPr>
                <w:sz w:val="16"/>
                <w:szCs w:val="16"/>
                <w:lang w:val="es-NI"/>
              </w:rPr>
              <w:t>del</w:t>
            </w:r>
            <w:r w:rsidR="0078224D">
              <w:rPr>
                <w:sz w:val="16"/>
                <w:szCs w:val="16"/>
                <w:lang w:val="es-NI"/>
              </w:rPr>
              <w:t xml:space="preserve"> </w:t>
            </w:r>
            <w:r w:rsidR="000146F6" w:rsidRPr="008C2352">
              <w:rPr>
                <w:sz w:val="16"/>
                <w:szCs w:val="16"/>
                <w:lang w:val="es-NI"/>
              </w:rPr>
              <w:t>SIICAR</w:t>
            </w:r>
            <w:r w:rsidRPr="008C2352">
              <w:rPr>
                <w:sz w:val="16"/>
                <w:szCs w:val="16"/>
                <w:lang w:val="es-NI"/>
              </w:rPr>
              <w:t>: una a la mitad del periodo y la otra al final del Proyecto</w:t>
            </w:r>
            <w:r w:rsidR="0070747F" w:rsidRPr="008C2352">
              <w:rPr>
                <w:sz w:val="16"/>
                <w:szCs w:val="16"/>
                <w:lang w:val="es-NI"/>
              </w:rPr>
              <w:t xml:space="preserve">, de conformidad con una metodología y términos de referencia que elaboren de forma conjunta la CSR e INETER. La evaluación deberá generar recomendaciones </w:t>
            </w:r>
            <w:r w:rsidR="002A0AF7" w:rsidRPr="008C2352">
              <w:rPr>
                <w:sz w:val="16"/>
                <w:szCs w:val="16"/>
                <w:lang w:val="es-ES"/>
              </w:rPr>
              <w:t>según sea necesario</w:t>
            </w:r>
            <w:r w:rsidR="0070747F" w:rsidRPr="008C2352">
              <w:rPr>
                <w:sz w:val="16"/>
                <w:szCs w:val="16"/>
                <w:lang w:val="es-ES"/>
              </w:rPr>
              <w:t xml:space="preserve"> para garantizar la sostenibilidad del</w:t>
            </w:r>
            <w:r w:rsidR="0078224D">
              <w:rPr>
                <w:sz w:val="16"/>
                <w:szCs w:val="16"/>
                <w:lang w:val="es-ES"/>
              </w:rPr>
              <w:t xml:space="preserve"> </w:t>
            </w:r>
            <w:r w:rsidR="000146F6" w:rsidRPr="008C2352">
              <w:rPr>
                <w:sz w:val="16"/>
                <w:szCs w:val="16"/>
                <w:lang w:val="es-ES"/>
              </w:rPr>
              <w:t>SIICAR.</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FA3EEF">
            <w:pPr>
              <w:rPr>
                <w:sz w:val="16"/>
                <w:szCs w:val="16"/>
                <w:lang w:val="es-ES"/>
              </w:rPr>
            </w:pPr>
            <w:r w:rsidRPr="008C2352">
              <w:rPr>
                <w:sz w:val="16"/>
                <w:szCs w:val="16"/>
                <w:lang w:val="es-ES"/>
              </w:rPr>
              <w:t xml:space="preserve">[4] </w:t>
            </w:r>
            <w:r w:rsidR="00FA3EEF" w:rsidRPr="008C2352">
              <w:rPr>
                <w:sz w:val="16"/>
                <w:szCs w:val="16"/>
                <w:lang w:val="es-ES"/>
              </w:rPr>
              <w:t>Numero promedio de días para completar el registro de la compraventa de inmuebles en el sistema SIICAR</w:t>
            </w:r>
            <w:r w:rsidR="003B0885" w:rsidRPr="008C2352">
              <w:rPr>
                <w:sz w:val="16"/>
                <w:szCs w:val="16"/>
                <w:lang w:val="es-ES"/>
              </w:rPr>
              <w:t>)</w:t>
            </w:r>
            <w:r w:rsidRPr="008C2352">
              <w:rPr>
                <w:sz w:val="16"/>
                <w:szCs w:val="16"/>
                <w:lang w:val="es-ES"/>
              </w:rPr>
              <w:t xml:space="preserve"> [</w:t>
            </w:r>
            <w:r w:rsidR="00FA3EEF" w:rsidRPr="008C2352">
              <w:rPr>
                <w:sz w:val="16"/>
                <w:szCs w:val="16"/>
                <w:lang w:val="es-ES"/>
              </w:rPr>
              <w:t>INDICADOR BASE</w:t>
            </w:r>
            <w:r w:rsidRPr="008C2352">
              <w:rPr>
                <w:sz w:val="16"/>
                <w:szCs w:val="16"/>
                <w:lang w:val="es-ES"/>
              </w:rPr>
              <w:t>]</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70747F" w:rsidP="0070747F">
            <w:pPr>
              <w:rPr>
                <w:sz w:val="16"/>
                <w:szCs w:val="16"/>
                <w:lang w:val="es-NI"/>
              </w:rPr>
            </w:pPr>
            <w:r w:rsidRPr="008C2352">
              <w:rPr>
                <w:sz w:val="16"/>
                <w:szCs w:val="16"/>
                <w:lang w:val="es-ES"/>
              </w:rPr>
              <w:t>Este</w:t>
            </w:r>
            <w:r w:rsidR="0078224D">
              <w:rPr>
                <w:sz w:val="16"/>
                <w:szCs w:val="16"/>
                <w:lang w:val="es-ES"/>
              </w:rPr>
              <w:t xml:space="preserve"> </w:t>
            </w:r>
            <w:r w:rsidR="00DA7087" w:rsidRPr="008C2352">
              <w:rPr>
                <w:sz w:val="16"/>
                <w:szCs w:val="16"/>
                <w:lang w:val="es-ES"/>
              </w:rPr>
              <w:t>indicador</w:t>
            </w:r>
            <w:r w:rsidR="0078224D">
              <w:rPr>
                <w:sz w:val="16"/>
                <w:szCs w:val="16"/>
                <w:lang w:val="es-ES"/>
              </w:rPr>
              <w:t xml:space="preserve"> </w:t>
            </w:r>
            <w:r w:rsidRPr="008C2352">
              <w:rPr>
                <w:sz w:val="16"/>
                <w:szCs w:val="16"/>
                <w:lang w:val="es-ES"/>
              </w:rPr>
              <w:t xml:space="preserve">mide las mejoras en el ahorro de tiempo para registrar las compraventas de inmuebles, atribuibles al Proyecto. </w:t>
            </w:r>
            <w:r w:rsidRPr="008C2352">
              <w:rPr>
                <w:sz w:val="16"/>
                <w:szCs w:val="16"/>
                <w:lang w:val="es-NI"/>
              </w:rPr>
              <w:t>El valor de la línea de base será la c</w:t>
            </w:r>
            <w:r w:rsidR="002A0AF7" w:rsidRPr="008C2352">
              <w:rPr>
                <w:sz w:val="16"/>
                <w:szCs w:val="16"/>
                <w:lang w:val="es-NI"/>
              </w:rPr>
              <w:t>antidad</w:t>
            </w:r>
            <w:r w:rsidR="0078224D">
              <w:rPr>
                <w:sz w:val="16"/>
                <w:szCs w:val="16"/>
                <w:lang w:val="es-NI"/>
              </w:rPr>
              <w:t xml:space="preserve"> </w:t>
            </w:r>
            <w:r w:rsidRPr="008C2352">
              <w:rPr>
                <w:sz w:val="16"/>
                <w:szCs w:val="16"/>
                <w:lang w:val="es-NI"/>
              </w:rPr>
              <w:t xml:space="preserve">promedio de </w:t>
            </w:r>
            <w:r w:rsidR="00AD72A3" w:rsidRPr="008C2352">
              <w:rPr>
                <w:sz w:val="16"/>
                <w:szCs w:val="16"/>
                <w:lang w:val="es-NI"/>
              </w:rPr>
              <w:t>días</w:t>
            </w:r>
            <w:r w:rsidR="000146F6" w:rsidRPr="008C2352">
              <w:rPr>
                <w:sz w:val="16"/>
                <w:szCs w:val="16"/>
                <w:lang w:val="es-NI"/>
              </w:rPr>
              <w:t xml:space="preserve"> requ</w:t>
            </w:r>
            <w:r w:rsidRPr="008C2352">
              <w:rPr>
                <w:sz w:val="16"/>
                <w:szCs w:val="16"/>
                <w:lang w:val="es-NI"/>
              </w:rPr>
              <w:t>eridos</w:t>
            </w:r>
            <w:r w:rsidR="008706ED" w:rsidRPr="008C2352">
              <w:rPr>
                <w:sz w:val="16"/>
                <w:szCs w:val="16"/>
                <w:lang w:val="es-NI"/>
              </w:rPr>
              <w:t xml:space="preserve"> para completar el registro de la compraventa de una propiedad en el sistema de ordenamiento territorial  (SIICAR en este caso) existente al inicio del Proyecto.</w:t>
            </w:r>
          </w:p>
        </w:tc>
      </w:tr>
      <w:tr w:rsidR="000146F6" w:rsidRPr="00F702EF" w:rsidTr="008C2352">
        <w:trPr>
          <w:gridAfter w:val="1"/>
          <w:wAfter w:w="259" w:type="dxa"/>
        </w:trPr>
        <w:tc>
          <w:tcPr>
            <w:tcW w:w="4253" w:type="dxa"/>
            <w:gridSpan w:val="8"/>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8C2352" w:rsidRDefault="000146F6" w:rsidP="0027275C">
            <w:pPr>
              <w:rPr>
                <w:sz w:val="16"/>
                <w:szCs w:val="16"/>
                <w:lang w:val="es-ES"/>
              </w:rPr>
            </w:pPr>
            <w:r w:rsidRPr="008C2352">
              <w:rPr>
                <w:sz w:val="16"/>
                <w:szCs w:val="16"/>
                <w:lang w:val="es-ES"/>
              </w:rPr>
              <w:t xml:space="preserve">[5] </w:t>
            </w:r>
            <w:r w:rsidR="0027275C" w:rsidRPr="008C2352">
              <w:rPr>
                <w:sz w:val="16"/>
                <w:szCs w:val="16"/>
                <w:lang w:val="es-ES"/>
              </w:rPr>
              <w:t xml:space="preserve">Tiempo para desembolsar los fondos solicitados por el gobierno para enfrentar una emergencia relevante </w:t>
            </w:r>
          </w:p>
        </w:tc>
        <w:tc>
          <w:tcPr>
            <w:tcW w:w="8709" w:type="dxa"/>
            <w:gridSpan w:val="1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8C2352" w:rsidRDefault="008706ED" w:rsidP="006A2175">
            <w:pPr>
              <w:rPr>
                <w:sz w:val="16"/>
                <w:szCs w:val="16"/>
                <w:lang w:val="es-ES"/>
              </w:rPr>
            </w:pPr>
            <w:r w:rsidRPr="008C2352">
              <w:rPr>
                <w:sz w:val="16"/>
                <w:szCs w:val="16"/>
                <w:lang w:val="es-ES"/>
              </w:rPr>
              <w:t>El presente</w:t>
            </w:r>
            <w:r w:rsidR="0078224D">
              <w:rPr>
                <w:sz w:val="16"/>
                <w:szCs w:val="16"/>
                <w:lang w:val="es-ES"/>
              </w:rPr>
              <w:t xml:space="preserve"> </w:t>
            </w:r>
            <w:r w:rsidR="00DA7087" w:rsidRPr="008C2352">
              <w:rPr>
                <w:sz w:val="16"/>
                <w:szCs w:val="16"/>
                <w:lang w:val="es-ES"/>
              </w:rPr>
              <w:t>indicador</w:t>
            </w:r>
            <w:r w:rsidR="000146F6" w:rsidRPr="008C2352">
              <w:rPr>
                <w:sz w:val="16"/>
                <w:szCs w:val="16"/>
                <w:lang w:val="es-ES"/>
              </w:rPr>
              <w:t xml:space="preserve"> m</w:t>
            </w:r>
            <w:r w:rsidRPr="008C2352">
              <w:rPr>
                <w:sz w:val="16"/>
                <w:szCs w:val="16"/>
                <w:lang w:val="es-ES"/>
              </w:rPr>
              <w:t>ide el grado de efectivida</w:t>
            </w:r>
            <w:r w:rsidR="006A2175" w:rsidRPr="008C2352">
              <w:rPr>
                <w:sz w:val="16"/>
                <w:szCs w:val="16"/>
                <w:lang w:val="es-ES"/>
              </w:rPr>
              <w:t xml:space="preserve">d </w:t>
            </w:r>
            <w:r w:rsidRPr="008C2352">
              <w:rPr>
                <w:sz w:val="16"/>
                <w:szCs w:val="16"/>
                <w:lang w:val="es-ES"/>
              </w:rPr>
              <w:t>d</w:t>
            </w:r>
            <w:r w:rsidR="006A2175" w:rsidRPr="008C2352">
              <w:rPr>
                <w:sz w:val="16"/>
                <w:szCs w:val="16"/>
                <w:lang w:val="es-ES"/>
              </w:rPr>
              <w:t>el instrumento diseñado para brindarle a Nicaragua rápido acceso a recursos financieros a la hora de una emergencia. El tiempo se medirá desde el momento que el Banco Mundial reciba la solicitud del gobierno de ayuda después de declarar estado de emergencia nacional en relación con una lista positiva de bienes nacionales e importados según lo acordado en el Manual Operativo del CERC</w:t>
            </w:r>
            <w:r w:rsidR="000146F6" w:rsidRPr="008C2352">
              <w:rPr>
                <w:sz w:val="16"/>
                <w:szCs w:val="16"/>
                <w:lang w:val="es-ES"/>
              </w:rPr>
              <w:t>.</w:t>
            </w:r>
          </w:p>
        </w:tc>
      </w:tr>
      <w:tr w:rsidR="000146F6" w:rsidRPr="00F702EF" w:rsidTr="00237729">
        <w:trPr>
          <w:gridAfter w:val="1"/>
          <w:wAfter w:w="259" w:type="dxa"/>
        </w:trPr>
        <w:tc>
          <w:tcPr>
            <w:tcW w:w="12962" w:type="dxa"/>
            <w:gridSpan w:val="20"/>
            <w:tcBorders>
              <w:top w:val="nil"/>
              <w:left w:val="nil"/>
              <w:bottom w:val="nil"/>
              <w:right w:val="nil"/>
            </w:tcBorders>
            <w:shd w:val="clear" w:color="auto" w:fill="FFFFFF"/>
            <w:tcMar>
              <w:top w:w="50" w:type="dxa"/>
              <w:left w:w="50" w:type="dxa"/>
              <w:bottom w:w="50" w:type="dxa"/>
              <w:right w:w="50" w:type="dxa"/>
            </w:tcMar>
            <w:vAlign w:val="center"/>
          </w:tcPr>
          <w:p w:rsidR="000146F6" w:rsidRPr="008C2352" w:rsidRDefault="000146F6" w:rsidP="000146F6">
            <w:pPr>
              <w:rPr>
                <w:rFonts w:ascii="Times" w:hAnsi="Times" w:cs="Times"/>
                <w:color w:val="FFFFFF"/>
                <w:sz w:val="16"/>
                <w:szCs w:val="16"/>
                <w:lang w:val="es-ES"/>
              </w:rPr>
            </w:pPr>
          </w:p>
        </w:tc>
      </w:tr>
      <w:tr w:rsidR="000146F6" w:rsidRPr="005B6CFA" w:rsidTr="00237729">
        <w:trPr>
          <w:gridAfter w:val="1"/>
          <w:wAfter w:w="259" w:type="dxa"/>
        </w:trPr>
        <w:tc>
          <w:tcPr>
            <w:tcW w:w="12962" w:type="dxa"/>
            <w:gridSpan w:val="20"/>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0146F6" w:rsidRPr="00A531EC" w:rsidRDefault="00B12C56" w:rsidP="000146F6">
            <w:pPr>
              <w:rPr>
                <w:sz w:val="17"/>
                <w:szCs w:val="17"/>
                <w:lang w:val="es-ES"/>
              </w:rPr>
            </w:pPr>
            <w:r w:rsidRPr="00A531EC">
              <w:rPr>
                <w:b/>
                <w:bCs/>
                <w:sz w:val="17"/>
                <w:szCs w:val="17"/>
                <w:lang w:val="es-ES"/>
              </w:rPr>
              <w:t>Indicadores de Resultados Intermedios</w:t>
            </w:r>
          </w:p>
        </w:tc>
      </w:tr>
      <w:tr w:rsidR="00AA3AE2" w:rsidRPr="003A721E"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AA3AE2" w:rsidRPr="00A531EC" w:rsidRDefault="00AA3AE2" w:rsidP="00C3355F">
            <w:pPr>
              <w:rPr>
                <w:color w:val="314F4F"/>
                <w:sz w:val="17"/>
                <w:szCs w:val="17"/>
                <w:lang w:val="es-ES"/>
              </w:rPr>
            </w:pPr>
            <w:r w:rsidRPr="00A531EC">
              <w:rPr>
                <w:color w:val="314F4F"/>
                <w:sz w:val="17"/>
                <w:szCs w:val="17"/>
                <w:lang w:val="es-ES"/>
              </w:rPr>
              <w:t>Nombre del Indicador</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AA3AE2" w:rsidRPr="00A531EC" w:rsidRDefault="00AA3AE2" w:rsidP="00C3355F">
            <w:pPr>
              <w:rPr>
                <w:color w:val="314F4F"/>
                <w:sz w:val="17"/>
                <w:szCs w:val="17"/>
                <w:lang w:val="es-ES"/>
              </w:rPr>
            </w:pPr>
            <w:r w:rsidRPr="00A531EC">
              <w:rPr>
                <w:color w:val="314F4F"/>
                <w:sz w:val="17"/>
                <w:szCs w:val="17"/>
                <w:lang w:val="es-ES"/>
              </w:rPr>
              <w:t>Descripción (definición, etc.)</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6A2175">
            <w:pPr>
              <w:rPr>
                <w:sz w:val="17"/>
                <w:szCs w:val="17"/>
                <w:lang w:val="es-ES"/>
              </w:rPr>
            </w:pPr>
            <w:r w:rsidRPr="00A531EC">
              <w:rPr>
                <w:sz w:val="17"/>
                <w:szCs w:val="17"/>
                <w:lang w:val="es-ES"/>
              </w:rPr>
              <w:t xml:space="preserve">1.1 </w:t>
            </w:r>
            <w:r w:rsidR="006A2175" w:rsidRPr="00A531EC">
              <w:rPr>
                <w:sz w:val="17"/>
                <w:szCs w:val="17"/>
                <w:lang w:val="es-ES"/>
              </w:rPr>
              <w:t>Reducción de la cantidad de días para emitir un certificado catastral</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3A721E">
            <w:pPr>
              <w:rPr>
                <w:sz w:val="17"/>
                <w:szCs w:val="17"/>
                <w:lang w:val="es-ES"/>
              </w:rPr>
            </w:pPr>
            <w:r w:rsidRPr="00A531EC">
              <w:rPr>
                <w:sz w:val="17"/>
                <w:szCs w:val="17"/>
                <w:lang w:val="es-ES"/>
              </w:rPr>
              <w:t>Este indicador cuantifica</w:t>
            </w:r>
            <w:r w:rsidR="0078224D">
              <w:rPr>
                <w:sz w:val="17"/>
                <w:szCs w:val="17"/>
                <w:lang w:val="es-ES"/>
              </w:rPr>
              <w:t xml:space="preserve"> </w:t>
            </w:r>
            <w:r w:rsidR="003A721E" w:rsidRPr="00A531EC">
              <w:rPr>
                <w:sz w:val="17"/>
                <w:szCs w:val="17"/>
                <w:lang w:val="es-ES"/>
              </w:rPr>
              <w:t xml:space="preserve">las mejoras de los servicios catastrales ofrecidos por las oficinas de INETER en el área de influencia del Proyecto, de conformidad con una metodología consensuada con </w:t>
            </w:r>
            <w:r w:rsidR="000146F6" w:rsidRPr="00A531EC">
              <w:rPr>
                <w:sz w:val="17"/>
                <w:szCs w:val="17"/>
                <w:lang w:val="es-ES"/>
              </w:rPr>
              <w:t>INETER.</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3D0FFA">
            <w:pPr>
              <w:rPr>
                <w:sz w:val="17"/>
                <w:szCs w:val="17"/>
                <w:lang w:val="es-ES"/>
              </w:rPr>
            </w:pPr>
            <w:r w:rsidRPr="00A531EC">
              <w:rPr>
                <w:sz w:val="17"/>
                <w:szCs w:val="17"/>
                <w:lang w:val="es-ES"/>
              </w:rPr>
              <w:t xml:space="preserve">1.2 </w:t>
            </w:r>
            <w:r w:rsidR="003D0FFA" w:rsidRPr="00A531EC">
              <w:rPr>
                <w:sz w:val="17"/>
                <w:szCs w:val="17"/>
                <w:lang w:val="es-ES"/>
              </w:rPr>
              <w:t xml:space="preserve">Los municipios participantes incrementan en un 25% la base de datos  del catastro fiscal </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171F66">
            <w:pPr>
              <w:rPr>
                <w:sz w:val="17"/>
                <w:szCs w:val="17"/>
                <w:lang w:val="es-ES"/>
              </w:rPr>
            </w:pPr>
            <w:r w:rsidRPr="00A531EC">
              <w:rPr>
                <w:sz w:val="17"/>
                <w:szCs w:val="17"/>
                <w:lang w:val="es-ES"/>
              </w:rPr>
              <w:t xml:space="preserve">Este indicador </w:t>
            </w:r>
            <w:r w:rsidR="003A721E" w:rsidRPr="00A531EC">
              <w:rPr>
                <w:sz w:val="17"/>
                <w:szCs w:val="17"/>
                <w:lang w:val="es-ES"/>
              </w:rPr>
              <w:t>mide los resultados derivados</w:t>
            </w:r>
            <w:r w:rsidR="00171F66" w:rsidRPr="00A531EC">
              <w:rPr>
                <w:sz w:val="17"/>
                <w:szCs w:val="17"/>
                <w:lang w:val="es-ES"/>
              </w:rPr>
              <w:t xml:space="preserve"> de la transferencia de las bases de datos y formación de capacidades brindadas a los municipios.</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lastRenderedPageBreak/>
              <w:t xml:space="preserve">2.1 </w:t>
            </w:r>
            <w:r w:rsidR="003D0FFA" w:rsidRPr="00A531EC">
              <w:rPr>
                <w:sz w:val="17"/>
                <w:szCs w:val="17"/>
                <w:lang w:val="es-ES"/>
              </w:rPr>
              <w:t>SIICAR consolidado en Chinandega y ampliado al menos a otros tres departamentos</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171F66">
            <w:pPr>
              <w:rPr>
                <w:sz w:val="17"/>
                <w:szCs w:val="17"/>
                <w:lang w:val="es-NI"/>
              </w:rPr>
            </w:pPr>
            <w:r w:rsidRPr="00A531EC">
              <w:rPr>
                <w:sz w:val="17"/>
                <w:szCs w:val="17"/>
                <w:lang w:val="es-NI"/>
              </w:rPr>
              <w:t>Este indicador cuantifica</w:t>
            </w:r>
            <w:r w:rsidR="0078224D">
              <w:rPr>
                <w:sz w:val="17"/>
                <w:szCs w:val="17"/>
                <w:lang w:val="es-NI"/>
              </w:rPr>
              <w:t xml:space="preserve"> </w:t>
            </w:r>
            <w:r w:rsidR="00171F66" w:rsidRPr="00A531EC">
              <w:rPr>
                <w:sz w:val="17"/>
                <w:szCs w:val="17"/>
                <w:lang w:val="es-NI"/>
              </w:rPr>
              <w:t>el grado de avance en la integración de la información de registro y catastro y colaboración entre la CSR e INETER</w:t>
            </w:r>
            <w:r w:rsidR="000146F6" w:rsidRPr="00A531EC">
              <w:rPr>
                <w:sz w:val="17"/>
                <w:szCs w:val="17"/>
                <w:lang w:val="es-NI"/>
              </w:rPr>
              <w:t>.</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2.2 </w:t>
            </w:r>
            <w:r w:rsidR="003D0FFA" w:rsidRPr="00A531EC">
              <w:rPr>
                <w:sz w:val="17"/>
                <w:szCs w:val="17"/>
                <w:lang w:val="es-ES"/>
              </w:rPr>
              <w:t>Al menos 30% de acuerdos de mediación de conflictos resueltos a través del DIRAC los formaliza el Registro de la Propiedad</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5A5806">
            <w:pPr>
              <w:rPr>
                <w:sz w:val="17"/>
                <w:szCs w:val="17"/>
                <w:lang w:val="es-ES"/>
              </w:rPr>
            </w:pPr>
            <w:r w:rsidRPr="00A531EC">
              <w:rPr>
                <w:sz w:val="17"/>
                <w:szCs w:val="17"/>
                <w:lang w:val="es-ES"/>
              </w:rPr>
              <w:t>Este indicador cuantifica</w:t>
            </w:r>
            <w:r w:rsidR="0078224D">
              <w:rPr>
                <w:sz w:val="17"/>
                <w:szCs w:val="17"/>
                <w:lang w:val="es-ES"/>
              </w:rPr>
              <w:t xml:space="preserve"> </w:t>
            </w:r>
            <w:r w:rsidR="00171F66" w:rsidRPr="00A531EC">
              <w:rPr>
                <w:sz w:val="17"/>
                <w:szCs w:val="17"/>
                <w:lang w:val="es-ES"/>
              </w:rPr>
              <w:t xml:space="preserve">el grado de efectividad de la mediación </w:t>
            </w:r>
            <w:r w:rsidR="005A5806" w:rsidRPr="00A531EC">
              <w:rPr>
                <w:sz w:val="17"/>
                <w:szCs w:val="17"/>
                <w:lang w:val="es-ES"/>
              </w:rPr>
              <w:t xml:space="preserve">y resolución </w:t>
            </w:r>
            <w:r w:rsidR="00171F66" w:rsidRPr="00A531EC">
              <w:rPr>
                <w:sz w:val="17"/>
                <w:szCs w:val="17"/>
                <w:lang w:val="es-ES"/>
              </w:rPr>
              <w:t>de conflictos</w:t>
            </w:r>
            <w:r w:rsidR="0078224D">
              <w:rPr>
                <w:sz w:val="17"/>
                <w:szCs w:val="17"/>
                <w:lang w:val="es-ES"/>
              </w:rPr>
              <w:t xml:space="preserve"> </w:t>
            </w:r>
            <w:r w:rsidR="005A5806" w:rsidRPr="00A531EC">
              <w:rPr>
                <w:sz w:val="17"/>
                <w:szCs w:val="17"/>
                <w:lang w:val="es-ES"/>
              </w:rPr>
              <w:t>más allá del papel de la</w:t>
            </w:r>
            <w:r w:rsidR="0078224D">
              <w:rPr>
                <w:sz w:val="17"/>
                <w:szCs w:val="17"/>
                <w:lang w:val="es-ES"/>
              </w:rPr>
              <w:t xml:space="preserve"> </w:t>
            </w:r>
            <w:r w:rsidR="000146F6" w:rsidRPr="00A531EC">
              <w:rPr>
                <w:sz w:val="17"/>
                <w:szCs w:val="17"/>
                <w:lang w:val="es-ES"/>
              </w:rPr>
              <w:t>DIRACs</w:t>
            </w:r>
            <w:r w:rsidR="0078224D">
              <w:rPr>
                <w:sz w:val="17"/>
                <w:szCs w:val="17"/>
                <w:lang w:val="es-ES"/>
              </w:rPr>
              <w:t xml:space="preserve"> </w:t>
            </w:r>
            <w:r w:rsidR="005A5806" w:rsidRPr="00A531EC">
              <w:rPr>
                <w:sz w:val="17"/>
                <w:szCs w:val="17"/>
                <w:lang w:val="es-ES"/>
              </w:rPr>
              <w:t>al evaluar la aceptación</w:t>
            </w:r>
            <w:r w:rsidR="000146F6" w:rsidRPr="00A531EC">
              <w:rPr>
                <w:sz w:val="17"/>
                <w:szCs w:val="17"/>
                <w:lang w:val="es-ES"/>
              </w:rPr>
              <w:t xml:space="preserve"> formal </w:t>
            </w:r>
            <w:r w:rsidR="005A5806" w:rsidRPr="00A531EC">
              <w:rPr>
                <w:sz w:val="17"/>
                <w:szCs w:val="17"/>
                <w:lang w:val="es-ES"/>
              </w:rPr>
              <w:t xml:space="preserve">de los acuerdos de mediación por parte del registro de la propiedad. </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3D0FFA">
            <w:pPr>
              <w:rPr>
                <w:sz w:val="17"/>
                <w:szCs w:val="17"/>
                <w:lang w:val="es-ES"/>
              </w:rPr>
            </w:pPr>
            <w:r w:rsidRPr="00A531EC">
              <w:rPr>
                <w:sz w:val="17"/>
                <w:szCs w:val="17"/>
                <w:lang w:val="es-ES"/>
              </w:rPr>
              <w:t xml:space="preserve">3.1 </w:t>
            </w:r>
            <w:r w:rsidR="003D0FFA" w:rsidRPr="00A531EC">
              <w:rPr>
                <w:sz w:val="17"/>
                <w:szCs w:val="17"/>
                <w:lang w:val="es-ES"/>
              </w:rPr>
              <w:t>Parcelas con derechos de usufructo o de propiedad registrados como resultado de la intervención del Proyecto</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5A5806">
            <w:pPr>
              <w:rPr>
                <w:sz w:val="17"/>
                <w:szCs w:val="17"/>
                <w:lang w:val="es-NI"/>
              </w:rPr>
            </w:pPr>
            <w:r w:rsidRPr="00A531EC">
              <w:rPr>
                <w:sz w:val="17"/>
                <w:szCs w:val="17"/>
                <w:lang w:val="es-NI"/>
              </w:rPr>
              <w:t>Este indicador cuantifica</w:t>
            </w:r>
            <w:r w:rsidR="0078224D">
              <w:rPr>
                <w:sz w:val="17"/>
                <w:szCs w:val="17"/>
                <w:lang w:val="es-NI"/>
              </w:rPr>
              <w:t xml:space="preserve"> </w:t>
            </w:r>
            <w:r w:rsidR="005A5806" w:rsidRPr="00A531EC">
              <w:rPr>
                <w:sz w:val="17"/>
                <w:szCs w:val="17"/>
                <w:lang w:val="es-NI"/>
              </w:rPr>
              <w:t>la</w:t>
            </w:r>
            <w:r w:rsidR="0078224D">
              <w:rPr>
                <w:sz w:val="17"/>
                <w:szCs w:val="17"/>
                <w:lang w:val="es-NI"/>
              </w:rPr>
              <w:t xml:space="preserve"> </w:t>
            </w:r>
            <w:r w:rsidR="005A5806" w:rsidRPr="00A531EC">
              <w:rPr>
                <w:sz w:val="17"/>
                <w:szCs w:val="17"/>
                <w:lang w:val="es-NI"/>
              </w:rPr>
              <w:t>c</w:t>
            </w:r>
            <w:r w:rsidR="002A0AF7" w:rsidRPr="00A531EC">
              <w:rPr>
                <w:sz w:val="17"/>
                <w:szCs w:val="17"/>
                <w:lang w:val="es-NI"/>
              </w:rPr>
              <w:t>antidad</w:t>
            </w:r>
            <w:r w:rsidR="0078224D">
              <w:rPr>
                <w:sz w:val="17"/>
                <w:szCs w:val="17"/>
                <w:lang w:val="es-NI"/>
              </w:rPr>
              <w:t xml:space="preserve"> </w:t>
            </w:r>
            <w:r w:rsidR="005A5806" w:rsidRPr="00A531EC">
              <w:rPr>
                <w:sz w:val="17"/>
                <w:szCs w:val="17"/>
                <w:lang w:val="es-NI"/>
              </w:rPr>
              <w:t xml:space="preserve">de parcelas con derechos de usufructo o propiedad </w:t>
            </w:r>
            <w:r w:rsidR="005F7730" w:rsidRPr="00A531EC">
              <w:rPr>
                <w:sz w:val="17"/>
                <w:szCs w:val="17"/>
                <w:lang w:val="es-NI"/>
              </w:rPr>
              <w:t>registrados</w:t>
            </w:r>
            <w:r w:rsidR="005A5806" w:rsidRPr="00A531EC">
              <w:rPr>
                <w:sz w:val="17"/>
                <w:szCs w:val="17"/>
                <w:lang w:val="es-NI"/>
              </w:rPr>
              <w:t xml:space="preserve"> en el sistema de ordenamiento territorial como resultado de la intervención del Proyecto. El valor de la línea de base es cero</w:t>
            </w:r>
            <w:r w:rsidR="005F7730" w:rsidRPr="00A531EC">
              <w:rPr>
                <w:sz w:val="17"/>
                <w:szCs w:val="17"/>
                <w:lang w:val="es-NI"/>
              </w:rPr>
              <w:t>. En el caso del Proyecto propuesto, reflejará la cantidad total de parcelas registradas en el sistema catastral nacional</w:t>
            </w:r>
            <w:r w:rsidR="007F5283" w:rsidRPr="00A531EC">
              <w:rPr>
                <w:sz w:val="17"/>
                <w:szCs w:val="17"/>
                <w:lang w:val="es-ES"/>
              </w:rPr>
              <w:t>.</w:t>
            </w:r>
          </w:p>
        </w:tc>
      </w:tr>
      <w:tr w:rsidR="000146F6" w:rsidRPr="0078224D"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3.1 (a) </w:t>
            </w:r>
            <w:r w:rsidR="009C434B" w:rsidRPr="00A531EC">
              <w:rPr>
                <w:sz w:val="17"/>
                <w:szCs w:val="17"/>
                <w:lang w:val="es-ES"/>
              </w:rPr>
              <w:t>Parcelas con derechos de usufructo o de propiedad registrados como resultado de la intervención del Proyecto – beneficiarias</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5F7730" w:rsidP="000146F6">
            <w:pPr>
              <w:rPr>
                <w:sz w:val="17"/>
                <w:szCs w:val="17"/>
                <w:lang w:val="es-ES"/>
              </w:rPr>
            </w:pPr>
            <w:r w:rsidRPr="00A531EC">
              <w:rPr>
                <w:sz w:val="17"/>
                <w:szCs w:val="17"/>
                <w:lang w:val="es-ES"/>
              </w:rPr>
              <w:t xml:space="preserve">Este sub-indicador cuantifica </w:t>
            </w:r>
            <w:r w:rsidR="00F70C94" w:rsidRPr="00A531EC">
              <w:rPr>
                <w:sz w:val="17"/>
                <w:szCs w:val="17"/>
                <w:lang w:val="es-ES"/>
              </w:rPr>
              <w:t>el número de parcelas legalmente en manos de mujeres, ya sea</w:t>
            </w:r>
            <w:r w:rsidR="0078224D">
              <w:rPr>
                <w:sz w:val="17"/>
                <w:szCs w:val="17"/>
                <w:lang w:val="es-ES"/>
              </w:rPr>
              <w:t xml:space="preserve"> </w:t>
            </w:r>
            <w:r w:rsidR="00F70C94" w:rsidRPr="00A531EC">
              <w:rPr>
                <w:sz w:val="17"/>
                <w:szCs w:val="17"/>
                <w:lang w:val="es-ES"/>
              </w:rPr>
              <w:t>de manera individual o con sus parejas. Se espera que la línea de base sea cero.</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3.2 </w:t>
            </w:r>
            <w:r w:rsidR="009C434B" w:rsidRPr="00A531EC">
              <w:rPr>
                <w:sz w:val="17"/>
                <w:szCs w:val="17"/>
                <w:lang w:val="es-ES"/>
              </w:rPr>
              <w:t>Al menos 70% de los hogares con levantamiento topográfico de sus parcelas reportan mejoramiento sustancial de la seguridad en la tenencia de la tierra</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F70C94">
            <w:pPr>
              <w:rPr>
                <w:sz w:val="17"/>
                <w:szCs w:val="17"/>
                <w:lang w:val="es-ES"/>
              </w:rPr>
            </w:pPr>
            <w:r w:rsidRPr="00A531EC">
              <w:rPr>
                <w:sz w:val="17"/>
                <w:szCs w:val="17"/>
                <w:lang w:val="es-ES"/>
              </w:rPr>
              <w:t>Este indicador cuantifica</w:t>
            </w:r>
            <w:r w:rsidR="0078224D">
              <w:rPr>
                <w:sz w:val="17"/>
                <w:szCs w:val="17"/>
                <w:lang w:val="es-ES"/>
              </w:rPr>
              <w:t xml:space="preserve"> </w:t>
            </w:r>
            <w:r w:rsidR="00F70C94" w:rsidRPr="00A531EC">
              <w:rPr>
                <w:sz w:val="17"/>
                <w:szCs w:val="17"/>
                <w:lang w:val="es-ES"/>
              </w:rPr>
              <w:t>las mejoras percibidas en la seguridad de la tenencia de la tierra por parte de los beneficiarios a través de encuestas y grupos focales</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3.3 </w:t>
            </w:r>
            <w:r w:rsidR="009C434B" w:rsidRPr="00A531EC">
              <w:rPr>
                <w:sz w:val="17"/>
                <w:szCs w:val="17"/>
                <w:lang w:val="es-ES"/>
              </w:rPr>
              <w:t xml:space="preserve">Atención efectiva de las quejas/denuncias relacionadas con el Proyecto (%) </w:t>
            </w:r>
            <w:r w:rsidRPr="00A531EC">
              <w:rPr>
                <w:sz w:val="17"/>
                <w:szCs w:val="17"/>
                <w:lang w:val="es-ES"/>
              </w:rPr>
              <w:t>[</w:t>
            </w:r>
            <w:r w:rsidR="00FA3EEF" w:rsidRPr="00A531EC">
              <w:rPr>
                <w:sz w:val="17"/>
                <w:szCs w:val="17"/>
                <w:lang w:val="es-ES"/>
              </w:rPr>
              <w:t>INDICADOR BASE</w:t>
            </w:r>
            <w:r w:rsidRPr="00A531EC">
              <w:rPr>
                <w:sz w:val="17"/>
                <w:szCs w:val="17"/>
                <w:lang w:val="es-ES"/>
              </w:rPr>
              <w:t>]</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0B421A">
            <w:pPr>
              <w:rPr>
                <w:sz w:val="17"/>
                <w:szCs w:val="17"/>
                <w:lang w:val="es-ES"/>
              </w:rPr>
            </w:pPr>
            <w:r w:rsidRPr="00A531EC">
              <w:rPr>
                <w:sz w:val="17"/>
                <w:szCs w:val="17"/>
                <w:lang w:val="es-ES"/>
              </w:rPr>
              <w:t>Este indicador cuantifica</w:t>
            </w:r>
            <w:r w:rsidR="0078224D">
              <w:rPr>
                <w:sz w:val="17"/>
                <w:szCs w:val="17"/>
                <w:lang w:val="es-ES"/>
              </w:rPr>
              <w:t xml:space="preserve"> </w:t>
            </w:r>
            <w:r w:rsidR="000B421A" w:rsidRPr="00A531EC">
              <w:rPr>
                <w:sz w:val="17"/>
                <w:szCs w:val="17"/>
                <w:lang w:val="es-ES"/>
              </w:rPr>
              <w:t>los mecanismos de transparencia y rendición de cuentas establecidos por el Proyecto, de modo que</w:t>
            </w:r>
            <w:r w:rsidR="0078224D">
              <w:rPr>
                <w:sz w:val="17"/>
                <w:szCs w:val="17"/>
                <w:lang w:val="es-ES"/>
              </w:rPr>
              <w:t xml:space="preserve"> </w:t>
            </w:r>
            <w:r w:rsidR="000B421A" w:rsidRPr="00A531EC">
              <w:rPr>
                <w:sz w:val="17"/>
                <w:szCs w:val="17"/>
                <w:lang w:val="es-ES"/>
              </w:rPr>
              <w:t>los beneficiarios tengan confianza en el proceso y tenga la voluntad de participar y considerar que las quejas y denuncias se atienden de manera oportuna y efectiva.</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9C434B">
            <w:pPr>
              <w:rPr>
                <w:sz w:val="17"/>
                <w:szCs w:val="17"/>
                <w:lang w:val="es-ES"/>
              </w:rPr>
            </w:pPr>
            <w:r w:rsidRPr="00A531EC">
              <w:rPr>
                <w:sz w:val="17"/>
                <w:szCs w:val="17"/>
                <w:lang w:val="es-ES"/>
              </w:rPr>
              <w:t xml:space="preserve">3.3 (a) </w:t>
            </w:r>
            <w:r w:rsidR="009C434B" w:rsidRPr="00A531EC">
              <w:rPr>
                <w:sz w:val="17"/>
                <w:szCs w:val="17"/>
                <w:lang w:val="es-ES"/>
              </w:rPr>
              <w:t>Atención efectiva de las quejas/denuncias relacionadas con el Proyecto -(Cuantificación)</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E94A4A" w:rsidRPr="00A531EC" w:rsidRDefault="000B421A" w:rsidP="00E94A4A">
            <w:pPr>
              <w:rPr>
                <w:sz w:val="17"/>
                <w:szCs w:val="17"/>
                <w:lang w:val="es-ES"/>
              </w:rPr>
            </w:pPr>
            <w:r w:rsidRPr="00A531EC">
              <w:rPr>
                <w:sz w:val="17"/>
                <w:szCs w:val="17"/>
                <w:lang w:val="es-NI"/>
              </w:rPr>
              <w:t>El</w:t>
            </w:r>
            <w:r w:rsidR="002F001C" w:rsidRPr="00A531EC">
              <w:rPr>
                <w:sz w:val="17"/>
                <w:szCs w:val="17"/>
                <w:lang w:val="es-NI"/>
              </w:rPr>
              <w:t xml:space="preserve"> sub-</w:t>
            </w:r>
            <w:r w:rsidR="00DA7087" w:rsidRPr="00A531EC">
              <w:rPr>
                <w:sz w:val="17"/>
                <w:szCs w:val="17"/>
                <w:lang w:val="es-NI"/>
              </w:rPr>
              <w:t>indicador</w:t>
            </w:r>
            <w:r w:rsidR="00E94A4A" w:rsidRPr="00A531EC">
              <w:rPr>
                <w:sz w:val="17"/>
                <w:szCs w:val="17"/>
                <w:lang w:val="es-ES"/>
              </w:rPr>
              <w:t>cuantifica los mecanismos de transparencia y rendición de cuentas establecidos por el Proyecto. Da a conocer la cantidad total de quejas/denuncias/solicitudes que son abordadas y resueltas.</w:t>
            </w:r>
          </w:p>
          <w:p w:rsidR="000146F6" w:rsidRPr="00A531EC" w:rsidRDefault="000146F6" w:rsidP="000146F6">
            <w:pPr>
              <w:rPr>
                <w:sz w:val="17"/>
                <w:szCs w:val="17"/>
                <w:lang w:val="es-ES"/>
              </w:rPr>
            </w:pP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3.4 </w:t>
            </w:r>
            <w:r w:rsidR="009C434B" w:rsidRPr="00A531EC">
              <w:rPr>
                <w:sz w:val="17"/>
                <w:szCs w:val="17"/>
                <w:lang w:val="es-ES"/>
              </w:rPr>
              <w:t>Al menos dos áreas complementarias de los territorios indígenas en la zona de desarrollo especial de Bosaw</w:t>
            </w:r>
            <w:r w:rsidR="0078224D">
              <w:rPr>
                <w:sz w:val="17"/>
                <w:szCs w:val="17"/>
                <w:lang w:val="es-ES"/>
              </w:rPr>
              <w:t>á</w:t>
            </w:r>
            <w:r w:rsidR="009C434B" w:rsidRPr="00A531EC">
              <w:rPr>
                <w:sz w:val="17"/>
                <w:szCs w:val="17"/>
                <w:lang w:val="es-ES"/>
              </w:rPr>
              <w:t>s ya están demarcadas y tituladas</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E94A4A">
            <w:pPr>
              <w:rPr>
                <w:sz w:val="17"/>
                <w:szCs w:val="17"/>
                <w:lang w:val="es-ES"/>
              </w:rPr>
            </w:pPr>
            <w:r w:rsidRPr="00A531EC">
              <w:rPr>
                <w:sz w:val="17"/>
                <w:szCs w:val="17"/>
                <w:lang w:val="es-ES"/>
              </w:rPr>
              <w:t>Este indicador cuantifica</w:t>
            </w:r>
            <w:r w:rsidR="0078224D">
              <w:rPr>
                <w:sz w:val="17"/>
                <w:szCs w:val="17"/>
                <w:lang w:val="es-ES"/>
              </w:rPr>
              <w:t xml:space="preserve"> </w:t>
            </w:r>
            <w:r w:rsidR="00E94A4A" w:rsidRPr="00A531EC">
              <w:rPr>
                <w:sz w:val="17"/>
                <w:szCs w:val="17"/>
                <w:lang w:val="es-ES"/>
              </w:rPr>
              <w:t xml:space="preserve">el grado de avance de la titulación de los territorios </w:t>
            </w:r>
            <w:r w:rsidR="00575D23" w:rsidRPr="00A531EC">
              <w:rPr>
                <w:sz w:val="17"/>
                <w:szCs w:val="17"/>
                <w:lang w:val="es-ES"/>
              </w:rPr>
              <w:t>indígenas</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3.5 </w:t>
            </w:r>
            <w:r w:rsidR="009C434B" w:rsidRPr="00A531EC">
              <w:rPr>
                <w:sz w:val="17"/>
                <w:szCs w:val="17"/>
                <w:lang w:val="es-ES"/>
              </w:rPr>
              <w:t>Al menos cinco áreas  protegidas están demarcadas y registradas en la base de datos del Sistema Nacional de Áreas Protegidas</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575D23">
            <w:pPr>
              <w:rPr>
                <w:sz w:val="17"/>
                <w:szCs w:val="17"/>
                <w:lang w:val="es-ES"/>
              </w:rPr>
            </w:pPr>
            <w:r w:rsidRPr="00A531EC">
              <w:rPr>
                <w:sz w:val="17"/>
                <w:szCs w:val="17"/>
                <w:lang w:val="es-ES"/>
              </w:rPr>
              <w:t>Este indicador cuantifica</w:t>
            </w:r>
            <w:r w:rsidR="0078224D">
              <w:rPr>
                <w:sz w:val="17"/>
                <w:szCs w:val="17"/>
                <w:lang w:val="es-ES"/>
              </w:rPr>
              <w:t xml:space="preserve"> </w:t>
            </w:r>
            <w:r w:rsidR="00575D23" w:rsidRPr="00A531EC">
              <w:rPr>
                <w:sz w:val="17"/>
                <w:szCs w:val="17"/>
                <w:lang w:val="es-ES"/>
              </w:rPr>
              <w:t xml:space="preserve">el grado de avance en la demarcación de las áreas protegidas y promoción en general de la sostenibilidad ambiental de dichas áreas </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9C434B">
            <w:pPr>
              <w:rPr>
                <w:sz w:val="17"/>
                <w:szCs w:val="17"/>
                <w:lang w:val="es-ES"/>
              </w:rPr>
            </w:pPr>
            <w:r w:rsidRPr="00A531EC">
              <w:rPr>
                <w:sz w:val="17"/>
                <w:szCs w:val="17"/>
                <w:lang w:val="es-ES"/>
              </w:rPr>
              <w:t xml:space="preserve">4.1 </w:t>
            </w:r>
            <w:r w:rsidR="009C434B" w:rsidRPr="00A531EC">
              <w:rPr>
                <w:sz w:val="17"/>
                <w:szCs w:val="17"/>
                <w:lang w:val="es-ES"/>
              </w:rPr>
              <w:t>Línea de base para el informe de mitad de periodo y final sobre la evaluación de impactos se completó en tiempo y forma satisfactoria.</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9C434B" w:rsidP="00575D23">
            <w:pPr>
              <w:rPr>
                <w:sz w:val="17"/>
                <w:szCs w:val="17"/>
                <w:lang w:val="es-ES"/>
              </w:rPr>
            </w:pPr>
            <w:r w:rsidRPr="00A531EC">
              <w:rPr>
                <w:sz w:val="17"/>
                <w:szCs w:val="17"/>
                <w:lang w:val="es-ES"/>
              </w:rPr>
              <w:t>Este indicador cuantifica</w:t>
            </w:r>
            <w:r w:rsidR="0078224D">
              <w:rPr>
                <w:sz w:val="17"/>
                <w:szCs w:val="17"/>
                <w:lang w:val="es-ES"/>
              </w:rPr>
              <w:t xml:space="preserve"> </w:t>
            </w:r>
            <w:r w:rsidR="00575D23" w:rsidRPr="00A531EC">
              <w:rPr>
                <w:sz w:val="17"/>
                <w:szCs w:val="17"/>
                <w:lang w:val="es-ES"/>
              </w:rPr>
              <w:t>el grado de avance y efectividad de la estrategia de</w:t>
            </w:r>
            <w:r w:rsidR="0078224D">
              <w:rPr>
                <w:sz w:val="17"/>
                <w:szCs w:val="17"/>
                <w:lang w:val="es-ES"/>
              </w:rPr>
              <w:t xml:space="preserve"> </w:t>
            </w:r>
            <w:r w:rsidR="000146F6" w:rsidRPr="00A531EC">
              <w:rPr>
                <w:sz w:val="17"/>
                <w:szCs w:val="17"/>
                <w:lang w:val="es-ES"/>
              </w:rPr>
              <w:t>M&amp;E</w:t>
            </w:r>
            <w:r w:rsidR="00575D23" w:rsidRPr="00A531EC">
              <w:rPr>
                <w:sz w:val="17"/>
                <w:szCs w:val="17"/>
                <w:lang w:val="es-ES"/>
              </w:rPr>
              <w:t>. Se procederá a contratar consultores i</w:t>
            </w:r>
            <w:r w:rsidR="000146F6" w:rsidRPr="00A531EC">
              <w:rPr>
                <w:sz w:val="17"/>
                <w:szCs w:val="17"/>
                <w:lang w:val="es-ES"/>
              </w:rPr>
              <w:t>ndepend</w:t>
            </w:r>
            <w:r w:rsidR="00575D23" w:rsidRPr="00A531EC">
              <w:rPr>
                <w:sz w:val="17"/>
                <w:szCs w:val="17"/>
                <w:lang w:val="es-ES"/>
              </w:rPr>
              <w:t>i</w:t>
            </w:r>
            <w:r w:rsidR="000146F6" w:rsidRPr="00A531EC">
              <w:rPr>
                <w:sz w:val="17"/>
                <w:szCs w:val="17"/>
                <w:lang w:val="es-ES"/>
              </w:rPr>
              <w:t>ent</w:t>
            </w:r>
            <w:r w:rsidR="00575D23" w:rsidRPr="00A531EC">
              <w:rPr>
                <w:sz w:val="17"/>
                <w:szCs w:val="17"/>
                <w:lang w:val="es-ES"/>
              </w:rPr>
              <w:t>es para llevar a cabo las evaluaciones de mitad de periodo y de final del Proyecto.</w:t>
            </w:r>
          </w:p>
        </w:tc>
      </w:tr>
      <w:tr w:rsidR="000146F6" w:rsidRPr="00F702EF" w:rsidTr="00E55CAC">
        <w:trPr>
          <w:gridAfter w:val="1"/>
          <w:wAfter w:w="259" w:type="dxa"/>
        </w:trPr>
        <w:tc>
          <w:tcPr>
            <w:tcW w:w="4536" w:type="dxa"/>
            <w:gridSpan w:val="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0146F6" w:rsidRPr="00A531EC" w:rsidRDefault="000146F6" w:rsidP="000146F6">
            <w:pPr>
              <w:rPr>
                <w:sz w:val="17"/>
                <w:szCs w:val="17"/>
                <w:lang w:val="es-ES"/>
              </w:rPr>
            </w:pPr>
            <w:r w:rsidRPr="00A531EC">
              <w:rPr>
                <w:sz w:val="17"/>
                <w:szCs w:val="17"/>
                <w:lang w:val="es-ES"/>
              </w:rPr>
              <w:t xml:space="preserve">5.1 </w:t>
            </w:r>
            <w:r w:rsidR="009C434B" w:rsidRPr="00A531EC">
              <w:rPr>
                <w:sz w:val="17"/>
                <w:szCs w:val="17"/>
                <w:lang w:val="es-ES"/>
              </w:rPr>
              <w:t>CERC establecido y listo para brindarle a Nicaragua acceso a recursos financieros a la hora de enfrentar una emergencia relevante</w:t>
            </w:r>
          </w:p>
        </w:tc>
        <w:tc>
          <w:tcPr>
            <w:tcW w:w="8426" w:type="dxa"/>
            <w:gridSpan w:val="11"/>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0146F6" w:rsidRPr="00A531EC" w:rsidRDefault="00575D23" w:rsidP="00C3355F">
            <w:pPr>
              <w:rPr>
                <w:sz w:val="17"/>
                <w:szCs w:val="17"/>
                <w:lang w:val="es-ES"/>
              </w:rPr>
            </w:pPr>
            <w:r w:rsidRPr="00A531EC">
              <w:rPr>
                <w:sz w:val="17"/>
                <w:szCs w:val="17"/>
                <w:lang w:val="es-ES"/>
              </w:rPr>
              <w:t>El presente</w:t>
            </w:r>
            <w:r w:rsidR="0078224D">
              <w:rPr>
                <w:sz w:val="17"/>
                <w:szCs w:val="17"/>
                <w:lang w:val="es-ES"/>
              </w:rPr>
              <w:t xml:space="preserve"> </w:t>
            </w:r>
            <w:r w:rsidR="00DA7087" w:rsidRPr="00A531EC">
              <w:rPr>
                <w:sz w:val="17"/>
                <w:szCs w:val="17"/>
                <w:lang w:val="es-ES"/>
              </w:rPr>
              <w:t>indicador</w:t>
            </w:r>
            <w:r w:rsidR="0078224D">
              <w:rPr>
                <w:sz w:val="17"/>
                <w:szCs w:val="17"/>
                <w:lang w:val="es-ES"/>
              </w:rPr>
              <w:t xml:space="preserve"> </w:t>
            </w:r>
            <w:r w:rsidRPr="00A531EC">
              <w:rPr>
                <w:sz w:val="17"/>
                <w:szCs w:val="17"/>
                <w:lang w:val="es-ES"/>
              </w:rPr>
              <w:t>medirá el grado de efectividad</w:t>
            </w:r>
            <w:r w:rsidR="00C3355F" w:rsidRPr="00A531EC">
              <w:rPr>
                <w:sz w:val="17"/>
                <w:szCs w:val="17"/>
                <w:lang w:val="es-ES"/>
              </w:rPr>
              <w:t xml:space="preserve"> de la operatividad del CERC gracias a la finalización del Manual Operativo y consenso sobre los mecanismos de ejecución, gestión financiera, adquisiciones y salvaguardas</w:t>
            </w:r>
            <w:r w:rsidR="000146F6" w:rsidRPr="00A531EC">
              <w:rPr>
                <w:sz w:val="17"/>
                <w:szCs w:val="17"/>
                <w:lang w:val="es-ES"/>
              </w:rPr>
              <w:t>.</w:t>
            </w:r>
          </w:p>
        </w:tc>
      </w:tr>
    </w:tbl>
    <w:p w:rsidR="00842CC0" w:rsidRPr="00C3355F" w:rsidRDefault="00842CC0" w:rsidP="008F1796">
      <w:pPr>
        <w:pStyle w:val="PDSAnnexHeading"/>
        <w:jc w:val="left"/>
        <w:rPr>
          <w:lang w:val="es-ES"/>
        </w:rPr>
        <w:sectPr w:rsidR="00842CC0" w:rsidRPr="00C3355F" w:rsidSect="00842CC0">
          <w:pgSz w:w="15840" w:h="12240" w:orient="landscape" w:code="1"/>
          <w:pgMar w:top="1440" w:right="1440" w:bottom="1440" w:left="1440" w:header="720" w:footer="720" w:gutter="0"/>
          <w:cols w:space="720"/>
          <w:docGrid w:linePitch="360"/>
        </w:sectPr>
      </w:pPr>
      <w:bookmarkStart w:id="114" w:name="_Toc40780196"/>
      <w:bookmarkStart w:id="115" w:name="_Toc295296835"/>
    </w:p>
    <w:p w:rsidR="00251650" w:rsidRPr="003A721E" w:rsidRDefault="005B6CFA" w:rsidP="00161DCB">
      <w:pPr>
        <w:pStyle w:val="Heading4"/>
      </w:pPr>
      <w:bookmarkStart w:id="116" w:name="_Toc342909550"/>
      <w:bookmarkStart w:id="117" w:name="_Toc357981084"/>
      <w:r w:rsidRPr="003A721E">
        <w:lastRenderedPageBreak/>
        <w:t>Anexo</w:t>
      </w:r>
      <w:r w:rsidR="00251650" w:rsidRPr="003A721E">
        <w:t xml:space="preserve"> 2: </w:t>
      </w:r>
      <w:bookmarkEnd w:id="114"/>
      <w:bookmarkEnd w:id="115"/>
      <w:bookmarkEnd w:id="116"/>
      <w:r w:rsidR="003A721E" w:rsidRPr="003A721E">
        <w:t>Descripción Detallada del Proyecto</w:t>
      </w:r>
      <w:bookmarkEnd w:id="117"/>
    </w:p>
    <w:p w:rsidR="00251650" w:rsidRPr="003A721E" w:rsidRDefault="0038263D">
      <w:pPr>
        <w:jc w:val="center"/>
        <w:rPr>
          <w:caps/>
          <w:lang w:val="es-ES"/>
        </w:rPr>
      </w:pPr>
      <w:r w:rsidRPr="003A721E">
        <w:rPr>
          <w:b/>
          <w:lang w:val="es-ES"/>
        </w:rPr>
        <w:t>NICARAGUA</w:t>
      </w:r>
      <w:r w:rsidR="003A721E" w:rsidRPr="003A721E">
        <w:rPr>
          <w:b/>
          <w:bCs/>
          <w:caps/>
          <w:lang w:val="es-ES"/>
        </w:rPr>
        <w:t xml:space="preserve">: </w:t>
      </w:r>
      <w:r w:rsidR="003A721E" w:rsidRPr="003A721E">
        <w:rPr>
          <w:b/>
          <w:bCs/>
          <w:lang w:val="es-ES"/>
        </w:rPr>
        <w:t>SEGUNDO PROYECTO DE ORDENAMIENTO DE LA PROPIEDAD</w:t>
      </w:r>
    </w:p>
    <w:p w:rsidR="0065206A" w:rsidRPr="003A721E" w:rsidRDefault="0065206A" w:rsidP="001D44E2">
      <w:pPr>
        <w:spacing w:after="120"/>
        <w:rPr>
          <w:u w:val="single"/>
          <w:lang w:val="es-ES"/>
        </w:rPr>
      </w:pPr>
    </w:p>
    <w:p w:rsidR="00933C3F" w:rsidRPr="003A721E" w:rsidRDefault="005B6CFA" w:rsidP="00F91221">
      <w:pPr>
        <w:pStyle w:val="ListParagraph"/>
        <w:numPr>
          <w:ilvl w:val="0"/>
          <w:numId w:val="40"/>
        </w:numPr>
        <w:spacing w:after="120"/>
        <w:rPr>
          <w:b/>
          <w:lang w:val="es-ES"/>
        </w:rPr>
      </w:pPr>
      <w:r w:rsidRPr="003A721E">
        <w:rPr>
          <w:b/>
          <w:lang w:val="es-ES"/>
        </w:rPr>
        <w:t>Objetivos de Desarrollo del Proyecto</w:t>
      </w:r>
      <w:r w:rsidR="003A721E">
        <w:rPr>
          <w:b/>
          <w:lang w:val="es-ES"/>
        </w:rPr>
        <w:t xml:space="preserve"> (ODP</w:t>
      </w:r>
      <w:r w:rsidR="001B5C21" w:rsidRPr="003A721E">
        <w:rPr>
          <w:b/>
          <w:lang w:val="es-ES"/>
        </w:rPr>
        <w:t>)</w:t>
      </w:r>
    </w:p>
    <w:p w:rsidR="0065206A" w:rsidRPr="003A721E" w:rsidRDefault="0065206A" w:rsidP="0065206A">
      <w:pPr>
        <w:pStyle w:val="ListParagraph"/>
        <w:spacing w:after="120"/>
        <w:rPr>
          <w:u w:val="single"/>
          <w:lang w:val="es-ES"/>
        </w:rPr>
      </w:pPr>
    </w:p>
    <w:p w:rsidR="00321190" w:rsidRPr="00A531EC" w:rsidRDefault="00321190" w:rsidP="00FF33C1">
      <w:pPr>
        <w:numPr>
          <w:ilvl w:val="0"/>
          <w:numId w:val="21"/>
        </w:numPr>
        <w:tabs>
          <w:tab w:val="clear" w:pos="360"/>
          <w:tab w:val="num" w:pos="0"/>
        </w:tabs>
        <w:jc w:val="both"/>
        <w:rPr>
          <w:sz w:val="23"/>
          <w:szCs w:val="23"/>
          <w:lang w:val="es-ES"/>
        </w:rPr>
      </w:pPr>
      <w:r w:rsidRPr="00A531EC">
        <w:rPr>
          <w:sz w:val="23"/>
          <w:szCs w:val="23"/>
          <w:lang w:val="es-ES"/>
        </w:rPr>
        <w:t>Los Objetivos de Desarrollo del Proyecto (ODP) son: (a) Fortalecer los derechos de propiedad de la población del área de influencia del Proyecto, a través del mejoramiento de los servicios de regularización, titulación y registro de propiedades; (b) Mejorar la capacidad de Nicaragua para responder de manera rápida y efectiva ante emergencias relevantes</w:t>
      </w:r>
      <w:r w:rsidR="004E3752" w:rsidRPr="00A531EC">
        <w:rPr>
          <w:sz w:val="23"/>
          <w:szCs w:val="23"/>
          <w:lang w:val="es-ES"/>
        </w:rPr>
        <w:t>. Cimentado en las bases del proyecto previo, el primer objetivo se alcanzará a través del fortalecimiento adicional de las instituciones de administración de tierras, regularización de tierras, consolidación de los derechos de propiedad de los pueblos indígenas y demarcación de las áreas protegidas. El segundo objetivo se alcanzará a través del Componente Contingente de Respuestas a Emergencias (CERC) y de</w:t>
      </w:r>
      <w:r w:rsidR="008D3CAD">
        <w:rPr>
          <w:sz w:val="23"/>
          <w:szCs w:val="23"/>
          <w:lang w:val="es-ES"/>
        </w:rPr>
        <w:t xml:space="preserve"> </w:t>
      </w:r>
      <w:r w:rsidR="004E3752" w:rsidRPr="00A531EC">
        <w:rPr>
          <w:sz w:val="23"/>
          <w:szCs w:val="23"/>
          <w:lang w:val="es-ES"/>
        </w:rPr>
        <w:t xml:space="preserve"> activa</w:t>
      </w:r>
      <w:r w:rsidR="008D3CAD">
        <w:rPr>
          <w:sz w:val="23"/>
          <w:szCs w:val="23"/>
          <w:lang w:val="es-ES"/>
        </w:rPr>
        <w:t>r</w:t>
      </w:r>
      <w:r w:rsidR="00F702EF">
        <w:rPr>
          <w:sz w:val="23"/>
          <w:szCs w:val="23"/>
          <w:lang w:val="es-ES"/>
        </w:rPr>
        <w:t xml:space="preserve"> </w:t>
      </w:r>
      <w:r w:rsidR="004E3752" w:rsidRPr="00A531EC">
        <w:rPr>
          <w:sz w:val="23"/>
          <w:szCs w:val="23"/>
          <w:lang w:val="es-ES"/>
        </w:rPr>
        <w:t xml:space="preserve">el Mecanismo de Respuesta Inmediata (MRI) que le permita a Nicaragua tener acceso inmediato a recursos líquidos a la hora de enfrentar un desastre. </w:t>
      </w:r>
    </w:p>
    <w:p w:rsidR="0065206A" w:rsidRPr="004E3752" w:rsidRDefault="0065206A" w:rsidP="0065206A">
      <w:pPr>
        <w:jc w:val="both"/>
        <w:rPr>
          <w:lang w:val="es-ES"/>
        </w:rPr>
      </w:pPr>
    </w:p>
    <w:p w:rsidR="0065206A" w:rsidRPr="004E3752" w:rsidRDefault="004E3752" w:rsidP="00F91221">
      <w:pPr>
        <w:pStyle w:val="ListParagraph"/>
        <w:numPr>
          <w:ilvl w:val="0"/>
          <w:numId w:val="40"/>
        </w:numPr>
        <w:jc w:val="both"/>
        <w:rPr>
          <w:b/>
          <w:lang w:val="es-ES"/>
        </w:rPr>
      </w:pPr>
      <w:r>
        <w:rPr>
          <w:b/>
          <w:lang w:val="es-ES"/>
        </w:rPr>
        <w:t>Área</w:t>
      </w:r>
      <w:r w:rsidRPr="004E3752">
        <w:rPr>
          <w:b/>
          <w:lang w:val="es-ES"/>
        </w:rPr>
        <w:t xml:space="preserve"> de Influencia del </w:t>
      </w:r>
      <w:r>
        <w:rPr>
          <w:b/>
          <w:lang w:val="es-ES"/>
        </w:rPr>
        <w:t>Proyecto</w:t>
      </w:r>
    </w:p>
    <w:p w:rsidR="00947C21" w:rsidRPr="00AF6FC2" w:rsidRDefault="00947C21" w:rsidP="00947C21">
      <w:pPr>
        <w:jc w:val="both"/>
        <w:rPr>
          <w:lang w:val="es-ES"/>
        </w:rPr>
      </w:pPr>
    </w:p>
    <w:p w:rsidR="00D5727C" w:rsidRPr="00A531EC" w:rsidRDefault="00AF6FC2" w:rsidP="00FF33C1">
      <w:pPr>
        <w:numPr>
          <w:ilvl w:val="0"/>
          <w:numId w:val="21"/>
        </w:numPr>
        <w:tabs>
          <w:tab w:val="clear" w:pos="360"/>
          <w:tab w:val="num" w:pos="0"/>
        </w:tabs>
        <w:jc w:val="both"/>
        <w:rPr>
          <w:sz w:val="23"/>
          <w:szCs w:val="23"/>
          <w:lang w:val="es-NI"/>
        </w:rPr>
      </w:pPr>
      <w:r w:rsidRPr="00A531EC">
        <w:rPr>
          <w:sz w:val="23"/>
          <w:szCs w:val="23"/>
          <w:lang w:val="es-ES"/>
        </w:rPr>
        <w:t>El Proyecto se centrará en los</w:t>
      </w:r>
      <w:r w:rsidR="0078224D">
        <w:rPr>
          <w:sz w:val="23"/>
          <w:szCs w:val="23"/>
          <w:lang w:val="es-ES"/>
        </w:rPr>
        <w:t xml:space="preserve"> </w:t>
      </w:r>
      <w:r w:rsidR="000B7159" w:rsidRPr="00A531EC">
        <w:rPr>
          <w:sz w:val="23"/>
          <w:szCs w:val="23"/>
          <w:lang w:val="es-ES"/>
        </w:rPr>
        <w:t>municipios participantes</w:t>
      </w:r>
      <w:r w:rsidRPr="00A531EC">
        <w:rPr>
          <w:sz w:val="23"/>
          <w:szCs w:val="23"/>
          <w:lang w:val="es-ES"/>
        </w:rPr>
        <w:t xml:space="preserve"> distribuidos en seis departamentos (ver mapa en el Anexo 8). Comprenden municipios de </w:t>
      </w:r>
      <w:r w:rsidR="001D44E2" w:rsidRPr="00A531EC">
        <w:rPr>
          <w:sz w:val="23"/>
          <w:szCs w:val="23"/>
          <w:lang w:val="es-ES"/>
        </w:rPr>
        <w:t>Nu</w:t>
      </w:r>
      <w:r w:rsidR="001C58C3" w:rsidRPr="00A531EC">
        <w:rPr>
          <w:sz w:val="23"/>
          <w:szCs w:val="23"/>
          <w:lang w:val="es-ES"/>
        </w:rPr>
        <w:t>eva Segovia</w:t>
      </w:r>
      <w:r w:rsidR="008D3CAD">
        <w:rPr>
          <w:sz w:val="23"/>
          <w:szCs w:val="23"/>
          <w:lang w:val="es-ES"/>
        </w:rPr>
        <w:t xml:space="preserve"> </w:t>
      </w:r>
      <w:r w:rsidRPr="00A531EC">
        <w:rPr>
          <w:sz w:val="23"/>
          <w:szCs w:val="23"/>
          <w:lang w:val="es-ES"/>
        </w:rPr>
        <w:t>y</w:t>
      </w:r>
      <w:r w:rsidR="008D3CAD">
        <w:rPr>
          <w:sz w:val="23"/>
          <w:szCs w:val="23"/>
          <w:lang w:val="es-ES"/>
        </w:rPr>
        <w:t xml:space="preserve"> </w:t>
      </w:r>
      <w:r w:rsidR="001C58C3" w:rsidRPr="00A531EC">
        <w:rPr>
          <w:sz w:val="23"/>
          <w:szCs w:val="23"/>
          <w:lang w:val="es-ES"/>
        </w:rPr>
        <w:t>Jinotega</w:t>
      </w:r>
      <w:r w:rsidR="001D44E2" w:rsidRPr="00A531EC">
        <w:rPr>
          <w:sz w:val="23"/>
          <w:szCs w:val="23"/>
          <w:lang w:val="es-ES"/>
        </w:rPr>
        <w:t>,</w:t>
      </w:r>
      <w:r w:rsidRPr="00A531EC">
        <w:rPr>
          <w:sz w:val="23"/>
          <w:szCs w:val="23"/>
          <w:lang w:val="es-ES"/>
        </w:rPr>
        <w:t xml:space="preserve"> los cuales se beneficiarán</w:t>
      </w:r>
      <w:r w:rsidR="0078224D">
        <w:rPr>
          <w:sz w:val="23"/>
          <w:szCs w:val="23"/>
          <w:lang w:val="es-ES"/>
        </w:rPr>
        <w:t xml:space="preserve"> </w:t>
      </w:r>
      <w:r w:rsidR="00D5727C" w:rsidRPr="00A531EC">
        <w:rPr>
          <w:iCs/>
          <w:sz w:val="23"/>
          <w:szCs w:val="23"/>
          <w:lang w:val="es-ES"/>
        </w:rPr>
        <w:t xml:space="preserve">de actividades sistemáticas de levantamiento catastral, regularización, y modernización de la información pertinente al registro de propiedades. En línea con las prioridades establecidas en el PNDH, estos departamentos fueron seleccionados de acuerdo con </w:t>
      </w:r>
      <w:r w:rsidR="00FF357C" w:rsidRPr="00A531EC">
        <w:rPr>
          <w:iCs/>
          <w:sz w:val="23"/>
          <w:szCs w:val="23"/>
          <w:lang w:val="es-ES"/>
        </w:rPr>
        <w:t xml:space="preserve">el potencial económico, problemas de tenencia de la tierra y niveles de pobreza.  </w:t>
      </w:r>
      <w:r w:rsidR="001E5CA6" w:rsidRPr="00A531EC">
        <w:rPr>
          <w:sz w:val="23"/>
          <w:szCs w:val="23"/>
          <w:lang w:val="es-NI"/>
        </w:rPr>
        <w:t xml:space="preserve">Nueva Segovia y Jinotega son centros agropecuarios de gran importancia, con abundantes recursos naturales y gozan de una posición estratégica por su cercanía con la frontera con Honduras. Existe potencial </w:t>
      </w:r>
      <w:r w:rsidR="008D3CAD">
        <w:rPr>
          <w:sz w:val="23"/>
          <w:szCs w:val="23"/>
          <w:lang w:val="es-NI"/>
        </w:rPr>
        <w:t>para</w:t>
      </w:r>
      <w:r w:rsidR="00F702EF">
        <w:rPr>
          <w:sz w:val="23"/>
          <w:szCs w:val="23"/>
          <w:lang w:val="es-NI"/>
        </w:rPr>
        <w:t xml:space="preserve"> </w:t>
      </w:r>
      <w:r w:rsidR="001E5CA6" w:rsidRPr="00A531EC">
        <w:rPr>
          <w:sz w:val="23"/>
          <w:szCs w:val="23"/>
          <w:lang w:val="es-NI"/>
        </w:rPr>
        <w:t>que la agricultura siga creciendo pero los campesinos adolecen de un alto nivel de inseguridad en la tenencia de la tierra. El Proyecto abarcará a otros municipios en Chinandega, Estelí, Madriz y León</w:t>
      </w:r>
      <w:r w:rsidR="00D34E58" w:rsidRPr="00A531EC">
        <w:rPr>
          <w:sz w:val="23"/>
          <w:szCs w:val="23"/>
          <w:lang w:val="es-NI"/>
        </w:rPr>
        <w:t xml:space="preserve"> para terminar las actividades pendientes de regularización y para consolidar la modernización institucional. </w:t>
      </w:r>
      <w:r w:rsidR="00D34E58" w:rsidRPr="00A531EC">
        <w:rPr>
          <w:rStyle w:val="FootnoteReference"/>
          <w:sz w:val="23"/>
          <w:szCs w:val="23"/>
          <w:lang w:val="es-ES"/>
        </w:rPr>
        <w:footnoteReference w:id="18"/>
      </w:r>
      <w:r w:rsidR="00D34E58" w:rsidRPr="00A531EC">
        <w:rPr>
          <w:sz w:val="23"/>
          <w:szCs w:val="23"/>
          <w:lang w:val="es-NI"/>
        </w:rPr>
        <w:t xml:space="preserve"> También se llevarán a cabo</w:t>
      </w:r>
      <w:r w:rsidR="004C0BD8" w:rsidRPr="00A531EC">
        <w:rPr>
          <w:sz w:val="23"/>
          <w:szCs w:val="23"/>
          <w:lang w:val="es-NI"/>
        </w:rPr>
        <w:t xml:space="preserve"> regularización</w:t>
      </w:r>
      <w:r w:rsidR="008D3CAD">
        <w:rPr>
          <w:sz w:val="23"/>
          <w:szCs w:val="23"/>
          <w:lang w:val="es-NI"/>
        </w:rPr>
        <w:t xml:space="preserve"> denominada “Titulación Temprana” o “Levantamiento por Demanda”</w:t>
      </w:r>
      <w:r w:rsidR="004C0BD8" w:rsidRPr="00A531EC">
        <w:rPr>
          <w:sz w:val="23"/>
          <w:szCs w:val="23"/>
          <w:lang w:val="es-NI"/>
        </w:rPr>
        <w:t>. El Proyecto podrá abarcar otros municipios según acuerdos futuros que suscriban el Beneficiario y el Banco Mundial y lo reflejado en el Manual Operativo, donde se deberán especificar los criterios que regirán la participación de dichos municipios en el Proyecto. En caso que se considere necesario, podrían realizarse estudios sociales y/o ambientales antes de arrancar con las actividades del Proyecto en esos municipios nuevos.</w:t>
      </w:r>
    </w:p>
    <w:p w:rsidR="00B15A1B" w:rsidRPr="00A531EC" w:rsidRDefault="00B15A1B" w:rsidP="00947C21">
      <w:pPr>
        <w:jc w:val="both"/>
        <w:rPr>
          <w:sz w:val="23"/>
          <w:szCs w:val="23"/>
          <w:lang w:val="es-ES"/>
        </w:rPr>
      </w:pPr>
    </w:p>
    <w:p w:rsidR="00DA5D97" w:rsidRPr="00A531EC" w:rsidRDefault="004C0BD8" w:rsidP="00FF33C1">
      <w:pPr>
        <w:numPr>
          <w:ilvl w:val="0"/>
          <w:numId w:val="21"/>
        </w:numPr>
        <w:tabs>
          <w:tab w:val="clear" w:pos="360"/>
          <w:tab w:val="num" w:pos="0"/>
        </w:tabs>
        <w:jc w:val="both"/>
        <w:rPr>
          <w:sz w:val="23"/>
          <w:szCs w:val="23"/>
          <w:lang w:val="es-NI"/>
        </w:rPr>
      </w:pPr>
      <w:r w:rsidRPr="00A531EC">
        <w:rPr>
          <w:sz w:val="23"/>
          <w:szCs w:val="23"/>
          <w:lang w:val="es-ES"/>
        </w:rPr>
        <w:t xml:space="preserve">Se demarcarán cinco áreas protegidas en los departamentos de </w:t>
      </w:r>
      <w:r w:rsidR="001D44E2" w:rsidRPr="00A531EC">
        <w:rPr>
          <w:sz w:val="23"/>
          <w:szCs w:val="23"/>
          <w:lang w:val="es-ES"/>
        </w:rPr>
        <w:t xml:space="preserve">Nueva Segovia </w:t>
      </w:r>
      <w:r w:rsidR="00FF357C" w:rsidRPr="00A531EC">
        <w:rPr>
          <w:sz w:val="23"/>
          <w:szCs w:val="23"/>
          <w:lang w:val="es-ES"/>
        </w:rPr>
        <w:t>y</w:t>
      </w:r>
      <w:r w:rsidR="001D44E2" w:rsidRPr="00A531EC">
        <w:rPr>
          <w:sz w:val="23"/>
          <w:szCs w:val="23"/>
          <w:lang w:val="es-ES"/>
        </w:rPr>
        <w:t xml:space="preserve"> Jinotega</w:t>
      </w:r>
      <w:r w:rsidRPr="00A531EC">
        <w:rPr>
          <w:sz w:val="23"/>
          <w:szCs w:val="23"/>
          <w:lang w:val="es-ES"/>
        </w:rPr>
        <w:t xml:space="preserve"> con la finalidad de apoyar los procesos de levantado catastral y regularización.</w:t>
      </w:r>
      <w:r w:rsidR="001D44E2" w:rsidRPr="00A531EC">
        <w:rPr>
          <w:rStyle w:val="FootnoteReference"/>
          <w:sz w:val="23"/>
          <w:szCs w:val="23"/>
          <w:lang w:val="es-ES"/>
        </w:rPr>
        <w:footnoteReference w:id="19"/>
      </w:r>
      <w:r w:rsidR="001212E9" w:rsidRPr="00A531EC">
        <w:rPr>
          <w:sz w:val="23"/>
          <w:szCs w:val="23"/>
          <w:lang w:val="es-ES"/>
        </w:rPr>
        <w:t xml:space="preserve">Las áreas protegidas son: </w:t>
      </w:r>
      <w:r w:rsidR="009412DC" w:rsidRPr="00A531EC">
        <w:rPr>
          <w:sz w:val="23"/>
          <w:szCs w:val="23"/>
          <w:lang w:val="es-ES"/>
        </w:rPr>
        <w:t>Cordillera Dipilto</w:t>
      </w:r>
      <w:r w:rsidR="00C470AD">
        <w:rPr>
          <w:sz w:val="23"/>
          <w:szCs w:val="23"/>
          <w:lang w:val="es-ES"/>
        </w:rPr>
        <w:t xml:space="preserve"> </w:t>
      </w:r>
      <w:r w:rsidR="001212E9" w:rsidRPr="00A531EC">
        <w:rPr>
          <w:sz w:val="23"/>
          <w:szCs w:val="23"/>
          <w:lang w:val="es-ES"/>
        </w:rPr>
        <w:t xml:space="preserve">(Nueva Segovia), </w:t>
      </w:r>
      <w:r w:rsidR="009412DC" w:rsidRPr="00A531EC">
        <w:rPr>
          <w:sz w:val="23"/>
          <w:szCs w:val="23"/>
          <w:lang w:val="es-ES"/>
        </w:rPr>
        <w:t>Cerro-Dan</w:t>
      </w:r>
      <w:r w:rsidR="009412DC" w:rsidRPr="00A531EC">
        <w:rPr>
          <w:sz w:val="23"/>
          <w:szCs w:val="23"/>
          <w:lang w:val="es-NI"/>
        </w:rPr>
        <w:t>tal</w:t>
      </w:r>
      <w:r w:rsidR="00C470AD">
        <w:rPr>
          <w:sz w:val="23"/>
          <w:szCs w:val="23"/>
          <w:lang w:val="es-NI"/>
        </w:rPr>
        <w:t>í</w:t>
      </w:r>
      <w:r w:rsidR="009412DC" w:rsidRPr="00A531EC">
        <w:rPr>
          <w:sz w:val="23"/>
          <w:szCs w:val="23"/>
          <w:lang w:val="es-NI"/>
        </w:rPr>
        <w:t>-El Diablo, Cerro Ki</w:t>
      </w:r>
      <w:r w:rsidR="001212E9" w:rsidRPr="00A531EC">
        <w:rPr>
          <w:sz w:val="23"/>
          <w:szCs w:val="23"/>
          <w:lang w:val="es-NI"/>
        </w:rPr>
        <w:t>lamb</w:t>
      </w:r>
      <w:r w:rsidR="00C470AD">
        <w:rPr>
          <w:sz w:val="23"/>
          <w:szCs w:val="23"/>
          <w:lang w:val="es-NI"/>
        </w:rPr>
        <w:t>é</w:t>
      </w:r>
      <w:r w:rsidR="001212E9" w:rsidRPr="00A531EC">
        <w:rPr>
          <w:sz w:val="23"/>
          <w:szCs w:val="23"/>
          <w:lang w:val="es-NI"/>
        </w:rPr>
        <w:t xml:space="preserve">, Macizo de Peñas Blancas </w:t>
      </w:r>
      <w:r w:rsidR="00FF357C" w:rsidRPr="00A531EC">
        <w:rPr>
          <w:sz w:val="23"/>
          <w:szCs w:val="23"/>
          <w:lang w:val="es-NI"/>
        </w:rPr>
        <w:t>y</w:t>
      </w:r>
      <w:r w:rsidR="00C470AD">
        <w:rPr>
          <w:sz w:val="23"/>
          <w:szCs w:val="23"/>
          <w:lang w:val="es-NI"/>
        </w:rPr>
        <w:t xml:space="preserve"> </w:t>
      </w:r>
      <w:r w:rsidR="009412DC" w:rsidRPr="00A531EC">
        <w:rPr>
          <w:sz w:val="23"/>
          <w:szCs w:val="23"/>
          <w:lang w:val="es-NI"/>
        </w:rPr>
        <w:t>Volc</w:t>
      </w:r>
      <w:r w:rsidR="00C470AD">
        <w:rPr>
          <w:sz w:val="23"/>
          <w:szCs w:val="23"/>
          <w:lang w:val="es-NI"/>
        </w:rPr>
        <w:t>á</w:t>
      </w:r>
      <w:r w:rsidR="009412DC" w:rsidRPr="00A531EC">
        <w:rPr>
          <w:sz w:val="23"/>
          <w:szCs w:val="23"/>
          <w:lang w:val="es-NI"/>
        </w:rPr>
        <w:t>n</w:t>
      </w:r>
      <w:r w:rsidR="00C470AD">
        <w:rPr>
          <w:sz w:val="23"/>
          <w:szCs w:val="23"/>
          <w:lang w:val="es-NI"/>
        </w:rPr>
        <w:t xml:space="preserve"> </w:t>
      </w:r>
      <w:r w:rsidR="009412DC" w:rsidRPr="00A531EC">
        <w:rPr>
          <w:sz w:val="23"/>
          <w:szCs w:val="23"/>
          <w:lang w:val="es-NI"/>
        </w:rPr>
        <w:t>Yali</w:t>
      </w:r>
      <w:r w:rsidR="001212E9" w:rsidRPr="00A531EC">
        <w:rPr>
          <w:sz w:val="23"/>
          <w:szCs w:val="23"/>
          <w:lang w:val="es-NI"/>
        </w:rPr>
        <w:t xml:space="preserve"> e</w:t>
      </w:r>
      <w:r w:rsidR="009412DC" w:rsidRPr="00A531EC">
        <w:rPr>
          <w:sz w:val="23"/>
          <w:szCs w:val="23"/>
          <w:lang w:val="es-NI"/>
        </w:rPr>
        <w:t xml:space="preserve">n Jinotega.  </w:t>
      </w:r>
      <w:r w:rsidR="001212E9" w:rsidRPr="00A531EC">
        <w:rPr>
          <w:sz w:val="23"/>
          <w:szCs w:val="23"/>
          <w:lang w:val="es-ES"/>
        </w:rPr>
        <w:t xml:space="preserve">Asimismo, dos áreas complementarias de los </w:t>
      </w:r>
      <w:r w:rsidR="00C470AD">
        <w:rPr>
          <w:sz w:val="23"/>
          <w:szCs w:val="23"/>
          <w:lang w:val="es-ES"/>
        </w:rPr>
        <w:t>T</w:t>
      </w:r>
      <w:r w:rsidR="001212E9" w:rsidRPr="00A531EC">
        <w:rPr>
          <w:sz w:val="23"/>
          <w:szCs w:val="23"/>
          <w:lang w:val="es-ES"/>
        </w:rPr>
        <w:t xml:space="preserve">erritorios </w:t>
      </w:r>
      <w:r w:rsidR="00C470AD">
        <w:rPr>
          <w:sz w:val="23"/>
          <w:szCs w:val="23"/>
          <w:lang w:val="es-ES"/>
        </w:rPr>
        <w:t>I</w:t>
      </w:r>
      <w:r w:rsidR="001212E9" w:rsidRPr="00A531EC">
        <w:rPr>
          <w:sz w:val="23"/>
          <w:szCs w:val="23"/>
          <w:lang w:val="es-ES"/>
        </w:rPr>
        <w:t xml:space="preserve">ndígenas </w:t>
      </w:r>
      <w:r w:rsidR="001D44E2" w:rsidRPr="00A531EC">
        <w:rPr>
          <w:sz w:val="23"/>
          <w:szCs w:val="23"/>
          <w:lang w:val="es-ES"/>
        </w:rPr>
        <w:t>Mayanga</w:t>
      </w:r>
      <w:r w:rsidR="00C470AD">
        <w:rPr>
          <w:sz w:val="23"/>
          <w:szCs w:val="23"/>
          <w:lang w:val="es-ES"/>
        </w:rPr>
        <w:t xml:space="preserve"> </w:t>
      </w:r>
      <w:r w:rsidR="001D44E2" w:rsidRPr="00A531EC">
        <w:rPr>
          <w:sz w:val="23"/>
          <w:szCs w:val="23"/>
          <w:lang w:val="es-ES"/>
        </w:rPr>
        <w:t>Sauni</w:t>
      </w:r>
      <w:r w:rsidR="00C470AD">
        <w:rPr>
          <w:sz w:val="23"/>
          <w:szCs w:val="23"/>
          <w:lang w:val="es-ES"/>
        </w:rPr>
        <w:t xml:space="preserve"> </w:t>
      </w:r>
      <w:r w:rsidR="001D44E2" w:rsidRPr="00A531EC">
        <w:rPr>
          <w:sz w:val="23"/>
          <w:szCs w:val="23"/>
          <w:lang w:val="es-ES"/>
        </w:rPr>
        <w:t>Bu</w:t>
      </w:r>
      <w:r w:rsidR="00C470AD">
        <w:rPr>
          <w:sz w:val="23"/>
          <w:szCs w:val="23"/>
          <w:lang w:val="es-ES"/>
        </w:rPr>
        <w:t xml:space="preserve"> </w:t>
      </w:r>
      <w:r w:rsidR="00FF357C" w:rsidRPr="00A531EC">
        <w:rPr>
          <w:sz w:val="23"/>
          <w:szCs w:val="23"/>
          <w:lang w:val="es-ES"/>
        </w:rPr>
        <w:t>y</w:t>
      </w:r>
      <w:r w:rsidR="00C470AD">
        <w:rPr>
          <w:sz w:val="23"/>
          <w:szCs w:val="23"/>
          <w:lang w:val="es-ES"/>
        </w:rPr>
        <w:t xml:space="preserve"> </w:t>
      </w:r>
      <w:r w:rsidR="001D44E2" w:rsidRPr="00A531EC">
        <w:rPr>
          <w:sz w:val="23"/>
          <w:szCs w:val="23"/>
          <w:lang w:val="es-ES"/>
        </w:rPr>
        <w:t>Miskitu</w:t>
      </w:r>
      <w:r w:rsidR="00C470AD">
        <w:rPr>
          <w:sz w:val="23"/>
          <w:szCs w:val="23"/>
          <w:lang w:val="es-ES"/>
        </w:rPr>
        <w:t xml:space="preserve"> </w:t>
      </w:r>
      <w:r w:rsidR="001D44E2" w:rsidRPr="00A531EC">
        <w:rPr>
          <w:sz w:val="23"/>
          <w:szCs w:val="23"/>
          <w:lang w:val="es-ES"/>
        </w:rPr>
        <w:t>Indian</w:t>
      </w:r>
      <w:r w:rsidR="00C470AD">
        <w:rPr>
          <w:sz w:val="23"/>
          <w:szCs w:val="23"/>
          <w:lang w:val="es-ES"/>
        </w:rPr>
        <w:t xml:space="preserve"> </w:t>
      </w:r>
      <w:r w:rsidR="001D44E2" w:rsidRPr="00A531EC">
        <w:rPr>
          <w:sz w:val="23"/>
          <w:szCs w:val="23"/>
          <w:lang w:val="es-ES"/>
        </w:rPr>
        <w:t>Tasbaika</w:t>
      </w:r>
      <w:r w:rsidR="00C470AD">
        <w:rPr>
          <w:sz w:val="23"/>
          <w:szCs w:val="23"/>
          <w:lang w:val="es-ES"/>
        </w:rPr>
        <w:t xml:space="preserve"> </w:t>
      </w:r>
      <w:r w:rsidR="001D44E2" w:rsidRPr="00A531EC">
        <w:rPr>
          <w:sz w:val="23"/>
          <w:szCs w:val="23"/>
          <w:lang w:val="es-ES"/>
        </w:rPr>
        <w:t>Kum</w:t>
      </w:r>
      <w:r w:rsidR="00C470AD">
        <w:rPr>
          <w:sz w:val="23"/>
          <w:szCs w:val="23"/>
          <w:lang w:val="es-ES"/>
        </w:rPr>
        <w:t xml:space="preserve"> (</w:t>
      </w:r>
      <w:r w:rsidR="001212E9" w:rsidRPr="00A531EC">
        <w:rPr>
          <w:sz w:val="23"/>
          <w:szCs w:val="23"/>
          <w:lang w:val="es-ES"/>
        </w:rPr>
        <w:t xml:space="preserve">ubicadas en </w:t>
      </w:r>
      <w:r w:rsidR="00DA31AD" w:rsidRPr="00A531EC">
        <w:rPr>
          <w:sz w:val="23"/>
          <w:szCs w:val="23"/>
          <w:lang w:val="es-ES"/>
        </w:rPr>
        <w:t>J</w:t>
      </w:r>
      <w:r w:rsidR="00DA31AD" w:rsidRPr="00A531EC">
        <w:rPr>
          <w:sz w:val="23"/>
          <w:szCs w:val="23"/>
          <w:lang w:val="es-NI"/>
        </w:rPr>
        <w:t>inotega</w:t>
      </w:r>
      <w:r w:rsidR="00C470AD">
        <w:rPr>
          <w:sz w:val="23"/>
          <w:szCs w:val="23"/>
          <w:lang w:val="es-NI"/>
        </w:rPr>
        <w:t>)</w:t>
      </w:r>
      <w:r w:rsidR="001212E9" w:rsidRPr="00A531EC">
        <w:rPr>
          <w:sz w:val="23"/>
          <w:szCs w:val="23"/>
          <w:lang w:val="es-NI"/>
        </w:rPr>
        <w:t xml:space="preserve"> serán sujet</w:t>
      </w:r>
      <w:r w:rsidR="00C470AD">
        <w:rPr>
          <w:sz w:val="23"/>
          <w:szCs w:val="23"/>
          <w:lang w:val="es-NI"/>
        </w:rPr>
        <w:t>a</w:t>
      </w:r>
      <w:r w:rsidR="001212E9" w:rsidRPr="00A531EC">
        <w:rPr>
          <w:sz w:val="23"/>
          <w:szCs w:val="23"/>
          <w:lang w:val="es-NI"/>
        </w:rPr>
        <w:t xml:space="preserve">s </w:t>
      </w:r>
      <w:r w:rsidR="00C470AD">
        <w:rPr>
          <w:sz w:val="23"/>
          <w:szCs w:val="23"/>
          <w:lang w:val="es-NI"/>
        </w:rPr>
        <w:t>a</w:t>
      </w:r>
      <w:r w:rsidR="001212E9" w:rsidRPr="00A531EC">
        <w:rPr>
          <w:sz w:val="23"/>
          <w:szCs w:val="23"/>
          <w:lang w:val="es-NI"/>
        </w:rPr>
        <w:t xml:space="preserve"> demarcación y titulación.  La </w:t>
      </w:r>
      <w:r w:rsidR="002965AD" w:rsidRPr="00A531EC">
        <w:rPr>
          <w:sz w:val="23"/>
          <w:szCs w:val="23"/>
          <w:lang w:val="es-NI"/>
        </w:rPr>
        <w:t>Tabl</w:t>
      </w:r>
      <w:r w:rsidR="001212E9" w:rsidRPr="00A531EC">
        <w:rPr>
          <w:sz w:val="23"/>
          <w:szCs w:val="23"/>
          <w:lang w:val="es-NI"/>
        </w:rPr>
        <w:t>a</w:t>
      </w:r>
      <w:r w:rsidR="002965AD" w:rsidRPr="00A531EC">
        <w:rPr>
          <w:sz w:val="23"/>
          <w:szCs w:val="23"/>
          <w:lang w:val="es-NI"/>
        </w:rPr>
        <w:t xml:space="preserve"> 1 </w:t>
      </w:r>
      <w:r w:rsidR="001212E9" w:rsidRPr="00A531EC">
        <w:rPr>
          <w:sz w:val="23"/>
          <w:szCs w:val="23"/>
          <w:lang w:val="es-NI"/>
        </w:rPr>
        <w:t xml:space="preserve">resume el tipo de </w:t>
      </w:r>
      <w:r w:rsidR="00034060" w:rsidRPr="00A531EC">
        <w:rPr>
          <w:sz w:val="23"/>
          <w:szCs w:val="23"/>
          <w:lang w:val="es-NI"/>
        </w:rPr>
        <w:t>intervención</w:t>
      </w:r>
      <w:r w:rsidR="001212E9" w:rsidRPr="00A531EC">
        <w:rPr>
          <w:sz w:val="23"/>
          <w:szCs w:val="23"/>
          <w:lang w:val="es-NI"/>
        </w:rPr>
        <w:t xml:space="preserve"> propuesta por departamento y municipio.</w:t>
      </w:r>
    </w:p>
    <w:p w:rsidR="00DA5D97" w:rsidRPr="00A531EC" w:rsidRDefault="00DA5D97" w:rsidP="00DA5D97">
      <w:pPr>
        <w:pStyle w:val="ListParagraph"/>
        <w:rPr>
          <w:sz w:val="23"/>
          <w:szCs w:val="23"/>
          <w:lang w:val="es-ES"/>
        </w:rPr>
      </w:pPr>
    </w:p>
    <w:p w:rsidR="000429D2" w:rsidRPr="00A531EC" w:rsidRDefault="00976043" w:rsidP="00FF33C1">
      <w:pPr>
        <w:numPr>
          <w:ilvl w:val="0"/>
          <w:numId w:val="21"/>
        </w:numPr>
        <w:tabs>
          <w:tab w:val="clear" w:pos="360"/>
          <w:tab w:val="num" w:pos="0"/>
        </w:tabs>
        <w:jc w:val="both"/>
        <w:rPr>
          <w:sz w:val="23"/>
          <w:szCs w:val="23"/>
          <w:lang w:val="es-ES"/>
        </w:rPr>
      </w:pPr>
      <w:r w:rsidRPr="00A531EC">
        <w:rPr>
          <w:sz w:val="23"/>
          <w:szCs w:val="23"/>
          <w:lang w:val="es-ES"/>
        </w:rPr>
        <w:lastRenderedPageBreak/>
        <w:t xml:space="preserve">Según el censo del 2005, la población total del área del Proyecto </w:t>
      </w:r>
      <w:r w:rsidR="00E96E84" w:rsidRPr="00A531EC">
        <w:rPr>
          <w:sz w:val="23"/>
          <w:szCs w:val="23"/>
          <w:lang w:val="es-ES"/>
        </w:rPr>
        <w:t xml:space="preserve">asciende a 1.6 millones de personas, un poco más de un tercio de la población </w:t>
      </w:r>
      <w:r w:rsidR="00061924" w:rsidRPr="00A531EC">
        <w:rPr>
          <w:sz w:val="23"/>
          <w:szCs w:val="23"/>
          <w:lang w:val="es-ES"/>
        </w:rPr>
        <w:t>del país. Tal como lo indicó el estudio social</w:t>
      </w:r>
      <w:r w:rsidR="00490677" w:rsidRPr="00A531EC">
        <w:rPr>
          <w:sz w:val="23"/>
          <w:szCs w:val="23"/>
          <w:lang w:val="es-ES"/>
        </w:rPr>
        <w:t xml:space="preserve">, los municipios que atenderá el Proyecto se caracterizan por los </w:t>
      </w:r>
      <w:r w:rsidR="009A3AEF" w:rsidRPr="00A531EC">
        <w:rPr>
          <w:sz w:val="23"/>
          <w:szCs w:val="23"/>
          <w:lang w:val="es-ES"/>
        </w:rPr>
        <w:t xml:space="preserve">niveles de pobreza y analfabetismo más </w:t>
      </w:r>
      <w:r w:rsidR="00490677" w:rsidRPr="00A531EC">
        <w:rPr>
          <w:sz w:val="23"/>
          <w:szCs w:val="23"/>
          <w:lang w:val="es-ES"/>
        </w:rPr>
        <w:t>elevados</w:t>
      </w:r>
      <w:r w:rsidR="009A3AEF" w:rsidRPr="00A531EC">
        <w:rPr>
          <w:sz w:val="23"/>
          <w:szCs w:val="23"/>
          <w:lang w:val="es-ES"/>
        </w:rPr>
        <w:t xml:space="preserve"> que el promedio. Las estimaciones del 2009 indican que las tasas de pobreza (49%) son más altas que el promedio nacional de 42.5%. Asimismo, el índice de personas que viven en condiciones de extrema pobreza</w:t>
      </w:r>
      <w:r w:rsidR="00C470AD">
        <w:rPr>
          <w:sz w:val="23"/>
          <w:szCs w:val="23"/>
          <w:lang w:val="es-ES"/>
        </w:rPr>
        <w:t xml:space="preserve"> </w:t>
      </w:r>
      <w:r w:rsidR="009A3AEF" w:rsidRPr="00A531EC">
        <w:rPr>
          <w:sz w:val="23"/>
          <w:szCs w:val="23"/>
          <w:lang w:val="es-ES"/>
        </w:rPr>
        <w:t>es también más alto</w:t>
      </w:r>
      <w:r w:rsidR="00AB026A" w:rsidRPr="00A531EC">
        <w:rPr>
          <w:sz w:val="23"/>
          <w:szCs w:val="23"/>
          <w:lang w:val="es-ES"/>
        </w:rPr>
        <w:t xml:space="preserve"> (18.9% versus 14.6% nacional). </w:t>
      </w:r>
      <w:r w:rsidR="000429D2" w:rsidRPr="00A531EC">
        <w:rPr>
          <w:sz w:val="23"/>
          <w:szCs w:val="23"/>
          <w:vertAlign w:val="superscript"/>
          <w:lang w:val="es-ES"/>
        </w:rPr>
        <w:footnoteReference w:id="20"/>
      </w:r>
      <w:r w:rsidR="002460E7">
        <w:rPr>
          <w:sz w:val="23"/>
          <w:szCs w:val="23"/>
          <w:lang w:val="es-ES"/>
        </w:rPr>
        <w:t>Importante también, e</w:t>
      </w:r>
      <w:r w:rsidR="00AB026A" w:rsidRPr="00A531EC">
        <w:rPr>
          <w:sz w:val="23"/>
          <w:szCs w:val="23"/>
          <w:lang w:val="es-ES"/>
        </w:rPr>
        <w:t xml:space="preserve">l analfabetismo es más elevado en el área de influencia del Proyecto ya que el 18.9% de los habitantes mayores de 15 años no sabe leer ni escribir (en comparación con el 4.10% nacional). </w:t>
      </w:r>
      <w:r w:rsidR="000429D2" w:rsidRPr="00A531EC">
        <w:rPr>
          <w:sz w:val="23"/>
          <w:szCs w:val="23"/>
          <w:vertAlign w:val="superscript"/>
          <w:lang w:val="es-ES"/>
        </w:rPr>
        <w:footnoteReference w:id="21"/>
      </w:r>
      <w:r w:rsidR="00531F75" w:rsidRPr="00A531EC">
        <w:rPr>
          <w:sz w:val="23"/>
          <w:szCs w:val="23"/>
          <w:lang w:val="es-ES"/>
        </w:rPr>
        <w:t>Es importante recalcar que el analfabetismo es mucho mayor</w:t>
      </w:r>
      <w:r w:rsidR="00A16726" w:rsidRPr="00A531EC">
        <w:rPr>
          <w:sz w:val="23"/>
          <w:szCs w:val="23"/>
          <w:lang w:val="es-ES"/>
        </w:rPr>
        <w:t xml:space="preserve"> en la población rural (22.7% en comparación con el 10.2% de la urbana). En cuanto al acceso y tenencia de la tierra, el 53.5% de la población habitante del área del Proyecto trabaja en el sector primario, un valor mucho más alto que el promedio nacional (39.</w:t>
      </w:r>
      <w:r w:rsidR="00A0444B" w:rsidRPr="00A531EC">
        <w:rPr>
          <w:sz w:val="23"/>
          <w:szCs w:val="23"/>
          <w:lang w:val="es-ES"/>
        </w:rPr>
        <w:t>7%).</w:t>
      </w:r>
      <w:r w:rsidR="000429D2" w:rsidRPr="00A531EC">
        <w:rPr>
          <w:rStyle w:val="FootnoteReference"/>
          <w:sz w:val="23"/>
          <w:szCs w:val="23"/>
          <w:lang w:val="es-ES"/>
        </w:rPr>
        <w:footnoteReference w:id="22"/>
      </w:r>
      <w:r w:rsidR="00A0444B" w:rsidRPr="00A531EC">
        <w:rPr>
          <w:sz w:val="23"/>
          <w:szCs w:val="23"/>
          <w:lang w:val="es-ES"/>
        </w:rPr>
        <w:t xml:space="preserve">Sin embargo, la mayor parte de la tierra con vocación agrícola en el área del Proyecto está en manos de grandes y medianos productores </w:t>
      </w:r>
      <w:r w:rsidR="000429D2" w:rsidRPr="00A531EC">
        <w:rPr>
          <w:sz w:val="23"/>
          <w:szCs w:val="23"/>
          <w:lang w:val="es-ES"/>
        </w:rPr>
        <w:t xml:space="preserve"> (49</w:t>
      </w:r>
      <w:r w:rsidR="00A0444B" w:rsidRPr="00A531EC">
        <w:rPr>
          <w:sz w:val="23"/>
          <w:szCs w:val="23"/>
          <w:lang w:val="es-ES"/>
        </w:rPr>
        <w:t xml:space="preserve">% y </w:t>
      </w:r>
      <w:r w:rsidR="002460E7">
        <w:rPr>
          <w:sz w:val="23"/>
          <w:szCs w:val="23"/>
          <w:lang w:val="es-ES"/>
        </w:rPr>
        <w:t>43.5</w:t>
      </w:r>
      <w:r w:rsidR="00A0444B" w:rsidRPr="00A531EC">
        <w:rPr>
          <w:sz w:val="23"/>
          <w:szCs w:val="23"/>
          <w:lang w:val="es-ES"/>
        </w:rPr>
        <w:t xml:space="preserve">% </w:t>
      </w:r>
      <w:r w:rsidR="000429D2" w:rsidRPr="00A531EC">
        <w:rPr>
          <w:sz w:val="23"/>
          <w:szCs w:val="23"/>
          <w:lang w:val="es-ES"/>
        </w:rPr>
        <w:t>respectiv</w:t>
      </w:r>
      <w:r w:rsidR="00A0444B" w:rsidRPr="00A531EC">
        <w:rPr>
          <w:sz w:val="23"/>
          <w:szCs w:val="23"/>
          <w:lang w:val="es-ES"/>
        </w:rPr>
        <w:t>amente</w:t>
      </w:r>
      <w:r w:rsidR="000429D2" w:rsidRPr="00A531EC">
        <w:rPr>
          <w:sz w:val="23"/>
          <w:szCs w:val="23"/>
          <w:lang w:val="es-ES"/>
        </w:rPr>
        <w:t>),</w:t>
      </w:r>
      <w:r w:rsidR="00A0444B" w:rsidRPr="00A531EC">
        <w:rPr>
          <w:sz w:val="23"/>
          <w:szCs w:val="23"/>
          <w:lang w:val="es-ES"/>
        </w:rPr>
        <w:t xml:space="preserve"> mientras que </w:t>
      </w:r>
      <w:r w:rsidR="00E7397E" w:rsidRPr="00A531EC">
        <w:rPr>
          <w:sz w:val="23"/>
          <w:szCs w:val="23"/>
          <w:lang w:val="es-ES"/>
        </w:rPr>
        <w:t xml:space="preserve">los pequeños productores apenas poseen el 7.5% restante. El estudio mostró que los pueblos indígenas representan el 3.8% de la población del área de influencia del Proyecto y que la mayor parte de las comunidades indígenas se concentra en los departamentos de </w:t>
      </w:r>
      <w:r w:rsidR="000429D2" w:rsidRPr="00A531EC">
        <w:rPr>
          <w:sz w:val="23"/>
          <w:szCs w:val="23"/>
          <w:lang w:val="es-ES"/>
        </w:rPr>
        <w:t xml:space="preserve">Madriz </w:t>
      </w:r>
      <w:r w:rsidR="00FF357C" w:rsidRPr="00A531EC">
        <w:rPr>
          <w:sz w:val="23"/>
          <w:szCs w:val="23"/>
          <w:lang w:val="es-ES"/>
        </w:rPr>
        <w:t>y</w:t>
      </w:r>
      <w:r w:rsidR="000429D2" w:rsidRPr="00A531EC">
        <w:rPr>
          <w:sz w:val="23"/>
          <w:szCs w:val="23"/>
          <w:lang w:val="es-ES"/>
        </w:rPr>
        <w:t xml:space="preserve"> Jinotega. </w:t>
      </w:r>
    </w:p>
    <w:p w:rsidR="000429D2" w:rsidRPr="00AB026A" w:rsidRDefault="000429D2" w:rsidP="00DA31AD">
      <w:pPr>
        <w:jc w:val="both"/>
        <w:rPr>
          <w:lang w:val="es-ES"/>
        </w:rPr>
      </w:pPr>
    </w:p>
    <w:p w:rsidR="00CD0CDF" w:rsidRPr="00377962" w:rsidRDefault="00FF52DD" w:rsidP="00CD0CDF">
      <w:pPr>
        <w:jc w:val="center"/>
        <w:rPr>
          <w:b/>
          <w:sz w:val="22"/>
          <w:szCs w:val="22"/>
          <w:lang w:val="es-ES"/>
        </w:rPr>
      </w:pPr>
      <w:r w:rsidRPr="00FF52DD">
        <w:rPr>
          <w:b/>
          <w:sz w:val="22"/>
          <w:szCs w:val="22"/>
          <w:lang w:val="es-ES"/>
        </w:rPr>
        <w:t>Tabla</w:t>
      </w:r>
      <w:r w:rsidR="00CD0CDF" w:rsidRPr="00FF52DD">
        <w:rPr>
          <w:b/>
          <w:sz w:val="22"/>
          <w:szCs w:val="22"/>
          <w:lang w:val="es-ES"/>
        </w:rPr>
        <w:t xml:space="preserve"> 1</w:t>
      </w:r>
      <w:r w:rsidR="00FE613D" w:rsidRPr="00FF52DD">
        <w:rPr>
          <w:b/>
          <w:sz w:val="22"/>
          <w:szCs w:val="22"/>
          <w:lang w:val="es-ES"/>
        </w:rPr>
        <w:t xml:space="preserve"> – </w:t>
      </w:r>
      <w:r w:rsidR="00FE613D" w:rsidRPr="00377962">
        <w:rPr>
          <w:b/>
          <w:sz w:val="22"/>
          <w:szCs w:val="22"/>
          <w:lang w:val="es-ES"/>
        </w:rPr>
        <w:t>Activi</w:t>
      </w:r>
      <w:r w:rsidRPr="00377962">
        <w:rPr>
          <w:b/>
          <w:sz w:val="22"/>
          <w:szCs w:val="22"/>
          <w:lang w:val="es-ES"/>
        </w:rPr>
        <w:t>dades en los Municipios Propuestos</w:t>
      </w:r>
    </w:p>
    <w:tbl>
      <w:tblPr>
        <w:tblStyle w:val="TableGrid"/>
        <w:tblW w:w="9155" w:type="dxa"/>
        <w:tblLayout w:type="fixed"/>
        <w:tblLook w:val="04A0" w:firstRow="1" w:lastRow="0" w:firstColumn="1" w:lastColumn="0" w:noHBand="0" w:noVBand="1"/>
      </w:tblPr>
      <w:tblGrid>
        <w:gridCol w:w="1951"/>
        <w:gridCol w:w="2117"/>
        <w:gridCol w:w="1785"/>
        <w:gridCol w:w="3302"/>
      </w:tblGrid>
      <w:tr w:rsidR="00CD0CDF" w:rsidRPr="00377962" w:rsidTr="002440DB">
        <w:tc>
          <w:tcPr>
            <w:tcW w:w="1951" w:type="dxa"/>
            <w:shd w:val="clear" w:color="auto" w:fill="auto"/>
          </w:tcPr>
          <w:p w:rsidR="00CD0CDF" w:rsidRPr="00377962" w:rsidRDefault="00FF52DD" w:rsidP="00C1184E">
            <w:pPr>
              <w:jc w:val="center"/>
              <w:rPr>
                <w:b/>
                <w:sz w:val="18"/>
                <w:szCs w:val="18"/>
                <w:lang w:val="es-ES"/>
              </w:rPr>
            </w:pPr>
            <w:r w:rsidRPr="00377962">
              <w:rPr>
                <w:b/>
                <w:sz w:val="18"/>
                <w:szCs w:val="18"/>
                <w:lang w:val="es-ES"/>
              </w:rPr>
              <w:t>Actividades</w:t>
            </w:r>
          </w:p>
        </w:tc>
        <w:tc>
          <w:tcPr>
            <w:tcW w:w="2117" w:type="dxa"/>
            <w:shd w:val="clear" w:color="auto" w:fill="auto"/>
          </w:tcPr>
          <w:p w:rsidR="00CD0CDF" w:rsidRPr="00377962" w:rsidRDefault="00377962" w:rsidP="00377962">
            <w:pPr>
              <w:jc w:val="center"/>
              <w:rPr>
                <w:b/>
                <w:sz w:val="18"/>
                <w:szCs w:val="18"/>
                <w:lang w:val="es-ES"/>
              </w:rPr>
            </w:pPr>
            <w:r>
              <w:rPr>
                <w:b/>
                <w:sz w:val="18"/>
                <w:szCs w:val="18"/>
                <w:lang w:val="es-ES"/>
              </w:rPr>
              <w:t>Tipo de</w:t>
            </w:r>
            <w:r w:rsidR="002460E7">
              <w:rPr>
                <w:b/>
                <w:sz w:val="18"/>
                <w:szCs w:val="18"/>
                <w:lang w:val="es-ES"/>
              </w:rPr>
              <w:t xml:space="preserve"> </w:t>
            </w:r>
            <w:r w:rsidR="00B07E7F" w:rsidRPr="00377962">
              <w:rPr>
                <w:b/>
                <w:sz w:val="18"/>
                <w:szCs w:val="18"/>
                <w:lang w:val="es-ES"/>
              </w:rPr>
              <w:t>Intervención</w:t>
            </w:r>
          </w:p>
        </w:tc>
        <w:tc>
          <w:tcPr>
            <w:tcW w:w="1785" w:type="dxa"/>
            <w:shd w:val="clear" w:color="auto" w:fill="auto"/>
          </w:tcPr>
          <w:p w:rsidR="00CD0CDF" w:rsidRPr="00377962" w:rsidRDefault="00B07E7F" w:rsidP="00C1184E">
            <w:pPr>
              <w:jc w:val="center"/>
              <w:rPr>
                <w:b/>
                <w:sz w:val="18"/>
                <w:szCs w:val="18"/>
                <w:lang w:val="es-ES"/>
              </w:rPr>
            </w:pPr>
            <w:r w:rsidRPr="00377962">
              <w:rPr>
                <w:b/>
                <w:sz w:val="18"/>
                <w:szCs w:val="18"/>
                <w:lang w:val="es-ES"/>
              </w:rPr>
              <w:t>Departamento</w:t>
            </w:r>
          </w:p>
        </w:tc>
        <w:tc>
          <w:tcPr>
            <w:tcW w:w="3302" w:type="dxa"/>
            <w:shd w:val="clear" w:color="auto" w:fill="auto"/>
          </w:tcPr>
          <w:p w:rsidR="00CD0CDF" w:rsidRPr="00377962" w:rsidRDefault="00377962" w:rsidP="00377962">
            <w:pPr>
              <w:jc w:val="center"/>
              <w:rPr>
                <w:b/>
                <w:sz w:val="18"/>
                <w:szCs w:val="18"/>
                <w:lang w:val="es-ES"/>
              </w:rPr>
            </w:pPr>
            <w:r>
              <w:rPr>
                <w:b/>
                <w:sz w:val="18"/>
                <w:szCs w:val="18"/>
                <w:lang w:val="es-ES"/>
              </w:rPr>
              <w:t>Posibles</w:t>
            </w:r>
            <w:r w:rsidR="002460E7">
              <w:rPr>
                <w:b/>
                <w:sz w:val="18"/>
                <w:szCs w:val="18"/>
                <w:lang w:val="es-ES"/>
              </w:rPr>
              <w:t xml:space="preserve"> </w:t>
            </w:r>
            <w:r>
              <w:rPr>
                <w:b/>
                <w:sz w:val="18"/>
                <w:szCs w:val="18"/>
                <w:lang w:val="es-ES"/>
              </w:rPr>
              <w:t>M</w:t>
            </w:r>
            <w:r w:rsidR="00FF52DD" w:rsidRPr="00377962">
              <w:rPr>
                <w:b/>
                <w:sz w:val="18"/>
                <w:szCs w:val="18"/>
                <w:lang w:val="es-ES"/>
              </w:rPr>
              <w:t xml:space="preserve">unicipios </w:t>
            </w:r>
            <w:r>
              <w:rPr>
                <w:b/>
                <w:sz w:val="18"/>
                <w:szCs w:val="18"/>
                <w:lang w:val="es-ES"/>
              </w:rPr>
              <w:t>P</w:t>
            </w:r>
            <w:r w:rsidR="00FF52DD" w:rsidRPr="00377962">
              <w:rPr>
                <w:b/>
                <w:sz w:val="18"/>
                <w:szCs w:val="18"/>
                <w:lang w:val="es-ES"/>
              </w:rPr>
              <w:t>articipantes</w:t>
            </w:r>
          </w:p>
        </w:tc>
      </w:tr>
      <w:tr w:rsidR="00CD0CDF" w:rsidRPr="00F702EF" w:rsidTr="00DA31AD">
        <w:tc>
          <w:tcPr>
            <w:tcW w:w="1951" w:type="dxa"/>
            <w:vMerge w:val="restart"/>
            <w:vAlign w:val="center"/>
          </w:tcPr>
          <w:p w:rsidR="00CD0CDF" w:rsidRPr="00377962" w:rsidRDefault="00FF52DD" w:rsidP="00C1184E">
            <w:pPr>
              <w:rPr>
                <w:sz w:val="18"/>
                <w:szCs w:val="18"/>
                <w:lang w:val="es-ES"/>
              </w:rPr>
            </w:pPr>
            <w:r w:rsidRPr="00377962">
              <w:rPr>
                <w:sz w:val="18"/>
                <w:szCs w:val="18"/>
                <w:lang w:val="es-ES"/>
              </w:rPr>
              <w:t>Regularización</w:t>
            </w:r>
            <w:r w:rsidR="002460E7">
              <w:rPr>
                <w:sz w:val="18"/>
                <w:szCs w:val="18"/>
                <w:lang w:val="es-ES"/>
              </w:rPr>
              <w:t xml:space="preserve"> </w:t>
            </w:r>
            <w:r w:rsidR="00FF357C" w:rsidRPr="00377962">
              <w:rPr>
                <w:sz w:val="18"/>
                <w:szCs w:val="18"/>
                <w:lang w:val="es-ES"/>
              </w:rPr>
              <w:t>y</w:t>
            </w:r>
            <w:r w:rsidR="002460E7">
              <w:rPr>
                <w:sz w:val="18"/>
                <w:szCs w:val="18"/>
                <w:lang w:val="es-ES"/>
              </w:rPr>
              <w:t xml:space="preserve"> </w:t>
            </w:r>
            <w:r w:rsidRPr="00377962">
              <w:rPr>
                <w:sz w:val="18"/>
                <w:szCs w:val="18"/>
                <w:lang w:val="es-ES"/>
              </w:rPr>
              <w:t>Titulación</w:t>
            </w:r>
          </w:p>
        </w:tc>
        <w:tc>
          <w:tcPr>
            <w:tcW w:w="2117" w:type="dxa"/>
            <w:vMerge w:val="restart"/>
            <w:vAlign w:val="center"/>
          </w:tcPr>
          <w:p w:rsidR="00CD0CDF" w:rsidRPr="00377962" w:rsidRDefault="00FF52DD" w:rsidP="00C1184E">
            <w:pPr>
              <w:rPr>
                <w:sz w:val="18"/>
                <w:szCs w:val="18"/>
                <w:lang w:val="es-ES"/>
              </w:rPr>
            </w:pPr>
            <w:r w:rsidRPr="00377962">
              <w:rPr>
                <w:sz w:val="18"/>
                <w:szCs w:val="18"/>
                <w:lang w:val="es-ES"/>
              </w:rPr>
              <w:t>Levantamiento catastral</w:t>
            </w:r>
            <w:r w:rsidR="00CD0CDF" w:rsidRPr="00377962">
              <w:rPr>
                <w:sz w:val="18"/>
                <w:szCs w:val="18"/>
                <w:lang w:val="es-ES"/>
              </w:rPr>
              <w:t xml:space="preserve">, </w:t>
            </w:r>
            <w:r w:rsidRPr="00377962">
              <w:rPr>
                <w:sz w:val="18"/>
                <w:szCs w:val="18"/>
                <w:lang w:val="es-ES"/>
              </w:rPr>
              <w:t>resolución de conflictos</w:t>
            </w:r>
            <w:r w:rsidR="00CD0CDF" w:rsidRPr="00377962">
              <w:rPr>
                <w:sz w:val="18"/>
                <w:szCs w:val="18"/>
                <w:lang w:val="es-ES"/>
              </w:rPr>
              <w:t xml:space="preserve">, </w:t>
            </w:r>
            <w:r w:rsidRPr="00377962">
              <w:rPr>
                <w:sz w:val="18"/>
                <w:szCs w:val="18"/>
                <w:lang w:val="es-ES"/>
              </w:rPr>
              <w:t>regularización</w:t>
            </w:r>
            <w:r w:rsidR="00CD0CDF" w:rsidRPr="00377962">
              <w:rPr>
                <w:sz w:val="18"/>
                <w:szCs w:val="18"/>
                <w:lang w:val="es-ES"/>
              </w:rPr>
              <w:t xml:space="preserve">, </w:t>
            </w:r>
            <w:r w:rsidRPr="00377962">
              <w:rPr>
                <w:sz w:val="18"/>
                <w:szCs w:val="18"/>
                <w:lang w:val="es-ES"/>
              </w:rPr>
              <w:t>titulación</w:t>
            </w:r>
            <w:r w:rsidR="00CD0CDF" w:rsidRPr="00377962">
              <w:rPr>
                <w:sz w:val="18"/>
                <w:szCs w:val="18"/>
                <w:lang w:val="es-ES"/>
              </w:rPr>
              <w:t xml:space="preserve">, </w:t>
            </w:r>
            <w:r w:rsidR="00FF357C" w:rsidRPr="00377962">
              <w:rPr>
                <w:sz w:val="18"/>
                <w:szCs w:val="18"/>
                <w:lang w:val="es-ES"/>
              </w:rPr>
              <w:t>y</w:t>
            </w:r>
            <w:r w:rsidR="002460E7">
              <w:rPr>
                <w:sz w:val="18"/>
                <w:szCs w:val="18"/>
                <w:lang w:val="es-ES"/>
              </w:rPr>
              <w:t xml:space="preserve"> </w:t>
            </w:r>
            <w:r w:rsidR="003D2A18">
              <w:rPr>
                <w:sz w:val="18"/>
                <w:szCs w:val="18"/>
                <w:lang w:val="es-ES"/>
              </w:rPr>
              <w:t xml:space="preserve">registro de </w:t>
            </w:r>
            <w:r w:rsidR="00B07E7F" w:rsidRPr="00377962">
              <w:rPr>
                <w:sz w:val="18"/>
                <w:szCs w:val="18"/>
                <w:lang w:val="es-ES"/>
              </w:rPr>
              <w:t>propiedades urbanas y rurales</w:t>
            </w:r>
            <w:r w:rsidR="00CD0CDF" w:rsidRPr="00377962">
              <w:rPr>
                <w:sz w:val="18"/>
                <w:szCs w:val="18"/>
                <w:lang w:val="es-ES"/>
              </w:rPr>
              <w:t xml:space="preserve">, </w:t>
            </w:r>
            <w:r w:rsidR="003D2A18">
              <w:rPr>
                <w:sz w:val="18"/>
                <w:szCs w:val="18"/>
                <w:lang w:val="es-ES"/>
              </w:rPr>
              <w:t>mantenimiento del catastro</w:t>
            </w:r>
          </w:p>
        </w:tc>
        <w:tc>
          <w:tcPr>
            <w:tcW w:w="1785" w:type="dxa"/>
            <w:vAlign w:val="center"/>
          </w:tcPr>
          <w:p w:rsidR="00CD0CDF" w:rsidRPr="00377962" w:rsidRDefault="00CD0CDF" w:rsidP="00C1184E">
            <w:pPr>
              <w:rPr>
                <w:sz w:val="18"/>
                <w:szCs w:val="18"/>
                <w:lang w:val="es-ES"/>
              </w:rPr>
            </w:pPr>
            <w:r w:rsidRPr="00377962">
              <w:rPr>
                <w:sz w:val="18"/>
                <w:szCs w:val="18"/>
                <w:lang w:val="es-ES"/>
              </w:rPr>
              <w:t>Nueva Segovia</w:t>
            </w:r>
          </w:p>
        </w:tc>
        <w:tc>
          <w:tcPr>
            <w:tcW w:w="3302" w:type="dxa"/>
          </w:tcPr>
          <w:p w:rsidR="00CD0CDF" w:rsidRPr="00377962" w:rsidRDefault="00CD0CDF" w:rsidP="00C1184E">
            <w:pPr>
              <w:rPr>
                <w:sz w:val="18"/>
                <w:szCs w:val="18"/>
                <w:lang w:val="es-ES"/>
              </w:rPr>
            </w:pPr>
            <w:r w:rsidRPr="00377962">
              <w:rPr>
                <w:b/>
                <w:sz w:val="18"/>
                <w:szCs w:val="18"/>
                <w:lang w:val="es-ES"/>
              </w:rPr>
              <w:t xml:space="preserve">12 </w:t>
            </w:r>
            <w:r w:rsidR="00FF52DD" w:rsidRPr="00377962">
              <w:rPr>
                <w:b/>
                <w:sz w:val="18"/>
                <w:szCs w:val="18"/>
                <w:lang w:val="es-ES"/>
              </w:rPr>
              <w:t>Municipios</w:t>
            </w:r>
            <w:r w:rsidRPr="00377962">
              <w:rPr>
                <w:sz w:val="18"/>
                <w:szCs w:val="18"/>
                <w:lang w:val="es-ES"/>
              </w:rPr>
              <w:t>: Jalapa, Murra, El Jícaro, San Fernando, Mozonte, Dipilto, Macuelizo, Santa María, Ocotal, Ciudad Antigua, Quilalí y Wiwilí de Nueva Segovia.</w:t>
            </w:r>
          </w:p>
          <w:p w:rsidR="00BF2E39" w:rsidRPr="00377962" w:rsidRDefault="00BF2E39" w:rsidP="00C1184E">
            <w:pPr>
              <w:rPr>
                <w:sz w:val="18"/>
                <w:szCs w:val="18"/>
                <w:lang w:val="es-ES"/>
              </w:rPr>
            </w:pPr>
          </w:p>
        </w:tc>
      </w:tr>
      <w:tr w:rsidR="00CD0CDF" w:rsidRPr="00F702EF" w:rsidTr="00DA31AD">
        <w:tc>
          <w:tcPr>
            <w:tcW w:w="1951" w:type="dxa"/>
            <w:vMerge/>
          </w:tcPr>
          <w:p w:rsidR="00CD0CDF" w:rsidRPr="00377962" w:rsidRDefault="00CD0CDF" w:rsidP="00C1184E">
            <w:pPr>
              <w:rPr>
                <w:sz w:val="18"/>
                <w:szCs w:val="18"/>
                <w:lang w:val="es-ES"/>
              </w:rPr>
            </w:pPr>
          </w:p>
        </w:tc>
        <w:tc>
          <w:tcPr>
            <w:tcW w:w="2117" w:type="dxa"/>
            <w:vMerge/>
          </w:tcPr>
          <w:p w:rsidR="00CD0CDF" w:rsidRPr="00377962" w:rsidRDefault="00CD0CDF" w:rsidP="00C1184E">
            <w:pPr>
              <w:rPr>
                <w:sz w:val="18"/>
                <w:szCs w:val="18"/>
                <w:lang w:val="es-ES"/>
              </w:rPr>
            </w:pPr>
          </w:p>
        </w:tc>
        <w:tc>
          <w:tcPr>
            <w:tcW w:w="1785" w:type="dxa"/>
            <w:vAlign w:val="center"/>
          </w:tcPr>
          <w:p w:rsidR="00CD0CDF" w:rsidRPr="00377962" w:rsidRDefault="00CD0CDF" w:rsidP="00C1184E">
            <w:pPr>
              <w:rPr>
                <w:sz w:val="18"/>
                <w:szCs w:val="18"/>
                <w:lang w:val="es-ES"/>
              </w:rPr>
            </w:pPr>
            <w:r w:rsidRPr="00377962">
              <w:rPr>
                <w:sz w:val="18"/>
                <w:szCs w:val="18"/>
                <w:lang w:val="es-ES"/>
              </w:rPr>
              <w:t>Jinotega</w:t>
            </w:r>
          </w:p>
        </w:tc>
        <w:tc>
          <w:tcPr>
            <w:tcW w:w="3302" w:type="dxa"/>
          </w:tcPr>
          <w:p w:rsidR="00CD0CDF" w:rsidRPr="00377962" w:rsidRDefault="00FC4F6A" w:rsidP="00C1184E">
            <w:pPr>
              <w:rPr>
                <w:sz w:val="18"/>
                <w:szCs w:val="18"/>
                <w:lang w:val="es-ES"/>
              </w:rPr>
            </w:pPr>
            <w:r w:rsidRPr="00377962">
              <w:rPr>
                <w:b/>
                <w:sz w:val="18"/>
                <w:szCs w:val="18"/>
                <w:lang w:val="es-ES"/>
              </w:rPr>
              <w:t>6</w:t>
            </w:r>
            <w:r w:rsidR="00FF52DD" w:rsidRPr="00377962">
              <w:rPr>
                <w:b/>
                <w:sz w:val="18"/>
                <w:szCs w:val="18"/>
                <w:lang w:val="es-ES"/>
              </w:rPr>
              <w:t>Municipios</w:t>
            </w:r>
            <w:r w:rsidRPr="00377962">
              <w:rPr>
                <w:sz w:val="18"/>
                <w:szCs w:val="18"/>
                <w:lang w:val="es-ES"/>
              </w:rPr>
              <w:t>: Wiwilí, El Cuá</w:t>
            </w:r>
            <w:r w:rsidR="00CD0CDF" w:rsidRPr="00377962">
              <w:rPr>
                <w:sz w:val="18"/>
                <w:szCs w:val="18"/>
                <w:lang w:val="es-ES"/>
              </w:rPr>
              <w:t>, San Rafael del Norte, San Sebastián de Yalí, La Concordia y Jinotega</w:t>
            </w:r>
          </w:p>
        </w:tc>
      </w:tr>
      <w:tr w:rsidR="00CD0CDF" w:rsidRPr="00F702EF" w:rsidTr="00DA31AD">
        <w:trPr>
          <w:trHeight w:val="2594"/>
        </w:trPr>
        <w:tc>
          <w:tcPr>
            <w:tcW w:w="1951" w:type="dxa"/>
            <w:vMerge/>
          </w:tcPr>
          <w:p w:rsidR="00CD0CDF" w:rsidRPr="00377962" w:rsidRDefault="00CD0CDF" w:rsidP="00C1184E">
            <w:pPr>
              <w:rPr>
                <w:sz w:val="18"/>
                <w:szCs w:val="18"/>
                <w:lang w:val="es-ES"/>
              </w:rPr>
            </w:pPr>
          </w:p>
        </w:tc>
        <w:tc>
          <w:tcPr>
            <w:tcW w:w="2117" w:type="dxa"/>
            <w:vAlign w:val="center"/>
          </w:tcPr>
          <w:p w:rsidR="00CD0CDF" w:rsidRPr="00377962" w:rsidRDefault="00FF52DD" w:rsidP="00C1184E">
            <w:pPr>
              <w:rPr>
                <w:sz w:val="18"/>
                <w:szCs w:val="18"/>
                <w:lang w:val="es-ES"/>
              </w:rPr>
            </w:pPr>
            <w:r w:rsidRPr="00377962">
              <w:rPr>
                <w:sz w:val="18"/>
                <w:szCs w:val="18"/>
                <w:lang w:val="es-ES"/>
              </w:rPr>
              <w:t>Resolución de conflictos</w:t>
            </w:r>
            <w:r w:rsidR="00CD0CDF" w:rsidRPr="00377962">
              <w:rPr>
                <w:sz w:val="18"/>
                <w:szCs w:val="18"/>
                <w:lang w:val="es-ES"/>
              </w:rPr>
              <w:t xml:space="preserve">, </w:t>
            </w:r>
            <w:r w:rsidRPr="00377962">
              <w:rPr>
                <w:sz w:val="18"/>
                <w:szCs w:val="18"/>
                <w:lang w:val="es-ES"/>
              </w:rPr>
              <w:t>regularización</w:t>
            </w:r>
            <w:r w:rsidR="00CD0CDF" w:rsidRPr="00377962">
              <w:rPr>
                <w:sz w:val="18"/>
                <w:szCs w:val="18"/>
                <w:lang w:val="es-ES"/>
              </w:rPr>
              <w:t xml:space="preserve">, </w:t>
            </w:r>
            <w:r w:rsidRPr="00377962">
              <w:rPr>
                <w:sz w:val="18"/>
                <w:szCs w:val="18"/>
                <w:lang w:val="es-ES"/>
              </w:rPr>
              <w:t>titulación</w:t>
            </w:r>
            <w:r w:rsidR="00CD0CDF" w:rsidRPr="00377962">
              <w:rPr>
                <w:sz w:val="18"/>
                <w:szCs w:val="18"/>
                <w:lang w:val="es-ES"/>
              </w:rPr>
              <w:t xml:space="preserve">, </w:t>
            </w:r>
            <w:r w:rsidR="00FF357C" w:rsidRPr="00377962">
              <w:rPr>
                <w:sz w:val="18"/>
                <w:szCs w:val="18"/>
                <w:lang w:val="es-ES"/>
              </w:rPr>
              <w:t>y</w:t>
            </w:r>
            <w:r w:rsidR="002460E7">
              <w:rPr>
                <w:sz w:val="18"/>
                <w:szCs w:val="18"/>
                <w:lang w:val="es-ES"/>
              </w:rPr>
              <w:t xml:space="preserve"> </w:t>
            </w:r>
            <w:r w:rsidR="003D2A18">
              <w:rPr>
                <w:sz w:val="18"/>
                <w:szCs w:val="18"/>
                <w:lang w:val="es-ES"/>
              </w:rPr>
              <w:t xml:space="preserve">registro </w:t>
            </w:r>
            <w:r w:rsidR="00CD0CDF" w:rsidRPr="00377962">
              <w:rPr>
                <w:sz w:val="18"/>
                <w:szCs w:val="18"/>
                <w:lang w:val="es-ES"/>
              </w:rPr>
              <w:t xml:space="preserve">, </w:t>
            </w:r>
            <w:r w:rsidR="003D2A18">
              <w:rPr>
                <w:sz w:val="18"/>
                <w:szCs w:val="18"/>
                <w:lang w:val="es-ES"/>
              </w:rPr>
              <w:t>mantenimiento del catastro</w:t>
            </w:r>
            <w:r w:rsidR="00CD0CDF" w:rsidRPr="00377962">
              <w:rPr>
                <w:sz w:val="18"/>
                <w:szCs w:val="18"/>
                <w:lang w:val="es-ES"/>
              </w:rPr>
              <w:t xml:space="preserve">, </w:t>
            </w:r>
            <w:r w:rsidR="003D2A18">
              <w:rPr>
                <w:sz w:val="18"/>
                <w:szCs w:val="18"/>
                <w:lang w:val="es-ES"/>
              </w:rPr>
              <w:t xml:space="preserve">ejecución del </w:t>
            </w:r>
            <w:r w:rsidR="00CD0CDF" w:rsidRPr="00377962">
              <w:rPr>
                <w:sz w:val="18"/>
                <w:szCs w:val="18"/>
                <w:lang w:val="es-ES"/>
              </w:rPr>
              <w:t>SIICAR</w:t>
            </w:r>
          </w:p>
        </w:tc>
        <w:tc>
          <w:tcPr>
            <w:tcW w:w="1785" w:type="dxa"/>
            <w:vAlign w:val="center"/>
          </w:tcPr>
          <w:p w:rsidR="00CD0CDF" w:rsidRPr="00377962" w:rsidRDefault="00CD0CDF" w:rsidP="00C1184E">
            <w:pPr>
              <w:rPr>
                <w:sz w:val="18"/>
                <w:szCs w:val="18"/>
                <w:lang w:val="es-ES"/>
              </w:rPr>
            </w:pPr>
            <w:r w:rsidRPr="00377962">
              <w:rPr>
                <w:sz w:val="18"/>
                <w:szCs w:val="18"/>
                <w:lang w:val="es-ES"/>
              </w:rPr>
              <w:t>León, Chinandega, Estelí y Madriz</w:t>
            </w:r>
          </w:p>
        </w:tc>
        <w:tc>
          <w:tcPr>
            <w:tcW w:w="3302" w:type="dxa"/>
          </w:tcPr>
          <w:p w:rsidR="00CD0CDF" w:rsidRPr="00377962" w:rsidRDefault="00CD0CDF" w:rsidP="00C1184E">
            <w:pPr>
              <w:rPr>
                <w:sz w:val="18"/>
                <w:szCs w:val="18"/>
                <w:lang w:val="es-ES"/>
              </w:rPr>
            </w:pPr>
            <w:r w:rsidRPr="00377962">
              <w:rPr>
                <w:b/>
                <w:sz w:val="18"/>
                <w:szCs w:val="18"/>
                <w:lang w:val="es-ES"/>
              </w:rPr>
              <w:t xml:space="preserve">35 </w:t>
            </w:r>
            <w:r w:rsidR="00FF52DD" w:rsidRPr="00377962">
              <w:rPr>
                <w:b/>
                <w:sz w:val="18"/>
                <w:szCs w:val="18"/>
                <w:lang w:val="es-ES"/>
              </w:rPr>
              <w:t>Municipios</w:t>
            </w:r>
            <w:r w:rsidRPr="00377962">
              <w:rPr>
                <w:sz w:val="18"/>
                <w:szCs w:val="18"/>
                <w:lang w:val="es-ES"/>
              </w:rPr>
              <w:t>: Nagarote, La Paz Centro, Telica, Larreynaga, Quezalguaque, El Sauce, Santa Rosa del Peñón. El Jicaral, León, Achuapa, Chinandega, Posoltega, Chichigalpa, Corinto, El Realejo, El Viejo, Puerto Morazán, Villanueva, Somotillo, Cinco Pinos, Santo Tomás del Norte, San Pedro del Norte, San Francisco del Norte. La Trinidad, Estelí, Condega. Limay, Pueblo Nuevo, San Nicolás, Somoto, Yalaguina, San Juan de Rio Coco, Totogalpa, Palacaguina y San Lucas</w:t>
            </w:r>
          </w:p>
        </w:tc>
      </w:tr>
      <w:tr w:rsidR="00CD0CDF" w:rsidRPr="00F702EF" w:rsidTr="00DA31AD">
        <w:trPr>
          <w:trHeight w:val="1669"/>
        </w:trPr>
        <w:tc>
          <w:tcPr>
            <w:tcW w:w="1951" w:type="dxa"/>
            <w:vMerge/>
            <w:vAlign w:val="center"/>
          </w:tcPr>
          <w:p w:rsidR="00CD0CDF" w:rsidRPr="00377962" w:rsidRDefault="00CD0CDF" w:rsidP="00C1184E">
            <w:pPr>
              <w:rPr>
                <w:sz w:val="18"/>
                <w:szCs w:val="18"/>
                <w:lang w:val="es-ES"/>
              </w:rPr>
            </w:pPr>
          </w:p>
        </w:tc>
        <w:tc>
          <w:tcPr>
            <w:tcW w:w="2117" w:type="dxa"/>
          </w:tcPr>
          <w:p w:rsidR="00CD0CDF" w:rsidRPr="00377962" w:rsidRDefault="00FF52DD" w:rsidP="00EB169E">
            <w:pPr>
              <w:rPr>
                <w:sz w:val="18"/>
                <w:szCs w:val="18"/>
                <w:lang w:val="es-ES"/>
              </w:rPr>
            </w:pPr>
            <w:r w:rsidRPr="00377962">
              <w:rPr>
                <w:sz w:val="18"/>
                <w:szCs w:val="18"/>
                <w:lang w:val="es-ES"/>
              </w:rPr>
              <w:t>Regularización</w:t>
            </w:r>
            <w:r w:rsidR="002460E7">
              <w:rPr>
                <w:sz w:val="18"/>
                <w:szCs w:val="18"/>
                <w:lang w:val="es-ES"/>
              </w:rPr>
              <w:t xml:space="preserve"> </w:t>
            </w:r>
            <w:r w:rsidR="00FF357C" w:rsidRPr="00377962">
              <w:rPr>
                <w:sz w:val="18"/>
                <w:szCs w:val="18"/>
                <w:lang w:val="es-ES"/>
              </w:rPr>
              <w:t>y</w:t>
            </w:r>
            <w:r w:rsidR="002460E7">
              <w:rPr>
                <w:sz w:val="18"/>
                <w:szCs w:val="18"/>
                <w:lang w:val="es-ES"/>
              </w:rPr>
              <w:t xml:space="preserve"> </w:t>
            </w:r>
            <w:r w:rsidRPr="00377962">
              <w:rPr>
                <w:sz w:val="18"/>
                <w:szCs w:val="18"/>
                <w:lang w:val="es-ES"/>
              </w:rPr>
              <w:t>titulación</w:t>
            </w:r>
            <w:r w:rsidR="002460E7">
              <w:rPr>
                <w:sz w:val="18"/>
                <w:szCs w:val="18"/>
                <w:lang w:val="es-ES"/>
              </w:rPr>
              <w:t xml:space="preserve"> </w:t>
            </w:r>
            <w:r w:rsidR="00EB169E">
              <w:rPr>
                <w:sz w:val="18"/>
                <w:szCs w:val="18"/>
                <w:lang w:val="es-ES"/>
              </w:rPr>
              <w:t>de</w:t>
            </w:r>
            <w:r w:rsidR="002460E7">
              <w:rPr>
                <w:sz w:val="18"/>
                <w:szCs w:val="18"/>
                <w:lang w:val="es-ES"/>
              </w:rPr>
              <w:t xml:space="preserve"> </w:t>
            </w:r>
            <w:r w:rsidR="00B07E7F" w:rsidRPr="00377962">
              <w:rPr>
                <w:sz w:val="18"/>
                <w:szCs w:val="18"/>
                <w:lang w:val="es-ES"/>
              </w:rPr>
              <w:t>propiedades urbanas y rurales</w:t>
            </w:r>
            <w:r w:rsidR="002460E7">
              <w:rPr>
                <w:sz w:val="18"/>
                <w:szCs w:val="18"/>
                <w:lang w:val="es-ES"/>
              </w:rPr>
              <w:t xml:space="preserve"> </w:t>
            </w:r>
            <w:r w:rsidR="00EB169E">
              <w:rPr>
                <w:sz w:val="18"/>
                <w:szCs w:val="18"/>
                <w:lang w:val="es-ES"/>
              </w:rPr>
              <w:t xml:space="preserve">afectadas por la </w:t>
            </w:r>
            <w:r w:rsidR="00FE4705" w:rsidRPr="00377962">
              <w:rPr>
                <w:sz w:val="18"/>
                <w:szCs w:val="18"/>
                <w:lang w:val="es-ES"/>
              </w:rPr>
              <w:t xml:space="preserve">reforma agraria </w:t>
            </w:r>
          </w:p>
        </w:tc>
        <w:tc>
          <w:tcPr>
            <w:tcW w:w="1785" w:type="dxa"/>
            <w:vAlign w:val="center"/>
          </w:tcPr>
          <w:p w:rsidR="00CD0CDF" w:rsidRPr="00377962" w:rsidRDefault="00427700" w:rsidP="00C1184E">
            <w:pPr>
              <w:rPr>
                <w:sz w:val="18"/>
                <w:szCs w:val="18"/>
                <w:lang w:val="es-ES"/>
              </w:rPr>
            </w:pPr>
            <w:r w:rsidRPr="00377962">
              <w:rPr>
                <w:sz w:val="18"/>
                <w:szCs w:val="18"/>
                <w:lang w:val="es-ES"/>
              </w:rPr>
              <w:t>n/a</w:t>
            </w:r>
          </w:p>
        </w:tc>
        <w:tc>
          <w:tcPr>
            <w:tcW w:w="3302" w:type="dxa"/>
            <w:vAlign w:val="center"/>
          </w:tcPr>
          <w:p w:rsidR="00CD0CDF" w:rsidRPr="00377962" w:rsidRDefault="00EB169E" w:rsidP="00EB169E">
            <w:pPr>
              <w:rPr>
                <w:sz w:val="18"/>
                <w:szCs w:val="18"/>
                <w:lang w:val="es-ES"/>
              </w:rPr>
            </w:pPr>
            <w:r>
              <w:rPr>
                <w:sz w:val="18"/>
                <w:szCs w:val="18"/>
                <w:lang w:val="es-ES"/>
              </w:rPr>
              <w:t>Según la demanda de l</w:t>
            </w:r>
            <w:r w:rsidR="002460E7">
              <w:rPr>
                <w:sz w:val="18"/>
                <w:szCs w:val="18"/>
                <w:lang w:val="es-ES"/>
              </w:rPr>
              <w:t>a</w:t>
            </w:r>
            <w:r>
              <w:rPr>
                <w:sz w:val="18"/>
                <w:szCs w:val="18"/>
                <w:lang w:val="es-ES"/>
              </w:rPr>
              <w:t xml:space="preserve">s </w:t>
            </w:r>
            <w:r w:rsidR="002460E7">
              <w:rPr>
                <w:sz w:val="18"/>
                <w:szCs w:val="18"/>
                <w:lang w:val="es-ES"/>
              </w:rPr>
              <w:t xml:space="preserve">personas </w:t>
            </w:r>
            <w:r>
              <w:rPr>
                <w:sz w:val="18"/>
                <w:szCs w:val="18"/>
                <w:lang w:val="es-ES"/>
              </w:rPr>
              <w:t>beneficiari</w:t>
            </w:r>
            <w:r w:rsidR="002460E7">
              <w:rPr>
                <w:sz w:val="18"/>
                <w:szCs w:val="18"/>
                <w:lang w:val="es-ES"/>
              </w:rPr>
              <w:t>a</w:t>
            </w:r>
            <w:r>
              <w:rPr>
                <w:sz w:val="18"/>
                <w:szCs w:val="18"/>
                <w:lang w:val="es-ES"/>
              </w:rPr>
              <w:t>s</w:t>
            </w:r>
          </w:p>
        </w:tc>
      </w:tr>
      <w:tr w:rsidR="00CD0CDF" w:rsidRPr="00F702EF" w:rsidTr="00DA31AD">
        <w:trPr>
          <w:trHeight w:val="1472"/>
        </w:trPr>
        <w:tc>
          <w:tcPr>
            <w:tcW w:w="1951" w:type="dxa"/>
            <w:vAlign w:val="center"/>
          </w:tcPr>
          <w:p w:rsidR="00CD0CDF" w:rsidRPr="00377962" w:rsidRDefault="00FE4705" w:rsidP="00EB169E">
            <w:pPr>
              <w:rPr>
                <w:sz w:val="18"/>
                <w:szCs w:val="18"/>
                <w:lang w:val="es-ES"/>
              </w:rPr>
            </w:pPr>
            <w:r w:rsidRPr="00377962">
              <w:rPr>
                <w:sz w:val="18"/>
                <w:szCs w:val="18"/>
                <w:lang w:val="es-ES"/>
              </w:rPr>
              <w:lastRenderedPageBreak/>
              <w:t>Demarcación</w:t>
            </w:r>
            <w:r w:rsidR="002460E7">
              <w:rPr>
                <w:sz w:val="18"/>
                <w:szCs w:val="18"/>
                <w:lang w:val="es-ES"/>
              </w:rPr>
              <w:t xml:space="preserve"> </w:t>
            </w:r>
            <w:r w:rsidR="00EB169E">
              <w:rPr>
                <w:sz w:val="18"/>
                <w:szCs w:val="18"/>
                <w:lang w:val="es-ES"/>
              </w:rPr>
              <w:t xml:space="preserve">de las Áreas protegidas </w:t>
            </w:r>
          </w:p>
        </w:tc>
        <w:tc>
          <w:tcPr>
            <w:tcW w:w="2117" w:type="dxa"/>
          </w:tcPr>
          <w:p w:rsidR="00CD0CDF" w:rsidRPr="00377962" w:rsidRDefault="00CD0CDF" w:rsidP="00C1184E">
            <w:pPr>
              <w:jc w:val="center"/>
              <w:rPr>
                <w:sz w:val="18"/>
                <w:szCs w:val="18"/>
                <w:lang w:val="es-ES"/>
              </w:rPr>
            </w:pPr>
          </w:p>
          <w:p w:rsidR="00CD0CDF" w:rsidRPr="00377962" w:rsidRDefault="00EB169E" w:rsidP="00C1184E">
            <w:pPr>
              <w:rPr>
                <w:sz w:val="18"/>
                <w:szCs w:val="18"/>
                <w:lang w:val="es-ES"/>
              </w:rPr>
            </w:pPr>
            <w:r>
              <w:rPr>
                <w:sz w:val="18"/>
                <w:szCs w:val="18"/>
                <w:lang w:val="es-ES"/>
              </w:rPr>
              <w:t>D</w:t>
            </w:r>
            <w:r w:rsidR="00FE4705" w:rsidRPr="00377962">
              <w:rPr>
                <w:sz w:val="18"/>
                <w:szCs w:val="18"/>
                <w:lang w:val="es-ES"/>
              </w:rPr>
              <w:t>emarcación</w:t>
            </w:r>
            <w:r>
              <w:rPr>
                <w:sz w:val="18"/>
                <w:szCs w:val="18"/>
                <w:lang w:val="es-ES"/>
              </w:rPr>
              <w:t xml:space="preserve"> física</w:t>
            </w:r>
            <w:r w:rsidR="00CD0CDF" w:rsidRPr="00377962">
              <w:rPr>
                <w:sz w:val="18"/>
                <w:szCs w:val="18"/>
                <w:lang w:val="es-ES"/>
              </w:rPr>
              <w:t>, geo</w:t>
            </w:r>
            <w:r w:rsidR="007F2B92">
              <w:rPr>
                <w:sz w:val="18"/>
                <w:szCs w:val="18"/>
                <w:lang w:val="es-ES"/>
              </w:rPr>
              <w:t>r</w:t>
            </w:r>
            <w:r w:rsidR="00CD0CDF" w:rsidRPr="00377962">
              <w:rPr>
                <w:sz w:val="18"/>
                <w:szCs w:val="18"/>
                <w:lang w:val="es-ES"/>
              </w:rPr>
              <w:t>referenci</w:t>
            </w:r>
            <w:r w:rsidR="007F2B92">
              <w:rPr>
                <w:sz w:val="18"/>
                <w:szCs w:val="18"/>
                <w:lang w:val="es-ES"/>
              </w:rPr>
              <w:t>ación, colocación de</w:t>
            </w:r>
            <w:r w:rsidR="00012FD4">
              <w:rPr>
                <w:sz w:val="18"/>
                <w:szCs w:val="18"/>
                <w:lang w:val="es-ES"/>
              </w:rPr>
              <w:t xml:space="preserve"> postes indicadores y campaña de educación ambientalista</w:t>
            </w:r>
          </w:p>
          <w:p w:rsidR="00CD0CDF" w:rsidRPr="00377962" w:rsidRDefault="00CD0CDF" w:rsidP="00C1184E">
            <w:pPr>
              <w:rPr>
                <w:sz w:val="18"/>
                <w:szCs w:val="18"/>
                <w:lang w:val="es-ES"/>
              </w:rPr>
            </w:pPr>
          </w:p>
        </w:tc>
        <w:tc>
          <w:tcPr>
            <w:tcW w:w="1785" w:type="dxa"/>
            <w:vAlign w:val="center"/>
          </w:tcPr>
          <w:p w:rsidR="00CD0CDF" w:rsidRPr="00377962" w:rsidRDefault="00CD0CDF" w:rsidP="00C1184E">
            <w:pPr>
              <w:rPr>
                <w:sz w:val="18"/>
                <w:szCs w:val="18"/>
                <w:lang w:val="es-ES"/>
              </w:rPr>
            </w:pPr>
            <w:r w:rsidRPr="00377962">
              <w:rPr>
                <w:sz w:val="18"/>
                <w:szCs w:val="18"/>
                <w:lang w:val="es-ES"/>
              </w:rPr>
              <w:t xml:space="preserve">Nueva Segovia </w:t>
            </w:r>
            <w:r w:rsidR="00FF357C" w:rsidRPr="00377962">
              <w:rPr>
                <w:sz w:val="18"/>
                <w:szCs w:val="18"/>
                <w:lang w:val="es-ES"/>
              </w:rPr>
              <w:t>y</w:t>
            </w:r>
            <w:r w:rsidRPr="00377962">
              <w:rPr>
                <w:sz w:val="18"/>
                <w:szCs w:val="18"/>
                <w:lang w:val="es-ES"/>
              </w:rPr>
              <w:t xml:space="preserve"> Jinotega </w:t>
            </w:r>
          </w:p>
        </w:tc>
        <w:tc>
          <w:tcPr>
            <w:tcW w:w="3302" w:type="dxa"/>
            <w:vAlign w:val="center"/>
          </w:tcPr>
          <w:p w:rsidR="00CD0CDF" w:rsidRPr="00377962" w:rsidRDefault="00CD0CDF" w:rsidP="00C1184E">
            <w:pPr>
              <w:rPr>
                <w:sz w:val="18"/>
                <w:szCs w:val="18"/>
                <w:lang w:val="es-ES"/>
              </w:rPr>
            </w:pPr>
            <w:r w:rsidRPr="00377962">
              <w:rPr>
                <w:b/>
                <w:sz w:val="18"/>
                <w:szCs w:val="18"/>
                <w:lang w:val="es-ES"/>
              </w:rPr>
              <w:t xml:space="preserve">8 </w:t>
            </w:r>
            <w:r w:rsidR="00FF52DD" w:rsidRPr="00377962">
              <w:rPr>
                <w:b/>
                <w:sz w:val="18"/>
                <w:szCs w:val="18"/>
                <w:lang w:val="es-ES"/>
              </w:rPr>
              <w:t>Municipios</w:t>
            </w:r>
            <w:r w:rsidRPr="00377962">
              <w:rPr>
                <w:sz w:val="18"/>
                <w:szCs w:val="18"/>
                <w:lang w:val="es-ES"/>
              </w:rPr>
              <w:t xml:space="preserve">. Dipilto y Jalapa (Nueva Segovia); Jinotega, Yalí, La Concordia, San Rafael del Norte, El Cuá y San José de Bocay (Jinotega) </w:t>
            </w:r>
          </w:p>
        </w:tc>
      </w:tr>
      <w:tr w:rsidR="00CD0CDF" w:rsidRPr="00F702EF" w:rsidTr="00DA31AD">
        <w:trPr>
          <w:trHeight w:val="1071"/>
        </w:trPr>
        <w:tc>
          <w:tcPr>
            <w:tcW w:w="1951" w:type="dxa"/>
            <w:vAlign w:val="center"/>
          </w:tcPr>
          <w:p w:rsidR="00CD0CDF" w:rsidRPr="00377962" w:rsidRDefault="00FE4705" w:rsidP="00CC58FA">
            <w:pPr>
              <w:rPr>
                <w:sz w:val="18"/>
                <w:szCs w:val="18"/>
                <w:lang w:val="es-ES"/>
              </w:rPr>
            </w:pPr>
            <w:r w:rsidRPr="00377962">
              <w:rPr>
                <w:sz w:val="18"/>
                <w:szCs w:val="18"/>
                <w:lang w:val="es-ES"/>
              </w:rPr>
              <w:t>Demarcación</w:t>
            </w:r>
            <w:r w:rsidR="002460E7">
              <w:rPr>
                <w:sz w:val="18"/>
                <w:szCs w:val="18"/>
                <w:lang w:val="es-ES"/>
              </w:rPr>
              <w:t xml:space="preserve"> </w:t>
            </w:r>
            <w:r w:rsidR="00FF357C" w:rsidRPr="00377962">
              <w:rPr>
                <w:sz w:val="18"/>
                <w:szCs w:val="18"/>
                <w:lang w:val="es-ES"/>
              </w:rPr>
              <w:t>y</w:t>
            </w:r>
            <w:r w:rsidR="002460E7">
              <w:rPr>
                <w:sz w:val="18"/>
                <w:szCs w:val="18"/>
                <w:lang w:val="es-ES"/>
              </w:rPr>
              <w:t xml:space="preserve"> </w:t>
            </w:r>
            <w:r w:rsidR="00FF52DD" w:rsidRPr="00377962">
              <w:rPr>
                <w:sz w:val="18"/>
                <w:szCs w:val="18"/>
                <w:lang w:val="es-ES"/>
              </w:rPr>
              <w:t>titulación</w:t>
            </w:r>
            <w:r w:rsidR="00CC58FA">
              <w:rPr>
                <w:sz w:val="18"/>
                <w:szCs w:val="18"/>
                <w:lang w:val="es-ES"/>
              </w:rPr>
              <w:t xml:space="preserve"> de dos áreas complementarias de</w:t>
            </w:r>
            <w:r w:rsidR="002460E7">
              <w:rPr>
                <w:sz w:val="18"/>
                <w:szCs w:val="18"/>
                <w:lang w:val="es-ES"/>
              </w:rPr>
              <w:t xml:space="preserve"> </w:t>
            </w:r>
            <w:r w:rsidRPr="00377962">
              <w:rPr>
                <w:sz w:val="18"/>
                <w:szCs w:val="18"/>
                <w:lang w:val="es-ES"/>
              </w:rPr>
              <w:t>territorios indígenas</w:t>
            </w:r>
          </w:p>
        </w:tc>
        <w:tc>
          <w:tcPr>
            <w:tcW w:w="2117" w:type="dxa"/>
          </w:tcPr>
          <w:p w:rsidR="00CD0CDF" w:rsidRPr="00377962" w:rsidRDefault="00CC58FA" w:rsidP="00C1184E">
            <w:pPr>
              <w:rPr>
                <w:sz w:val="18"/>
                <w:szCs w:val="18"/>
                <w:lang w:val="es-ES"/>
              </w:rPr>
            </w:pPr>
            <w:r>
              <w:rPr>
                <w:sz w:val="18"/>
                <w:szCs w:val="18"/>
                <w:lang w:val="es-ES"/>
              </w:rPr>
              <w:t>D</w:t>
            </w:r>
            <w:r w:rsidR="00FE4705" w:rsidRPr="00377962">
              <w:rPr>
                <w:sz w:val="18"/>
                <w:szCs w:val="18"/>
                <w:lang w:val="es-ES"/>
              </w:rPr>
              <w:t>emarcación</w:t>
            </w:r>
            <w:r>
              <w:rPr>
                <w:sz w:val="18"/>
                <w:szCs w:val="18"/>
                <w:lang w:val="es-ES"/>
              </w:rPr>
              <w:t xml:space="preserve"> física,</w:t>
            </w:r>
            <w:r w:rsidR="002460E7">
              <w:rPr>
                <w:sz w:val="18"/>
                <w:szCs w:val="18"/>
                <w:lang w:val="es-ES"/>
              </w:rPr>
              <w:t xml:space="preserve"> </w:t>
            </w:r>
            <w:r w:rsidR="00FF52DD" w:rsidRPr="00377962">
              <w:rPr>
                <w:sz w:val="18"/>
                <w:szCs w:val="18"/>
                <w:lang w:val="es-ES"/>
              </w:rPr>
              <w:t>resolución de conflictos</w:t>
            </w:r>
            <w:r w:rsidR="00CD0CDF" w:rsidRPr="00377962">
              <w:rPr>
                <w:sz w:val="18"/>
                <w:szCs w:val="18"/>
                <w:lang w:val="es-ES"/>
              </w:rPr>
              <w:t xml:space="preserve">, </w:t>
            </w:r>
            <w:r w:rsidR="00FF52DD" w:rsidRPr="00377962">
              <w:rPr>
                <w:sz w:val="18"/>
                <w:szCs w:val="18"/>
                <w:lang w:val="es-ES"/>
              </w:rPr>
              <w:t>titulación</w:t>
            </w:r>
            <w:r w:rsidR="002460E7">
              <w:rPr>
                <w:sz w:val="18"/>
                <w:szCs w:val="18"/>
                <w:lang w:val="es-ES"/>
              </w:rPr>
              <w:t xml:space="preserve"> </w:t>
            </w:r>
            <w:r w:rsidR="00FF357C" w:rsidRPr="00377962">
              <w:rPr>
                <w:sz w:val="18"/>
                <w:szCs w:val="18"/>
                <w:lang w:val="es-ES"/>
              </w:rPr>
              <w:t>y</w:t>
            </w:r>
            <w:r w:rsidR="002460E7">
              <w:rPr>
                <w:sz w:val="18"/>
                <w:szCs w:val="18"/>
                <w:lang w:val="es-ES"/>
              </w:rPr>
              <w:t xml:space="preserve"> </w:t>
            </w:r>
            <w:r w:rsidR="003D2A18">
              <w:rPr>
                <w:sz w:val="18"/>
                <w:szCs w:val="18"/>
                <w:lang w:val="es-ES"/>
              </w:rPr>
              <w:t xml:space="preserve">registro </w:t>
            </w:r>
          </w:p>
        </w:tc>
        <w:tc>
          <w:tcPr>
            <w:tcW w:w="1785" w:type="dxa"/>
            <w:vAlign w:val="center"/>
          </w:tcPr>
          <w:p w:rsidR="00CD0CDF" w:rsidRPr="00377962" w:rsidRDefault="00CD0CDF" w:rsidP="00C1184E">
            <w:pPr>
              <w:rPr>
                <w:sz w:val="18"/>
                <w:szCs w:val="18"/>
                <w:lang w:val="es-ES"/>
              </w:rPr>
            </w:pPr>
            <w:r w:rsidRPr="00377962">
              <w:rPr>
                <w:sz w:val="18"/>
                <w:szCs w:val="18"/>
                <w:lang w:val="es-ES"/>
              </w:rPr>
              <w:t>Jinotega</w:t>
            </w:r>
          </w:p>
        </w:tc>
        <w:tc>
          <w:tcPr>
            <w:tcW w:w="3302" w:type="dxa"/>
            <w:vAlign w:val="center"/>
          </w:tcPr>
          <w:p w:rsidR="00CD0CDF" w:rsidRPr="00377962" w:rsidRDefault="00CD0CDF" w:rsidP="00CD0CDF">
            <w:pPr>
              <w:contextualSpacing/>
              <w:rPr>
                <w:sz w:val="18"/>
                <w:szCs w:val="18"/>
                <w:lang w:val="es-ES"/>
              </w:rPr>
            </w:pPr>
            <w:r w:rsidRPr="00377962">
              <w:rPr>
                <w:b/>
                <w:sz w:val="18"/>
                <w:szCs w:val="18"/>
                <w:lang w:val="es-ES"/>
              </w:rPr>
              <w:t xml:space="preserve">2 </w:t>
            </w:r>
            <w:r w:rsidR="00FF52DD" w:rsidRPr="00377962">
              <w:rPr>
                <w:b/>
                <w:sz w:val="18"/>
                <w:szCs w:val="18"/>
                <w:lang w:val="es-ES"/>
              </w:rPr>
              <w:t>Municipios</w:t>
            </w:r>
            <w:r w:rsidRPr="00377962">
              <w:rPr>
                <w:b/>
                <w:sz w:val="18"/>
                <w:szCs w:val="18"/>
                <w:lang w:val="es-ES"/>
              </w:rPr>
              <w:t>:</w:t>
            </w:r>
            <w:r w:rsidRPr="00377962">
              <w:rPr>
                <w:sz w:val="18"/>
                <w:szCs w:val="18"/>
                <w:lang w:val="es-ES"/>
              </w:rPr>
              <w:t xml:space="preserve"> San José de Bocay y Wiwillí</w:t>
            </w:r>
          </w:p>
        </w:tc>
      </w:tr>
    </w:tbl>
    <w:p w:rsidR="00CD0CDF" w:rsidRPr="00377962" w:rsidRDefault="00CD0CDF" w:rsidP="00CD0CDF">
      <w:pPr>
        <w:rPr>
          <w:lang w:val="es-ES"/>
        </w:rPr>
      </w:pPr>
    </w:p>
    <w:p w:rsidR="00020F9B" w:rsidRPr="00377962" w:rsidRDefault="00020F9B" w:rsidP="00020F9B">
      <w:pPr>
        <w:jc w:val="both"/>
        <w:rPr>
          <w:sz w:val="12"/>
          <w:szCs w:val="12"/>
          <w:lang w:val="es-ES"/>
        </w:rPr>
      </w:pPr>
    </w:p>
    <w:p w:rsidR="007C1A49" w:rsidRPr="00F81753" w:rsidRDefault="00237729" w:rsidP="00F91221">
      <w:pPr>
        <w:pStyle w:val="PDSHeading2"/>
        <w:numPr>
          <w:ilvl w:val="0"/>
          <w:numId w:val="40"/>
        </w:numPr>
        <w:spacing w:after="240"/>
        <w:rPr>
          <w:szCs w:val="24"/>
          <w:lang w:val="es-ES"/>
        </w:rPr>
      </w:pPr>
      <w:bookmarkStart w:id="118" w:name="_Toc342563092"/>
      <w:bookmarkStart w:id="119" w:name="_Toc342732223"/>
      <w:bookmarkStart w:id="120" w:name="_Toc342909551"/>
      <w:r w:rsidRPr="00377962">
        <w:rPr>
          <w:szCs w:val="24"/>
          <w:lang w:val="es-ES"/>
        </w:rPr>
        <w:t>Com</w:t>
      </w:r>
      <w:r w:rsidRPr="00F81753">
        <w:rPr>
          <w:szCs w:val="24"/>
          <w:lang w:val="es-ES"/>
        </w:rPr>
        <w:t>ponentes</w:t>
      </w:r>
      <w:bookmarkEnd w:id="118"/>
      <w:bookmarkEnd w:id="119"/>
      <w:bookmarkEnd w:id="120"/>
      <w:r w:rsidR="00F81753" w:rsidRPr="00F81753">
        <w:rPr>
          <w:szCs w:val="24"/>
          <w:lang w:val="es-ES"/>
        </w:rPr>
        <w:t xml:space="preserve"> del Proyecto</w:t>
      </w:r>
    </w:p>
    <w:p w:rsidR="00B15A1B" w:rsidRPr="00844A28" w:rsidRDefault="00F81753" w:rsidP="00FF33C1">
      <w:pPr>
        <w:numPr>
          <w:ilvl w:val="0"/>
          <w:numId w:val="21"/>
        </w:numPr>
        <w:tabs>
          <w:tab w:val="clear" w:pos="360"/>
          <w:tab w:val="num" w:pos="0"/>
        </w:tabs>
        <w:jc w:val="both"/>
        <w:rPr>
          <w:sz w:val="23"/>
          <w:szCs w:val="23"/>
          <w:lang w:val="es-ES"/>
        </w:rPr>
      </w:pPr>
      <w:r w:rsidRPr="00844A28">
        <w:rPr>
          <w:sz w:val="23"/>
          <w:szCs w:val="23"/>
          <w:lang w:val="es-ES"/>
        </w:rPr>
        <w:t>El Proyecto propuesto</w:t>
      </w:r>
      <w:r w:rsidR="001351F1" w:rsidRPr="00844A28">
        <w:rPr>
          <w:sz w:val="23"/>
          <w:szCs w:val="23"/>
          <w:lang w:val="es-ES"/>
        </w:rPr>
        <w:t xml:space="preserve"> comprenderá cinco componentes</w:t>
      </w:r>
      <w:r w:rsidR="001B5C21" w:rsidRPr="00844A28">
        <w:rPr>
          <w:sz w:val="23"/>
          <w:szCs w:val="23"/>
          <w:lang w:val="es-ES"/>
        </w:rPr>
        <w:t xml:space="preserve">: (1) </w:t>
      </w:r>
      <w:r w:rsidR="001351F1" w:rsidRPr="00844A28">
        <w:rPr>
          <w:sz w:val="23"/>
          <w:szCs w:val="23"/>
          <w:lang w:val="es-ES"/>
        </w:rPr>
        <w:t xml:space="preserve">Consolidación del Marco Institucional y </w:t>
      </w:r>
      <w:r w:rsidR="00F702EF">
        <w:rPr>
          <w:sz w:val="23"/>
          <w:szCs w:val="23"/>
          <w:lang w:val="es-ES"/>
        </w:rPr>
        <w:t>de Políticas (US$ 7.30 millones</w:t>
      </w:r>
      <w:r w:rsidR="001351F1" w:rsidRPr="00844A28">
        <w:rPr>
          <w:sz w:val="23"/>
          <w:szCs w:val="23"/>
          <w:lang w:val="es-ES"/>
        </w:rPr>
        <w:t>)</w:t>
      </w:r>
      <w:r w:rsidR="001B5C21" w:rsidRPr="00844A28">
        <w:rPr>
          <w:sz w:val="23"/>
          <w:szCs w:val="23"/>
          <w:lang w:val="es-ES"/>
        </w:rPr>
        <w:t xml:space="preserve">; (2) </w:t>
      </w:r>
      <w:r w:rsidR="001351F1" w:rsidRPr="00844A28">
        <w:rPr>
          <w:iCs/>
          <w:sz w:val="23"/>
          <w:szCs w:val="23"/>
          <w:lang w:val="es-ES"/>
        </w:rPr>
        <w:t xml:space="preserve">Fortalecimiento del Registro de la Propiedad y de la Resolución Alterna de Conflictos (US$ 3.70 </w:t>
      </w:r>
      <w:r w:rsidR="00F702EF">
        <w:rPr>
          <w:iCs/>
          <w:sz w:val="23"/>
          <w:szCs w:val="23"/>
          <w:lang w:val="es-ES"/>
        </w:rPr>
        <w:t>millones</w:t>
      </w:r>
      <w:r w:rsidR="001351F1" w:rsidRPr="00844A28">
        <w:rPr>
          <w:iCs/>
          <w:sz w:val="23"/>
          <w:szCs w:val="23"/>
          <w:lang w:val="es-ES"/>
        </w:rPr>
        <w:t>)</w:t>
      </w:r>
      <w:r w:rsidR="001B5C21" w:rsidRPr="00844A28">
        <w:rPr>
          <w:sz w:val="23"/>
          <w:szCs w:val="23"/>
          <w:lang w:val="es-ES"/>
        </w:rPr>
        <w:t xml:space="preserve">; (3) </w:t>
      </w:r>
      <w:r w:rsidR="0005471B" w:rsidRPr="00844A28">
        <w:rPr>
          <w:sz w:val="23"/>
          <w:szCs w:val="23"/>
          <w:lang w:val="es-ES"/>
        </w:rPr>
        <w:t xml:space="preserve">Servicios de Titulación y Regularización de propiedades </w:t>
      </w:r>
      <w:r w:rsidR="004050F6" w:rsidRPr="00844A28">
        <w:rPr>
          <w:sz w:val="23"/>
          <w:szCs w:val="23"/>
          <w:lang w:val="es-ES"/>
        </w:rPr>
        <w:t>(US$17.8</w:t>
      </w:r>
      <w:r w:rsidR="00703D47" w:rsidRPr="00844A28">
        <w:rPr>
          <w:sz w:val="23"/>
          <w:szCs w:val="23"/>
          <w:lang w:val="es-ES"/>
        </w:rPr>
        <w:t>0</w:t>
      </w:r>
      <w:r w:rsidR="002460E7">
        <w:rPr>
          <w:sz w:val="23"/>
          <w:szCs w:val="23"/>
          <w:lang w:val="es-ES"/>
        </w:rPr>
        <w:t xml:space="preserve"> </w:t>
      </w:r>
      <w:r w:rsidR="00F702EF">
        <w:rPr>
          <w:sz w:val="23"/>
          <w:szCs w:val="23"/>
          <w:lang w:val="es-ES"/>
        </w:rPr>
        <w:t>millones</w:t>
      </w:r>
      <w:r w:rsidR="001E5150" w:rsidRPr="00844A28">
        <w:rPr>
          <w:sz w:val="23"/>
          <w:szCs w:val="23"/>
          <w:lang w:val="es-ES"/>
        </w:rPr>
        <w:t>); (4</w:t>
      </w:r>
      <w:r w:rsidR="001B5C21" w:rsidRPr="00844A28">
        <w:rPr>
          <w:sz w:val="23"/>
          <w:szCs w:val="23"/>
          <w:lang w:val="es-ES"/>
        </w:rPr>
        <w:t xml:space="preserve">) </w:t>
      </w:r>
      <w:r w:rsidR="0005471B" w:rsidRPr="00844A28">
        <w:rPr>
          <w:sz w:val="23"/>
          <w:szCs w:val="23"/>
          <w:lang w:val="es-ES"/>
        </w:rPr>
        <w:t xml:space="preserve">Administración, Monitoreo &amp; Evaluación del Proyecto </w:t>
      </w:r>
      <w:r w:rsidR="00560E04" w:rsidRPr="00844A28">
        <w:rPr>
          <w:sz w:val="23"/>
          <w:szCs w:val="23"/>
          <w:lang w:val="es-ES"/>
        </w:rPr>
        <w:t>(US$3.20</w:t>
      </w:r>
      <w:r w:rsidR="00CA65DA">
        <w:rPr>
          <w:sz w:val="23"/>
          <w:szCs w:val="23"/>
          <w:lang w:val="es-ES"/>
        </w:rPr>
        <w:t xml:space="preserve"> </w:t>
      </w:r>
      <w:r w:rsidR="00F702EF">
        <w:rPr>
          <w:sz w:val="23"/>
          <w:szCs w:val="23"/>
          <w:lang w:val="es-ES"/>
        </w:rPr>
        <w:t>millones</w:t>
      </w:r>
      <w:r w:rsidR="00B15A1B" w:rsidRPr="00844A28">
        <w:rPr>
          <w:sz w:val="23"/>
          <w:szCs w:val="23"/>
          <w:lang w:val="es-ES"/>
        </w:rPr>
        <w:t>)</w:t>
      </w:r>
      <w:r w:rsidR="001E5150" w:rsidRPr="00844A28">
        <w:rPr>
          <w:sz w:val="23"/>
          <w:szCs w:val="23"/>
          <w:lang w:val="es-ES"/>
        </w:rPr>
        <w:t xml:space="preserve">; </w:t>
      </w:r>
      <w:r w:rsidR="00FF357C" w:rsidRPr="00844A28">
        <w:rPr>
          <w:sz w:val="23"/>
          <w:szCs w:val="23"/>
          <w:lang w:val="es-ES"/>
        </w:rPr>
        <w:t>y</w:t>
      </w:r>
      <w:r w:rsidR="001E5150" w:rsidRPr="00844A28">
        <w:rPr>
          <w:sz w:val="23"/>
          <w:szCs w:val="23"/>
          <w:lang w:val="es-ES"/>
        </w:rPr>
        <w:t xml:space="preserve"> (5</w:t>
      </w:r>
      <w:r w:rsidR="00947C21" w:rsidRPr="00844A28">
        <w:rPr>
          <w:sz w:val="23"/>
          <w:szCs w:val="23"/>
          <w:lang w:val="es-ES"/>
        </w:rPr>
        <w:t>)</w:t>
      </w:r>
      <w:r w:rsidR="00CA65DA">
        <w:rPr>
          <w:sz w:val="23"/>
          <w:szCs w:val="23"/>
          <w:lang w:val="es-ES"/>
        </w:rPr>
        <w:t xml:space="preserve"> </w:t>
      </w:r>
      <w:r w:rsidR="0005471B" w:rsidRPr="00844A28">
        <w:rPr>
          <w:sz w:val="23"/>
          <w:szCs w:val="23"/>
          <w:lang w:val="es-ES"/>
        </w:rPr>
        <w:t>Componente Contingente de Respuestas a Emergencias</w:t>
      </w:r>
      <w:r w:rsidR="00143332" w:rsidRPr="00844A28">
        <w:rPr>
          <w:sz w:val="23"/>
          <w:szCs w:val="23"/>
          <w:lang w:val="es-ES"/>
        </w:rPr>
        <w:t xml:space="preserve"> (US$8.00 </w:t>
      </w:r>
      <w:r w:rsidR="00F702EF">
        <w:rPr>
          <w:sz w:val="23"/>
          <w:szCs w:val="23"/>
          <w:lang w:val="es-ES"/>
        </w:rPr>
        <w:t>millones</w:t>
      </w:r>
      <w:r w:rsidR="00143332" w:rsidRPr="00844A28">
        <w:rPr>
          <w:sz w:val="23"/>
          <w:szCs w:val="23"/>
          <w:lang w:val="es-ES"/>
        </w:rPr>
        <w:t>).</w:t>
      </w:r>
    </w:p>
    <w:p w:rsidR="00B15A1B" w:rsidRPr="00F81753" w:rsidRDefault="00B15A1B" w:rsidP="00B15A1B">
      <w:pPr>
        <w:jc w:val="both"/>
        <w:rPr>
          <w:lang w:val="es-ES"/>
        </w:rPr>
      </w:pPr>
    </w:p>
    <w:p w:rsidR="00B15A1B" w:rsidRPr="00A7778B" w:rsidRDefault="00723294" w:rsidP="00B15A1B">
      <w:pPr>
        <w:spacing w:after="120"/>
        <w:rPr>
          <w:lang w:val="es-ES"/>
        </w:rPr>
      </w:pPr>
      <w:r>
        <w:rPr>
          <w:b/>
          <w:lang w:val="es-ES"/>
        </w:rPr>
        <w:t>Componente 1: Consolidación del Marco Institucional y de Políticas (US$ 7.30 millones )</w:t>
      </w:r>
    </w:p>
    <w:p w:rsidR="00A31BD7" w:rsidRPr="00844A28" w:rsidRDefault="00D40572" w:rsidP="00FF33C1">
      <w:pPr>
        <w:numPr>
          <w:ilvl w:val="0"/>
          <w:numId w:val="21"/>
        </w:numPr>
        <w:tabs>
          <w:tab w:val="clear" w:pos="360"/>
          <w:tab w:val="num" w:pos="0"/>
        </w:tabs>
        <w:jc w:val="both"/>
        <w:rPr>
          <w:sz w:val="23"/>
          <w:szCs w:val="23"/>
          <w:lang w:val="es-ES"/>
        </w:rPr>
      </w:pPr>
      <w:r w:rsidRPr="00844A28">
        <w:rPr>
          <w:sz w:val="23"/>
          <w:szCs w:val="23"/>
          <w:lang w:val="es-ES"/>
        </w:rPr>
        <w:t>El obje</w:t>
      </w:r>
      <w:r w:rsidR="00B15A1B" w:rsidRPr="00844A28">
        <w:rPr>
          <w:sz w:val="23"/>
          <w:szCs w:val="23"/>
          <w:lang w:val="es-ES"/>
        </w:rPr>
        <w:t>tiv</w:t>
      </w:r>
      <w:r w:rsidR="00A7778B" w:rsidRPr="00844A28">
        <w:rPr>
          <w:sz w:val="23"/>
          <w:szCs w:val="23"/>
          <w:lang w:val="es-ES"/>
        </w:rPr>
        <w:t xml:space="preserve">o del presente componente es consolidar el sistema de ordenamiento territorial mediante el fortalecimiento de las principales instituciones </w:t>
      </w:r>
      <w:r w:rsidR="002F7DBD" w:rsidRPr="00844A28">
        <w:rPr>
          <w:sz w:val="23"/>
          <w:szCs w:val="23"/>
          <w:lang w:val="es-ES"/>
        </w:rPr>
        <w:t>y</w:t>
      </w:r>
      <w:r w:rsidR="00CA65DA">
        <w:rPr>
          <w:sz w:val="23"/>
          <w:szCs w:val="23"/>
          <w:lang w:val="es-ES"/>
        </w:rPr>
        <w:t xml:space="preserve"> </w:t>
      </w:r>
      <w:r w:rsidR="00FF52DD" w:rsidRPr="00844A28">
        <w:rPr>
          <w:sz w:val="23"/>
          <w:szCs w:val="23"/>
          <w:lang w:val="es-ES"/>
        </w:rPr>
        <w:t>municipios participantes</w:t>
      </w:r>
      <w:r w:rsidR="003E0AEC" w:rsidRPr="00844A28">
        <w:rPr>
          <w:sz w:val="23"/>
          <w:szCs w:val="23"/>
          <w:lang w:val="es-ES"/>
        </w:rPr>
        <w:t>,</w:t>
      </w:r>
      <w:r w:rsidR="000073BA" w:rsidRPr="00844A28">
        <w:rPr>
          <w:sz w:val="23"/>
          <w:szCs w:val="23"/>
          <w:lang w:val="es-ES"/>
        </w:rPr>
        <w:t xml:space="preserve"> promo</w:t>
      </w:r>
      <w:r w:rsidR="002F7DBD" w:rsidRPr="00844A28">
        <w:rPr>
          <w:sz w:val="23"/>
          <w:szCs w:val="23"/>
          <w:lang w:val="es-ES"/>
        </w:rPr>
        <w:t xml:space="preserve">ción de la coordinación </w:t>
      </w:r>
      <w:r w:rsidR="00B15A1B" w:rsidRPr="00844A28">
        <w:rPr>
          <w:sz w:val="23"/>
          <w:szCs w:val="23"/>
          <w:lang w:val="es-ES"/>
        </w:rPr>
        <w:t>in</w:t>
      </w:r>
      <w:r w:rsidR="00F76C9E" w:rsidRPr="00844A28">
        <w:rPr>
          <w:sz w:val="23"/>
          <w:szCs w:val="23"/>
          <w:lang w:val="es-ES"/>
        </w:rPr>
        <w:t>ter</w:t>
      </w:r>
      <w:r w:rsidR="000073BA" w:rsidRPr="00844A28">
        <w:rPr>
          <w:sz w:val="23"/>
          <w:szCs w:val="23"/>
          <w:lang w:val="es-ES"/>
        </w:rPr>
        <w:t>institu</w:t>
      </w:r>
      <w:r w:rsidR="00F76C9E" w:rsidRPr="00844A28">
        <w:rPr>
          <w:sz w:val="23"/>
          <w:szCs w:val="23"/>
          <w:lang w:val="es-ES"/>
        </w:rPr>
        <w:t>c</w:t>
      </w:r>
      <w:r w:rsidR="000073BA" w:rsidRPr="00844A28">
        <w:rPr>
          <w:sz w:val="23"/>
          <w:szCs w:val="23"/>
          <w:lang w:val="es-ES"/>
        </w:rPr>
        <w:t xml:space="preserve">ional </w:t>
      </w:r>
      <w:r w:rsidR="00F76C9E" w:rsidRPr="00844A28">
        <w:rPr>
          <w:sz w:val="23"/>
          <w:szCs w:val="23"/>
          <w:lang w:val="es-ES"/>
        </w:rPr>
        <w:t xml:space="preserve">y </w:t>
      </w:r>
      <w:r w:rsidR="00CA65DA">
        <w:rPr>
          <w:sz w:val="23"/>
          <w:szCs w:val="23"/>
          <w:lang w:val="es-ES"/>
        </w:rPr>
        <w:t xml:space="preserve">fomentar </w:t>
      </w:r>
      <w:r w:rsidR="00F76C9E" w:rsidRPr="00844A28">
        <w:rPr>
          <w:sz w:val="23"/>
          <w:szCs w:val="23"/>
          <w:lang w:val="es-ES"/>
        </w:rPr>
        <w:t xml:space="preserve">la descentralización de los servicios. </w:t>
      </w:r>
      <w:r w:rsidR="0034467E" w:rsidRPr="00844A28">
        <w:rPr>
          <w:sz w:val="23"/>
          <w:szCs w:val="23"/>
          <w:lang w:val="es-NI"/>
        </w:rPr>
        <w:t>A</w:t>
      </w:r>
      <w:r w:rsidR="00F76C9E" w:rsidRPr="00844A28">
        <w:rPr>
          <w:sz w:val="23"/>
          <w:szCs w:val="23"/>
          <w:lang w:val="es-NI"/>
        </w:rPr>
        <w:t>lianza</w:t>
      </w:r>
      <w:r w:rsidR="0034467E" w:rsidRPr="00844A28">
        <w:rPr>
          <w:sz w:val="23"/>
          <w:szCs w:val="23"/>
          <w:lang w:val="es-NI"/>
        </w:rPr>
        <w:t>s</w:t>
      </w:r>
      <w:r w:rsidR="00F76C9E" w:rsidRPr="00844A28">
        <w:rPr>
          <w:sz w:val="23"/>
          <w:szCs w:val="23"/>
          <w:lang w:val="es-NI"/>
        </w:rPr>
        <w:t xml:space="preserve"> más robusta</w:t>
      </w:r>
      <w:r w:rsidR="0034467E" w:rsidRPr="00844A28">
        <w:rPr>
          <w:sz w:val="23"/>
          <w:szCs w:val="23"/>
          <w:lang w:val="es-NI"/>
        </w:rPr>
        <w:t>s</w:t>
      </w:r>
      <w:r w:rsidR="00F76C9E" w:rsidRPr="00844A28">
        <w:rPr>
          <w:sz w:val="23"/>
          <w:szCs w:val="23"/>
          <w:lang w:val="es-NI"/>
        </w:rPr>
        <w:t xml:space="preserve"> entre los</w:t>
      </w:r>
      <w:r w:rsidR="00CA65DA">
        <w:rPr>
          <w:sz w:val="23"/>
          <w:szCs w:val="23"/>
          <w:lang w:val="es-NI"/>
        </w:rPr>
        <w:t xml:space="preserve"> </w:t>
      </w:r>
      <w:r w:rsidR="00FF52DD" w:rsidRPr="00844A28">
        <w:rPr>
          <w:sz w:val="23"/>
          <w:szCs w:val="23"/>
          <w:lang w:val="es-NI"/>
        </w:rPr>
        <w:t>municipios</w:t>
      </w:r>
      <w:r w:rsidR="00CA65DA">
        <w:rPr>
          <w:sz w:val="23"/>
          <w:szCs w:val="23"/>
          <w:lang w:val="es-NI"/>
        </w:rPr>
        <w:t xml:space="preserve"> </w:t>
      </w:r>
      <w:r w:rsidR="00F76C9E" w:rsidRPr="00844A28">
        <w:rPr>
          <w:sz w:val="23"/>
          <w:szCs w:val="23"/>
          <w:lang w:val="es-NI"/>
        </w:rPr>
        <w:t>e</w:t>
      </w:r>
      <w:r w:rsidR="00CA65DA">
        <w:rPr>
          <w:sz w:val="23"/>
          <w:szCs w:val="23"/>
          <w:lang w:val="es-NI"/>
        </w:rPr>
        <w:t xml:space="preserve"> </w:t>
      </w:r>
      <w:r w:rsidR="00C44AAA" w:rsidRPr="00844A28">
        <w:rPr>
          <w:sz w:val="23"/>
          <w:szCs w:val="23"/>
          <w:lang w:val="es-NI"/>
        </w:rPr>
        <w:t xml:space="preserve">INETER, </w:t>
      </w:r>
      <w:r w:rsidR="00F76C9E" w:rsidRPr="00844A28">
        <w:rPr>
          <w:sz w:val="23"/>
          <w:szCs w:val="23"/>
          <w:lang w:val="es-NI"/>
        </w:rPr>
        <w:t>la principal entidad nacional encargada del catastro y una colaboración más estrecha entre las instituciones encargadas del ordenamiento territorial</w:t>
      </w:r>
      <w:r w:rsidR="0034467E" w:rsidRPr="00844A28">
        <w:rPr>
          <w:sz w:val="23"/>
          <w:szCs w:val="23"/>
          <w:lang w:val="es-NI"/>
        </w:rPr>
        <w:t xml:space="preserve"> permitirán mejorar los servicios prestados.  Los principales elementos de este esfuerzo se refieren a vincular los catastros municipales con la base de datos de </w:t>
      </w:r>
      <w:r w:rsidR="00291E4B" w:rsidRPr="00844A28">
        <w:rPr>
          <w:sz w:val="23"/>
          <w:szCs w:val="23"/>
          <w:lang w:val="es-ES"/>
        </w:rPr>
        <w:t>INETER</w:t>
      </w:r>
      <w:r w:rsidR="00D35DEB" w:rsidRPr="00844A28">
        <w:rPr>
          <w:sz w:val="23"/>
          <w:szCs w:val="23"/>
          <w:lang w:val="es-ES"/>
        </w:rPr>
        <w:t xml:space="preserve"> y a fortalecer la capacidad local para que los </w:t>
      </w:r>
      <w:r w:rsidR="00FF52DD" w:rsidRPr="00844A28">
        <w:rPr>
          <w:sz w:val="23"/>
          <w:szCs w:val="23"/>
          <w:lang w:val="es-ES"/>
        </w:rPr>
        <w:t>municipios</w:t>
      </w:r>
      <w:r w:rsidR="00D35DEB" w:rsidRPr="00844A28">
        <w:rPr>
          <w:sz w:val="23"/>
          <w:szCs w:val="23"/>
          <w:lang w:val="es-ES"/>
        </w:rPr>
        <w:t xml:space="preserve"> llenen los requisitos exigidos por</w:t>
      </w:r>
      <w:r w:rsidR="00CA65DA">
        <w:rPr>
          <w:sz w:val="23"/>
          <w:szCs w:val="23"/>
          <w:lang w:val="es-ES"/>
        </w:rPr>
        <w:t xml:space="preserve"> </w:t>
      </w:r>
      <w:r w:rsidR="00291E4B" w:rsidRPr="00844A28">
        <w:rPr>
          <w:sz w:val="23"/>
          <w:szCs w:val="23"/>
          <w:lang w:val="es-ES"/>
        </w:rPr>
        <w:t>INETER</w:t>
      </w:r>
      <w:r w:rsidR="00D35DEB" w:rsidRPr="00844A28">
        <w:rPr>
          <w:sz w:val="23"/>
          <w:szCs w:val="23"/>
          <w:lang w:val="es-ES"/>
        </w:rPr>
        <w:t xml:space="preserve">. Como reflejo de su </w:t>
      </w:r>
      <w:r w:rsidR="00497FD1" w:rsidRPr="00844A28">
        <w:rPr>
          <w:sz w:val="23"/>
          <w:szCs w:val="23"/>
          <w:lang w:val="es-ES"/>
        </w:rPr>
        <w:t>mandat</w:t>
      </w:r>
      <w:r w:rsidR="00D35DEB" w:rsidRPr="00844A28">
        <w:rPr>
          <w:sz w:val="23"/>
          <w:szCs w:val="23"/>
          <w:lang w:val="es-ES"/>
        </w:rPr>
        <w:t>o</w:t>
      </w:r>
      <w:r w:rsidR="00497FD1" w:rsidRPr="00844A28">
        <w:rPr>
          <w:sz w:val="23"/>
          <w:szCs w:val="23"/>
          <w:lang w:val="es-ES"/>
        </w:rPr>
        <w:t>, INIFOM</w:t>
      </w:r>
      <w:r w:rsidR="00D35DEB" w:rsidRPr="00844A28">
        <w:rPr>
          <w:sz w:val="23"/>
          <w:szCs w:val="23"/>
          <w:lang w:val="es-ES"/>
        </w:rPr>
        <w:t xml:space="preserve"> jugará un papel preponderante en el fortalecimiento de las capacidades municipales. </w:t>
      </w:r>
      <w:r w:rsidR="00957A5E" w:rsidRPr="00844A28">
        <w:rPr>
          <w:sz w:val="23"/>
          <w:szCs w:val="23"/>
          <w:lang w:val="es-ES"/>
        </w:rPr>
        <w:t>Las capacitaciones son el elemento central de este Componente y según el requerimiento del Manual Operativo, los planes anuales de capacitaciones deberán remitirse al Banco Mundial para obtener la no objeción. En términos más específicos, el Componente 1 comprende los siguientes sub-componentes y</w:t>
      </w:r>
      <w:r w:rsidR="00CA65DA">
        <w:rPr>
          <w:sz w:val="23"/>
          <w:szCs w:val="23"/>
          <w:lang w:val="es-ES"/>
        </w:rPr>
        <w:t xml:space="preserve"> </w:t>
      </w:r>
      <w:r w:rsidR="00FF52DD" w:rsidRPr="00844A28">
        <w:rPr>
          <w:sz w:val="23"/>
          <w:szCs w:val="23"/>
          <w:lang w:val="es-ES"/>
        </w:rPr>
        <w:t>actividades</w:t>
      </w:r>
      <w:r w:rsidR="00B15A1B" w:rsidRPr="00844A28">
        <w:rPr>
          <w:sz w:val="23"/>
          <w:szCs w:val="23"/>
          <w:lang w:val="es-ES"/>
        </w:rPr>
        <w:t>:</w:t>
      </w:r>
    </w:p>
    <w:p w:rsidR="00A31BD7" w:rsidRPr="00844A28" w:rsidRDefault="00A31BD7" w:rsidP="00A31BD7">
      <w:pPr>
        <w:jc w:val="both"/>
        <w:rPr>
          <w:sz w:val="23"/>
          <w:szCs w:val="23"/>
          <w:lang w:val="es-ES"/>
        </w:rPr>
      </w:pPr>
    </w:p>
    <w:p w:rsidR="00A31BD7" w:rsidRPr="00844A28" w:rsidRDefault="00C46691" w:rsidP="00FF33C1">
      <w:pPr>
        <w:numPr>
          <w:ilvl w:val="0"/>
          <w:numId w:val="21"/>
        </w:numPr>
        <w:tabs>
          <w:tab w:val="clear" w:pos="360"/>
          <w:tab w:val="num" w:pos="0"/>
        </w:tabs>
        <w:jc w:val="both"/>
        <w:rPr>
          <w:sz w:val="23"/>
          <w:szCs w:val="23"/>
          <w:lang w:val="es-ES"/>
        </w:rPr>
      </w:pPr>
      <w:r w:rsidRPr="00F702EF">
        <w:rPr>
          <w:i/>
          <w:sz w:val="23"/>
          <w:szCs w:val="23"/>
          <w:lang w:val="es-ES"/>
        </w:rPr>
        <w:t>Subcomponente 1.1: Fortalecimiento</w:t>
      </w:r>
      <w:r w:rsidR="00E2335E" w:rsidRPr="00844A28">
        <w:rPr>
          <w:i/>
          <w:sz w:val="23"/>
          <w:szCs w:val="23"/>
          <w:lang w:val="es-ES"/>
        </w:rPr>
        <w:t xml:space="preserve"> de los servicios catastrales y de la capacidad de ordenamiento territorial </w:t>
      </w:r>
      <w:r w:rsidR="00E2335E" w:rsidRPr="00844A28">
        <w:rPr>
          <w:sz w:val="23"/>
          <w:szCs w:val="23"/>
          <w:lang w:val="es-ES"/>
        </w:rPr>
        <w:t>mediante (a) El apoyo al INETER</w:t>
      </w:r>
      <w:r w:rsidR="00020DA8">
        <w:rPr>
          <w:sz w:val="23"/>
          <w:szCs w:val="23"/>
          <w:lang w:val="es-ES"/>
        </w:rPr>
        <w:t xml:space="preserve">, </w:t>
      </w:r>
      <w:r w:rsidR="00E2335E" w:rsidRPr="00844A28">
        <w:rPr>
          <w:sz w:val="23"/>
          <w:szCs w:val="23"/>
          <w:lang w:val="es-ES"/>
        </w:rPr>
        <w:t xml:space="preserve">traducido en: (i) La preparación de las regulaciones catastrales técnicas y administrativas; (ii) La realización de capacitaciones sobre la estandarización de las políticas y procedimientos catastrales; (iii) El fortalecimiento de la capacidad de oferta de servicios catastrales; (iv) El mantenimiento, </w:t>
      </w:r>
      <w:r w:rsidR="00CB4BE9" w:rsidRPr="00844A28">
        <w:rPr>
          <w:sz w:val="23"/>
          <w:szCs w:val="23"/>
          <w:lang w:val="es-ES"/>
        </w:rPr>
        <w:t>renovación (e inclusive compra de equipos)</w:t>
      </w:r>
      <w:r w:rsidR="00E2335E" w:rsidRPr="00844A28">
        <w:rPr>
          <w:sz w:val="23"/>
          <w:szCs w:val="23"/>
          <w:lang w:val="es-ES"/>
        </w:rPr>
        <w:t xml:space="preserve"> de ciertas oficinas de INETER seleccionadas de conformidad con los criterios establecidos en el Manual Operativo; (b) El Apoyo al IP a través de: (i) La actualización del SIIPRO y el despliegue del SILEC en las oficinas regional del IP; (ii) El fortalecimiento del IP para brindar los servicios de titulación y servicios legales; (iii) El Mantenimiento, acondicionamiento y equip</w:t>
      </w:r>
      <w:r w:rsidR="00566976" w:rsidRPr="00844A28">
        <w:rPr>
          <w:sz w:val="23"/>
          <w:szCs w:val="23"/>
          <w:lang w:val="es-ES"/>
        </w:rPr>
        <w:t>amiento de ciertas oficinas de INETER</w:t>
      </w:r>
      <w:r w:rsidR="00EC77BD">
        <w:rPr>
          <w:sz w:val="23"/>
          <w:szCs w:val="23"/>
          <w:lang w:val="es-ES"/>
        </w:rPr>
        <w:t xml:space="preserve"> </w:t>
      </w:r>
      <w:r w:rsidR="00E2335E" w:rsidRPr="00844A28">
        <w:rPr>
          <w:sz w:val="23"/>
          <w:szCs w:val="23"/>
          <w:lang w:val="es-ES"/>
        </w:rPr>
        <w:t>seleccionadas conform</w:t>
      </w:r>
      <w:r w:rsidR="00EC77BD">
        <w:rPr>
          <w:sz w:val="23"/>
          <w:szCs w:val="23"/>
          <w:lang w:val="es-ES"/>
        </w:rPr>
        <w:t xml:space="preserve">e a </w:t>
      </w:r>
      <w:r w:rsidR="00E2335E" w:rsidRPr="00844A28">
        <w:rPr>
          <w:sz w:val="23"/>
          <w:szCs w:val="23"/>
          <w:lang w:val="es-ES"/>
        </w:rPr>
        <w:t xml:space="preserve"> criterios establecidos en el Manual Operativo</w:t>
      </w:r>
      <w:r w:rsidR="00566976" w:rsidRPr="00844A28">
        <w:rPr>
          <w:sz w:val="23"/>
          <w:szCs w:val="23"/>
          <w:lang w:val="es-ES"/>
        </w:rPr>
        <w:t xml:space="preserve">; (b) Apoyo al IP a través de (i) Actualización del SIIPRO e instalación del SILEC en las oficinas regionales del IP; (ii) Fortalecimiento de la capacidad del IP para ofrecer los </w:t>
      </w:r>
      <w:r w:rsidR="00566976" w:rsidRPr="00844A28">
        <w:rPr>
          <w:sz w:val="23"/>
          <w:szCs w:val="23"/>
          <w:lang w:val="es-NI"/>
        </w:rPr>
        <w:t xml:space="preserve">servicios legales, de </w:t>
      </w:r>
      <w:r w:rsidR="00FF52DD" w:rsidRPr="00844A28">
        <w:rPr>
          <w:sz w:val="23"/>
          <w:szCs w:val="23"/>
          <w:lang w:val="es-NI"/>
        </w:rPr>
        <w:lastRenderedPageBreak/>
        <w:t>titulación</w:t>
      </w:r>
      <w:r w:rsidR="00566976" w:rsidRPr="00844A28">
        <w:rPr>
          <w:sz w:val="23"/>
          <w:szCs w:val="23"/>
          <w:lang w:val="es-NI"/>
        </w:rPr>
        <w:t xml:space="preserve"> y</w:t>
      </w:r>
      <w:r w:rsidR="00EC77BD">
        <w:rPr>
          <w:sz w:val="23"/>
          <w:szCs w:val="23"/>
          <w:lang w:val="es-NI"/>
        </w:rPr>
        <w:t xml:space="preserve"> </w:t>
      </w:r>
      <w:r w:rsidR="00FF52DD" w:rsidRPr="00844A28">
        <w:rPr>
          <w:sz w:val="23"/>
          <w:szCs w:val="23"/>
          <w:lang w:val="es-NI"/>
        </w:rPr>
        <w:t>regularización</w:t>
      </w:r>
      <w:r w:rsidR="00566976" w:rsidRPr="00844A28">
        <w:rPr>
          <w:sz w:val="23"/>
          <w:szCs w:val="23"/>
          <w:lang w:val="es-NI"/>
        </w:rPr>
        <w:t>;</w:t>
      </w:r>
      <w:r w:rsidR="00EC6043" w:rsidRPr="00844A28">
        <w:rPr>
          <w:sz w:val="23"/>
          <w:szCs w:val="23"/>
          <w:lang w:val="es-ES"/>
        </w:rPr>
        <w:t xml:space="preserve"> (iii) </w:t>
      </w:r>
      <w:r w:rsidR="00566976" w:rsidRPr="00844A28">
        <w:rPr>
          <w:sz w:val="23"/>
          <w:szCs w:val="23"/>
          <w:lang w:val="es-ES"/>
        </w:rPr>
        <w:t>Mantenimiento y renovación (inclusive la adquisición de equipos)</w:t>
      </w:r>
      <w:r w:rsidR="00CB4BE9" w:rsidRPr="00844A28">
        <w:rPr>
          <w:sz w:val="23"/>
          <w:szCs w:val="23"/>
          <w:lang w:val="es-ES"/>
        </w:rPr>
        <w:t xml:space="preserve"> de ciertas oficinas del IP seleccionadas conform</w:t>
      </w:r>
      <w:r w:rsidR="00EC77BD">
        <w:rPr>
          <w:sz w:val="23"/>
          <w:szCs w:val="23"/>
          <w:lang w:val="es-ES"/>
        </w:rPr>
        <w:t xml:space="preserve">e a </w:t>
      </w:r>
      <w:r w:rsidR="00CB4BE9" w:rsidRPr="00844A28">
        <w:rPr>
          <w:sz w:val="23"/>
          <w:szCs w:val="23"/>
          <w:lang w:val="es-ES"/>
        </w:rPr>
        <w:t xml:space="preserve"> criterios establecidos en el Manual Operativo</w:t>
      </w:r>
      <w:r w:rsidR="00EC6043" w:rsidRPr="00844A28">
        <w:rPr>
          <w:sz w:val="23"/>
          <w:szCs w:val="23"/>
          <w:lang w:val="es-ES"/>
        </w:rPr>
        <w:t xml:space="preserve">. </w:t>
      </w:r>
    </w:p>
    <w:p w:rsidR="00A31BD7" w:rsidRPr="00844A28" w:rsidRDefault="00A31BD7" w:rsidP="00A31BD7">
      <w:pPr>
        <w:pStyle w:val="ListParagraph"/>
        <w:rPr>
          <w:i/>
          <w:sz w:val="23"/>
          <w:szCs w:val="23"/>
          <w:lang w:val="es-ES"/>
        </w:rPr>
      </w:pPr>
    </w:p>
    <w:p w:rsidR="00042CF7" w:rsidRPr="00844A28" w:rsidRDefault="00CB4BE9" w:rsidP="00FF33C1">
      <w:pPr>
        <w:numPr>
          <w:ilvl w:val="0"/>
          <w:numId w:val="21"/>
        </w:numPr>
        <w:tabs>
          <w:tab w:val="clear" w:pos="360"/>
          <w:tab w:val="num" w:pos="0"/>
        </w:tabs>
        <w:jc w:val="both"/>
        <w:rPr>
          <w:sz w:val="23"/>
          <w:szCs w:val="23"/>
          <w:lang w:val="es-ES"/>
        </w:rPr>
      </w:pPr>
      <w:r w:rsidRPr="00844A28">
        <w:rPr>
          <w:i/>
          <w:sz w:val="23"/>
          <w:szCs w:val="23"/>
          <w:lang w:val="es-ES"/>
        </w:rPr>
        <w:t xml:space="preserve">Subcomponente 1.2: Fortalecimiento de los servicios municipales de administración de tierras </w:t>
      </w:r>
      <w:r w:rsidRPr="00844A28">
        <w:rPr>
          <w:sz w:val="23"/>
          <w:szCs w:val="23"/>
          <w:lang w:val="es-ES"/>
        </w:rPr>
        <w:t>mediante el apoyo al INIFOM traducido en: (a) La preparación de las guías y regulaciones técnicas del manejo catastral municipal; (b)  La consolidación de la capacidad de los municipios participantes en (i) El manejo del SISCAT para el cobro de los impuestos de la propiedad y ordenamiento territorial; (ii) El mantenimiento de los catastros municipales</w:t>
      </w:r>
      <w:r w:rsidR="006D6B76" w:rsidRPr="00844A28">
        <w:rPr>
          <w:sz w:val="23"/>
          <w:szCs w:val="23"/>
          <w:lang w:val="es-ES"/>
        </w:rPr>
        <w:t xml:space="preserve"> sostenibles</w:t>
      </w:r>
      <w:r w:rsidRPr="00844A28">
        <w:rPr>
          <w:sz w:val="23"/>
          <w:szCs w:val="23"/>
          <w:lang w:val="es-ES"/>
        </w:rPr>
        <w:t>; (iii) La coordinación de los servicios catastrales con INETER; (c) El enlace entre el SISCAT y el catastro nacional del INETER.</w:t>
      </w:r>
      <w:r w:rsidR="006D6B76" w:rsidRPr="00844A28">
        <w:rPr>
          <w:sz w:val="23"/>
          <w:szCs w:val="23"/>
          <w:lang w:val="es-ES"/>
        </w:rPr>
        <w:t xml:space="preserve"> Estas actividades reflejan un enfoque importante del Proyecto para garantizar que los municipios puedan jugar un papel</w:t>
      </w:r>
      <w:r w:rsidR="00042CF7" w:rsidRPr="00844A28">
        <w:rPr>
          <w:sz w:val="23"/>
          <w:szCs w:val="23"/>
          <w:lang w:val="es-ES"/>
        </w:rPr>
        <w:t xml:space="preserve"> activo en los procesos de modernización catastral y de regularización y se tornen en elementos beligerantes del mantenimiento del catastro nacional.</w:t>
      </w:r>
    </w:p>
    <w:p w:rsidR="00042CF7" w:rsidRPr="00844A28" w:rsidRDefault="00042CF7" w:rsidP="00042CF7">
      <w:pPr>
        <w:pStyle w:val="ListParagraph"/>
        <w:rPr>
          <w:i/>
          <w:sz w:val="23"/>
          <w:szCs w:val="23"/>
          <w:lang w:val="es-ES"/>
        </w:rPr>
      </w:pPr>
    </w:p>
    <w:p w:rsidR="00CB4BE9" w:rsidRPr="00844A28" w:rsidRDefault="00042CF7" w:rsidP="00FF33C1">
      <w:pPr>
        <w:numPr>
          <w:ilvl w:val="0"/>
          <w:numId w:val="21"/>
        </w:numPr>
        <w:tabs>
          <w:tab w:val="clear" w:pos="360"/>
          <w:tab w:val="num" w:pos="0"/>
        </w:tabs>
        <w:jc w:val="both"/>
        <w:rPr>
          <w:sz w:val="23"/>
          <w:szCs w:val="23"/>
          <w:lang w:val="es-ES"/>
        </w:rPr>
      </w:pPr>
      <w:r w:rsidRPr="00844A28">
        <w:rPr>
          <w:i/>
          <w:sz w:val="23"/>
          <w:szCs w:val="23"/>
          <w:lang w:val="es-ES"/>
        </w:rPr>
        <w:t xml:space="preserve">Subcomponente 1.3:Reforzamiento de la capacidad de recopilación y evaluación de datos </w:t>
      </w:r>
      <w:r w:rsidRPr="00844A28">
        <w:rPr>
          <w:sz w:val="23"/>
          <w:szCs w:val="23"/>
          <w:lang w:val="es-ES"/>
        </w:rPr>
        <w:t xml:space="preserve">mediante el apoyo a INIDE, traducido en: (i) </w:t>
      </w:r>
      <w:r w:rsidR="00DB2F74" w:rsidRPr="00844A28">
        <w:rPr>
          <w:sz w:val="23"/>
          <w:szCs w:val="23"/>
          <w:lang w:val="es-ES"/>
        </w:rPr>
        <w:t>El diseño y</w:t>
      </w:r>
      <w:r w:rsidRPr="00844A28">
        <w:rPr>
          <w:sz w:val="23"/>
          <w:szCs w:val="23"/>
          <w:lang w:val="es-ES"/>
        </w:rPr>
        <w:t xml:space="preserve"> ejecución de una encuesta de medición de los niveles de pobreza y de un módulo para capturar información sobre la tenencia de la tierra</w:t>
      </w:r>
      <w:r w:rsidR="00C46691" w:rsidRPr="00020DA8">
        <w:rPr>
          <w:sz w:val="23"/>
          <w:szCs w:val="23"/>
          <w:lang w:val="es-ES"/>
        </w:rPr>
        <w:t>;</w:t>
      </w:r>
      <w:r w:rsidRPr="00844A28">
        <w:rPr>
          <w:sz w:val="23"/>
          <w:szCs w:val="23"/>
          <w:lang w:val="es-ES"/>
        </w:rPr>
        <w:t xml:space="preserve"> (ii) El fortalecimiento de la capacidad de análisis de datos y de encuestas, a través de la dotación de capacitaciones,  software, vehículos, equipamiento y reacondicionamiento de las instalaciones de capacitación.</w:t>
      </w:r>
    </w:p>
    <w:p w:rsidR="00004FBC" w:rsidRPr="00844A28" w:rsidRDefault="00004FBC" w:rsidP="00726C40">
      <w:pPr>
        <w:rPr>
          <w:sz w:val="23"/>
          <w:szCs w:val="23"/>
          <w:lang w:val="es-ES"/>
        </w:rPr>
      </w:pPr>
    </w:p>
    <w:p w:rsidR="001A63F4" w:rsidRPr="00844A28" w:rsidRDefault="00C21254" w:rsidP="00844A28">
      <w:pPr>
        <w:numPr>
          <w:ilvl w:val="0"/>
          <w:numId w:val="21"/>
        </w:numPr>
        <w:tabs>
          <w:tab w:val="clear" w:pos="360"/>
          <w:tab w:val="num" w:pos="0"/>
        </w:tabs>
        <w:jc w:val="both"/>
        <w:rPr>
          <w:sz w:val="23"/>
          <w:szCs w:val="23"/>
          <w:lang w:val="es-ES"/>
        </w:rPr>
      </w:pPr>
      <w:r w:rsidRPr="00844A28">
        <w:rPr>
          <w:sz w:val="23"/>
          <w:szCs w:val="23"/>
          <w:lang w:val="es-ES"/>
        </w:rPr>
        <w:t xml:space="preserve">El Banco Mundial </w:t>
      </w:r>
      <w:r w:rsidR="006E3EC5" w:rsidRPr="00844A28">
        <w:rPr>
          <w:sz w:val="23"/>
          <w:szCs w:val="23"/>
          <w:lang w:val="es-ES"/>
        </w:rPr>
        <w:t>ha brindado asistencia técnica a INIDE que le h</w:t>
      </w:r>
      <w:r w:rsidR="00E93E43" w:rsidRPr="00844A28">
        <w:rPr>
          <w:sz w:val="23"/>
          <w:szCs w:val="23"/>
          <w:lang w:val="es-ES"/>
        </w:rPr>
        <w:t>a</w:t>
      </w:r>
      <w:r w:rsidR="006E3EC5" w:rsidRPr="00844A28">
        <w:rPr>
          <w:sz w:val="23"/>
          <w:szCs w:val="23"/>
          <w:lang w:val="es-ES"/>
        </w:rPr>
        <w:t xml:space="preserve"> permitido realizar una serie de encuestas</w:t>
      </w:r>
      <w:r w:rsidR="00E93E43" w:rsidRPr="00844A28">
        <w:rPr>
          <w:sz w:val="23"/>
          <w:szCs w:val="23"/>
          <w:lang w:val="es-ES"/>
        </w:rPr>
        <w:t xml:space="preserve"> a partir de 1993, ejecutando la última en el 2009. Con el tiempo, las encuestas han ayudado a promover la formulación de políticas </w:t>
      </w:r>
      <w:r w:rsidR="008840A8" w:rsidRPr="00844A28">
        <w:rPr>
          <w:sz w:val="23"/>
          <w:szCs w:val="23"/>
          <w:lang w:val="es-ES"/>
        </w:rPr>
        <w:t xml:space="preserve">con base en evidencias </w:t>
      </w:r>
      <w:r w:rsidR="00E93E43" w:rsidRPr="00844A28">
        <w:rPr>
          <w:sz w:val="23"/>
          <w:szCs w:val="23"/>
          <w:lang w:val="es-ES"/>
        </w:rPr>
        <w:t xml:space="preserve">y evaluación de impactos </w:t>
      </w:r>
      <w:r w:rsidR="008840A8">
        <w:rPr>
          <w:sz w:val="23"/>
          <w:szCs w:val="23"/>
          <w:lang w:val="es-ES"/>
        </w:rPr>
        <w:t>en el país.</w:t>
      </w:r>
      <w:r w:rsidR="00E93E43" w:rsidRPr="00844A28">
        <w:rPr>
          <w:sz w:val="23"/>
          <w:szCs w:val="23"/>
          <w:lang w:val="es-ES"/>
        </w:rPr>
        <w:t>. La muestra representativa de la encuest</w:t>
      </w:r>
      <w:r w:rsidR="00053A09" w:rsidRPr="00844A28">
        <w:rPr>
          <w:sz w:val="23"/>
          <w:szCs w:val="23"/>
          <w:lang w:val="es-ES"/>
        </w:rPr>
        <w:t>a de medición de la pobreza</w:t>
      </w:r>
      <w:r w:rsidR="005B73F2" w:rsidRPr="00844A28">
        <w:rPr>
          <w:sz w:val="23"/>
          <w:szCs w:val="23"/>
          <w:lang w:val="es-ES"/>
        </w:rPr>
        <w:t xml:space="preserve"> contemplada en el Proyecto posiblemente incluya unos 8,000 hogares rurales y urbanos. Además de cuantificar los niveles de pobreza, la encuesta </w:t>
      </w:r>
      <w:r w:rsidR="004F7BBD" w:rsidRPr="00844A28">
        <w:rPr>
          <w:sz w:val="23"/>
          <w:szCs w:val="23"/>
          <w:lang w:val="es-ES"/>
        </w:rPr>
        <w:t>contiene preguntas sobre las tendencias de la tenencia de la tierra que servirán para apoyar la recopilación y evaluación de los datos del programa de tierras, los cual permitirá crear una línea de base sobre la situación de la tenencia de la tierra y derechos de propiedad  en el país.</w:t>
      </w:r>
      <w:r w:rsidR="004F7BBD" w:rsidRPr="00844A28">
        <w:rPr>
          <w:sz w:val="23"/>
          <w:szCs w:val="23"/>
          <w:lang w:val="es-NI"/>
        </w:rPr>
        <w:t xml:space="preserve"> Como parte de la política abierta de datos, los resultados se darán a conocer a las organizaciones interesadas y al </w:t>
      </w:r>
      <w:r w:rsidR="001A63F4" w:rsidRPr="00844A28">
        <w:rPr>
          <w:sz w:val="23"/>
          <w:szCs w:val="23"/>
          <w:lang w:val="es-NI"/>
        </w:rPr>
        <w:t>público en general.</w:t>
      </w:r>
    </w:p>
    <w:p w:rsidR="001A63F4" w:rsidRPr="00844A28" w:rsidRDefault="001A63F4" w:rsidP="00436834">
      <w:pPr>
        <w:widowControl w:val="0"/>
        <w:adjustRightInd w:val="0"/>
        <w:jc w:val="both"/>
        <w:textAlignment w:val="baseline"/>
        <w:rPr>
          <w:b/>
          <w:sz w:val="23"/>
          <w:szCs w:val="23"/>
          <w:lang w:val="es-NI"/>
        </w:rPr>
      </w:pPr>
    </w:p>
    <w:p w:rsidR="00B15A1B" w:rsidRPr="00C21254" w:rsidRDefault="00237729" w:rsidP="004E616F">
      <w:pPr>
        <w:jc w:val="both"/>
        <w:rPr>
          <w:b/>
          <w:lang w:val="es-ES"/>
        </w:rPr>
      </w:pPr>
      <w:r w:rsidRPr="00C21254">
        <w:rPr>
          <w:b/>
          <w:lang w:val="es-ES"/>
        </w:rPr>
        <w:t>Componente</w:t>
      </w:r>
      <w:r w:rsidR="00B15A1B" w:rsidRPr="00C21254">
        <w:rPr>
          <w:b/>
          <w:lang w:val="es-ES"/>
        </w:rPr>
        <w:t xml:space="preserve"> 2: </w:t>
      </w:r>
      <w:r w:rsidR="001A63F4">
        <w:rPr>
          <w:b/>
          <w:iCs/>
          <w:lang w:val="es-ES"/>
        </w:rPr>
        <w:t>Fortalecimiento del Registro de la Propiedad y de la Resolución Alterna d</w:t>
      </w:r>
      <w:r w:rsidR="00F702EF">
        <w:rPr>
          <w:b/>
          <w:iCs/>
          <w:lang w:val="es-ES"/>
        </w:rPr>
        <w:t>e Conflictos (US$ 3.70 millones</w:t>
      </w:r>
      <w:r w:rsidR="001A63F4">
        <w:rPr>
          <w:b/>
          <w:iCs/>
          <w:lang w:val="es-ES"/>
        </w:rPr>
        <w:t>)</w:t>
      </w:r>
    </w:p>
    <w:p w:rsidR="0040537B" w:rsidRPr="00844A28" w:rsidRDefault="0040537B" w:rsidP="004E616F">
      <w:pPr>
        <w:jc w:val="both"/>
        <w:rPr>
          <w:sz w:val="23"/>
          <w:szCs w:val="23"/>
          <w:lang w:val="es-ES"/>
        </w:rPr>
      </w:pPr>
    </w:p>
    <w:p w:rsidR="0052434A" w:rsidRPr="00844A28" w:rsidRDefault="00EC5F18" w:rsidP="00FF33C1">
      <w:pPr>
        <w:numPr>
          <w:ilvl w:val="0"/>
          <w:numId w:val="21"/>
        </w:numPr>
        <w:tabs>
          <w:tab w:val="clear" w:pos="360"/>
          <w:tab w:val="num" w:pos="0"/>
        </w:tabs>
        <w:jc w:val="both"/>
        <w:rPr>
          <w:sz w:val="23"/>
          <w:szCs w:val="23"/>
          <w:lang w:val="es-ES"/>
        </w:rPr>
      </w:pPr>
      <w:r w:rsidRPr="00844A28">
        <w:rPr>
          <w:sz w:val="23"/>
          <w:szCs w:val="23"/>
          <w:lang w:val="es-ES"/>
        </w:rPr>
        <w:t xml:space="preserve">El </w:t>
      </w:r>
      <w:r w:rsidR="00A7778B" w:rsidRPr="00844A28">
        <w:rPr>
          <w:sz w:val="23"/>
          <w:szCs w:val="23"/>
          <w:lang w:val="es-ES"/>
        </w:rPr>
        <w:t>objetivo</w:t>
      </w:r>
      <w:r w:rsidR="008840A8">
        <w:rPr>
          <w:sz w:val="23"/>
          <w:szCs w:val="23"/>
          <w:lang w:val="es-ES"/>
        </w:rPr>
        <w:t xml:space="preserve"> </w:t>
      </w:r>
      <w:r w:rsidR="005273C6" w:rsidRPr="00844A28">
        <w:rPr>
          <w:sz w:val="23"/>
          <w:szCs w:val="23"/>
          <w:lang w:val="es-ES"/>
        </w:rPr>
        <w:t>de este</w:t>
      </w:r>
      <w:r w:rsidR="008840A8">
        <w:rPr>
          <w:sz w:val="23"/>
          <w:szCs w:val="23"/>
          <w:lang w:val="es-ES"/>
        </w:rPr>
        <w:t xml:space="preserve"> </w:t>
      </w:r>
      <w:r w:rsidR="00237729" w:rsidRPr="00844A28">
        <w:rPr>
          <w:sz w:val="23"/>
          <w:szCs w:val="23"/>
          <w:lang w:val="es-ES"/>
        </w:rPr>
        <w:t>Componente</w:t>
      </w:r>
      <w:r w:rsidR="008840A8">
        <w:rPr>
          <w:sz w:val="23"/>
          <w:szCs w:val="23"/>
          <w:lang w:val="es-ES"/>
        </w:rPr>
        <w:t xml:space="preserve"> </w:t>
      </w:r>
      <w:r w:rsidR="005273C6" w:rsidRPr="00844A28">
        <w:rPr>
          <w:sz w:val="23"/>
          <w:szCs w:val="23"/>
          <w:lang w:val="es-ES"/>
        </w:rPr>
        <w:t>es apoyar a la</w:t>
      </w:r>
      <w:r w:rsidR="00627791" w:rsidRPr="00844A28">
        <w:rPr>
          <w:sz w:val="23"/>
          <w:szCs w:val="23"/>
          <w:lang w:val="es-ES"/>
        </w:rPr>
        <w:t xml:space="preserve"> CSJ</w:t>
      </w:r>
      <w:r w:rsidR="008840A8">
        <w:rPr>
          <w:sz w:val="23"/>
          <w:szCs w:val="23"/>
          <w:lang w:val="es-ES"/>
        </w:rPr>
        <w:t xml:space="preserve"> </w:t>
      </w:r>
      <w:r w:rsidR="00C53E94" w:rsidRPr="00844A28">
        <w:rPr>
          <w:sz w:val="23"/>
          <w:szCs w:val="23"/>
          <w:lang w:val="es-ES"/>
        </w:rPr>
        <w:t>para</w:t>
      </w:r>
      <w:r w:rsidR="005273C6" w:rsidRPr="00844A28">
        <w:rPr>
          <w:sz w:val="23"/>
          <w:szCs w:val="23"/>
          <w:lang w:val="es-ES"/>
        </w:rPr>
        <w:t xml:space="preserve"> fortalecer la capacidad de los</w:t>
      </w:r>
      <w:r w:rsidR="00354891" w:rsidRPr="00844A28">
        <w:rPr>
          <w:sz w:val="23"/>
          <w:szCs w:val="23"/>
          <w:lang w:val="es-ES"/>
        </w:rPr>
        <w:t xml:space="preserve"> registros regionales de la propiedad </w:t>
      </w:r>
      <w:r w:rsidR="00C53E94" w:rsidRPr="00844A28">
        <w:rPr>
          <w:sz w:val="23"/>
          <w:szCs w:val="23"/>
          <w:lang w:val="es-ES"/>
        </w:rPr>
        <w:t>y así</w:t>
      </w:r>
      <w:r w:rsidR="00354891" w:rsidRPr="00844A28">
        <w:rPr>
          <w:sz w:val="23"/>
          <w:szCs w:val="23"/>
          <w:lang w:val="es-ES"/>
        </w:rPr>
        <w:t xml:space="preserve"> llevar a cabo acciones sistemáticas de </w:t>
      </w:r>
      <w:r w:rsidR="00FF52DD" w:rsidRPr="00844A28">
        <w:rPr>
          <w:sz w:val="23"/>
          <w:szCs w:val="23"/>
          <w:lang w:val="es-NI"/>
        </w:rPr>
        <w:t>titulación</w:t>
      </w:r>
      <w:r w:rsidR="008840A8">
        <w:rPr>
          <w:sz w:val="23"/>
          <w:szCs w:val="23"/>
          <w:lang w:val="es-NI"/>
        </w:rPr>
        <w:t xml:space="preserve"> </w:t>
      </w:r>
      <w:r w:rsidR="00FF357C" w:rsidRPr="00844A28">
        <w:rPr>
          <w:sz w:val="23"/>
          <w:szCs w:val="23"/>
          <w:lang w:val="es-NI"/>
        </w:rPr>
        <w:t>y</w:t>
      </w:r>
      <w:r w:rsidR="008840A8">
        <w:rPr>
          <w:sz w:val="23"/>
          <w:szCs w:val="23"/>
          <w:lang w:val="es-NI"/>
        </w:rPr>
        <w:t xml:space="preserve"> </w:t>
      </w:r>
      <w:r w:rsidR="003D2A18" w:rsidRPr="00844A28">
        <w:rPr>
          <w:sz w:val="23"/>
          <w:szCs w:val="23"/>
          <w:lang w:val="es-NI"/>
        </w:rPr>
        <w:t>registro</w:t>
      </w:r>
      <w:r w:rsidR="00354891" w:rsidRPr="00844A28">
        <w:rPr>
          <w:sz w:val="23"/>
          <w:szCs w:val="23"/>
          <w:lang w:val="es-NI"/>
        </w:rPr>
        <w:t xml:space="preserve">, consolidando el </w:t>
      </w:r>
      <w:r w:rsidR="00B15A1B" w:rsidRPr="00844A28">
        <w:rPr>
          <w:sz w:val="23"/>
          <w:szCs w:val="23"/>
          <w:lang w:val="es-NI"/>
        </w:rPr>
        <w:t>SIICAR</w:t>
      </w:r>
      <w:r w:rsidR="008840A8">
        <w:rPr>
          <w:sz w:val="23"/>
          <w:szCs w:val="23"/>
          <w:lang w:val="es-NI"/>
        </w:rPr>
        <w:t xml:space="preserve"> </w:t>
      </w:r>
      <w:r w:rsidR="00031178" w:rsidRPr="00844A28">
        <w:rPr>
          <w:sz w:val="23"/>
          <w:szCs w:val="23"/>
          <w:lang w:val="es-NI"/>
        </w:rPr>
        <w:t>en colaboración con</w:t>
      </w:r>
      <w:r w:rsidR="008840A8">
        <w:rPr>
          <w:sz w:val="23"/>
          <w:szCs w:val="23"/>
          <w:lang w:val="es-NI"/>
        </w:rPr>
        <w:t xml:space="preserve"> </w:t>
      </w:r>
      <w:r w:rsidR="00E11664" w:rsidRPr="00844A28">
        <w:rPr>
          <w:sz w:val="23"/>
          <w:szCs w:val="23"/>
          <w:lang w:val="es-NI"/>
        </w:rPr>
        <w:t>INETER</w:t>
      </w:r>
      <w:r w:rsidR="008840A8">
        <w:rPr>
          <w:sz w:val="23"/>
          <w:szCs w:val="23"/>
          <w:lang w:val="es-NI"/>
        </w:rPr>
        <w:t xml:space="preserve"> </w:t>
      </w:r>
      <w:r w:rsidR="00FF357C" w:rsidRPr="00844A28">
        <w:rPr>
          <w:sz w:val="23"/>
          <w:szCs w:val="23"/>
          <w:lang w:val="es-NI"/>
        </w:rPr>
        <w:t>y</w:t>
      </w:r>
      <w:r w:rsidR="007D5345" w:rsidRPr="00844A28">
        <w:rPr>
          <w:sz w:val="23"/>
          <w:szCs w:val="23"/>
          <w:lang w:val="es-NI"/>
        </w:rPr>
        <w:t xml:space="preserve"> facilita</w:t>
      </w:r>
      <w:r w:rsidR="00354891" w:rsidRPr="00844A28">
        <w:rPr>
          <w:sz w:val="23"/>
          <w:szCs w:val="23"/>
          <w:lang w:val="es-NI"/>
        </w:rPr>
        <w:t>ndo la mediación en los conflict</w:t>
      </w:r>
      <w:r w:rsidR="00354891" w:rsidRPr="00844A28">
        <w:rPr>
          <w:sz w:val="23"/>
          <w:szCs w:val="23"/>
          <w:lang w:val="es-ES"/>
        </w:rPr>
        <w:t xml:space="preserve">os y disputas por </w:t>
      </w:r>
      <w:r w:rsidR="00EB48C4" w:rsidRPr="00844A28">
        <w:rPr>
          <w:sz w:val="23"/>
          <w:szCs w:val="23"/>
          <w:lang w:val="es-ES"/>
        </w:rPr>
        <w:t>propiedades a través de la DIRAC. Para garantizar la prestación adecuada de los servicios, la mediación estará a cargo de mediadores locales capac</w:t>
      </w:r>
      <w:r w:rsidR="00D400C5" w:rsidRPr="00844A28">
        <w:rPr>
          <w:sz w:val="23"/>
          <w:szCs w:val="23"/>
          <w:lang w:val="es-ES"/>
        </w:rPr>
        <w:t xml:space="preserve">es entrenados por la DIRAC. La aplicación del </w:t>
      </w:r>
      <w:r w:rsidR="00456C8C" w:rsidRPr="00844A28">
        <w:rPr>
          <w:sz w:val="23"/>
          <w:szCs w:val="23"/>
          <w:lang w:val="es-ES"/>
        </w:rPr>
        <w:t>SIICAR</w:t>
      </w:r>
      <w:r w:rsidR="00B37516">
        <w:rPr>
          <w:sz w:val="23"/>
          <w:szCs w:val="23"/>
          <w:lang w:val="es-ES"/>
        </w:rPr>
        <w:t xml:space="preserve"> </w:t>
      </w:r>
      <w:r w:rsidR="00D400C5" w:rsidRPr="00844A28">
        <w:rPr>
          <w:sz w:val="23"/>
          <w:szCs w:val="23"/>
          <w:lang w:val="es-ES"/>
        </w:rPr>
        <w:t xml:space="preserve">en los nuevos </w:t>
      </w:r>
      <w:r w:rsidR="00B07E7F" w:rsidRPr="00844A28">
        <w:rPr>
          <w:sz w:val="23"/>
          <w:szCs w:val="23"/>
          <w:lang w:val="es-ES"/>
        </w:rPr>
        <w:t>departamento</w:t>
      </w:r>
      <w:r w:rsidR="00D400C5" w:rsidRPr="00844A28">
        <w:rPr>
          <w:sz w:val="23"/>
          <w:szCs w:val="23"/>
          <w:lang w:val="es-ES"/>
        </w:rPr>
        <w:t>s permitirá a cambio fortalecer la colaboración CSJ – INETER y a la vez mejorar el acceso de l</w:t>
      </w:r>
      <w:r w:rsidR="00B37516">
        <w:rPr>
          <w:sz w:val="23"/>
          <w:szCs w:val="23"/>
          <w:lang w:val="es-ES"/>
        </w:rPr>
        <w:t>a</w:t>
      </w:r>
      <w:r w:rsidR="00D400C5" w:rsidRPr="00844A28">
        <w:rPr>
          <w:sz w:val="23"/>
          <w:szCs w:val="23"/>
          <w:lang w:val="es-ES"/>
        </w:rPr>
        <w:t xml:space="preserve"> ciudadan</w:t>
      </w:r>
      <w:r w:rsidR="00B37516">
        <w:rPr>
          <w:sz w:val="23"/>
          <w:szCs w:val="23"/>
          <w:lang w:val="es-ES"/>
        </w:rPr>
        <w:t>ía</w:t>
      </w:r>
      <w:r w:rsidR="00D400C5" w:rsidRPr="00844A28">
        <w:rPr>
          <w:sz w:val="23"/>
          <w:szCs w:val="23"/>
          <w:lang w:val="es-ES"/>
        </w:rPr>
        <w:t xml:space="preserve"> a información sobre las propiedades. El Componente comprenderá los siguientes sub-componentes y</w:t>
      </w:r>
      <w:r w:rsidR="008840A8">
        <w:rPr>
          <w:sz w:val="23"/>
          <w:szCs w:val="23"/>
          <w:lang w:val="es-ES"/>
        </w:rPr>
        <w:t xml:space="preserve"> </w:t>
      </w:r>
      <w:r w:rsidR="00FF52DD" w:rsidRPr="00844A28">
        <w:rPr>
          <w:sz w:val="23"/>
          <w:szCs w:val="23"/>
          <w:lang w:val="es-ES"/>
        </w:rPr>
        <w:t>actividades</w:t>
      </w:r>
      <w:r w:rsidR="00B15A1B" w:rsidRPr="00844A28">
        <w:rPr>
          <w:sz w:val="23"/>
          <w:szCs w:val="23"/>
          <w:lang w:val="es-ES"/>
        </w:rPr>
        <w:t>:</w:t>
      </w:r>
    </w:p>
    <w:p w:rsidR="0052434A" w:rsidRPr="00844A28" w:rsidRDefault="0052434A" w:rsidP="0052434A">
      <w:pPr>
        <w:jc w:val="both"/>
        <w:rPr>
          <w:sz w:val="23"/>
          <w:szCs w:val="23"/>
          <w:lang w:val="es-ES"/>
        </w:rPr>
      </w:pPr>
    </w:p>
    <w:p w:rsidR="005129DD" w:rsidRPr="00844A28" w:rsidRDefault="00C232EB" w:rsidP="00FF33C1">
      <w:pPr>
        <w:numPr>
          <w:ilvl w:val="0"/>
          <w:numId w:val="21"/>
        </w:numPr>
        <w:tabs>
          <w:tab w:val="clear" w:pos="360"/>
          <w:tab w:val="num" w:pos="0"/>
        </w:tabs>
        <w:jc w:val="both"/>
        <w:rPr>
          <w:sz w:val="23"/>
          <w:szCs w:val="23"/>
          <w:lang w:val="es-ES"/>
        </w:rPr>
      </w:pPr>
      <w:r w:rsidRPr="00844A28">
        <w:rPr>
          <w:i/>
          <w:iCs/>
          <w:sz w:val="23"/>
          <w:szCs w:val="23"/>
          <w:lang w:val="es-ES"/>
        </w:rPr>
        <w:t>Sub-componente 2.1: Fortalecimiento del Registro de la Propiedad y de la Resolución Alterna de Conflictos</w:t>
      </w:r>
      <w:r w:rsidRPr="00844A28">
        <w:rPr>
          <w:iCs/>
          <w:sz w:val="23"/>
          <w:szCs w:val="23"/>
          <w:lang w:val="es-ES"/>
        </w:rPr>
        <w:t xml:space="preserve"> mediante el apoyo a la Corte Suprema traducido entre otras cosas en: (a)  El apoyo a las actividades de formación de capacidades</w:t>
      </w:r>
      <w:r w:rsidR="00946EB7" w:rsidRPr="00844A28">
        <w:rPr>
          <w:iCs/>
          <w:sz w:val="23"/>
          <w:szCs w:val="23"/>
          <w:lang w:val="es-ES"/>
        </w:rPr>
        <w:t xml:space="preserve"> y asistencia técnica </w:t>
      </w:r>
      <w:r w:rsidRPr="00844A28">
        <w:rPr>
          <w:iCs/>
          <w:sz w:val="23"/>
          <w:szCs w:val="23"/>
          <w:lang w:val="es-ES"/>
        </w:rPr>
        <w:t xml:space="preserve">dirigidas al personal para la titulación y registro sistemático en los registros </w:t>
      </w:r>
      <w:r w:rsidR="00946EB7" w:rsidRPr="00844A28">
        <w:rPr>
          <w:iCs/>
          <w:sz w:val="23"/>
          <w:szCs w:val="23"/>
          <w:lang w:val="es-ES"/>
        </w:rPr>
        <w:t xml:space="preserve">regionales </w:t>
      </w:r>
      <w:r w:rsidRPr="00844A28">
        <w:rPr>
          <w:iCs/>
          <w:sz w:val="23"/>
          <w:szCs w:val="23"/>
          <w:lang w:val="es-ES"/>
        </w:rPr>
        <w:t xml:space="preserve">de la propiedad </w:t>
      </w:r>
      <w:r w:rsidR="001B5EB9" w:rsidRPr="00844A28">
        <w:rPr>
          <w:iCs/>
          <w:sz w:val="23"/>
          <w:szCs w:val="23"/>
          <w:lang w:val="es-ES"/>
        </w:rPr>
        <w:t>de</w:t>
      </w:r>
      <w:r w:rsidRPr="00844A28">
        <w:rPr>
          <w:iCs/>
          <w:sz w:val="23"/>
          <w:szCs w:val="23"/>
          <w:lang w:val="es-ES"/>
        </w:rPr>
        <w:t xml:space="preserve"> los municipios participantes; (b) La prestación de servicios de mediación durante los procesos catastrales y de </w:t>
      </w:r>
      <w:r w:rsidRPr="00844A28">
        <w:rPr>
          <w:iCs/>
          <w:sz w:val="23"/>
          <w:szCs w:val="23"/>
          <w:lang w:val="es-ES"/>
        </w:rPr>
        <w:lastRenderedPageBreak/>
        <w:t xml:space="preserve">regularización, incluyendo (i) La prestación de capacitaciones </w:t>
      </w:r>
      <w:r w:rsidR="001B5EB9" w:rsidRPr="00844A28">
        <w:rPr>
          <w:iCs/>
          <w:sz w:val="23"/>
          <w:szCs w:val="23"/>
          <w:lang w:val="es-ES"/>
        </w:rPr>
        <w:t>en relación con la</w:t>
      </w:r>
      <w:r w:rsidRPr="00844A28">
        <w:rPr>
          <w:iCs/>
          <w:sz w:val="23"/>
          <w:szCs w:val="23"/>
          <w:lang w:val="es-ES"/>
        </w:rPr>
        <w:t xml:space="preserve"> resolución de conflictos, dirigidas a los mediadores y personal de las agencias co-ejecutoras y (ii) La preparación de un manual para estandarizar los resultados de mediación.</w:t>
      </w:r>
    </w:p>
    <w:p w:rsidR="0052434A" w:rsidRPr="00844A28" w:rsidRDefault="0052434A" w:rsidP="001B5EB9">
      <w:pPr>
        <w:rPr>
          <w:i/>
          <w:sz w:val="23"/>
          <w:szCs w:val="23"/>
          <w:lang w:val="es-NI"/>
        </w:rPr>
      </w:pPr>
    </w:p>
    <w:p w:rsidR="00C62FAE" w:rsidRPr="00844A28" w:rsidRDefault="00C62FAE" w:rsidP="00FF33C1">
      <w:pPr>
        <w:numPr>
          <w:ilvl w:val="0"/>
          <w:numId w:val="21"/>
        </w:numPr>
        <w:tabs>
          <w:tab w:val="clear" w:pos="360"/>
        </w:tabs>
        <w:jc w:val="both"/>
        <w:rPr>
          <w:iCs/>
          <w:sz w:val="23"/>
          <w:szCs w:val="23"/>
          <w:lang w:val="es-ES"/>
        </w:rPr>
      </w:pPr>
      <w:r w:rsidRPr="00844A28">
        <w:rPr>
          <w:i/>
          <w:iCs/>
          <w:sz w:val="23"/>
          <w:szCs w:val="23"/>
          <w:lang w:val="es-ES"/>
        </w:rPr>
        <w:t>Sub-componente 2.2: Consolidación del SIICAR</w:t>
      </w:r>
      <w:r w:rsidRPr="00844A28">
        <w:rPr>
          <w:iCs/>
          <w:sz w:val="23"/>
          <w:szCs w:val="23"/>
          <w:lang w:val="es-ES"/>
        </w:rPr>
        <w:t xml:space="preserve"> mediante el apoyo a la Corte Suprema e INETER traducido entre otras cosas en: (i) La finalización y perfeccionamiento de la versión piloto del SIICAR; (ii) El despliegue del SIICAR en los municipios participantes en al menos tres departamentos del país </w:t>
      </w:r>
      <w:r w:rsidR="00C46691" w:rsidRPr="00020DA8">
        <w:rPr>
          <w:iCs/>
          <w:sz w:val="23"/>
          <w:szCs w:val="23"/>
          <w:lang w:val="es-ES"/>
        </w:rPr>
        <w:t>(probablemente Estelí, Madriz y León)</w:t>
      </w:r>
      <w:r w:rsidR="00B87578">
        <w:rPr>
          <w:iCs/>
          <w:sz w:val="23"/>
          <w:szCs w:val="23"/>
          <w:lang w:val="es-ES"/>
        </w:rPr>
        <w:t xml:space="preserve"> </w:t>
      </w:r>
      <w:r w:rsidRPr="00844A28">
        <w:rPr>
          <w:iCs/>
          <w:sz w:val="23"/>
          <w:szCs w:val="23"/>
          <w:lang w:val="es-ES"/>
        </w:rPr>
        <w:t>a través de asistencia técnica, capacitaciones dirigidas a</w:t>
      </w:r>
      <w:r w:rsidR="00B87578">
        <w:rPr>
          <w:iCs/>
          <w:sz w:val="23"/>
          <w:szCs w:val="23"/>
          <w:lang w:val="es-ES"/>
        </w:rPr>
        <w:t>l personal de</w:t>
      </w:r>
      <w:r w:rsidRPr="00844A28">
        <w:rPr>
          <w:iCs/>
          <w:sz w:val="23"/>
          <w:szCs w:val="23"/>
          <w:lang w:val="es-ES"/>
        </w:rPr>
        <w:t xml:space="preserve"> la CSJ</w:t>
      </w:r>
      <w:r w:rsidR="00B87578">
        <w:rPr>
          <w:iCs/>
          <w:sz w:val="23"/>
          <w:szCs w:val="23"/>
          <w:lang w:val="es-ES"/>
        </w:rPr>
        <w:t xml:space="preserve"> e</w:t>
      </w:r>
      <w:r w:rsidRPr="00844A28">
        <w:rPr>
          <w:iCs/>
          <w:sz w:val="23"/>
          <w:szCs w:val="23"/>
          <w:lang w:val="es-ES"/>
        </w:rPr>
        <w:t xml:space="preserve"> INETER y dotación de equipos de computación y de oficina, inclu</w:t>
      </w:r>
      <w:r w:rsidR="00B87578">
        <w:rPr>
          <w:iCs/>
          <w:sz w:val="23"/>
          <w:szCs w:val="23"/>
          <w:lang w:val="es-ES"/>
        </w:rPr>
        <w:t>yendo</w:t>
      </w:r>
      <w:r w:rsidRPr="00844A28">
        <w:rPr>
          <w:iCs/>
          <w:sz w:val="23"/>
          <w:szCs w:val="23"/>
          <w:lang w:val="es-ES"/>
        </w:rPr>
        <w:t xml:space="preserve"> software, hardware y licencias.</w:t>
      </w:r>
    </w:p>
    <w:p w:rsidR="00641B86" w:rsidRPr="00844A28" w:rsidRDefault="00641B86" w:rsidP="00641B86">
      <w:pPr>
        <w:pStyle w:val="ListParagraph"/>
        <w:rPr>
          <w:sz w:val="23"/>
          <w:szCs w:val="23"/>
          <w:lang w:val="es-ES"/>
        </w:rPr>
      </w:pPr>
    </w:p>
    <w:p w:rsidR="0060737D" w:rsidRPr="00844A28" w:rsidRDefault="00C62FAE" w:rsidP="00FF33C1">
      <w:pPr>
        <w:numPr>
          <w:ilvl w:val="0"/>
          <w:numId w:val="21"/>
        </w:numPr>
        <w:tabs>
          <w:tab w:val="clear" w:pos="360"/>
          <w:tab w:val="num" w:pos="0"/>
        </w:tabs>
        <w:jc w:val="both"/>
        <w:rPr>
          <w:sz w:val="23"/>
          <w:szCs w:val="23"/>
          <w:lang w:val="es-NI"/>
        </w:rPr>
      </w:pPr>
      <w:r w:rsidRPr="00844A28">
        <w:rPr>
          <w:sz w:val="23"/>
          <w:szCs w:val="23"/>
          <w:lang w:val="es-ES"/>
        </w:rPr>
        <w:t>Las actividades antes mencionadas</w:t>
      </w:r>
      <w:r w:rsidR="00E67D86" w:rsidRPr="00844A28">
        <w:rPr>
          <w:sz w:val="23"/>
          <w:szCs w:val="23"/>
          <w:lang w:val="es-ES"/>
        </w:rPr>
        <w:t xml:space="preserve"> implican el mejoramiento de hardwar</w:t>
      </w:r>
      <w:r w:rsidR="00D61C60" w:rsidRPr="00844A28">
        <w:rPr>
          <w:sz w:val="23"/>
          <w:szCs w:val="23"/>
          <w:lang w:val="es-ES"/>
        </w:rPr>
        <w:t>e</w:t>
      </w:r>
      <w:r w:rsidR="00E67D86" w:rsidRPr="00844A28">
        <w:rPr>
          <w:sz w:val="23"/>
          <w:szCs w:val="23"/>
          <w:lang w:val="es-ES"/>
        </w:rPr>
        <w:t xml:space="preserve"> y de licencias, migración de datos a una nueva plataforma, agregando más opciones a los diversos tipos de transacciones de propiedades y una función de </w:t>
      </w:r>
      <w:r w:rsidR="00D61C60" w:rsidRPr="00844A28">
        <w:rPr>
          <w:sz w:val="23"/>
          <w:szCs w:val="23"/>
          <w:lang w:val="es-ES"/>
        </w:rPr>
        <w:t xml:space="preserve">datos de minería, creando un folio digital del catastro enlazado con </w:t>
      </w:r>
      <w:r w:rsidR="00463E44" w:rsidRPr="00844A28">
        <w:rPr>
          <w:sz w:val="23"/>
          <w:szCs w:val="23"/>
          <w:lang w:val="es-ES"/>
        </w:rPr>
        <w:t xml:space="preserve">las regulaciones </w:t>
      </w:r>
      <w:r w:rsidR="006A5860" w:rsidRPr="00844A28">
        <w:rPr>
          <w:sz w:val="23"/>
          <w:szCs w:val="23"/>
          <w:lang w:val="es-ES"/>
        </w:rPr>
        <w:t xml:space="preserve">catastrales y de </w:t>
      </w:r>
      <w:r w:rsidR="002058AD" w:rsidRPr="00844A28">
        <w:rPr>
          <w:sz w:val="23"/>
          <w:szCs w:val="23"/>
          <w:lang w:val="es-ES"/>
        </w:rPr>
        <w:t>inmuebles, rediseñando el software para que responda mejor a los requerimientos institucionales y para asegur</w:t>
      </w:r>
      <w:r w:rsidR="00C81103" w:rsidRPr="00844A28">
        <w:rPr>
          <w:sz w:val="23"/>
          <w:szCs w:val="23"/>
          <w:lang w:val="es-ES"/>
        </w:rPr>
        <w:t>a</w:t>
      </w:r>
      <w:r w:rsidR="002058AD" w:rsidRPr="00844A28">
        <w:rPr>
          <w:sz w:val="23"/>
          <w:szCs w:val="23"/>
          <w:lang w:val="es-ES"/>
        </w:rPr>
        <w:t xml:space="preserve">r un mejor control de mantenimiento </w:t>
      </w:r>
      <w:r w:rsidR="00C81103" w:rsidRPr="00844A28">
        <w:rPr>
          <w:sz w:val="23"/>
          <w:szCs w:val="23"/>
          <w:lang w:val="es-ES"/>
        </w:rPr>
        <w:t>y aplicando la versión perfeccionada del sistema en los departamentos seleccionados en un ambiente seguro. En términos generales, estas actividades permitirán juntar la información catastral (descripción geográfica exacta de una parcela) manejada por INETER y la información legal (</w:t>
      </w:r>
      <w:r w:rsidR="007328DC" w:rsidRPr="00844A28">
        <w:rPr>
          <w:sz w:val="23"/>
          <w:szCs w:val="23"/>
          <w:lang w:val="es-ES"/>
        </w:rPr>
        <w:t xml:space="preserve">seguridad jurídica </w:t>
      </w:r>
      <w:r w:rsidR="00326232" w:rsidRPr="00844A28">
        <w:rPr>
          <w:sz w:val="23"/>
          <w:szCs w:val="23"/>
          <w:lang w:val="es-ES"/>
        </w:rPr>
        <w:t>de los derechos y de l</w:t>
      </w:r>
      <w:r w:rsidR="00B87578">
        <w:rPr>
          <w:sz w:val="23"/>
          <w:szCs w:val="23"/>
          <w:lang w:val="es-ES"/>
        </w:rPr>
        <w:t>a</w:t>
      </w:r>
      <w:r w:rsidR="00326232" w:rsidRPr="00844A28">
        <w:rPr>
          <w:sz w:val="23"/>
          <w:szCs w:val="23"/>
          <w:lang w:val="es-ES"/>
        </w:rPr>
        <w:t>s</w:t>
      </w:r>
      <w:r w:rsidR="00B87578">
        <w:rPr>
          <w:sz w:val="23"/>
          <w:szCs w:val="23"/>
          <w:lang w:val="es-ES"/>
        </w:rPr>
        <w:t xml:space="preserve"> personas</w:t>
      </w:r>
      <w:r w:rsidR="00326232" w:rsidRPr="00844A28">
        <w:rPr>
          <w:sz w:val="23"/>
          <w:szCs w:val="23"/>
          <w:lang w:val="es-ES"/>
        </w:rPr>
        <w:t xml:space="preserve"> propietari</w:t>
      </w:r>
      <w:r w:rsidR="00B87578">
        <w:rPr>
          <w:sz w:val="23"/>
          <w:szCs w:val="23"/>
          <w:lang w:val="es-ES"/>
        </w:rPr>
        <w:t>a</w:t>
      </w:r>
      <w:r w:rsidR="00326232" w:rsidRPr="00844A28">
        <w:rPr>
          <w:sz w:val="23"/>
          <w:szCs w:val="23"/>
          <w:lang w:val="es-ES"/>
        </w:rPr>
        <w:t xml:space="preserve">s) manejada por la CSJ. A mediano plazo, </w:t>
      </w:r>
      <w:r w:rsidR="00B87578">
        <w:rPr>
          <w:sz w:val="23"/>
          <w:szCs w:val="23"/>
          <w:lang w:val="es-ES"/>
        </w:rPr>
        <w:t>esto</w:t>
      </w:r>
      <w:r w:rsidR="00326232" w:rsidRPr="00844A28">
        <w:rPr>
          <w:sz w:val="23"/>
          <w:szCs w:val="23"/>
          <w:lang w:val="es-ES"/>
        </w:rPr>
        <w:t xml:space="preserve"> debe promover la precisión y mantenimiento de los registros </w:t>
      </w:r>
      <w:r w:rsidR="001465C5" w:rsidRPr="00844A28">
        <w:rPr>
          <w:sz w:val="23"/>
          <w:szCs w:val="23"/>
          <w:lang w:val="es-ES"/>
        </w:rPr>
        <w:t>inmobiliarios</w:t>
      </w:r>
      <w:r w:rsidR="00B87578">
        <w:rPr>
          <w:sz w:val="23"/>
          <w:szCs w:val="23"/>
          <w:lang w:val="es-ES"/>
        </w:rPr>
        <w:t xml:space="preserve"> </w:t>
      </w:r>
      <w:r w:rsidR="001465C5" w:rsidRPr="00844A28">
        <w:rPr>
          <w:sz w:val="23"/>
          <w:szCs w:val="23"/>
          <w:lang w:val="es-ES"/>
        </w:rPr>
        <w:t xml:space="preserve">y a la vez hacerlos más accesibles al público. </w:t>
      </w:r>
    </w:p>
    <w:p w:rsidR="005D37A4" w:rsidRPr="00844A28" w:rsidRDefault="005D37A4" w:rsidP="00585207">
      <w:pPr>
        <w:rPr>
          <w:b/>
          <w:sz w:val="23"/>
          <w:szCs w:val="23"/>
          <w:lang w:val="es-NI"/>
        </w:rPr>
      </w:pPr>
    </w:p>
    <w:p w:rsidR="004E616F" w:rsidRPr="00F53B00" w:rsidRDefault="00237729" w:rsidP="005D37A4">
      <w:pPr>
        <w:jc w:val="both"/>
        <w:rPr>
          <w:lang w:val="es-ES"/>
        </w:rPr>
      </w:pPr>
      <w:r w:rsidRPr="00C62FAE">
        <w:rPr>
          <w:b/>
          <w:lang w:val="es-ES"/>
        </w:rPr>
        <w:t>Compone</w:t>
      </w:r>
      <w:r w:rsidRPr="00F53B00">
        <w:rPr>
          <w:b/>
          <w:lang w:val="es-ES"/>
        </w:rPr>
        <w:t>nte</w:t>
      </w:r>
      <w:r w:rsidR="00B15A1B" w:rsidRPr="00F53B00">
        <w:rPr>
          <w:b/>
          <w:lang w:val="es-ES"/>
        </w:rPr>
        <w:t xml:space="preserve"> 3: </w:t>
      </w:r>
      <w:r w:rsidR="001351F1" w:rsidRPr="00F53B00">
        <w:rPr>
          <w:b/>
          <w:lang w:val="es-ES"/>
        </w:rPr>
        <w:t xml:space="preserve">Servicios de </w:t>
      </w:r>
      <w:r w:rsidR="00FF52DD" w:rsidRPr="00F53B00">
        <w:rPr>
          <w:b/>
          <w:lang w:val="es-ES"/>
        </w:rPr>
        <w:t>Titulación</w:t>
      </w:r>
      <w:r w:rsidR="00C62942">
        <w:rPr>
          <w:b/>
          <w:lang w:val="es-ES"/>
        </w:rPr>
        <w:t xml:space="preserve"> </w:t>
      </w:r>
      <w:r w:rsidR="00FF357C" w:rsidRPr="00F53B00">
        <w:rPr>
          <w:b/>
          <w:lang w:val="es-ES"/>
        </w:rPr>
        <w:t>y</w:t>
      </w:r>
      <w:r w:rsidR="00C62942">
        <w:rPr>
          <w:b/>
          <w:lang w:val="es-ES"/>
        </w:rPr>
        <w:t xml:space="preserve"> </w:t>
      </w:r>
      <w:r w:rsidR="00FF52DD" w:rsidRPr="00F53B00">
        <w:rPr>
          <w:b/>
          <w:lang w:val="es-ES"/>
        </w:rPr>
        <w:t>Regularización</w:t>
      </w:r>
      <w:r w:rsidR="00C62942">
        <w:rPr>
          <w:b/>
          <w:lang w:val="es-ES"/>
        </w:rPr>
        <w:t xml:space="preserve"> </w:t>
      </w:r>
      <w:r w:rsidR="004050F6" w:rsidRPr="00F53B00">
        <w:rPr>
          <w:b/>
          <w:lang w:val="es-ES"/>
        </w:rPr>
        <w:t>(US$17.8</w:t>
      </w:r>
      <w:r w:rsidR="007D5345" w:rsidRPr="00F53B00">
        <w:rPr>
          <w:b/>
          <w:lang w:val="es-ES"/>
        </w:rPr>
        <w:t>0</w:t>
      </w:r>
      <w:r w:rsidR="00C62942">
        <w:rPr>
          <w:b/>
          <w:lang w:val="es-ES"/>
        </w:rPr>
        <w:t xml:space="preserve"> </w:t>
      </w:r>
      <w:r w:rsidR="001351F1" w:rsidRPr="00F53B00">
        <w:rPr>
          <w:b/>
          <w:lang w:val="es-ES"/>
        </w:rPr>
        <w:t>millones</w:t>
      </w:r>
      <w:r w:rsidR="00B15A1B" w:rsidRPr="00F53B00">
        <w:rPr>
          <w:b/>
          <w:lang w:val="es-ES"/>
        </w:rPr>
        <w:t>)</w:t>
      </w:r>
    </w:p>
    <w:p w:rsidR="005D37A4" w:rsidRPr="00F53B00" w:rsidRDefault="005D37A4" w:rsidP="005D37A4">
      <w:pPr>
        <w:jc w:val="both"/>
        <w:rPr>
          <w:lang w:val="es-ES"/>
        </w:rPr>
      </w:pPr>
    </w:p>
    <w:p w:rsidR="0052434A" w:rsidRPr="00844A28" w:rsidRDefault="00F53B00" w:rsidP="00FF33C1">
      <w:pPr>
        <w:numPr>
          <w:ilvl w:val="0"/>
          <w:numId w:val="21"/>
        </w:numPr>
        <w:tabs>
          <w:tab w:val="clear" w:pos="360"/>
          <w:tab w:val="num" w:pos="0"/>
        </w:tabs>
        <w:jc w:val="both"/>
        <w:rPr>
          <w:sz w:val="23"/>
          <w:szCs w:val="23"/>
          <w:lang w:val="es-ES"/>
        </w:rPr>
      </w:pPr>
      <w:r w:rsidRPr="00844A28">
        <w:rPr>
          <w:sz w:val="23"/>
          <w:szCs w:val="23"/>
          <w:lang w:val="es-ES"/>
        </w:rPr>
        <w:t xml:space="preserve">El </w:t>
      </w:r>
      <w:r w:rsidR="00A7778B" w:rsidRPr="00844A28">
        <w:rPr>
          <w:sz w:val="23"/>
          <w:szCs w:val="23"/>
          <w:lang w:val="es-ES"/>
        </w:rPr>
        <w:t>objetivo</w:t>
      </w:r>
      <w:r w:rsidR="00E550BF">
        <w:rPr>
          <w:sz w:val="23"/>
          <w:szCs w:val="23"/>
          <w:lang w:val="es-ES"/>
        </w:rPr>
        <w:t xml:space="preserve"> </w:t>
      </w:r>
      <w:r w:rsidRPr="00844A28">
        <w:rPr>
          <w:sz w:val="23"/>
          <w:szCs w:val="23"/>
          <w:lang w:val="es-ES"/>
        </w:rPr>
        <w:t>del</w:t>
      </w:r>
      <w:r w:rsidR="00E550BF">
        <w:rPr>
          <w:sz w:val="23"/>
          <w:szCs w:val="23"/>
          <w:lang w:val="es-ES"/>
        </w:rPr>
        <w:t xml:space="preserve"> </w:t>
      </w:r>
      <w:r w:rsidR="00237729" w:rsidRPr="00844A28">
        <w:rPr>
          <w:sz w:val="23"/>
          <w:szCs w:val="23"/>
          <w:lang w:val="es-ES"/>
        </w:rPr>
        <w:t>Componente</w:t>
      </w:r>
      <w:r w:rsidR="00E550BF">
        <w:rPr>
          <w:sz w:val="23"/>
          <w:szCs w:val="23"/>
          <w:lang w:val="es-ES"/>
        </w:rPr>
        <w:t xml:space="preserve"> </w:t>
      </w:r>
      <w:r w:rsidRPr="00844A28">
        <w:rPr>
          <w:sz w:val="23"/>
          <w:szCs w:val="23"/>
          <w:lang w:val="es-ES"/>
        </w:rPr>
        <w:t>es registrar y dejar definidos los derechos de la propiedad de l</w:t>
      </w:r>
      <w:r w:rsidR="00E550BF">
        <w:rPr>
          <w:sz w:val="23"/>
          <w:szCs w:val="23"/>
          <w:lang w:val="es-ES"/>
        </w:rPr>
        <w:t>a</w:t>
      </w:r>
      <w:r w:rsidRPr="00844A28">
        <w:rPr>
          <w:sz w:val="23"/>
          <w:szCs w:val="23"/>
          <w:lang w:val="es-ES"/>
        </w:rPr>
        <w:t xml:space="preserve">s siguientes </w:t>
      </w:r>
      <w:r w:rsidR="00E550BF">
        <w:rPr>
          <w:sz w:val="23"/>
          <w:szCs w:val="23"/>
          <w:lang w:val="es-ES"/>
        </w:rPr>
        <w:t xml:space="preserve">personas </w:t>
      </w:r>
      <w:r w:rsidRPr="00844A28">
        <w:rPr>
          <w:sz w:val="23"/>
          <w:szCs w:val="23"/>
          <w:lang w:val="es-ES"/>
        </w:rPr>
        <w:t>beneficiari</w:t>
      </w:r>
      <w:r w:rsidR="00E550BF">
        <w:rPr>
          <w:sz w:val="23"/>
          <w:szCs w:val="23"/>
          <w:lang w:val="es-ES"/>
        </w:rPr>
        <w:t>a</w:t>
      </w:r>
      <w:r w:rsidRPr="00844A28">
        <w:rPr>
          <w:sz w:val="23"/>
          <w:szCs w:val="23"/>
          <w:lang w:val="es-ES"/>
        </w:rPr>
        <w:t>s:</w:t>
      </w:r>
      <w:r w:rsidR="00100C9F" w:rsidRPr="00844A28">
        <w:rPr>
          <w:sz w:val="23"/>
          <w:szCs w:val="23"/>
          <w:lang w:val="es-ES"/>
        </w:rPr>
        <w:t xml:space="preserve"> (a) Población de los </w:t>
      </w:r>
      <w:r w:rsidR="000B7159" w:rsidRPr="00844A28">
        <w:rPr>
          <w:sz w:val="23"/>
          <w:szCs w:val="23"/>
          <w:lang w:val="es-NI"/>
        </w:rPr>
        <w:t>municipios participantes</w:t>
      </w:r>
      <w:r w:rsidR="00100C9F" w:rsidRPr="00844A28">
        <w:rPr>
          <w:sz w:val="23"/>
          <w:szCs w:val="23"/>
          <w:lang w:val="es-NI"/>
        </w:rPr>
        <w:t xml:space="preserve"> a través de un proceso sistemático; (b) Personas solicit</w:t>
      </w:r>
      <w:r w:rsidR="00E550BF">
        <w:rPr>
          <w:sz w:val="23"/>
          <w:szCs w:val="23"/>
          <w:lang w:val="es-NI"/>
        </w:rPr>
        <w:t>a</w:t>
      </w:r>
      <w:r w:rsidR="00100C9F" w:rsidRPr="00844A28">
        <w:rPr>
          <w:sz w:val="23"/>
          <w:szCs w:val="23"/>
          <w:lang w:val="es-NI"/>
        </w:rPr>
        <w:t>n</w:t>
      </w:r>
      <w:r w:rsidR="00E550BF">
        <w:rPr>
          <w:sz w:val="23"/>
          <w:szCs w:val="23"/>
          <w:lang w:val="es-NI"/>
        </w:rPr>
        <w:t>do</w:t>
      </w:r>
      <w:r w:rsidR="00100C9F" w:rsidRPr="00844A28">
        <w:rPr>
          <w:sz w:val="23"/>
          <w:szCs w:val="23"/>
          <w:lang w:val="es-NI"/>
        </w:rPr>
        <w:t xml:space="preserve"> servicios de regularización (demanda del servicio); (c) Personas priorizadas por  programas nacionales; (d) Comunidades indígenas  viv</w:t>
      </w:r>
      <w:r w:rsidR="00E550BF">
        <w:rPr>
          <w:sz w:val="23"/>
          <w:szCs w:val="23"/>
          <w:lang w:val="es-NI"/>
        </w:rPr>
        <w:t>i</w:t>
      </w:r>
      <w:r w:rsidR="00100C9F" w:rsidRPr="00844A28">
        <w:rPr>
          <w:sz w:val="23"/>
          <w:szCs w:val="23"/>
          <w:lang w:val="es-NI"/>
        </w:rPr>
        <w:t>en</w:t>
      </w:r>
      <w:r w:rsidR="00E550BF">
        <w:rPr>
          <w:sz w:val="23"/>
          <w:szCs w:val="23"/>
          <w:lang w:val="es-NI"/>
        </w:rPr>
        <w:t>do</w:t>
      </w:r>
      <w:r w:rsidR="00100C9F" w:rsidRPr="00844A28">
        <w:rPr>
          <w:sz w:val="23"/>
          <w:szCs w:val="23"/>
          <w:lang w:val="es-NI"/>
        </w:rPr>
        <w:t xml:space="preserve"> en las dos </w:t>
      </w:r>
      <w:r w:rsidR="00CC58FA" w:rsidRPr="00844A28">
        <w:rPr>
          <w:sz w:val="23"/>
          <w:szCs w:val="23"/>
          <w:lang w:val="es-NI"/>
        </w:rPr>
        <w:t>áreas complementarias</w:t>
      </w:r>
      <w:r w:rsidR="00100C9F" w:rsidRPr="00844A28">
        <w:rPr>
          <w:sz w:val="23"/>
          <w:szCs w:val="23"/>
          <w:lang w:val="es-NI"/>
        </w:rPr>
        <w:t xml:space="preserve"> de los </w:t>
      </w:r>
      <w:r w:rsidR="00FE4705" w:rsidRPr="00844A28">
        <w:rPr>
          <w:sz w:val="23"/>
          <w:szCs w:val="23"/>
          <w:lang w:val="es-NI"/>
        </w:rPr>
        <w:t>territorios indígenas</w:t>
      </w:r>
      <w:r w:rsidR="00E550BF">
        <w:rPr>
          <w:sz w:val="23"/>
          <w:szCs w:val="23"/>
          <w:lang w:val="es-NI"/>
        </w:rPr>
        <w:t xml:space="preserve"> </w:t>
      </w:r>
      <w:r w:rsidR="00100C9F" w:rsidRPr="00844A28">
        <w:rPr>
          <w:sz w:val="23"/>
          <w:szCs w:val="23"/>
          <w:lang w:val="es-NI"/>
        </w:rPr>
        <w:t xml:space="preserve">del </w:t>
      </w:r>
      <w:r w:rsidR="00B07E7F" w:rsidRPr="00844A28">
        <w:rPr>
          <w:sz w:val="23"/>
          <w:szCs w:val="23"/>
          <w:lang w:val="es-NI"/>
        </w:rPr>
        <w:t>departamento</w:t>
      </w:r>
      <w:r w:rsidR="00E550BF">
        <w:rPr>
          <w:sz w:val="23"/>
          <w:szCs w:val="23"/>
          <w:lang w:val="es-NI"/>
        </w:rPr>
        <w:t xml:space="preserve"> </w:t>
      </w:r>
      <w:r w:rsidR="00100C9F" w:rsidRPr="00844A28">
        <w:rPr>
          <w:sz w:val="23"/>
          <w:szCs w:val="23"/>
          <w:lang w:val="es-NI"/>
        </w:rPr>
        <w:t xml:space="preserve">de </w:t>
      </w:r>
      <w:r w:rsidR="00B15A1B" w:rsidRPr="00844A28">
        <w:rPr>
          <w:sz w:val="23"/>
          <w:szCs w:val="23"/>
          <w:lang w:val="es-NI"/>
        </w:rPr>
        <w:t>Jinotega.</w:t>
      </w:r>
      <w:r w:rsidR="00100C9F" w:rsidRPr="00844A28">
        <w:rPr>
          <w:sz w:val="23"/>
          <w:szCs w:val="23"/>
          <w:lang w:val="es-NI"/>
        </w:rPr>
        <w:t xml:space="preserve"> Para </w:t>
      </w:r>
      <w:r w:rsidR="00731C9C" w:rsidRPr="00844A28">
        <w:rPr>
          <w:sz w:val="23"/>
          <w:szCs w:val="23"/>
          <w:lang w:val="es-NI"/>
        </w:rPr>
        <w:t xml:space="preserve">realizar dichas actividades, la PGR a través del IP, trabajará en conjunto con INETER y procurará la </w:t>
      </w:r>
      <w:r w:rsidR="00731C9C" w:rsidRPr="00844A28">
        <w:rPr>
          <w:sz w:val="23"/>
          <w:szCs w:val="23"/>
          <w:lang w:val="es-ES"/>
        </w:rPr>
        <w:t xml:space="preserve">colaboración de la Secretaría para el Desarrollo de la Costa Atlántica y de la Comisión Nacional </w:t>
      </w:r>
      <w:r w:rsidR="0028360A" w:rsidRPr="00844A28">
        <w:rPr>
          <w:sz w:val="23"/>
          <w:szCs w:val="23"/>
          <w:lang w:val="es-ES"/>
        </w:rPr>
        <w:t xml:space="preserve">para la </w:t>
      </w:r>
      <w:r w:rsidR="00FE4705" w:rsidRPr="00844A28">
        <w:rPr>
          <w:sz w:val="23"/>
          <w:szCs w:val="23"/>
          <w:lang w:val="es-ES"/>
        </w:rPr>
        <w:t>Demarcación</w:t>
      </w:r>
      <w:r w:rsidR="00E550BF">
        <w:rPr>
          <w:sz w:val="23"/>
          <w:szCs w:val="23"/>
          <w:lang w:val="es-ES"/>
        </w:rPr>
        <w:t xml:space="preserve"> </w:t>
      </w:r>
      <w:r w:rsidR="00FF357C" w:rsidRPr="00844A28">
        <w:rPr>
          <w:sz w:val="23"/>
          <w:szCs w:val="23"/>
          <w:lang w:val="es-ES"/>
        </w:rPr>
        <w:t>y</w:t>
      </w:r>
      <w:r w:rsidR="00E550BF">
        <w:rPr>
          <w:sz w:val="23"/>
          <w:szCs w:val="23"/>
          <w:lang w:val="es-ES"/>
        </w:rPr>
        <w:t xml:space="preserve"> </w:t>
      </w:r>
      <w:r w:rsidR="00FF52DD" w:rsidRPr="00844A28">
        <w:rPr>
          <w:sz w:val="23"/>
          <w:szCs w:val="23"/>
          <w:lang w:val="es-ES"/>
        </w:rPr>
        <w:t>Titulación</w:t>
      </w:r>
      <w:r w:rsidR="00E550BF">
        <w:rPr>
          <w:sz w:val="23"/>
          <w:szCs w:val="23"/>
          <w:lang w:val="es-ES"/>
        </w:rPr>
        <w:t xml:space="preserve"> </w:t>
      </w:r>
      <w:r w:rsidR="0028360A" w:rsidRPr="00844A28">
        <w:rPr>
          <w:sz w:val="23"/>
          <w:szCs w:val="23"/>
          <w:lang w:val="es-ES"/>
        </w:rPr>
        <w:t xml:space="preserve">en el caso de los </w:t>
      </w:r>
      <w:r w:rsidR="00E550BF">
        <w:rPr>
          <w:sz w:val="23"/>
          <w:szCs w:val="23"/>
          <w:lang w:val="es-ES"/>
        </w:rPr>
        <w:t>T</w:t>
      </w:r>
      <w:r w:rsidR="00FE4705" w:rsidRPr="00844A28">
        <w:rPr>
          <w:sz w:val="23"/>
          <w:szCs w:val="23"/>
          <w:lang w:val="es-ES"/>
        </w:rPr>
        <w:t xml:space="preserve">erritorios </w:t>
      </w:r>
      <w:r w:rsidR="00E550BF">
        <w:rPr>
          <w:sz w:val="23"/>
          <w:szCs w:val="23"/>
          <w:lang w:val="es-ES"/>
        </w:rPr>
        <w:t>I</w:t>
      </w:r>
      <w:r w:rsidR="00FE4705" w:rsidRPr="00844A28">
        <w:rPr>
          <w:sz w:val="23"/>
          <w:szCs w:val="23"/>
          <w:lang w:val="es-ES"/>
        </w:rPr>
        <w:t>ndígenas</w:t>
      </w:r>
      <w:r w:rsidR="006E65DC" w:rsidRPr="00844A28">
        <w:rPr>
          <w:sz w:val="23"/>
          <w:szCs w:val="23"/>
          <w:lang w:val="es-ES"/>
        </w:rPr>
        <w:t xml:space="preserve">. </w:t>
      </w:r>
      <w:r w:rsidR="0028360A" w:rsidRPr="00844A28">
        <w:rPr>
          <w:sz w:val="23"/>
          <w:szCs w:val="23"/>
          <w:lang w:val="es-ES"/>
        </w:rPr>
        <w:t>Asimismo</w:t>
      </w:r>
      <w:r w:rsidR="005B59EB" w:rsidRPr="00844A28">
        <w:rPr>
          <w:sz w:val="23"/>
          <w:szCs w:val="23"/>
          <w:lang w:val="es-ES"/>
        </w:rPr>
        <w:t xml:space="preserve">, </w:t>
      </w:r>
      <w:r w:rsidR="0028360A" w:rsidRPr="00844A28">
        <w:rPr>
          <w:sz w:val="23"/>
          <w:szCs w:val="23"/>
          <w:lang w:val="es-ES"/>
        </w:rPr>
        <w:t xml:space="preserve">el </w:t>
      </w:r>
      <w:r w:rsidR="005B59EB" w:rsidRPr="00844A28">
        <w:rPr>
          <w:sz w:val="23"/>
          <w:szCs w:val="23"/>
          <w:lang w:val="es-ES"/>
        </w:rPr>
        <w:t>MARENA</w:t>
      </w:r>
      <w:r w:rsidR="00E550BF">
        <w:rPr>
          <w:sz w:val="23"/>
          <w:szCs w:val="23"/>
          <w:lang w:val="es-ES"/>
        </w:rPr>
        <w:t xml:space="preserve"> </w:t>
      </w:r>
      <w:r w:rsidR="0028360A" w:rsidRPr="00844A28">
        <w:rPr>
          <w:sz w:val="23"/>
          <w:szCs w:val="23"/>
          <w:lang w:val="es-ES"/>
        </w:rPr>
        <w:t xml:space="preserve">encabezará el esfuerzo de demarcar los linderos externos de las áreas protegidas seleccionadas y de lanzar las campañas complementarias de educación ambiental. El Componente comprende los siguientes </w:t>
      </w:r>
      <w:r w:rsidR="0005786E" w:rsidRPr="00844A28">
        <w:rPr>
          <w:sz w:val="23"/>
          <w:szCs w:val="23"/>
          <w:lang w:val="es-ES"/>
        </w:rPr>
        <w:t>sub-componentes</w:t>
      </w:r>
      <w:r w:rsidR="00E550BF">
        <w:rPr>
          <w:sz w:val="23"/>
          <w:szCs w:val="23"/>
          <w:lang w:val="es-ES"/>
        </w:rPr>
        <w:t xml:space="preserve"> </w:t>
      </w:r>
      <w:r w:rsidR="00FF357C" w:rsidRPr="00844A28">
        <w:rPr>
          <w:sz w:val="23"/>
          <w:szCs w:val="23"/>
          <w:lang w:val="es-ES"/>
        </w:rPr>
        <w:t>y</w:t>
      </w:r>
      <w:r w:rsidR="00E550BF">
        <w:rPr>
          <w:sz w:val="23"/>
          <w:szCs w:val="23"/>
          <w:lang w:val="es-ES"/>
        </w:rPr>
        <w:t xml:space="preserve"> </w:t>
      </w:r>
      <w:r w:rsidR="00FF52DD" w:rsidRPr="00844A28">
        <w:rPr>
          <w:sz w:val="23"/>
          <w:szCs w:val="23"/>
          <w:lang w:val="es-ES"/>
        </w:rPr>
        <w:t>actividades</w:t>
      </w:r>
      <w:r w:rsidR="00B15A1B" w:rsidRPr="00844A28">
        <w:rPr>
          <w:sz w:val="23"/>
          <w:szCs w:val="23"/>
          <w:lang w:val="es-ES"/>
        </w:rPr>
        <w:t>:</w:t>
      </w:r>
    </w:p>
    <w:p w:rsidR="0052434A" w:rsidRPr="00844A28" w:rsidRDefault="0052434A" w:rsidP="0052434A">
      <w:pPr>
        <w:jc w:val="both"/>
        <w:rPr>
          <w:sz w:val="23"/>
          <w:szCs w:val="23"/>
          <w:lang w:val="es-ES"/>
        </w:rPr>
      </w:pPr>
    </w:p>
    <w:p w:rsidR="0005786E" w:rsidRPr="00844A28" w:rsidRDefault="0005786E" w:rsidP="00FF33C1">
      <w:pPr>
        <w:numPr>
          <w:ilvl w:val="0"/>
          <w:numId w:val="21"/>
        </w:numPr>
        <w:tabs>
          <w:tab w:val="clear" w:pos="360"/>
          <w:tab w:val="num" w:pos="0"/>
        </w:tabs>
        <w:jc w:val="both"/>
        <w:rPr>
          <w:sz w:val="23"/>
          <w:szCs w:val="23"/>
          <w:lang w:val="es-ES"/>
        </w:rPr>
      </w:pPr>
      <w:r w:rsidRPr="00844A28">
        <w:rPr>
          <w:i/>
          <w:iCs/>
          <w:sz w:val="23"/>
          <w:szCs w:val="23"/>
          <w:lang w:val="es-ES"/>
        </w:rPr>
        <w:t>Sub-componente 3.1: Fomento de la prestación de servicios de catastro, titulación y regularización</w:t>
      </w:r>
      <w:r w:rsidRPr="00844A28">
        <w:rPr>
          <w:iCs/>
          <w:sz w:val="23"/>
          <w:szCs w:val="23"/>
          <w:lang w:val="es-ES"/>
        </w:rPr>
        <w:t xml:space="preserve"> mediante el apoyo al INETER, IP y CSJ traducido en: (a) Ejecución de actividades sistemáticas de levantamiento catastral, regularización, titulación y registro en los municipios participantes; (b) Elaboración de encuestas, regularización, titulación y registro de parcelas </w:t>
      </w:r>
      <w:r w:rsidR="00E5633A" w:rsidRPr="00844A28">
        <w:rPr>
          <w:iCs/>
          <w:sz w:val="23"/>
          <w:szCs w:val="23"/>
          <w:lang w:val="es-ES"/>
        </w:rPr>
        <w:t xml:space="preserve">para </w:t>
      </w:r>
      <w:r w:rsidRPr="00844A28">
        <w:rPr>
          <w:iCs/>
          <w:sz w:val="23"/>
          <w:szCs w:val="23"/>
          <w:lang w:val="es-ES"/>
        </w:rPr>
        <w:t>personas naturales</w:t>
      </w:r>
      <w:r w:rsidR="00E5633A" w:rsidRPr="00844A28">
        <w:rPr>
          <w:iCs/>
          <w:sz w:val="23"/>
          <w:szCs w:val="23"/>
          <w:lang w:val="es-ES"/>
        </w:rPr>
        <w:t xml:space="preserve"> (i) ya sea por la demanda o (ii)</w:t>
      </w:r>
      <w:r w:rsidRPr="00844A28">
        <w:rPr>
          <w:iCs/>
          <w:sz w:val="23"/>
          <w:szCs w:val="23"/>
          <w:lang w:val="es-ES"/>
        </w:rPr>
        <w:t xml:space="preserve"> priorizados por  programas nacionales, seleccionados conform</w:t>
      </w:r>
      <w:r w:rsidR="00E550BF">
        <w:rPr>
          <w:iCs/>
          <w:sz w:val="23"/>
          <w:szCs w:val="23"/>
          <w:lang w:val="es-ES"/>
        </w:rPr>
        <w:t>e a</w:t>
      </w:r>
      <w:r w:rsidRPr="00844A28">
        <w:rPr>
          <w:iCs/>
          <w:sz w:val="23"/>
          <w:szCs w:val="23"/>
          <w:lang w:val="es-ES"/>
        </w:rPr>
        <w:t xml:space="preserve"> criterios estipulados en </w:t>
      </w:r>
      <w:r w:rsidR="00E5633A" w:rsidRPr="00844A28">
        <w:rPr>
          <w:iCs/>
          <w:sz w:val="23"/>
          <w:szCs w:val="23"/>
          <w:lang w:val="es-ES"/>
        </w:rPr>
        <w:t xml:space="preserve">el </w:t>
      </w:r>
      <w:r w:rsidRPr="00844A28">
        <w:rPr>
          <w:iCs/>
          <w:sz w:val="23"/>
          <w:szCs w:val="23"/>
          <w:lang w:val="es-ES"/>
        </w:rPr>
        <w:t>Manual Operativo</w:t>
      </w:r>
      <w:r w:rsidR="00E5633A" w:rsidRPr="00844A28">
        <w:rPr>
          <w:iCs/>
          <w:sz w:val="23"/>
          <w:szCs w:val="23"/>
          <w:lang w:val="es-ES"/>
        </w:rPr>
        <w:t xml:space="preserve"> (tales como grupos de mujeres campesinas identificadas por el Ministerio Agropecuario y Forestal</w:t>
      </w:r>
      <w:r w:rsidR="00E550BF">
        <w:rPr>
          <w:iCs/>
          <w:sz w:val="23"/>
          <w:szCs w:val="23"/>
          <w:lang w:val="es-ES"/>
        </w:rPr>
        <w:t>-</w:t>
      </w:r>
      <w:r w:rsidR="00E5633A" w:rsidRPr="00844A28">
        <w:rPr>
          <w:iCs/>
          <w:sz w:val="23"/>
          <w:szCs w:val="23"/>
          <w:lang w:val="es-ES"/>
        </w:rPr>
        <w:t>MAGFOR)</w:t>
      </w:r>
      <w:r w:rsidRPr="00844A28">
        <w:rPr>
          <w:iCs/>
          <w:sz w:val="23"/>
          <w:szCs w:val="23"/>
          <w:lang w:val="es-ES"/>
        </w:rPr>
        <w:t>; (c)  Ejecución de acciones de titulación y registro de propiedades elegibles, seleccionadas conform</w:t>
      </w:r>
      <w:r w:rsidR="00E550BF">
        <w:rPr>
          <w:iCs/>
          <w:sz w:val="23"/>
          <w:szCs w:val="23"/>
          <w:lang w:val="es-ES"/>
        </w:rPr>
        <w:t>e a</w:t>
      </w:r>
      <w:r w:rsidRPr="00844A28">
        <w:rPr>
          <w:iCs/>
          <w:sz w:val="23"/>
          <w:szCs w:val="23"/>
          <w:lang w:val="es-ES"/>
        </w:rPr>
        <w:t xml:space="preserve"> criterios estipulados en el Manual Operativo, tomados de la reciente reforma agraria para beneficiar a </w:t>
      </w:r>
      <w:r w:rsidRPr="00844A28">
        <w:rPr>
          <w:iCs/>
          <w:sz w:val="23"/>
          <w:szCs w:val="23"/>
          <w:lang w:val="es-ES"/>
        </w:rPr>
        <w:lastRenderedPageBreak/>
        <w:t>l</w:t>
      </w:r>
      <w:r w:rsidR="00E550BF">
        <w:rPr>
          <w:iCs/>
          <w:sz w:val="23"/>
          <w:szCs w:val="23"/>
          <w:lang w:val="es-ES"/>
        </w:rPr>
        <w:t>a</w:t>
      </w:r>
      <w:r w:rsidRPr="00844A28">
        <w:rPr>
          <w:iCs/>
          <w:sz w:val="23"/>
          <w:szCs w:val="23"/>
          <w:lang w:val="es-ES"/>
        </w:rPr>
        <w:t xml:space="preserve">s </w:t>
      </w:r>
      <w:r w:rsidR="00E550BF">
        <w:rPr>
          <w:iCs/>
          <w:sz w:val="23"/>
          <w:szCs w:val="23"/>
          <w:lang w:val="es-ES"/>
        </w:rPr>
        <w:t>personas actualmente en posesión</w:t>
      </w:r>
      <w:r w:rsidRPr="00844A28">
        <w:rPr>
          <w:iCs/>
          <w:sz w:val="23"/>
          <w:szCs w:val="23"/>
          <w:lang w:val="es-ES"/>
        </w:rPr>
        <w:t>;</w:t>
      </w:r>
      <w:r w:rsidR="00D06F62" w:rsidRPr="00844A28">
        <w:rPr>
          <w:rStyle w:val="FootnoteReference"/>
          <w:sz w:val="23"/>
          <w:szCs w:val="23"/>
          <w:lang w:val="es-ES"/>
        </w:rPr>
        <w:footnoteReference w:id="23"/>
      </w:r>
      <w:r w:rsidRPr="00844A28">
        <w:rPr>
          <w:iCs/>
          <w:sz w:val="23"/>
          <w:szCs w:val="23"/>
          <w:lang w:val="es-ES"/>
        </w:rPr>
        <w:t xml:space="preserve"> (d) Implementación de la estrategia </w:t>
      </w:r>
      <w:r w:rsidR="009A52DB" w:rsidRPr="00844A28">
        <w:rPr>
          <w:iCs/>
          <w:sz w:val="23"/>
          <w:szCs w:val="23"/>
          <w:lang w:val="es-ES"/>
        </w:rPr>
        <w:t>de comunicación</w:t>
      </w:r>
      <w:r w:rsidRPr="00844A28">
        <w:rPr>
          <w:iCs/>
          <w:sz w:val="23"/>
          <w:szCs w:val="23"/>
          <w:lang w:val="es-ES"/>
        </w:rPr>
        <w:t xml:space="preserve"> del Proyecto</w:t>
      </w:r>
      <w:r w:rsidR="00C46691" w:rsidRPr="00F702EF">
        <w:rPr>
          <w:iCs/>
          <w:sz w:val="23"/>
          <w:szCs w:val="23"/>
          <w:lang w:val="es-ES"/>
        </w:rPr>
        <w:t>.</w:t>
      </w:r>
    </w:p>
    <w:p w:rsidR="0052434A" w:rsidRPr="00844A28" w:rsidRDefault="0052434A" w:rsidP="0052434A">
      <w:pPr>
        <w:jc w:val="both"/>
        <w:rPr>
          <w:sz w:val="23"/>
          <w:szCs w:val="23"/>
          <w:lang w:val="es-ES"/>
        </w:rPr>
      </w:pPr>
    </w:p>
    <w:p w:rsidR="0052434A" w:rsidRPr="00844A28" w:rsidRDefault="00507271" w:rsidP="00FF33C1">
      <w:pPr>
        <w:numPr>
          <w:ilvl w:val="0"/>
          <w:numId w:val="21"/>
        </w:numPr>
        <w:tabs>
          <w:tab w:val="clear" w:pos="360"/>
          <w:tab w:val="num" w:pos="0"/>
        </w:tabs>
        <w:jc w:val="both"/>
        <w:rPr>
          <w:sz w:val="23"/>
          <w:szCs w:val="23"/>
          <w:lang w:val="es-NI"/>
        </w:rPr>
      </w:pPr>
      <w:r w:rsidRPr="00844A28">
        <w:rPr>
          <w:sz w:val="23"/>
          <w:szCs w:val="23"/>
          <w:lang w:val="es-NI"/>
        </w:rPr>
        <w:t>INETER</w:t>
      </w:r>
      <w:r w:rsidR="00707A09">
        <w:rPr>
          <w:sz w:val="23"/>
          <w:szCs w:val="23"/>
          <w:lang w:val="es-NI"/>
        </w:rPr>
        <w:t xml:space="preserve"> y</w:t>
      </w:r>
      <w:r w:rsidRPr="00844A28">
        <w:rPr>
          <w:sz w:val="23"/>
          <w:szCs w:val="23"/>
          <w:lang w:val="es-NI"/>
        </w:rPr>
        <w:t xml:space="preserve"> PGR</w:t>
      </w:r>
      <w:r w:rsidR="00707A09">
        <w:rPr>
          <w:sz w:val="23"/>
          <w:szCs w:val="23"/>
          <w:lang w:val="es-NI"/>
        </w:rPr>
        <w:t>-IP</w:t>
      </w:r>
      <w:r w:rsidRPr="00844A28">
        <w:rPr>
          <w:sz w:val="23"/>
          <w:szCs w:val="23"/>
          <w:lang w:val="es-NI"/>
        </w:rPr>
        <w:t xml:space="preserve"> </w:t>
      </w:r>
      <w:r w:rsidR="00D06F62" w:rsidRPr="00844A28">
        <w:rPr>
          <w:sz w:val="23"/>
          <w:szCs w:val="23"/>
          <w:lang w:val="es-NI"/>
        </w:rPr>
        <w:t xml:space="preserve">ejecutarán las </w:t>
      </w:r>
      <w:r w:rsidR="00FF52DD" w:rsidRPr="00844A28">
        <w:rPr>
          <w:sz w:val="23"/>
          <w:szCs w:val="23"/>
          <w:lang w:val="es-NI"/>
        </w:rPr>
        <w:t>actividades</w:t>
      </w:r>
      <w:r w:rsidR="00707A09">
        <w:rPr>
          <w:sz w:val="23"/>
          <w:szCs w:val="23"/>
          <w:lang w:val="es-NI"/>
        </w:rPr>
        <w:t xml:space="preserve"> </w:t>
      </w:r>
      <w:r w:rsidR="00D06F62" w:rsidRPr="00844A28">
        <w:rPr>
          <w:sz w:val="23"/>
          <w:szCs w:val="23"/>
          <w:lang w:val="es-NI"/>
        </w:rPr>
        <w:t>arriba citadas de conformidad con el modelo organizacional desarrollado y validado con éxito en el proyecto anterior.</w:t>
      </w:r>
      <w:r w:rsidR="006C25E7" w:rsidRPr="00844A28">
        <w:rPr>
          <w:sz w:val="23"/>
          <w:szCs w:val="23"/>
          <w:lang w:val="es-NI"/>
        </w:rPr>
        <w:t xml:space="preserve"> Al ofrecer un mayor nivel de apropiación institucional, control y coordinación, además de optimizar los procesos técnicos, el modelo ha permitido reducir el tiempo de procesamiento. La titulación se dará casi de manera simultánea con el </w:t>
      </w:r>
      <w:r w:rsidR="00661241" w:rsidRPr="00844A28">
        <w:rPr>
          <w:sz w:val="23"/>
          <w:szCs w:val="23"/>
          <w:lang w:val="es-NI"/>
        </w:rPr>
        <w:t>l</w:t>
      </w:r>
      <w:r w:rsidR="00661241" w:rsidRPr="00844A28">
        <w:rPr>
          <w:sz w:val="23"/>
          <w:szCs w:val="23"/>
          <w:lang w:val="es-ES"/>
        </w:rPr>
        <w:t>levantamiento</w:t>
      </w:r>
      <w:r w:rsidR="00FF52DD" w:rsidRPr="00844A28">
        <w:rPr>
          <w:sz w:val="23"/>
          <w:szCs w:val="23"/>
          <w:lang w:val="es-ES"/>
        </w:rPr>
        <w:t xml:space="preserve"> catastral</w:t>
      </w:r>
      <w:r w:rsidRPr="00844A28">
        <w:rPr>
          <w:sz w:val="23"/>
          <w:szCs w:val="23"/>
          <w:lang w:val="es-ES"/>
        </w:rPr>
        <w:t xml:space="preserve">, </w:t>
      </w:r>
      <w:r w:rsidR="00661241" w:rsidRPr="00844A28">
        <w:rPr>
          <w:sz w:val="23"/>
          <w:szCs w:val="23"/>
          <w:lang w:val="es-ES"/>
        </w:rPr>
        <w:t xml:space="preserve">a medida que se vayan identificando las propiedades que cumplen con las condiciones legales y técnicas para proceder con la titulación. La demanda temprana de </w:t>
      </w:r>
      <w:r w:rsidR="00A2111C" w:rsidRPr="00844A28">
        <w:rPr>
          <w:sz w:val="23"/>
          <w:szCs w:val="23"/>
          <w:lang w:val="es-ES"/>
        </w:rPr>
        <w:t>titulación de propiedades en los</w:t>
      </w:r>
      <w:r w:rsidR="00707A09">
        <w:rPr>
          <w:sz w:val="23"/>
          <w:szCs w:val="23"/>
          <w:lang w:val="es-ES"/>
        </w:rPr>
        <w:t xml:space="preserve"> </w:t>
      </w:r>
      <w:r w:rsidR="00A2111C" w:rsidRPr="00844A28">
        <w:rPr>
          <w:sz w:val="23"/>
          <w:szCs w:val="23"/>
          <w:lang w:val="es-NI"/>
        </w:rPr>
        <w:t>municipios participantes donde el levantamiento topográfico aún no ha iniciado también recibirá atención. El control de calidad de los productos catastrales</w:t>
      </w:r>
      <w:r w:rsidR="00A53EB2" w:rsidRPr="00844A28">
        <w:rPr>
          <w:sz w:val="23"/>
          <w:szCs w:val="23"/>
          <w:lang w:val="es-NI"/>
        </w:rPr>
        <w:t xml:space="preserve"> se bas</w:t>
      </w:r>
      <w:r w:rsidR="00707A09">
        <w:rPr>
          <w:sz w:val="23"/>
          <w:szCs w:val="23"/>
          <w:lang w:val="es-NI"/>
        </w:rPr>
        <w:t>ará</w:t>
      </w:r>
      <w:r w:rsidR="00A53EB2" w:rsidRPr="00844A28">
        <w:rPr>
          <w:sz w:val="23"/>
          <w:szCs w:val="23"/>
          <w:lang w:val="es-NI"/>
        </w:rPr>
        <w:t xml:space="preserve"> en normas internacionales aceptadas y se ejecutará a través de dos unidades independientes de INETER: la Dirección General de Geodesia y Cartografía </w:t>
      </w:r>
      <w:r w:rsidR="00707A09">
        <w:rPr>
          <w:sz w:val="23"/>
          <w:szCs w:val="23"/>
          <w:lang w:val="es-NI"/>
        </w:rPr>
        <w:t xml:space="preserve">(DGGC) </w:t>
      </w:r>
      <w:r w:rsidR="00A53EB2" w:rsidRPr="00844A28">
        <w:rPr>
          <w:sz w:val="23"/>
          <w:szCs w:val="23"/>
          <w:lang w:val="es-NI"/>
        </w:rPr>
        <w:t>y la Unidad del Sistema de Información Territorial (SIT) de la Dirección de Catastro Físico. Asimismo,</w:t>
      </w:r>
      <w:r w:rsidR="00FE3FE5" w:rsidRPr="00844A28">
        <w:rPr>
          <w:sz w:val="23"/>
          <w:szCs w:val="23"/>
          <w:lang w:val="es-NI"/>
        </w:rPr>
        <w:t xml:space="preserve"> las oficinas regionales del IP llevarán controles de los registros de las parcelas y chequeos de calidad de los pre-diagnósticos. Para facilitar su aplicación, el </w:t>
      </w:r>
      <w:r w:rsidR="00707A09">
        <w:rPr>
          <w:sz w:val="23"/>
          <w:szCs w:val="23"/>
          <w:lang w:val="es-NI"/>
        </w:rPr>
        <w:t>G</w:t>
      </w:r>
      <w:r w:rsidR="00FE3FE5" w:rsidRPr="00844A28">
        <w:rPr>
          <w:sz w:val="23"/>
          <w:szCs w:val="23"/>
          <w:lang w:val="es-NI"/>
        </w:rPr>
        <w:t>obierno elaboró una Estrategia de</w:t>
      </w:r>
      <w:r w:rsidR="00707A09">
        <w:rPr>
          <w:sz w:val="23"/>
          <w:szCs w:val="23"/>
          <w:lang w:val="es-NI"/>
        </w:rPr>
        <w:t xml:space="preserve"> </w:t>
      </w:r>
      <w:r w:rsidR="00FF52DD" w:rsidRPr="00844A28">
        <w:rPr>
          <w:sz w:val="23"/>
          <w:szCs w:val="23"/>
          <w:lang w:val="es-NI"/>
        </w:rPr>
        <w:t xml:space="preserve">Levantamiento </w:t>
      </w:r>
      <w:r w:rsidR="00FE3FE5" w:rsidRPr="00844A28">
        <w:rPr>
          <w:sz w:val="23"/>
          <w:szCs w:val="23"/>
          <w:lang w:val="es-NI"/>
        </w:rPr>
        <w:t>C</w:t>
      </w:r>
      <w:r w:rsidR="00FF52DD" w:rsidRPr="00844A28">
        <w:rPr>
          <w:sz w:val="23"/>
          <w:szCs w:val="23"/>
          <w:lang w:val="es-NI"/>
        </w:rPr>
        <w:t>atastral</w:t>
      </w:r>
      <w:r w:rsidR="00707A09">
        <w:rPr>
          <w:sz w:val="23"/>
          <w:szCs w:val="23"/>
          <w:lang w:val="es-NI"/>
        </w:rPr>
        <w:t xml:space="preserve"> </w:t>
      </w:r>
      <w:r w:rsidR="00FF357C" w:rsidRPr="00844A28">
        <w:rPr>
          <w:sz w:val="23"/>
          <w:szCs w:val="23"/>
          <w:lang w:val="es-NI"/>
        </w:rPr>
        <w:t>y</w:t>
      </w:r>
      <w:r w:rsidR="00707A09">
        <w:rPr>
          <w:sz w:val="23"/>
          <w:szCs w:val="23"/>
          <w:lang w:val="es-NI"/>
        </w:rPr>
        <w:t xml:space="preserve"> </w:t>
      </w:r>
      <w:r w:rsidR="00FF52DD" w:rsidRPr="00844A28">
        <w:rPr>
          <w:sz w:val="23"/>
          <w:szCs w:val="23"/>
          <w:lang w:val="es-NI"/>
        </w:rPr>
        <w:t>Regularización</w:t>
      </w:r>
      <w:r w:rsidR="00FE3FE5" w:rsidRPr="00844A28">
        <w:rPr>
          <w:sz w:val="23"/>
          <w:szCs w:val="23"/>
          <w:lang w:val="es-NI"/>
        </w:rPr>
        <w:t>, con el objetivo de identificar metas anuales. Esta estrategia podr</w:t>
      </w:r>
      <w:r w:rsidR="00974C0D" w:rsidRPr="00844A28">
        <w:rPr>
          <w:sz w:val="23"/>
          <w:szCs w:val="23"/>
          <w:lang w:val="es-NI"/>
        </w:rPr>
        <w:t>ía actualizarse por consenso entre el gobierno y el Banco Mundial.</w:t>
      </w:r>
    </w:p>
    <w:p w:rsidR="0052434A" w:rsidRPr="00844A28" w:rsidRDefault="0052434A" w:rsidP="0052434A">
      <w:pPr>
        <w:jc w:val="both"/>
        <w:rPr>
          <w:sz w:val="23"/>
          <w:szCs w:val="23"/>
          <w:lang w:val="es-NI"/>
        </w:rPr>
      </w:pPr>
    </w:p>
    <w:p w:rsidR="00283662" w:rsidRPr="00844A28" w:rsidRDefault="00974C0D" w:rsidP="00FF33C1">
      <w:pPr>
        <w:numPr>
          <w:ilvl w:val="0"/>
          <w:numId w:val="21"/>
        </w:numPr>
        <w:tabs>
          <w:tab w:val="clear" w:pos="360"/>
          <w:tab w:val="num" w:pos="0"/>
        </w:tabs>
        <w:jc w:val="both"/>
        <w:rPr>
          <w:sz w:val="23"/>
          <w:szCs w:val="23"/>
          <w:lang w:val="es-ES"/>
        </w:rPr>
      </w:pPr>
      <w:r w:rsidRPr="00844A28">
        <w:rPr>
          <w:i/>
          <w:iCs/>
          <w:sz w:val="23"/>
          <w:szCs w:val="23"/>
          <w:lang w:val="es-ES"/>
        </w:rPr>
        <w:t xml:space="preserve">Sub-componente 3.2: Demarcación y titulación de dos </w:t>
      </w:r>
      <w:r w:rsidRPr="00844A28">
        <w:rPr>
          <w:i/>
          <w:sz w:val="23"/>
          <w:szCs w:val="23"/>
          <w:lang w:val="es-NI"/>
        </w:rPr>
        <w:t xml:space="preserve">áreas complementarias de </w:t>
      </w:r>
      <w:r w:rsidRPr="00844A28">
        <w:rPr>
          <w:i/>
          <w:iCs/>
          <w:sz w:val="23"/>
          <w:szCs w:val="23"/>
          <w:lang w:val="es-ES"/>
        </w:rPr>
        <w:t xml:space="preserve">los </w:t>
      </w:r>
      <w:r w:rsidR="00707A09">
        <w:rPr>
          <w:i/>
          <w:iCs/>
          <w:sz w:val="23"/>
          <w:szCs w:val="23"/>
          <w:lang w:val="es-ES"/>
        </w:rPr>
        <w:t>T</w:t>
      </w:r>
      <w:r w:rsidRPr="00844A28">
        <w:rPr>
          <w:i/>
          <w:iCs/>
          <w:sz w:val="23"/>
          <w:szCs w:val="23"/>
          <w:lang w:val="es-ES"/>
        </w:rPr>
        <w:t xml:space="preserve">erritorios </w:t>
      </w:r>
      <w:r w:rsidR="00707A09" w:rsidRPr="00020DA8">
        <w:rPr>
          <w:i/>
          <w:iCs/>
          <w:sz w:val="23"/>
          <w:szCs w:val="23"/>
          <w:lang w:val="es-ES"/>
        </w:rPr>
        <w:t>I</w:t>
      </w:r>
      <w:r w:rsidRPr="00020DA8">
        <w:rPr>
          <w:i/>
          <w:iCs/>
          <w:sz w:val="23"/>
          <w:szCs w:val="23"/>
          <w:lang w:val="es-ES"/>
        </w:rPr>
        <w:t>ndígenas</w:t>
      </w:r>
      <w:r w:rsidR="00707A09" w:rsidRPr="00020DA8">
        <w:rPr>
          <w:i/>
          <w:iCs/>
          <w:sz w:val="23"/>
          <w:szCs w:val="23"/>
          <w:lang w:val="es-ES"/>
        </w:rPr>
        <w:t xml:space="preserve"> </w:t>
      </w:r>
      <w:r w:rsidR="00C46691" w:rsidRPr="00020DA8">
        <w:rPr>
          <w:i/>
          <w:sz w:val="23"/>
          <w:szCs w:val="23"/>
          <w:lang w:val="es-NI"/>
        </w:rPr>
        <w:t>MSBU y MITK</w:t>
      </w:r>
      <w:r w:rsidR="00C46691" w:rsidRPr="00020DA8">
        <w:rPr>
          <w:sz w:val="23"/>
          <w:szCs w:val="23"/>
          <w:lang w:val="es-NI"/>
        </w:rPr>
        <w:t>,</w:t>
      </w:r>
      <w:r w:rsidR="00C46691" w:rsidRPr="00020DA8">
        <w:rPr>
          <w:rStyle w:val="FootnoteReference"/>
          <w:sz w:val="23"/>
          <w:szCs w:val="23"/>
        </w:rPr>
        <w:footnoteReference w:id="24"/>
      </w:r>
      <w:r w:rsidRPr="00020DA8">
        <w:rPr>
          <w:iCs/>
          <w:sz w:val="23"/>
          <w:szCs w:val="23"/>
          <w:lang w:val="es-ES"/>
        </w:rPr>
        <w:t>mediante</w:t>
      </w:r>
      <w:r w:rsidRPr="00844A28">
        <w:rPr>
          <w:iCs/>
          <w:sz w:val="23"/>
          <w:szCs w:val="23"/>
          <w:lang w:val="es-ES"/>
        </w:rPr>
        <w:t xml:space="preserve"> el apoyo al IP, traducido, entre otras cosas en: (a) La ejecución de actividades de formación de capacidades y coordinación; (b) La validación de los diagnósticos territoriales existentes; (c) El apoyo a la creación  de mecanismos de solución alterna de conflictos; (d) Demarcación, titulación y registro.</w:t>
      </w:r>
      <w:r w:rsidR="00F947E1" w:rsidRPr="00844A28">
        <w:rPr>
          <w:iCs/>
          <w:sz w:val="23"/>
          <w:szCs w:val="23"/>
          <w:lang w:val="es-ES"/>
        </w:rPr>
        <w:t xml:space="preserve"> Estos territorios</w:t>
      </w:r>
      <w:r w:rsidR="00283662" w:rsidRPr="00844A28">
        <w:rPr>
          <w:iCs/>
          <w:sz w:val="23"/>
          <w:szCs w:val="23"/>
          <w:lang w:val="es-ES"/>
        </w:rPr>
        <w:t xml:space="preserve"> están ubicados dentro del Régimen Especial de Desarrollo (creado por el decreto presidencial N° 19-2008) en la Reserva Biosfera de Bosaw</w:t>
      </w:r>
      <w:r w:rsidR="009E631F">
        <w:rPr>
          <w:iCs/>
          <w:sz w:val="23"/>
          <w:szCs w:val="23"/>
          <w:lang w:val="es-ES"/>
        </w:rPr>
        <w:t>á</w:t>
      </w:r>
      <w:r w:rsidR="00283662" w:rsidRPr="00844A28">
        <w:rPr>
          <w:iCs/>
          <w:sz w:val="23"/>
          <w:szCs w:val="23"/>
          <w:lang w:val="es-ES"/>
        </w:rPr>
        <w:t xml:space="preserve">s, la cual cubre las cuencas de los ríos </w:t>
      </w:r>
      <w:r w:rsidR="00A9041E" w:rsidRPr="00844A28">
        <w:rPr>
          <w:sz w:val="23"/>
          <w:szCs w:val="23"/>
          <w:lang w:val="es-ES"/>
        </w:rPr>
        <w:t>Alto Wangki</w:t>
      </w:r>
      <w:r w:rsidR="009E631F">
        <w:rPr>
          <w:sz w:val="23"/>
          <w:szCs w:val="23"/>
          <w:lang w:val="es-ES"/>
        </w:rPr>
        <w:t xml:space="preserve"> </w:t>
      </w:r>
      <w:r w:rsidR="00FF357C" w:rsidRPr="00844A28">
        <w:rPr>
          <w:sz w:val="23"/>
          <w:szCs w:val="23"/>
          <w:lang w:val="es-ES"/>
        </w:rPr>
        <w:t>y</w:t>
      </w:r>
      <w:r w:rsidR="009E631F">
        <w:rPr>
          <w:sz w:val="23"/>
          <w:szCs w:val="23"/>
          <w:lang w:val="es-ES"/>
        </w:rPr>
        <w:t xml:space="preserve"> </w:t>
      </w:r>
      <w:r w:rsidR="00A9041E" w:rsidRPr="00844A28">
        <w:rPr>
          <w:sz w:val="23"/>
          <w:szCs w:val="23"/>
          <w:lang w:val="es-ES"/>
        </w:rPr>
        <w:t>Bocay</w:t>
      </w:r>
      <w:r w:rsidR="009E631F">
        <w:rPr>
          <w:sz w:val="23"/>
          <w:szCs w:val="23"/>
          <w:lang w:val="es-ES"/>
        </w:rPr>
        <w:t xml:space="preserve"> </w:t>
      </w:r>
      <w:r w:rsidR="00283662" w:rsidRPr="00844A28">
        <w:rPr>
          <w:sz w:val="23"/>
          <w:szCs w:val="23"/>
          <w:lang w:val="es-ES"/>
        </w:rPr>
        <w:t>en el</w:t>
      </w:r>
      <w:r w:rsidR="009E631F">
        <w:rPr>
          <w:sz w:val="23"/>
          <w:szCs w:val="23"/>
          <w:lang w:val="es-ES"/>
        </w:rPr>
        <w:t xml:space="preserve"> </w:t>
      </w:r>
      <w:r w:rsidR="00B07E7F" w:rsidRPr="00844A28">
        <w:rPr>
          <w:sz w:val="23"/>
          <w:szCs w:val="23"/>
          <w:lang w:val="es-ES"/>
        </w:rPr>
        <w:t>departamento</w:t>
      </w:r>
      <w:r w:rsidR="009E631F">
        <w:rPr>
          <w:sz w:val="23"/>
          <w:szCs w:val="23"/>
          <w:lang w:val="es-ES"/>
        </w:rPr>
        <w:t xml:space="preserve"> </w:t>
      </w:r>
      <w:r w:rsidR="00283662" w:rsidRPr="00844A28">
        <w:rPr>
          <w:sz w:val="23"/>
          <w:szCs w:val="23"/>
          <w:lang w:val="es-ES"/>
        </w:rPr>
        <w:t xml:space="preserve">de </w:t>
      </w:r>
      <w:r w:rsidR="00FB7276" w:rsidRPr="00844A28">
        <w:rPr>
          <w:sz w:val="23"/>
          <w:szCs w:val="23"/>
          <w:lang w:val="es-ES"/>
        </w:rPr>
        <w:t>Jinotega</w:t>
      </w:r>
      <w:r w:rsidR="00A9041E" w:rsidRPr="00844A28">
        <w:rPr>
          <w:sz w:val="23"/>
          <w:szCs w:val="23"/>
          <w:lang w:val="es-ES"/>
        </w:rPr>
        <w:t xml:space="preserve">. </w:t>
      </w:r>
      <w:r w:rsidR="00283662" w:rsidRPr="00844A28">
        <w:rPr>
          <w:sz w:val="23"/>
          <w:szCs w:val="23"/>
          <w:lang w:val="es-ES"/>
        </w:rPr>
        <w:t>Los procedimientos de d</w:t>
      </w:r>
      <w:r w:rsidR="00FE4705" w:rsidRPr="00844A28">
        <w:rPr>
          <w:sz w:val="23"/>
          <w:szCs w:val="23"/>
          <w:lang w:val="es-ES"/>
        </w:rPr>
        <w:t>emarcación</w:t>
      </w:r>
      <w:r w:rsidR="009E631F">
        <w:rPr>
          <w:sz w:val="23"/>
          <w:szCs w:val="23"/>
          <w:lang w:val="es-ES"/>
        </w:rPr>
        <w:t xml:space="preserve"> </w:t>
      </w:r>
      <w:r w:rsidR="00FF357C" w:rsidRPr="00844A28">
        <w:rPr>
          <w:sz w:val="23"/>
          <w:szCs w:val="23"/>
          <w:lang w:val="es-ES"/>
        </w:rPr>
        <w:t>y</w:t>
      </w:r>
      <w:r w:rsidR="009E631F">
        <w:rPr>
          <w:sz w:val="23"/>
          <w:szCs w:val="23"/>
          <w:lang w:val="es-ES"/>
        </w:rPr>
        <w:t xml:space="preserve"> </w:t>
      </w:r>
      <w:r w:rsidR="00FF52DD" w:rsidRPr="00844A28">
        <w:rPr>
          <w:sz w:val="23"/>
          <w:szCs w:val="23"/>
          <w:lang w:val="es-ES"/>
        </w:rPr>
        <w:t>titulación</w:t>
      </w:r>
      <w:r w:rsidR="009E631F">
        <w:rPr>
          <w:sz w:val="23"/>
          <w:szCs w:val="23"/>
          <w:lang w:val="es-ES"/>
        </w:rPr>
        <w:t xml:space="preserve">  </w:t>
      </w:r>
      <w:r w:rsidR="00FF2037" w:rsidRPr="00844A28">
        <w:rPr>
          <w:sz w:val="23"/>
          <w:szCs w:val="23"/>
          <w:lang w:val="es-ES"/>
        </w:rPr>
        <w:t>caen dentro del ámbito de la ley 445, la cual fue elaborada y cumplida con mucho éxito durante el proyecto anterior.</w:t>
      </w:r>
    </w:p>
    <w:p w:rsidR="00FF2037" w:rsidRPr="00844A28" w:rsidRDefault="00FF2037" w:rsidP="00FF2037">
      <w:pPr>
        <w:jc w:val="both"/>
        <w:rPr>
          <w:sz w:val="23"/>
          <w:szCs w:val="23"/>
          <w:lang w:val="es-ES"/>
        </w:rPr>
      </w:pPr>
    </w:p>
    <w:p w:rsidR="00FB4B2E" w:rsidRPr="00844A28" w:rsidRDefault="00FF2037" w:rsidP="00FF33C1">
      <w:pPr>
        <w:numPr>
          <w:ilvl w:val="0"/>
          <w:numId w:val="21"/>
        </w:numPr>
        <w:jc w:val="both"/>
        <w:rPr>
          <w:iCs/>
          <w:sz w:val="23"/>
          <w:szCs w:val="23"/>
          <w:lang w:val="es-ES"/>
        </w:rPr>
      </w:pPr>
      <w:r w:rsidRPr="00844A28">
        <w:rPr>
          <w:i/>
          <w:iCs/>
          <w:sz w:val="23"/>
          <w:szCs w:val="23"/>
          <w:lang w:val="es-ES"/>
        </w:rPr>
        <w:t>Sub-componente 3.3: Demarcación de las áreas protegidas</w:t>
      </w:r>
      <w:r w:rsidRPr="00844A28">
        <w:rPr>
          <w:iCs/>
          <w:sz w:val="23"/>
          <w:szCs w:val="23"/>
          <w:lang w:val="es-ES"/>
        </w:rPr>
        <w:t xml:space="preserve"> seleccionadas de conformidad con los criterios estipulados en el </w:t>
      </w:r>
      <w:r w:rsidR="00C46691" w:rsidRPr="00020DA8">
        <w:rPr>
          <w:iCs/>
          <w:sz w:val="23"/>
          <w:szCs w:val="23"/>
          <w:lang w:val="es-ES"/>
        </w:rPr>
        <w:t>Manual Operativo</w:t>
      </w:r>
      <w:r w:rsidR="00C46691" w:rsidRPr="00020DA8">
        <w:rPr>
          <w:rStyle w:val="FootnoteReference"/>
          <w:sz w:val="23"/>
          <w:szCs w:val="23"/>
          <w:lang w:val="es-ES"/>
        </w:rPr>
        <w:footnoteReference w:id="25"/>
      </w:r>
      <w:r w:rsidRPr="00844A28">
        <w:rPr>
          <w:iCs/>
          <w:sz w:val="23"/>
          <w:szCs w:val="23"/>
          <w:lang w:val="es-ES"/>
        </w:rPr>
        <w:t xml:space="preserve"> mediante el apoyo al MARENA, traducido entre otras cosas en: (a) La demarcación de los linderos externos de las áreas protegidas, preparativos, recopilación de datos, consultas con los beneficiarios,</w:t>
      </w:r>
      <w:r w:rsidR="00B93CB7" w:rsidRPr="00844A28">
        <w:rPr>
          <w:iCs/>
          <w:sz w:val="23"/>
          <w:szCs w:val="23"/>
          <w:lang w:val="es-ES"/>
        </w:rPr>
        <w:t xml:space="preserve"> determinación de linderos, geor</w:t>
      </w:r>
      <w:r w:rsidRPr="00844A28">
        <w:rPr>
          <w:iCs/>
          <w:sz w:val="23"/>
          <w:szCs w:val="23"/>
          <w:lang w:val="es-ES"/>
        </w:rPr>
        <w:t>referencia</w:t>
      </w:r>
      <w:r w:rsidR="00B93CB7" w:rsidRPr="00844A28">
        <w:rPr>
          <w:iCs/>
          <w:sz w:val="23"/>
          <w:szCs w:val="23"/>
          <w:lang w:val="es-ES"/>
        </w:rPr>
        <w:t>ción</w:t>
      </w:r>
      <w:r w:rsidRPr="00844A28">
        <w:rPr>
          <w:iCs/>
          <w:sz w:val="23"/>
          <w:szCs w:val="23"/>
          <w:lang w:val="es-ES"/>
        </w:rPr>
        <w:t xml:space="preserve"> y demarcación física de los linderos; (b) El lanzamiento de una campaña de comunicación y educación ambiental en las áreas protegidas y comunidades aledañas.</w:t>
      </w:r>
      <w:r w:rsidR="00B93CB7" w:rsidRPr="00844A28">
        <w:rPr>
          <w:iCs/>
          <w:sz w:val="23"/>
          <w:szCs w:val="23"/>
          <w:lang w:val="es-ES"/>
        </w:rPr>
        <w:t xml:space="preserve"> De conformidad con la Ley de Acceso a la Información Pública</w:t>
      </w:r>
      <w:r w:rsidR="00206172" w:rsidRPr="00844A28">
        <w:rPr>
          <w:iCs/>
          <w:sz w:val="23"/>
          <w:szCs w:val="23"/>
          <w:lang w:val="es-ES"/>
        </w:rPr>
        <w:t>, la información referente a estas áreas debe darse a conocer a las organizaciones interesadas y al público en general. La campaña incluye entre otros temas de importancia, información básica sobre las áreas protegidas, leyes y regulaciones ambientales pertinentes, beneficios directos e indirectos derivadas de las acciones de conservación de los recursos naturales</w:t>
      </w:r>
      <w:r w:rsidR="00712D1D" w:rsidRPr="00844A28">
        <w:rPr>
          <w:iCs/>
          <w:sz w:val="23"/>
          <w:szCs w:val="23"/>
          <w:lang w:val="es-ES"/>
        </w:rPr>
        <w:t xml:space="preserve"> y prácticas recomendadas de manejo de tierras.</w:t>
      </w:r>
      <w:r w:rsidR="00FB4B2E" w:rsidRPr="00844A28">
        <w:rPr>
          <w:iCs/>
          <w:sz w:val="23"/>
          <w:szCs w:val="23"/>
          <w:lang w:val="es-ES"/>
        </w:rPr>
        <w:t xml:space="preserve"> La campaña estará coordinada con los consejos de la familia, salud y vida de las áreas atendidas por el Proyecto.</w:t>
      </w:r>
    </w:p>
    <w:p w:rsidR="00FB4B2E" w:rsidRPr="00844A28" w:rsidRDefault="00FB4B2E" w:rsidP="00FB4B2E">
      <w:pPr>
        <w:jc w:val="both"/>
        <w:rPr>
          <w:iCs/>
          <w:sz w:val="23"/>
          <w:szCs w:val="23"/>
          <w:lang w:val="es-ES"/>
        </w:rPr>
      </w:pPr>
    </w:p>
    <w:p w:rsidR="001E7288" w:rsidRPr="00844A28" w:rsidRDefault="00FB4B2E" w:rsidP="00FF33C1">
      <w:pPr>
        <w:numPr>
          <w:ilvl w:val="0"/>
          <w:numId w:val="21"/>
        </w:numPr>
        <w:jc w:val="both"/>
        <w:rPr>
          <w:sz w:val="23"/>
          <w:szCs w:val="23"/>
          <w:lang w:val="es-ES"/>
        </w:rPr>
      </w:pPr>
      <w:r w:rsidRPr="00844A28">
        <w:rPr>
          <w:iCs/>
          <w:sz w:val="23"/>
          <w:szCs w:val="23"/>
          <w:lang w:val="es-ES"/>
        </w:rPr>
        <w:t xml:space="preserve">La demarcación física se hará con mojones y colocación de rótulos en el perímetro y dentro de los linderos </w:t>
      </w:r>
      <w:r w:rsidR="001E7288" w:rsidRPr="00844A28">
        <w:rPr>
          <w:iCs/>
          <w:sz w:val="23"/>
          <w:szCs w:val="23"/>
          <w:lang w:val="es-ES"/>
        </w:rPr>
        <w:t>del área protegida. Estas actividades se ejecutarán de conformidad con el PGA, y con las normas ambientales dictadas por el MARENA para la demarcación de áreas protegidas y el marco procesal, con la finalidad de garantizar que se tomen las medidas adecuadas para minimizar, mitigar y compensar cualquier impacto social y ambiental negativo (tomando en cuenta la posible restricción de acceso a los recursos naturales).</w:t>
      </w:r>
    </w:p>
    <w:p w:rsidR="00F666E8" w:rsidRPr="00844A28" w:rsidRDefault="00F666E8" w:rsidP="00C33732">
      <w:pPr>
        <w:rPr>
          <w:i/>
          <w:sz w:val="23"/>
          <w:szCs w:val="23"/>
          <w:lang w:val="es-ES"/>
        </w:rPr>
      </w:pPr>
    </w:p>
    <w:p w:rsidR="00B30815" w:rsidRDefault="00B30815" w:rsidP="004E616F">
      <w:pPr>
        <w:jc w:val="both"/>
        <w:rPr>
          <w:b/>
          <w:lang w:val="es-ES"/>
        </w:rPr>
      </w:pPr>
      <w:r>
        <w:rPr>
          <w:b/>
          <w:lang w:val="es-ES"/>
        </w:rPr>
        <w:t>Componente 4: Administración, Monitoreo y Evaluación del Proyecto (U</w:t>
      </w:r>
      <w:r w:rsidR="00F702EF">
        <w:rPr>
          <w:b/>
          <w:lang w:val="es-ES"/>
        </w:rPr>
        <w:t>S$ 3.20 millones</w:t>
      </w:r>
      <w:r>
        <w:rPr>
          <w:b/>
          <w:lang w:val="es-ES"/>
        </w:rPr>
        <w:t>)</w:t>
      </w:r>
    </w:p>
    <w:p w:rsidR="004E616F" w:rsidRPr="00844A28" w:rsidRDefault="004E616F" w:rsidP="004E616F">
      <w:pPr>
        <w:pStyle w:val="ListParagraph"/>
        <w:rPr>
          <w:b/>
          <w:sz w:val="23"/>
          <w:szCs w:val="23"/>
          <w:lang w:val="es-NI"/>
        </w:rPr>
      </w:pPr>
    </w:p>
    <w:p w:rsidR="005C1A76" w:rsidRPr="00844A28" w:rsidRDefault="00B30815" w:rsidP="00FF33C1">
      <w:pPr>
        <w:numPr>
          <w:ilvl w:val="0"/>
          <w:numId w:val="21"/>
        </w:numPr>
        <w:tabs>
          <w:tab w:val="clear" w:pos="360"/>
          <w:tab w:val="num" w:pos="0"/>
        </w:tabs>
        <w:jc w:val="both"/>
        <w:rPr>
          <w:sz w:val="23"/>
          <w:szCs w:val="23"/>
          <w:lang w:val="es-ES"/>
        </w:rPr>
      </w:pPr>
      <w:r w:rsidRPr="00844A28">
        <w:rPr>
          <w:sz w:val="23"/>
          <w:szCs w:val="23"/>
          <w:lang w:val="es-ES"/>
        </w:rPr>
        <w:t>El</w:t>
      </w:r>
      <w:r w:rsidR="009E631F">
        <w:rPr>
          <w:sz w:val="23"/>
          <w:szCs w:val="23"/>
          <w:lang w:val="es-ES"/>
        </w:rPr>
        <w:t xml:space="preserve"> </w:t>
      </w:r>
      <w:r w:rsidR="00A7778B" w:rsidRPr="00844A28">
        <w:rPr>
          <w:sz w:val="23"/>
          <w:szCs w:val="23"/>
          <w:lang w:val="es-ES"/>
        </w:rPr>
        <w:t>objetivo</w:t>
      </w:r>
      <w:r w:rsidRPr="00844A28">
        <w:rPr>
          <w:sz w:val="23"/>
          <w:szCs w:val="23"/>
          <w:lang w:val="es-ES"/>
        </w:rPr>
        <w:t xml:space="preserve"> de este </w:t>
      </w:r>
      <w:r w:rsidR="00237729" w:rsidRPr="00844A28">
        <w:rPr>
          <w:sz w:val="23"/>
          <w:szCs w:val="23"/>
          <w:lang w:val="es-ES"/>
        </w:rPr>
        <w:t>Componente</w:t>
      </w:r>
      <w:r w:rsidR="009E631F">
        <w:rPr>
          <w:sz w:val="23"/>
          <w:szCs w:val="23"/>
          <w:lang w:val="es-ES"/>
        </w:rPr>
        <w:t xml:space="preserve"> </w:t>
      </w:r>
      <w:r w:rsidRPr="00844A28">
        <w:rPr>
          <w:sz w:val="23"/>
          <w:szCs w:val="23"/>
          <w:lang w:val="es-ES"/>
        </w:rPr>
        <w:t>consiste en apoyar la administración, monitoreo y evaluación del Proyecto.</w:t>
      </w:r>
      <w:r w:rsidR="00577837" w:rsidRPr="00844A28">
        <w:rPr>
          <w:sz w:val="23"/>
          <w:szCs w:val="23"/>
          <w:lang w:val="es-ES"/>
        </w:rPr>
        <w:t xml:space="preserve"> La UCP creada en el proyecto anterior continuará al frente de la coordinación general del Proyecto bajo el liderazgo de la PGR. El Componente abarca los siguientes</w:t>
      </w:r>
      <w:r w:rsidR="00B15A1B" w:rsidRPr="00844A28">
        <w:rPr>
          <w:sz w:val="23"/>
          <w:szCs w:val="23"/>
          <w:lang w:val="es-ES"/>
        </w:rPr>
        <w:t xml:space="preserve"> sub-</w:t>
      </w:r>
      <w:r w:rsidR="00577837" w:rsidRPr="00844A28">
        <w:rPr>
          <w:sz w:val="23"/>
          <w:szCs w:val="23"/>
          <w:lang w:val="es-ES"/>
        </w:rPr>
        <w:t>c</w:t>
      </w:r>
      <w:r w:rsidR="00237729" w:rsidRPr="00844A28">
        <w:rPr>
          <w:sz w:val="23"/>
          <w:szCs w:val="23"/>
          <w:lang w:val="es-ES"/>
        </w:rPr>
        <w:t>omponentes</w:t>
      </w:r>
      <w:r w:rsidR="009E631F">
        <w:rPr>
          <w:sz w:val="23"/>
          <w:szCs w:val="23"/>
          <w:lang w:val="es-ES"/>
        </w:rPr>
        <w:t xml:space="preserve"> </w:t>
      </w:r>
      <w:r w:rsidR="00FF357C" w:rsidRPr="00844A28">
        <w:rPr>
          <w:sz w:val="23"/>
          <w:szCs w:val="23"/>
          <w:lang w:val="es-ES"/>
        </w:rPr>
        <w:t>y</w:t>
      </w:r>
      <w:r w:rsidR="009E631F">
        <w:rPr>
          <w:sz w:val="23"/>
          <w:szCs w:val="23"/>
          <w:lang w:val="es-ES"/>
        </w:rPr>
        <w:t xml:space="preserve"> </w:t>
      </w:r>
      <w:r w:rsidR="00FF52DD" w:rsidRPr="00844A28">
        <w:rPr>
          <w:sz w:val="23"/>
          <w:szCs w:val="23"/>
          <w:lang w:val="es-ES"/>
        </w:rPr>
        <w:t>actividades</w:t>
      </w:r>
      <w:r w:rsidR="00B15A1B" w:rsidRPr="00844A28">
        <w:rPr>
          <w:sz w:val="23"/>
          <w:szCs w:val="23"/>
          <w:lang w:val="es-ES"/>
        </w:rPr>
        <w:t>:</w:t>
      </w:r>
    </w:p>
    <w:p w:rsidR="005C1A76" w:rsidRPr="00844A28" w:rsidRDefault="005C1A76" w:rsidP="005C1A76">
      <w:pPr>
        <w:jc w:val="both"/>
        <w:rPr>
          <w:sz w:val="23"/>
          <w:szCs w:val="23"/>
          <w:lang w:val="es-ES"/>
        </w:rPr>
      </w:pPr>
    </w:p>
    <w:p w:rsidR="005C1A76" w:rsidRPr="00844A28" w:rsidRDefault="00577837" w:rsidP="00577837">
      <w:pPr>
        <w:numPr>
          <w:ilvl w:val="0"/>
          <w:numId w:val="21"/>
        </w:numPr>
        <w:jc w:val="both"/>
        <w:rPr>
          <w:iCs/>
          <w:sz w:val="23"/>
          <w:szCs w:val="23"/>
          <w:lang w:val="es-ES"/>
        </w:rPr>
      </w:pPr>
      <w:r w:rsidRPr="00844A28">
        <w:rPr>
          <w:i/>
          <w:iCs/>
          <w:sz w:val="23"/>
          <w:szCs w:val="23"/>
          <w:lang w:val="es-ES"/>
        </w:rPr>
        <w:t>Sub-componente 4.1: Apoyo a la Administración del Proyecto</w:t>
      </w:r>
      <w:r w:rsidRPr="00844A28">
        <w:rPr>
          <w:iCs/>
          <w:sz w:val="23"/>
          <w:szCs w:val="23"/>
          <w:lang w:val="es-ES"/>
        </w:rPr>
        <w:t xml:space="preserve">, traducido entre otras en: (i) Capacitaciones y talleres; (ii) Actividades de coordinación, administrativas y fiduciarias del Proyecto, incluyendo auditorías; (iii) Supervisión de la ejecución de la estrategia de comunicación y de la estrategia de género para el Proyecto. </w:t>
      </w:r>
    </w:p>
    <w:p w:rsidR="005C1A76" w:rsidRPr="00844A28" w:rsidRDefault="005C1A76" w:rsidP="005C1A76">
      <w:pPr>
        <w:pStyle w:val="ListParagraph"/>
        <w:rPr>
          <w:i/>
          <w:sz w:val="23"/>
          <w:szCs w:val="23"/>
          <w:lang w:val="es-ES"/>
        </w:rPr>
      </w:pPr>
    </w:p>
    <w:p w:rsidR="003158D0" w:rsidRPr="00844A28" w:rsidRDefault="003158D0" w:rsidP="00FF33C1">
      <w:pPr>
        <w:numPr>
          <w:ilvl w:val="0"/>
          <w:numId w:val="21"/>
        </w:numPr>
        <w:tabs>
          <w:tab w:val="clear" w:pos="360"/>
          <w:tab w:val="num" w:pos="0"/>
        </w:tabs>
        <w:jc w:val="both"/>
        <w:rPr>
          <w:sz w:val="23"/>
          <w:szCs w:val="23"/>
          <w:lang w:val="es-NI"/>
        </w:rPr>
      </w:pPr>
      <w:r w:rsidRPr="00844A28">
        <w:rPr>
          <w:i/>
          <w:iCs/>
          <w:sz w:val="23"/>
          <w:szCs w:val="23"/>
          <w:lang w:val="es-ES"/>
        </w:rPr>
        <w:t>Sub-componente 4.2 Apoyo al monitoreo y evaluación</w:t>
      </w:r>
      <w:r w:rsidRPr="00844A28">
        <w:rPr>
          <w:iCs/>
          <w:sz w:val="23"/>
          <w:szCs w:val="23"/>
          <w:lang w:val="es-ES"/>
        </w:rPr>
        <w:t xml:space="preserve">, traducido entre otras cosas en: (i) La recopilación de los datos de la línea de base para cuantificar los impactos sociales, ambientales y económicos provocados por el Proyecto; (ii) La preparación de los informes de avance semestrales, </w:t>
      </w:r>
      <w:r w:rsidR="00BC7A5F" w:rsidRPr="00844A28">
        <w:rPr>
          <w:iCs/>
          <w:sz w:val="23"/>
          <w:szCs w:val="23"/>
          <w:lang w:val="es-ES"/>
        </w:rPr>
        <w:t xml:space="preserve">el informe de </w:t>
      </w:r>
      <w:r w:rsidRPr="00844A28">
        <w:rPr>
          <w:iCs/>
          <w:sz w:val="23"/>
          <w:szCs w:val="23"/>
          <w:lang w:val="es-ES"/>
        </w:rPr>
        <w:t>la evaluación de mitad de periodo y</w:t>
      </w:r>
      <w:r w:rsidR="00BC7A5F" w:rsidRPr="00844A28">
        <w:rPr>
          <w:iCs/>
          <w:sz w:val="23"/>
          <w:szCs w:val="23"/>
          <w:lang w:val="es-ES"/>
        </w:rPr>
        <w:t xml:space="preserve"> el informe de</w:t>
      </w:r>
      <w:r w:rsidRPr="00844A28">
        <w:rPr>
          <w:iCs/>
          <w:sz w:val="23"/>
          <w:szCs w:val="23"/>
          <w:lang w:val="es-ES"/>
        </w:rPr>
        <w:t xml:space="preserve"> la evaluación final; (iii) La realización de la auditoría social de las principales actividades.</w:t>
      </w:r>
    </w:p>
    <w:p w:rsidR="002D3C6A" w:rsidRPr="00844A28" w:rsidRDefault="002D3C6A" w:rsidP="002D3C6A">
      <w:pPr>
        <w:pStyle w:val="ListParagraph"/>
        <w:rPr>
          <w:sz w:val="23"/>
          <w:szCs w:val="23"/>
          <w:lang w:val="es-NI"/>
        </w:rPr>
      </w:pPr>
    </w:p>
    <w:p w:rsidR="000A09C6" w:rsidRDefault="000A09C6" w:rsidP="000A09C6">
      <w:pPr>
        <w:rPr>
          <w:b/>
          <w:lang w:val="es-ES"/>
        </w:rPr>
      </w:pPr>
      <w:r>
        <w:rPr>
          <w:b/>
          <w:lang w:val="es-ES"/>
        </w:rPr>
        <w:t>Componente 5: Componente Contingente de Respuestas a Emergencias –CERC (US$ 8.00 millones )</w:t>
      </w:r>
    </w:p>
    <w:p w:rsidR="002D3C6A" w:rsidRPr="00844A28" w:rsidRDefault="002D3C6A" w:rsidP="002D3C6A">
      <w:pPr>
        <w:pStyle w:val="ListParagraph"/>
        <w:rPr>
          <w:sz w:val="23"/>
          <w:szCs w:val="23"/>
          <w:lang w:val="es-NI"/>
        </w:rPr>
      </w:pPr>
    </w:p>
    <w:p w:rsidR="00B32E88" w:rsidRPr="00F702EF" w:rsidRDefault="000A09C6" w:rsidP="00FF33C1">
      <w:pPr>
        <w:numPr>
          <w:ilvl w:val="0"/>
          <w:numId w:val="21"/>
        </w:numPr>
        <w:spacing w:after="240"/>
        <w:jc w:val="both"/>
        <w:rPr>
          <w:sz w:val="23"/>
          <w:szCs w:val="23"/>
          <w:lang w:val="es-NI"/>
        </w:rPr>
      </w:pPr>
      <w:r w:rsidRPr="00844A28">
        <w:rPr>
          <w:i/>
          <w:sz w:val="23"/>
          <w:szCs w:val="23"/>
          <w:lang w:val="es-ES"/>
        </w:rPr>
        <w:t>Brindar respuesta inmediata para enfrentar una emergencia importante si así lo exigen las circunstancias.</w:t>
      </w:r>
      <w:r w:rsidRPr="00844A28">
        <w:rPr>
          <w:sz w:val="23"/>
          <w:szCs w:val="23"/>
          <w:lang w:val="es-ES"/>
        </w:rPr>
        <w:t xml:space="preserve"> En términos más específicos, el componente financiará los gastos públicos y privados de una lista positiva de bienes nacionales e importados necesarios para posibilitar la recuperación de emergencia de Nicaragua</w:t>
      </w:r>
      <w:r w:rsidR="00BF289C" w:rsidRPr="00844A28">
        <w:rPr>
          <w:sz w:val="23"/>
          <w:szCs w:val="23"/>
          <w:lang w:val="es-ES"/>
        </w:rPr>
        <w:t>.</w:t>
      </w:r>
      <w:r w:rsidRPr="00844A28">
        <w:rPr>
          <w:sz w:val="23"/>
          <w:szCs w:val="23"/>
          <w:lang w:val="es-ES"/>
        </w:rPr>
        <w:t xml:space="preserve"> Un Manual Operativo </w:t>
      </w:r>
      <w:r w:rsidR="008A060B">
        <w:rPr>
          <w:sz w:val="23"/>
          <w:szCs w:val="23"/>
          <w:lang w:val="es-ES"/>
        </w:rPr>
        <w:t xml:space="preserve">CERC </w:t>
      </w:r>
      <w:r w:rsidRPr="00844A28">
        <w:rPr>
          <w:sz w:val="23"/>
          <w:szCs w:val="23"/>
          <w:lang w:val="es-ES"/>
        </w:rPr>
        <w:t xml:space="preserve">específico se aplicará en este componente, detallando la gestión financiera, compras, salvaguardas </w:t>
      </w:r>
      <w:r w:rsidR="00BF289C" w:rsidRPr="00844A28">
        <w:rPr>
          <w:sz w:val="23"/>
          <w:szCs w:val="23"/>
          <w:lang w:val="es-ES"/>
        </w:rPr>
        <w:t xml:space="preserve">y demás mecanismos de ejecución que permitan el desembolso rápido y eficiente de los fondos para enfrentar dicha emergencia. </w:t>
      </w:r>
      <w:r w:rsidRPr="00844A28">
        <w:rPr>
          <w:sz w:val="23"/>
          <w:szCs w:val="23"/>
          <w:lang w:val="es-ES"/>
        </w:rPr>
        <w:t>Asimismo, el Proyecto ayudará a activar el MRI</w:t>
      </w:r>
      <w:r w:rsidR="008A060B">
        <w:rPr>
          <w:sz w:val="23"/>
          <w:szCs w:val="23"/>
          <w:lang w:val="es-ES"/>
        </w:rPr>
        <w:t xml:space="preserve"> </w:t>
      </w:r>
      <w:r w:rsidR="00BF289C" w:rsidRPr="00844A28">
        <w:rPr>
          <w:sz w:val="23"/>
          <w:szCs w:val="23"/>
          <w:lang w:val="es-ES"/>
        </w:rPr>
        <w:t xml:space="preserve">al facilitar </w:t>
      </w:r>
      <w:r w:rsidR="00790EC6" w:rsidRPr="00844A28">
        <w:rPr>
          <w:sz w:val="23"/>
          <w:szCs w:val="23"/>
          <w:lang w:val="es-ES"/>
        </w:rPr>
        <w:t xml:space="preserve">el consenso sobre los requisitos y mecanismos necesarios y al contribuir a finalizar el Manual Operativo requerido para garantizar la coordinación y aplicación adecuada del MRI en el país. Mayores </w:t>
      </w:r>
      <w:r w:rsidRPr="00844A28">
        <w:rPr>
          <w:sz w:val="23"/>
          <w:szCs w:val="23"/>
          <w:lang w:val="es-ES"/>
        </w:rPr>
        <w:t>detalle</w:t>
      </w:r>
      <w:r w:rsidR="00790EC6" w:rsidRPr="00844A28">
        <w:rPr>
          <w:sz w:val="23"/>
          <w:szCs w:val="23"/>
          <w:lang w:val="es-ES"/>
        </w:rPr>
        <w:t>s aparecen en el Anexo 7.</w:t>
      </w:r>
    </w:p>
    <w:p w:rsidR="00A72EC9" w:rsidRPr="00F702EF" w:rsidRDefault="00A72EC9">
      <w:pPr>
        <w:rPr>
          <w:lang w:val="es-NI"/>
        </w:rPr>
      </w:pPr>
    </w:p>
    <w:p w:rsidR="005968A3" w:rsidRPr="00F702EF" w:rsidRDefault="00C46691">
      <w:pPr>
        <w:rPr>
          <w:b/>
          <w:szCs w:val="20"/>
          <w:lang w:val="es-NI"/>
        </w:rPr>
      </w:pPr>
      <w:bookmarkStart w:id="121" w:name="_Toc40780200"/>
      <w:bookmarkStart w:id="122" w:name="_Toc295296836"/>
      <w:bookmarkStart w:id="123" w:name="_Toc342909552"/>
      <w:r w:rsidRPr="00F702EF">
        <w:rPr>
          <w:lang w:val="es-NI"/>
        </w:rPr>
        <w:br w:type="page"/>
      </w:r>
    </w:p>
    <w:p w:rsidR="00251650" w:rsidRPr="00790EC6" w:rsidRDefault="005B6CFA" w:rsidP="00161DCB">
      <w:pPr>
        <w:pStyle w:val="Heading4"/>
      </w:pPr>
      <w:bookmarkStart w:id="124" w:name="_Toc357981085"/>
      <w:r w:rsidRPr="00790EC6">
        <w:lastRenderedPageBreak/>
        <w:t>Anexo</w:t>
      </w:r>
      <w:r w:rsidR="00727DBA" w:rsidRPr="00790EC6">
        <w:t xml:space="preserve"> 3</w:t>
      </w:r>
      <w:r w:rsidR="00251650" w:rsidRPr="00790EC6">
        <w:t xml:space="preserve">: </w:t>
      </w:r>
      <w:bookmarkEnd w:id="121"/>
      <w:r w:rsidR="00790EC6" w:rsidRPr="00790EC6">
        <w:t xml:space="preserve">Mecanismos de </w:t>
      </w:r>
      <w:r w:rsidR="00706AA4">
        <w:t>Ejecución</w:t>
      </w:r>
      <w:bookmarkEnd w:id="122"/>
      <w:bookmarkEnd w:id="123"/>
      <w:bookmarkEnd w:id="124"/>
    </w:p>
    <w:p w:rsidR="00251650" w:rsidRPr="00790EC6" w:rsidRDefault="00537FA0">
      <w:pPr>
        <w:jc w:val="center"/>
        <w:rPr>
          <w:b/>
          <w:bCs/>
          <w:lang w:val="es-ES"/>
        </w:rPr>
      </w:pPr>
      <w:r w:rsidRPr="00790EC6">
        <w:rPr>
          <w:b/>
          <w:lang w:val="es-ES"/>
        </w:rPr>
        <w:t>NICARAGUA</w:t>
      </w:r>
      <w:r w:rsidR="00251650" w:rsidRPr="00790EC6">
        <w:rPr>
          <w:b/>
          <w:bCs/>
          <w:caps/>
          <w:lang w:val="es-ES"/>
        </w:rPr>
        <w:t xml:space="preserve">: </w:t>
      </w:r>
      <w:bookmarkStart w:id="125" w:name="Annex4"/>
      <w:r w:rsidR="001209FA" w:rsidRPr="00790EC6">
        <w:rPr>
          <w:b/>
          <w:bCs/>
          <w:lang w:val="es-ES"/>
        </w:rPr>
        <w:t>Segundo Proyecto de Ordenamiento de la Propiedad</w:t>
      </w:r>
    </w:p>
    <w:p w:rsidR="00BA1503" w:rsidRPr="002F3AED" w:rsidRDefault="00BA1503" w:rsidP="00B226FC">
      <w:pPr>
        <w:rPr>
          <w:caps/>
          <w:lang w:val="es-ES"/>
        </w:rPr>
      </w:pPr>
    </w:p>
    <w:p w:rsidR="001B574E" w:rsidRPr="002F3AED" w:rsidRDefault="001B574E" w:rsidP="00B226FC">
      <w:pPr>
        <w:rPr>
          <w:caps/>
          <w:lang w:val="es-ES"/>
        </w:rPr>
      </w:pPr>
    </w:p>
    <w:p w:rsidR="00B226FC" w:rsidRPr="002F3AED" w:rsidRDefault="002F3AED" w:rsidP="00F91221">
      <w:pPr>
        <w:pStyle w:val="ListParagraph"/>
        <w:numPr>
          <w:ilvl w:val="0"/>
          <w:numId w:val="26"/>
        </w:numPr>
        <w:spacing w:after="200" w:line="276" w:lineRule="auto"/>
        <w:ind w:left="0" w:firstLine="0"/>
        <w:rPr>
          <w:b/>
          <w:lang w:val="es-ES"/>
        </w:rPr>
      </w:pPr>
      <w:r w:rsidRPr="002F3AED">
        <w:rPr>
          <w:b/>
          <w:lang w:val="es-ES"/>
        </w:rPr>
        <w:t xml:space="preserve">Mecanismos Institucionales y de Ejecución del Proyecto </w:t>
      </w:r>
    </w:p>
    <w:p w:rsidR="00706AA4" w:rsidRPr="00844A28" w:rsidRDefault="002F3AED" w:rsidP="00F91221">
      <w:pPr>
        <w:numPr>
          <w:ilvl w:val="0"/>
          <w:numId w:val="33"/>
        </w:numPr>
        <w:tabs>
          <w:tab w:val="clear" w:pos="360"/>
          <w:tab w:val="num" w:pos="0"/>
        </w:tabs>
        <w:jc w:val="both"/>
        <w:rPr>
          <w:sz w:val="23"/>
          <w:szCs w:val="23"/>
          <w:lang w:val="es-ES"/>
        </w:rPr>
      </w:pPr>
      <w:r w:rsidRPr="00844A28">
        <w:rPr>
          <w:sz w:val="23"/>
          <w:szCs w:val="23"/>
          <w:lang w:val="es-ES"/>
        </w:rPr>
        <w:t>El presente</w:t>
      </w:r>
      <w:r w:rsidR="008A060B">
        <w:rPr>
          <w:sz w:val="23"/>
          <w:szCs w:val="23"/>
          <w:lang w:val="es-ES"/>
        </w:rPr>
        <w:t xml:space="preserve"> </w:t>
      </w:r>
      <w:r w:rsidR="005B6CFA" w:rsidRPr="00844A28">
        <w:rPr>
          <w:sz w:val="23"/>
          <w:szCs w:val="23"/>
          <w:lang w:val="es-ES"/>
        </w:rPr>
        <w:t>Anexo</w:t>
      </w:r>
      <w:r w:rsidR="008A060B">
        <w:rPr>
          <w:sz w:val="23"/>
          <w:szCs w:val="23"/>
          <w:lang w:val="es-ES"/>
        </w:rPr>
        <w:t xml:space="preserve"> </w:t>
      </w:r>
      <w:r w:rsidRPr="00844A28">
        <w:rPr>
          <w:sz w:val="23"/>
          <w:szCs w:val="23"/>
          <w:lang w:val="es-ES"/>
        </w:rPr>
        <w:t xml:space="preserve">cubre los </w:t>
      </w:r>
      <w:r w:rsidR="00237729" w:rsidRPr="00844A28">
        <w:rPr>
          <w:sz w:val="23"/>
          <w:szCs w:val="23"/>
          <w:lang w:val="es-ES"/>
        </w:rPr>
        <w:t>Componentes</w:t>
      </w:r>
      <w:r w:rsidR="0097467A" w:rsidRPr="00844A28">
        <w:rPr>
          <w:sz w:val="23"/>
          <w:szCs w:val="23"/>
          <w:lang w:val="es-ES"/>
        </w:rPr>
        <w:t xml:space="preserve"> 1 </w:t>
      </w:r>
      <w:r w:rsidRPr="00844A28">
        <w:rPr>
          <w:sz w:val="23"/>
          <w:szCs w:val="23"/>
          <w:lang w:val="es-ES"/>
        </w:rPr>
        <w:t>al</w:t>
      </w:r>
      <w:r w:rsidR="0097467A" w:rsidRPr="00844A28">
        <w:rPr>
          <w:sz w:val="23"/>
          <w:szCs w:val="23"/>
          <w:lang w:val="es-ES"/>
        </w:rPr>
        <w:t xml:space="preserve"> 4</w:t>
      </w:r>
      <w:r w:rsidR="00DE0FA8" w:rsidRPr="00844A28">
        <w:rPr>
          <w:sz w:val="23"/>
          <w:szCs w:val="23"/>
          <w:lang w:val="es-ES"/>
        </w:rPr>
        <w:t xml:space="preserve">. </w:t>
      </w:r>
      <w:r w:rsidRPr="00844A28">
        <w:rPr>
          <w:sz w:val="23"/>
          <w:szCs w:val="23"/>
          <w:lang w:val="es-NI"/>
        </w:rPr>
        <w:t xml:space="preserve">Los mecanismos de ejecución del </w:t>
      </w:r>
      <w:r w:rsidR="00237729" w:rsidRPr="00844A28">
        <w:rPr>
          <w:sz w:val="23"/>
          <w:szCs w:val="23"/>
          <w:lang w:val="es-NI"/>
        </w:rPr>
        <w:t>Componente</w:t>
      </w:r>
      <w:r w:rsidR="0097467A" w:rsidRPr="00844A28">
        <w:rPr>
          <w:sz w:val="23"/>
          <w:szCs w:val="23"/>
          <w:lang w:val="es-NI"/>
        </w:rPr>
        <w:t xml:space="preserve"> 5</w:t>
      </w:r>
      <w:r w:rsidR="00DE0FA8" w:rsidRPr="00844A28">
        <w:rPr>
          <w:sz w:val="23"/>
          <w:szCs w:val="23"/>
          <w:lang w:val="es-NI"/>
        </w:rPr>
        <w:t xml:space="preserve"> (CERC) </w:t>
      </w:r>
      <w:r w:rsidRPr="00844A28">
        <w:rPr>
          <w:sz w:val="23"/>
          <w:szCs w:val="23"/>
          <w:lang w:val="es-NI"/>
        </w:rPr>
        <w:t>van en un Manual Operativo específico (para mayores detalles al respecto, ver el Anexo 7). La PGR continuará siendo la agencia ejecutora de dichos componentes a través de la ya existente Unidad Coordinadora del Proyecto (</w:t>
      </w:r>
      <w:r w:rsidR="00226098" w:rsidRPr="00844A28">
        <w:rPr>
          <w:sz w:val="23"/>
          <w:szCs w:val="23"/>
          <w:lang w:val="es-ES"/>
        </w:rPr>
        <w:t>SE-PRODEP</w:t>
      </w:r>
      <w:r w:rsidR="0097467A" w:rsidRPr="00844A28">
        <w:rPr>
          <w:sz w:val="23"/>
          <w:szCs w:val="23"/>
          <w:lang w:val="es-ES"/>
        </w:rPr>
        <w:t xml:space="preserve"> o </w:t>
      </w:r>
      <w:r w:rsidR="00890CA6" w:rsidRPr="00844A28">
        <w:rPr>
          <w:sz w:val="23"/>
          <w:szCs w:val="23"/>
          <w:lang w:val="es-ES"/>
        </w:rPr>
        <w:t>UCP</w:t>
      </w:r>
      <w:r w:rsidR="00226098" w:rsidRPr="00844A28">
        <w:rPr>
          <w:sz w:val="23"/>
          <w:szCs w:val="23"/>
          <w:lang w:val="es-ES"/>
        </w:rPr>
        <w:t xml:space="preserve">), </w:t>
      </w:r>
      <w:r w:rsidRPr="00844A28">
        <w:rPr>
          <w:sz w:val="23"/>
          <w:szCs w:val="23"/>
          <w:lang w:val="es-ES"/>
        </w:rPr>
        <w:t xml:space="preserve">la cual </w:t>
      </w:r>
      <w:r w:rsidR="00AC2BA6" w:rsidRPr="00844A28">
        <w:rPr>
          <w:sz w:val="23"/>
          <w:szCs w:val="23"/>
          <w:lang w:val="es-ES"/>
        </w:rPr>
        <w:t>se encargará de la gestión financiera y de las adquisiciones.</w:t>
      </w:r>
      <w:r w:rsidR="00114E4A" w:rsidRPr="00844A28">
        <w:rPr>
          <w:sz w:val="23"/>
          <w:szCs w:val="23"/>
          <w:lang w:val="es-ES"/>
        </w:rPr>
        <w:t xml:space="preserve"> Además, la UCP garantizará el cumplimiento de las salvaguardas, supervisión de la aplicación de las estrategias de comunicación y género y del Monitoreo &amp; Evaluación (M&amp;E)</w:t>
      </w:r>
      <w:r w:rsidR="00706AA4" w:rsidRPr="00844A28">
        <w:rPr>
          <w:sz w:val="23"/>
          <w:szCs w:val="23"/>
          <w:lang w:val="es-ES"/>
        </w:rPr>
        <w:t>. La ejecución técnica del Proyecto continuará descentralizada a través de las agencias co-ejecutoras.</w:t>
      </w:r>
    </w:p>
    <w:p w:rsidR="007B1939" w:rsidRDefault="007B1939" w:rsidP="007B1939">
      <w:pPr>
        <w:jc w:val="both"/>
        <w:rPr>
          <w:sz w:val="23"/>
          <w:szCs w:val="23"/>
          <w:lang w:val="es-ES"/>
        </w:rPr>
      </w:pPr>
    </w:p>
    <w:p w:rsidR="00571407" w:rsidRPr="00844A28" w:rsidRDefault="00571407" w:rsidP="007B1939">
      <w:pPr>
        <w:jc w:val="both"/>
        <w:rPr>
          <w:sz w:val="23"/>
          <w:szCs w:val="23"/>
          <w:lang w:val="es-ES"/>
        </w:rPr>
      </w:pPr>
    </w:p>
    <w:p w:rsidR="00706AA4" w:rsidRPr="00E4023E" w:rsidRDefault="00C46691" w:rsidP="00F91221">
      <w:pPr>
        <w:pStyle w:val="ListParagraph"/>
        <w:numPr>
          <w:ilvl w:val="0"/>
          <w:numId w:val="37"/>
        </w:numPr>
        <w:spacing w:after="200" w:line="276" w:lineRule="auto"/>
        <w:jc w:val="both"/>
        <w:rPr>
          <w:b/>
          <w:lang w:val="es-ES"/>
        </w:rPr>
      </w:pPr>
      <w:r w:rsidRPr="00F702EF">
        <w:rPr>
          <w:b/>
          <w:lang w:val="es-ES"/>
        </w:rPr>
        <w:t>Mecanismos Específicos de Ejecución de los Componentes 1 al 4</w:t>
      </w:r>
    </w:p>
    <w:p w:rsidR="00571407" w:rsidRPr="00571407" w:rsidRDefault="00FF6AF8" w:rsidP="00F91221">
      <w:pPr>
        <w:numPr>
          <w:ilvl w:val="0"/>
          <w:numId w:val="33"/>
        </w:numPr>
        <w:tabs>
          <w:tab w:val="clear" w:pos="360"/>
          <w:tab w:val="num" w:pos="0"/>
        </w:tabs>
        <w:jc w:val="both"/>
        <w:rPr>
          <w:sz w:val="23"/>
          <w:szCs w:val="23"/>
          <w:lang w:val="es-ES"/>
        </w:rPr>
      </w:pPr>
      <w:r w:rsidRPr="00844A28">
        <w:rPr>
          <w:sz w:val="23"/>
          <w:szCs w:val="23"/>
          <w:lang w:val="es-ES"/>
        </w:rPr>
        <w:t>La</w:t>
      </w:r>
      <w:r w:rsidR="00E4023E">
        <w:rPr>
          <w:sz w:val="23"/>
          <w:szCs w:val="23"/>
          <w:lang w:val="es-ES"/>
        </w:rPr>
        <w:t xml:space="preserve"> </w:t>
      </w:r>
      <w:r w:rsidR="00890CA6" w:rsidRPr="00844A28">
        <w:rPr>
          <w:sz w:val="23"/>
          <w:szCs w:val="23"/>
          <w:lang w:val="es-ES"/>
        </w:rPr>
        <w:t>UCP</w:t>
      </w:r>
      <w:r w:rsidR="00E4023E">
        <w:rPr>
          <w:sz w:val="23"/>
          <w:szCs w:val="23"/>
          <w:lang w:val="es-ES"/>
        </w:rPr>
        <w:t xml:space="preserve"> </w:t>
      </w:r>
      <w:r w:rsidRPr="00844A28">
        <w:rPr>
          <w:sz w:val="23"/>
          <w:szCs w:val="23"/>
          <w:lang w:val="es-ES"/>
        </w:rPr>
        <w:t>adscrita a la</w:t>
      </w:r>
      <w:r w:rsidR="000D16AD" w:rsidRPr="00844A28">
        <w:rPr>
          <w:sz w:val="23"/>
          <w:szCs w:val="23"/>
          <w:lang w:val="es-ES"/>
        </w:rPr>
        <w:t xml:space="preserve"> PGR </w:t>
      </w:r>
      <w:r w:rsidR="001D61F2" w:rsidRPr="00844A28">
        <w:rPr>
          <w:sz w:val="23"/>
          <w:szCs w:val="23"/>
          <w:lang w:val="es-ES"/>
        </w:rPr>
        <w:t>estará encabezada por un coordinador general y tendrá entre su personal clave a un</w:t>
      </w:r>
      <w:r w:rsidR="00E4023E">
        <w:rPr>
          <w:sz w:val="23"/>
          <w:szCs w:val="23"/>
          <w:lang w:val="es-ES"/>
        </w:rPr>
        <w:t>a persona</w:t>
      </w:r>
      <w:r w:rsidR="001D61F2" w:rsidRPr="00844A28">
        <w:rPr>
          <w:sz w:val="23"/>
          <w:szCs w:val="23"/>
          <w:lang w:val="es-ES"/>
        </w:rPr>
        <w:t xml:space="preserve"> coordinador</w:t>
      </w:r>
      <w:r w:rsidR="00E4023E">
        <w:rPr>
          <w:sz w:val="23"/>
          <w:szCs w:val="23"/>
          <w:lang w:val="es-ES"/>
        </w:rPr>
        <w:t>a</w:t>
      </w:r>
      <w:r w:rsidR="001D61F2" w:rsidRPr="00844A28">
        <w:rPr>
          <w:sz w:val="23"/>
          <w:szCs w:val="23"/>
          <w:lang w:val="es-ES"/>
        </w:rPr>
        <w:t xml:space="preserve"> técnic</w:t>
      </w:r>
      <w:r w:rsidR="00E4023E">
        <w:rPr>
          <w:sz w:val="23"/>
          <w:szCs w:val="23"/>
          <w:lang w:val="es-ES"/>
        </w:rPr>
        <w:t>a</w:t>
      </w:r>
      <w:r w:rsidR="001D61F2" w:rsidRPr="00844A28">
        <w:rPr>
          <w:sz w:val="23"/>
          <w:szCs w:val="23"/>
          <w:lang w:val="es-ES"/>
        </w:rPr>
        <w:t>, un</w:t>
      </w:r>
      <w:r w:rsidR="00E4023E">
        <w:rPr>
          <w:sz w:val="23"/>
          <w:szCs w:val="23"/>
          <w:lang w:val="es-ES"/>
        </w:rPr>
        <w:t>a persona</w:t>
      </w:r>
      <w:r w:rsidR="001D61F2" w:rsidRPr="00844A28">
        <w:rPr>
          <w:sz w:val="23"/>
          <w:szCs w:val="23"/>
          <w:lang w:val="es-ES"/>
        </w:rPr>
        <w:t xml:space="preserve"> especialista en adquisiciones, un</w:t>
      </w:r>
      <w:r w:rsidR="00E4023E">
        <w:rPr>
          <w:sz w:val="23"/>
          <w:szCs w:val="23"/>
          <w:lang w:val="es-ES"/>
        </w:rPr>
        <w:t>a persona</w:t>
      </w:r>
      <w:r w:rsidR="001D61F2" w:rsidRPr="00844A28">
        <w:rPr>
          <w:sz w:val="23"/>
          <w:szCs w:val="23"/>
          <w:lang w:val="es-ES"/>
        </w:rPr>
        <w:t xml:space="preserve"> especialista en gestión financiera, un</w:t>
      </w:r>
      <w:r w:rsidR="00E4023E">
        <w:rPr>
          <w:sz w:val="23"/>
          <w:szCs w:val="23"/>
          <w:lang w:val="es-ES"/>
        </w:rPr>
        <w:t>a persona</w:t>
      </w:r>
      <w:r w:rsidR="001D61F2" w:rsidRPr="00844A28">
        <w:rPr>
          <w:sz w:val="23"/>
          <w:szCs w:val="23"/>
          <w:lang w:val="es-ES"/>
        </w:rPr>
        <w:t xml:space="preserve"> especialista en monitoreo y evaluación, un</w:t>
      </w:r>
      <w:r w:rsidR="00E4023E">
        <w:rPr>
          <w:sz w:val="23"/>
          <w:szCs w:val="23"/>
          <w:lang w:val="es-ES"/>
        </w:rPr>
        <w:t>a</w:t>
      </w:r>
      <w:r w:rsidR="001D61F2" w:rsidRPr="00844A28">
        <w:rPr>
          <w:sz w:val="23"/>
          <w:szCs w:val="23"/>
          <w:lang w:val="es-ES"/>
        </w:rPr>
        <w:t xml:space="preserve"> especialista social/género, un</w:t>
      </w:r>
      <w:r w:rsidR="00E4023E">
        <w:rPr>
          <w:sz w:val="23"/>
          <w:szCs w:val="23"/>
          <w:lang w:val="es-ES"/>
        </w:rPr>
        <w:t>a persona</w:t>
      </w:r>
      <w:r w:rsidR="001D61F2" w:rsidRPr="00844A28">
        <w:rPr>
          <w:sz w:val="23"/>
          <w:szCs w:val="23"/>
          <w:lang w:val="es-ES"/>
        </w:rPr>
        <w:t xml:space="preserve"> especialista ambiental y un especialista en comunicaciones</w:t>
      </w:r>
      <w:r w:rsidR="005402B2" w:rsidRPr="00844A28">
        <w:rPr>
          <w:sz w:val="23"/>
          <w:szCs w:val="23"/>
          <w:lang w:val="es-ES"/>
        </w:rPr>
        <w:t xml:space="preserve">. </w:t>
      </w:r>
      <w:r w:rsidR="00E4023E">
        <w:rPr>
          <w:sz w:val="23"/>
          <w:szCs w:val="23"/>
          <w:lang w:val="es-ES"/>
        </w:rPr>
        <w:t xml:space="preserve">La persona a cargo de la coordinación general </w:t>
      </w:r>
      <w:r w:rsidR="005402B2" w:rsidRPr="00844A28">
        <w:rPr>
          <w:sz w:val="23"/>
          <w:szCs w:val="23"/>
          <w:lang w:val="es-ES"/>
        </w:rPr>
        <w:t xml:space="preserve">tendrá la responsabilidad general de supervisar al personal en sus tareas de planificación, organización y ejecución de las actividades diarias administrativas, técnicas y legales relacionadas con el Proyecto. El Manual Operativo </w:t>
      </w:r>
      <w:r w:rsidR="001C395B" w:rsidRPr="00844A28">
        <w:rPr>
          <w:sz w:val="23"/>
          <w:szCs w:val="23"/>
          <w:lang w:val="es-ES"/>
        </w:rPr>
        <w:t xml:space="preserve">contiene la estructura organizacional que debe tener la UCP y describe las funciones y responsabilidades del personal junto con los procedimientos técnicos, administrativos, financieros, adquisiciones, </w:t>
      </w:r>
      <w:r w:rsidR="003D2A18" w:rsidRPr="00844A28">
        <w:rPr>
          <w:sz w:val="23"/>
          <w:szCs w:val="23"/>
          <w:lang w:val="es-NI"/>
        </w:rPr>
        <w:t>salvaguardas</w:t>
      </w:r>
      <w:r w:rsidR="001C395B" w:rsidRPr="00844A28">
        <w:rPr>
          <w:sz w:val="23"/>
          <w:szCs w:val="23"/>
          <w:lang w:val="es-NI"/>
        </w:rPr>
        <w:t>,</w:t>
      </w:r>
      <w:r w:rsidR="00872690" w:rsidRPr="00844A28">
        <w:rPr>
          <w:sz w:val="23"/>
          <w:szCs w:val="23"/>
          <w:lang w:val="es-NI"/>
        </w:rPr>
        <w:t xml:space="preserve"> monitor</w:t>
      </w:r>
      <w:r w:rsidR="001C395B" w:rsidRPr="00844A28">
        <w:rPr>
          <w:sz w:val="23"/>
          <w:szCs w:val="23"/>
          <w:lang w:val="es-NI"/>
        </w:rPr>
        <w:t>eo y evaluación del Proyecto.</w:t>
      </w:r>
    </w:p>
    <w:p w:rsidR="00571407" w:rsidRPr="00571407" w:rsidRDefault="00571407" w:rsidP="00571407">
      <w:pPr>
        <w:jc w:val="both"/>
        <w:rPr>
          <w:sz w:val="23"/>
          <w:szCs w:val="23"/>
          <w:lang w:val="es-ES"/>
        </w:rPr>
      </w:pPr>
    </w:p>
    <w:p w:rsidR="001D4E8C" w:rsidRPr="00844A28" w:rsidRDefault="00571407" w:rsidP="00F91221">
      <w:pPr>
        <w:numPr>
          <w:ilvl w:val="0"/>
          <w:numId w:val="33"/>
        </w:numPr>
        <w:tabs>
          <w:tab w:val="clear" w:pos="360"/>
          <w:tab w:val="num" w:pos="0"/>
        </w:tabs>
        <w:jc w:val="both"/>
        <w:rPr>
          <w:sz w:val="23"/>
          <w:szCs w:val="23"/>
          <w:lang w:val="es-ES"/>
        </w:rPr>
      </w:pPr>
      <w:r>
        <w:rPr>
          <w:sz w:val="23"/>
          <w:szCs w:val="23"/>
          <w:lang w:val="es-NI"/>
        </w:rPr>
        <w:t xml:space="preserve">El Proyecto </w:t>
      </w:r>
      <w:r w:rsidR="00565F53" w:rsidRPr="00844A28">
        <w:rPr>
          <w:sz w:val="23"/>
          <w:szCs w:val="23"/>
          <w:lang w:val="es-NI"/>
        </w:rPr>
        <w:t xml:space="preserve">trabajará con las cuatro principales agencias co-ejecutoras que también participaron en la operación anterior: CSJ (Poder Judicial), </w:t>
      </w:r>
      <w:r w:rsidR="000D16AD" w:rsidRPr="00844A28">
        <w:rPr>
          <w:sz w:val="23"/>
          <w:szCs w:val="23"/>
          <w:lang w:val="es-NI"/>
        </w:rPr>
        <w:t>INETER, INIFO</w:t>
      </w:r>
      <w:r w:rsidR="009C6EE9" w:rsidRPr="00844A28">
        <w:rPr>
          <w:sz w:val="23"/>
          <w:szCs w:val="23"/>
          <w:lang w:val="es-NI"/>
        </w:rPr>
        <w:t>M,</w:t>
      </w:r>
      <w:r w:rsidR="00E4023E">
        <w:rPr>
          <w:sz w:val="23"/>
          <w:szCs w:val="23"/>
          <w:lang w:val="es-NI"/>
        </w:rPr>
        <w:t xml:space="preserve"> </w:t>
      </w:r>
      <w:r w:rsidR="00FF357C" w:rsidRPr="00844A28">
        <w:rPr>
          <w:sz w:val="23"/>
          <w:szCs w:val="23"/>
          <w:lang w:val="es-NI"/>
        </w:rPr>
        <w:t>y</w:t>
      </w:r>
      <w:r w:rsidR="00E4023E">
        <w:rPr>
          <w:sz w:val="23"/>
          <w:szCs w:val="23"/>
          <w:lang w:val="es-NI"/>
        </w:rPr>
        <w:t xml:space="preserve"> </w:t>
      </w:r>
      <w:r w:rsidR="001D4E8C" w:rsidRPr="00844A28">
        <w:rPr>
          <w:sz w:val="23"/>
          <w:szCs w:val="23"/>
          <w:lang w:val="es-NI"/>
        </w:rPr>
        <w:t>MARENA (</w:t>
      </w:r>
      <w:r w:rsidR="00565F53" w:rsidRPr="00844A28">
        <w:rPr>
          <w:sz w:val="23"/>
          <w:szCs w:val="23"/>
          <w:lang w:val="es-NI"/>
        </w:rPr>
        <w:t xml:space="preserve">Poder Ejecutivo). En coherencia con el marco institucional del ordenamiento territorial, el rol de cada una de estas instituciones se describe a continuación: (a) </w:t>
      </w:r>
      <w:r w:rsidR="007B5FE1" w:rsidRPr="00844A28">
        <w:rPr>
          <w:sz w:val="23"/>
          <w:szCs w:val="23"/>
          <w:lang w:val="es-NI"/>
        </w:rPr>
        <w:t>La CSJ a través de DNR y DIRAC se encargará de registrar las propiedades, de la mediación de conflictos y de desarrollar el SIICAR en estrecha colaboración con</w:t>
      </w:r>
      <w:r w:rsidR="00E4023E">
        <w:rPr>
          <w:sz w:val="23"/>
          <w:szCs w:val="23"/>
          <w:lang w:val="es-NI"/>
        </w:rPr>
        <w:t xml:space="preserve"> </w:t>
      </w:r>
      <w:r w:rsidR="006B1156" w:rsidRPr="00844A28">
        <w:rPr>
          <w:sz w:val="23"/>
          <w:szCs w:val="23"/>
          <w:lang w:val="es-ES"/>
        </w:rPr>
        <w:t>INETER; (b</w:t>
      </w:r>
      <w:r w:rsidR="00DB2127" w:rsidRPr="00844A28">
        <w:rPr>
          <w:sz w:val="23"/>
          <w:szCs w:val="23"/>
          <w:lang w:val="es-ES"/>
        </w:rPr>
        <w:t>) IN</w:t>
      </w:r>
      <w:r w:rsidR="00A3618A" w:rsidRPr="00844A28">
        <w:rPr>
          <w:sz w:val="23"/>
          <w:szCs w:val="23"/>
          <w:lang w:val="es-ES"/>
        </w:rPr>
        <w:t>E</w:t>
      </w:r>
      <w:r w:rsidR="006B1156" w:rsidRPr="00844A28">
        <w:rPr>
          <w:sz w:val="23"/>
          <w:szCs w:val="23"/>
          <w:lang w:val="es-ES"/>
        </w:rPr>
        <w:t>TER</w:t>
      </w:r>
      <w:r w:rsidR="00E4023E">
        <w:rPr>
          <w:sz w:val="23"/>
          <w:szCs w:val="23"/>
          <w:lang w:val="es-ES"/>
        </w:rPr>
        <w:t xml:space="preserve"> </w:t>
      </w:r>
      <w:r w:rsidR="007B5FE1" w:rsidRPr="00844A28">
        <w:rPr>
          <w:sz w:val="23"/>
          <w:szCs w:val="23"/>
          <w:lang w:val="es-ES"/>
        </w:rPr>
        <w:t xml:space="preserve">se encargará de acciones relacionadas con el catastro nacional y levantamiento topográfico en estrecha colaboración con el </w:t>
      </w:r>
      <w:r w:rsidR="00FB0006" w:rsidRPr="00844A28">
        <w:rPr>
          <w:sz w:val="23"/>
          <w:szCs w:val="23"/>
          <w:lang w:val="es-ES"/>
        </w:rPr>
        <w:t>INIFOM</w:t>
      </w:r>
      <w:r w:rsidR="00E4023E">
        <w:rPr>
          <w:sz w:val="23"/>
          <w:szCs w:val="23"/>
          <w:lang w:val="es-ES"/>
        </w:rPr>
        <w:t xml:space="preserve"> </w:t>
      </w:r>
      <w:r w:rsidR="00FF357C" w:rsidRPr="00844A28">
        <w:rPr>
          <w:sz w:val="23"/>
          <w:szCs w:val="23"/>
          <w:lang w:val="es-ES"/>
        </w:rPr>
        <w:t>y</w:t>
      </w:r>
      <w:r w:rsidR="00E4023E">
        <w:rPr>
          <w:sz w:val="23"/>
          <w:szCs w:val="23"/>
          <w:lang w:val="es-ES"/>
        </w:rPr>
        <w:t xml:space="preserve"> </w:t>
      </w:r>
      <w:r w:rsidR="007B5FE1" w:rsidRPr="00844A28">
        <w:rPr>
          <w:sz w:val="23"/>
          <w:szCs w:val="23"/>
          <w:lang w:val="es-ES"/>
        </w:rPr>
        <w:t xml:space="preserve">los </w:t>
      </w:r>
      <w:r w:rsidR="00FF52DD" w:rsidRPr="00844A28">
        <w:rPr>
          <w:sz w:val="23"/>
          <w:szCs w:val="23"/>
          <w:lang w:val="es-ES"/>
        </w:rPr>
        <w:t>municipios participantes</w:t>
      </w:r>
      <w:r w:rsidR="006B1156" w:rsidRPr="00844A28">
        <w:rPr>
          <w:sz w:val="23"/>
          <w:szCs w:val="23"/>
          <w:lang w:val="es-ES"/>
        </w:rPr>
        <w:t>; (c</w:t>
      </w:r>
      <w:r w:rsidR="00FB0006" w:rsidRPr="00844A28">
        <w:rPr>
          <w:sz w:val="23"/>
          <w:szCs w:val="23"/>
          <w:lang w:val="es-ES"/>
        </w:rPr>
        <w:t xml:space="preserve">) </w:t>
      </w:r>
      <w:r w:rsidR="001B574E" w:rsidRPr="00844A28">
        <w:rPr>
          <w:sz w:val="23"/>
          <w:szCs w:val="23"/>
          <w:lang w:val="es-ES"/>
        </w:rPr>
        <w:t>INIFOM</w:t>
      </w:r>
      <w:r w:rsidR="00E4023E">
        <w:rPr>
          <w:sz w:val="23"/>
          <w:szCs w:val="23"/>
          <w:lang w:val="es-ES"/>
        </w:rPr>
        <w:t xml:space="preserve"> </w:t>
      </w:r>
      <w:r w:rsidR="004D5575" w:rsidRPr="00844A28">
        <w:rPr>
          <w:sz w:val="23"/>
          <w:szCs w:val="23"/>
          <w:lang w:val="es-ES"/>
        </w:rPr>
        <w:t>será responsable de la formación de capacidades</w:t>
      </w:r>
      <w:r w:rsidR="00DB2127" w:rsidRPr="00844A28">
        <w:rPr>
          <w:sz w:val="23"/>
          <w:szCs w:val="23"/>
          <w:lang w:val="es-ES"/>
        </w:rPr>
        <w:t xml:space="preserve"> municipal</w:t>
      </w:r>
      <w:r w:rsidR="004D5575" w:rsidRPr="00844A28">
        <w:rPr>
          <w:sz w:val="23"/>
          <w:szCs w:val="23"/>
          <w:lang w:val="es-ES"/>
        </w:rPr>
        <w:t>es, en especial del catastro municipal y de la planificación territorial;</w:t>
      </w:r>
      <w:r w:rsidR="006B1156" w:rsidRPr="00844A28">
        <w:rPr>
          <w:sz w:val="23"/>
          <w:szCs w:val="23"/>
          <w:lang w:val="es-ES"/>
        </w:rPr>
        <w:t xml:space="preserve"> (d) </w:t>
      </w:r>
      <w:r w:rsidR="00A3618A" w:rsidRPr="00844A28">
        <w:rPr>
          <w:sz w:val="23"/>
          <w:szCs w:val="23"/>
          <w:lang w:val="es-ES"/>
        </w:rPr>
        <w:t>MARENA</w:t>
      </w:r>
      <w:r w:rsidR="00E4023E">
        <w:rPr>
          <w:sz w:val="23"/>
          <w:szCs w:val="23"/>
          <w:lang w:val="es-ES"/>
        </w:rPr>
        <w:t xml:space="preserve"> </w:t>
      </w:r>
      <w:r w:rsidR="004D5575" w:rsidRPr="00844A28">
        <w:rPr>
          <w:sz w:val="23"/>
          <w:szCs w:val="23"/>
          <w:lang w:val="es-ES"/>
        </w:rPr>
        <w:t>asumirá la tarea de la demarcación y de las campañas educativas relacionadas con las áreas protegidas. Asimismo, INIDE</w:t>
      </w:r>
      <w:r w:rsidR="00E4023E">
        <w:rPr>
          <w:sz w:val="23"/>
          <w:szCs w:val="23"/>
          <w:lang w:val="es-ES"/>
        </w:rPr>
        <w:t xml:space="preserve"> </w:t>
      </w:r>
      <w:r w:rsidR="00B517E7" w:rsidRPr="00844A28">
        <w:rPr>
          <w:sz w:val="23"/>
          <w:szCs w:val="23"/>
          <w:lang w:val="es-ES"/>
        </w:rPr>
        <w:t xml:space="preserve">co-ejecutará el fortalecimiento de la capacidad  para recolectar y evaluar los datos del Componente 1. Antes que el crédito entre en vigencia, estas instituciones deberán firmar </w:t>
      </w:r>
      <w:r w:rsidR="004904B2" w:rsidRPr="00844A28">
        <w:rPr>
          <w:sz w:val="23"/>
          <w:szCs w:val="23"/>
          <w:lang w:val="es-ES"/>
        </w:rPr>
        <w:t>convenios de co</w:t>
      </w:r>
      <w:r w:rsidR="00B517E7" w:rsidRPr="00844A28">
        <w:rPr>
          <w:sz w:val="23"/>
          <w:szCs w:val="23"/>
          <w:lang w:val="es-ES"/>
        </w:rPr>
        <w:t>-ejecución</w:t>
      </w:r>
      <w:r w:rsidR="00CB6C83" w:rsidRPr="00844A28">
        <w:rPr>
          <w:sz w:val="23"/>
          <w:szCs w:val="23"/>
          <w:lang w:val="es-ES"/>
        </w:rPr>
        <w:t xml:space="preserve"> por componente con la PGR, en los cuales se especificarán las respectivas funciones y deberes ante el Proyecto. Finalmente, el IP, un ente descentralizado de la PGR continuará siendo parte del Proyecto para facilitar los procesos de </w:t>
      </w:r>
      <w:r w:rsidR="00FF52DD" w:rsidRPr="00844A28">
        <w:rPr>
          <w:sz w:val="23"/>
          <w:szCs w:val="23"/>
          <w:lang w:val="es-ES"/>
        </w:rPr>
        <w:t>regularización</w:t>
      </w:r>
      <w:r w:rsidR="00E4023E">
        <w:rPr>
          <w:sz w:val="23"/>
          <w:szCs w:val="23"/>
          <w:lang w:val="es-ES"/>
        </w:rPr>
        <w:t xml:space="preserve"> </w:t>
      </w:r>
      <w:r w:rsidR="00FF357C" w:rsidRPr="00844A28">
        <w:rPr>
          <w:sz w:val="23"/>
          <w:szCs w:val="23"/>
          <w:lang w:val="es-ES"/>
        </w:rPr>
        <w:t>y</w:t>
      </w:r>
      <w:r w:rsidR="00E4023E">
        <w:rPr>
          <w:sz w:val="23"/>
          <w:szCs w:val="23"/>
          <w:lang w:val="es-ES"/>
        </w:rPr>
        <w:t xml:space="preserve"> </w:t>
      </w:r>
      <w:r w:rsidR="00FF52DD" w:rsidRPr="00844A28">
        <w:rPr>
          <w:sz w:val="23"/>
          <w:szCs w:val="23"/>
          <w:lang w:val="es-ES"/>
        </w:rPr>
        <w:t>titulación</w:t>
      </w:r>
      <w:r w:rsidR="00CB6C83" w:rsidRPr="00844A28">
        <w:rPr>
          <w:sz w:val="23"/>
          <w:szCs w:val="23"/>
          <w:lang w:val="es-ES"/>
        </w:rPr>
        <w:t xml:space="preserve">, entre ellos los </w:t>
      </w:r>
      <w:r w:rsidR="00E4023E">
        <w:rPr>
          <w:sz w:val="23"/>
          <w:szCs w:val="23"/>
          <w:lang w:val="es-ES"/>
        </w:rPr>
        <w:t>T</w:t>
      </w:r>
      <w:r w:rsidR="00FE4705" w:rsidRPr="00844A28">
        <w:rPr>
          <w:sz w:val="23"/>
          <w:szCs w:val="23"/>
          <w:lang w:val="es-ES"/>
        </w:rPr>
        <w:t xml:space="preserve">erritorios </w:t>
      </w:r>
      <w:r w:rsidR="00E4023E">
        <w:rPr>
          <w:sz w:val="23"/>
          <w:szCs w:val="23"/>
          <w:lang w:val="es-ES"/>
        </w:rPr>
        <w:t>I</w:t>
      </w:r>
      <w:r w:rsidR="00FE4705" w:rsidRPr="00844A28">
        <w:rPr>
          <w:sz w:val="23"/>
          <w:szCs w:val="23"/>
          <w:lang w:val="es-ES"/>
        </w:rPr>
        <w:t>ndígenas</w:t>
      </w:r>
      <w:r w:rsidR="00E4023E">
        <w:rPr>
          <w:sz w:val="23"/>
          <w:szCs w:val="23"/>
          <w:lang w:val="es-ES"/>
        </w:rPr>
        <w:t xml:space="preserve"> </w:t>
      </w:r>
      <w:r w:rsidR="00CB6C83" w:rsidRPr="00844A28">
        <w:rPr>
          <w:sz w:val="23"/>
          <w:szCs w:val="23"/>
          <w:lang w:val="es-ES"/>
        </w:rPr>
        <w:t>e</w:t>
      </w:r>
      <w:r w:rsidR="00DB2127" w:rsidRPr="00844A28">
        <w:rPr>
          <w:sz w:val="23"/>
          <w:szCs w:val="23"/>
          <w:lang w:val="es-ES"/>
        </w:rPr>
        <w:t>n Bosaw</w:t>
      </w:r>
      <w:r w:rsidR="00E4023E">
        <w:rPr>
          <w:sz w:val="23"/>
          <w:szCs w:val="23"/>
          <w:lang w:val="es-ES"/>
        </w:rPr>
        <w:t>á</w:t>
      </w:r>
      <w:r w:rsidR="00DB2127" w:rsidRPr="00844A28">
        <w:rPr>
          <w:sz w:val="23"/>
          <w:szCs w:val="23"/>
          <w:lang w:val="es-ES"/>
        </w:rPr>
        <w:t xml:space="preserve">s. </w:t>
      </w:r>
    </w:p>
    <w:p w:rsidR="000467F0" w:rsidRDefault="000467F0" w:rsidP="000467F0">
      <w:pPr>
        <w:jc w:val="both"/>
        <w:rPr>
          <w:sz w:val="23"/>
          <w:szCs w:val="23"/>
          <w:lang w:val="es-ES"/>
        </w:rPr>
      </w:pPr>
    </w:p>
    <w:p w:rsidR="00571407" w:rsidRDefault="00571407" w:rsidP="000467F0">
      <w:pPr>
        <w:jc w:val="both"/>
        <w:rPr>
          <w:sz w:val="23"/>
          <w:szCs w:val="23"/>
          <w:lang w:val="es-ES"/>
        </w:rPr>
      </w:pPr>
    </w:p>
    <w:p w:rsidR="00571407" w:rsidRPr="00844A28" w:rsidRDefault="00571407" w:rsidP="000467F0">
      <w:pPr>
        <w:jc w:val="both"/>
        <w:rPr>
          <w:sz w:val="23"/>
          <w:szCs w:val="23"/>
          <w:lang w:val="es-ES"/>
        </w:rPr>
      </w:pPr>
    </w:p>
    <w:p w:rsidR="001048E3" w:rsidRPr="00844A28" w:rsidRDefault="00140EE0" w:rsidP="00F91221">
      <w:pPr>
        <w:numPr>
          <w:ilvl w:val="0"/>
          <w:numId w:val="33"/>
        </w:numPr>
        <w:tabs>
          <w:tab w:val="clear" w:pos="360"/>
          <w:tab w:val="num" w:pos="0"/>
        </w:tabs>
        <w:jc w:val="both"/>
        <w:rPr>
          <w:sz w:val="23"/>
          <w:szCs w:val="23"/>
          <w:lang w:val="es-NI"/>
        </w:rPr>
      </w:pPr>
      <w:r w:rsidRPr="00844A28">
        <w:rPr>
          <w:sz w:val="23"/>
          <w:szCs w:val="23"/>
          <w:lang w:val="es-ES"/>
        </w:rPr>
        <w:lastRenderedPageBreak/>
        <w:t>Tal como se hizo en la operación anterior, la</w:t>
      </w:r>
      <w:r w:rsidR="00DB2127" w:rsidRPr="00844A28">
        <w:rPr>
          <w:sz w:val="23"/>
          <w:szCs w:val="23"/>
          <w:lang w:val="es-ES"/>
        </w:rPr>
        <w:t xml:space="preserve"> PGR </w:t>
      </w:r>
      <w:r w:rsidRPr="00844A28">
        <w:rPr>
          <w:sz w:val="23"/>
          <w:szCs w:val="23"/>
          <w:lang w:val="es-ES"/>
        </w:rPr>
        <w:t xml:space="preserve">deberá suscribir acuerdos de participación con los </w:t>
      </w:r>
      <w:r w:rsidR="00FF52DD" w:rsidRPr="00844A28">
        <w:rPr>
          <w:sz w:val="23"/>
          <w:szCs w:val="23"/>
          <w:lang w:val="es-ES"/>
        </w:rPr>
        <w:t>municipios</w:t>
      </w:r>
      <w:r w:rsidR="00E4023E">
        <w:rPr>
          <w:sz w:val="23"/>
          <w:szCs w:val="23"/>
          <w:lang w:val="es-ES"/>
        </w:rPr>
        <w:t xml:space="preserve"> </w:t>
      </w:r>
      <w:r w:rsidRPr="00844A28">
        <w:rPr>
          <w:sz w:val="23"/>
          <w:szCs w:val="23"/>
          <w:lang w:val="es-ES"/>
        </w:rPr>
        <w:t xml:space="preserve">beneficiados por las actividades del Proyecto.  Estos convenios deberán estipular los deberes y funciones </w:t>
      </w:r>
      <w:r w:rsidR="001048E3" w:rsidRPr="00844A28">
        <w:rPr>
          <w:sz w:val="23"/>
          <w:szCs w:val="23"/>
          <w:lang w:val="es-ES"/>
        </w:rPr>
        <w:t>de los municipios como parte del sistema de ordenamiento territorial, incluyendo entre otras cosas, la gestión de sus respectivos catastros municipales, enlazarlos con el sistema del catastro nacional de INETER y llevar a cabo el ordenamiento territorial. La siguiente tabla esboza el rol específico de cada institución/entidad por componente.</w:t>
      </w:r>
    </w:p>
    <w:p w:rsidR="001D4E8C" w:rsidRPr="00844A28" w:rsidRDefault="001D4E8C" w:rsidP="001048E3">
      <w:pPr>
        <w:jc w:val="both"/>
        <w:rPr>
          <w:sz w:val="23"/>
          <w:szCs w:val="23"/>
          <w:lang w:val="es-NI"/>
        </w:rPr>
      </w:pPr>
    </w:p>
    <w:p w:rsidR="001D4E8C" w:rsidRPr="00844A28" w:rsidRDefault="001D4E8C" w:rsidP="001D4E8C">
      <w:pPr>
        <w:jc w:val="both"/>
        <w:rPr>
          <w:b/>
          <w:color w:val="000000"/>
          <w:spacing w:val="-3"/>
          <w:sz w:val="23"/>
          <w:szCs w:val="23"/>
          <w:lang w:val="es-N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1963"/>
        <w:gridCol w:w="1467"/>
        <w:gridCol w:w="2336"/>
      </w:tblGrid>
      <w:tr w:rsidR="001D4E8C" w:rsidRPr="0089190C" w:rsidTr="008809E8">
        <w:tc>
          <w:tcPr>
            <w:tcW w:w="2079" w:type="pct"/>
            <w:shd w:val="clear" w:color="auto" w:fill="auto"/>
            <w:vAlign w:val="center"/>
          </w:tcPr>
          <w:p w:rsidR="001D4E8C" w:rsidRPr="0089190C" w:rsidRDefault="001D4E8C" w:rsidP="001D4E8C">
            <w:pPr>
              <w:rPr>
                <w:b/>
                <w:sz w:val="18"/>
                <w:szCs w:val="18"/>
                <w:lang w:val="es-ES"/>
              </w:rPr>
            </w:pPr>
          </w:p>
        </w:tc>
        <w:tc>
          <w:tcPr>
            <w:tcW w:w="1971" w:type="pct"/>
            <w:gridSpan w:val="2"/>
            <w:shd w:val="clear" w:color="auto" w:fill="auto"/>
            <w:vAlign w:val="center"/>
          </w:tcPr>
          <w:p w:rsidR="001D4E8C" w:rsidRPr="0089190C" w:rsidRDefault="00572C15" w:rsidP="00572C15">
            <w:pPr>
              <w:jc w:val="center"/>
              <w:rPr>
                <w:b/>
                <w:sz w:val="18"/>
                <w:szCs w:val="18"/>
                <w:lang w:val="es-ES"/>
              </w:rPr>
            </w:pPr>
            <w:r w:rsidRPr="0089190C">
              <w:rPr>
                <w:b/>
                <w:sz w:val="18"/>
                <w:szCs w:val="18"/>
                <w:lang w:val="es-ES"/>
              </w:rPr>
              <w:t xml:space="preserve">Socios </w:t>
            </w:r>
            <w:r w:rsidR="001D4E8C" w:rsidRPr="0089190C">
              <w:rPr>
                <w:b/>
                <w:sz w:val="18"/>
                <w:szCs w:val="18"/>
                <w:lang w:val="es-ES"/>
              </w:rPr>
              <w:t>Formal</w:t>
            </w:r>
            <w:r w:rsidRPr="0089190C">
              <w:rPr>
                <w:b/>
                <w:sz w:val="18"/>
                <w:szCs w:val="18"/>
                <w:lang w:val="es-ES"/>
              </w:rPr>
              <w:t xml:space="preserve">es del Proyecto </w:t>
            </w:r>
          </w:p>
        </w:tc>
        <w:tc>
          <w:tcPr>
            <w:tcW w:w="951" w:type="pct"/>
          </w:tcPr>
          <w:p w:rsidR="001D4E8C" w:rsidRPr="0089190C" w:rsidRDefault="00572C15" w:rsidP="00572C15">
            <w:pPr>
              <w:jc w:val="center"/>
              <w:rPr>
                <w:b/>
                <w:sz w:val="18"/>
                <w:szCs w:val="18"/>
                <w:lang w:val="es-ES"/>
              </w:rPr>
            </w:pPr>
            <w:r w:rsidRPr="0089190C">
              <w:rPr>
                <w:b/>
                <w:sz w:val="18"/>
                <w:szCs w:val="18"/>
                <w:lang w:val="es-ES"/>
              </w:rPr>
              <w:t>Otros Socios</w:t>
            </w:r>
            <w:r w:rsidR="001D4E8C" w:rsidRPr="0089190C">
              <w:rPr>
                <w:b/>
                <w:sz w:val="18"/>
                <w:szCs w:val="18"/>
                <w:lang w:val="es-ES"/>
              </w:rPr>
              <w:t>/ Agenci</w:t>
            </w:r>
            <w:r w:rsidRPr="0089190C">
              <w:rPr>
                <w:b/>
                <w:sz w:val="18"/>
                <w:szCs w:val="18"/>
                <w:lang w:val="es-ES"/>
              </w:rPr>
              <w:t>a</w:t>
            </w:r>
            <w:r w:rsidR="001D4E8C" w:rsidRPr="0089190C">
              <w:rPr>
                <w:b/>
                <w:sz w:val="18"/>
                <w:szCs w:val="18"/>
                <w:lang w:val="es-ES"/>
              </w:rPr>
              <w:t>s</w:t>
            </w:r>
            <w:r w:rsidRPr="0089190C">
              <w:rPr>
                <w:b/>
                <w:sz w:val="18"/>
                <w:szCs w:val="18"/>
                <w:lang w:val="es-ES"/>
              </w:rPr>
              <w:t xml:space="preserve">  Asesoras</w:t>
            </w:r>
          </w:p>
        </w:tc>
      </w:tr>
      <w:tr w:rsidR="001D4E8C" w:rsidRPr="0089190C" w:rsidTr="008809E8">
        <w:tc>
          <w:tcPr>
            <w:tcW w:w="2079" w:type="pct"/>
            <w:shd w:val="clear" w:color="auto" w:fill="auto"/>
            <w:vAlign w:val="center"/>
          </w:tcPr>
          <w:p w:rsidR="001D4E8C" w:rsidRPr="0089190C" w:rsidRDefault="00237729" w:rsidP="001D4E8C">
            <w:pPr>
              <w:rPr>
                <w:b/>
                <w:sz w:val="18"/>
                <w:szCs w:val="18"/>
                <w:lang w:val="es-ES"/>
              </w:rPr>
            </w:pPr>
            <w:r w:rsidRPr="0089190C">
              <w:rPr>
                <w:b/>
                <w:sz w:val="18"/>
                <w:szCs w:val="18"/>
                <w:lang w:val="es-ES"/>
              </w:rPr>
              <w:t>Componente</w:t>
            </w:r>
          </w:p>
        </w:tc>
        <w:tc>
          <w:tcPr>
            <w:tcW w:w="1115" w:type="pct"/>
            <w:shd w:val="clear" w:color="auto" w:fill="auto"/>
            <w:vAlign w:val="center"/>
          </w:tcPr>
          <w:p w:rsidR="001D4E8C" w:rsidRPr="0089190C" w:rsidRDefault="00572C15" w:rsidP="00572C15">
            <w:pPr>
              <w:jc w:val="center"/>
              <w:rPr>
                <w:b/>
                <w:sz w:val="18"/>
                <w:szCs w:val="18"/>
                <w:lang w:val="es-ES"/>
              </w:rPr>
            </w:pPr>
            <w:r w:rsidRPr="0089190C">
              <w:rPr>
                <w:b/>
                <w:sz w:val="18"/>
                <w:szCs w:val="18"/>
                <w:lang w:val="es-ES"/>
              </w:rPr>
              <w:t xml:space="preserve">Agencias co-ejecutoras </w:t>
            </w:r>
            <w:r w:rsidR="001D4E8C" w:rsidRPr="0089190C">
              <w:rPr>
                <w:b/>
                <w:sz w:val="18"/>
                <w:szCs w:val="18"/>
                <w:lang w:val="es-ES"/>
              </w:rPr>
              <w:t>/ Enti</w:t>
            </w:r>
            <w:r w:rsidRPr="0089190C">
              <w:rPr>
                <w:b/>
                <w:sz w:val="18"/>
                <w:szCs w:val="18"/>
                <w:lang w:val="es-ES"/>
              </w:rPr>
              <w:t>dades</w:t>
            </w:r>
          </w:p>
        </w:tc>
        <w:tc>
          <w:tcPr>
            <w:tcW w:w="856" w:type="pct"/>
            <w:shd w:val="clear" w:color="auto" w:fill="auto"/>
            <w:vAlign w:val="center"/>
          </w:tcPr>
          <w:p w:rsidR="001D4E8C" w:rsidRPr="0089190C" w:rsidRDefault="001D4E8C" w:rsidP="001D4E8C">
            <w:pPr>
              <w:jc w:val="center"/>
              <w:rPr>
                <w:b/>
                <w:sz w:val="18"/>
                <w:szCs w:val="18"/>
                <w:lang w:val="es-ES"/>
              </w:rPr>
            </w:pPr>
            <w:r w:rsidRPr="0089190C">
              <w:rPr>
                <w:b/>
                <w:sz w:val="18"/>
                <w:szCs w:val="18"/>
                <w:lang w:val="es-ES"/>
              </w:rPr>
              <w:t>Local Level</w:t>
            </w:r>
          </w:p>
        </w:tc>
        <w:tc>
          <w:tcPr>
            <w:tcW w:w="951" w:type="pct"/>
          </w:tcPr>
          <w:p w:rsidR="001D4E8C" w:rsidRPr="0089190C" w:rsidRDefault="001D4E8C" w:rsidP="001D4E8C">
            <w:pPr>
              <w:jc w:val="center"/>
              <w:rPr>
                <w:b/>
                <w:sz w:val="18"/>
                <w:szCs w:val="18"/>
                <w:lang w:val="es-ES"/>
              </w:rPr>
            </w:pPr>
          </w:p>
        </w:tc>
      </w:tr>
      <w:tr w:rsidR="001D4E8C" w:rsidRPr="0089190C" w:rsidTr="008809E8">
        <w:tc>
          <w:tcPr>
            <w:tcW w:w="2079" w:type="pct"/>
            <w:shd w:val="clear" w:color="auto" w:fill="auto"/>
            <w:vAlign w:val="center"/>
          </w:tcPr>
          <w:p w:rsidR="001D4E8C" w:rsidRPr="0089190C" w:rsidRDefault="001D4E8C" w:rsidP="001D4E8C">
            <w:pPr>
              <w:pStyle w:val="Prrafodelista1"/>
              <w:ind w:left="0"/>
              <w:rPr>
                <w:sz w:val="18"/>
                <w:szCs w:val="18"/>
              </w:rPr>
            </w:pPr>
            <w:r w:rsidRPr="0089190C">
              <w:rPr>
                <w:sz w:val="18"/>
                <w:szCs w:val="18"/>
              </w:rPr>
              <w:t xml:space="preserve">1. </w:t>
            </w:r>
            <w:r w:rsidR="00572C15" w:rsidRPr="0089190C">
              <w:rPr>
                <w:sz w:val="18"/>
                <w:szCs w:val="18"/>
              </w:rPr>
              <w:t>Consolidación del Marco Institucional y de Políticas</w:t>
            </w:r>
          </w:p>
        </w:tc>
        <w:tc>
          <w:tcPr>
            <w:tcW w:w="1115" w:type="pct"/>
            <w:shd w:val="clear" w:color="auto" w:fill="auto"/>
          </w:tcPr>
          <w:p w:rsidR="001D4E8C" w:rsidRPr="008809E8" w:rsidRDefault="001D4E8C" w:rsidP="008809E8">
            <w:pPr>
              <w:rPr>
                <w:sz w:val="18"/>
                <w:szCs w:val="18"/>
                <w:lang w:val="pt-BR"/>
              </w:rPr>
            </w:pPr>
            <w:r w:rsidRPr="008809E8">
              <w:rPr>
                <w:sz w:val="18"/>
                <w:szCs w:val="18"/>
                <w:lang w:val="pt-BR"/>
              </w:rPr>
              <w:t xml:space="preserve">INETER, INIFOM, INIDE, </w:t>
            </w:r>
            <w:r w:rsidR="008809E8" w:rsidRPr="008809E8">
              <w:rPr>
                <w:sz w:val="18"/>
                <w:szCs w:val="18"/>
                <w:lang w:val="pt-BR"/>
              </w:rPr>
              <w:t>e</w:t>
            </w:r>
            <w:r w:rsidRPr="008809E8">
              <w:rPr>
                <w:sz w:val="18"/>
                <w:szCs w:val="18"/>
                <w:lang w:val="pt-BR"/>
              </w:rPr>
              <w:t xml:space="preserve">IP </w:t>
            </w:r>
            <w:r w:rsidR="00572C15" w:rsidRPr="008809E8">
              <w:rPr>
                <w:sz w:val="18"/>
                <w:szCs w:val="18"/>
                <w:lang w:val="pt-BR"/>
              </w:rPr>
              <w:t>adscrito a la</w:t>
            </w:r>
            <w:r w:rsidRPr="008809E8">
              <w:rPr>
                <w:sz w:val="18"/>
                <w:szCs w:val="18"/>
                <w:lang w:val="pt-BR"/>
              </w:rPr>
              <w:t xml:space="preserve"> PGR</w:t>
            </w:r>
          </w:p>
        </w:tc>
        <w:tc>
          <w:tcPr>
            <w:tcW w:w="856" w:type="pct"/>
            <w:shd w:val="clear" w:color="auto" w:fill="auto"/>
            <w:vAlign w:val="center"/>
          </w:tcPr>
          <w:p w:rsidR="001D4E8C" w:rsidRPr="0089190C" w:rsidRDefault="00FF52DD" w:rsidP="001D4E8C">
            <w:pPr>
              <w:jc w:val="center"/>
              <w:rPr>
                <w:sz w:val="18"/>
                <w:szCs w:val="18"/>
                <w:lang w:val="es-ES"/>
              </w:rPr>
            </w:pPr>
            <w:r w:rsidRPr="0089190C">
              <w:rPr>
                <w:sz w:val="18"/>
                <w:szCs w:val="18"/>
                <w:lang w:val="es-ES"/>
              </w:rPr>
              <w:t>Municipios</w:t>
            </w:r>
          </w:p>
        </w:tc>
        <w:tc>
          <w:tcPr>
            <w:tcW w:w="951" w:type="pct"/>
          </w:tcPr>
          <w:p w:rsidR="001D4E8C" w:rsidRPr="0089190C" w:rsidRDefault="001D4E8C" w:rsidP="001D4E8C">
            <w:pPr>
              <w:rPr>
                <w:sz w:val="18"/>
                <w:szCs w:val="18"/>
                <w:lang w:val="es-ES"/>
              </w:rPr>
            </w:pPr>
          </w:p>
        </w:tc>
      </w:tr>
      <w:tr w:rsidR="001D4E8C" w:rsidRPr="0089190C" w:rsidTr="008809E8">
        <w:tc>
          <w:tcPr>
            <w:tcW w:w="2079" w:type="pct"/>
            <w:shd w:val="clear" w:color="auto" w:fill="auto"/>
            <w:vAlign w:val="center"/>
          </w:tcPr>
          <w:p w:rsidR="001D4E8C" w:rsidRPr="0089190C" w:rsidRDefault="001D4E8C" w:rsidP="001D4E8C">
            <w:pPr>
              <w:pStyle w:val="Prrafodelista1"/>
              <w:ind w:left="0"/>
              <w:rPr>
                <w:sz w:val="18"/>
                <w:szCs w:val="18"/>
              </w:rPr>
            </w:pPr>
            <w:r w:rsidRPr="0089190C">
              <w:rPr>
                <w:sz w:val="18"/>
                <w:szCs w:val="18"/>
              </w:rPr>
              <w:t xml:space="preserve">2. </w:t>
            </w:r>
            <w:r w:rsidR="00572C15" w:rsidRPr="0089190C">
              <w:rPr>
                <w:sz w:val="18"/>
                <w:szCs w:val="18"/>
              </w:rPr>
              <w:t>Fortalecimiento de la Capacidad del Registro de la Propiedad y de la Resolución Alterna de Conflictos</w:t>
            </w:r>
          </w:p>
        </w:tc>
        <w:tc>
          <w:tcPr>
            <w:tcW w:w="1115" w:type="pct"/>
            <w:shd w:val="clear" w:color="auto" w:fill="auto"/>
          </w:tcPr>
          <w:p w:rsidR="001D4E8C" w:rsidRPr="0089190C" w:rsidRDefault="00876DE1" w:rsidP="008809E8">
            <w:pPr>
              <w:rPr>
                <w:sz w:val="18"/>
                <w:szCs w:val="18"/>
                <w:lang w:val="es-ES"/>
              </w:rPr>
            </w:pPr>
            <w:r w:rsidRPr="0089190C">
              <w:rPr>
                <w:sz w:val="18"/>
                <w:szCs w:val="18"/>
                <w:lang w:val="es-ES"/>
              </w:rPr>
              <w:t xml:space="preserve">CSJ, </w:t>
            </w:r>
            <w:r w:rsidR="008809E8">
              <w:rPr>
                <w:sz w:val="18"/>
                <w:szCs w:val="18"/>
                <w:lang w:val="es-ES"/>
              </w:rPr>
              <w:t>a través de</w:t>
            </w:r>
            <w:r w:rsidRPr="0089190C">
              <w:rPr>
                <w:sz w:val="18"/>
                <w:szCs w:val="18"/>
                <w:lang w:val="es-ES"/>
              </w:rPr>
              <w:t xml:space="preserve"> DNR</w:t>
            </w:r>
            <w:r w:rsidR="0099305C">
              <w:rPr>
                <w:sz w:val="18"/>
                <w:szCs w:val="18"/>
                <w:lang w:val="es-ES"/>
              </w:rPr>
              <w:t xml:space="preserve"> </w:t>
            </w:r>
            <w:r w:rsidR="00FF357C" w:rsidRPr="0089190C">
              <w:rPr>
                <w:sz w:val="18"/>
                <w:szCs w:val="18"/>
                <w:lang w:val="es-ES"/>
              </w:rPr>
              <w:t>y</w:t>
            </w:r>
            <w:r w:rsidR="0099305C">
              <w:rPr>
                <w:sz w:val="18"/>
                <w:szCs w:val="18"/>
                <w:lang w:val="es-ES"/>
              </w:rPr>
              <w:t xml:space="preserve"> </w:t>
            </w:r>
            <w:r w:rsidR="001D4E8C" w:rsidRPr="0089190C">
              <w:rPr>
                <w:sz w:val="18"/>
                <w:szCs w:val="18"/>
                <w:lang w:val="es-ES"/>
              </w:rPr>
              <w:t>DIRAC</w:t>
            </w:r>
            <w:r w:rsidR="00231B44" w:rsidRPr="0089190C">
              <w:rPr>
                <w:sz w:val="18"/>
                <w:szCs w:val="18"/>
                <w:lang w:val="es-ES"/>
              </w:rPr>
              <w:t xml:space="preserve">, </w:t>
            </w:r>
            <w:r w:rsidR="00FF357C" w:rsidRPr="0089190C">
              <w:rPr>
                <w:sz w:val="18"/>
                <w:szCs w:val="18"/>
                <w:lang w:val="es-ES"/>
              </w:rPr>
              <w:t>y</w:t>
            </w:r>
            <w:r w:rsidR="00031178" w:rsidRPr="0089190C">
              <w:rPr>
                <w:sz w:val="18"/>
                <w:szCs w:val="18"/>
                <w:lang w:val="es-ES"/>
              </w:rPr>
              <w:t>en colaboración con</w:t>
            </w:r>
            <w:r w:rsidR="0099305C">
              <w:rPr>
                <w:sz w:val="18"/>
                <w:szCs w:val="18"/>
                <w:lang w:val="es-ES"/>
              </w:rPr>
              <w:t xml:space="preserve"> </w:t>
            </w:r>
            <w:r w:rsidR="00231B44" w:rsidRPr="0089190C">
              <w:rPr>
                <w:sz w:val="18"/>
                <w:szCs w:val="18"/>
                <w:lang w:val="es-ES"/>
              </w:rPr>
              <w:t>INETER</w:t>
            </w:r>
          </w:p>
        </w:tc>
        <w:tc>
          <w:tcPr>
            <w:tcW w:w="856" w:type="pct"/>
            <w:shd w:val="clear" w:color="auto" w:fill="auto"/>
            <w:vAlign w:val="center"/>
          </w:tcPr>
          <w:p w:rsidR="001D4E8C" w:rsidRPr="0089190C" w:rsidRDefault="00FF52DD" w:rsidP="001D4E8C">
            <w:pPr>
              <w:jc w:val="center"/>
              <w:rPr>
                <w:sz w:val="18"/>
                <w:szCs w:val="18"/>
                <w:lang w:val="es-ES"/>
              </w:rPr>
            </w:pPr>
            <w:r w:rsidRPr="0089190C">
              <w:rPr>
                <w:sz w:val="18"/>
                <w:szCs w:val="18"/>
                <w:lang w:val="es-ES"/>
              </w:rPr>
              <w:t>Municipios</w:t>
            </w:r>
          </w:p>
        </w:tc>
        <w:tc>
          <w:tcPr>
            <w:tcW w:w="951" w:type="pct"/>
          </w:tcPr>
          <w:p w:rsidR="001D4E8C" w:rsidRPr="0089190C" w:rsidRDefault="0089190C" w:rsidP="0089190C">
            <w:pPr>
              <w:rPr>
                <w:sz w:val="18"/>
                <w:szCs w:val="18"/>
                <w:lang w:val="es-ES"/>
              </w:rPr>
            </w:pPr>
            <w:r>
              <w:rPr>
                <w:sz w:val="18"/>
                <w:szCs w:val="18"/>
                <w:lang w:val="es-ES"/>
              </w:rPr>
              <w:t>Comunidades/organizaciones  l</w:t>
            </w:r>
            <w:r w:rsidR="001D4E8C" w:rsidRPr="0089190C">
              <w:rPr>
                <w:sz w:val="18"/>
                <w:szCs w:val="18"/>
                <w:lang w:val="es-ES"/>
              </w:rPr>
              <w:t>ocal</w:t>
            </w:r>
            <w:r>
              <w:rPr>
                <w:sz w:val="18"/>
                <w:szCs w:val="18"/>
                <w:lang w:val="es-ES"/>
              </w:rPr>
              <w:t>es</w:t>
            </w:r>
          </w:p>
        </w:tc>
      </w:tr>
      <w:tr w:rsidR="001D4E8C" w:rsidRPr="00F702EF" w:rsidTr="008809E8">
        <w:tc>
          <w:tcPr>
            <w:tcW w:w="2079" w:type="pct"/>
            <w:shd w:val="clear" w:color="auto" w:fill="auto"/>
            <w:vAlign w:val="center"/>
          </w:tcPr>
          <w:p w:rsidR="001D4E8C" w:rsidRPr="0089190C" w:rsidRDefault="001D4E8C" w:rsidP="001D4E8C">
            <w:pPr>
              <w:pStyle w:val="Prrafodelista1"/>
              <w:ind w:left="0"/>
              <w:rPr>
                <w:sz w:val="18"/>
                <w:szCs w:val="18"/>
              </w:rPr>
            </w:pPr>
            <w:r w:rsidRPr="0089190C">
              <w:rPr>
                <w:sz w:val="18"/>
                <w:szCs w:val="18"/>
              </w:rPr>
              <w:t xml:space="preserve">3. </w:t>
            </w:r>
            <w:r w:rsidR="00572C15" w:rsidRPr="0089190C">
              <w:rPr>
                <w:sz w:val="18"/>
                <w:szCs w:val="18"/>
              </w:rPr>
              <w:t>Servicios de Titulación y Regularización</w:t>
            </w:r>
          </w:p>
        </w:tc>
        <w:tc>
          <w:tcPr>
            <w:tcW w:w="1115" w:type="pct"/>
            <w:shd w:val="clear" w:color="auto" w:fill="auto"/>
          </w:tcPr>
          <w:p w:rsidR="001D4E8C" w:rsidRPr="008809E8" w:rsidRDefault="001D4E8C" w:rsidP="008809E8">
            <w:pPr>
              <w:rPr>
                <w:sz w:val="18"/>
                <w:szCs w:val="18"/>
                <w:lang w:val="pt-BR"/>
              </w:rPr>
            </w:pPr>
            <w:r w:rsidRPr="008809E8">
              <w:rPr>
                <w:sz w:val="18"/>
                <w:szCs w:val="18"/>
                <w:lang w:val="pt-BR"/>
              </w:rPr>
              <w:t xml:space="preserve">INETER, INIFOM, MARENA, </w:t>
            </w:r>
            <w:r w:rsidR="000E30C4" w:rsidRPr="008809E8">
              <w:rPr>
                <w:sz w:val="18"/>
                <w:szCs w:val="18"/>
                <w:lang w:val="pt-BR"/>
              </w:rPr>
              <w:t xml:space="preserve">DIRAC, </w:t>
            </w:r>
            <w:r w:rsidR="008809E8" w:rsidRPr="008809E8">
              <w:rPr>
                <w:sz w:val="18"/>
                <w:szCs w:val="18"/>
                <w:lang w:val="pt-BR"/>
              </w:rPr>
              <w:t>e</w:t>
            </w:r>
            <w:r w:rsidRPr="008809E8">
              <w:rPr>
                <w:sz w:val="18"/>
                <w:szCs w:val="18"/>
                <w:lang w:val="pt-BR"/>
              </w:rPr>
              <w:t xml:space="preserve"> IP </w:t>
            </w:r>
            <w:r w:rsidR="0089190C" w:rsidRPr="008809E8">
              <w:rPr>
                <w:sz w:val="18"/>
                <w:szCs w:val="18"/>
                <w:lang w:val="pt-BR"/>
              </w:rPr>
              <w:t>adscrito a la</w:t>
            </w:r>
            <w:r w:rsidRPr="008809E8">
              <w:rPr>
                <w:sz w:val="18"/>
                <w:szCs w:val="18"/>
                <w:lang w:val="pt-BR"/>
              </w:rPr>
              <w:t xml:space="preserve"> PGR</w:t>
            </w:r>
          </w:p>
        </w:tc>
        <w:tc>
          <w:tcPr>
            <w:tcW w:w="856" w:type="pct"/>
            <w:shd w:val="clear" w:color="auto" w:fill="auto"/>
            <w:vAlign w:val="center"/>
          </w:tcPr>
          <w:p w:rsidR="001D4E8C" w:rsidRPr="0089190C" w:rsidRDefault="00FF52DD" w:rsidP="001D4E8C">
            <w:pPr>
              <w:jc w:val="center"/>
              <w:rPr>
                <w:sz w:val="18"/>
                <w:szCs w:val="18"/>
                <w:lang w:val="es-ES"/>
              </w:rPr>
            </w:pPr>
            <w:r w:rsidRPr="0089190C">
              <w:rPr>
                <w:sz w:val="18"/>
                <w:szCs w:val="18"/>
                <w:lang w:val="es-ES"/>
              </w:rPr>
              <w:t>Municipios</w:t>
            </w:r>
          </w:p>
        </w:tc>
        <w:tc>
          <w:tcPr>
            <w:tcW w:w="951" w:type="pct"/>
          </w:tcPr>
          <w:p w:rsidR="001D4E8C" w:rsidRPr="0089190C" w:rsidRDefault="001E4715" w:rsidP="0089190C">
            <w:pPr>
              <w:rPr>
                <w:sz w:val="18"/>
                <w:szCs w:val="18"/>
                <w:lang w:val="es-ES"/>
              </w:rPr>
            </w:pPr>
            <w:r w:rsidRPr="0089190C">
              <w:rPr>
                <w:sz w:val="18"/>
                <w:szCs w:val="18"/>
                <w:lang w:val="es-ES"/>
              </w:rPr>
              <w:t xml:space="preserve">SDC, CONADETI, </w:t>
            </w:r>
            <w:r w:rsidR="0089190C">
              <w:rPr>
                <w:sz w:val="18"/>
                <w:szCs w:val="18"/>
                <w:lang w:val="es-ES"/>
              </w:rPr>
              <w:t>comunidades l</w:t>
            </w:r>
            <w:r w:rsidR="001D4E8C" w:rsidRPr="0089190C">
              <w:rPr>
                <w:sz w:val="18"/>
                <w:szCs w:val="18"/>
                <w:lang w:val="es-ES"/>
              </w:rPr>
              <w:t>ocal</w:t>
            </w:r>
            <w:r w:rsidR="0089190C">
              <w:rPr>
                <w:sz w:val="18"/>
                <w:szCs w:val="18"/>
                <w:lang w:val="es-ES"/>
              </w:rPr>
              <w:t>es</w:t>
            </w:r>
            <w:r w:rsidR="001D4E8C" w:rsidRPr="0089190C">
              <w:rPr>
                <w:sz w:val="18"/>
                <w:szCs w:val="18"/>
                <w:lang w:val="es-ES"/>
              </w:rPr>
              <w:t xml:space="preserve"> / </w:t>
            </w:r>
            <w:r w:rsidR="0089190C">
              <w:rPr>
                <w:sz w:val="18"/>
                <w:szCs w:val="18"/>
                <w:lang w:val="es-ES"/>
              </w:rPr>
              <w:t>indígenas y organizaciones feministas</w:t>
            </w:r>
          </w:p>
        </w:tc>
      </w:tr>
      <w:tr w:rsidR="001D4E8C" w:rsidRPr="0089190C" w:rsidTr="008809E8">
        <w:tc>
          <w:tcPr>
            <w:tcW w:w="2079" w:type="pct"/>
            <w:shd w:val="clear" w:color="auto" w:fill="auto"/>
            <w:vAlign w:val="center"/>
          </w:tcPr>
          <w:p w:rsidR="001D4E8C" w:rsidRPr="0089190C" w:rsidRDefault="001D4E8C" w:rsidP="001D4E8C">
            <w:pPr>
              <w:pStyle w:val="Prrafodelista1"/>
              <w:ind w:left="0"/>
              <w:rPr>
                <w:sz w:val="18"/>
                <w:szCs w:val="18"/>
              </w:rPr>
            </w:pPr>
            <w:r w:rsidRPr="0089190C">
              <w:rPr>
                <w:sz w:val="18"/>
                <w:szCs w:val="18"/>
              </w:rPr>
              <w:t xml:space="preserve">4. </w:t>
            </w:r>
            <w:r w:rsidR="00572C15" w:rsidRPr="0089190C">
              <w:rPr>
                <w:sz w:val="18"/>
                <w:szCs w:val="18"/>
              </w:rPr>
              <w:t>Administración, Monitoreo y Evaluación del Proyecto</w:t>
            </w:r>
          </w:p>
        </w:tc>
        <w:tc>
          <w:tcPr>
            <w:tcW w:w="1115" w:type="pct"/>
            <w:shd w:val="clear" w:color="auto" w:fill="auto"/>
          </w:tcPr>
          <w:p w:rsidR="001D4E8C" w:rsidRPr="0089190C" w:rsidRDefault="0089190C" w:rsidP="0089190C">
            <w:pPr>
              <w:rPr>
                <w:sz w:val="18"/>
                <w:szCs w:val="18"/>
                <w:lang w:val="es-ES"/>
              </w:rPr>
            </w:pPr>
            <w:r>
              <w:rPr>
                <w:sz w:val="18"/>
                <w:szCs w:val="18"/>
                <w:lang w:val="es-ES"/>
              </w:rPr>
              <w:t xml:space="preserve">Todas las agencias co-ejecutoras </w:t>
            </w:r>
          </w:p>
        </w:tc>
        <w:tc>
          <w:tcPr>
            <w:tcW w:w="856" w:type="pct"/>
            <w:shd w:val="clear" w:color="auto" w:fill="auto"/>
            <w:vAlign w:val="center"/>
          </w:tcPr>
          <w:p w:rsidR="001D4E8C" w:rsidRPr="0089190C" w:rsidRDefault="00FF52DD" w:rsidP="001D4E8C">
            <w:pPr>
              <w:jc w:val="center"/>
              <w:rPr>
                <w:sz w:val="18"/>
                <w:szCs w:val="18"/>
                <w:lang w:val="es-ES"/>
              </w:rPr>
            </w:pPr>
            <w:r w:rsidRPr="0089190C">
              <w:rPr>
                <w:sz w:val="18"/>
                <w:szCs w:val="18"/>
                <w:lang w:val="es-ES"/>
              </w:rPr>
              <w:t>Municipios</w:t>
            </w:r>
          </w:p>
        </w:tc>
        <w:tc>
          <w:tcPr>
            <w:tcW w:w="951" w:type="pct"/>
          </w:tcPr>
          <w:p w:rsidR="001D4E8C" w:rsidRPr="0089190C" w:rsidRDefault="008809E8" w:rsidP="001D4E8C">
            <w:pPr>
              <w:rPr>
                <w:sz w:val="18"/>
                <w:szCs w:val="18"/>
                <w:lang w:val="es-ES"/>
              </w:rPr>
            </w:pPr>
            <w:r w:rsidRPr="008809E8">
              <w:rPr>
                <w:sz w:val="18"/>
                <w:szCs w:val="18"/>
                <w:lang w:val="es-ES"/>
              </w:rPr>
              <w:t>Comunidades/organizaciones  locales</w:t>
            </w:r>
          </w:p>
        </w:tc>
      </w:tr>
    </w:tbl>
    <w:p w:rsidR="001D4E8C" w:rsidRPr="00566B99" w:rsidRDefault="001D4E8C" w:rsidP="00FA1637">
      <w:pPr>
        <w:spacing w:after="200" w:line="276" w:lineRule="auto"/>
        <w:rPr>
          <w:lang w:val="es-ES"/>
        </w:rPr>
      </w:pPr>
    </w:p>
    <w:p w:rsidR="00593CD7" w:rsidRPr="00566B99" w:rsidRDefault="008809E8" w:rsidP="00F91221">
      <w:pPr>
        <w:pStyle w:val="ListBullet"/>
        <w:numPr>
          <w:ilvl w:val="0"/>
          <w:numId w:val="37"/>
        </w:numPr>
        <w:rPr>
          <w:lang w:val="es-ES"/>
        </w:rPr>
      </w:pPr>
      <w:r w:rsidRPr="00566B99">
        <w:rPr>
          <w:lang w:val="es-ES"/>
        </w:rPr>
        <w:t xml:space="preserve">Mecanismos de Coordinación del Proyecto  </w:t>
      </w:r>
    </w:p>
    <w:p w:rsidR="00593CD7" w:rsidRPr="00C529C3" w:rsidRDefault="00593CD7" w:rsidP="00593CD7">
      <w:pPr>
        <w:pStyle w:val="ListBullet"/>
        <w:rPr>
          <w:sz w:val="23"/>
          <w:szCs w:val="23"/>
          <w:lang w:val="es-ES"/>
        </w:rPr>
      </w:pPr>
    </w:p>
    <w:p w:rsidR="00566B99" w:rsidRPr="00C529C3" w:rsidRDefault="00566B99" w:rsidP="00F91221">
      <w:pPr>
        <w:numPr>
          <w:ilvl w:val="0"/>
          <w:numId w:val="33"/>
        </w:numPr>
        <w:tabs>
          <w:tab w:val="clear" w:pos="360"/>
          <w:tab w:val="num" w:pos="0"/>
        </w:tabs>
        <w:jc w:val="both"/>
        <w:rPr>
          <w:rFonts w:cs="Arial"/>
          <w:b/>
          <w:sz w:val="23"/>
          <w:szCs w:val="23"/>
          <w:lang w:val="es-ES"/>
        </w:rPr>
      </w:pPr>
      <w:r w:rsidRPr="00C529C3">
        <w:rPr>
          <w:rFonts w:eastAsia="Calibri"/>
          <w:sz w:val="23"/>
          <w:szCs w:val="23"/>
          <w:lang w:val="es-ES"/>
        </w:rPr>
        <w:t xml:space="preserve">El </w:t>
      </w:r>
      <w:r w:rsidRPr="00C529C3">
        <w:rPr>
          <w:rFonts w:eastAsia="Calibri"/>
          <w:i/>
          <w:sz w:val="23"/>
          <w:szCs w:val="23"/>
          <w:lang w:val="es-ES"/>
        </w:rPr>
        <w:t>Comité</w:t>
      </w:r>
      <w:r w:rsidR="0099305C">
        <w:rPr>
          <w:rFonts w:eastAsia="Calibri"/>
          <w:i/>
          <w:sz w:val="23"/>
          <w:szCs w:val="23"/>
          <w:lang w:val="es-ES"/>
        </w:rPr>
        <w:t xml:space="preserve"> </w:t>
      </w:r>
      <w:r w:rsidRPr="00C529C3">
        <w:rPr>
          <w:rFonts w:eastAsia="Calibri"/>
          <w:i/>
          <w:sz w:val="23"/>
          <w:szCs w:val="23"/>
          <w:lang w:val="es-ES"/>
        </w:rPr>
        <w:t>Interinstitucional</w:t>
      </w:r>
      <w:r w:rsidR="0099305C">
        <w:rPr>
          <w:rFonts w:eastAsia="Calibri"/>
          <w:i/>
          <w:sz w:val="23"/>
          <w:szCs w:val="23"/>
          <w:lang w:val="es-ES"/>
        </w:rPr>
        <w:t xml:space="preserve"> </w:t>
      </w:r>
      <w:r w:rsidRPr="00C529C3">
        <w:rPr>
          <w:rFonts w:eastAsia="Calibri"/>
          <w:i/>
          <w:sz w:val="23"/>
          <w:szCs w:val="23"/>
          <w:lang w:val="es-ES"/>
        </w:rPr>
        <w:t>del Proyecto</w:t>
      </w:r>
      <w:r w:rsidR="00593CD7" w:rsidRPr="00C529C3">
        <w:rPr>
          <w:rFonts w:eastAsia="Calibri"/>
          <w:i/>
          <w:sz w:val="23"/>
          <w:szCs w:val="23"/>
          <w:lang w:val="es-ES"/>
        </w:rPr>
        <w:t xml:space="preserve"> (CIP)</w:t>
      </w:r>
      <w:r w:rsidR="0099305C">
        <w:rPr>
          <w:rFonts w:eastAsia="Calibri"/>
          <w:i/>
          <w:sz w:val="23"/>
          <w:szCs w:val="23"/>
          <w:lang w:val="es-ES"/>
        </w:rPr>
        <w:t xml:space="preserve"> </w:t>
      </w:r>
      <w:r w:rsidRPr="00C529C3">
        <w:rPr>
          <w:rFonts w:eastAsia="Calibri"/>
          <w:sz w:val="23"/>
          <w:szCs w:val="23"/>
          <w:lang w:val="es-ES"/>
        </w:rPr>
        <w:t>estará integrado por l</w:t>
      </w:r>
      <w:r w:rsidR="0099305C">
        <w:rPr>
          <w:rFonts w:eastAsia="Calibri"/>
          <w:sz w:val="23"/>
          <w:szCs w:val="23"/>
          <w:lang w:val="es-ES"/>
        </w:rPr>
        <w:t>a</w:t>
      </w:r>
      <w:r w:rsidRPr="00C529C3">
        <w:rPr>
          <w:rFonts w:eastAsia="Calibri"/>
          <w:sz w:val="23"/>
          <w:szCs w:val="23"/>
          <w:lang w:val="es-ES"/>
        </w:rPr>
        <w:t xml:space="preserve">s </w:t>
      </w:r>
      <w:r w:rsidR="0099305C">
        <w:rPr>
          <w:rFonts w:eastAsia="Calibri"/>
          <w:sz w:val="23"/>
          <w:szCs w:val="23"/>
          <w:lang w:val="es-ES"/>
        </w:rPr>
        <w:t xml:space="preserve">personas  en cargo de </w:t>
      </w:r>
      <w:r w:rsidRPr="00C529C3">
        <w:rPr>
          <w:rFonts w:eastAsia="Calibri"/>
          <w:sz w:val="23"/>
          <w:szCs w:val="23"/>
          <w:lang w:val="es-ES"/>
        </w:rPr>
        <w:t xml:space="preserve">máximos funcionarios o delegados de </w:t>
      </w:r>
      <w:r w:rsidR="00593CD7" w:rsidRPr="00C529C3">
        <w:rPr>
          <w:rFonts w:eastAsia="Calibri"/>
          <w:sz w:val="23"/>
          <w:szCs w:val="23"/>
          <w:lang w:val="es-ES"/>
        </w:rPr>
        <w:t xml:space="preserve">MHCP, PGR, </w:t>
      </w:r>
      <w:r w:rsidR="003D192F" w:rsidRPr="00C529C3">
        <w:rPr>
          <w:rFonts w:eastAsia="Calibri"/>
          <w:sz w:val="23"/>
          <w:szCs w:val="23"/>
          <w:lang w:val="es-ES"/>
        </w:rPr>
        <w:t xml:space="preserve">IP, </w:t>
      </w:r>
      <w:r w:rsidR="00593CD7" w:rsidRPr="00C529C3">
        <w:rPr>
          <w:rFonts w:eastAsia="Calibri"/>
          <w:sz w:val="23"/>
          <w:szCs w:val="23"/>
          <w:lang w:val="es-ES"/>
        </w:rPr>
        <w:t>CSJ</w:t>
      </w:r>
      <w:r w:rsidR="00AE6FA4" w:rsidRPr="00C529C3">
        <w:rPr>
          <w:rFonts w:eastAsia="Calibri"/>
          <w:sz w:val="23"/>
          <w:szCs w:val="23"/>
          <w:lang w:val="es-ES"/>
        </w:rPr>
        <w:t xml:space="preserve">, </w:t>
      </w:r>
      <w:r w:rsidR="006B1156" w:rsidRPr="00C529C3">
        <w:rPr>
          <w:rFonts w:eastAsia="Calibri"/>
          <w:sz w:val="23"/>
          <w:szCs w:val="23"/>
          <w:lang w:val="es-ES"/>
        </w:rPr>
        <w:t xml:space="preserve">INIFOM, </w:t>
      </w:r>
      <w:r w:rsidR="00AE6FA4" w:rsidRPr="00C529C3">
        <w:rPr>
          <w:rFonts w:eastAsia="Calibri"/>
          <w:sz w:val="23"/>
          <w:szCs w:val="23"/>
          <w:lang w:val="es-ES"/>
        </w:rPr>
        <w:t>MARENA</w:t>
      </w:r>
      <w:r w:rsidR="0099305C">
        <w:rPr>
          <w:rFonts w:eastAsia="Calibri"/>
          <w:sz w:val="23"/>
          <w:szCs w:val="23"/>
          <w:lang w:val="es-ES"/>
        </w:rPr>
        <w:t xml:space="preserve"> </w:t>
      </w:r>
      <w:r w:rsidRPr="00C529C3">
        <w:rPr>
          <w:rFonts w:eastAsia="Calibri"/>
          <w:sz w:val="23"/>
          <w:szCs w:val="23"/>
          <w:lang w:val="es-ES"/>
        </w:rPr>
        <w:t xml:space="preserve">e </w:t>
      </w:r>
      <w:r w:rsidR="00593CD7" w:rsidRPr="00C529C3">
        <w:rPr>
          <w:rFonts w:eastAsia="Calibri"/>
          <w:sz w:val="23"/>
          <w:szCs w:val="23"/>
          <w:lang w:val="es-ES"/>
        </w:rPr>
        <w:t xml:space="preserve">INETER. </w:t>
      </w:r>
      <w:r w:rsidRPr="00C529C3">
        <w:rPr>
          <w:sz w:val="23"/>
          <w:szCs w:val="23"/>
          <w:lang w:val="es-ES"/>
        </w:rPr>
        <w:t>El</w:t>
      </w:r>
      <w:r w:rsidR="0099305C">
        <w:rPr>
          <w:sz w:val="23"/>
          <w:szCs w:val="23"/>
          <w:lang w:val="es-ES"/>
        </w:rPr>
        <w:t xml:space="preserve"> </w:t>
      </w:r>
      <w:r w:rsidR="003D192F" w:rsidRPr="00C529C3">
        <w:rPr>
          <w:sz w:val="23"/>
          <w:szCs w:val="23"/>
          <w:lang w:val="es-ES"/>
        </w:rPr>
        <w:t>CIP</w:t>
      </w:r>
      <w:r w:rsidR="0099305C">
        <w:rPr>
          <w:sz w:val="23"/>
          <w:szCs w:val="23"/>
          <w:lang w:val="es-ES"/>
        </w:rPr>
        <w:t xml:space="preserve"> </w:t>
      </w:r>
      <w:r w:rsidRPr="00C529C3">
        <w:rPr>
          <w:sz w:val="23"/>
          <w:szCs w:val="23"/>
          <w:lang w:val="es-ES"/>
        </w:rPr>
        <w:t xml:space="preserve">podrá </w:t>
      </w:r>
      <w:r w:rsidR="000A5804" w:rsidRPr="00C529C3">
        <w:rPr>
          <w:sz w:val="23"/>
          <w:szCs w:val="23"/>
          <w:lang w:val="es-ES"/>
        </w:rPr>
        <w:t>invitar</w:t>
      </w:r>
      <w:r w:rsidRPr="00C529C3">
        <w:rPr>
          <w:sz w:val="23"/>
          <w:szCs w:val="23"/>
          <w:lang w:val="es-ES"/>
        </w:rPr>
        <w:t xml:space="preserve"> a otr</w:t>
      </w:r>
      <w:r w:rsidR="0099305C">
        <w:rPr>
          <w:sz w:val="23"/>
          <w:szCs w:val="23"/>
          <w:lang w:val="es-ES"/>
        </w:rPr>
        <w:t>a</w:t>
      </w:r>
      <w:r w:rsidRPr="00C529C3">
        <w:rPr>
          <w:sz w:val="23"/>
          <w:szCs w:val="23"/>
          <w:lang w:val="es-ES"/>
        </w:rPr>
        <w:t xml:space="preserve">s </w:t>
      </w:r>
      <w:r w:rsidR="0099305C">
        <w:rPr>
          <w:sz w:val="23"/>
          <w:szCs w:val="23"/>
          <w:lang w:val="es-ES"/>
        </w:rPr>
        <w:t xml:space="preserve">personas </w:t>
      </w:r>
      <w:r w:rsidRPr="00C529C3">
        <w:rPr>
          <w:sz w:val="23"/>
          <w:szCs w:val="23"/>
          <w:lang w:val="es-ES"/>
        </w:rPr>
        <w:t>funcionari</w:t>
      </w:r>
      <w:r w:rsidR="0099305C">
        <w:rPr>
          <w:sz w:val="23"/>
          <w:szCs w:val="23"/>
          <w:lang w:val="es-ES"/>
        </w:rPr>
        <w:t>a</w:t>
      </w:r>
      <w:r w:rsidRPr="00C529C3">
        <w:rPr>
          <w:sz w:val="23"/>
          <w:szCs w:val="23"/>
          <w:lang w:val="es-ES"/>
        </w:rPr>
        <w:t>s o representantes administrativos públicos</w:t>
      </w:r>
      <w:r w:rsidR="000A5804" w:rsidRPr="00C529C3">
        <w:rPr>
          <w:sz w:val="23"/>
          <w:szCs w:val="23"/>
          <w:lang w:val="es-ES"/>
        </w:rPr>
        <w:t>, de entes centralizados o descentralizados, territoriales o autónomos, cuyas acciones estén conectadas con las actividades del Proyecto para discutir temas específicos en cuanto a las políticas y operaciones. Las principales actividades del CIP son: (a) Formular, coordinar y darle seguimiento a las políticas de ordenamiento territorial; (b) Garantizar una coordinación y colaboración interinstitucional efectiva; (c) Supervisar la ejecución del Proyecto.</w:t>
      </w:r>
    </w:p>
    <w:p w:rsidR="003D192F" w:rsidRPr="00C529C3" w:rsidRDefault="003D192F" w:rsidP="003D192F">
      <w:pPr>
        <w:jc w:val="both"/>
        <w:rPr>
          <w:rFonts w:cs="Arial"/>
          <w:b/>
          <w:sz w:val="23"/>
          <w:szCs w:val="23"/>
          <w:lang w:val="es-ES"/>
        </w:rPr>
      </w:pPr>
    </w:p>
    <w:p w:rsidR="007903C7" w:rsidRPr="00C529C3" w:rsidRDefault="00856FF1" w:rsidP="00F91221">
      <w:pPr>
        <w:numPr>
          <w:ilvl w:val="0"/>
          <w:numId w:val="33"/>
        </w:numPr>
        <w:tabs>
          <w:tab w:val="clear" w:pos="360"/>
          <w:tab w:val="num" w:pos="0"/>
        </w:tabs>
        <w:jc w:val="both"/>
        <w:rPr>
          <w:rFonts w:cs="Arial"/>
          <w:b/>
          <w:sz w:val="23"/>
          <w:szCs w:val="23"/>
          <w:lang w:val="es-ES"/>
        </w:rPr>
      </w:pPr>
      <w:r w:rsidRPr="00C529C3">
        <w:rPr>
          <w:sz w:val="23"/>
          <w:szCs w:val="23"/>
          <w:lang w:val="es-ES"/>
        </w:rPr>
        <w:t xml:space="preserve">El </w:t>
      </w:r>
      <w:r w:rsidRPr="00C529C3">
        <w:rPr>
          <w:i/>
          <w:sz w:val="23"/>
          <w:szCs w:val="23"/>
          <w:lang w:val="es-ES"/>
        </w:rPr>
        <w:t xml:space="preserve">Comité Técnico del Proyecto </w:t>
      </w:r>
      <w:r w:rsidR="00593CD7" w:rsidRPr="00C529C3">
        <w:rPr>
          <w:i/>
          <w:sz w:val="23"/>
          <w:szCs w:val="23"/>
          <w:lang w:val="es-ES"/>
        </w:rPr>
        <w:t>(CTO)</w:t>
      </w:r>
      <w:r w:rsidR="0099305C">
        <w:rPr>
          <w:i/>
          <w:sz w:val="23"/>
          <w:szCs w:val="23"/>
          <w:lang w:val="es-ES"/>
        </w:rPr>
        <w:t xml:space="preserve"> </w:t>
      </w:r>
      <w:r w:rsidRPr="00C529C3">
        <w:rPr>
          <w:sz w:val="23"/>
          <w:szCs w:val="23"/>
          <w:lang w:val="es-ES"/>
        </w:rPr>
        <w:t>es un ente consultativo</w:t>
      </w:r>
      <w:r w:rsidR="0099305C">
        <w:rPr>
          <w:sz w:val="23"/>
          <w:szCs w:val="23"/>
          <w:lang w:val="es-ES"/>
        </w:rPr>
        <w:t xml:space="preserve"> </w:t>
      </w:r>
      <w:r w:rsidR="00593CD7" w:rsidRPr="00C529C3">
        <w:rPr>
          <w:i/>
          <w:sz w:val="23"/>
          <w:szCs w:val="23"/>
          <w:lang w:val="es-ES"/>
        </w:rPr>
        <w:t>ad hoc</w:t>
      </w:r>
      <w:r w:rsidR="0099305C">
        <w:rPr>
          <w:i/>
          <w:sz w:val="23"/>
          <w:szCs w:val="23"/>
          <w:lang w:val="es-ES"/>
        </w:rPr>
        <w:t xml:space="preserve"> </w:t>
      </w:r>
      <w:r w:rsidRPr="00C529C3">
        <w:rPr>
          <w:sz w:val="23"/>
          <w:szCs w:val="23"/>
          <w:lang w:val="es-ES"/>
        </w:rPr>
        <w:t>adscrito al</w:t>
      </w:r>
      <w:r w:rsidR="0099305C">
        <w:rPr>
          <w:sz w:val="23"/>
          <w:szCs w:val="23"/>
          <w:lang w:val="es-ES"/>
        </w:rPr>
        <w:t xml:space="preserve"> </w:t>
      </w:r>
      <w:r w:rsidR="00593CD7" w:rsidRPr="00C529C3">
        <w:rPr>
          <w:sz w:val="23"/>
          <w:szCs w:val="23"/>
          <w:lang w:val="es-ES"/>
        </w:rPr>
        <w:t>CIP</w:t>
      </w:r>
      <w:r w:rsidR="0099305C">
        <w:rPr>
          <w:sz w:val="23"/>
          <w:szCs w:val="23"/>
          <w:lang w:val="es-ES"/>
        </w:rPr>
        <w:t xml:space="preserve"> </w:t>
      </w:r>
      <w:r w:rsidR="007903C7" w:rsidRPr="00C529C3">
        <w:rPr>
          <w:sz w:val="23"/>
          <w:szCs w:val="23"/>
          <w:lang w:val="es-ES"/>
        </w:rPr>
        <w:t>cuyo</w:t>
      </w:r>
      <w:r w:rsidR="0099305C">
        <w:rPr>
          <w:sz w:val="23"/>
          <w:szCs w:val="23"/>
          <w:lang w:val="es-ES"/>
        </w:rPr>
        <w:t xml:space="preserve"> </w:t>
      </w:r>
      <w:r w:rsidR="00A7778B" w:rsidRPr="00C529C3">
        <w:rPr>
          <w:sz w:val="23"/>
          <w:szCs w:val="23"/>
          <w:lang w:val="es-ES"/>
        </w:rPr>
        <w:t>objetivo</w:t>
      </w:r>
      <w:r w:rsidR="0099305C">
        <w:rPr>
          <w:sz w:val="23"/>
          <w:szCs w:val="23"/>
          <w:lang w:val="es-ES"/>
        </w:rPr>
        <w:t xml:space="preserve"> </w:t>
      </w:r>
      <w:r w:rsidR="007903C7" w:rsidRPr="00C529C3">
        <w:rPr>
          <w:sz w:val="23"/>
          <w:szCs w:val="23"/>
          <w:lang w:val="es-ES"/>
        </w:rPr>
        <w:t xml:space="preserve">es garantizar la eficiencia operativa del Proyecto de acuerdo con las necesidades estratégicas del Proyecto. El </w:t>
      </w:r>
      <w:r w:rsidR="001429D2" w:rsidRPr="00C529C3">
        <w:rPr>
          <w:sz w:val="23"/>
          <w:szCs w:val="23"/>
          <w:lang w:val="es-ES"/>
        </w:rPr>
        <w:t>CTO</w:t>
      </w:r>
      <w:r w:rsidR="0099305C">
        <w:rPr>
          <w:sz w:val="23"/>
          <w:szCs w:val="23"/>
          <w:lang w:val="es-ES"/>
        </w:rPr>
        <w:t xml:space="preserve"> </w:t>
      </w:r>
      <w:r w:rsidR="007903C7" w:rsidRPr="00C529C3">
        <w:rPr>
          <w:sz w:val="23"/>
          <w:szCs w:val="23"/>
          <w:lang w:val="es-ES"/>
        </w:rPr>
        <w:t>estará integrado por expertos técnicos de instituciones públicas íntimamente ligadas al Proyecto. Los deberes y autoridad del CTO estarán determinados por el CIP y estará presidido por el Procurador General o por un</w:t>
      </w:r>
      <w:r w:rsidR="0099305C">
        <w:rPr>
          <w:sz w:val="23"/>
          <w:szCs w:val="23"/>
          <w:lang w:val="es-ES"/>
        </w:rPr>
        <w:t xml:space="preserve">a persona </w:t>
      </w:r>
      <w:r w:rsidR="007903C7" w:rsidRPr="00C529C3">
        <w:rPr>
          <w:sz w:val="23"/>
          <w:szCs w:val="23"/>
          <w:lang w:val="es-ES"/>
        </w:rPr>
        <w:t xml:space="preserve"> delegad</w:t>
      </w:r>
      <w:r w:rsidR="0099305C">
        <w:rPr>
          <w:sz w:val="23"/>
          <w:szCs w:val="23"/>
          <w:lang w:val="es-ES"/>
        </w:rPr>
        <w:t>a</w:t>
      </w:r>
      <w:r w:rsidR="007903C7" w:rsidRPr="00C529C3">
        <w:rPr>
          <w:sz w:val="23"/>
          <w:szCs w:val="23"/>
          <w:lang w:val="es-ES"/>
        </w:rPr>
        <w:t>.</w:t>
      </w:r>
    </w:p>
    <w:p w:rsidR="00CF0F3C" w:rsidRPr="007903C7" w:rsidRDefault="00CF0F3C" w:rsidP="00CF0F3C">
      <w:pPr>
        <w:jc w:val="both"/>
        <w:rPr>
          <w:rFonts w:cs="Arial"/>
          <w:b/>
          <w:lang w:val="es-ES"/>
        </w:rPr>
      </w:pPr>
    </w:p>
    <w:p w:rsidR="00BA7DF7" w:rsidRPr="007903C7" w:rsidRDefault="008D01B9" w:rsidP="00BA1503">
      <w:pPr>
        <w:pStyle w:val="ListParagraph"/>
        <w:spacing w:after="200" w:line="276" w:lineRule="auto"/>
        <w:ind w:left="0"/>
        <w:rPr>
          <w:b/>
          <w:lang w:val="es-ES"/>
        </w:rPr>
      </w:pPr>
      <w:r w:rsidRPr="007903C7">
        <w:rPr>
          <w:b/>
          <w:lang w:val="es-ES"/>
        </w:rPr>
        <w:t>II.</w:t>
      </w:r>
      <w:r w:rsidRPr="007903C7">
        <w:rPr>
          <w:b/>
          <w:lang w:val="es-ES"/>
        </w:rPr>
        <w:tab/>
      </w:r>
      <w:r w:rsidR="007903C7">
        <w:rPr>
          <w:b/>
          <w:lang w:val="es-ES"/>
        </w:rPr>
        <w:t>Mecanismos de Gestión Financiera y de Desembolsos</w:t>
      </w:r>
    </w:p>
    <w:p w:rsidR="00F33A04" w:rsidRPr="00571407" w:rsidRDefault="00F33A04" w:rsidP="00F33A04">
      <w:pPr>
        <w:pStyle w:val="ListParagraph"/>
        <w:autoSpaceDE w:val="0"/>
        <w:autoSpaceDN w:val="0"/>
        <w:adjustRightInd w:val="0"/>
        <w:ind w:left="0"/>
        <w:jc w:val="both"/>
        <w:rPr>
          <w:bCs/>
          <w:sz w:val="23"/>
          <w:szCs w:val="23"/>
          <w:lang w:val="es-ES"/>
        </w:rPr>
      </w:pPr>
    </w:p>
    <w:p w:rsidR="00F33A04" w:rsidRPr="00571407" w:rsidRDefault="007903C7" w:rsidP="00F91221">
      <w:pPr>
        <w:numPr>
          <w:ilvl w:val="0"/>
          <w:numId w:val="33"/>
        </w:numPr>
        <w:tabs>
          <w:tab w:val="clear" w:pos="360"/>
          <w:tab w:val="num" w:pos="0"/>
        </w:tabs>
        <w:jc w:val="both"/>
        <w:rPr>
          <w:bCs/>
          <w:sz w:val="23"/>
          <w:szCs w:val="23"/>
          <w:lang w:val="es-ES"/>
        </w:rPr>
      </w:pPr>
      <w:r w:rsidRPr="00571407">
        <w:rPr>
          <w:bCs/>
          <w:sz w:val="23"/>
          <w:szCs w:val="23"/>
          <w:lang w:val="es-ES"/>
        </w:rPr>
        <w:t xml:space="preserve">Se elaboró una evaluación de la capacidad </w:t>
      </w:r>
      <w:r w:rsidR="003A24A2" w:rsidRPr="00571407">
        <w:rPr>
          <w:bCs/>
          <w:sz w:val="23"/>
          <w:szCs w:val="23"/>
          <w:lang w:val="es-ES"/>
        </w:rPr>
        <w:t xml:space="preserve">de gestión financiera para evaluar la idoneidad de los mecanismos de gestión financiera del Proyecto. Esta evaluación se hizo de conformidad con </w:t>
      </w:r>
      <w:r w:rsidR="00F33A04" w:rsidRPr="00571407">
        <w:rPr>
          <w:bCs/>
          <w:sz w:val="23"/>
          <w:szCs w:val="23"/>
          <w:lang w:val="es-ES"/>
        </w:rPr>
        <w:t>OP/BP 10.02</w:t>
      </w:r>
      <w:r w:rsidR="003A24A2" w:rsidRPr="00571407">
        <w:rPr>
          <w:bCs/>
          <w:sz w:val="23"/>
          <w:szCs w:val="23"/>
          <w:lang w:val="es-ES"/>
        </w:rPr>
        <w:t xml:space="preserve">, mientras que el Manual de Gestión Financiera para las Operaciones de Inversión Financiadas por el Banco Mundial entró en vigencia el 1° de marzo del </w:t>
      </w:r>
      <w:r w:rsidR="00F33A04" w:rsidRPr="00571407">
        <w:rPr>
          <w:bCs/>
          <w:sz w:val="23"/>
          <w:szCs w:val="23"/>
          <w:lang w:val="es-ES"/>
        </w:rPr>
        <w:t xml:space="preserve"> 2010. </w:t>
      </w:r>
    </w:p>
    <w:p w:rsidR="00F33A04" w:rsidRPr="00571407" w:rsidRDefault="00F33A04" w:rsidP="00F33A04">
      <w:pPr>
        <w:pStyle w:val="ListParagraph"/>
        <w:autoSpaceDE w:val="0"/>
        <w:autoSpaceDN w:val="0"/>
        <w:adjustRightInd w:val="0"/>
        <w:ind w:left="0"/>
        <w:jc w:val="both"/>
        <w:rPr>
          <w:bCs/>
          <w:sz w:val="23"/>
          <w:szCs w:val="23"/>
          <w:lang w:val="es-ES"/>
        </w:rPr>
      </w:pPr>
    </w:p>
    <w:p w:rsidR="00BA7DF7" w:rsidRPr="00571407" w:rsidRDefault="003A24A2" w:rsidP="00F91221">
      <w:pPr>
        <w:numPr>
          <w:ilvl w:val="0"/>
          <w:numId w:val="33"/>
        </w:numPr>
        <w:tabs>
          <w:tab w:val="clear" w:pos="360"/>
          <w:tab w:val="num" w:pos="0"/>
        </w:tabs>
        <w:jc w:val="both"/>
        <w:rPr>
          <w:sz w:val="23"/>
          <w:szCs w:val="23"/>
          <w:lang w:val="es-ES"/>
        </w:rPr>
      </w:pPr>
      <w:r w:rsidRPr="00571407">
        <w:rPr>
          <w:sz w:val="23"/>
          <w:szCs w:val="23"/>
          <w:lang w:val="es-ES"/>
        </w:rPr>
        <w:t>Dicha evaluación arrojó las siguientes conclusiones</w:t>
      </w:r>
      <w:r w:rsidR="00BA7DF7" w:rsidRPr="00571407">
        <w:rPr>
          <w:sz w:val="23"/>
          <w:szCs w:val="23"/>
          <w:lang w:val="es-ES"/>
        </w:rPr>
        <w:t>:</w:t>
      </w:r>
    </w:p>
    <w:p w:rsidR="00BA7DF7" w:rsidRPr="00571407" w:rsidRDefault="00BA7DF7" w:rsidP="00BA7DF7">
      <w:pPr>
        <w:rPr>
          <w:sz w:val="23"/>
          <w:szCs w:val="23"/>
          <w:lang w:val="es-ES"/>
        </w:rPr>
      </w:pPr>
    </w:p>
    <w:p w:rsidR="002B71DE" w:rsidRPr="00571407" w:rsidRDefault="00F311FB" w:rsidP="00FF33C1">
      <w:pPr>
        <w:widowControl w:val="0"/>
        <w:numPr>
          <w:ilvl w:val="0"/>
          <w:numId w:val="19"/>
        </w:numPr>
        <w:adjustRightInd w:val="0"/>
        <w:jc w:val="both"/>
        <w:textAlignment w:val="baseline"/>
        <w:rPr>
          <w:sz w:val="23"/>
          <w:szCs w:val="23"/>
          <w:lang w:val="es-ES"/>
        </w:rPr>
      </w:pPr>
      <w:r w:rsidRPr="00571407">
        <w:rPr>
          <w:sz w:val="23"/>
          <w:szCs w:val="23"/>
          <w:lang w:val="es-ES"/>
        </w:rPr>
        <w:t xml:space="preserve">La </w:t>
      </w:r>
      <w:r w:rsidR="00890CA6" w:rsidRPr="00571407">
        <w:rPr>
          <w:sz w:val="23"/>
          <w:szCs w:val="23"/>
          <w:lang w:val="es-ES"/>
        </w:rPr>
        <w:t>UCP</w:t>
      </w:r>
      <w:r w:rsidR="005E6DC3" w:rsidRPr="00571407">
        <w:rPr>
          <w:sz w:val="23"/>
          <w:szCs w:val="23"/>
          <w:lang w:val="es-ES"/>
        </w:rPr>
        <w:t>-PGR</w:t>
      </w:r>
      <w:r w:rsidR="0099305C">
        <w:rPr>
          <w:sz w:val="23"/>
          <w:szCs w:val="23"/>
          <w:lang w:val="es-ES"/>
        </w:rPr>
        <w:t xml:space="preserve"> </w:t>
      </w:r>
      <w:r w:rsidRPr="00571407">
        <w:rPr>
          <w:sz w:val="23"/>
          <w:szCs w:val="23"/>
          <w:lang w:val="es-ES"/>
        </w:rPr>
        <w:t>ejecuta un proyecto financiado por el Banco Mundial (Proyecto de Ordenamiento Territorial conocido como PRODEP,</w:t>
      </w:r>
      <w:r w:rsidR="0099305C">
        <w:rPr>
          <w:sz w:val="23"/>
          <w:szCs w:val="23"/>
          <w:lang w:val="es-ES"/>
        </w:rPr>
        <w:t xml:space="preserve"> </w:t>
      </w:r>
      <w:r w:rsidR="00BA7DF7" w:rsidRPr="00571407">
        <w:rPr>
          <w:sz w:val="23"/>
          <w:szCs w:val="23"/>
          <w:lang w:val="es-ES"/>
        </w:rPr>
        <w:t xml:space="preserve">Cr. </w:t>
      </w:r>
      <w:r w:rsidR="009A5DC2" w:rsidRPr="00571407">
        <w:rPr>
          <w:sz w:val="23"/>
          <w:szCs w:val="23"/>
          <w:lang w:val="es-ES"/>
        </w:rPr>
        <w:t>3665</w:t>
      </w:r>
      <w:r w:rsidR="00FA1637" w:rsidRPr="00571407">
        <w:rPr>
          <w:sz w:val="23"/>
          <w:szCs w:val="23"/>
          <w:lang w:val="es-ES"/>
        </w:rPr>
        <w:t>-NI</w:t>
      </w:r>
      <w:r w:rsidR="0099305C">
        <w:rPr>
          <w:sz w:val="23"/>
          <w:szCs w:val="23"/>
          <w:lang w:val="es-ES"/>
        </w:rPr>
        <w:t xml:space="preserve">  </w:t>
      </w:r>
      <w:r w:rsidRPr="00571407">
        <w:rPr>
          <w:sz w:val="23"/>
          <w:szCs w:val="23"/>
          <w:lang w:val="es-ES"/>
        </w:rPr>
        <w:t xml:space="preserve">y crédito para Financiamiento Adicional </w:t>
      </w:r>
      <w:r w:rsidR="00BA7DF7" w:rsidRPr="00571407">
        <w:rPr>
          <w:sz w:val="23"/>
          <w:szCs w:val="23"/>
          <w:lang w:val="es-ES"/>
        </w:rPr>
        <w:t xml:space="preserve">Cr. </w:t>
      </w:r>
      <w:r w:rsidR="00FA1637" w:rsidRPr="00571407">
        <w:rPr>
          <w:sz w:val="23"/>
          <w:szCs w:val="23"/>
          <w:lang w:val="es-ES"/>
        </w:rPr>
        <w:t>4680-NI</w:t>
      </w:r>
      <w:r w:rsidR="00BA7DF7" w:rsidRPr="00571407">
        <w:rPr>
          <w:sz w:val="23"/>
          <w:szCs w:val="23"/>
          <w:lang w:val="es-ES"/>
        </w:rPr>
        <w:t xml:space="preserve">). </w:t>
      </w:r>
      <w:r w:rsidR="00D859F1" w:rsidRPr="00571407">
        <w:rPr>
          <w:sz w:val="23"/>
          <w:szCs w:val="23"/>
          <w:lang w:val="es-ES"/>
        </w:rPr>
        <w:t>La</w:t>
      </w:r>
      <w:r w:rsidR="0099305C">
        <w:rPr>
          <w:sz w:val="23"/>
          <w:szCs w:val="23"/>
          <w:lang w:val="es-ES"/>
        </w:rPr>
        <w:t xml:space="preserve"> </w:t>
      </w:r>
      <w:r w:rsidR="00890CA6" w:rsidRPr="00571407">
        <w:rPr>
          <w:sz w:val="23"/>
          <w:szCs w:val="23"/>
          <w:lang w:val="es-ES"/>
        </w:rPr>
        <w:t>UCP</w:t>
      </w:r>
      <w:r w:rsidR="0099305C">
        <w:rPr>
          <w:sz w:val="23"/>
          <w:szCs w:val="23"/>
          <w:lang w:val="es-ES"/>
        </w:rPr>
        <w:t xml:space="preserve"> </w:t>
      </w:r>
      <w:r w:rsidR="00D859F1" w:rsidRPr="00571407">
        <w:rPr>
          <w:sz w:val="23"/>
          <w:szCs w:val="23"/>
          <w:lang w:val="es-ES"/>
        </w:rPr>
        <w:t xml:space="preserve">cuenta con mecanismos de </w:t>
      </w:r>
      <w:r w:rsidR="002B71DE" w:rsidRPr="00571407">
        <w:rPr>
          <w:sz w:val="23"/>
          <w:szCs w:val="23"/>
          <w:lang w:val="es-ES"/>
        </w:rPr>
        <w:t>gestión financiera que cumple con los requisitos fiduciarios mínimos del Banco Mundial para manejar las actividades financieras del Proyecto propuesto.</w:t>
      </w:r>
    </w:p>
    <w:p w:rsidR="002B71DE" w:rsidRPr="00571407" w:rsidRDefault="002B71DE" w:rsidP="00FF33C1">
      <w:pPr>
        <w:widowControl w:val="0"/>
        <w:numPr>
          <w:ilvl w:val="0"/>
          <w:numId w:val="19"/>
        </w:numPr>
        <w:adjustRightInd w:val="0"/>
        <w:jc w:val="both"/>
        <w:textAlignment w:val="baseline"/>
        <w:rPr>
          <w:sz w:val="23"/>
          <w:szCs w:val="23"/>
          <w:lang w:val="es-ES"/>
        </w:rPr>
      </w:pPr>
      <w:r w:rsidRPr="00571407">
        <w:rPr>
          <w:sz w:val="23"/>
          <w:szCs w:val="23"/>
          <w:lang w:val="es-ES"/>
        </w:rPr>
        <w:t>La evaluación de la capacidad financiera identificó acciones específicas que le permitirán a la UCP llevar a cabo las actividades financieras del Proyecto propuesto con mayor efectividad.</w:t>
      </w:r>
    </w:p>
    <w:p w:rsidR="0058322A" w:rsidRPr="00571407" w:rsidRDefault="002B71DE" w:rsidP="00FF33C1">
      <w:pPr>
        <w:widowControl w:val="0"/>
        <w:numPr>
          <w:ilvl w:val="0"/>
          <w:numId w:val="19"/>
        </w:numPr>
        <w:adjustRightInd w:val="0"/>
        <w:jc w:val="both"/>
        <w:textAlignment w:val="baseline"/>
        <w:rPr>
          <w:sz w:val="23"/>
          <w:szCs w:val="23"/>
          <w:lang w:val="es-ES"/>
        </w:rPr>
      </w:pPr>
      <w:r w:rsidRPr="00571407">
        <w:rPr>
          <w:sz w:val="23"/>
          <w:szCs w:val="23"/>
          <w:lang w:val="es-ES"/>
        </w:rPr>
        <w:t xml:space="preserve">El Proyecto empleará los sistemas del país para fines de contabilidad y rendición de informes porque permiten monitorear mediante información adecuada </w:t>
      </w:r>
      <w:r w:rsidR="00EA40BA" w:rsidRPr="00571407">
        <w:rPr>
          <w:sz w:val="23"/>
          <w:szCs w:val="23"/>
          <w:lang w:val="es-ES"/>
        </w:rPr>
        <w:t xml:space="preserve">los gastos y la ejecución presupuestaria del Proyecto. El uso combinado de estos sistemas permite registrar e identificar de manera correcta cada pago realizado. Además de emplear los sistemas del país, el Proyecto también utilizará el </w:t>
      </w:r>
      <w:r w:rsidR="0058322A" w:rsidRPr="00571407">
        <w:rPr>
          <w:sz w:val="23"/>
          <w:szCs w:val="23"/>
          <w:lang w:val="es-ES"/>
        </w:rPr>
        <w:t>Sistema Integrado de Administración y Finanzas  (SIAFI) como base contable para generar estados financieros detallados.</w:t>
      </w:r>
    </w:p>
    <w:p w:rsidR="00D859F1" w:rsidRPr="00571407" w:rsidRDefault="00D859F1" w:rsidP="0058322A">
      <w:pPr>
        <w:widowControl w:val="0"/>
        <w:adjustRightInd w:val="0"/>
        <w:ind w:left="720"/>
        <w:jc w:val="both"/>
        <w:textAlignment w:val="baseline"/>
        <w:rPr>
          <w:sz w:val="23"/>
          <w:szCs w:val="23"/>
          <w:lang w:val="es-ES"/>
        </w:rPr>
      </w:pPr>
    </w:p>
    <w:p w:rsidR="00BA7DF7" w:rsidRPr="00D859F1" w:rsidRDefault="00BA7DF7" w:rsidP="00BA7DF7">
      <w:pPr>
        <w:ind w:left="720"/>
        <w:rPr>
          <w:lang w:val="es-ES"/>
        </w:rPr>
      </w:pPr>
    </w:p>
    <w:p w:rsidR="00BA7DF7" w:rsidRPr="00D859F1" w:rsidRDefault="0058322A" w:rsidP="00F91221">
      <w:pPr>
        <w:pStyle w:val="ListParagraph"/>
        <w:numPr>
          <w:ilvl w:val="0"/>
          <w:numId w:val="41"/>
        </w:numPr>
        <w:spacing w:after="200"/>
        <w:rPr>
          <w:b/>
          <w:bCs/>
          <w:lang w:val="es-ES"/>
        </w:rPr>
      </w:pPr>
      <w:r>
        <w:rPr>
          <w:b/>
          <w:bCs/>
          <w:lang w:val="es-ES"/>
        </w:rPr>
        <w:t xml:space="preserve">Mecanismos </w:t>
      </w:r>
      <w:r w:rsidR="00BA7DF7" w:rsidRPr="00D859F1">
        <w:rPr>
          <w:b/>
          <w:bCs/>
          <w:lang w:val="es-ES"/>
        </w:rPr>
        <w:t>Organiza</w:t>
      </w:r>
      <w:r>
        <w:rPr>
          <w:b/>
          <w:bCs/>
          <w:lang w:val="es-ES"/>
        </w:rPr>
        <w:t>c</w:t>
      </w:r>
      <w:r w:rsidR="00BA7DF7" w:rsidRPr="00D859F1">
        <w:rPr>
          <w:b/>
          <w:bCs/>
          <w:lang w:val="es-ES"/>
        </w:rPr>
        <w:t>ional</w:t>
      </w:r>
      <w:r>
        <w:rPr>
          <w:b/>
          <w:bCs/>
          <w:lang w:val="es-ES"/>
        </w:rPr>
        <w:t>es y Personal</w:t>
      </w:r>
    </w:p>
    <w:p w:rsidR="0058322A" w:rsidRPr="00571407" w:rsidRDefault="0058322A" w:rsidP="00F91221">
      <w:pPr>
        <w:numPr>
          <w:ilvl w:val="0"/>
          <w:numId w:val="33"/>
        </w:numPr>
        <w:tabs>
          <w:tab w:val="clear" w:pos="360"/>
          <w:tab w:val="num" w:pos="0"/>
        </w:tabs>
        <w:jc w:val="both"/>
        <w:rPr>
          <w:sz w:val="23"/>
          <w:szCs w:val="23"/>
          <w:lang w:val="es-ES"/>
        </w:rPr>
      </w:pPr>
      <w:r w:rsidRPr="00571407">
        <w:rPr>
          <w:sz w:val="23"/>
          <w:szCs w:val="23"/>
          <w:lang w:val="es-NI"/>
        </w:rPr>
        <w:t>La</w:t>
      </w:r>
      <w:r w:rsidR="00594238">
        <w:rPr>
          <w:sz w:val="23"/>
          <w:szCs w:val="23"/>
          <w:lang w:val="es-NI"/>
        </w:rPr>
        <w:t xml:space="preserve"> </w:t>
      </w:r>
      <w:r w:rsidRPr="00571407">
        <w:rPr>
          <w:sz w:val="23"/>
          <w:szCs w:val="23"/>
          <w:lang w:val="es-NI"/>
        </w:rPr>
        <w:t>coordinación</w:t>
      </w:r>
      <w:r w:rsidR="00594238">
        <w:rPr>
          <w:sz w:val="23"/>
          <w:szCs w:val="23"/>
          <w:lang w:val="es-NI"/>
        </w:rPr>
        <w:t xml:space="preserve"> </w:t>
      </w:r>
      <w:r w:rsidR="00FF357C" w:rsidRPr="00571407">
        <w:rPr>
          <w:sz w:val="23"/>
          <w:szCs w:val="23"/>
          <w:lang w:val="es-NI"/>
        </w:rPr>
        <w:t>y</w:t>
      </w:r>
      <w:r w:rsidR="00BA7DF7" w:rsidRPr="00571407">
        <w:rPr>
          <w:sz w:val="23"/>
          <w:szCs w:val="23"/>
          <w:lang w:val="es-NI"/>
        </w:rPr>
        <w:t xml:space="preserve"> administra</w:t>
      </w:r>
      <w:r w:rsidRPr="00571407">
        <w:rPr>
          <w:sz w:val="23"/>
          <w:szCs w:val="23"/>
          <w:lang w:val="es-NI"/>
        </w:rPr>
        <w:t>c</w:t>
      </w:r>
      <w:r w:rsidR="00BA7DF7" w:rsidRPr="00571407">
        <w:rPr>
          <w:sz w:val="23"/>
          <w:szCs w:val="23"/>
          <w:lang w:val="es-NI"/>
        </w:rPr>
        <w:t>i</w:t>
      </w:r>
      <w:r w:rsidRPr="00571407">
        <w:rPr>
          <w:sz w:val="23"/>
          <w:szCs w:val="23"/>
          <w:lang w:val="es-NI"/>
        </w:rPr>
        <w:t>ó</w:t>
      </w:r>
      <w:r w:rsidR="00BA7DF7" w:rsidRPr="00571407">
        <w:rPr>
          <w:sz w:val="23"/>
          <w:szCs w:val="23"/>
          <w:lang w:val="es-NI"/>
        </w:rPr>
        <w:t>n</w:t>
      </w:r>
      <w:r w:rsidRPr="00571407">
        <w:rPr>
          <w:sz w:val="23"/>
          <w:szCs w:val="23"/>
          <w:lang w:val="es-NI"/>
        </w:rPr>
        <w:t xml:space="preserve"> en general</w:t>
      </w:r>
      <w:r w:rsidR="00A11517" w:rsidRPr="00571407">
        <w:rPr>
          <w:sz w:val="23"/>
          <w:szCs w:val="23"/>
          <w:lang w:val="es-NI"/>
        </w:rPr>
        <w:t xml:space="preserve"> la ejercerá la PGR a través de la UCP. Ésta se encargará directamente de las tareas de gestión financiera, entre ellas: (i) Formulación y monitoreo de presupuesto; (ii) Gestión de flujo de caja (procesamiento de pagos y solicitudes de retiro de fondos remitidas al Banco Mundial); (iii) Mantenimiento de los registros contables (administración y mantenimiento de un inventario de los activos y bienes del Proyecto); (iv) Preparación de los informes </w:t>
      </w:r>
      <w:r w:rsidR="000E1E1C" w:rsidRPr="00571407">
        <w:rPr>
          <w:sz w:val="23"/>
          <w:szCs w:val="23"/>
          <w:lang w:val="es-NI"/>
        </w:rPr>
        <w:t>financieros exigidos a lo largo del año y de final del año; (v) Administración de los sistemas de información subyacente; (vi) Gestión de las auditorías independientes.</w:t>
      </w:r>
    </w:p>
    <w:p w:rsidR="001003E8" w:rsidRPr="000E1E1C" w:rsidRDefault="001003E8" w:rsidP="001003E8">
      <w:pPr>
        <w:widowControl w:val="0"/>
        <w:adjustRightInd w:val="0"/>
        <w:jc w:val="both"/>
        <w:textAlignment w:val="baseline"/>
        <w:rPr>
          <w:lang w:val="es-ES"/>
        </w:rPr>
      </w:pPr>
    </w:p>
    <w:p w:rsidR="00BA7DF7" w:rsidRPr="000E1E1C" w:rsidRDefault="000E1E1C" w:rsidP="00F91221">
      <w:pPr>
        <w:pStyle w:val="ListParagraph"/>
        <w:widowControl w:val="0"/>
        <w:numPr>
          <w:ilvl w:val="0"/>
          <w:numId w:val="41"/>
        </w:numPr>
        <w:adjustRightInd w:val="0"/>
        <w:jc w:val="both"/>
        <w:textAlignment w:val="baseline"/>
        <w:rPr>
          <w:b/>
          <w:lang w:val="es-ES"/>
        </w:rPr>
      </w:pPr>
      <w:r w:rsidRPr="000E1E1C">
        <w:rPr>
          <w:b/>
          <w:lang w:val="es-ES"/>
        </w:rPr>
        <w:t>Planificación de Presupuesto</w:t>
      </w:r>
    </w:p>
    <w:p w:rsidR="00BA7DF7" w:rsidRPr="00C529C3" w:rsidRDefault="00BA7DF7" w:rsidP="00BA7DF7">
      <w:pPr>
        <w:ind w:left="360"/>
        <w:rPr>
          <w:b/>
          <w:sz w:val="23"/>
          <w:szCs w:val="23"/>
          <w:lang w:val="es-ES"/>
        </w:rPr>
      </w:pPr>
    </w:p>
    <w:p w:rsidR="000E1E1C" w:rsidRPr="00C529C3" w:rsidRDefault="000E1E1C" w:rsidP="00F91221">
      <w:pPr>
        <w:numPr>
          <w:ilvl w:val="0"/>
          <w:numId w:val="33"/>
        </w:numPr>
        <w:tabs>
          <w:tab w:val="clear" w:pos="360"/>
          <w:tab w:val="num" w:pos="0"/>
        </w:tabs>
        <w:jc w:val="both"/>
        <w:rPr>
          <w:sz w:val="23"/>
          <w:szCs w:val="23"/>
          <w:lang w:val="es-ES"/>
        </w:rPr>
      </w:pPr>
      <w:r w:rsidRPr="00C529C3">
        <w:rPr>
          <w:sz w:val="23"/>
          <w:szCs w:val="23"/>
          <w:lang w:val="es-ES"/>
        </w:rPr>
        <w:t>Entre agosto y septiembre de cada año, la UCP preparará un programa preliminar de inversiones correspondientes al siguiente año (inclu</w:t>
      </w:r>
      <w:r w:rsidR="00594238">
        <w:rPr>
          <w:sz w:val="23"/>
          <w:szCs w:val="23"/>
          <w:lang w:val="es-ES"/>
        </w:rPr>
        <w:t>yendo</w:t>
      </w:r>
      <w:r w:rsidRPr="00C529C3">
        <w:rPr>
          <w:sz w:val="23"/>
          <w:szCs w:val="23"/>
          <w:lang w:val="es-ES"/>
        </w:rPr>
        <w:t xml:space="preserve"> el programa de inversiones para el Proyecto propuesto) y lo remitirá al Ministerio de Hacienda y Crédito Público (MHCP) para su revisión y aprobación. El programa deberá guardar consistencia con las políticas presupuestarias del ministerio y deberá incorporarse al presupuesto nacional para luego enviar</w:t>
      </w:r>
      <w:r w:rsidR="00070608" w:rsidRPr="00C529C3">
        <w:rPr>
          <w:sz w:val="23"/>
          <w:szCs w:val="23"/>
          <w:lang w:val="es-ES"/>
        </w:rPr>
        <w:t>lo a la Asamblea Nacional en octubre o noviembre de cada año.</w:t>
      </w:r>
    </w:p>
    <w:p w:rsidR="00070608" w:rsidRPr="00C529C3" w:rsidRDefault="00070608" w:rsidP="002528AB">
      <w:pPr>
        <w:jc w:val="both"/>
        <w:rPr>
          <w:sz w:val="23"/>
          <w:szCs w:val="23"/>
          <w:lang w:val="es-ES"/>
        </w:rPr>
      </w:pPr>
    </w:p>
    <w:p w:rsidR="00BA7DF7" w:rsidRPr="00C529C3" w:rsidRDefault="002528AB" w:rsidP="00F91221">
      <w:pPr>
        <w:numPr>
          <w:ilvl w:val="0"/>
          <w:numId w:val="33"/>
        </w:numPr>
        <w:tabs>
          <w:tab w:val="clear" w:pos="360"/>
          <w:tab w:val="num" w:pos="0"/>
        </w:tabs>
        <w:jc w:val="both"/>
        <w:rPr>
          <w:sz w:val="23"/>
          <w:szCs w:val="23"/>
          <w:lang w:val="es-ES"/>
        </w:rPr>
      </w:pPr>
      <w:r w:rsidRPr="00C529C3">
        <w:rPr>
          <w:sz w:val="23"/>
          <w:szCs w:val="23"/>
          <w:lang w:val="es-ES"/>
        </w:rPr>
        <w:t xml:space="preserve">A partir del presupuesto que le aprueben, la </w:t>
      </w:r>
      <w:r w:rsidR="00890CA6" w:rsidRPr="00C529C3">
        <w:rPr>
          <w:sz w:val="23"/>
          <w:szCs w:val="23"/>
          <w:lang w:val="es-ES"/>
        </w:rPr>
        <w:t>UCP</w:t>
      </w:r>
      <w:r w:rsidR="00594238">
        <w:rPr>
          <w:sz w:val="23"/>
          <w:szCs w:val="23"/>
          <w:lang w:val="es-ES"/>
        </w:rPr>
        <w:t xml:space="preserve"> </w:t>
      </w:r>
      <w:r w:rsidRPr="00C529C3">
        <w:rPr>
          <w:sz w:val="23"/>
          <w:szCs w:val="23"/>
          <w:lang w:val="es-ES"/>
        </w:rPr>
        <w:t>ajustará</w:t>
      </w:r>
      <w:r w:rsidR="00594238">
        <w:rPr>
          <w:sz w:val="23"/>
          <w:szCs w:val="23"/>
          <w:lang w:val="es-ES"/>
        </w:rPr>
        <w:t xml:space="preserve"> </w:t>
      </w:r>
      <w:r w:rsidR="002A0AF7" w:rsidRPr="00C529C3">
        <w:rPr>
          <w:sz w:val="23"/>
          <w:szCs w:val="23"/>
          <w:lang w:val="es-ES"/>
        </w:rPr>
        <w:t>según sea necesario</w:t>
      </w:r>
      <w:r w:rsidRPr="00C529C3">
        <w:rPr>
          <w:sz w:val="23"/>
          <w:szCs w:val="23"/>
          <w:lang w:val="es-ES"/>
        </w:rPr>
        <w:t xml:space="preserve"> el plan de trabajo anual del </w:t>
      </w:r>
      <w:r w:rsidRPr="00020DA8">
        <w:rPr>
          <w:sz w:val="23"/>
          <w:szCs w:val="23"/>
          <w:lang w:val="es-ES"/>
        </w:rPr>
        <w:t>Proyecto</w:t>
      </w:r>
      <w:r w:rsidR="00594238" w:rsidRPr="00020DA8">
        <w:rPr>
          <w:sz w:val="23"/>
          <w:szCs w:val="23"/>
          <w:lang w:val="es-ES"/>
        </w:rPr>
        <w:t xml:space="preserve"> </w:t>
      </w:r>
      <w:r w:rsidR="00C46691" w:rsidRPr="00020DA8">
        <w:rPr>
          <w:sz w:val="23"/>
          <w:szCs w:val="23"/>
          <w:lang w:val="es-ES"/>
        </w:rPr>
        <w:t>(POA) y el plan de adquisiciones (PAC)</w:t>
      </w:r>
      <w:r w:rsidR="00020DA8">
        <w:rPr>
          <w:sz w:val="23"/>
          <w:szCs w:val="23"/>
          <w:lang w:val="es-ES"/>
        </w:rPr>
        <w:t xml:space="preserve"> </w:t>
      </w:r>
      <w:r w:rsidRPr="00020DA8">
        <w:rPr>
          <w:sz w:val="23"/>
          <w:szCs w:val="23"/>
          <w:lang w:val="es-ES"/>
        </w:rPr>
        <w:t>el</w:t>
      </w:r>
      <w:r w:rsidRPr="00C529C3">
        <w:rPr>
          <w:sz w:val="23"/>
          <w:szCs w:val="23"/>
          <w:lang w:val="es-ES"/>
        </w:rPr>
        <w:t xml:space="preserve"> cual estará sometido a la revisión y autorización del Banco Mundial.</w:t>
      </w:r>
    </w:p>
    <w:p w:rsidR="001003E8" w:rsidRPr="00C529C3" w:rsidRDefault="001003E8" w:rsidP="001003E8">
      <w:pPr>
        <w:jc w:val="both"/>
        <w:rPr>
          <w:sz w:val="23"/>
          <w:szCs w:val="23"/>
          <w:lang w:val="es-ES"/>
        </w:rPr>
      </w:pPr>
    </w:p>
    <w:p w:rsidR="00BA7DF7" w:rsidRPr="002528AB" w:rsidRDefault="002528AB" w:rsidP="00F91221">
      <w:pPr>
        <w:pStyle w:val="ListParagraph"/>
        <w:widowControl w:val="0"/>
        <w:numPr>
          <w:ilvl w:val="0"/>
          <w:numId w:val="41"/>
        </w:numPr>
        <w:adjustRightInd w:val="0"/>
        <w:spacing w:after="200"/>
        <w:jc w:val="both"/>
        <w:textAlignment w:val="baseline"/>
        <w:rPr>
          <w:b/>
          <w:lang w:val="es-ES"/>
        </w:rPr>
      </w:pPr>
      <w:r w:rsidRPr="002528AB">
        <w:rPr>
          <w:b/>
          <w:lang w:val="es-ES"/>
        </w:rPr>
        <w:t>Personal, Contabilidad e Informes Financieros</w:t>
      </w:r>
    </w:p>
    <w:p w:rsidR="002528AB" w:rsidRPr="00C529C3" w:rsidRDefault="002528AB" w:rsidP="00F91221">
      <w:pPr>
        <w:numPr>
          <w:ilvl w:val="0"/>
          <w:numId w:val="33"/>
        </w:numPr>
        <w:tabs>
          <w:tab w:val="clear" w:pos="360"/>
          <w:tab w:val="num" w:pos="0"/>
        </w:tabs>
        <w:jc w:val="both"/>
        <w:rPr>
          <w:b/>
          <w:sz w:val="23"/>
          <w:szCs w:val="23"/>
          <w:lang w:val="es-ES"/>
        </w:rPr>
      </w:pPr>
      <w:r w:rsidRPr="00C529C3">
        <w:rPr>
          <w:b/>
          <w:bCs/>
          <w:sz w:val="23"/>
          <w:szCs w:val="23"/>
          <w:lang w:val="es-ES"/>
        </w:rPr>
        <w:t>Personal</w:t>
      </w:r>
      <w:r w:rsidR="007904A7" w:rsidRPr="00C529C3">
        <w:rPr>
          <w:bCs/>
          <w:sz w:val="23"/>
          <w:szCs w:val="23"/>
          <w:lang w:val="es-ES"/>
        </w:rPr>
        <w:t xml:space="preserve">. </w:t>
      </w:r>
      <w:r w:rsidRPr="00C529C3">
        <w:rPr>
          <w:bCs/>
          <w:sz w:val="23"/>
          <w:szCs w:val="23"/>
          <w:lang w:val="es-ES"/>
        </w:rPr>
        <w:t>La</w:t>
      </w:r>
      <w:r w:rsidR="00594238">
        <w:rPr>
          <w:bCs/>
          <w:sz w:val="23"/>
          <w:szCs w:val="23"/>
          <w:lang w:val="es-ES"/>
        </w:rPr>
        <w:t xml:space="preserve"> </w:t>
      </w:r>
      <w:r w:rsidR="00890CA6" w:rsidRPr="00C529C3">
        <w:rPr>
          <w:bCs/>
          <w:sz w:val="23"/>
          <w:szCs w:val="23"/>
          <w:lang w:val="es-ES"/>
        </w:rPr>
        <w:t>UCP</w:t>
      </w:r>
      <w:r w:rsidR="00594238">
        <w:rPr>
          <w:bCs/>
          <w:sz w:val="23"/>
          <w:szCs w:val="23"/>
          <w:lang w:val="es-ES"/>
        </w:rPr>
        <w:t xml:space="preserve"> </w:t>
      </w:r>
      <w:r w:rsidRPr="00C529C3">
        <w:rPr>
          <w:bCs/>
          <w:sz w:val="23"/>
          <w:szCs w:val="23"/>
          <w:lang w:val="es-ES"/>
        </w:rPr>
        <w:t xml:space="preserve">deberá preservar la misma estructura </w:t>
      </w:r>
      <w:r w:rsidR="00164C2C" w:rsidRPr="00C529C3">
        <w:rPr>
          <w:bCs/>
          <w:sz w:val="23"/>
          <w:szCs w:val="23"/>
          <w:lang w:val="es-ES"/>
        </w:rPr>
        <w:t xml:space="preserve">financiera </w:t>
      </w:r>
      <w:r w:rsidRPr="00C529C3">
        <w:rPr>
          <w:bCs/>
          <w:sz w:val="23"/>
          <w:szCs w:val="23"/>
          <w:lang w:val="es-ES"/>
        </w:rPr>
        <w:t>y personal acordada para el proyecto anterior.</w:t>
      </w:r>
      <w:r w:rsidR="00164C2C" w:rsidRPr="00C529C3">
        <w:rPr>
          <w:bCs/>
          <w:sz w:val="23"/>
          <w:szCs w:val="23"/>
          <w:lang w:val="es-ES"/>
        </w:rPr>
        <w:t xml:space="preserve"> Tal como está en la actualidad, la estructura financiera ofrece un marco aceptable, con personal catalogado como idóneo para realizar las funciones de gestión financiera en cuanto a destrezas, experiencias y conocimientos se refiere.</w:t>
      </w:r>
    </w:p>
    <w:p w:rsidR="007904A7" w:rsidRPr="00C529C3" w:rsidRDefault="007904A7" w:rsidP="00885A9B">
      <w:pPr>
        <w:jc w:val="both"/>
        <w:rPr>
          <w:b/>
          <w:sz w:val="23"/>
          <w:szCs w:val="23"/>
          <w:lang w:val="es-ES"/>
        </w:rPr>
      </w:pPr>
    </w:p>
    <w:p w:rsidR="003F7626" w:rsidRPr="00C529C3" w:rsidRDefault="00164C2C" w:rsidP="00F91221">
      <w:pPr>
        <w:numPr>
          <w:ilvl w:val="0"/>
          <w:numId w:val="33"/>
        </w:numPr>
        <w:tabs>
          <w:tab w:val="clear" w:pos="360"/>
          <w:tab w:val="num" w:pos="0"/>
        </w:tabs>
        <w:jc w:val="both"/>
        <w:rPr>
          <w:sz w:val="23"/>
          <w:szCs w:val="23"/>
          <w:lang w:val="es-ES"/>
        </w:rPr>
      </w:pPr>
      <w:r w:rsidRPr="00C529C3">
        <w:rPr>
          <w:b/>
          <w:bCs/>
          <w:sz w:val="23"/>
          <w:szCs w:val="23"/>
          <w:lang w:val="es-ES"/>
        </w:rPr>
        <w:t>Políticas y Procedimientos de Contabilidad</w:t>
      </w:r>
      <w:r w:rsidR="00BA7DF7" w:rsidRPr="00C529C3">
        <w:rPr>
          <w:sz w:val="23"/>
          <w:szCs w:val="23"/>
          <w:lang w:val="es-ES"/>
        </w:rPr>
        <w:t xml:space="preserve">. </w:t>
      </w:r>
      <w:r w:rsidRPr="00C529C3">
        <w:rPr>
          <w:sz w:val="23"/>
          <w:szCs w:val="23"/>
          <w:lang w:val="es-ES"/>
        </w:rPr>
        <w:t>El principal marco regulador financiero del Proyecto lo componen</w:t>
      </w:r>
      <w:r w:rsidR="00BA7DF7" w:rsidRPr="00C529C3">
        <w:rPr>
          <w:sz w:val="23"/>
          <w:szCs w:val="23"/>
          <w:lang w:val="es-ES"/>
        </w:rPr>
        <w:t xml:space="preserve">: (i) </w:t>
      </w:r>
      <w:r w:rsidR="003F7626" w:rsidRPr="00C529C3">
        <w:rPr>
          <w:sz w:val="23"/>
          <w:szCs w:val="23"/>
          <w:lang w:val="es-ES"/>
        </w:rPr>
        <w:t xml:space="preserve">Leyes nicaragüenses que regulan la gestión presupuestaria; </w:t>
      </w:r>
      <w:r w:rsidR="00FF357C" w:rsidRPr="00C529C3">
        <w:rPr>
          <w:sz w:val="23"/>
          <w:szCs w:val="23"/>
          <w:lang w:val="es-ES"/>
        </w:rPr>
        <w:t>y</w:t>
      </w:r>
      <w:r w:rsidR="00BA7DF7" w:rsidRPr="00C529C3">
        <w:rPr>
          <w:sz w:val="23"/>
          <w:szCs w:val="23"/>
          <w:lang w:val="es-ES"/>
        </w:rPr>
        <w:t xml:space="preserve"> (ii) </w:t>
      </w:r>
      <w:r w:rsidR="003F7626" w:rsidRPr="00C529C3">
        <w:rPr>
          <w:sz w:val="23"/>
          <w:szCs w:val="23"/>
          <w:lang w:val="es-ES"/>
        </w:rPr>
        <w:t xml:space="preserve">El Manual Operativo del Proyecto. Los mecanismos financieros específicos del Proyecto que no estén </w:t>
      </w:r>
      <w:r w:rsidR="003F7626" w:rsidRPr="00C529C3">
        <w:rPr>
          <w:sz w:val="23"/>
          <w:szCs w:val="23"/>
          <w:lang w:val="es-ES"/>
        </w:rPr>
        <w:lastRenderedPageBreak/>
        <w:t xml:space="preserve">contemplados en los documentos nacionales generales irán descritos en una sección concisa </w:t>
      </w:r>
      <w:r w:rsidR="00E9036B" w:rsidRPr="00C529C3">
        <w:rPr>
          <w:sz w:val="23"/>
          <w:szCs w:val="23"/>
          <w:lang w:val="es-ES"/>
        </w:rPr>
        <w:t>relacionada con la</w:t>
      </w:r>
      <w:r w:rsidR="003F7626" w:rsidRPr="00C529C3">
        <w:rPr>
          <w:sz w:val="23"/>
          <w:szCs w:val="23"/>
          <w:lang w:val="es-ES"/>
        </w:rPr>
        <w:t xml:space="preserve"> gestión financiera</w:t>
      </w:r>
      <w:r w:rsidR="00E9036B" w:rsidRPr="00C529C3">
        <w:rPr>
          <w:sz w:val="23"/>
          <w:szCs w:val="23"/>
          <w:lang w:val="es-ES"/>
        </w:rPr>
        <w:t>. Entre otras cosas, se hará referencia a: (i) Los controles internos apropiados para el Proyecto; (ii) Los formatos de los informes financieros del Proyecto; (iii) Los mecanismos de auditoría.</w:t>
      </w:r>
    </w:p>
    <w:p w:rsidR="001003E8" w:rsidRPr="00C529C3" w:rsidRDefault="001003E8" w:rsidP="001003E8">
      <w:pPr>
        <w:jc w:val="both"/>
        <w:rPr>
          <w:sz w:val="23"/>
          <w:szCs w:val="23"/>
          <w:lang w:val="es-ES"/>
        </w:rPr>
      </w:pPr>
    </w:p>
    <w:p w:rsidR="001003E8" w:rsidRPr="00C529C3" w:rsidRDefault="00E9036B" w:rsidP="00F91221">
      <w:pPr>
        <w:numPr>
          <w:ilvl w:val="0"/>
          <w:numId w:val="33"/>
        </w:numPr>
        <w:tabs>
          <w:tab w:val="clear" w:pos="360"/>
          <w:tab w:val="num" w:pos="0"/>
        </w:tabs>
        <w:jc w:val="both"/>
        <w:rPr>
          <w:sz w:val="23"/>
          <w:szCs w:val="23"/>
          <w:lang w:val="es-ES"/>
        </w:rPr>
      </w:pPr>
      <w:r w:rsidRPr="00C529C3">
        <w:rPr>
          <w:b/>
          <w:bCs/>
          <w:sz w:val="23"/>
          <w:szCs w:val="23"/>
          <w:lang w:val="es-ES"/>
        </w:rPr>
        <w:t>Sistemas de Información</w:t>
      </w:r>
      <w:r w:rsidR="00BA7DF7" w:rsidRPr="00C529C3">
        <w:rPr>
          <w:sz w:val="23"/>
          <w:szCs w:val="23"/>
          <w:lang w:val="es-NI"/>
        </w:rPr>
        <w:t xml:space="preserve">. </w:t>
      </w:r>
      <w:r w:rsidRPr="00C529C3">
        <w:rPr>
          <w:bCs/>
          <w:sz w:val="23"/>
          <w:szCs w:val="23"/>
          <w:lang w:val="es-NI"/>
        </w:rPr>
        <w:t xml:space="preserve">El Proyecto </w:t>
      </w:r>
      <w:r w:rsidR="00594238">
        <w:rPr>
          <w:bCs/>
          <w:sz w:val="23"/>
          <w:szCs w:val="23"/>
          <w:lang w:val="es-NI"/>
        </w:rPr>
        <w:t>accederá</w:t>
      </w:r>
      <w:r w:rsidRPr="00C529C3">
        <w:rPr>
          <w:bCs/>
          <w:sz w:val="23"/>
          <w:szCs w:val="23"/>
          <w:lang w:val="es-NI"/>
        </w:rPr>
        <w:t xml:space="preserve"> los sistemas empleados en el país para llevar control del presupuesto, de la ejecución presupuestaria y de la generación de informes </w:t>
      </w:r>
      <w:r w:rsidRPr="00C529C3">
        <w:rPr>
          <w:bCs/>
          <w:sz w:val="23"/>
          <w:szCs w:val="23"/>
          <w:lang w:val="es-ES"/>
        </w:rPr>
        <w:t>financieros.</w:t>
      </w:r>
    </w:p>
    <w:p w:rsidR="001003E8" w:rsidRPr="00C529C3" w:rsidRDefault="001003E8" w:rsidP="001003E8">
      <w:pPr>
        <w:pStyle w:val="ListParagraph"/>
        <w:rPr>
          <w:b/>
          <w:sz w:val="23"/>
          <w:szCs w:val="23"/>
          <w:lang w:val="es-ES"/>
        </w:rPr>
      </w:pPr>
    </w:p>
    <w:p w:rsidR="00E9036B" w:rsidRPr="00C529C3" w:rsidRDefault="00E9036B" w:rsidP="00F91221">
      <w:pPr>
        <w:numPr>
          <w:ilvl w:val="0"/>
          <w:numId w:val="33"/>
        </w:numPr>
        <w:tabs>
          <w:tab w:val="clear" w:pos="360"/>
          <w:tab w:val="num" w:pos="0"/>
        </w:tabs>
        <w:jc w:val="both"/>
        <w:rPr>
          <w:sz w:val="23"/>
          <w:szCs w:val="23"/>
          <w:lang w:val="es-ES"/>
        </w:rPr>
      </w:pPr>
      <w:r w:rsidRPr="00C529C3">
        <w:rPr>
          <w:b/>
          <w:sz w:val="23"/>
          <w:szCs w:val="23"/>
          <w:lang w:val="es-ES"/>
        </w:rPr>
        <w:t>Sistema de Tesorería</w:t>
      </w:r>
      <w:r w:rsidR="00BA7DF7" w:rsidRPr="00C529C3">
        <w:rPr>
          <w:sz w:val="23"/>
          <w:szCs w:val="23"/>
          <w:lang w:val="es-ES"/>
        </w:rPr>
        <w:t xml:space="preserve">. </w:t>
      </w:r>
      <w:r w:rsidRPr="00C529C3">
        <w:rPr>
          <w:sz w:val="23"/>
          <w:szCs w:val="23"/>
          <w:lang w:val="es-ES"/>
        </w:rPr>
        <w:t>La</w:t>
      </w:r>
      <w:r w:rsidR="00594238">
        <w:rPr>
          <w:sz w:val="23"/>
          <w:szCs w:val="23"/>
          <w:lang w:val="es-ES"/>
        </w:rPr>
        <w:t xml:space="preserve"> </w:t>
      </w:r>
      <w:r w:rsidR="00890CA6" w:rsidRPr="00C529C3">
        <w:rPr>
          <w:sz w:val="23"/>
          <w:szCs w:val="23"/>
          <w:lang w:val="es-ES"/>
        </w:rPr>
        <w:t>UCP</w:t>
      </w:r>
      <w:r w:rsidR="00594238">
        <w:rPr>
          <w:sz w:val="23"/>
          <w:szCs w:val="23"/>
          <w:lang w:val="es-ES"/>
        </w:rPr>
        <w:t xml:space="preserve"> </w:t>
      </w:r>
      <w:r w:rsidRPr="00C529C3">
        <w:rPr>
          <w:sz w:val="23"/>
          <w:szCs w:val="23"/>
          <w:lang w:val="es-ES"/>
        </w:rPr>
        <w:t>continuará utilizando el</w:t>
      </w:r>
      <w:r w:rsidR="00594238">
        <w:rPr>
          <w:sz w:val="23"/>
          <w:szCs w:val="23"/>
          <w:lang w:val="es-ES"/>
        </w:rPr>
        <w:t xml:space="preserve"> </w:t>
      </w:r>
      <w:r w:rsidR="003E16EE" w:rsidRPr="00C529C3">
        <w:rPr>
          <w:sz w:val="23"/>
          <w:szCs w:val="23"/>
          <w:lang w:val="es-ES"/>
        </w:rPr>
        <w:t>SIAFI</w:t>
      </w:r>
      <w:r w:rsidR="00594238">
        <w:rPr>
          <w:sz w:val="23"/>
          <w:szCs w:val="23"/>
          <w:lang w:val="es-ES"/>
        </w:rPr>
        <w:t xml:space="preserve"> </w:t>
      </w:r>
      <w:r w:rsidRPr="00C529C3">
        <w:rPr>
          <w:sz w:val="23"/>
          <w:szCs w:val="23"/>
          <w:lang w:val="es-ES"/>
        </w:rPr>
        <w:t xml:space="preserve">para registrar las transacciones financieras del Proyecto y </w:t>
      </w:r>
      <w:r w:rsidR="00562541" w:rsidRPr="00C529C3">
        <w:rPr>
          <w:sz w:val="23"/>
          <w:szCs w:val="23"/>
          <w:lang w:val="es-ES"/>
        </w:rPr>
        <w:t xml:space="preserve">trabajará con base </w:t>
      </w:r>
      <w:r w:rsidR="009055BC" w:rsidRPr="00C529C3">
        <w:rPr>
          <w:sz w:val="23"/>
          <w:szCs w:val="23"/>
          <w:lang w:val="es-ES"/>
        </w:rPr>
        <w:t>de caja</w:t>
      </w:r>
      <w:r w:rsidR="00562541" w:rsidRPr="00C529C3">
        <w:rPr>
          <w:sz w:val="23"/>
          <w:szCs w:val="23"/>
          <w:lang w:val="es-ES"/>
        </w:rPr>
        <w:t>.</w:t>
      </w:r>
    </w:p>
    <w:p w:rsidR="001003E8" w:rsidRPr="00C529C3" w:rsidRDefault="001003E8" w:rsidP="00562541">
      <w:pPr>
        <w:rPr>
          <w:b/>
          <w:bCs/>
          <w:sz w:val="23"/>
          <w:szCs w:val="23"/>
          <w:lang w:val="es-ES"/>
        </w:rPr>
      </w:pPr>
    </w:p>
    <w:p w:rsidR="00164A90" w:rsidRPr="00C529C3" w:rsidRDefault="00562541" w:rsidP="00F91221">
      <w:pPr>
        <w:numPr>
          <w:ilvl w:val="0"/>
          <w:numId w:val="33"/>
        </w:numPr>
        <w:tabs>
          <w:tab w:val="clear" w:pos="360"/>
          <w:tab w:val="num" w:pos="0"/>
        </w:tabs>
        <w:jc w:val="both"/>
        <w:rPr>
          <w:sz w:val="23"/>
          <w:szCs w:val="23"/>
          <w:lang w:val="es-ES"/>
        </w:rPr>
      </w:pPr>
      <w:r w:rsidRPr="00C529C3">
        <w:rPr>
          <w:b/>
          <w:bCs/>
          <w:sz w:val="23"/>
          <w:szCs w:val="23"/>
          <w:lang w:val="es-ES"/>
        </w:rPr>
        <w:t xml:space="preserve">Informes </w:t>
      </w:r>
      <w:r w:rsidR="00BA7DF7" w:rsidRPr="00C529C3">
        <w:rPr>
          <w:b/>
          <w:bCs/>
          <w:sz w:val="23"/>
          <w:szCs w:val="23"/>
          <w:lang w:val="es-ES"/>
        </w:rPr>
        <w:t>Financi</w:t>
      </w:r>
      <w:r w:rsidRPr="00C529C3">
        <w:rPr>
          <w:b/>
          <w:bCs/>
          <w:sz w:val="23"/>
          <w:szCs w:val="23"/>
          <w:lang w:val="es-ES"/>
        </w:rPr>
        <w:t>eros</w:t>
      </w:r>
      <w:r w:rsidR="00BA7DF7" w:rsidRPr="00C529C3">
        <w:rPr>
          <w:b/>
          <w:bCs/>
          <w:sz w:val="23"/>
          <w:szCs w:val="23"/>
          <w:lang w:val="es-ES"/>
        </w:rPr>
        <w:t>.</w:t>
      </w:r>
      <w:r w:rsidR="00D5453A" w:rsidRPr="00C529C3">
        <w:rPr>
          <w:sz w:val="23"/>
          <w:szCs w:val="23"/>
          <w:lang w:val="es-NI"/>
        </w:rPr>
        <w:t xml:space="preserve">Con </w:t>
      </w:r>
      <w:r w:rsidR="00D5453A" w:rsidRPr="00C529C3">
        <w:rPr>
          <w:i/>
          <w:sz w:val="23"/>
          <w:szCs w:val="23"/>
          <w:lang w:val="es-NI"/>
        </w:rPr>
        <w:t>frecuencia</w:t>
      </w:r>
      <w:r w:rsidRPr="00C529C3">
        <w:rPr>
          <w:i/>
          <w:sz w:val="23"/>
          <w:szCs w:val="23"/>
          <w:lang w:val="es-NI"/>
        </w:rPr>
        <w:t xml:space="preserve"> semestr</w:t>
      </w:r>
      <w:r w:rsidR="00D5453A" w:rsidRPr="00C529C3">
        <w:rPr>
          <w:i/>
          <w:sz w:val="23"/>
          <w:szCs w:val="23"/>
          <w:lang w:val="es-NI"/>
        </w:rPr>
        <w:t>al</w:t>
      </w:r>
      <w:r w:rsidR="00BA7DF7" w:rsidRPr="00C529C3">
        <w:rPr>
          <w:sz w:val="23"/>
          <w:szCs w:val="23"/>
          <w:lang w:val="es-NI"/>
        </w:rPr>
        <w:t xml:space="preserve">, </w:t>
      </w:r>
      <w:r w:rsidRPr="00C529C3">
        <w:rPr>
          <w:sz w:val="23"/>
          <w:szCs w:val="23"/>
          <w:lang w:val="es-NI"/>
        </w:rPr>
        <w:t>la</w:t>
      </w:r>
      <w:r w:rsidR="00594238">
        <w:rPr>
          <w:sz w:val="23"/>
          <w:szCs w:val="23"/>
          <w:lang w:val="es-NI"/>
        </w:rPr>
        <w:t xml:space="preserve"> </w:t>
      </w:r>
      <w:r w:rsidR="00890CA6" w:rsidRPr="00C529C3">
        <w:rPr>
          <w:sz w:val="23"/>
          <w:szCs w:val="23"/>
          <w:lang w:val="es-NI"/>
        </w:rPr>
        <w:t>UCP</w:t>
      </w:r>
      <w:r w:rsidR="00594238">
        <w:rPr>
          <w:sz w:val="23"/>
          <w:szCs w:val="23"/>
          <w:lang w:val="es-NI"/>
        </w:rPr>
        <w:t xml:space="preserve"> </w:t>
      </w:r>
      <w:r w:rsidRPr="00C529C3">
        <w:rPr>
          <w:sz w:val="23"/>
          <w:szCs w:val="23"/>
          <w:lang w:val="es-NI"/>
        </w:rPr>
        <w:t>deberá preparar y remitir al Banco Mundial un informe financiero intermedio no auditado</w:t>
      </w:r>
      <w:r w:rsidR="005C2B5E" w:rsidRPr="00C529C3">
        <w:rPr>
          <w:rFonts w:ascii="Cambria" w:eastAsia="Calibri" w:hAnsi="Cambria"/>
          <w:sz w:val="23"/>
          <w:szCs w:val="23"/>
          <w:lang w:val="es-ES" w:bidi="en-US"/>
        </w:rPr>
        <w:t xml:space="preserve"> (</w:t>
      </w:r>
      <w:r w:rsidR="005C2B5E" w:rsidRPr="00C529C3">
        <w:rPr>
          <w:sz w:val="23"/>
          <w:szCs w:val="23"/>
          <w:lang w:val="es-ES"/>
        </w:rPr>
        <w:t>IFR), que conte</w:t>
      </w:r>
      <w:r w:rsidR="00C17197" w:rsidRPr="00C529C3">
        <w:rPr>
          <w:sz w:val="23"/>
          <w:szCs w:val="23"/>
          <w:lang w:val="es-ES"/>
        </w:rPr>
        <w:t xml:space="preserve">nga al menos: </w:t>
      </w:r>
      <w:r w:rsidR="005C2B5E" w:rsidRPr="00C529C3">
        <w:rPr>
          <w:sz w:val="23"/>
          <w:szCs w:val="23"/>
          <w:lang w:val="es-ES"/>
        </w:rPr>
        <w:t xml:space="preserve">(i) </w:t>
      </w:r>
      <w:r w:rsidR="00C17197" w:rsidRPr="00C529C3">
        <w:rPr>
          <w:sz w:val="23"/>
          <w:szCs w:val="23"/>
          <w:lang w:val="es-ES"/>
        </w:rPr>
        <w:t>E</w:t>
      </w:r>
      <w:r w:rsidR="005C2B5E" w:rsidRPr="00C529C3">
        <w:rPr>
          <w:sz w:val="23"/>
          <w:szCs w:val="23"/>
          <w:lang w:val="es-ES"/>
        </w:rPr>
        <w:t xml:space="preserve">stado de </w:t>
      </w:r>
      <w:r w:rsidR="00C17197" w:rsidRPr="00C529C3">
        <w:rPr>
          <w:sz w:val="23"/>
          <w:szCs w:val="23"/>
          <w:lang w:val="es-ES"/>
        </w:rPr>
        <w:t>origen y aplicación de</w:t>
      </w:r>
      <w:r w:rsidR="005C2B5E" w:rsidRPr="00C529C3">
        <w:rPr>
          <w:sz w:val="23"/>
          <w:szCs w:val="23"/>
          <w:lang w:val="es-ES"/>
        </w:rPr>
        <w:t xml:space="preserve"> fondos</w:t>
      </w:r>
      <w:r w:rsidR="00603574" w:rsidRPr="00C529C3">
        <w:rPr>
          <w:sz w:val="23"/>
          <w:szCs w:val="23"/>
          <w:lang w:val="es-ES"/>
        </w:rPr>
        <w:t xml:space="preserve"> y balance de caja; </w:t>
      </w:r>
      <w:r w:rsidR="005C2B5E" w:rsidRPr="00C529C3">
        <w:rPr>
          <w:sz w:val="23"/>
          <w:szCs w:val="23"/>
          <w:lang w:val="es-ES"/>
        </w:rPr>
        <w:t xml:space="preserve">(ii) </w:t>
      </w:r>
      <w:r w:rsidR="00603574" w:rsidRPr="00C529C3">
        <w:rPr>
          <w:sz w:val="23"/>
          <w:szCs w:val="23"/>
          <w:lang w:val="es-ES"/>
        </w:rPr>
        <w:t>estado sobre la</w:t>
      </w:r>
      <w:r w:rsidR="005C2B5E" w:rsidRPr="00C529C3">
        <w:rPr>
          <w:sz w:val="23"/>
          <w:szCs w:val="23"/>
          <w:lang w:val="es-ES"/>
        </w:rPr>
        <w:t xml:space="preserve"> ejecución presupues</w:t>
      </w:r>
      <w:r w:rsidR="00603574" w:rsidRPr="00C529C3">
        <w:rPr>
          <w:sz w:val="23"/>
          <w:szCs w:val="23"/>
          <w:lang w:val="es-ES"/>
        </w:rPr>
        <w:t xml:space="preserve">taria por actividad (con gastos clasificados por las principales cuentas presupuestarias). Los informes intermedios deberán remitirse a más tardar 45 días después del final de cada </w:t>
      </w:r>
      <w:r w:rsidR="002E6A96" w:rsidRPr="00C529C3">
        <w:rPr>
          <w:sz w:val="23"/>
          <w:szCs w:val="23"/>
          <w:lang w:val="es-ES"/>
        </w:rPr>
        <w:t>semestre</w:t>
      </w:r>
      <w:r w:rsidR="00603574" w:rsidRPr="00C529C3">
        <w:rPr>
          <w:sz w:val="23"/>
          <w:szCs w:val="23"/>
          <w:lang w:val="es-ES"/>
        </w:rPr>
        <w:t>. En este caso y al menos al inicio, no se espera utilizar los IFR para hacer los desembolsos. Si en una fecha posterior, se emplean</w:t>
      </w:r>
      <w:r w:rsidR="002E6A96" w:rsidRPr="00C529C3">
        <w:rPr>
          <w:sz w:val="23"/>
          <w:szCs w:val="23"/>
          <w:lang w:val="es-ES"/>
        </w:rPr>
        <w:t xml:space="preserve"> para fines de los desembolsos, se deberá anexar la siguiente información: (i) Un estado de la cuenta designada</w:t>
      </w:r>
      <w:r w:rsidR="0068714F" w:rsidRPr="00C529C3">
        <w:rPr>
          <w:sz w:val="23"/>
          <w:szCs w:val="23"/>
          <w:lang w:val="es-ES"/>
        </w:rPr>
        <w:t xml:space="preserve"> con un resumen de las transacciones</w:t>
      </w:r>
      <w:r w:rsidR="002E6A96" w:rsidRPr="00C529C3">
        <w:rPr>
          <w:sz w:val="23"/>
          <w:szCs w:val="23"/>
          <w:lang w:val="es-ES"/>
        </w:rPr>
        <w:t xml:space="preserve"> (inclu</w:t>
      </w:r>
      <w:r w:rsidR="00C622EB">
        <w:rPr>
          <w:sz w:val="23"/>
          <w:szCs w:val="23"/>
          <w:lang w:val="es-ES"/>
        </w:rPr>
        <w:t>yendo</w:t>
      </w:r>
      <w:r w:rsidR="002E6A96" w:rsidRPr="00C529C3">
        <w:rPr>
          <w:sz w:val="23"/>
          <w:szCs w:val="23"/>
          <w:lang w:val="es-ES"/>
        </w:rPr>
        <w:t xml:space="preserve"> copia del estado de cuenta bancario); (ii) </w:t>
      </w:r>
      <w:r w:rsidR="00164A90" w:rsidRPr="00C529C3">
        <w:rPr>
          <w:sz w:val="23"/>
          <w:szCs w:val="23"/>
          <w:lang w:val="es-ES"/>
        </w:rPr>
        <w:t>Un estado de la cuenta designada con un resumen de los gastos correspondientes a contratos sujetos a revisión a priori; (iii) Un estado de la cuenta designada  con un resumen de los gastos correspondientes a contratos no sujetos a revisión a priori.</w:t>
      </w:r>
    </w:p>
    <w:p w:rsidR="00164A90" w:rsidRPr="00C529C3" w:rsidRDefault="00164A90" w:rsidP="00164A90">
      <w:pPr>
        <w:pStyle w:val="ListParagraph"/>
        <w:rPr>
          <w:sz w:val="23"/>
          <w:szCs w:val="23"/>
          <w:lang w:val="es-ES"/>
        </w:rPr>
      </w:pPr>
    </w:p>
    <w:p w:rsidR="00562541" w:rsidRPr="00C529C3" w:rsidRDefault="00D5453A" w:rsidP="00F91221">
      <w:pPr>
        <w:numPr>
          <w:ilvl w:val="0"/>
          <w:numId w:val="33"/>
        </w:numPr>
        <w:jc w:val="both"/>
        <w:rPr>
          <w:sz w:val="23"/>
          <w:szCs w:val="23"/>
          <w:lang w:val="es-ES"/>
        </w:rPr>
      </w:pPr>
      <w:r w:rsidRPr="00C529C3">
        <w:rPr>
          <w:sz w:val="23"/>
          <w:szCs w:val="23"/>
          <w:lang w:val="es-ES"/>
        </w:rPr>
        <w:t xml:space="preserve">Con </w:t>
      </w:r>
      <w:r w:rsidRPr="00C529C3">
        <w:rPr>
          <w:i/>
          <w:sz w:val="23"/>
          <w:szCs w:val="23"/>
          <w:lang w:val="es-ES"/>
        </w:rPr>
        <w:t>frecuencia anual</w:t>
      </w:r>
      <w:r w:rsidRPr="00C529C3">
        <w:rPr>
          <w:sz w:val="23"/>
          <w:szCs w:val="23"/>
          <w:lang w:val="es-ES"/>
        </w:rPr>
        <w:t xml:space="preserve">, la UCP preparará los </w:t>
      </w:r>
      <w:r w:rsidR="00194CC4" w:rsidRPr="00C529C3">
        <w:rPr>
          <w:sz w:val="23"/>
          <w:szCs w:val="23"/>
          <w:lang w:val="es-ES"/>
        </w:rPr>
        <w:t>estados financieros del Proyecto, las cifras acumuladas del año y del final de año, los estados financieros citados en el párrafo anterior. Los estados</w:t>
      </w:r>
      <w:r w:rsidR="00B0423B" w:rsidRPr="00C529C3">
        <w:rPr>
          <w:sz w:val="23"/>
          <w:szCs w:val="23"/>
          <w:lang w:val="es-ES"/>
        </w:rPr>
        <w:t xml:space="preserve"> deberán contener las notas explicativas de conformidad con las Normas Internacionales de Contabilidad del Sector Público</w:t>
      </w:r>
      <w:r w:rsidR="009055BC" w:rsidRPr="00C529C3">
        <w:rPr>
          <w:sz w:val="23"/>
          <w:szCs w:val="23"/>
          <w:lang w:val="es-ES"/>
        </w:rPr>
        <w:t xml:space="preserve"> de base caja y la declaración de la UCP que los fondos del crédito se emplearon para los fines  propuesto</w:t>
      </w:r>
      <w:r w:rsidR="00C622EB">
        <w:rPr>
          <w:sz w:val="23"/>
          <w:szCs w:val="23"/>
          <w:lang w:val="es-ES"/>
        </w:rPr>
        <w:t>s</w:t>
      </w:r>
      <w:r w:rsidR="009055BC" w:rsidRPr="00C529C3">
        <w:rPr>
          <w:sz w:val="23"/>
          <w:szCs w:val="23"/>
          <w:lang w:val="es-ES"/>
        </w:rPr>
        <w:t xml:space="preserve"> en el Acuerdo Financiero. Estos estados financieros, una vez auditados, deberán remitirse al Banco Mundial a más tardar seis meses después del final del año fiscal </w:t>
      </w:r>
      <w:r w:rsidR="00CF14EC" w:rsidRPr="00C529C3">
        <w:rPr>
          <w:sz w:val="23"/>
          <w:szCs w:val="23"/>
          <w:lang w:val="es-ES"/>
        </w:rPr>
        <w:t>gubernamental</w:t>
      </w:r>
      <w:r w:rsidR="00C622EB">
        <w:rPr>
          <w:sz w:val="23"/>
          <w:szCs w:val="23"/>
          <w:lang w:val="es-ES"/>
        </w:rPr>
        <w:t xml:space="preserve"> </w:t>
      </w:r>
      <w:r w:rsidR="00CF14EC" w:rsidRPr="00C529C3">
        <w:rPr>
          <w:sz w:val="23"/>
          <w:szCs w:val="23"/>
          <w:lang w:val="es-ES"/>
        </w:rPr>
        <w:t>(coincidente con el año calendario).</w:t>
      </w:r>
    </w:p>
    <w:p w:rsidR="00CF14EC" w:rsidRPr="00C529C3" w:rsidRDefault="00CF14EC" w:rsidP="00CF14EC">
      <w:pPr>
        <w:pStyle w:val="ListParagraph"/>
        <w:rPr>
          <w:sz w:val="23"/>
          <w:szCs w:val="23"/>
          <w:lang w:val="es-ES"/>
        </w:rPr>
      </w:pPr>
    </w:p>
    <w:p w:rsidR="00CF14EC" w:rsidRPr="00C529C3" w:rsidRDefault="00CF14EC" w:rsidP="00F91221">
      <w:pPr>
        <w:numPr>
          <w:ilvl w:val="0"/>
          <w:numId w:val="33"/>
        </w:numPr>
        <w:jc w:val="both"/>
        <w:rPr>
          <w:sz w:val="23"/>
          <w:szCs w:val="23"/>
          <w:lang w:val="es-ES"/>
        </w:rPr>
      </w:pPr>
      <w:r w:rsidRPr="00C529C3">
        <w:rPr>
          <w:sz w:val="23"/>
          <w:szCs w:val="23"/>
          <w:lang w:val="es-ES"/>
        </w:rPr>
        <w:t xml:space="preserve">Los documentos soportes de los estados financieros semestrales y anuales se </w:t>
      </w:r>
      <w:r w:rsidR="00D035E0" w:rsidRPr="00C529C3">
        <w:rPr>
          <w:sz w:val="23"/>
          <w:szCs w:val="23"/>
          <w:lang w:val="es-ES"/>
        </w:rPr>
        <w:t xml:space="preserve">resguardarán en las oficinas de la UCP, a la libre disposición de las misiones de supervisión del Banco Mundial y de </w:t>
      </w:r>
      <w:r w:rsidR="00C622EB">
        <w:rPr>
          <w:sz w:val="23"/>
          <w:szCs w:val="23"/>
          <w:lang w:val="es-ES"/>
        </w:rPr>
        <w:t xml:space="preserve">personal de </w:t>
      </w:r>
      <w:r w:rsidR="00D035E0" w:rsidRPr="00C529C3">
        <w:rPr>
          <w:sz w:val="23"/>
          <w:szCs w:val="23"/>
          <w:lang w:val="es-ES"/>
        </w:rPr>
        <w:t xml:space="preserve"> audito</w:t>
      </w:r>
      <w:r w:rsidR="00C622EB">
        <w:rPr>
          <w:sz w:val="23"/>
          <w:szCs w:val="23"/>
          <w:lang w:val="es-ES"/>
        </w:rPr>
        <w:t>ría</w:t>
      </w:r>
      <w:r w:rsidR="00D035E0" w:rsidRPr="00C529C3">
        <w:rPr>
          <w:sz w:val="23"/>
          <w:szCs w:val="23"/>
          <w:lang w:val="es-ES"/>
        </w:rPr>
        <w:t xml:space="preserve"> independiente.</w:t>
      </w:r>
    </w:p>
    <w:p w:rsidR="001003E8" w:rsidRPr="00C529C3" w:rsidRDefault="001003E8" w:rsidP="001003E8">
      <w:pPr>
        <w:jc w:val="both"/>
        <w:rPr>
          <w:sz w:val="23"/>
          <w:szCs w:val="23"/>
          <w:lang w:val="es-ES"/>
        </w:rPr>
      </w:pPr>
    </w:p>
    <w:p w:rsidR="00BA7DF7" w:rsidRPr="003145F1" w:rsidRDefault="00D035E0" w:rsidP="00F91221">
      <w:pPr>
        <w:widowControl w:val="0"/>
        <w:numPr>
          <w:ilvl w:val="0"/>
          <w:numId w:val="41"/>
        </w:numPr>
        <w:adjustRightInd w:val="0"/>
        <w:spacing w:after="200"/>
        <w:jc w:val="both"/>
        <w:textAlignment w:val="baseline"/>
        <w:rPr>
          <w:b/>
          <w:bCs/>
          <w:lang w:val="es-ES"/>
        </w:rPr>
      </w:pPr>
      <w:r w:rsidRPr="003145F1">
        <w:rPr>
          <w:b/>
          <w:bCs/>
          <w:lang w:val="es-ES"/>
        </w:rPr>
        <w:t>Flujo de Fondos</w:t>
      </w:r>
    </w:p>
    <w:p w:rsidR="001003E8" w:rsidRPr="00C529C3" w:rsidRDefault="003145F1" w:rsidP="00F91221">
      <w:pPr>
        <w:numPr>
          <w:ilvl w:val="0"/>
          <w:numId w:val="33"/>
        </w:numPr>
        <w:jc w:val="both"/>
        <w:rPr>
          <w:bCs/>
          <w:sz w:val="23"/>
          <w:szCs w:val="23"/>
          <w:lang w:val="es-ES"/>
        </w:rPr>
      </w:pPr>
      <w:r w:rsidRPr="00C529C3">
        <w:rPr>
          <w:b/>
          <w:bCs/>
          <w:sz w:val="23"/>
          <w:szCs w:val="23"/>
          <w:lang w:val="es-ES"/>
        </w:rPr>
        <w:t>Método de Desembolso</w:t>
      </w:r>
      <w:r w:rsidR="00BA7DF7" w:rsidRPr="00C529C3">
        <w:rPr>
          <w:b/>
          <w:bCs/>
          <w:sz w:val="23"/>
          <w:szCs w:val="23"/>
          <w:lang w:val="es-ES"/>
        </w:rPr>
        <w:t>.</w:t>
      </w:r>
      <w:r w:rsidR="00C622EB">
        <w:rPr>
          <w:b/>
          <w:bCs/>
          <w:sz w:val="23"/>
          <w:szCs w:val="23"/>
          <w:lang w:val="es-ES"/>
        </w:rPr>
        <w:t xml:space="preserve"> </w:t>
      </w:r>
      <w:r w:rsidRPr="00C529C3">
        <w:rPr>
          <w:bCs/>
          <w:sz w:val="23"/>
          <w:szCs w:val="23"/>
          <w:lang w:val="es-ES"/>
        </w:rPr>
        <w:t xml:space="preserve">La UCP podrá hacer retiros de los fondos del crédito  a través de anticipos debidamente soportados. Los documentos soportes deberán demostrar que los fondos retirados se emplearon para cubrir los gastos autorizados. </w:t>
      </w:r>
      <w:r w:rsidR="00025BE4" w:rsidRPr="00C529C3">
        <w:rPr>
          <w:bCs/>
          <w:sz w:val="23"/>
          <w:szCs w:val="23"/>
          <w:lang w:val="es-ES"/>
        </w:rPr>
        <w:t xml:space="preserve">Inicialmente, los documentos soportes consistirán en los Estados de Solicitudes de Reembolso de Fondos (SOE), salvo pagos relacionados con contratos superiores al umbral de los SOE, los cuales se reembolsarán contra documentos soportes completos. Los umbrales se establecieron en </w:t>
      </w:r>
      <w:r w:rsidR="004819BB" w:rsidRPr="00C529C3">
        <w:rPr>
          <w:bCs/>
          <w:sz w:val="23"/>
          <w:szCs w:val="23"/>
          <w:lang w:val="es-ES"/>
        </w:rPr>
        <w:t>US$150,000 equivalent</w:t>
      </w:r>
      <w:r w:rsidR="00025BE4" w:rsidRPr="00C529C3">
        <w:rPr>
          <w:bCs/>
          <w:sz w:val="23"/>
          <w:szCs w:val="23"/>
          <w:lang w:val="es-ES"/>
        </w:rPr>
        <w:t xml:space="preserve">es o más para obras y bienes, </w:t>
      </w:r>
      <w:r w:rsidR="000467F0" w:rsidRPr="00C529C3">
        <w:rPr>
          <w:bCs/>
          <w:sz w:val="23"/>
          <w:szCs w:val="23"/>
          <w:lang w:val="es-ES"/>
        </w:rPr>
        <w:t>US$</w:t>
      </w:r>
      <w:r w:rsidR="001C59C7" w:rsidRPr="00C529C3">
        <w:rPr>
          <w:bCs/>
          <w:sz w:val="23"/>
          <w:szCs w:val="23"/>
          <w:lang w:val="es-ES"/>
        </w:rPr>
        <w:t xml:space="preserve">100,000 </w:t>
      </w:r>
      <w:r w:rsidR="004819BB" w:rsidRPr="00C529C3">
        <w:rPr>
          <w:bCs/>
          <w:sz w:val="23"/>
          <w:szCs w:val="23"/>
          <w:lang w:val="es-ES"/>
        </w:rPr>
        <w:t>equivalent</w:t>
      </w:r>
      <w:r w:rsidR="00E8300B" w:rsidRPr="00C529C3">
        <w:rPr>
          <w:bCs/>
          <w:sz w:val="23"/>
          <w:szCs w:val="23"/>
          <w:lang w:val="es-ES"/>
        </w:rPr>
        <w:t>es o</w:t>
      </w:r>
      <w:r w:rsidR="00A15773">
        <w:rPr>
          <w:bCs/>
          <w:sz w:val="23"/>
          <w:szCs w:val="23"/>
          <w:lang w:val="es-ES"/>
        </w:rPr>
        <w:t xml:space="preserve"> </w:t>
      </w:r>
      <w:r w:rsidR="00E8300B" w:rsidRPr="00C529C3">
        <w:rPr>
          <w:bCs/>
          <w:sz w:val="23"/>
          <w:szCs w:val="23"/>
          <w:lang w:val="es-ES"/>
        </w:rPr>
        <w:t xml:space="preserve">más para firmas consultoras,  </w:t>
      </w:r>
      <w:r w:rsidR="004819BB" w:rsidRPr="00C529C3">
        <w:rPr>
          <w:bCs/>
          <w:sz w:val="23"/>
          <w:szCs w:val="23"/>
          <w:lang w:val="es-ES"/>
        </w:rPr>
        <w:t xml:space="preserve">US$50,000 </w:t>
      </w:r>
      <w:r w:rsidR="00E8300B" w:rsidRPr="00C529C3">
        <w:rPr>
          <w:bCs/>
          <w:sz w:val="23"/>
          <w:szCs w:val="23"/>
          <w:lang w:val="es-ES"/>
        </w:rPr>
        <w:t>equivalentes o más para consultores individuales y servicios distintos a los de consultoría</w:t>
      </w:r>
      <w:r w:rsidR="004819BB" w:rsidRPr="00C529C3">
        <w:rPr>
          <w:bCs/>
          <w:sz w:val="23"/>
          <w:szCs w:val="23"/>
          <w:lang w:val="es-ES"/>
        </w:rPr>
        <w:t xml:space="preserve">; </w:t>
      </w:r>
      <w:r w:rsidR="00FF357C" w:rsidRPr="00C529C3">
        <w:rPr>
          <w:bCs/>
          <w:sz w:val="23"/>
          <w:szCs w:val="23"/>
          <w:lang w:val="es-ES"/>
        </w:rPr>
        <w:t>y</w:t>
      </w:r>
      <w:r w:rsidR="004819BB" w:rsidRPr="00C529C3">
        <w:rPr>
          <w:bCs/>
          <w:sz w:val="23"/>
          <w:szCs w:val="23"/>
          <w:lang w:val="es-ES"/>
        </w:rPr>
        <w:t xml:space="preserve"> US$25,000 </w:t>
      </w:r>
      <w:r w:rsidR="00E8300B" w:rsidRPr="00C529C3">
        <w:rPr>
          <w:bCs/>
          <w:sz w:val="23"/>
          <w:szCs w:val="23"/>
          <w:lang w:val="es-ES"/>
        </w:rPr>
        <w:t>equivalentes o más para capacitaciones y costos operativos.</w:t>
      </w:r>
    </w:p>
    <w:p w:rsidR="003B4763" w:rsidRPr="00C529C3" w:rsidRDefault="003B4763" w:rsidP="001003E8">
      <w:pPr>
        <w:jc w:val="both"/>
        <w:rPr>
          <w:sz w:val="23"/>
          <w:szCs w:val="23"/>
          <w:lang w:val="es-ES"/>
        </w:rPr>
      </w:pPr>
    </w:p>
    <w:p w:rsidR="001003E8" w:rsidRPr="00C529C3" w:rsidRDefault="00E8300B" w:rsidP="00F91221">
      <w:pPr>
        <w:numPr>
          <w:ilvl w:val="0"/>
          <w:numId w:val="33"/>
        </w:numPr>
        <w:tabs>
          <w:tab w:val="clear" w:pos="360"/>
          <w:tab w:val="num" w:pos="0"/>
        </w:tabs>
        <w:jc w:val="both"/>
        <w:rPr>
          <w:sz w:val="23"/>
          <w:szCs w:val="23"/>
          <w:lang w:val="es-ES"/>
        </w:rPr>
      </w:pPr>
      <w:r w:rsidRPr="00C529C3">
        <w:rPr>
          <w:b/>
          <w:bCs/>
          <w:sz w:val="23"/>
          <w:szCs w:val="23"/>
          <w:lang w:val="es-ES"/>
        </w:rPr>
        <w:lastRenderedPageBreak/>
        <w:t>Otros Procedimientos</w:t>
      </w:r>
      <w:r w:rsidR="00D429CB" w:rsidRPr="00C529C3">
        <w:rPr>
          <w:sz w:val="23"/>
          <w:szCs w:val="23"/>
          <w:lang w:val="es-ES"/>
        </w:rPr>
        <w:t xml:space="preserve">. </w:t>
      </w:r>
      <w:r w:rsidR="008A67D8" w:rsidRPr="00C529C3">
        <w:rPr>
          <w:sz w:val="23"/>
          <w:szCs w:val="23"/>
          <w:lang w:val="es-NI"/>
        </w:rPr>
        <w:t xml:space="preserve">En la evaluación no se identificó la necesidad de emplear procedimientos especiales de fondos </w:t>
      </w:r>
      <w:r w:rsidR="008A67D8" w:rsidRPr="00C529C3">
        <w:rPr>
          <w:sz w:val="23"/>
          <w:szCs w:val="23"/>
          <w:lang w:val="es-ES"/>
        </w:rPr>
        <w:t xml:space="preserve">comprometidos. En caso que surgiese la necesidad durante la ejecución del Proyecto, el Banco Mundial </w:t>
      </w:r>
      <w:r w:rsidR="00C531B8" w:rsidRPr="00C529C3">
        <w:rPr>
          <w:sz w:val="23"/>
          <w:szCs w:val="23"/>
          <w:lang w:val="es-ES"/>
        </w:rPr>
        <w:t>hará una evaluación y en caso que así lo permita, deberá hacerse vía reforma a la Carta de Desembolso. El Proyecto podría optar por reembolsos o pagos directos.</w:t>
      </w:r>
    </w:p>
    <w:p w:rsidR="001003E8" w:rsidRPr="00C529C3" w:rsidRDefault="001003E8" w:rsidP="001003E8">
      <w:pPr>
        <w:pStyle w:val="ListParagraph"/>
        <w:rPr>
          <w:b/>
          <w:bCs/>
          <w:i/>
          <w:sz w:val="23"/>
          <w:szCs w:val="23"/>
          <w:lang w:val="es-ES"/>
        </w:rPr>
      </w:pPr>
    </w:p>
    <w:p w:rsidR="001326A2" w:rsidRPr="00C529C3" w:rsidRDefault="00C531B8" w:rsidP="00F91221">
      <w:pPr>
        <w:numPr>
          <w:ilvl w:val="0"/>
          <w:numId w:val="33"/>
        </w:numPr>
        <w:tabs>
          <w:tab w:val="clear" w:pos="360"/>
          <w:tab w:val="num" w:pos="0"/>
        </w:tabs>
        <w:jc w:val="both"/>
        <w:rPr>
          <w:sz w:val="23"/>
          <w:szCs w:val="23"/>
          <w:lang w:val="es-ES"/>
        </w:rPr>
      </w:pPr>
      <w:r w:rsidRPr="00C529C3">
        <w:rPr>
          <w:b/>
          <w:bCs/>
          <w:sz w:val="23"/>
          <w:szCs w:val="23"/>
          <w:lang w:val="es-ES"/>
        </w:rPr>
        <w:t>Cuenta Designada del Banco Mundial</w:t>
      </w:r>
      <w:r w:rsidR="00307DD9" w:rsidRPr="00C529C3">
        <w:rPr>
          <w:sz w:val="23"/>
          <w:szCs w:val="23"/>
          <w:lang w:val="es-ES"/>
        </w:rPr>
        <w:t xml:space="preserve">. </w:t>
      </w:r>
      <w:r w:rsidR="00AC2CDC" w:rsidRPr="00C529C3">
        <w:rPr>
          <w:sz w:val="23"/>
          <w:szCs w:val="23"/>
          <w:lang w:val="es-ES"/>
        </w:rPr>
        <w:t>La</w:t>
      </w:r>
      <w:r w:rsidR="00A15773">
        <w:rPr>
          <w:sz w:val="23"/>
          <w:szCs w:val="23"/>
          <w:lang w:val="es-ES"/>
        </w:rPr>
        <w:t xml:space="preserve"> </w:t>
      </w:r>
      <w:r w:rsidR="00890CA6" w:rsidRPr="00C529C3">
        <w:rPr>
          <w:sz w:val="23"/>
          <w:szCs w:val="23"/>
          <w:lang w:val="es-ES"/>
        </w:rPr>
        <w:t>UCP</w:t>
      </w:r>
      <w:r w:rsidR="00A15773">
        <w:rPr>
          <w:sz w:val="23"/>
          <w:szCs w:val="23"/>
          <w:lang w:val="es-ES"/>
        </w:rPr>
        <w:t xml:space="preserve"> </w:t>
      </w:r>
      <w:r w:rsidR="00AC2CDC" w:rsidRPr="00C529C3">
        <w:rPr>
          <w:sz w:val="23"/>
          <w:szCs w:val="23"/>
          <w:lang w:val="es-ES"/>
        </w:rPr>
        <w:t>abrirá dos cuentas designadas en el Banco Central de Nicaragua en dólares estadunidenses</w:t>
      </w:r>
      <w:r w:rsidR="001326A2" w:rsidRPr="00C529C3">
        <w:rPr>
          <w:sz w:val="23"/>
          <w:szCs w:val="23"/>
          <w:lang w:val="es-ES"/>
        </w:rPr>
        <w:t xml:space="preserve">. (a) Una cuenta se destinará exclusivamente a los depósitos y retiros de los fondos del crédito para cubrir los gastos autorizados de la Categoría 1, a cargo de la </w:t>
      </w:r>
      <w:r w:rsidR="00890CA6" w:rsidRPr="00C529C3">
        <w:rPr>
          <w:sz w:val="23"/>
          <w:szCs w:val="23"/>
          <w:lang w:val="es-ES"/>
        </w:rPr>
        <w:t>UCP</w:t>
      </w:r>
      <w:r w:rsidR="001326A2" w:rsidRPr="00C529C3">
        <w:rPr>
          <w:sz w:val="23"/>
          <w:szCs w:val="23"/>
          <w:lang w:val="es-ES"/>
        </w:rPr>
        <w:t>-PGR;</w:t>
      </w:r>
      <w:r w:rsidR="00307DD9" w:rsidRPr="00C529C3">
        <w:rPr>
          <w:sz w:val="23"/>
          <w:szCs w:val="23"/>
          <w:lang w:val="es-ES"/>
        </w:rPr>
        <w:t xml:space="preserve"> (b) </w:t>
      </w:r>
      <w:r w:rsidR="001326A2" w:rsidRPr="00C529C3">
        <w:rPr>
          <w:sz w:val="23"/>
          <w:szCs w:val="23"/>
          <w:lang w:val="es-ES"/>
        </w:rPr>
        <w:t xml:space="preserve">Una cuenta mancomunada destinada a los depósitos y retiros de las actividades de emergencia manejadas por el </w:t>
      </w:r>
      <w:r w:rsidR="00307DD9" w:rsidRPr="00C529C3">
        <w:rPr>
          <w:sz w:val="23"/>
          <w:szCs w:val="23"/>
          <w:lang w:val="es-ES"/>
        </w:rPr>
        <w:t xml:space="preserve">MHCP. </w:t>
      </w:r>
      <w:r w:rsidR="001326A2" w:rsidRPr="00C529C3">
        <w:rPr>
          <w:sz w:val="23"/>
          <w:szCs w:val="23"/>
          <w:lang w:val="es-ES"/>
        </w:rPr>
        <w:t xml:space="preserve">Una vez que se hayan cumplido las condiciones de la entrada en vigor y se hayan abierto las cuentas designadas, la UCP remitirá su primera solicitud de desembolsos a la Asociación junto con la proyección de gastos y necesidades financieras correspondientes a los siguientes seis meses. Para los retiros subsecuentes, la UCP enviará la solicitud de reembolso junto con los documentos soportes </w:t>
      </w:r>
      <w:r w:rsidR="00086D3C" w:rsidRPr="00C529C3">
        <w:rPr>
          <w:sz w:val="23"/>
          <w:szCs w:val="23"/>
          <w:lang w:val="es-ES"/>
        </w:rPr>
        <w:t>(SOE) y la proyección actualizada correspondiente al siguiente semestre.</w:t>
      </w:r>
    </w:p>
    <w:p w:rsidR="00086D3C" w:rsidRPr="00C529C3" w:rsidRDefault="00086D3C" w:rsidP="00086D3C">
      <w:pPr>
        <w:pStyle w:val="ListParagraph"/>
        <w:rPr>
          <w:sz w:val="23"/>
          <w:szCs w:val="23"/>
          <w:lang w:val="es-ES"/>
        </w:rPr>
      </w:pPr>
    </w:p>
    <w:p w:rsidR="00086D3C" w:rsidRPr="00C529C3" w:rsidRDefault="00086D3C" w:rsidP="00F91221">
      <w:pPr>
        <w:numPr>
          <w:ilvl w:val="0"/>
          <w:numId w:val="33"/>
        </w:numPr>
        <w:tabs>
          <w:tab w:val="clear" w:pos="360"/>
        </w:tabs>
        <w:jc w:val="both"/>
        <w:rPr>
          <w:sz w:val="23"/>
          <w:szCs w:val="23"/>
          <w:lang w:val="es-ES"/>
        </w:rPr>
      </w:pPr>
      <w:r w:rsidRPr="00C529C3">
        <w:rPr>
          <w:sz w:val="23"/>
          <w:szCs w:val="23"/>
          <w:lang w:val="es-ES"/>
        </w:rPr>
        <w:t>La Cuenta Designada operará bajo el mecanismo de reposición con base en los SOE. Las copias de los registros se utilizarán para soportar el desembolso a lo largo del periodo de ejecución del P</w:t>
      </w:r>
      <w:r w:rsidR="003041E2" w:rsidRPr="00C529C3">
        <w:rPr>
          <w:sz w:val="23"/>
          <w:szCs w:val="23"/>
          <w:lang w:val="es-ES"/>
        </w:rPr>
        <w:t>royecto</w:t>
      </w:r>
      <w:r w:rsidRPr="00C529C3">
        <w:rPr>
          <w:sz w:val="23"/>
          <w:szCs w:val="23"/>
          <w:lang w:val="es-ES"/>
        </w:rPr>
        <w:t xml:space="preserve"> y la evidencia documental será solicitada por el Banco Mundial para </w:t>
      </w:r>
      <w:r w:rsidR="003041E2" w:rsidRPr="00C529C3">
        <w:rPr>
          <w:sz w:val="23"/>
          <w:szCs w:val="23"/>
          <w:lang w:val="es-ES"/>
        </w:rPr>
        <w:t>soportar los</w:t>
      </w:r>
      <w:r w:rsidRPr="00C529C3">
        <w:rPr>
          <w:sz w:val="23"/>
          <w:szCs w:val="23"/>
          <w:lang w:val="es-ES"/>
        </w:rPr>
        <w:t xml:space="preserve"> gastos </w:t>
      </w:r>
      <w:r w:rsidR="003041E2" w:rsidRPr="00C529C3">
        <w:rPr>
          <w:sz w:val="23"/>
          <w:szCs w:val="23"/>
          <w:lang w:val="es-ES"/>
        </w:rPr>
        <w:t xml:space="preserve">superiores a </w:t>
      </w:r>
      <w:r w:rsidRPr="00C529C3">
        <w:rPr>
          <w:sz w:val="23"/>
          <w:szCs w:val="23"/>
          <w:lang w:val="es-ES"/>
        </w:rPr>
        <w:t xml:space="preserve">los umbrales </w:t>
      </w:r>
      <w:r w:rsidR="003041E2" w:rsidRPr="00C529C3">
        <w:rPr>
          <w:sz w:val="23"/>
          <w:szCs w:val="23"/>
          <w:lang w:val="es-ES"/>
        </w:rPr>
        <w:t xml:space="preserve">señalados </w:t>
      </w:r>
      <w:r w:rsidRPr="00C529C3">
        <w:rPr>
          <w:sz w:val="23"/>
          <w:szCs w:val="23"/>
          <w:lang w:val="es-ES"/>
        </w:rPr>
        <w:t xml:space="preserve">en la </w:t>
      </w:r>
      <w:r w:rsidR="003041E2" w:rsidRPr="00C529C3">
        <w:rPr>
          <w:sz w:val="23"/>
          <w:szCs w:val="23"/>
          <w:lang w:val="es-ES"/>
        </w:rPr>
        <w:t>C</w:t>
      </w:r>
      <w:r w:rsidRPr="00C529C3">
        <w:rPr>
          <w:sz w:val="23"/>
          <w:szCs w:val="23"/>
          <w:lang w:val="es-ES"/>
        </w:rPr>
        <w:t xml:space="preserve">arta de </w:t>
      </w:r>
      <w:r w:rsidR="003041E2" w:rsidRPr="00C529C3">
        <w:rPr>
          <w:sz w:val="23"/>
          <w:szCs w:val="23"/>
          <w:lang w:val="es-ES"/>
        </w:rPr>
        <w:t>D</w:t>
      </w:r>
      <w:r w:rsidRPr="00C529C3">
        <w:rPr>
          <w:sz w:val="23"/>
          <w:szCs w:val="23"/>
          <w:lang w:val="es-ES"/>
        </w:rPr>
        <w:t xml:space="preserve">esembolso. Los desembolsos para el proyecto propuesto </w:t>
      </w:r>
      <w:r w:rsidR="003041E2" w:rsidRPr="00C529C3">
        <w:rPr>
          <w:sz w:val="23"/>
          <w:szCs w:val="23"/>
          <w:lang w:val="es-ES"/>
        </w:rPr>
        <w:t>se someterán</w:t>
      </w:r>
      <w:r w:rsidRPr="00C529C3">
        <w:rPr>
          <w:sz w:val="23"/>
          <w:szCs w:val="23"/>
          <w:lang w:val="es-ES"/>
        </w:rPr>
        <w:t xml:space="preserve"> a los métodos </w:t>
      </w:r>
      <w:r w:rsidR="003041E2" w:rsidRPr="00C529C3">
        <w:rPr>
          <w:sz w:val="23"/>
          <w:szCs w:val="23"/>
          <w:lang w:val="es-ES"/>
        </w:rPr>
        <w:t>estándares y aprobados del Banco Mundial</w:t>
      </w:r>
      <w:r w:rsidR="00A15773">
        <w:rPr>
          <w:sz w:val="23"/>
          <w:szCs w:val="23"/>
          <w:lang w:val="es-ES"/>
        </w:rPr>
        <w:t xml:space="preserve"> </w:t>
      </w:r>
      <w:r w:rsidR="003041E2" w:rsidRPr="00C529C3">
        <w:rPr>
          <w:sz w:val="23"/>
          <w:szCs w:val="23"/>
          <w:lang w:val="es-ES"/>
        </w:rPr>
        <w:t>que se definirán</w:t>
      </w:r>
      <w:r w:rsidRPr="00C529C3">
        <w:rPr>
          <w:sz w:val="23"/>
          <w:szCs w:val="23"/>
          <w:lang w:val="es-ES"/>
        </w:rPr>
        <w:t xml:space="preserve"> en la </w:t>
      </w:r>
      <w:r w:rsidR="003041E2" w:rsidRPr="00C529C3">
        <w:rPr>
          <w:sz w:val="23"/>
          <w:szCs w:val="23"/>
          <w:lang w:val="es-ES"/>
        </w:rPr>
        <w:t>C</w:t>
      </w:r>
      <w:r w:rsidRPr="00C529C3">
        <w:rPr>
          <w:sz w:val="23"/>
          <w:szCs w:val="23"/>
          <w:lang w:val="es-ES"/>
        </w:rPr>
        <w:t xml:space="preserve">arta de </w:t>
      </w:r>
      <w:r w:rsidR="003041E2" w:rsidRPr="00C529C3">
        <w:rPr>
          <w:sz w:val="23"/>
          <w:szCs w:val="23"/>
          <w:lang w:val="es-ES"/>
        </w:rPr>
        <w:t>D</w:t>
      </w:r>
      <w:r w:rsidRPr="00C529C3">
        <w:rPr>
          <w:sz w:val="23"/>
          <w:szCs w:val="23"/>
          <w:lang w:val="es-ES"/>
        </w:rPr>
        <w:t xml:space="preserve">esembolso. Estos </w:t>
      </w:r>
      <w:r w:rsidR="00EE4950" w:rsidRPr="00C529C3">
        <w:rPr>
          <w:sz w:val="23"/>
          <w:szCs w:val="23"/>
          <w:lang w:val="es-ES"/>
        </w:rPr>
        <w:t>abarcarán reembolsos, anticipos y</w:t>
      </w:r>
      <w:r w:rsidRPr="00C529C3">
        <w:rPr>
          <w:sz w:val="23"/>
          <w:szCs w:val="23"/>
          <w:lang w:val="es-ES"/>
        </w:rPr>
        <w:t xml:space="preserve"> pagos directos.</w:t>
      </w:r>
    </w:p>
    <w:p w:rsidR="001003E8" w:rsidRPr="00C529C3" w:rsidRDefault="001003E8" w:rsidP="00EE4950">
      <w:pPr>
        <w:rPr>
          <w:b/>
          <w:i/>
          <w:sz w:val="23"/>
          <w:szCs w:val="23"/>
          <w:lang w:val="es-ES"/>
        </w:rPr>
      </w:pPr>
    </w:p>
    <w:p w:rsidR="00EE4950" w:rsidRPr="00C529C3" w:rsidRDefault="00EE4950" w:rsidP="00F91221">
      <w:pPr>
        <w:numPr>
          <w:ilvl w:val="0"/>
          <w:numId w:val="33"/>
        </w:numPr>
        <w:tabs>
          <w:tab w:val="clear" w:pos="360"/>
          <w:tab w:val="num" w:pos="0"/>
        </w:tabs>
        <w:jc w:val="both"/>
        <w:rPr>
          <w:sz w:val="23"/>
          <w:szCs w:val="23"/>
          <w:lang w:val="es-ES"/>
        </w:rPr>
      </w:pPr>
      <w:r w:rsidRPr="00C529C3">
        <w:rPr>
          <w:b/>
          <w:sz w:val="23"/>
          <w:szCs w:val="23"/>
          <w:lang w:val="es-ES"/>
        </w:rPr>
        <w:t>Fecha Límite de los Desembolsos</w:t>
      </w:r>
      <w:r w:rsidR="00BA7DF7" w:rsidRPr="00C529C3">
        <w:rPr>
          <w:b/>
          <w:sz w:val="23"/>
          <w:szCs w:val="23"/>
          <w:lang w:val="es-ES"/>
        </w:rPr>
        <w:t>.</w:t>
      </w:r>
      <w:r w:rsidR="00876E9B">
        <w:rPr>
          <w:b/>
          <w:sz w:val="23"/>
          <w:szCs w:val="23"/>
          <w:lang w:val="es-ES"/>
        </w:rPr>
        <w:t xml:space="preserve"> </w:t>
      </w:r>
      <w:r w:rsidRPr="00C529C3">
        <w:rPr>
          <w:sz w:val="23"/>
          <w:szCs w:val="23"/>
          <w:lang w:val="es-ES"/>
        </w:rPr>
        <w:t>Cuatro meses posteriores a la fecha de cierre estipulada en el Acuerdo Financiero</w:t>
      </w:r>
      <w:r w:rsidR="00876E9B">
        <w:rPr>
          <w:sz w:val="23"/>
          <w:szCs w:val="23"/>
          <w:lang w:val="es-ES"/>
        </w:rPr>
        <w:t>.</w:t>
      </w:r>
      <w:r w:rsidRPr="00C529C3">
        <w:rPr>
          <w:sz w:val="23"/>
          <w:szCs w:val="23"/>
          <w:lang w:val="es-ES"/>
        </w:rPr>
        <w:t xml:space="preserve"> </w:t>
      </w:r>
    </w:p>
    <w:p w:rsidR="001003E8" w:rsidRPr="00C529C3" w:rsidRDefault="001003E8" w:rsidP="00EE4950">
      <w:pPr>
        <w:rPr>
          <w:b/>
          <w:sz w:val="23"/>
          <w:szCs w:val="23"/>
          <w:lang w:val="es-ES"/>
        </w:rPr>
      </w:pPr>
    </w:p>
    <w:p w:rsidR="00EE4950" w:rsidRPr="00C529C3" w:rsidRDefault="00BA7DF7" w:rsidP="00F91221">
      <w:pPr>
        <w:numPr>
          <w:ilvl w:val="0"/>
          <w:numId w:val="33"/>
        </w:numPr>
        <w:tabs>
          <w:tab w:val="clear" w:pos="360"/>
          <w:tab w:val="num" w:pos="0"/>
        </w:tabs>
        <w:jc w:val="both"/>
        <w:rPr>
          <w:sz w:val="23"/>
          <w:szCs w:val="23"/>
          <w:lang w:val="es-ES"/>
        </w:rPr>
      </w:pPr>
      <w:r w:rsidRPr="00C529C3">
        <w:rPr>
          <w:b/>
          <w:sz w:val="23"/>
          <w:szCs w:val="23"/>
          <w:lang w:val="es-ES"/>
        </w:rPr>
        <w:t>Financi</w:t>
      </w:r>
      <w:r w:rsidR="00EE4950" w:rsidRPr="00C529C3">
        <w:rPr>
          <w:b/>
          <w:sz w:val="23"/>
          <w:szCs w:val="23"/>
          <w:lang w:val="es-ES"/>
        </w:rPr>
        <w:t>amiento Retroactivo</w:t>
      </w:r>
      <w:r w:rsidRPr="00C529C3">
        <w:rPr>
          <w:b/>
          <w:sz w:val="23"/>
          <w:szCs w:val="23"/>
          <w:lang w:val="es-ES"/>
        </w:rPr>
        <w:t>.</w:t>
      </w:r>
      <w:r w:rsidR="00876E9B">
        <w:rPr>
          <w:b/>
          <w:sz w:val="23"/>
          <w:szCs w:val="23"/>
          <w:lang w:val="es-ES"/>
        </w:rPr>
        <w:t xml:space="preserve"> </w:t>
      </w:r>
      <w:r w:rsidR="00EE4950" w:rsidRPr="00C529C3">
        <w:rPr>
          <w:sz w:val="23"/>
          <w:szCs w:val="23"/>
          <w:lang w:val="es-ES"/>
        </w:rPr>
        <w:t>El Banco Mundial</w:t>
      </w:r>
      <w:r w:rsidR="007C6E1D" w:rsidRPr="00C529C3">
        <w:rPr>
          <w:sz w:val="23"/>
          <w:szCs w:val="23"/>
          <w:lang w:val="es-ES"/>
        </w:rPr>
        <w:t xml:space="preserve"> cubrirá hasta el 20% de los gastos autorizados de la Categoría 1 (Componentes 1 al 4) y hasta el 40% de la suma asignada a la Categoría 2 (Componente 5) en concepto de gastos incurridos en o después del 31 de agosto del 2012 (pero no más allá de un año contado a partir de la fecha de la firma).</w:t>
      </w:r>
    </w:p>
    <w:p w:rsidR="001003E8" w:rsidRPr="00C529C3" w:rsidRDefault="001003E8" w:rsidP="001003E8">
      <w:pPr>
        <w:jc w:val="both"/>
        <w:rPr>
          <w:sz w:val="23"/>
          <w:szCs w:val="23"/>
          <w:lang w:val="es-ES"/>
        </w:rPr>
      </w:pPr>
    </w:p>
    <w:p w:rsidR="00BA7DF7" w:rsidRPr="00A21D51" w:rsidRDefault="007C6E1D" w:rsidP="00F91221">
      <w:pPr>
        <w:widowControl w:val="0"/>
        <w:numPr>
          <w:ilvl w:val="0"/>
          <w:numId w:val="41"/>
        </w:numPr>
        <w:adjustRightInd w:val="0"/>
        <w:spacing w:after="200"/>
        <w:jc w:val="both"/>
        <w:textAlignment w:val="baseline"/>
        <w:rPr>
          <w:iCs/>
          <w:lang w:val="es-ES"/>
        </w:rPr>
      </w:pPr>
      <w:r w:rsidRPr="00A21D51">
        <w:rPr>
          <w:b/>
          <w:iCs/>
          <w:lang w:val="es-ES"/>
        </w:rPr>
        <w:t xml:space="preserve">Mecanismos de </w:t>
      </w:r>
      <w:r w:rsidR="00BA7DF7" w:rsidRPr="00A21D51">
        <w:rPr>
          <w:b/>
          <w:iCs/>
          <w:lang w:val="es-ES"/>
        </w:rPr>
        <w:t>Audit</w:t>
      </w:r>
      <w:r w:rsidRPr="00A21D51">
        <w:rPr>
          <w:b/>
          <w:iCs/>
          <w:lang w:val="es-ES"/>
        </w:rPr>
        <w:t>oría</w:t>
      </w:r>
    </w:p>
    <w:p w:rsidR="00A21D51" w:rsidRPr="00D31FC4" w:rsidRDefault="000222B4" w:rsidP="00F91221">
      <w:pPr>
        <w:numPr>
          <w:ilvl w:val="0"/>
          <w:numId w:val="33"/>
        </w:numPr>
        <w:tabs>
          <w:tab w:val="clear" w:pos="360"/>
          <w:tab w:val="num" w:pos="0"/>
        </w:tabs>
        <w:jc w:val="both"/>
        <w:rPr>
          <w:bCs/>
          <w:lang w:val="es-ES"/>
        </w:rPr>
      </w:pPr>
      <w:r w:rsidRPr="00A21D51">
        <w:rPr>
          <w:b/>
          <w:lang w:val="es-ES"/>
        </w:rPr>
        <w:t xml:space="preserve">Auditoría </w:t>
      </w:r>
      <w:r w:rsidR="00BA7DF7" w:rsidRPr="00A21D51">
        <w:rPr>
          <w:b/>
          <w:lang w:val="es-ES"/>
        </w:rPr>
        <w:t xml:space="preserve">Interna. </w:t>
      </w:r>
      <w:r w:rsidR="00A21D51" w:rsidRPr="00A21D51">
        <w:rPr>
          <w:lang w:val="es-ES"/>
        </w:rPr>
        <w:t>En el curso</w:t>
      </w:r>
      <w:r w:rsidR="00A21D51">
        <w:rPr>
          <w:lang w:val="es-ES"/>
        </w:rPr>
        <w:t xml:space="preserve"> de las actividades regulares de auditoría interna de cara al presupuesto institucional, los auditores internos de la UCP podrían abarcar las actividades del Proyecto en los planes anuales de trabajo. </w:t>
      </w:r>
      <w:r w:rsidR="00D31FC4">
        <w:rPr>
          <w:lang w:val="es-ES"/>
        </w:rPr>
        <w:t xml:space="preserve">En caso que se den estas auditorías, la UCP le </w:t>
      </w:r>
      <w:r w:rsidR="00D31FC4" w:rsidRPr="00D31FC4">
        <w:rPr>
          <w:lang w:val="es-ES"/>
        </w:rPr>
        <w:t>facilitará al Banco Mundial copias de los informes de auditoría interna que cubran las actividades y transacciones financieras del Proyecto.</w:t>
      </w:r>
    </w:p>
    <w:p w:rsidR="00814EBC" w:rsidRPr="00D31FC4" w:rsidRDefault="00814EBC" w:rsidP="00814EBC">
      <w:pPr>
        <w:jc w:val="both"/>
        <w:rPr>
          <w:bCs/>
          <w:lang w:val="es-ES"/>
        </w:rPr>
      </w:pPr>
    </w:p>
    <w:p w:rsidR="005224B2" w:rsidRPr="00AC7B67" w:rsidRDefault="00D31FC4" w:rsidP="00F91221">
      <w:pPr>
        <w:numPr>
          <w:ilvl w:val="0"/>
          <w:numId w:val="33"/>
        </w:numPr>
        <w:tabs>
          <w:tab w:val="clear" w:pos="360"/>
          <w:tab w:val="num" w:pos="0"/>
        </w:tabs>
        <w:jc w:val="both"/>
        <w:rPr>
          <w:bCs/>
          <w:i/>
          <w:lang w:val="es-ES"/>
        </w:rPr>
      </w:pPr>
      <w:r w:rsidRPr="00D31FC4">
        <w:rPr>
          <w:b/>
          <w:lang w:val="es-ES"/>
        </w:rPr>
        <w:t xml:space="preserve">Auditoría </w:t>
      </w:r>
      <w:r w:rsidR="00BA7DF7" w:rsidRPr="00D31FC4">
        <w:rPr>
          <w:b/>
          <w:lang w:val="es-ES"/>
        </w:rPr>
        <w:t>Externa.</w:t>
      </w:r>
      <w:r w:rsidR="00876E9B">
        <w:rPr>
          <w:b/>
          <w:lang w:val="es-ES"/>
        </w:rPr>
        <w:t xml:space="preserve"> </w:t>
      </w:r>
      <w:r w:rsidRPr="00D31FC4">
        <w:rPr>
          <w:bCs/>
          <w:lang w:val="es-ES"/>
        </w:rPr>
        <w:t>La PGR deberá contratar</w:t>
      </w:r>
      <w:r>
        <w:rPr>
          <w:bCs/>
          <w:lang w:val="es-ES"/>
        </w:rPr>
        <w:t xml:space="preserve"> a una firma auditora externa, independiente, privada</w:t>
      </w:r>
      <w:r w:rsidR="00876E9B">
        <w:rPr>
          <w:bCs/>
          <w:lang w:val="es-ES"/>
        </w:rPr>
        <w:t xml:space="preserve"> y</w:t>
      </w:r>
      <w:r w:rsidR="00F702EF">
        <w:rPr>
          <w:bCs/>
          <w:lang w:val="es-ES"/>
        </w:rPr>
        <w:t xml:space="preserve"> </w:t>
      </w:r>
      <w:r>
        <w:rPr>
          <w:bCs/>
          <w:lang w:val="es-ES"/>
        </w:rPr>
        <w:t xml:space="preserve">aceptable para el Banco Mundial, con términos de referencia también aceptables para dicha </w:t>
      </w:r>
      <w:r w:rsidR="00413C16">
        <w:rPr>
          <w:bCs/>
          <w:lang w:val="es-ES"/>
        </w:rPr>
        <w:t xml:space="preserve">institución, por el periodo completo de ejecución del Proyecto, a más tardar cinco meses contados a partir </w:t>
      </w:r>
      <w:r w:rsidR="00413C16" w:rsidRPr="005224B2">
        <w:rPr>
          <w:bCs/>
          <w:lang w:val="es-ES"/>
        </w:rPr>
        <w:t xml:space="preserve">de la fecha de entrada en vigencia del crédito, con la finalidad de auditar los fondos del Proyecto. La firma auditora revisará y emitirá una </w:t>
      </w:r>
      <w:r w:rsidR="00294A51" w:rsidRPr="005224B2">
        <w:rPr>
          <w:bCs/>
          <w:lang w:val="es-ES"/>
        </w:rPr>
        <w:t>opinión sobre los estados financieros anuales que cubran el ejercicio fiscal gubernamental (coincidente con el año calendario). Los estados financieros auditados deberán remitirse al Banco Mundial a más tardar seis meses de  finaliza</w:t>
      </w:r>
      <w:r w:rsidR="00876E9B">
        <w:rPr>
          <w:bCs/>
          <w:lang w:val="es-ES"/>
        </w:rPr>
        <w:t xml:space="preserve">r </w:t>
      </w:r>
      <w:r w:rsidR="00294A51" w:rsidRPr="005224B2">
        <w:rPr>
          <w:bCs/>
          <w:lang w:val="es-ES"/>
        </w:rPr>
        <w:t xml:space="preserve">el periodo fiscal en cuestión. Los términos de </w:t>
      </w:r>
      <w:r w:rsidR="00294A51" w:rsidRPr="006A7E59">
        <w:rPr>
          <w:bCs/>
          <w:lang w:val="es-ES"/>
        </w:rPr>
        <w:t xml:space="preserve">referencia, </w:t>
      </w:r>
      <w:r w:rsidR="00294A51" w:rsidRPr="006A7E59">
        <w:rPr>
          <w:bCs/>
          <w:lang w:val="es-ES"/>
        </w:rPr>
        <w:lastRenderedPageBreak/>
        <w:t>preselección y contratación</w:t>
      </w:r>
      <w:r w:rsidR="005224B2" w:rsidRPr="006A7E59">
        <w:rPr>
          <w:bCs/>
          <w:lang w:val="es-ES"/>
        </w:rPr>
        <w:t xml:space="preserve"> de un auditor independiente se enviarán al Banco </w:t>
      </w:r>
      <w:r w:rsidR="005224B2" w:rsidRPr="00AC7B67">
        <w:rPr>
          <w:bCs/>
          <w:lang w:val="es-ES"/>
        </w:rPr>
        <w:t xml:space="preserve">Mundial para su revisión previa y no objeción. De acuerdo con la política 10.02, los estados financieros </w:t>
      </w:r>
      <w:r w:rsidR="00C46691" w:rsidRPr="00020DA8">
        <w:rPr>
          <w:bCs/>
          <w:lang w:val="es-ES"/>
        </w:rPr>
        <w:t>auditados</w:t>
      </w:r>
      <w:r w:rsidR="00876E9B">
        <w:rPr>
          <w:bCs/>
          <w:lang w:val="es-ES"/>
        </w:rPr>
        <w:t xml:space="preserve"> </w:t>
      </w:r>
      <w:r w:rsidR="005224B2" w:rsidRPr="00AC7B67">
        <w:rPr>
          <w:bCs/>
          <w:lang w:val="es-ES"/>
        </w:rPr>
        <w:t xml:space="preserve">se publicarán de conformidad con lo estipulado en el Acuerdo Financiero. </w:t>
      </w:r>
      <w:r w:rsidR="005224B2" w:rsidRPr="00AC7B67">
        <w:rPr>
          <w:rStyle w:val="FootnoteReference"/>
          <w:bCs/>
          <w:lang w:val="es-ES"/>
        </w:rPr>
        <w:footnoteReference w:id="26"/>
      </w:r>
    </w:p>
    <w:p w:rsidR="00540EC8" w:rsidRPr="00AC7B67" w:rsidRDefault="00540EC8" w:rsidP="005224B2">
      <w:pPr>
        <w:rPr>
          <w:b/>
          <w:i/>
          <w:lang w:val="es-ES"/>
        </w:rPr>
      </w:pPr>
    </w:p>
    <w:p w:rsidR="004A03E6" w:rsidRPr="00AC7B67" w:rsidRDefault="006A7E59" w:rsidP="00F91221">
      <w:pPr>
        <w:numPr>
          <w:ilvl w:val="0"/>
          <w:numId w:val="33"/>
        </w:numPr>
        <w:tabs>
          <w:tab w:val="clear" w:pos="360"/>
          <w:tab w:val="num" w:pos="0"/>
        </w:tabs>
        <w:jc w:val="both"/>
        <w:rPr>
          <w:bCs/>
          <w:i/>
          <w:lang w:val="es-ES"/>
        </w:rPr>
      </w:pPr>
      <w:r w:rsidRPr="00AC7B67">
        <w:rPr>
          <w:lang w:val="es-ES"/>
        </w:rPr>
        <w:t>El</w:t>
      </w:r>
      <w:r w:rsidR="00876E9B">
        <w:rPr>
          <w:lang w:val="es-ES"/>
        </w:rPr>
        <w:t xml:space="preserve"> </w:t>
      </w:r>
      <w:r w:rsidRPr="00AC7B67">
        <w:rPr>
          <w:b/>
          <w:lang w:val="es-ES"/>
        </w:rPr>
        <w:t xml:space="preserve">Programa de Desembolsos </w:t>
      </w:r>
      <w:r w:rsidRPr="00AC7B67">
        <w:rPr>
          <w:lang w:val="es-ES"/>
        </w:rPr>
        <w:t>es el siguiente</w:t>
      </w:r>
      <w:r w:rsidR="00BA7DF7" w:rsidRPr="00AC7B67">
        <w:rPr>
          <w:lang w:val="es-ES"/>
        </w:rPr>
        <w:t xml:space="preserve">: </w:t>
      </w:r>
    </w:p>
    <w:p w:rsidR="00540EC8" w:rsidRPr="00AC7B67" w:rsidRDefault="00540EC8" w:rsidP="00540EC8">
      <w:pPr>
        <w:jc w:val="both"/>
        <w:rPr>
          <w:bCs/>
          <w:i/>
          <w:lang w:val="es-E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610"/>
        <w:gridCol w:w="2340"/>
      </w:tblGrid>
      <w:tr w:rsidR="004A03E6" w:rsidRPr="009F3769" w:rsidTr="00931C4E">
        <w:trPr>
          <w:trHeight w:val="719"/>
        </w:trPr>
        <w:tc>
          <w:tcPr>
            <w:tcW w:w="4320" w:type="dxa"/>
          </w:tcPr>
          <w:p w:rsidR="00D333DA" w:rsidRDefault="006A7E59" w:rsidP="00F702EF">
            <w:pPr>
              <w:pStyle w:val="ModelNrmlSingle"/>
              <w:spacing w:before="40" w:afterLines="40" w:after="96"/>
              <w:ind w:firstLine="0"/>
              <w:jc w:val="center"/>
              <w:rPr>
                <w:b/>
                <w:bCs/>
                <w:sz w:val="18"/>
                <w:szCs w:val="18"/>
                <w:lang w:val="es-ES"/>
              </w:rPr>
            </w:pPr>
            <w:r w:rsidRPr="00AC7B67">
              <w:rPr>
                <w:b/>
                <w:bCs/>
                <w:sz w:val="18"/>
                <w:szCs w:val="18"/>
                <w:lang w:val="es-ES"/>
              </w:rPr>
              <w:t>Categoría</w:t>
            </w:r>
          </w:p>
        </w:tc>
        <w:tc>
          <w:tcPr>
            <w:tcW w:w="2610" w:type="dxa"/>
          </w:tcPr>
          <w:p w:rsidR="00D333DA" w:rsidRDefault="006A7E59" w:rsidP="00F702EF">
            <w:pPr>
              <w:pStyle w:val="ModelNrmlSingle"/>
              <w:spacing w:before="40" w:afterLines="40" w:after="96"/>
              <w:ind w:firstLine="0"/>
              <w:jc w:val="center"/>
              <w:rPr>
                <w:b/>
                <w:bCs/>
                <w:sz w:val="18"/>
                <w:szCs w:val="18"/>
                <w:lang w:val="es-ES"/>
              </w:rPr>
            </w:pPr>
            <w:r w:rsidRPr="00AC7B67">
              <w:rPr>
                <w:b/>
                <w:bCs/>
                <w:sz w:val="18"/>
                <w:szCs w:val="18"/>
                <w:lang w:val="es-ES"/>
              </w:rPr>
              <w:t>Monto del F</w:t>
            </w:r>
            <w:r w:rsidR="00AC7B67" w:rsidRPr="00AC7B67">
              <w:rPr>
                <w:b/>
                <w:bCs/>
                <w:sz w:val="18"/>
                <w:szCs w:val="18"/>
                <w:lang w:val="es-ES"/>
              </w:rPr>
              <w:t>inanciamiento Asignado</w:t>
            </w:r>
            <w:r w:rsidR="004A03E6" w:rsidRPr="00AC7B67">
              <w:rPr>
                <w:b/>
                <w:bCs/>
                <w:sz w:val="18"/>
                <w:szCs w:val="18"/>
                <w:lang w:val="es-ES"/>
              </w:rPr>
              <w:t xml:space="preserve"> (</w:t>
            </w:r>
            <w:r w:rsidR="00AC7B67" w:rsidRPr="00AC7B67">
              <w:rPr>
                <w:b/>
                <w:bCs/>
                <w:sz w:val="18"/>
                <w:szCs w:val="18"/>
                <w:lang w:val="es-ES"/>
              </w:rPr>
              <w:t>expresado en DEG</w:t>
            </w:r>
            <w:r w:rsidR="004A03E6" w:rsidRPr="00AC7B67">
              <w:rPr>
                <w:b/>
                <w:bCs/>
                <w:sz w:val="18"/>
                <w:szCs w:val="18"/>
                <w:lang w:val="es-ES"/>
              </w:rPr>
              <w:t>)</w:t>
            </w:r>
          </w:p>
        </w:tc>
        <w:tc>
          <w:tcPr>
            <w:tcW w:w="2340" w:type="dxa"/>
          </w:tcPr>
          <w:p w:rsidR="00D333DA" w:rsidRDefault="000B7159" w:rsidP="00F702EF">
            <w:pPr>
              <w:pStyle w:val="ModelNrmlSingle"/>
              <w:spacing w:before="40" w:afterLines="40" w:after="96"/>
              <w:ind w:firstLine="0"/>
              <w:jc w:val="center"/>
              <w:rPr>
                <w:b/>
                <w:bCs/>
                <w:sz w:val="18"/>
                <w:szCs w:val="18"/>
                <w:lang w:val="es-ES"/>
              </w:rPr>
            </w:pPr>
            <w:r w:rsidRPr="00AC7B67">
              <w:rPr>
                <w:b/>
                <w:bCs/>
                <w:sz w:val="18"/>
                <w:szCs w:val="18"/>
                <w:lang w:val="es-ES"/>
              </w:rPr>
              <w:t>Porcentaje</w:t>
            </w:r>
            <w:r w:rsidR="00156361">
              <w:rPr>
                <w:b/>
                <w:bCs/>
                <w:sz w:val="18"/>
                <w:szCs w:val="18"/>
                <w:lang w:val="es-ES"/>
              </w:rPr>
              <w:t xml:space="preserve"> </w:t>
            </w:r>
            <w:r w:rsidR="00AC7B67" w:rsidRPr="00AC7B67">
              <w:rPr>
                <w:b/>
                <w:bCs/>
                <w:sz w:val="18"/>
                <w:szCs w:val="18"/>
                <w:lang w:val="es-ES"/>
              </w:rPr>
              <w:t>de</w:t>
            </w:r>
            <w:r w:rsidR="00156361">
              <w:rPr>
                <w:b/>
                <w:bCs/>
                <w:sz w:val="18"/>
                <w:szCs w:val="18"/>
                <w:lang w:val="es-ES"/>
              </w:rPr>
              <w:t xml:space="preserve"> </w:t>
            </w:r>
            <w:r w:rsidR="00AC7B67" w:rsidRPr="00AC7B67">
              <w:rPr>
                <w:b/>
                <w:bCs/>
                <w:sz w:val="18"/>
                <w:szCs w:val="18"/>
                <w:lang w:val="es-ES"/>
              </w:rPr>
              <w:t xml:space="preserve">Gastos a Cubrir </w:t>
            </w:r>
            <w:r w:rsidR="004A03E6" w:rsidRPr="00AC7B67">
              <w:rPr>
                <w:b/>
                <w:bCs/>
                <w:sz w:val="18"/>
                <w:szCs w:val="18"/>
                <w:lang w:val="es-ES"/>
              </w:rPr>
              <w:t>(</w:t>
            </w:r>
            <w:r w:rsidR="00AC7B67" w:rsidRPr="00AC7B67">
              <w:rPr>
                <w:b/>
                <w:bCs/>
                <w:sz w:val="18"/>
                <w:szCs w:val="18"/>
                <w:lang w:val="es-ES"/>
              </w:rPr>
              <w:t>incluyendo impuestos</w:t>
            </w:r>
            <w:r w:rsidR="004A03E6" w:rsidRPr="00AC7B67">
              <w:rPr>
                <w:b/>
                <w:bCs/>
                <w:sz w:val="18"/>
                <w:szCs w:val="18"/>
                <w:lang w:val="es-ES"/>
              </w:rPr>
              <w:t>)</w:t>
            </w:r>
          </w:p>
        </w:tc>
      </w:tr>
      <w:tr w:rsidR="004A03E6" w:rsidRPr="00AC7B67" w:rsidTr="00931C4E">
        <w:trPr>
          <w:trHeight w:val="926"/>
        </w:trPr>
        <w:tc>
          <w:tcPr>
            <w:tcW w:w="4320" w:type="dxa"/>
          </w:tcPr>
          <w:p w:rsidR="00D333DA" w:rsidRDefault="00AC7B67" w:rsidP="00F702EF">
            <w:pPr>
              <w:pStyle w:val="ModelNrmlSingle"/>
              <w:numPr>
                <w:ilvl w:val="0"/>
                <w:numId w:val="44"/>
              </w:numPr>
              <w:spacing w:before="40" w:afterLines="40" w:after="96"/>
              <w:jc w:val="left"/>
              <w:rPr>
                <w:sz w:val="18"/>
                <w:szCs w:val="18"/>
                <w:lang w:val="es-ES"/>
              </w:rPr>
            </w:pPr>
            <w:r w:rsidRPr="00AC7B67">
              <w:rPr>
                <w:sz w:val="18"/>
                <w:szCs w:val="18"/>
                <w:lang w:val="es-ES"/>
              </w:rPr>
              <w:t>Bienes, obras, consultorías, servicios</w:t>
            </w:r>
            <w:r w:rsidR="00863A75">
              <w:rPr>
                <w:sz w:val="18"/>
                <w:szCs w:val="18"/>
                <w:lang w:val="es-ES"/>
              </w:rPr>
              <w:t xml:space="preserve"> distintos a los de consultoría, capacitaciones/talleres y costos operativos de las Partes </w:t>
            </w:r>
            <w:r w:rsidR="004A03E6" w:rsidRPr="00AC7B67">
              <w:rPr>
                <w:sz w:val="18"/>
                <w:szCs w:val="18"/>
                <w:lang w:val="es-ES"/>
              </w:rPr>
              <w:t xml:space="preserve">1, 2, 3, </w:t>
            </w:r>
            <w:r w:rsidR="00FF357C" w:rsidRPr="00AC7B67">
              <w:rPr>
                <w:sz w:val="18"/>
                <w:szCs w:val="18"/>
                <w:lang w:val="es-ES"/>
              </w:rPr>
              <w:t>y</w:t>
            </w:r>
            <w:r w:rsidR="004A03E6" w:rsidRPr="00AC7B67">
              <w:rPr>
                <w:sz w:val="18"/>
                <w:szCs w:val="18"/>
                <w:lang w:val="es-ES"/>
              </w:rPr>
              <w:t xml:space="preserve"> 4  </w:t>
            </w:r>
            <w:r w:rsidR="00863A75">
              <w:rPr>
                <w:sz w:val="18"/>
                <w:szCs w:val="18"/>
                <w:lang w:val="es-ES"/>
              </w:rPr>
              <w:t xml:space="preserve">del Proyecto </w:t>
            </w:r>
          </w:p>
        </w:tc>
        <w:tc>
          <w:tcPr>
            <w:tcW w:w="2610" w:type="dxa"/>
          </w:tcPr>
          <w:p w:rsidR="00D333DA" w:rsidRDefault="004A09D2" w:rsidP="00F702EF">
            <w:pPr>
              <w:pStyle w:val="ModelNrmlSingle"/>
              <w:spacing w:before="40" w:afterLines="40" w:after="96"/>
              <w:ind w:firstLine="0"/>
              <w:jc w:val="center"/>
              <w:rPr>
                <w:sz w:val="18"/>
                <w:szCs w:val="18"/>
                <w:lang w:val="es-ES"/>
              </w:rPr>
            </w:pPr>
            <w:r w:rsidRPr="00AC7B67">
              <w:rPr>
                <w:sz w:val="18"/>
                <w:szCs w:val="18"/>
                <w:lang w:val="es-ES"/>
              </w:rPr>
              <w:t>18,835,000</w:t>
            </w:r>
          </w:p>
        </w:tc>
        <w:tc>
          <w:tcPr>
            <w:tcW w:w="2340" w:type="dxa"/>
          </w:tcPr>
          <w:p w:rsidR="00D333DA" w:rsidRDefault="004A03E6" w:rsidP="00F702EF">
            <w:pPr>
              <w:pStyle w:val="ModelNrmlSingle"/>
              <w:spacing w:before="40" w:afterLines="40" w:after="96"/>
              <w:ind w:firstLine="0"/>
              <w:jc w:val="center"/>
              <w:rPr>
                <w:sz w:val="18"/>
                <w:szCs w:val="18"/>
                <w:lang w:val="es-ES"/>
              </w:rPr>
            </w:pPr>
            <w:r w:rsidRPr="00AC7B67">
              <w:rPr>
                <w:sz w:val="18"/>
                <w:szCs w:val="18"/>
                <w:lang w:val="es-ES"/>
              </w:rPr>
              <w:t>100%</w:t>
            </w:r>
          </w:p>
        </w:tc>
      </w:tr>
      <w:tr w:rsidR="004A03E6" w:rsidRPr="00AC7B67" w:rsidTr="00931C4E">
        <w:trPr>
          <w:trHeight w:val="548"/>
        </w:trPr>
        <w:tc>
          <w:tcPr>
            <w:tcW w:w="4320" w:type="dxa"/>
          </w:tcPr>
          <w:p w:rsidR="00D333DA" w:rsidRDefault="00863A75" w:rsidP="00F702EF">
            <w:pPr>
              <w:pStyle w:val="ModelNrmlSingle"/>
              <w:numPr>
                <w:ilvl w:val="0"/>
                <w:numId w:val="44"/>
              </w:numPr>
              <w:spacing w:before="40" w:afterLines="40" w:after="96"/>
              <w:rPr>
                <w:b/>
                <w:bCs/>
                <w:sz w:val="18"/>
                <w:szCs w:val="18"/>
                <w:lang w:val="es-ES"/>
              </w:rPr>
            </w:pPr>
            <w:r>
              <w:rPr>
                <w:bCs/>
                <w:sz w:val="18"/>
                <w:szCs w:val="18"/>
                <w:lang w:val="es-ES"/>
              </w:rPr>
              <w:t xml:space="preserve">Gastos de emergencia de la Parte </w:t>
            </w:r>
            <w:r w:rsidR="004A03E6" w:rsidRPr="00AC7B67">
              <w:rPr>
                <w:bCs/>
                <w:sz w:val="18"/>
                <w:szCs w:val="18"/>
                <w:lang w:val="es-ES"/>
              </w:rPr>
              <w:t xml:space="preserve">5 </w:t>
            </w:r>
            <w:r>
              <w:rPr>
                <w:bCs/>
                <w:sz w:val="18"/>
                <w:szCs w:val="18"/>
                <w:lang w:val="es-ES"/>
              </w:rPr>
              <w:t>del Proyecto</w:t>
            </w:r>
          </w:p>
        </w:tc>
        <w:tc>
          <w:tcPr>
            <w:tcW w:w="2610" w:type="dxa"/>
          </w:tcPr>
          <w:p w:rsidR="00D333DA" w:rsidRDefault="004A09D2" w:rsidP="00F702EF">
            <w:pPr>
              <w:pStyle w:val="ModelNrmlSingle"/>
              <w:spacing w:before="40" w:afterLines="40" w:after="96"/>
              <w:ind w:firstLine="0"/>
              <w:jc w:val="center"/>
              <w:rPr>
                <w:sz w:val="18"/>
                <w:szCs w:val="18"/>
                <w:lang w:val="es-ES"/>
              </w:rPr>
            </w:pPr>
            <w:r w:rsidRPr="00AC7B67">
              <w:rPr>
                <w:sz w:val="18"/>
                <w:szCs w:val="18"/>
                <w:lang w:val="es-ES"/>
              </w:rPr>
              <w:t>5,200,000</w:t>
            </w:r>
          </w:p>
        </w:tc>
        <w:tc>
          <w:tcPr>
            <w:tcW w:w="2340" w:type="dxa"/>
          </w:tcPr>
          <w:p w:rsidR="00D333DA" w:rsidRDefault="004A03E6" w:rsidP="00F702EF">
            <w:pPr>
              <w:pStyle w:val="ModelNrmlSingle"/>
              <w:spacing w:before="40" w:afterLines="40" w:after="96"/>
              <w:ind w:firstLine="0"/>
              <w:jc w:val="center"/>
              <w:rPr>
                <w:sz w:val="18"/>
                <w:szCs w:val="18"/>
                <w:lang w:val="es-ES"/>
              </w:rPr>
            </w:pPr>
            <w:r w:rsidRPr="00AC7B67">
              <w:rPr>
                <w:sz w:val="18"/>
                <w:szCs w:val="18"/>
                <w:lang w:val="es-ES"/>
              </w:rPr>
              <w:t>100%</w:t>
            </w:r>
          </w:p>
        </w:tc>
      </w:tr>
      <w:tr w:rsidR="004A03E6" w:rsidRPr="00AC7B67" w:rsidTr="00931C4E">
        <w:tc>
          <w:tcPr>
            <w:tcW w:w="4320" w:type="dxa"/>
          </w:tcPr>
          <w:p w:rsidR="00D333DA" w:rsidRDefault="004A03E6" w:rsidP="00F702EF">
            <w:pPr>
              <w:pStyle w:val="ModelNrmlSingle"/>
              <w:numPr>
                <w:ilvl w:val="0"/>
                <w:numId w:val="44"/>
              </w:numPr>
              <w:spacing w:before="40" w:afterLines="40" w:after="96"/>
              <w:rPr>
                <w:bCs/>
                <w:sz w:val="18"/>
                <w:szCs w:val="18"/>
                <w:lang w:val="es-ES"/>
              </w:rPr>
            </w:pPr>
            <w:r w:rsidRPr="00AC7B67">
              <w:rPr>
                <w:bCs/>
                <w:sz w:val="18"/>
                <w:szCs w:val="18"/>
                <w:lang w:val="es-ES"/>
              </w:rPr>
              <w:t xml:space="preserve"> </w:t>
            </w:r>
            <w:r w:rsidR="00863A75">
              <w:rPr>
                <w:bCs/>
                <w:sz w:val="18"/>
                <w:szCs w:val="18"/>
                <w:lang w:val="es-ES"/>
              </w:rPr>
              <w:t xml:space="preserve">Anticipo para Preparación del Proyecto </w:t>
            </w:r>
          </w:p>
        </w:tc>
        <w:tc>
          <w:tcPr>
            <w:tcW w:w="2610" w:type="dxa"/>
          </w:tcPr>
          <w:p w:rsidR="00D333DA" w:rsidRDefault="004A09D2" w:rsidP="00F702EF">
            <w:pPr>
              <w:pStyle w:val="ModelNrmlSingle"/>
              <w:spacing w:before="40" w:afterLines="40" w:after="96"/>
              <w:ind w:firstLine="0"/>
              <w:jc w:val="center"/>
              <w:rPr>
                <w:sz w:val="18"/>
                <w:szCs w:val="18"/>
                <w:lang w:val="es-ES"/>
              </w:rPr>
            </w:pPr>
            <w:r w:rsidRPr="00AC7B67">
              <w:rPr>
                <w:sz w:val="18"/>
                <w:szCs w:val="18"/>
                <w:lang w:val="es-ES"/>
              </w:rPr>
              <w:t>1,965,000</w:t>
            </w:r>
          </w:p>
        </w:tc>
        <w:tc>
          <w:tcPr>
            <w:tcW w:w="2340" w:type="dxa"/>
          </w:tcPr>
          <w:p w:rsidR="00D333DA" w:rsidRDefault="00D333DA" w:rsidP="00F702EF">
            <w:pPr>
              <w:pStyle w:val="ModelNrmlSingle"/>
              <w:spacing w:before="40" w:afterLines="40" w:after="96"/>
              <w:ind w:firstLine="0"/>
              <w:jc w:val="center"/>
              <w:rPr>
                <w:b/>
                <w:bCs/>
                <w:sz w:val="18"/>
                <w:szCs w:val="18"/>
                <w:lang w:val="es-ES"/>
              </w:rPr>
            </w:pPr>
          </w:p>
        </w:tc>
      </w:tr>
      <w:tr w:rsidR="004A03E6" w:rsidRPr="001A1C6C" w:rsidTr="00931C4E">
        <w:tc>
          <w:tcPr>
            <w:tcW w:w="4320" w:type="dxa"/>
          </w:tcPr>
          <w:p w:rsidR="00D333DA" w:rsidRDefault="004A03E6" w:rsidP="00F702EF">
            <w:pPr>
              <w:pStyle w:val="ModelNrmlSingle"/>
              <w:spacing w:before="40" w:afterLines="40" w:after="96"/>
              <w:ind w:firstLine="0"/>
              <w:rPr>
                <w:b/>
                <w:bCs/>
                <w:sz w:val="18"/>
                <w:szCs w:val="18"/>
                <w:lang w:val="es-ES"/>
              </w:rPr>
            </w:pPr>
            <w:r w:rsidRPr="001A1C6C">
              <w:rPr>
                <w:b/>
                <w:bCs/>
                <w:sz w:val="18"/>
                <w:szCs w:val="18"/>
                <w:lang w:val="es-ES"/>
              </w:rPr>
              <w:t>TOTAL</w:t>
            </w:r>
          </w:p>
        </w:tc>
        <w:tc>
          <w:tcPr>
            <w:tcW w:w="2610" w:type="dxa"/>
          </w:tcPr>
          <w:p w:rsidR="00D333DA" w:rsidRDefault="004A09D2" w:rsidP="00F702EF">
            <w:pPr>
              <w:pStyle w:val="ModelNrmlSingle"/>
              <w:spacing w:before="40" w:afterLines="40" w:after="96"/>
              <w:ind w:firstLine="0"/>
              <w:jc w:val="center"/>
              <w:rPr>
                <w:sz w:val="18"/>
                <w:szCs w:val="18"/>
                <w:lang w:val="es-ES"/>
              </w:rPr>
            </w:pPr>
            <w:r w:rsidRPr="001A1C6C">
              <w:rPr>
                <w:sz w:val="18"/>
                <w:szCs w:val="18"/>
                <w:lang w:val="es-ES"/>
              </w:rPr>
              <w:t>26,000,000</w:t>
            </w:r>
          </w:p>
        </w:tc>
        <w:tc>
          <w:tcPr>
            <w:tcW w:w="2340" w:type="dxa"/>
          </w:tcPr>
          <w:p w:rsidR="00D333DA" w:rsidRDefault="004A03E6" w:rsidP="00F702EF">
            <w:pPr>
              <w:pStyle w:val="ModelNrmlSingle"/>
              <w:spacing w:before="40" w:afterLines="40" w:after="96"/>
              <w:ind w:firstLine="0"/>
              <w:jc w:val="center"/>
              <w:rPr>
                <w:sz w:val="18"/>
                <w:szCs w:val="18"/>
                <w:lang w:val="es-ES"/>
              </w:rPr>
            </w:pPr>
            <w:r w:rsidRPr="001A1C6C">
              <w:rPr>
                <w:sz w:val="18"/>
                <w:szCs w:val="18"/>
                <w:lang w:val="es-ES"/>
              </w:rPr>
              <w:t>100%</w:t>
            </w:r>
          </w:p>
        </w:tc>
      </w:tr>
    </w:tbl>
    <w:p w:rsidR="00B94F2A" w:rsidRPr="001A1C6C" w:rsidRDefault="00863A75" w:rsidP="00BA7DF7">
      <w:pPr>
        <w:spacing w:after="200"/>
        <w:rPr>
          <w:sz w:val="18"/>
          <w:szCs w:val="18"/>
          <w:lang w:val="es-ES"/>
        </w:rPr>
      </w:pPr>
      <w:r w:rsidRPr="001A1C6C">
        <w:rPr>
          <w:sz w:val="18"/>
          <w:szCs w:val="18"/>
          <w:lang w:val="es-ES"/>
        </w:rPr>
        <w:t xml:space="preserve">Tasa de cambio </w:t>
      </w:r>
      <w:r w:rsidR="005E48C2" w:rsidRPr="001A1C6C">
        <w:rPr>
          <w:sz w:val="18"/>
          <w:szCs w:val="18"/>
          <w:lang w:val="es-ES"/>
        </w:rPr>
        <w:t>DEG</w:t>
      </w:r>
      <w:r w:rsidR="001A1C6C" w:rsidRPr="001A1C6C">
        <w:rPr>
          <w:sz w:val="18"/>
          <w:szCs w:val="18"/>
          <w:lang w:val="es-ES"/>
        </w:rPr>
        <w:t xml:space="preserve"> equivale a</w:t>
      </w:r>
      <w:r w:rsidR="00D10F13" w:rsidRPr="001A1C6C">
        <w:rPr>
          <w:sz w:val="18"/>
          <w:szCs w:val="18"/>
          <w:lang w:val="es-ES"/>
        </w:rPr>
        <w:t xml:space="preserve"> US$1.541340 </w:t>
      </w:r>
      <w:r w:rsidR="001A1C6C" w:rsidRPr="001A1C6C">
        <w:rPr>
          <w:sz w:val="18"/>
          <w:szCs w:val="18"/>
          <w:lang w:val="es-ES"/>
        </w:rPr>
        <w:t>al</w:t>
      </w:r>
      <w:r w:rsidR="004A09D2" w:rsidRPr="001A1C6C">
        <w:rPr>
          <w:sz w:val="18"/>
          <w:szCs w:val="18"/>
          <w:lang w:val="es-ES"/>
        </w:rPr>
        <w:t xml:space="preserve"> 31</w:t>
      </w:r>
      <w:r w:rsidR="001A1C6C" w:rsidRPr="001A1C6C">
        <w:rPr>
          <w:sz w:val="18"/>
          <w:szCs w:val="18"/>
          <w:lang w:val="es-ES"/>
        </w:rPr>
        <w:t xml:space="preserve"> de enero del</w:t>
      </w:r>
      <w:r w:rsidR="004A09D2" w:rsidRPr="001A1C6C">
        <w:rPr>
          <w:sz w:val="18"/>
          <w:szCs w:val="18"/>
          <w:lang w:val="es-ES"/>
        </w:rPr>
        <w:t xml:space="preserve"> 2013  </w:t>
      </w:r>
    </w:p>
    <w:p w:rsidR="00BA7DF7" w:rsidRPr="00701B03" w:rsidRDefault="001A1C6C" w:rsidP="00F91221">
      <w:pPr>
        <w:widowControl w:val="0"/>
        <w:numPr>
          <w:ilvl w:val="0"/>
          <w:numId w:val="41"/>
        </w:numPr>
        <w:adjustRightInd w:val="0"/>
        <w:spacing w:after="200"/>
        <w:jc w:val="both"/>
        <w:textAlignment w:val="baseline"/>
        <w:rPr>
          <w:b/>
          <w:bCs/>
          <w:lang w:val="es-ES"/>
        </w:rPr>
      </w:pPr>
      <w:r w:rsidRPr="00701B03">
        <w:rPr>
          <w:b/>
          <w:bCs/>
          <w:lang w:val="es-ES"/>
        </w:rPr>
        <w:t>Resumen de la Calificación de Riesgos</w:t>
      </w:r>
    </w:p>
    <w:p w:rsidR="00FA7B3B" w:rsidRPr="002302AF" w:rsidRDefault="001A1C6C" w:rsidP="00F91221">
      <w:pPr>
        <w:numPr>
          <w:ilvl w:val="0"/>
          <w:numId w:val="33"/>
        </w:numPr>
        <w:tabs>
          <w:tab w:val="clear" w:pos="360"/>
          <w:tab w:val="num" w:pos="0"/>
        </w:tabs>
        <w:jc w:val="both"/>
        <w:rPr>
          <w:bCs/>
          <w:sz w:val="23"/>
          <w:szCs w:val="23"/>
          <w:lang w:val="es-ES"/>
        </w:rPr>
      </w:pPr>
      <w:r w:rsidRPr="002302AF">
        <w:rPr>
          <w:bCs/>
          <w:sz w:val="23"/>
          <w:szCs w:val="23"/>
          <w:lang w:val="es-ES"/>
        </w:rPr>
        <w:t xml:space="preserve">El riesgo asociado con la gestión financiera del Proyecto se ha calificado como </w:t>
      </w:r>
      <w:r w:rsidR="00021A8B" w:rsidRPr="002302AF">
        <w:rPr>
          <w:bCs/>
          <w:i/>
          <w:sz w:val="23"/>
          <w:szCs w:val="23"/>
          <w:lang w:val="es-ES"/>
        </w:rPr>
        <w:t>Modera</w:t>
      </w:r>
      <w:r w:rsidRPr="002302AF">
        <w:rPr>
          <w:bCs/>
          <w:i/>
          <w:sz w:val="23"/>
          <w:szCs w:val="23"/>
          <w:lang w:val="es-ES"/>
        </w:rPr>
        <w:t>da</w:t>
      </w:r>
      <w:r w:rsidR="00BA7DF7" w:rsidRPr="002302AF">
        <w:rPr>
          <w:bCs/>
          <w:i/>
          <w:sz w:val="23"/>
          <w:szCs w:val="23"/>
          <w:lang w:val="es-ES"/>
        </w:rPr>
        <w:t xml:space="preserve">. </w:t>
      </w:r>
      <w:r w:rsidR="00701B03" w:rsidRPr="002302AF">
        <w:rPr>
          <w:bCs/>
          <w:sz w:val="23"/>
          <w:szCs w:val="23"/>
          <w:lang w:val="es-ES"/>
        </w:rPr>
        <w:t>Durante la ejecución, el nivel de riesgo asociado con la gestión financiera del Proyecto se evaluará nuevamente y revisará si es necesario. La siguiente tabla presenta la evaluación de los riesgos, las medidas de mitigación incorporadas al diseño del Proyecto y los mecanismos de ejecución de la gestión financiera.</w:t>
      </w:r>
    </w:p>
    <w:p w:rsidR="00322990" w:rsidRPr="002302AF" w:rsidRDefault="00322990" w:rsidP="00322990">
      <w:pPr>
        <w:jc w:val="both"/>
        <w:rPr>
          <w:bCs/>
          <w:sz w:val="23"/>
          <w:szCs w:val="23"/>
          <w:lang w:val="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1080"/>
        <w:gridCol w:w="7393"/>
      </w:tblGrid>
      <w:tr w:rsidR="00BA7DF7" w:rsidRPr="00F702EF" w:rsidTr="00FB3ADC">
        <w:tc>
          <w:tcPr>
            <w:tcW w:w="1445" w:type="dxa"/>
          </w:tcPr>
          <w:p w:rsidR="00BA7DF7" w:rsidRPr="00C623A1" w:rsidRDefault="00BA7DF7" w:rsidP="00701B03">
            <w:pPr>
              <w:jc w:val="center"/>
              <w:rPr>
                <w:b/>
                <w:bCs/>
                <w:sz w:val="18"/>
                <w:szCs w:val="18"/>
                <w:lang w:val="es-ES"/>
              </w:rPr>
            </w:pPr>
            <w:r w:rsidRPr="00C623A1">
              <w:rPr>
                <w:b/>
                <w:bCs/>
                <w:sz w:val="18"/>
                <w:szCs w:val="18"/>
                <w:lang w:val="es-ES"/>
              </w:rPr>
              <w:br w:type="page"/>
            </w:r>
            <w:r w:rsidR="00701B03" w:rsidRPr="00C623A1">
              <w:rPr>
                <w:b/>
                <w:bCs/>
                <w:sz w:val="18"/>
                <w:szCs w:val="18"/>
                <w:lang w:val="es-ES"/>
              </w:rPr>
              <w:t>Riesgo</w:t>
            </w:r>
          </w:p>
        </w:tc>
        <w:tc>
          <w:tcPr>
            <w:tcW w:w="1080" w:type="dxa"/>
          </w:tcPr>
          <w:p w:rsidR="00BA7DF7" w:rsidRPr="00C623A1" w:rsidRDefault="00701B03" w:rsidP="00793B7A">
            <w:pPr>
              <w:jc w:val="center"/>
              <w:rPr>
                <w:b/>
                <w:bCs/>
                <w:sz w:val="18"/>
                <w:szCs w:val="18"/>
                <w:lang w:val="es-ES"/>
              </w:rPr>
            </w:pPr>
            <w:r w:rsidRPr="00C623A1">
              <w:rPr>
                <w:b/>
                <w:bCs/>
                <w:sz w:val="18"/>
                <w:szCs w:val="18"/>
                <w:lang w:val="es-ES"/>
              </w:rPr>
              <w:t>Calificación</w:t>
            </w:r>
          </w:p>
        </w:tc>
        <w:tc>
          <w:tcPr>
            <w:tcW w:w="7393" w:type="dxa"/>
          </w:tcPr>
          <w:p w:rsidR="00BA7DF7" w:rsidRPr="00C623A1" w:rsidRDefault="00701B03" w:rsidP="00701B03">
            <w:pPr>
              <w:jc w:val="center"/>
              <w:rPr>
                <w:b/>
                <w:bCs/>
                <w:sz w:val="18"/>
                <w:szCs w:val="18"/>
                <w:lang w:val="es-ES"/>
              </w:rPr>
            </w:pPr>
            <w:r w:rsidRPr="00C623A1">
              <w:rPr>
                <w:b/>
                <w:bCs/>
                <w:sz w:val="18"/>
                <w:szCs w:val="18"/>
                <w:lang w:val="es-ES"/>
              </w:rPr>
              <w:t>Medidas de Mitigación</w:t>
            </w:r>
            <w:r w:rsidR="00BA7DF7" w:rsidRPr="00C623A1">
              <w:rPr>
                <w:b/>
                <w:bCs/>
                <w:sz w:val="18"/>
                <w:szCs w:val="18"/>
                <w:lang w:val="es-ES"/>
              </w:rPr>
              <w:t xml:space="preserve"> Incorpora</w:t>
            </w:r>
            <w:r w:rsidRPr="00C623A1">
              <w:rPr>
                <w:b/>
                <w:bCs/>
                <w:sz w:val="18"/>
                <w:szCs w:val="18"/>
                <w:lang w:val="es-ES"/>
              </w:rPr>
              <w:t>das al Diseño del Proyecto</w:t>
            </w:r>
          </w:p>
        </w:tc>
      </w:tr>
      <w:tr w:rsidR="00BA7DF7" w:rsidRPr="00C623A1" w:rsidTr="00793B7A">
        <w:trPr>
          <w:trHeight w:val="278"/>
        </w:trPr>
        <w:tc>
          <w:tcPr>
            <w:tcW w:w="9918" w:type="dxa"/>
            <w:gridSpan w:val="3"/>
            <w:vAlign w:val="center"/>
          </w:tcPr>
          <w:p w:rsidR="00BA7DF7" w:rsidRPr="00C623A1" w:rsidRDefault="00701B03" w:rsidP="00793B7A">
            <w:pPr>
              <w:jc w:val="center"/>
              <w:rPr>
                <w:bCs/>
                <w:sz w:val="18"/>
                <w:szCs w:val="18"/>
                <w:lang w:val="es-ES"/>
              </w:rPr>
            </w:pPr>
            <w:r w:rsidRPr="00C623A1">
              <w:rPr>
                <w:b/>
                <w:bCs/>
                <w:sz w:val="18"/>
                <w:szCs w:val="18"/>
                <w:lang w:val="es-ES"/>
              </w:rPr>
              <w:t>Riesgo Inherente</w:t>
            </w:r>
          </w:p>
        </w:tc>
      </w:tr>
      <w:tr w:rsidR="00BA7DF7" w:rsidRPr="00F702EF" w:rsidTr="00FB3ADC">
        <w:tc>
          <w:tcPr>
            <w:tcW w:w="1445" w:type="dxa"/>
          </w:tcPr>
          <w:p w:rsidR="00BA7DF7" w:rsidRPr="00C623A1" w:rsidRDefault="00701B03" w:rsidP="00793B7A">
            <w:pPr>
              <w:pStyle w:val="NoSpacing"/>
              <w:tabs>
                <w:tab w:val="left" w:pos="372"/>
              </w:tabs>
              <w:rPr>
                <w:rFonts w:ascii="Times New Roman" w:hAnsi="Times New Roman"/>
                <w:sz w:val="18"/>
                <w:szCs w:val="18"/>
                <w:lang w:val="es-ES" w:bidi="ar-SA"/>
              </w:rPr>
            </w:pPr>
            <w:r w:rsidRPr="00C623A1">
              <w:rPr>
                <w:rFonts w:ascii="Times New Roman" w:hAnsi="Times New Roman"/>
                <w:sz w:val="18"/>
                <w:szCs w:val="18"/>
                <w:lang w:val="es-ES" w:bidi="ar-SA"/>
              </w:rPr>
              <w:t>A nivel de país</w:t>
            </w:r>
            <w:r w:rsidR="00BA7DF7" w:rsidRPr="00C623A1">
              <w:rPr>
                <w:rStyle w:val="FootnoteReference"/>
                <w:rFonts w:ascii="Times New Roman" w:hAnsi="Times New Roman"/>
                <w:sz w:val="18"/>
                <w:szCs w:val="18"/>
                <w:lang w:val="es-ES" w:bidi="ar-SA"/>
              </w:rPr>
              <w:footnoteReference w:id="27"/>
            </w:r>
          </w:p>
        </w:tc>
        <w:tc>
          <w:tcPr>
            <w:tcW w:w="1080" w:type="dxa"/>
          </w:tcPr>
          <w:p w:rsidR="00BA7DF7" w:rsidRPr="00C623A1" w:rsidRDefault="00745A14" w:rsidP="00793B7A">
            <w:pPr>
              <w:pStyle w:val="NoSpacing"/>
              <w:tabs>
                <w:tab w:val="left" w:pos="372"/>
              </w:tabs>
              <w:jc w:val="center"/>
              <w:rPr>
                <w:rFonts w:ascii="Times New Roman" w:hAnsi="Times New Roman"/>
                <w:sz w:val="18"/>
                <w:szCs w:val="18"/>
                <w:lang w:val="es-ES" w:bidi="ar-SA"/>
              </w:rPr>
            </w:pPr>
            <w:r w:rsidRPr="00C623A1">
              <w:rPr>
                <w:rFonts w:ascii="Times New Roman" w:hAnsi="Times New Roman"/>
                <w:sz w:val="18"/>
                <w:szCs w:val="18"/>
                <w:lang w:val="es-ES" w:bidi="ar-SA"/>
              </w:rPr>
              <w:t>S</w:t>
            </w:r>
          </w:p>
        </w:tc>
        <w:tc>
          <w:tcPr>
            <w:tcW w:w="7393" w:type="dxa"/>
          </w:tcPr>
          <w:p w:rsidR="00F61D28" w:rsidRPr="00B60F8D" w:rsidRDefault="00745A14" w:rsidP="00F61D28">
            <w:pPr>
              <w:pStyle w:val="NoSpacing"/>
              <w:tabs>
                <w:tab w:val="left" w:pos="372"/>
              </w:tabs>
              <w:rPr>
                <w:rFonts w:ascii="Times New Roman" w:hAnsi="Times New Roman"/>
                <w:bCs/>
                <w:sz w:val="18"/>
                <w:szCs w:val="18"/>
                <w:lang w:val="es-ES"/>
              </w:rPr>
            </w:pPr>
            <w:r w:rsidRPr="00B60F8D">
              <w:rPr>
                <w:rFonts w:ascii="Times New Roman" w:hAnsi="Times New Roman"/>
                <w:bCs/>
                <w:sz w:val="18"/>
                <w:szCs w:val="18"/>
                <w:lang w:val="es-ES"/>
              </w:rPr>
              <w:t xml:space="preserve">Nicaragua </w:t>
            </w:r>
            <w:r w:rsidR="00C623A1" w:rsidRPr="00B60F8D">
              <w:rPr>
                <w:rFonts w:ascii="Times New Roman" w:hAnsi="Times New Roman"/>
                <w:bCs/>
                <w:sz w:val="18"/>
                <w:szCs w:val="18"/>
                <w:lang w:val="es-ES"/>
              </w:rPr>
              <w:t>está comprometida a mejorar la calidad, ef</w:t>
            </w:r>
            <w:r w:rsidRPr="00B60F8D">
              <w:rPr>
                <w:rFonts w:ascii="Times New Roman" w:hAnsi="Times New Roman"/>
                <w:bCs/>
                <w:sz w:val="18"/>
                <w:szCs w:val="18"/>
                <w:lang w:val="es-ES"/>
              </w:rPr>
              <w:t>ectiv</w:t>
            </w:r>
            <w:r w:rsidR="00C623A1" w:rsidRPr="00B60F8D">
              <w:rPr>
                <w:rFonts w:ascii="Times New Roman" w:hAnsi="Times New Roman"/>
                <w:bCs/>
                <w:sz w:val="18"/>
                <w:szCs w:val="18"/>
                <w:lang w:val="es-ES"/>
              </w:rPr>
              <w:t xml:space="preserve">idad y eficiencia de las instituciones del sector público así como establecer sistemas creíbles y efectivos de rendición de cuentas. El gobierno </w:t>
            </w:r>
            <w:r w:rsidR="008550AA" w:rsidRPr="00B60F8D">
              <w:rPr>
                <w:rFonts w:ascii="Times New Roman" w:hAnsi="Times New Roman"/>
                <w:bCs/>
                <w:sz w:val="18"/>
                <w:szCs w:val="18"/>
                <w:lang w:val="es-ES"/>
              </w:rPr>
              <w:t xml:space="preserve">avanza hacia un proceso de modernización que contempla reformas organizacionales dentro del Poder Ejecutivo para reforzar su capacidad de regulación así como de control y rendición de cuenta por parte de las instituciones del </w:t>
            </w:r>
            <w:r w:rsidR="00156361">
              <w:rPr>
                <w:rFonts w:ascii="Times New Roman" w:hAnsi="Times New Roman"/>
                <w:bCs/>
                <w:sz w:val="18"/>
                <w:szCs w:val="18"/>
                <w:lang w:val="es-ES"/>
              </w:rPr>
              <w:t>G</w:t>
            </w:r>
            <w:r w:rsidR="008550AA" w:rsidRPr="00B60F8D">
              <w:rPr>
                <w:rFonts w:ascii="Times New Roman" w:hAnsi="Times New Roman"/>
                <w:bCs/>
                <w:sz w:val="18"/>
                <w:szCs w:val="18"/>
                <w:lang w:val="es-ES"/>
              </w:rPr>
              <w:t xml:space="preserve">obierno </w:t>
            </w:r>
            <w:r w:rsidR="00156361">
              <w:rPr>
                <w:rFonts w:ascii="Times New Roman" w:hAnsi="Times New Roman"/>
                <w:bCs/>
                <w:sz w:val="18"/>
                <w:szCs w:val="18"/>
                <w:lang w:val="es-ES"/>
              </w:rPr>
              <w:t>C</w:t>
            </w:r>
            <w:r w:rsidR="008550AA" w:rsidRPr="00B60F8D">
              <w:rPr>
                <w:rFonts w:ascii="Times New Roman" w:hAnsi="Times New Roman"/>
                <w:bCs/>
                <w:sz w:val="18"/>
                <w:szCs w:val="18"/>
                <w:lang w:val="es-ES"/>
              </w:rPr>
              <w:t xml:space="preserve">entral. Desde el 2005 se encuentra operando de manera plena </w:t>
            </w:r>
            <w:r w:rsidR="008F25C7" w:rsidRPr="00B60F8D">
              <w:rPr>
                <w:rFonts w:ascii="Times New Roman" w:hAnsi="Times New Roman"/>
                <w:bCs/>
                <w:sz w:val="18"/>
                <w:szCs w:val="18"/>
                <w:lang w:val="es-ES"/>
              </w:rPr>
              <w:t>una robustecida</w:t>
            </w:r>
            <w:r w:rsidR="008550AA" w:rsidRPr="00B60F8D">
              <w:rPr>
                <w:rFonts w:ascii="Times New Roman" w:hAnsi="Times New Roman"/>
                <w:bCs/>
                <w:sz w:val="18"/>
                <w:szCs w:val="18"/>
                <w:lang w:val="es-ES"/>
              </w:rPr>
              <w:t xml:space="preserve"> unidad de política fiscal en el Ministerio de Hacienda y Crédito Público </w:t>
            </w:r>
            <w:r w:rsidR="008F25C7" w:rsidRPr="00B60F8D">
              <w:rPr>
                <w:rFonts w:ascii="Times New Roman" w:hAnsi="Times New Roman"/>
                <w:bCs/>
                <w:sz w:val="18"/>
                <w:szCs w:val="18"/>
                <w:lang w:val="es-ES"/>
              </w:rPr>
              <w:t xml:space="preserve">y la introducción gradual del Marco Presupuestario de Mediano Plazo (MTBF) es parte de las reformas exitosas ya aplicadas por Nicaragua. El </w:t>
            </w:r>
            <w:r w:rsidR="00156361">
              <w:rPr>
                <w:rFonts w:ascii="Times New Roman" w:hAnsi="Times New Roman"/>
                <w:bCs/>
                <w:sz w:val="18"/>
                <w:szCs w:val="18"/>
                <w:lang w:val="es-ES"/>
              </w:rPr>
              <w:t>G</w:t>
            </w:r>
            <w:r w:rsidR="008F25C7" w:rsidRPr="00B60F8D">
              <w:rPr>
                <w:rFonts w:ascii="Times New Roman" w:hAnsi="Times New Roman"/>
                <w:bCs/>
                <w:sz w:val="18"/>
                <w:szCs w:val="18"/>
                <w:lang w:val="es-ES"/>
              </w:rPr>
              <w:t xml:space="preserve">obierno continúa desplegando esfuerzos para aplicar un plan de </w:t>
            </w:r>
            <w:r w:rsidR="00F61D28" w:rsidRPr="00B60F8D">
              <w:rPr>
                <w:rFonts w:ascii="Times New Roman" w:hAnsi="Times New Roman"/>
                <w:bCs/>
                <w:sz w:val="18"/>
                <w:szCs w:val="18"/>
                <w:lang w:val="es-ES"/>
              </w:rPr>
              <w:t>modernización</w:t>
            </w:r>
            <w:r w:rsidR="008F25C7" w:rsidRPr="00B60F8D">
              <w:rPr>
                <w:rFonts w:ascii="Times New Roman" w:hAnsi="Times New Roman"/>
                <w:bCs/>
                <w:sz w:val="18"/>
                <w:szCs w:val="18"/>
                <w:lang w:val="es-ES"/>
              </w:rPr>
              <w:t xml:space="preserve"> integral  de</w:t>
            </w:r>
            <w:r w:rsidR="00F61D28" w:rsidRPr="00B60F8D">
              <w:rPr>
                <w:rFonts w:ascii="Times New Roman" w:hAnsi="Times New Roman"/>
                <w:bCs/>
                <w:sz w:val="18"/>
                <w:szCs w:val="18"/>
                <w:lang w:val="es-ES"/>
              </w:rPr>
              <w:t>l</w:t>
            </w:r>
            <w:r w:rsidR="00870BDA">
              <w:rPr>
                <w:rFonts w:ascii="Times New Roman" w:hAnsi="Times New Roman"/>
                <w:bCs/>
                <w:sz w:val="18"/>
                <w:szCs w:val="18"/>
                <w:lang w:val="es-ES"/>
              </w:rPr>
              <w:t xml:space="preserve"> </w:t>
            </w:r>
            <w:r w:rsidR="00F61D28" w:rsidRPr="00B60F8D">
              <w:rPr>
                <w:rFonts w:ascii="Times New Roman" w:hAnsi="Times New Roman"/>
                <w:bCs/>
                <w:sz w:val="18"/>
                <w:szCs w:val="18"/>
                <w:lang w:val="es-ES"/>
              </w:rPr>
              <w:t>Marco de Referencia para la Medición del</w:t>
            </w:r>
          </w:p>
          <w:p w:rsidR="00BA7DF7" w:rsidRPr="00B60F8D" w:rsidRDefault="00F61D28" w:rsidP="00F61D28">
            <w:pPr>
              <w:pStyle w:val="NoSpacing"/>
              <w:tabs>
                <w:tab w:val="left" w:pos="372"/>
              </w:tabs>
              <w:rPr>
                <w:rFonts w:ascii="Times New Roman" w:hAnsi="Times New Roman"/>
                <w:bCs/>
                <w:sz w:val="18"/>
                <w:szCs w:val="18"/>
                <w:lang w:val="es-ES"/>
              </w:rPr>
            </w:pPr>
            <w:r w:rsidRPr="00B60F8D">
              <w:rPr>
                <w:rFonts w:ascii="Times New Roman" w:hAnsi="Times New Roman"/>
                <w:bCs/>
                <w:sz w:val="18"/>
                <w:szCs w:val="18"/>
                <w:lang w:val="es-ES"/>
              </w:rPr>
              <w:t>Desempeño (</w:t>
            </w:r>
            <w:r w:rsidR="008F25C7" w:rsidRPr="00B60F8D">
              <w:rPr>
                <w:rFonts w:ascii="Times New Roman" w:hAnsi="Times New Roman"/>
                <w:bCs/>
                <w:sz w:val="18"/>
                <w:szCs w:val="18"/>
                <w:lang w:val="es-ES"/>
              </w:rPr>
              <w:t>PFM</w:t>
            </w:r>
            <w:r w:rsidRPr="00B60F8D">
              <w:rPr>
                <w:rFonts w:ascii="Times New Roman" w:hAnsi="Times New Roman"/>
                <w:bCs/>
                <w:sz w:val="18"/>
                <w:szCs w:val="18"/>
                <w:lang w:val="es-ES"/>
              </w:rPr>
              <w:t>)</w:t>
            </w:r>
            <w:r w:rsidR="008F25C7" w:rsidRPr="00B60F8D">
              <w:rPr>
                <w:rFonts w:ascii="Times New Roman" w:hAnsi="Times New Roman"/>
                <w:bCs/>
                <w:sz w:val="18"/>
                <w:szCs w:val="18"/>
                <w:lang w:val="es-ES"/>
              </w:rPr>
              <w:t xml:space="preserve"> diseñado para fortalecer sus capacidades de gestión, mejorar </w:t>
            </w:r>
            <w:r w:rsidRPr="00B60F8D">
              <w:rPr>
                <w:rFonts w:ascii="Times New Roman" w:hAnsi="Times New Roman"/>
                <w:bCs/>
                <w:sz w:val="18"/>
                <w:szCs w:val="18"/>
                <w:lang w:val="es-ES"/>
              </w:rPr>
              <w:t>los sistemas del PFM y del SIGFA y apoyar su aplicación generalizada en el resto del sector público</w:t>
            </w:r>
            <w:r w:rsidR="00745A14" w:rsidRPr="00B60F8D">
              <w:rPr>
                <w:rFonts w:ascii="Times New Roman" w:hAnsi="Times New Roman"/>
                <w:bCs/>
                <w:sz w:val="18"/>
                <w:szCs w:val="18"/>
                <w:lang w:val="es-ES"/>
              </w:rPr>
              <w:t>.</w:t>
            </w:r>
          </w:p>
        </w:tc>
      </w:tr>
      <w:tr w:rsidR="00BA7DF7" w:rsidRPr="00F702EF" w:rsidTr="00FB3ADC">
        <w:tc>
          <w:tcPr>
            <w:tcW w:w="1445" w:type="dxa"/>
          </w:tcPr>
          <w:p w:rsidR="00BA7DF7" w:rsidRPr="00C623A1" w:rsidRDefault="00F61D28" w:rsidP="00793B7A">
            <w:pPr>
              <w:pStyle w:val="NoSpacing"/>
              <w:tabs>
                <w:tab w:val="left" w:pos="372"/>
              </w:tabs>
              <w:rPr>
                <w:rFonts w:ascii="Times New Roman" w:hAnsi="Times New Roman"/>
                <w:sz w:val="18"/>
                <w:szCs w:val="18"/>
                <w:lang w:val="es-ES" w:bidi="ar-SA"/>
              </w:rPr>
            </w:pPr>
            <w:r>
              <w:rPr>
                <w:rFonts w:ascii="Times New Roman" w:hAnsi="Times New Roman"/>
                <w:sz w:val="18"/>
                <w:szCs w:val="18"/>
                <w:lang w:val="es-ES" w:bidi="ar-SA"/>
              </w:rPr>
              <w:t>A nivel de entidad</w:t>
            </w:r>
          </w:p>
        </w:tc>
        <w:tc>
          <w:tcPr>
            <w:tcW w:w="1080" w:type="dxa"/>
          </w:tcPr>
          <w:p w:rsidR="00BA7DF7" w:rsidRPr="00C623A1" w:rsidRDefault="00BA7DF7" w:rsidP="00793B7A">
            <w:pPr>
              <w:pStyle w:val="NoSpacing"/>
              <w:tabs>
                <w:tab w:val="left" w:pos="372"/>
              </w:tabs>
              <w:jc w:val="center"/>
              <w:rPr>
                <w:rFonts w:ascii="Times New Roman" w:hAnsi="Times New Roman"/>
                <w:sz w:val="18"/>
                <w:szCs w:val="18"/>
                <w:lang w:val="es-ES" w:bidi="ar-SA"/>
              </w:rPr>
            </w:pPr>
            <w:r w:rsidRPr="00C623A1">
              <w:rPr>
                <w:rFonts w:ascii="Times New Roman" w:hAnsi="Times New Roman"/>
                <w:sz w:val="18"/>
                <w:szCs w:val="18"/>
                <w:lang w:val="es-ES" w:bidi="ar-SA"/>
              </w:rPr>
              <w:t>M</w:t>
            </w:r>
          </w:p>
        </w:tc>
        <w:tc>
          <w:tcPr>
            <w:tcW w:w="7393" w:type="dxa"/>
          </w:tcPr>
          <w:p w:rsidR="00BA7DF7" w:rsidRPr="00B60F8D" w:rsidRDefault="00B60F8D" w:rsidP="00B60F8D">
            <w:pPr>
              <w:rPr>
                <w:bCs/>
                <w:sz w:val="18"/>
                <w:szCs w:val="18"/>
                <w:lang w:val="es-ES"/>
              </w:rPr>
            </w:pPr>
            <w:r w:rsidRPr="00B60F8D">
              <w:rPr>
                <w:sz w:val="18"/>
                <w:szCs w:val="18"/>
                <w:lang w:val="es-ES"/>
              </w:rPr>
              <w:t>La</w:t>
            </w:r>
            <w:r w:rsidR="00870BDA">
              <w:rPr>
                <w:sz w:val="18"/>
                <w:szCs w:val="18"/>
                <w:lang w:val="es-ES"/>
              </w:rPr>
              <w:t xml:space="preserve"> </w:t>
            </w:r>
            <w:r w:rsidR="00890CA6" w:rsidRPr="00B60F8D">
              <w:rPr>
                <w:sz w:val="18"/>
                <w:szCs w:val="18"/>
                <w:lang w:val="es-ES"/>
              </w:rPr>
              <w:t>UCP</w:t>
            </w:r>
            <w:r w:rsidR="00870BDA">
              <w:rPr>
                <w:sz w:val="18"/>
                <w:szCs w:val="18"/>
                <w:lang w:val="es-ES"/>
              </w:rPr>
              <w:t xml:space="preserve"> </w:t>
            </w:r>
            <w:r w:rsidRPr="00B60F8D">
              <w:rPr>
                <w:sz w:val="18"/>
                <w:szCs w:val="18"/>
                <w:lang w:val="es-ES"/>
              </w:rPr>
              <w:t>adscrita a la</w:t>
            </w:r>
            <w:r w:rsidR="00A608E0" w:rsidRPr="00B60F8D">
              <w:rPr>
                <w:sz w:val="18"/>
                <w:szCs w:val="18"/>
                <w:lang w:val="es-ES"/>
              </w:rPr>
              <w:t xml:space="preserve"> PGR </w:t>
            </w:r>
            <w:r>
              <w:rPr>
                <w:sz w:val="18"/>
                <w:szCs w:val="18"/>
                <w:lang w:val="es-ES"/>
              </w:rPr>
              <w:t>ya tiene experiencia con proyectos financiados por el Banco Mundial y ha demostrado poseer una óptimo desempeño en la gestión financiera. De conformidad con la práctica actual, la UCP asignará las actividades diarias y cotidianas de gestión financiera a las mismas unidades que han manejado proyectos anteriores financiados por el Banco Mundial</w:t>
            </w:r>
            <w:r w:rsidR="00870BDA">
              <w:rPr>
                <w:sz w:val="18"/>
                <w:szCs w:val="18"/>
                <w:lang w:val="es-ES"/>
              </w:rPr>
              <w:t>.</w:t>
            </w:r>
          </w:p>
        </w:tc>
      </w:tr>
      <w:tr w:rsidR="00BA7DF7" w:rsidRPr="00F702EF" w:rsidTr="00FB3ADC">
        <w:tc>
          <w:tcPr>
            <w:tcW w:w="1445" w:type="dxa"/>
          </w:tcPr>
          <w:p w:rsidR="00BA7DF7" w:rsidRPr="00C623A1" w:rsidRDefault="00F61D28" w:rsidP="00793B7A">
            <w:pPr>
              <w:pStyle w:val="NoSpacing"/>
              <w:tabs>
                <w:tab w:val="left" w:pos="372"/>
              </w:tabs>
              <w:rPr>
                <w:rFonts w:ascii="Times New Roman" w:hAnsi="Times New Roman"/>
                <w:sz w:val="18"/>
                <w:szCs w:val="18"/>
                <w:lang w:val="es-ES" w:bidi="ar-SA"/>
              </w:rPr>
            </w:pPr>
            <w:r>
              <w:rPr>
                <w:rFonts w:ascii="Times New Roman" w:hAnsi="Times New Roman"/>
                <w:sz w:val="18"/>
                <w:szCs w:val="18"/>
                <w:lang w:val="es-ES" w:bidi="ar-SA"/>
              </w:rPr>
              <w:t>A nivel de Proyecto</w:t>
            </w:r>
          </w:p>
        </w:tc>
        <w:tc>
          <w:tcPr>
            <w:tcW w:w="1080" w:type="dxa"/>
          </w:tcPr>
          <w:p w:rsidR="00BA7DF7" w:rsidRPr="00C623A1" w:rsidRDefault="00BA7DF7" w:rsidP="00793B7A">
            <w:pPr>
              <w:pStyle w:val="NoSpacing"/>
              <w:tabs>
                <w:tab w:val="left" w:pos="372"/>
              </w:tabs>
              <w:jc w:val="center"/>
              <w:rPr>
                <w:rFonts w:ascii="Times New Roman" w:hAnsi="Times New Roman"/>
                <w:sz w:val="18"/>
                <w:szCs w:val="18"/>
                <w:lang w:val="es-ES" w:bidi="ar-SA"/>
              </w:rPr>
            </w:pPr>
            <w:r w:rsidRPr="00C623A1">
              <w:rPr>
                <w:rFonts w:ascii="Times New Roman" w:hAnsi="Times New Roman"/>
                <w:sz w:val="18"/>
                <w:szCs w:val="18"/>
                <w:lang w:val="es-ES" w:bidi="ar-SA"/>
              </w:rPr>
              <w:t>M</w:t>
            </w:r>
          </w:p>
        </w:tc>
        <w:tc>
          <w:tcPr>
            <w:tcW w:w="7393" w:type="dxa"/>
          </w:tcPr>
          <w:p w:rsidR="00B94F2A" w:rsidRPr="00B60F8D" w:rsidRDefault="00B60F8D" w:rsidP="00B534BF">
            <w:pPr>
              <w:pStyle w:val="NoSpacing"/>
              <w:tabs>
                <w:tab w:val="left" w:pos="372"/>
              </w:tabs>
              <w:rPr>
                <w:rFonts w:ascii="Times New Roman" w:eastAsia="Times New Roman" w:hAnsi="Times New Roman"/>
                <w:sz w:val="18"/>
                <w:szCs w:val="18"/>
                <w:lang w:val="es-ES" w:bidi="ar-SA"/>
              </w:rPr>
            </w:pPr>
            <w:r w:rsidRPr="00B60F8D">
              <w:rPr>
                <w:rFonts w:ascii="Times New Roman" w:eastAsia="Times New Roman" w:hAnsi="Times New Roman"/>
                <w:sz w:val="18"/>
                <w:szCs w:val="18"/>
                <w:lang w:val="es-ES" w:bidi="ar-SA"/>
              </w:rPr>
              <w:t>Los</w:t>
            </w:r>
            <w:r w:rsidR="00870BDA">
              <w:rPr>
                <w:rFonts w:ascii="Times New Roman" w:eastAsia="Times New Roman" w:hAnsi="Times New Roman"/>
                <w:sz w:val="18"/>
                <w:szCs w:val="18"/>
                <w:lang w:val="es-ES" w:bidi="ar-SA"/>
              </w:rPr>
              <w:t xml:space="preserve"> </w:t>
            </w:r>
            <w:r w:rsidRPr="00B60F8D">
              <w:rPr>
                <w:rFonts w:ascii="Times New Roman" w:eastAsia="Times New Roman" w:hAnsi="Times New Roman"/>
                <w:sz w:val="18"/>
                <w:szCs w:val="18"/>
                <w:lang w:val="es-ES" w:bidi="ar-SA"/>
              </w:rPr>
              <w:t xml:space="preserve">aspectos relacionados con la gestión financiera del Proyecto se concentrarán en la </w:t>
            </w:r>
            <w:r w:rsidR="00890CA6" w:rsidRPr="00B60F8D">
              <w:rPr>
                <w:rFonts w:ascii="Times New Roman" w:eastAsia="Times New Roman" w:hAnsi="Times New Roman"/>
                <w:sz w:val="18"/>
                <w:szCs w:val="18"/>
                <w:lang w:val="es-ES" w:bidi="ar-SA"/>
              </w:rPr>
              <w:t>UCP</w:t>
            </w:r>
            <w:r w:rsidR="00BA7DF7" w:rsidRPr="00B60F8D">
              <w:rPr>
                <w:rFonts w:ascii="Times New Roman" w:eastAsia="Times New Roman" w:hAnsi="Times New Roman"/>
                <w:sz w:val="18"/>
                <w:szCs w:val="18"/>
                <w:lang w:val="es-ES" w:bidi="ar-SA"/>
              </w:rPr>
              <w:t>(institu</w:t>
            </w:r>
            <w:r w:rsidRPr="00B60F8D">
              <w:rPr>
                <w:rFonts w:ascii="Times New Roman" w:eastAsia="Times New Roman" w:hAnsi="Times New Roman"/>
                <w:sz w:val="18"/>
                <w:szCs w:val="18"/>
                <w:lang w:val="es-ES" w:bidi="ar-SA"/>
              </w:rPr>
              <w:t xml:space="preserve">cionalizada dentro de la </w:t>
            </w:r>
            <w:r w:rsidR="003D7316" w:rsidRPr="00B60F8D">
              <w:rPr>
                <w:rFonts w:ascii="Times New Roman" w:eastAsia="Times New Roman" w:hAnsi="Times New Roman"/>
                <w:sz w:val="18"/>
                <w:szCs w:val="18"/>
                <w:lang w:val="es-ES" w:bidi="ar-SA"/>
              </w:rPr>
              <w:t>PGR</w:t>
            </w:r>
            <w:r w:rsidR="00BA7DF7" w:rsidRPr="00B60F8D">
              <w:rPr>
                <w:rFonts w:ascii="Times New Roman" w:eastAsia="Times New Roman" w:hAnsi="Times New Roman"/>
                <w:sz w:val="18"/>
                <w:szCs w:val="18"/>
                <w:lang w:val="es-ES" w:bidi="ar-SA"/>
              </w:rPr>
              <w:t xml:space="preserve">), </w:t>
            </w:r>
            <w:r>
              <w:rPr>
                <w:rFonts w:ascii="Times New Roman" w:eastAsia="Times New Roman" w:hAnsi="Times New Roman"/>
                <w:sz w:val="18"/>
                <w:szCs w:val="18"/>
                <w:lang w:val="es-ES" w:bidi="ar-SA"/>
              </w:rPr>
              <w:t xml:space="preserve">dotada de personal calificado. El Acuerdo Financiero </w:t>
            </w:r>
            <w:r w:rsidR="00402421">
              <w:rPr>
                <w:rFonts w:ascii="Times New Roman" w:eastAsia="Times New Roman" w:hAnsi="Times New Roman"/>
                <w:sz w:val="18"/>
                <w:szCs w:val="18"/>
                <w:lang w:val="es-ES" w:bidi="ar-SA"/>
              </w:rPr>
              <w:t xml:space="preserve">contemplará una condición que exigirá que el </w:t>
            </w:r>
            <w:r w:rsidR="00870BDA">
              <w:rPr>
                <w:rFonts w:ascii="Times New Roman" w:eastAsia="Times New Roman" w:hAnsi="Times New Roman"/>
                <w:sz w:val="18"/>
                <w:szCs w:val="18"/>
                <w:lang w:val="es-ES" w:bidi="ar-SA"/>
              </w:rPr>
              <w:t>G</w:t>
            </w:r>
            <w:r w:rsidR="00402421">
              <w:rPr>
                <w:rFonts w:ascii="Times New Roman" w:eastAsia="Times New Roman" w:hAnsi="Times New Roman"/>
                <w:sz w:val="18"/>
                <w:szCs w:val="18"/>
                <w:lang w:val="es-ES" w:bidi="ar-SA"/>
              </w:rPr>
              <w:t>obierno a través de la PGR mantenga de manera permanente mecanismos adecuados de ejecución</w:t>
            </w:r>
            <w:r w:rsidR="00BA7DF7" w:rsidRPr="00B60F8D">
              <w:rPr>
                <w:rFonts w:ascii="Times New Roman" w:eastAsia="Times New Roman" w:hAnsi="Times New Roman"/>
                <w:sz w:val="18"/>
                <w:szCs w:val="18"/>
                <w:lang w:val="es-ES" w:bidi="ar-SA"/>
              </w:rPr>
              <w:t>.</w:t>
            </w:r>
          </w:p>
          <w:p w:rsidR="00B94F2A" w:rsidRPr="00B60F8D" w:rsidRDefault="00B94F2A" w:rsidP="00B534BF">
            <w:pPr>
              <w:pStyle w:val="NoSpacing"/>
              <w:tabs>
                <w:tab w:val="left" w:pos="372"/>
              </w:tabs>
              <w:rPr>
                <w:rFonts w:ascii="Times New Roman" w:eastAsia="Times New Roman" w:hAnsi="Times New Roman"/>
                <w:sz w:val="18"/>
                <w:szCs w:val="18"/>
                <w:lang w:val="es-ES" w:bidi="ar-SA"/>
              </w:rPr>
            </w:pPr>
          </w:p>
        </w:tc>
      </w:tr>
      <w:tr w:rsidR="00BA7DF7" w:rsidRPr="00F702EF" w:rsidTr="00793B7A">
        <w:tc>
          <w:tcPr>
            <w:tcW w:w="9918" w:type="dxa"/>
            <w:gridSpan w:val="3"/>
          </w:tcPr>
          <w:p w:rsidR="00BA7DF7" w:rsidRPr="00B60F8D" w:rsidRDefault="00F61D28" w:rsidP="00F61D28">
            <w:pPr>
              <w:jc w:val="center"/>
              <w:rPr>
                <w:sz w:val="18"/>
                <w:szCs w:val="18"/>
                <w:lang w:val="es-ES"/>
              </w:rPr>
            </w:pPr>
            <w:r w:rsidRPr="00B60F8D">
              <w:rPr>
                <w:b/>
                <w:bCs/>
                <w:sz w:val="18"/>
                <w:szCs w:val="18"/>
                <w:lang w:val="es-ES"/>
              </w:rPr>
              <w:lastRenderedPageBreak/>
              <w:t xml:space="preserve">Riesgo Asociado con el </w:t>
            </w:r>
            <w:r w:rsidR="00BA7DF7" w:rsidRPr="00B60F8D">
              <w:rPr>
                <w:b/>
                <w:bCs/>
                <w:sz w:val="18"/>
                <w:szCs w:val="18"/>
                <w:lang w:val="es-ES"/>
              </w:rPr>
              <w:t>Control</w:t>
            </w:r>
          </w:p>
        </w:tc>
      </w:tr>
      <w:tr w:rsidR="00BA7DF7" w:rsidRPr="00F702EF" w:rsidTr="00FB3ADC">
        <w:trPr>
          <w:trHeight w:val="755"/>
        </w:trPr>
        <w:tc>
          <w:tcPr>
            <w:tcW w:w="1445" w:type="dxa"/>
          </w:tcPr>
          <w:p w:rsidR="00BA7DF7" w:rsidRPr="00C623A1" w:rsidRDefault="00F61D28" w:rsidP="00F61D28">
            <w:pPr>
              <w:pStyle w:val="NoSpacing"/>
              <w:tabs>
                <w:tab w:val="left" w:pos="372"/>
              </w:tabs>
              <w:rPr>
                <w:rFonts w:ascii="Times New Roman" w:hAnsi="Times New Roman"/>
                <w:sz w:val="18"/>
                <w:szCs w:val="18"/>
                <w:lang w:val="es-ES" w:bidi="ar-SA"/>
              </w:rPr>
            </w:pPr>
            <w:r>
              <w:rPr>
                <w:rFonts w:ascii="Times New Roman" w:hAnsi="Times New Roman"/>
                <w:sz w:val="18"/>
                <w:szCs w:val="18"/>
                <w:lang w:val="es-ES" w:bidi="ar-SA"/>
              </w:rPr>
              <w:t>Presupuesto</w:t>
            </w:r>
            <w:r w:rsidR="00BA7DF7" w:rsidRPr="00C623A1">
              <w:rPr>
                <w:rFonts w:ascii="Times New Roman" w:hAnsi="Times New Roman"/>
                <w:sz w:val="18"/>
                <w:szCs w:val="18"/>
                <w:lang w:val="es-ES" w:bidi="ar-SA"/>
              </w:rPr>
              <w:t xml:space="preserve">, </w:t>
            </w:r>
            <w:r>
              <w:rPr>
                <w:rFonts w:ascii="Times New Roman" w:hAnsi="Times New Roman"/>
                <w:sz w:val="18"/>
                <w:szCs w:val="18"/>
                <w:lang w:val="es-ES" w:bidi="ar-SA"/>
              </w:rPr>
              <w:t>Contabilidad</w:t>
            </w:r>
            <w:r w:rsidR="00BA7DF7" w:rsidRPr="00C623A1">
              <w:rPr>
                <w:rFonts w:ascii="Times New Roman" w:hAnsi="Times New Roman"/>
                <w:sz w:val="18"/>
                <w:szCs w:val="18"/>
                <w:lang w:val="es-ES" w:bidi="ar-SA"/>
              </w:rPr>
              <w:t xml:space="preserve">, </w:t>
            </w:r>
            <w:r w:rsidRPr="00C623A1">
              <w:rPr>
                <w:rFonts w:ascii="Times New Roman" w:hAnsi="Times New Roman"/>
                <w:sz w:val="18"/>
                <w:szCs w:val="18"/>
                <w:lang w:val="es-ES" w:bidi="ar-SA"/>
              </w:rPr>
              <w:t xml:space="preserve">Control </w:t>
            </w:r>
            <w:r w:rsidR="00BA7DF7" w:rsidRPr="00C623A1">
              <w:rPr>
                <w:rFonts w:ascii="Times New Roman" w:hAnsi="Times New Roman"/>
                <w:sz w:val="18"/>
                <w:szCs w:val="18"/>
                <w:lang w:val="es-ES" w:bidi="ar-SA"/>
              </w:rPr>
              <w:t>Intern</w:t>
            </w:r>
            <w:r>
              <w:rPr>
                <w:rFonts w:ascii="Times New Roman" w:hAnsi="Times New Roman"/>
                <w:sz w:val="18"/>
                <w:szCs w:val="18"/>
                <w:lang w:val="es-ES" w:bidi="ar-SA"/>
              </w:rPr>
              <w:t>o</w:t>
            </w:r>
          </w:p>
        </w:tc>
        <w:tc>
          <w:tcPr>
            <w:tcW w:w="1080" w:type="dxa"/>
          </w:tcPr>
          <w:p w:rsidR="00BA7DF7" w:rsidRPr="00C623A1" w:rsidRDefault="00BA7DF7" w:rsidP="00793B7A">
            <w:pPr>
              <w:pStyle w:val="NoSpacing"/>
              <w:tabs>
                <w:tab w:val="left" w:pos="372"/>
              </w:tabs>
              <w:jc w:val="center"/>
              <w:rPr>
                <w:rFonts w:ascii="Times New Roman" w:hAnsi="Times New Roman"/>
                <w:sz w:val="18"/>
                <w:szCs w:val="18"/>
                <w:lang w:val="es-ES" w:bidi="ar-SA"/>
              </w:rPr>
            </w:pPr>
            <w:r w:rsidRPr="00C623A1">
              <w:rPr>
                <w:rFonts w:ascii="Times New Roman" w:hAnsi="Times New Roman"/>
                <w:sz w:val="18"/>
                <w:szCs w:val="18"/>
                <w:lang w:val="es-ES" w:bidi="ar-SA"/>
              </w:rPr>
              <w:t>M</w:t>
            </w:r>
          </w:p>
        </w:tc>
        <w:tc>
          <w:tcPr>
            <w:tcW w:w="7393" w:type="dxa"/>
          </w:tcPr>
          <w:p w:rsidR="00BA7DF7" w:rsidRPr="008115B8" w:rsidRDefault="008115B8" w:rsidP="008115B8">
            <w:pPr>
              <w:pStyle w:val="NoSpacing"/>
              <w:tabs>
                <w:tab w:val="left" w:pos="372"/>
              </w:tabs>
              <w:rPr>
                <w:rFonts w:ascii="Times New Roman" w:eastAsia="Times New Roman" w:hAnsi="Times New Roman"/>
                <w:sz w:val="18"/>
                <w:szCs w:val="18"/>
                <w:lang w:val="es-NI" w:bidi="ar-SA"/>
              </w:rPr>
            </w:pPr>
            <w:r w:rsidRPr="008115B8">
              <w:rPr>
                <w:rFonts w:ascii="Times New Roman" w:eastAsia="Times New Roman" w:hAnsi="Times New Roman"/>
                <w:sz w:val="18"/>
                <w:szCs w:val="18"/>
                <w:lang w:val="es-NI" w:bidi="ar-SA"/>
              </w:rPr>
              <w:t xml:space="preserve">Presupuesto y contabilidad quedarán registrados en el sistema </w:t>
            </w:r>
            <w:r>
              <w:rPr>
                <w:rFonts w:ascii="Times New Roman" w:eastAsia="Times New Roman" w:hAnsi="Times New Roman"/>
                <w:sz w:val="18"/>
                <w:szCs w:val="18"/>
                <w:lang w:val="es-NI" w:bidi="ar-SA"/>
              </w:rPr>
              <w:t xml:space="preserve">nacional. El Proyecto operará de conformidad con un Manual Operativo aprobado por el Banco Mundial. Ya la PGR </w:t>
            </w:r>
            <w:r w:rsidR="00870BDA">
              <w:rPr>
                <w:rFonts w:ascii="Times New Roman" w:eastAsia="Times New Roman" w:hAnsi="Times New Roman"/>
                <w:sz w:val="18"/>
                <w:szCs w:val="18"/>
                <w:lang w:val="es-NI" w:bidi="ar-SA"/>
              </w:rPr>
              <w:t>prepar</w:t>
            </w:r>
            <w:r>
              <w:rPr>
                <w:rFonts w:ascii="Times New Roman" w:eastAsia="Times New Roman" w:hAnsi="Times New Roman"/>
                <w:sz w:val="18"/>
                <w:szCs w:val="18"/>
                <w:lang w:val="es-NI" w:bidi="ar-SA"/>
              </w:rPr>
              <w:t>ó una actualización de dicho manual, detallando los principales procedimientos de gestión financiera, entre ellas, preparación de presupuestos, contabilidad, pagos, documentos soportes, reconciliación de cuentas, informes financieros e inventarios de control de bienes y activos</w:t>
            </w:r>
            <w:r w:rsidR="00EB08C0" w:rsidRPr="00B60F8D">
              <w:rPr>
                <w:rFonts w:ascii="Times New Roman" w:hAnsi="Times New Roman"/>
                <w:bCs/>
                <w:sz w:val="18"/>
                <w:szCs w:val="18"/>
                <w:lang w:val="es-ES"/>
              </w:rPr>
              <w:t>.</w:t>
            </w:r>
          </w:p>
        </w:tc>
      </w:tr>
      <w:tr w:rsidR="00BA7DF7" w:rsidRPr="00F702EF" w:rsidTr="00FB3ADC">
        <w:tc>
          <w:tcPr>
            <w:tcW w:w="1445" w:type="dxa"/>
          </w:tcPr>
          <w:p w:rsidR="00BA7DF7" w:rsidRPr="00C623A1" w:rsidRDefault="00F61D28" w:rsidP="00793B7A">
            <w:pPr>
              <w:pStyle w:val="NoSpacing"/>
              <w:tabs>
                <w:tab w:val="left" w:pos="372"/>
              </w:tabs>
              <w:rPr>
                <w:rFonts w:ascii="Times New Roman" w:hAnsi="Times New Roman"/>
                <w:sz w:val="18"/>
                <w:szCs w:val="18"/>
                <w:lang w:val="es-ES" w:bidi="ar-SA"/>
              </w:rPr>
            </w:pPr>
            <w:r>
              <w:rPr>
                <w:rFonts w:ascii="Times New Roman" w:hAnsi="Times New Roman"/>
                <w:sz w:val="18"/>
                <w:szCs w:val="18"/>
                <w:lang w:val="es-ES" w:bidi="ar-SA"/>
              </w:rPr>
              <w:t>Flujo de fondos</w:t>
            </w:r>
          </w:p>
        </w:tc>
        <w:tc>
          <w:tcPr>
            <w:tcW w:w="1080" w:type="dxa"/>
          </w:tcPr>
          <w:p w:rsidR="00BA7DF7" w:rsidRPr="00C623A1" w:rsidRDefault="00BA7DF7" w:rsidP="00793B7A">
            <w:pPr>
              <w:pStyle w:val="NoSpacing"/>
              <w:tabs>
                <w:tab w:val="left" w:pos="372"/>
              </w:tabs>
              <w:jc w:val="center"/>
              <w:rPr>
                <w:rFonts w:ascii="Times New Roman" w:hAnsi="Times New Roman"/>
                <w:sz w:val="18"/>
                <w:szCs w:val="18"/>
                <w:lang w:val="es-ES" w:bidi="ar-SA"/>
              </w:rPr>
            </w:pPr>
            <w:r w:rsidRPr="00C623A1">
              <w:rPr>
                <w:rFonts w:ascii="Times New Roman" w:hAnsi="Times New Roman"/>
                <w:sz w:val="18"/>
                <w:szCs w:val="18"/>
                <w:lang w:val="es-ES" w:bidi="ar-SA"/>
              </w:rPr>
              <w:t>M</w:t>
            </w:r>
          </w:p>
        </w:tc>
        <w:tc>
          <w:tcPr>
            <w:tcW w:w="7393" w:type="dxa"/>
          </w:tcPr>
          <w:p w:rsidR="00BA7DF7" w:rsidRPr="00C623A1" w:rsidRDefault="008115B8" w:rsidP="008115B8">
            <w:pPr>
              <w:pStyle w:val="NoSpacing"/>
              <w:tabs>
                <w:tab w:val="left" w:pos="372"/>
              </w:tabs>
              <w:rPr>
                <w:rFonts w:ascii="Times New Roman" w:eastAsia="Times New Roman" w:hAnsi="Times New Roman"/>
                <w:sz w:val="18"/>
                <w:szCs w:val="18"/>
                <w:lang w:val="es-ES" w:bidi="ar-SA"/>
              </w:rPr>
            </w:pPr>
            <w:r>
              <w:rPr>
                <w:rFonts w:ascii="Times New Roman" w:eastAsia="Times New Roman" w:hAnsi="Times New Roman"/>
                <w:sz w:val="18"/>
                <w:szCs w:val="18"/>
                <w:lang w:val="es-ES" w:bidi="ar-SA"/>
              </w:rPr>
              <w:t>El Proyecto utilizará la cuenta única de tesorería para pagarles a los proveedores, contratistas y consultores</w:t>
            </w:r>
            <w:r w:rsidR="00BA7DF7" w:rsidRPr="00C623A1">
              <w:rPr>
                <w:rFonts w:ascii="Times New Roman" w:eastAsia="Times New Roman" w:hAnsi="Times New Roman"/>
                <w:sz w:val="18"/>
                <w:szCs w:val="18"/>
                <w:lang w:val="es-ES" w:bidi="ar-SA"/>
              </w:rPr>
              <w:t xml:space="preserve">. </w:t>
            </w:r>
          </w:p>
        </w:tc>
      </w:tr>
      <w:tr w:rsidR="00BA7DF7" w:rsidRPr="00F702EF" w:rsidTr="00FB3ADC">
        <w:tc>
          <w:tcPr>
            <w:tcW w:w="1445" w:type="dxa"/>
          </w:tcPr>
          <w:p w:rsidR="00BA7DF7" w:rsidRPr="00621288" w:rsidRDefault="00F61D28" w:rsidP="00F61D28">
            <w:pPr>
              <w:pStyle w:val="NoSpacing"/>
              <w:tabs>
                <w:tab w:val="left" w:pos="372"/>
              </w:tabs>
              <w:rPr>
                <w:rFonts w:ascii="Times New Roman" w:hAnsi="Times New Roman"/>
                <w:sz w:val="18"/>
                <w:szCs w:val="18"/>
                <w:lang w:val="es-ES" w:bidi="ar-SA"/>
              </w:rPr>
            </w:pPr>
            <w:r w:rsidRPr="00621288">
              <w:rPr>
                <w:rFonts w:ascii="Times New Roman" w:hAnsi="Times New Roman"/>
                <w:sz w:val="18"/>
                <w:szCs w:val="18"/>
                <w:lang w:val="es-ES" w:bidi="ar-SA"/>
              </w:rPr>
              <w:t>Informes f</w:t>
            </w:r>
            <w:r w:rsidR="00BA7DF7" w:rsidRPr="00621288">
              <w:rPr>
                <w:rFonts w:ascii="Times New Roman" w:hAnsi="Times New Roman"/>
                <w:sz w:val="18"/>
                <w:szCs w:val="18"/>
                <w:lang w:val="es-ES" w:bidi="ar-SA"/>
              </w:rPr>
              <w:t>inanci</w:t>
            </w:r>
            <w:r w:rsidRPr="00621288">
              <w:rPr>
                <w:rFonts w:ascii="Times New Roman" w:hAnsi="Times New Roman"/>
                <w:sz w:val="18"/>
                <w:szCs w:val="18"/>
                <w:lang w:val="es-ES" w:bidi="ar-SA"/>
              </w:rPr>
              <w:t>eros, Auditoría</w:t>
            </w:r>
          </w:p>
        </w:tc>
        <w:tc>
          <w:tcPr>
            <w:tcW w:w="1080" w:type="dxa"/>
          </w:tcPr>
          <w:p w:rsidR="00BA7DF7" w:rsidRPr="00621288" w:rsidRDefault="00BA7DF7" w:rsidP="00793B7A">
            <w:pPr>
              <w:pStyle w:val="NoSpacing"/>
              <w:tabs>
                <w:tab w:val="left" w:pos="372"/>
              </w:tabs>
              <w:jc w:val="center"/>
              <w:rPr>
                <w:rFonts w:ascii="Times New Roman" w:hAnsi="Times New Roman"/>
                <w:sz w:val="18"/>
                <w:szCs w:val="18"/>
                <w:lang w:val="es-ES" w:bidi="ar-SA"/>
              </w:rPr>
            </w:pPr>
            <w:r w:rsidRPr="00621288">
              <w:rPr>
                <w:rFonts w:ascii="Times New Roman" w:hAnsi="Times New Roman"/>
                <w:sz w:val="18"/>
                <w:szCs w:val="18"/>
                <w:lang w:val="es-ES" w:bidi="ar-SA"/>
              </w:rPr>
              <w:t>M</w:t>
            </w:r>
          </w:p>
        </w:tc>
        <w:tc>
          <w:tcPr>
            <w:tcW w:w="7393" w:type="dxa"/>
          </w:tcPr>
          <w:p w:rsidR="00BA7DF7" w:rsidRPr="00621288" w:rsidRDefault="00621288" w:rsidP="00FB2352">
            <w:pPr>
              <w:pStyle w:val="NoSpacing"/>
              <w:tabs>
                <w:tab w:val="left" w:pos="372"/>
              </w:tabs>
              <w:rPr>
                <w:rFonts w:ascii="Times New Roman" w:eastAsia="Times New Roman" w:hAnsi="Times New Roman"/>
                <w:sz w:val="18"/>
                <w:szCs w:val="18"/>
                <w:lang w:val="es-ES" w:bidi="ar-SA"/>
              </w:rPr>
            </w:pPr>
            <w:r w:rsidRPr="00621288">
              <w:rPr>
                <w:rFonts w:ascii="Times New Roman" w:eastAsia="Times New Roman" w:hAnsi="Times New Roman"/>
                <w:sz w:val="18"/>
                <w:szCs w:val="18"/>
                <w:lang w:val="es-ES" w:bidi="ar-SA"/>
              </w:rPr>
              <w:t xml:space="preserve">El Proyecto empleará </w:t>
            </w:r>
            <w:r>
              <w:rPr>
                <w:rFonts w:ascii="Times New Roman" w:eastAsia="Times New Roman" w:hAnsi="Times New Roman"/>
                <w:sz w:val="18"/>
                <w:szCs w:val="18"/>
                <w:lang w:val="es-ES" w:bidi="ar-SA"/>
              </w:rPr>
              <w:t xml:space="preserve">los sistemas </w:t>
            </w:r>
            <w:r w:rsidR="00FB2352" w:rsidRPr="00621288">
              <w:rPr>
                <w:rFonts w:ascii="Times New Roman" w:eastAsia="Times New Roman" w:hAnsi="Times New Roman"/>
                <w:sz w:val="18"/>
                <w:szCs w:val="18"/>
                <w:lang w:val="es-ES" w:bidi="ar-SA"/>
              </w:rPr>
              <w:t>SIAFI</w:t>
            </w:r>
            <w:r w:rsidR="00870BDA">
              <w:rPr>
                <w:rFonts w:ascii="Times New Roman" w:eastAsia="Times New Roman" w:hAnsi="Times New Roman"/>
                <w:sz w:val="18"/>
                <w:szCs w:val="18"/>
                <w:lang w:val="es-ES" w:bidi="ar-SA"/>
              </w:rPr>
              <w:t xml:space="preserve"> </w:t>
            </w:r>
            <w:r w:rsidR="00FF357C" w:rsidRPr="00621288">
              <w:rPr>
                <w:rFonts w:ascii="Times New Roman" w:eastAsia="Times New Roman" w:hAnsi="Times New Roman"/>
                <w:sz w:val="18"/>
                <w:szCs w:val="18"/>
                <w:lang w:val="es-ES" w:bidi="ar-SA"/>
              </w:rPr>
              <w:t>y</w:t>
            </w:r>
            <w:r w:rsidR="00870BDA">
              <w:rPr>
                <w:rFonts w:ascii="Times New Roman" w:eastAsia="Times New Roman" w:hAnsi="Times New Roman"/>
                <w:sz w:val="18"/>
                <w:szCs w:val="18"/>
                <w:lang w:val="es-ES" w:bidi="ar-SA"/>
              </w:rPr>
              <w:t xml:space="preserve"> </w:t>
            </w:r>
            <w:r w:rsidR="00FB2352" w:rsidRPr="00621288">
              <w:rPr>
                <w:rFonts w:ascii="Times New Roman" w:eastAsia="Times New Roman" w:hAnsi="Times New Roman"/>
                <w:sz w:val="18"/>
                <w:szCs w:val="18"/>
                <w:lang w:val="es-ES" w:bidi="ar-SA"/>
              </w:rPr>
              <w:t>SIGFA</w:t>
            </w:r>
            <w:r w:rsidR="00870BDA">
              <w:rPr>
                <w:rFonts w:ascii="Times New Roman" w:eastAsia="Times New Roman" w:hAnsi="Times New Roman"/>
                <w:sz w:val="18"/>
                <w:szCs w:val="18"/>
                <w:lang w:val="es-ES" w:bidi="ar-SA"/>
              </w:rPr>
              <w:t xml:space="preserve"> </w:t>
            </w:r>
            <w:r>
              <w:rPr>
                <w:rFonts w:ascii="Times New Roman" w:eastAsia="Times New Roman" w:hAnsi="Times New Roman"/>
                <w:sz w:val="18"/>
                <w:szCs w:val="18"/>
                <w:lang w:val="es-ES" w:bidi="ar-SA"/>
              </w:rPr>
              <w:t xml:space="preserve">para llevar la contabilidad y generar los informes financieros. La UCP contratará a una auditoría externa, independiente e individual para cubrir todo el periodo de ejecución del Proyecto. La auditoría anual deberá estar a cargo de una firma auditora, de conformidad con términos de referencia aceptados por el Banco Mundial.  </w:t>
            </w:r>
          </w:p>
        </w:tc>
      </w:tr>
      <w:tr w:rsidR="00BA7DF7" w:rsidRPr="00621288" w:rsidTr="00FB3ADC">
        <w:tc>
          <w:tcPr>
            <w:tcW w:w="1445" w:type="dxa"/>
          </w:tcPr>
          <w:p w:rsidR="00BA7DF7" w:rsidRPr="00621288" w:rsidRDefault="00F61D28" w:rsidP="00F61D28">
            <w:pPr>
              <w:pStyle w:val="NoSpacing"/>
              <w:tabs>
                <w:tab w:val="left" w:pos="372"/>
              </w:tabs>
              <w:jc w:val="center"/>
              <w:rPr>
                <w:rFonts w:ascii="Times New Roman" w:hAnsi="Times New Roman"/>
                <w:b/>
                <w:sz w:val="18"/>
                <w:szCs w:val="18"/>
                <w:lang w:val="es-ES" w:bidi="ar-SA"/>
              </w:rPr>
            </w:pPr>
            <w:r w:rsidRPr="00621288">
              <w:rPr>
                <w:rFonts w:ascii="Times New Roman" w:hAnsi="Times New Roman"/>
                <w:b/>
                <w:sz w:val="18"/>
                <w:szCs w:val="18"/>
                <w:lang w:val="es-ES" w:bidi="ar-SA"/>
              </w:rPr>
              <w:t xml:space="preserve">Riesgo Gestión Financiera </w:t>
            </w:r>
          </w:p>
        </w:tc>
        <w:tc>
          <w:tcPr>
            <w:tcW w:w="1080" w:type="dxa"/>
          </w:tcPr>
          <w:p w:rsidR="00BA7DF7" w:rsidRPr="00621288" w:rsidRDefault="00BA7DF7" w:rsidP="00793B7A">
            <w:pPr>
              <w:pStyle w:val="NoSpacing"/>
              <w:tabs>
                <w:tab w:val="left" w:pos="372"/>
              </w:tabs>
              <w:jc w:val="center"/>
              <w:rPr>
                <w:rFonts w:ascii="Times New Roman" w:hAnsi="Times New Roman"/>
                <w:b/>
                <w:sz w:val="18"/>
                <w:szCs w:val="18"/>
                <w:lang w:val="es-ES" w:bidi="ar-SA"/>
              </w:rPr>
            </w:pPr>
            <w:r w:rsidRPr="00621288">
              <w:rPr>
                <w:rFonts w:ascii="Times New Roman" w:hAnsi="Times New Roman"/>
                <w:b/>
                <w:sz w:val="18"/>
                <w:szCs w:val="18"/>
                <w:lang w:val="es-ES" w:bidi="ar-SA"/>
              </w:rPr>
              <w:t>M</w:t>
            </w:r>
          </w:p>
        </w:tc>
        <w:tc>
          <w:tcPr>
            <w:tcW w:w="7393" w:type="dxa"/>
          </w:tcPr>
          <w:p w:rsidR="00BA7DF7" w:rsidRPr="00621288" w:rsidRDefault="00BA7DF7" w:rsidP="00793B7A">
            <w:pPr>
              <w:rPr>
                <w:bCs/>
                <w:sz w:val="18"/>
                <w:szCs w:val="18"/>
                <w:lang w:val="es-ES"/>
              </w:rPr>
            </w:pPr>
          </w:p>
        </w:tc>
      </w:tr>
    </w:tbl>
    <w:p w:rsidR="00BA7DF7" w:rsidRPr="00621288" w:rsidRDefault="00BA7DF7" w:rsidP="00BA7DF7">
      <w:pPr>
        <w:spacing w:after="200"/>
        <w:rPr>
          <w:b/>
          <w:bCs/>
          <w:lang w:val="es-ES"/>
        </w:rPr>
      </w:pPr>
    </w:p>
    <w:p w:rsidR="00B93840" w:rsidRPr="00621288" w:rsidRDefault="00BA7DF7" w:rsidP="00F91221">
      <w:pPr>
        <w:widowControl w:val="0"/>
        <w:numPr>
          <w:ilvl w:val="0"/>
          <w:numId w:val="41"/>
        </w:numPr>
        <w:adjustRightInd w:val="0"/>
        <w:spacing w:after="200"/>
        <w:jc w:val="both"/>
        <w:textAlignment w:val="baseline"/>
        <w:rPr>
          <w:b/>
          <w:bCs/>
          <w:lang w:val="es-ES"/>
        </w:rPr>
      </w:pPr>
      <w:r w:rsidRPr="00621288">
        <w:rPr>
          <w:b/>
          <w:bCs/>
          <w:lang w:val="es-ES"/>
        </w:rPr>
        <w:t>Plan</w:t>
      </w:r>
      <w:r w:rsidR="00870BDA">
        <w:rPr>
          <w:b/>
          <w:bCs/>
          <w:lang w:val="es-ES"/>
        </w:rPr>
        <w:t xml:space="preserve"> </w:t>
      </w:r>
      <w:r w:rsidR="00621288">
        <w:rPr>
          <w:b/>
          <w:bCs/>
          <w:lang w:val="es-ES"/>
        </w:rPr>
        <w:t xml:space="preserve">de </w:t>
      </w:r>
      <w:r w:rsidR="00621288" w:rsidRPr="00621288">
        <w:rPr>
          <w:b/>
          <w:bCs/>
          <w:lang w:val="es-ES"/>
        </w:rPr>
        <w:t>Acción</w:t>
      </w:r>
      <w:r w:rsidR="00621288">
        <w:rPr>
          <w:b/>
          <w:bCs/>
          <w:lang w:val="es-ES"/>
        </w:rPr>
        <w:t xml:space="preserve"> de la Gestión Financiera </w:t>
      </w:r>
    </w:p>
    <w:p w:rsidR="00BA7DF7" w:rsidRPr="00C247C5" w:rsidRDefault="00C247C5" w:rsidP="00FF33C1">
      <w:pPr>
        <w:pStyle w:val="ListParagraph"/>
        <w:numPr>
          <w:ilvl w:val="0"/>
          <w:numId w:val="18"/>
        </w:numPr>
        <w:rPr>
          <w:b/>
          <w:bCs/>
          <w:lang w:val="es-NI"/>
        </w:rPr>
      </w:pPr>
      <w:r>
        <w:rPr>
          <w:lang w:val="es-ES"/>
        </w:rPr>
        <w:t xml:space="preserve">El </w:t>
      </w:r>
      <w:r w:rsidRPr="00C247C5">
        <w:rPr>
          <w:lang w:val="es-ES"/>
        </w:rPr>
        <w:t xml:space="preserve">Plan de Acción de la Gestión Financiera </w:t>
      </w:r>
      <w:r>
        <w:rPr>
          <w:lang w:val="es-ES"/>
        </w:rPr>
        <w:t>que se propone es:</w:t>
      </w:r>
    </w:p>
    <w:p w:rsidR="00B93840" w:rsidRPr="00C247C5" w:rsidRDefault="00B93840" w:rsidP="00B93840">
      <w:pPr>
        <w:widowControl w:val="0"/>
        <w:adjustRightInd w:val="0"/>
        <w:jc w:val="both"/>
        <w:textAlignment w:val="baseline"/>
        <w:rPr>
          <w:b/>
          <w:bCs/>
          <w:lang w:val="es-ES"/>
        </w:rPr>
      </w:pPr>
    </w:p>
    <w:tbl>
      <w:tblPr>
        <w:tblW w:w="9340"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8"/>
        <w:gridCol w:w="1916"/>
        <w:gridCol w:w="2336"/>
      </w:tblGrid>
      <w:tr w:rsidR="00BA7DF7" w:rsidRPr="00C247C5" w:rsidTr="00793B7A">
        <w:trPr>
          <w:jc w:val="center"/>
        </w:trPr>
        <w:tc>
          <w:tcPr>
            <w:tcW w:w="5088" w:type="dxa"/>
            <w:tcBorders>
              <w:top w:val="single" w:sz="4" w:space="0" w:color="auto"/>
              <w:left w:val="single" w:sz="4" w:space="0" w:color="auto"/>
              <w:bottom w:val="single" w:sz="4" w:space="0" w:color="auto"/>
              <w:right w:val="single" w:sz="4" w:space="0" w:color="auto"/>
            </w:tcBorders>
          </w:tcPr>
          <w:p w:rsidR="00BA7DF7" w:rsidRPr="00C247C5" w:rsidRDefault="00C247C5" w:rsidP="00793B7A">
            <w:pPr>
              <w:spacing w:after="200"/>
              <w:rPr>
                <w:b/>
                <w:sz w:val="18"/>
                <w:szCs w:val="18"/>
                <w:lang w:val="es-ES"/>
              </w:rPr>
            </w:pPr>
            <w:r w:rsidRPr="00C247C5">
              <w:rPr>
                <w:b/>
                <w:sz w:val="18"/>
                <w:szCs w:val="18"/>
                <w:lang w:val="es-ES"/>
              </w:rPr>
              <w:t>Acción</w:t>
            </w:r>
          </w:p>
        </w:tc>
        <w:tc>
          <w:tcPr>
            <w:tcW w:w="1916" w:type="dxa"/>
            <w:tcBorders>
              <w:top w:val="single" w:sz="4" w:space="0" w:color="auto"/>
              <w:left w:val="single" w:sz="4" w:space="0" w:color="auto"/>
              <w:bottom w:val="single" w:sz="4" w:space="0" w:color="auto"/>
              <w:right w:val="single" w:sz="4" w:space="0" w:color="auto"/>
            </w:tcBorders>
          </w:tcPr>
          <w:p w:rsidR="00BA7DF7" w:rsidRPr="00C247C5" w:rsidRDefault="00C247C5" w:rsidP="00793B7A">
            <w:pPr>
              <w:spacing w:after="200"/>
              <w:rPr>
                <w:b/>
                <w:sz w:val="18"/>
                <w:szCs w:val="18"/>
                <w:lang w:val="es-ES"/>
              </w:rPr>
            </w:pPr>
            <w:r>
              <w:rPr>
                <w:b/>
                <w:sz w:val="18"/>
                <w:szCs w:val="18"/>
                <w:lang w:val="es-ES"/>
              </w:rPr>
              <w:t>Responsable</w:t>
            </w:r>
          </w:p>
        </w:tc>
        <w:tc>
          <w:tcPr>
            <w:tcW w:w="2336" w:type="dxa"/>
            <w:tcBorders>
              <w:top w:val="single" w:sz="4" w:space="0" w:color="auto"/>
              <w:left w:val="single" w:sz="4" w:space="0" w:color="auto"/>
              <w:bottom w:val="single" w:sz="4" w:space="0" w:color="auto"/>
              <w:right w:val="single" w:sz="4" w:space="0" w:color="auto"/>
            </w:tcBorders>
          </w:tcPr>
          <w:p w:rsidR="00BA7DF7" w:rsidRPr="00C247C5" w:rsidRDefault="00C247C5" w:rsidP="00793B7A">
            <w:pPr>
              <w:spacing w:after="200"/>
              <w:rPr>
                <w:b/>
                <w:sz w:val="18"/>
                <w:szCs w:val="18"/>
                <w:lang w:val="es-ES"/>
              </w:rPr>
            </w:pPr>
            <w:r>
              <w:rPr>
                <w:b/>
                <w:sz w:val="18"/>
                <w:szCs w:val="18"/>
                <w:lang w:val="es-ES"/>
              </w:rPr>
              <w:t>Fecha de Finalización</w:t>
            </w:r>
          </w:p>
        </w:tc>
      </w:tr>
      <w:tr w:rsidR="00BA7DF7" w:rsidRPr="00C247C5" w:rsidTr="00793B7A">
        <w:trPr>
          <w:jc w:val="center"/>
        </w:trPr>
        <w:tc>
          <w:tcPr>
            <w:tcW w:w="5088" w:type="dxa"/>
            <w:tcBorders>
              <w:top w:val="single" w:sz="4" w:space="0" w:color="auto"/>
              <w:left w:val="single" w:sz="4" w:space="0" w:color="auto"/>
              <w:bottom w:val="single" w:sz="4" w:space="0" w:color="auto"/>
              <w:right w:val="single" w:sz="4" w:space="0" w:color="auto"/>
            </w:tcBorders>
          </w:tcPr>
          <w:p w:rsidR="00BA7DF7" w:rsidRPr="00C247C5" w:rsidRDefault="00BA7DF7" w:rsidP="00C247C5">
            <w:pPr>
              <w:spacing w:after="200"/>
              <w:rPr>
                <w:sz w:val="18"/>
                <w:szCs w:val="18"/>
                <w:lang w:val="es-ES"/>
              </w:rPr>
            </w:pPr>
            <w:r w:rsidRPr="00C247C5">
              <w:rPr>
                <w:sz w:val="18"/>
                <w:szCs w:val="18"/>
                <w:lang w:val="es-ES"/>
              </w:rPr>
              <w:t>1. Finaliz</w:t>
            </w:r>
            <w:r w:rsidR="00C247C5">
              <w:rPr>
                <w:sz w:val="18"/>
                <w:szCs w:val="18"/>
                <w:lang w:val="es-ES"/>
              </w:rPr>
              <w:t xml:space="preserve">ar las secciones de gestión financiera del Manual Operativo </w:t>
            </w:r>
          </w:p>
        </w:tc>
        <w:tc>
          <w:tcPr>
            <w:tcW w:w="1916" w:type="dxa"/>
            <w:tcBorders>
              <w:top w:val="single" w:sz="4" w:space="0" w:color="auto"/>
              <w:left w:val="single" w:sz="4" w:space="0" w:color="auto"/>
              <w:bottom w:val="single" w:sz="4" w:space="0" w:color="auto"/>
              <w:right w:val="single" w:sz="4" w:space="0" w:color="auto"/>
            </w:tcBorders>
          </w:tcPr>
          <w:p w:rsidR="00BA7DF7" w:rsidRPr="00C247C5" w:rsidRDefault="00890CA6" w:rsidP="00793B7A">
            <w:pPr>
              <w:spacing w:after="200"/>
              <w:rPr>
                <w:sz w:val="18"/>
                <w:szCs w:val="18"/>
                <w:lang w:val="es-ES"/>
              </w:rPr>
            </w:pPr>
            <w:r w:rsidRPr="00C247C5">
              <w:rPr>
                <w:sz w:val="18"/>
                <w:szCs w:val="18"/>
                <w:lang w:val="es-ES"/>
              </w:rPr>
              <w:t>UCP</w:t>
            </w:r>
            <w:r w:rsidR="004D63F7" w:rsidRPr="00C247C5">
              <w:rPr>
                <w:sz w:val="18"/>
                <w:szCs w:val="18"/>
                <w:lang w:val="es-ES"/>
              </w:rPr>
              <w:t>-PGR</w:t>
            </w:r>
          </w:p>
        </w:tc>
        <w:tc>
          <w:tcPr>
            <w:tcW w:w="2336" w:type="dxa"/>
            <w:tcBorders>
              <w:top w:val="single" w:sz="4" w:space="0" w:color="auto"/>
              <w:left w:val="single" w:sz="4" w:space="0" w:color="auto"/>
              <w:bottom w:val="single" w:sz="4" w:space="0" w:color="auto"/>
              <w:right w:val="single" w:sz="4" w:space="0" w:color="auto"/>
            </w:tcBorders>
          </w:tcPr>
          <w:p w:rsidR="00BA7DF7" w:rsidRPr="00C247C5" w:rsidRDefault="005F647C" w:rsidP="00793B7A">
            <w:pPr>
              <w:spacing w:after="200"/>
              <w:rPr>
                <w:sz w:val="18"/>
                <w:szCs w:val="18"/>
                <w:lang w:val="es-ES"/>
              </w:rPr>
            </w:pPr>
            <w:r>
              <w:rPr>
                <w:sz w:val="18"/>
                <w:szCs w:val="18"/>
                <w:lang w:val="es-ES"/>
              </w:rPr>
              <w:t>Completado</w:t>
            </w:r>
          </w:p>
        </w:tc>
      </w:tr>
      <w:tr w:rsidR="00BA7DF7" w:rsidRPr="00C247C5" w:rsidTr="00793B7A">
        <w:trPr>
          <w:jc w:val="center"/>
        </w:trPr>
        <w:tc>
          <w:tcPr>
            <w:tcW w:w="5088" w:type="dxa"/>
            <w:tcBorders>
              <w:top w:val="single" w:sz="4" w:space="0" w:color="auto"/>
              <w:left w:val="single" w:sz="4" w:space="0" w:color="auto"/>
              <w:bottom w:val="single" w:sz="4" w:space="0" w:color="auto"/>
              <w:right w:val="single" w:sz="4" w:space="0" w:color="auto"/>
            </w:tcBorders>
          </w:tcPr>
          <w:p w:rsidR="00BA7DF7" w:rsidRPr="00C247C5" w:rsidRDefault="004D63F7" w:rsidP="00C247C5">
            <w:pPr>
              <w:spacing w:after="200"/>
              <w:rPr>
                <w:sz w:val="18"/>
                <w:szCs w:val="18"/>
                <w:lang w:val="es-ES"/>
              </w:rPr>
            </w:pPr>
            <w:r w:rsidRPr="00C247C5">
              <w:rPr>
                <w:sz w:val="18"/>
                <w:szCs w:val="18"/>
                <w:lang w:val="es-ES"/>
              </w:rPr>
              <w:t>2</w:t>
            </w:r>
            <w:r w:rsidR="00BA7DF7" w:rsidRPr="00C247C5">
              <w:rPr>
                <w:sz w:val="18"/>
                <w:szCs w:val="18"/>
                <w:lang w:val="es-ES"/>
              </w:rPr>
              <w:t>. Finaliz</w:t>
            </w:r>
            <w:r w:rsidR="00C247C5">
              <w:rPr>
                <w:sz w:val="18"/>
                <w:szCs w:val="18"/>
                <w:lang w:val="es-ES"/>
              </w:rPr>
              <w:t>ar el borrador de los términos de referencia de la auditoría y preselección de firmas auditoras</w:t>
            </w:r>
          </w:p>
        </w:tc>
        <w:tc>
          <w:tcPr>
            <w:tcW w:w="1916" w:type="dxa"/>
            <w:tcBorders>
              <w:top w:val="single" w:sz="4" w:space="0" w:color="auto"/>
              <w:left w:val="single" w:sz="4" w:space="0" w:color="auto"/>
              <w:bottom w:val="single" w:sz="4" w:space="0" w:color="auto"/>
              <w:right w:val="single" w:sz="4" w:space="0" w:color="auto"/>
            </w:tcBorders>
          </w:tcPr>
          <w:p w:rsidR="00BA7DF7" w:rsidRPr="00C247C5" w:rsidRDefault="00890CA6" w:rsidP="00793B7A">
            <w:pPr>
              <w:spacing w:after="200"/>
              <w:rPr>
                <w:sz w:val="18"/>
                <w:szCs w:val="18"/>
                <w:lang w:val="es-ES"/>
              </w:rPr>
            </w:pPr>
            <w:r w:rsidRPr="00C247C5">
              <w:rPr>
                <w:sz w:val="18"/>
                <w:szCs w:val="18"/>
                <w:lang w:val="es-ES"/>
              </w:rPr>
              <w:t>UCP</w:t>
            </w:r>
            <w:r w:rsidR="004D63F7" w:rsidRPr="00C247C5">
              <w:rPr>
                <w:sz w:val="18"/>
                <w:szCs w:val="18"/>
                <w:lang w:val="es-ES"/>
              </w:rPr>
              <w:t>-PGR</w:t>
            </w:r>
          </w:p>
        </w:tc>
        <w:tc>
          <w:tcPr>
            <w:tcW w:w="2336" w:type="dxa"/>
            <w:tcBorders>
              <w:top w:val="single" w:sz="4" w:space="0" w:color="auto"/>
              <w:left w:val="single" w:sz="4" w:space="0" w:color="auto"/>
              <w:bottom w:val="single" w:sz="4" w:space="0" w:color="auto"/>
              <w:right w:val="single" w:sz="4" w:space="0" w:color="auto"/>
            </w:tcBorders>
          </w:tcPr>
          <w:p w:rsidR="00BA7DF7" w:rsidRPr="00C247C5" w:rsidRDefault="00C4075D" w:rsidP="00C4075D">
            <w:pPr>
              <w:spacing w:after="200"/>
              <w:rPr>
                <w:sz w:val="18"/>
                <w:szCs w:val="18"/>
                <w:lang w:val="es-ES"/>
              </w:rPr>
            </w:pPr>
            <w:r>
              <w:rPr>
                <w:sz w:val="18"/>
                <w:szCs w:val="18"/>
                <w:lang w:val="es-ES"/>
              </w:rPr>
              <w:t>20</w:t>
            </w:r>
            <w:r w:rsidRPr="00C4075D">
              <w:rPr>
                <w:sz w:val="18"/>
                <w:szCs w:val="18"/>
                <w:lang w:val="es-ES"/>
              </w:rPr>
              <w:t xml:space="preserve"> de </w:t>
            </w:r>
            <w:r>
              <w:rPr>
                <w:sz w:val="18"/>
                <w:szCs w:val="18"/>
                <w:lang w:val="es-ES"/>
              </w:rPr>
              <w:t>mayo</w:t>
            </w:r>
            <w:r w:rsidRPr="00C4075D">
              <w:rPr>
                <w:sz w:val="18"/>
                <w:szCs w:val="18"/>
                <w:lang w:val="es-ES"/>
              </w:rPr>
              <w:t xml:space="preserve"> del</w:t>
            </w:r>
            <w:r w:rsidR="00870BDA">
              <w:rPr>
                <w:sz w:val="18"/>
                <w:szCs w:val="18"/>
                <w:lang w:val="es-ES"/>
              </w:rPr>
              <w:t xml:space="preserve"> </w:t>
            </w:r>
            <w:r w:rsidRPr="00C4075D">
              <w:rPr>
                <w:sz w:val="18"/>
                <w:szCs w:val="18"/>
                <w:lang w:val="es-ES"/>
              </w:rPr>
              <w:t>2013</w:t>
            </w:r>
          </w:p>
        </w:tc>
      </w:tr>
      <w:tr w:rsidR="00BA7DF7" w:rsidRPr="00C247C5" w:rsidTr="00793B7A">
        <w:trPr>
          <w:jc w:val="center"/>
        </w:trPr>
        <w:tc>
          <w:tcPr>
            <w:tcW w:w="5088" w:type="dxa"/>
            <w:tcBorders>
              <w:top w:val="single" w:sz="4" w:space="0" w:color="auto"/>
              <w:left w:val="single" w:sz="4" w:space="0" w:color="auto"/>
              <w:bottom w:val="single" w:sz="4" w:space="0" w:color="auto"/>
              <w:right w:val="single" w:sz="4" w:space="0" w:color="auto"/>
            </w:tcBorders>
          </w:tcPr>
          <w:p w:rsidR="00BA7DF7" w:rsidRPr="00C247C5" w:rsidRDefault="003C4564" w:rsidP="00C4075D">
            <w:pPr>
              <w:spacing w:after="200"/>
              <w:rPr>
                <w:sz w:val="18"/>
                <w:szCs w:val="18"/>
                <w:lang w:val="es-ES"/>
              </w:rPr>
            </w:pPr>
            <w:r w:rsidRPr="00C247C5">
              <w:rPr>
                <w:sz w:val="18"/>
                <w:szCs w:val="18"/>
                <w:lang w:val="es-ES"/>
              </w:rPr>
              <w:t>3</w:t>
            </w:r>
            <w:r w:rsidR="00BA7DF7" w:rsidRPr="00C247C5">
              <w:rPr>
                <w:sz w:val="18"/>
                <w:szCs w:val="18"/>
                <w:lang w:val="es-ES"/>
              </w:rPr>
              <w:t xml:space="preserve">. </w:t>
            </w:r>
            <w:r w:rsidR="00C247C5">
              <w:rPr>
                <w:sz w:val="18"/>
                <w:szCs w:val="18"/>
                <w:lang w:val="es-ES"/>
              </w:rPr>
              <w:t>Recibir</w:t>
            </w:r>
            <w:r w:rsidR="00C4075D">
              <w:rPr>
                <w:sz w:val="18"/>
                <w:szCs w:val="18"/>
                <w:lang w:val="es-ES"/>
              </w:rPr>
              <w:t xml:space="preserve"> una capacitación “en la marcha” enfocada en el tema desembolsos.</w:t>
            </w:r>
          </w:p>
        </w:tc>
        <w:tc>
          <w:tcPr>
            <w:tcW w:w="1916" w:type="dxa"/>
            <w:tcBorders>
              <w:top w:val="single" w:sz="4" w:space="0" w:color="auto"/>
              <w:left w:val="single" w:sz="4" w:space="0" w:color="auto"/>
              <w:bottom w:val="single" w:sz="4" w:space="0" w:color="auto"/>
              <w:right w:val="single" w:sz="4" w:space="0" w:color="auto"/>
            </w:tcBorders>
          </w:tcPr>
          <w:p w:rsidR="00BA7DF7" w:rsidRPr="00C247C5" w:rsidRDefault="00C4075D" w:rsidP="00793B7A">
            <w:pPr>
              <w:spacing w:after="200"/>
              <w:rPr>
                <w:sz w:val="18"/>
                <w:szCs w:val="18"/>
                <w:lang w:val="es-ES"/>
              </w:rPr>
            </w:pPr>
            <w:r>
              <w:rPr>
                <w:sz w:val="18"/>
                <w:szCs w:val="18"/>
                <w:lang w:val="es-ES"/>
              </w:rPr>
              <w:t>Banco Mundial</w:t>
            </w:r>
          </w:p>
        </w:tc>
        <w:tc>
          <w:tcPr>
            <w:tcW w:w="2336" w:type="dxa"/>
            <w:tcBorders>
              <w:top w:val="single" w:sz="4" w:space="0" w:color="auto"/>
              <w:left w:val="single" w:sz="4" w:space="0" w:color="auto"/>
              <w:bottom w:val="single" w:sz="4" w:space="0" w:color="auto"/>
              <w:right w:val="single" w:sz="4" w:space="0" w:color="auto"/>
            </w:tcBorders>
          </w:tcPr>
          <w:p w:rsidR="00BA7DF7" w:rsidRPr="00C247C5" w:rsidRDefault="00C4075D" w:rsidP="00C4075D">
            <w:pPr>
              <w:spacing w:after="200"/>
              <w:rPr>
                <w:sz w:val="18"/>
                <w:szCs w:val="18"/>
                <w:lang w:val="es-ES"/>
              </w:rPr>
            </w:pPr>
            <w:r>
              <w:rPr>
                <w:sz w:val="18"/>
                <w:szCs w:val="18"/>
                <w:lang w:val="es-ES"/>
              </w:rPr>
              <w:t xml:space="preserve">31 de julio del </w:t>
            </w:r>
            <w:r w:rsidR="004D63F7" w:rsidRPr="00C247C5">
              <w:rPr>
                <w:sz w:val="18"/>
                <w:szCs w:val="18"/>
                <w:lang w:val="es-ES"/>
              </w:rPr>
              <w:t>2013</w:t>
            </w:r>
          </w:p>
        </w:tc>
      </w:tr>
      <w:tr w:rsidR="00BA7DF7" w:rsidRPr="00F702EF" w:rsidTr="00793B7A">
        <w:trPr>
          <w:jc w:val="center"/>
        </w:trPr>
        <w:tc>
          <w:tcPr>
            <w:tcW w:w="5088" w:type="dxa"/>
            <w:tcBorders>
              <w:top w:val="single" w:sz="4" w:space="0" w:color="auto"/>
              <w:left w:val="single" w:sz="4" w:space="0" w:color="auto"/>
              <w:bottom w:val="single" w:sz="4" w:space="0" w:color="auto"/>
              <w:right w:val="single" w:sz="4" w:space="0" w:color="auto"/>
            </w:tcBorders>
          </w:tcPr>
          <w:p w:rsidR="00BA7DF7" w:rsidRPr="00C247C5" w:rsidRDefault="003C4564" w:rsidP="00C4075D">
            <w:pPr>
              <w:rPr>
                <w:sz w:val="18"/>
                <w:szCs w:val="18"/>
                <w:lang w:val="es-ES"/>
              </w:rPr>
            </w:pPr>
            <w:r w:rsidRPr="00C247C5">
              <w:rPr>
                <w:sz w:val="18"/>
                <w:szCs w:val="18"/>
                <w:lang w:val="es-ES"/>
              </w:rPr>
              <w:t>4</w:t>
            </w:r>
            <w:r w:rsidR="00C4075D">
              <w:rPr>
                <w:sz w:val="18"/>
                <w:szCs w:val="18"/>
                <w:lang w:val="es-ES"/>
              </w:rPr>
              <w:t xml:space="preserve">. Contratar a los auditores </w:t>
            </w:r>
            <w:r w:rsidR="00BA7DF7" w:rsidRPr="00C247C5">
              <w:rPr>
                <w:sz w:val="18"/>
                <w:szCs w:val="18"/>
                <w:lang w:val="es-ES"/>
              </w:rPr>
              <w:t>extern</w:t>
            </w:r>
            <w:r w:rsidR="00C4075D">
              <w:rPr>
                <w:sz w:val="18"/>
                <w:szCs w:val="18"/>
                <w:lang w:val="es-ES"/>
              </w:rPr>
              <w:t xml:space="preserve">os de conformidad con la preselección satisfactoria ante el Banco Mundial </w:t>
            </w:r>
          </w:p>
        </w:tc>
        <w:tc>
          <w:tcPr>
            <w:tcW w:w="1916" w:type="dxa"/>
            <w:tcBorders>
              <w:top w:val="single" w:sz="4" w:space="0" w:color="auto"/>
              <w:left w:val="single" w:sz="4" w:space="0" w:color="auto"/>
              <w:bottom w:val="single" w:sz="4" w:space="0" w:color="auto"/>
              <w:right w:val="single" w:sz="4" w:space="0" w:color="auto"/>
            </w:tcBorders>
          </w:tcPr>
          <w:p w:rsidR="00BA7DF7" w:rsidRPr="00C247C5" w:rsidRDefault="00890CA6" w:rsidP="00A84C73">
            <w:pPr>
              <w:rPr>
                <w:sz w:val="18"/>
                <w:szCs w:val="18"/>
                <w:lang w:val="es-ES"/>
              </w:rPr>
            </w:pPr>
            <w:r w:rsidRPr="00C247C5">
              <w:rPr>
                <w:sz w:val="18"/>
                <w:szCs w:val="18"/>
                <w:lang w:val="es-ES"/>
              </w:rPr>
              <w:t>UCP</w:t>
            </w:r>
            <w:r w:rsidR="004D63F7" w:rsidRPr="00C247C5">
              <w:rPr>
                <w:sz w:val="18"/>
                <w:szCs w:val="18"/>
                <w:lang w:val="es-ES"/>
              </w:rPr>
              <w:t>-PGR</w:t>
            </w:r>
          </w:p>
        </w:tc>
        <w:tc>
          <w:tcPr>
            <w:tcW w:w="2336" w:type="dxa"/>
            <w:tcBorders>
              <w:top w:val="single" w:sz="4" w:space="0" w:color="auto"/>
              <w:left w:val="single" w:sz="4" w:space="0" w:color="auto"/>
              <w:bottom w:val="single" w:sz="4" w:space="0" w:color="auto"/>
              <w:right w:val="single" w:sz="4" w:space="0" w:color="auto"/>
            </w:tcBorders>
          </w:tcPr>
          <w:p w:rsidR="00BA7DF7" w:rsidRPr="00C247C5" w:rsidRDefault="00C4075D" w:rsidP="00C4075D">
            <w:pPr>
              <w:rPr>
                <w:sz w:val="18"/>
                <w:szCs w:val="18"/>
                <w:lang w:val="es-ES"/>
              </w:rPr>
            </w:pPr>
            <w:r>
              <w:rPr>
                <w:sz w:val="18"/>
                <w:szCs w:val="18"/>
                <w:lang w:val="es-ES"/>
              </w:rPr>
              <w:t xml:space="preserve">Cinco meses después de la entrada en vigor del crédito </w:t>
            </w:r>
          </w:p>
        </w:tc>
      </w:tr>
    </w:tbl>
    <w:p w:rsidR="00BA7DF7" w:rsidRPr="00C247C5" w:rsidRDefault="00BA7DF7" w:rsidP="00A84C73">
      <w:pPr>
        <w:rPr>
          <w:b/>
          <w:lang w:val="es-ES"/>
        </w:rPr>
      </w:pPr>
    </w:p>
    <w:p w:rsidR="00BA7DF7" w:rsidRPr="009E215A" w:rsidRDefault="00FE0392" w:rsidP="00F91221">
      <w:pPr>
        <w:widowControl w:val="0"/>
        <w:numPr>
          <w:ilvl w:val="0"/>
          <w:numId w:val="41"/>
        </w:numPr>
        <w:adjustRightInd w:val="0"/>
        <w:jc w:val="both"/>
        <w:textAlignment w:val="baseline"/>
        <w:rPr>
          <w:b/>
          <w:lang w:val="es-ES"/>
        </w:rPr>
      </w:pPr>
      <w:r w:rsidRPr="009E215A">
        <w:rPr>
          <w:b/>
          <w:lang w:val="es-ES"/>
        </w:rPr>
        <w:t>Plan</w:t>
      </w:r>
      <w:r w:rsidR="005F647C" w:rsidRPr="009E215A">
        <w:rPr>
          <w:b/>
          <w:lang w:val="es-ES"/>
        </w:rPr>
        <w:t xml:space="preserve"> de Supervisión Financiera del Banco Mundial </w:t>
      </w:r>
    </w:p>
    <w:p w:rsidR="00A84C73" w:rsidRPr="002302AF" w:rsidRDefault="00A84C73" w:rsidP="00A84C73">
      <w:pPr>
        <w:widowControl w:val="0"/>
        <w:adjustRightInd w:val="0"/>
        <w:ind w:left="720"/>
        <w:jc w:val="both"/>
        <w:textAlignment w:val="baseline"/>
        <w:rPr>
          <w:b/>
          <w:sz w:val="23"/>
          <w:szCs w:val="23"/>
          <w:lang w:val="es-ES"/>
        </w:rPr>
      </w:pPr>
    </w:p>
    <w:p w:rsidR="009E215A" w:rsidRPr="002302AF" w:rsidRDefault="009E215A" w:rsidP="00FF33C1">
      <w:pPr>
        <w:widowControl w:val="0"/>
        <w:numPr>
          <w:ilvl w:val="0"/>
          <w:numId w:val="18"/>
        </w:numPr>
        <w:adjustRightInd w:val="0"/>
        <w:jc w:val="both"/>
        <w:textAlignment w:val="baseline"/>
        <w:rPr>
          <w:sz w:val="23"/>
          <w:szCs w:val="23"/>
          <w:lang w:val="es-ES"/>
        </w:rPr>
      </w:pPr>
      <w:r w:rsidRPr="002302AF">
        <w:rPr>
          <w:sz w:val="23"/>
          <w:szCs w:val="23"/>
          <w:lang w:val="es-NI"/>
        </w:rPr>
        <w:t>Un</w:t>
      </w:r>
      <w:r w:rsidR="00870BDA">
        <w:rPr>
          <w:sz w:val="23"/>
          <w:szCs w:val="23"/>
          <w:lang w:val="es-NI"/>
        </w:rPr>
        <w:t>a persona</w:t>
      </w:r>
      <w:r w:rsidRPr="002302AF">
        <w:rPr>
          <w:sz w:val="23"/>
          <w:szCs w:val="23"/>
          <w:lang w:val="es-NI"/>
        </w:rPr>
        <w:t xml:space="preserve"> representante del Banco Mundial</w:t>
      </w:r>
      <w:r w:rsidR="00870BDA">
        <w:rPr>
          <w:sz w:val="23"/>
          <w:szCs w:val="23"/>
          <w:lang w:val="es-NI"/>
        </w:rPr>
        <w:t xml:space="preserve"> </w:t>
      </w:r>
      <w:r w:rsidRPr="002302AF">
        <w:rPr>
          <w:sz w:val="23"/>
          <w:szCs w:val="23"/>
          <w:lang w:val="es-NI"/>
        </w:rPr>
        <w:t>especialista en gestión financiera</w:t>
      </w:r>
      <w:r w:rsidR="00BF0A6F" w:rsidRPr="002302AF">
        <w:rPr>
          <w:sz w:val="23"/>
          <w:szCs w:val="23"/>
          <w:lang w:val="es-NI"/>
        </w:rPr>
        <w:t xml:space="preserve"> llevará a cabo una misión de supervisión antes de la entrada en vigencia del crédito para verificar la ejecución del plan de acción y revisar todos los mecanismos de gestión financiera del Proyecto. Después que haya entrado en vigor el crédito,  dich</w:t>
      </w:r>
      <w:r w:rsidR="00870BDA">
        <w:rPr>
          <w:sz w:val="23"/>
          <w:szCs w:val="23"/>
          <w:lang w:val="es-NI"/>
        </w:rPr>
        <w:t>a</w:t>
      </w:r>
      <w:r w:rsidR="00BF0A6F" w:rsidRPr="002302AF">
        <w:rPr>
          <w:sz w:val="23"/>
          <w:szCs w:val="23"/>
          <w:lang w:val="es-NI"/>
        </w:rPr>
        <w:t xml:space="preserve"> </w:t>
      </w:r>
      <w:r w:rsidR="00870BDA">
        <w:rPr>
          <w:sz w:val="23"/>
          <w:szCs w:val="23"/>
          <w:lang w:val="es-NI"/>
        </w:rPr>
        <w:t xml:space="preserve">persona </w:t>
      </w:r>
      <w:r w:rsidR="00BF0A6F" w:rsidRPr="002302AF">
        <w:rPr>
          <w:sz w:val="23"/>
          <w:szCs w:val="23"/>
          <w:lang w:val="es-NI"/>
        </w:rPr>
        <w:t xml:space="preserve">especialista revisará el informe anual de auditoría, las secciones financieras de los informes semestrales intermedios (IFR), la </w:t>
      </w:r>
      <w:r w:rsidR="00D71AEC" w:rsidRPr="002302AF">
        <w:rPr>
          <w:sz w:val="23"/>
          <w:szCs w:val="23"/>
          <w:lang w:val="es-NI"/>
        </w:rPr>
        <w:t>reconciliación</w:t>
      </w:r>
      <w:r w:rsidR="00BF0A6F" w:rsidRPr="002302AF">
        <w:rPr>
          <w:sz w:val="23"/>
          <w:szCs w:val="23"/>
          <w:lang w:val="es-NI"/>
        </w:rPr>
        <w:t xml:space="preserve"> mensual de las cuentas y realizar </w:t>
      </w:r>
      <w:r w:rsidR="00D71AEC" w:rsidRPr="002302AF">
        <w:rPr>
          <w:sz w:val="23"/>
          <w:szCs w:val="23"/>
          <w:lang w:val="es-NI"/>
        </w:rPr>
        <w:t xml:space="preserve">al menos una misión completa de supervisión una vez al año. Esta estrategia de supervisión se revisará de manera periódica y se ajustará según el desempeño y el riesgo </w:t>
      </w:r>
      <w:r w:rsidR="00D71AEC" w:rsidRPr="002302AF">
        <w:rPr>
          <w:sz w:val="23"/>
          <w:szCs w:val="23"/>
          <w:lang w:val="es-ES"/>
        </w:rPr>
        <w:t>observado.</w:t>
      </w:r>
    </w:p>
    <w:p w:rsidR="003C4564" w:rsidRPr="009F2136" w:rsidRDefault="003C4564" w:rsidP="00D71AEC">
      <w:pPr>
        <w:widowControl w:val="0"/>
        <w:adjustRightInd w:val="0"/>
        <w:jc w:val="both"/>
        <w:textAlignment w:val="baseline"/>
        <w:rPr>
          <w:lang w:val="es-ES"/>
        </w:rPr>
      </w:pPr>
    </w:p>
    <w:p w:rsidR="00BA7DF7" w:rsidRPr="009F2136" w:rsidRDefault="00D71AEC" w:rsidP="00F91221">
      <w:pPr>
        <w:pStyle w:val="ListParagraph"/>
        <w:widowControl w:val="0"/>
        <w:numPr>
          <w:ilvl w:val="0"/>
          <w:numId w:val="41"/>
        </w:numPr>
        <w:adjustRightInd w:val="0"/>
        <w:jc w:val="both"/>
        <w:textAlignment w:val="baseline"/>
        <w:rPr>
          <w:b/>
          <w:lang w:val="es-ES"/>
        </w:rPr>
      </w:pPr>
      <w:r w:rsidRPr="009F2136">
        <w:rPr>
          <w:b/>
          <w:lang w:val="es-ES"/>
        </w:rPr>
        <w:t xml:space="preserve">Mecanismos de Desembolsos del Componente Contingente de Respuestas a Emergencias </w:t>
      </w:r>
      <w:r w:rsidR="00BA7DF7" w:rsidRPr="009F2136">
        <w:rPr>
          <w:b/>
          <w:lang w:val="es-ES"/>
        </w:rPr>
        <w:t>(</w:t>
      </w:r>
      <w:r w:rsidR="009F73F5" w:rsidRPr="009F2136">
        <w:rPr>
          <w:b/>
          <w:lang w:val="es-ES"/>
        </w:rPr>
        <w:t xml:space="preserve">CERC - </w:t>
      </w:r>
      <w:r w:rsidR="00237729" w:rsidRPr="009F2136">
        <w:rPr>
          <w:b/>
          <w:lang w:val="es-ES"/>
        </w:rPr>
        <w:t>Componente</w:t>
      </w:r>
      <w:r w:rsidR="00CD685A" w:rsidRPr="009F2136">
        <w:rPr>
          <w:b/>
          <w:lang w:val="es-ES"/>
        </w:rPr>
        <w:t xml:space="preserve"> 5</w:t>
      </w:r>
      <w:r w:rsidR="00BA7DF7" w:rsidRPr="009F2136">
        <w:rPr>
          <w:b/>
          <w:lang w:val="es-ES"/>
        </w:rPr>
        <w:t>)</w:t>
      </w:r>
    </w:p>
    <w:p w:rsidR="00BA7DF7" w:rsidRPr="002302AF" w:rsidRDefault="00BA7DF7" w:rsidP="00BA7DF7">
      <w:pPr>
        <w:rPr>
          <w:sz w:val="23"/>
          <w:szCs w:val="23"/>
          <w:lang w:val="es-ES"/>
        </w:rPr>
      </w:pPr>
    </w:p>
    <w:p w:rsidR="00322990" w:rsidRPr="002302AF" w:rsidRDefault="009F2136" w:rsidP="002302AF">
      <w:pPr>
        <w:pStyle w:val="ListParagraph"/>
        <w:widowControl w:val="0"/>
        <w:numPr>
          <w:ilvl w:val="0"/>
          <w:numId w:val="18"/>
        </w:numPr>
        <w:adjustRightInd w:val="0"/>
        <w:jc w:val="both"/>
        <w:textAlignment w:val="baseline"/>
        <w:rPr>
          <w:sz w:val="23"/>
          <w:szCs w:val="23"/>
          <w:lang w:val="es-ES"/>
        </w:rPr>
      </w:pPr>
      <w:r w:rsidRPr="002302AF">
        <w:rPr>
          <w:sz w:val="23"/>
          <w:szCs w:val="23"/>
          <w:lang w:val="es-ES"/>
        </w:rPr>
        <w:t>Los mecanismos de ejecución del CERC aparecen detallados en el Manual Operativo correspondiente (ver</w:t>
      </w:r>
      <w:r w:rsidR="00FE2755">
        <w:rPr>
          <w:sz w:val="23"/>
          <w:szCs w:val="23"/>
          <w:lang w:val="es-ES"/>
        </w:rPr>
        <w:t xml:space="preserve"> </w:t>
      </w:r>
      <w:r w:rsidR="005B6CFA" w:rsidRPr="002302AF">
        <w:rPr>
          <w:sz w:val="23"/>
          <w:szCs w:val="23"/>
          <w:lang w:val="es-ES"/>
        </w:rPr>
        <w:t>Anexo</w:t>
      </w:r>
      <w:r w:rsidR="00BA7DF7" w:rsidRPr="002302AF">
        <w:rPr>
          <w:sz w:val="23"/>
          <w:szCs w:val="23"/>
          <w:lang w:val="es-ES"/>
        </w:rPr>
        <w:t xml:space="preserve"> 7 </w:t>
      </w:r>
      <w:r w:rsidRPr="002302AF">
        <w:rPr>
          <w:sz w:val="23"/>
          <w:szCs w:val="23"/>
          <w:lang w:val="es-ES"/>
        </w:rPr>
        <w:t>para mayores detalles).</w:t>
      </w:r>
      <w:r w:rsidR="00E147BE">
        <w:rPr>
          <w:sz w:val="23"/>
          <w:szCs w:val="23"/>
          <w:lang w:val="es-ES"/>
        </w:rPr>
        <w:t xml:space="preserve"> </w:t>
      </w:r>
      <w:r w:rsidRPr="002302AF">
        <w:rPr>
          <w:sz w:val="23"/>
          <w:szCs w:val="23"/>
          <w:lang w:val="es-ES"/>
        </w:rPr>
        <w:t>Este</w:t>
      </w:r>
      <w:r w:rsidR="00FE2755">
        <w:rPr>
          <w:sz w:val="23"/>
          <w:szCs w:val="23"/>
          <w:lang w:val="es-ES"/>
        </w:rPr>
        <w:t xml:space="preserve"> </w:t>
      </w:r>
      <w:r w:rsidR="00237729" w:rsidRPr="002302AF">
        <w:rPr>
          <w:sz w:val="23"/>
          <w:szCs w:val="23"/>
          <w:lang w:val="es-ES"/>
        </w:rPr>
        <w:t>Componente</w:t>
      </w:r>
      <w:r w:rsidRPr="002302AF">
        <w:rPr>
          <w:sz w:val="23"/>
          <w:szCs w:val="23"/>
          <w:lang w:val="es-ES"/>
        </w:rPr>
        <w:t xml:space="preserve"> financiará los gastos del sector público y privado incurridos en una lista positiva de bienes nacionales e importados y/u obras, bienes, servicios (costos de auditoría) y costos operativos de emergencias requeridos para que Nicaragua enfrente una situación de emer</w:t>
      </w:r>
      <w:r w:rsidR="003D443B" w:rsidRPr="002302AF">
        <w:rPr>
          <w:sz w:val="23"/>
          <w:szCs w:val="23"/>
          <w:lang w:val="es-ES"/>
        </w:rPr>
        <w:t>gencia</w:t>
      </w:r>
      <w:r w:rsidRPr="002302AF">
        <w:rPr>
          <w:sz w:val="23"/>
          <w:szCs w:val="23"/>
          <w:lang w:val="es-ES"/>
        </w:rPr>
        <w:t>.</w:t>
      </w:r>
      <w:r w:rsidR="003D443B" w:rsidRPr="002302AF">
        <w:rPr>
          <w:sz w:val="23"/>
          <w:szCs w:val="23"/>
          <w:lang w:val="es-ES"/>
        </w:rPr>
        <w:t xml:space="preserve"> Estos gastos deberán cumplir con lo establecido en la política </w:t>
      </w:r>
      <w:r w:rsidR="00B534BF" w:rsidRPr="002302AF">
        <w:rPr>
          <w:sz w:val="23"/>
          <w:szCs w:val="23"/>
          <w:lang w:val="es-ES"/>
        </w:rPr>
        <w:t>OP</w:t>
      </w:r>
      <w:r w:rsidR="00FE2755">
        <w:rPr>
          <w:sz w:val="23"/>
          <w:szCs w:val="23"/>
          <w:lang w:val="es-ES"/>
        </w:rPr>
        <w:t xml:space="preserve"> </w:t>
      </w:r>
      <w:r w:rsidR="00B534BF" w:rsidRPr="002302AF">
        <w:rPr>
          <w:sz w:val="23"/>
          <w:szCs w:val="23"/>
          <w:lang w:val="es-ES"/>
        </w:rPr>
        <w:t xml:space="preserve">8.00 </w:t>
      </w:r>
      <w:r w:rsidR="00FF357C" w:rsidRPr="002302AF">
        <w:rPr>
          <w:sz w:val="23"/>
          <w:szCs w:val="23"/>
          <w:lang w:val="es-ES"/>
        </w:rPr>
        <w:t>y</w:t>
      </w:r>
      <w:r w:rsidR="00FE2755">
        <w:rPr>
          <w:sz w:val="23"/>
          <w:szCs w:val="23"/>
          <w:lang w:val="es-ES"/>
        </w:rPr>
        <w:t xml:space="preserve"> </w:t>
      </w:r>
      <w:r w:rsidR="003D443B" w:rsidRPr="002302AF">
        <w:rPr>
          <w:sz w:val="23"/>
          <w:szCs w:val="23"/>
          <w:lang w:val="es-ES"/>
        </w:rPr>
        <w:t xml:space="preserve">se someterán a la evaluación, revisión y aprobación del Banco Mundial antes de </w:t>
      </w:r>
      <w:r w:rsidR="00315670" w:rsidRPr="002302AF">
        <w:rPr>
          <w:sz w:val="23"/>
          <w:szCs w:val="23"/>
          <w:lang w:val="es-ES"/>
        </w:rPr>
        <w:lastRenderedPageBreak/>
        <w:t>realizar un desembolso.</w:t>
      </w:r>
    </w:p>
    <w:p w:rsidR="002302AF" w:rsidRPr="002302AF" w:rsidRDefault="002302AF" w:rsidP="002302AF">
      <w:pPr>
        <w:pStyle w:val="ListParagraph"/>
        <w:widowControl w:val="0"/>
        <w:adjustRightInd w:val="0"/>
        <w:ind w:left="0"/>
        <w:jc w:val="both"/>
        <w:textAlignment w:val="baseline"/>
        <w:rPr>
          <w:lang w:val="es-ES"/>
        </w:rPr>
      </w:pPr>
    </w:p>
    <w:p w:rsidR="00B226FC" w:rsidRPr="005F647C" w:rsidRDefault="008D01B9" w:rsidP="00BA1503">
      <w:pPr>
        <w:pStyle w:val="ListParagraph"/>
        <w:spacing w:after="200" w:line="276" w:lineRule="auto"/>
        <w:ind w:left="0"/>
        <w:rPr>
          <w:b/>
          <w:lang w:val="es-ES"/>
        </w:rPr>
      </w:pPr>
      <w:r w:rsidRPr="005F647C">
        <w:rPr>
          <w:b/>
          <w:lang w:val="es-ES"/>
        </w:rPr>
        <w:t>III.</w:t>
      </w:r>
      <w:r w:rsidRPr="005F647C">
        <w:rPr>
          <w:b/>
          <w:lang w:val="es-ES"/>
        </w:rPr>
        <w:tab/>
      </w:r>
      <w:r w:rsidR="00315670">
        <w:rPr>
          <w:b/>
          <w:lang w:val="es-ES"/>
        </w:rPr>
        <w:t>Mecanismos de Adquisiciones</w:t>
      </w:r>
    </w:p>
    <w:p w:rsidR="00C5406D" w:rsidRPr="00E8675E" w:rsidRDefault="00C5406D" w:rsidP="00C5406D">
      <w:pPr>
        <w:pStyle w:val="ListParagraph"/>
        <w:ind w:left="0"/>
        <w:rPr>
          <w:b/>
          <w:lang w:val="es-ES"/>
        </w:rPr>
      </w:pPr>
    </w:p>
    <w:p w:rsidR="00C5406D" w:rsidRPr="00E8675E" w:rsidRDefault="00C5406D" w:rsidP="00C5406D">
      <w:pPr>
        <w:ind w:firstLine="720"/>
        <w:rPr>
          <w:b/>
          <w:bCs/>
          <w:lang w:val="es-ES"/>
        </w:rPr>
      </w:pPr>
      <w:r w:rsidRPr="00E8675E">
        <w:rPr>
          <w:b/>
          <w:bCs/>
          <w:lang w:val="es-ES"/>
        </w:rPr>
        <w:t>A.</w:t>
      </w:r>
      <w:r w:rsidRPr="00E8675E">
        <w:rPr>
          <w:b/>
          <w:bCs/>
          <w:lang w:val="es-ES"/>
        </w:rPr>
        <w:tab/>
        <w:t>General</w:t>
      </w:r>
      <w:r w:rsidR="00315670" w:rsidRPr="00E8675E">
        <w:rPr>
          <w:b/>
          <w:bCs/>
          <w:lang w:val="es-ES"/>
        </w:rPr>
        <w:t>idades</w:t>
      </w:r>
    </w:p>
    <w:p w:rsidR="00C5406D" w:rsidRPr="002302AF" w:rsidRDefault="00C5406D" w:rsidP="00C5406D">
      <w:pPr>
        <w:rPr>
          <w:b/>
          <w:bCs/>
          <w:sz w:val="23"/>
          <w:szCs w:val="23"/>
          <w:lang w:val="es-ES"/>
        </w:rPr>
      </w:pPr>
    </w:p>
    <w:p w:rsidR="003B1E47" w:rsidRPr="002302AF" w:rsidRDefault="00E8675E" w:rsidP="00FF33C1">
      <w:pPr>
        <w:pStyle w:val="ListParagraph"/>
        <w:numPr>
          <w:ilvl w:val="0"/>
          <w:numId w:val="18"/>
        </w:numPr>
        <w:autoSpaceDE w:val="0"/>
        <w:autoSpaceDN w:val="0"/>
        <w:adjustRightInd w:val="0"/>
        <w:jc w:val="both"/>
        <w:rPr>
          <w:sz w:val="23"/>
          <w:szCs w:val="23"/>
          <w:lang w:val="es-ES"/>
        </w:rPr>
      </w:pPr>
      <w:r w:rsidRPr="002302AF">
        <w:rPr>
          <w:sz w:val="23"/>
          <w:szCs w:val="23"/>
          <w:lang w:val="es-ES"/>
        </w:rPr>
        <w:t xml:space="preserve">Las </w:t>
      </w:r>
      <w:r w:rsidR="003B1E47" w:rsidRPr="002302AF">
        <w:rPr>
          <w:sz w:val="23"/>
          <w:szCs w:val="23"/>
          <w:lang w:val="es-ES"/>
        </w:rPr>
        <w:t>adquisiciones</w:t>
      </w:r>
      <w:r w:rsidR="003B1E47" w:rsidRPr="002302AF">
        <w:rPr>
          <w:sz w:val="23"/>
          <w:szCs w:val="23"/>
          <w:lang w:val="es-NI"/>
        </w:rPr>
        <w:t xml:space="preserve"> del Proyecto propuesto se llevarán a cabo</w:t>
      </w:r>
      <w:r w:rsidR="00F41B3B" w:rsidRPr="002302AF">
        <w:rPr>
          <w:sz w:val="23"/>
          <w:szCs w:val="23"/>
          <w:lang w:val="es-NI"/>
        </w:rPr>
        <w:t xml:space="preserve"> de conformidad con lo estipulado en las “Normas: Adquisiciones de Bienes, Obras y Servicios distintos a los de Consultoría con Préstamos del BIRF, Créditos de la AIF y Donaciones por Prestatarios del Banco Mundial” y con las “Normas: Selección y Contratación de Consultores con Préstamos del BIRF, Créditos y Donaciones del Banco Mundial por Prestatarios del Banco Mundial”, ambas versiones de enero del 2011, así como con las disposiciones del Acuerdo Financiero. Por cada contrato que se financiará con el crédito, </w:t>
      </w:r>
      <w:r w:rsidR="00D12742" w:rsidRPr="002302AF">
        <w:rPr>
          <w:sz w:val="23"/>
          <w:szCs w:val="23"/>
          <w:lang w:val="es-NI"/>
        </w:rPr>
        <w:t>tanto el Prestatario como el Banco Mundial deberán consensuar y dejar reflejado en el Plan de Adquisiciones los diversos métodos de adquisiciones o de contratación de consultores, la necesidad de precalificar a los candidatos, la estimación de costos, los requisitos de revisión a priori y el tiempo de ejecución.</w:t>
      </w:r>
    </w:p>
    <w:p w:rsidR="00C57A0F" w:rsidRPr="002302AF" w:rsidRDefault="00C57A0F" w:rsidP="00C57A0F">
      <w:pPr>
        <w:tabs>
          <w:tab w:val="left" w:pos="720"/>
        </w:tabs>
        <w:rPr>
          <w:bCs/>
          <w:sz w:val="23"/>
          <w:szCs w:val="23"/>
          <w:lang w:val="es-ES"/>
        </w:rPr>
      </w:pPr>
    </w:p>
    <w:p w:rsidR="00D12742" w:rsidRPr="002302AF" w:rsidRDefault="00D12742" w:rsidP="00FF33C1">
      <w:pPr>
        <w:numPr>
          <w:ilvl w:val="0"/>
          <w:numId w:val="18"/>
        </w:numPr>
        <w:jc w:val="both"/>
        <w:rPr>
          <w:bCs/>
          <w:sz w:val="23"/>
          <w:szCs w:val="23"/>
          <w:lang w:val="es-ES"/>
        </w:rPr>
      </w:pPr>
      <w:r w:rsidRPr="002302AF">
        <w:rPr>
          <w:b/>
          <w:bCs/>
          <w:sz w:val="23"/>
          <w:szCs w:val="23"/>
          <w:lang w:val="es-ES"/>
        </w:rPr>
        <w:t>Obras</w:t>
      </w:r>
      <w:r w:rsidR="004B22D5" w:rsidRPr="002302AF">
        <w:rPr>
          <w:b/>
          <w:bCs/>
          <w:sz w:val="23"/>
          <w:szCs w:val="23"/>
          <w:lang w:val="es-ES"/>
        </w:rPr>
        <w:t>.</w:t>
      </w:r>
      <w:r w:rsidR="00FE2755">
        <w:rPr>
          <w:b/>
          <w:bCs/>
          <w:sz w:val="23"/>
          <w:szCs w:val="23"/>
          <w:lang w:val="es-ES"/>
        </w:rPr>
        <w:t xml:space="preserve"> </w:t>
      </w:r>
      <w:r w:rsidRPr="002302AF">
        <w:rPr>
          <w:bCs/>
          <w:sz w:val="23"/>
          <w:szCs w:val="23"/>
          <w:lang w:val="es-ES"/>
        </w:rPr>
        <w:t>Se espera que la</w:t>
      </w:r>
      <w:r w:rsidR="00FE2755">
        <w:rPr>
          <w:bCs/>
          <w:sz w:val="23"/>
          <w:szCs w:val="23"/>
          <w:lang w:val="es-ES"/>
        </w:rPr>
        <w:t xml:space="preserve"> </w:t>
      </w:r>
      <w:r w:rsidRPr="002302AF">
        <w:rPr>
          <w:bCs/>
          <w:sz w:val="23"/>
          <w:szCs w:val="23"/>
          <w:lang w:val="es-ES"/>
        </w:rPr>
        <w:t>operación</w:t>
      </w:r>
      <w:r w:rsidR="00FE2755">
        <w:rPr>
          <w:bCs/>
          <w:sz w:val="23"/>
          <w:szCs w:val="23"/>
          <w:lang w:val="es-ES"/>
        </w:rPr>
        <w:t xml:space="preserve"> </w:t>
      </w:r>
      <w:r w:rsidRPr="002302AF">
        <w:rPr>
          <w:bCs/>
          <w:sz w:val="23"/>
          <w:szCs w:val="23"/>
          <w:lang w:val="es-ES"/>
        </w:rPr>
        <w:t xml:space="preserve">propuesta no financie ninguna construcción nueva. Sin embargo, se contemplan obras </w:t>
      </w:r>
      <w:r w:rsidR="005B6C73" w:rsidRPr="002302AF">
        <w:rPr>
          <w:bCs/>
          <w:sz w:val="23"/>
          <w:szCs w:val="23"/>
          <w:lang w:val="es-ES"/>
        </w:rPr>
        <w:t>me</w:t>
      </w:r>
      <w:r w:rsidR="00FE2755">
        <w:rPr>
          <w:bCs/>
          <w:sz w:val="23"/>
          <w:szCs w:val="23"/>
          <w:lang w:val="es-ES"/>
        </w:rPr>
        <w:t>n</w:t>
      </w:r>
      <w:r w:rsidR="005B6C73" w:rsidRPr="002302AF">
        <w:rPr>
          <w:bCs/>
          <w:sz w:val="23"/>
          <w:szCs w:val="23"/>
          <w:lang w:val="es-ES"/>
        </w:rPr>
        <w:t>ores</w:t>
      </w:r>
      <w:r w:rsidRPr="002302AF">
        <w:rPr>
          <w:bCs/>
          <w:sz w:val="23"/>
          <w:szCs w:val="23"/>
          <w:lang w:val="es-ES"/>
        </w:rPr>
        <w:t xml:space="preserve"> de rehabilitación de oficinas de algunas agencias co-ejecutoras </w:t>
      </w:r>
      <w:r w:rsidR="005B6C73" w:rsidRPr="002302AF">
        <w:rPr>
          <w:bCs/>
          <w:sz w:val="23"/>
          <w:szCs w:val="23"/>
          <w:lang w:val="es-ES"/>
        </w:rPr>
        <w:t>así como trabajos de demarcación. Las obras se contratarán mediante pliegos estándares de licitación nacional (SBD) acordados o aceptables para el Banco Mundial o bien mediante compras según los</w:t>
      </w:r>
      <w:r w:rsidR="005B6C73" w:rsidRPr="002302AF">
        <w:rPr>
          <w:sz w:val="23"/>
          <w:szCs w:val="23"/>
          <w:lang w:val="es-ES"/>
        </w:rPr>
        <w:t xml:space="preserve"> procedimientos estipulados en el párrafo 3.5 de las Normas de Adquisición de Bienes mediante solicitudes de cotizaciones aceptables y acordados con el Banco Mundial.</w:t>
      </w:r>
    </w:p>
    <w:p w:rsidR="00C57A0F" w:rsidRPr="002302AF" w:rsidRDefault="00C57A0F" w:rsidP="00C57A0F">
      <w:pPr>
        <w:tabs>
          <w:tab w:val="left" w:pos="720"/>
        </w:tabs>
        <w:rPr>
          <w:bCs/>
          <w:sz w:val="23"/>
          <w:szCs w:val="23"/>
          <w:lang w:val="es-ES"/>
        </w:rPr>
      </w:pPr>
    </w:p>
    <w:p w:rsidR="001C7178" w:rsidRPr="002302AF" w:rsidRDefault="005B6C73" w:rsidP="00FF33C1">
      <w:pPr>
        <w:numPr>
          <w:ilvl w:val="0"/>
          <w:numId w:val="18"/>
        </w:numPr>
        <w:jc w:val="both"/>
        <w:rPr>
          <w:bCs/>
          <w:sz w:val="23"/>
          <w:szCs w:val="23"/>
          <w:lang w:val="es-ES"/>
        </w:rPr>
      </w:pPr>
      <w:r w:rsidRPr="002302AF">
        <w:rPr>
          <w:b/>
          <w:bCs/>
          <w:sz w:val="23"/>
          <w:szCs w:val="23"/>
          <w:lang w:val="es-ES"/>
        </w:rPr>
        <w:t>Bienes</w:t>
      </w:r>
      <w:r w:rsidR="004B22D5" w:rsidRPr="002302AF">
        <w:rPr>
          <w:b/>
          <w:bCs/>
          <w:sz w:val="23"/>
          <w:szCs w:val="23"/>
          <w:lang w:val="es-ES"/>
        </w:rPr>
        <w:t>.</w:t>
      </w:r>
      <w:r w:rsidR="00FE2755">
        <w:rPr>
          <w:b/>
          <w:bCs/>
          <w:sz w:val="23"/>
          <w:szCs w:val="23"/>
          <w:lang w:val="es-ES"/>
        </w:rPr>
        <w:t xml:space="preserve"> </w:t>
      </w:r>
      <w:r w:rsidRPr="002302AF">
        <w:rPr>
          <w:bCs/>
          <w:sz w:val="23"/>
          <w:szCs w:val="23"/>
          <w:lang w:val="es-ES"/>
        </w:rPr>
        <w:t>Los bienes a adquirir como parte del Proyecto son a título indicativo vehículos, motocicletas, equipos de computación, programas, imágenes satelital</w:t>
      </w:r>
      <w:r w:rsidR="00FE2755">
        <w:rPr>
          <w:bCs/>
          <w:sz w:val="23"/>
          <w:szCs w:val="23"/>
          <w:lang w:val="es-ES"/>
        </w:rPr>
        <w:t>es</w:t>
      </w:r>
      <w:r w:rsidRPr="002302AF">
        <w:rPr>
          <w:bCs/>
          <w:sz w:val="23"/>
          <w:szCs w:val="23"/>
          <w:lang w:val="es-ES"/>
        </w:rPr>
        <w:t xml:space="preserve">, </w:t>
      </w:r>
      <w:r w:rsidR="002A0D30" w:rsidRPr="002302AF">
        <w:rPr>
          <w:bCs/>
          <w:sz w:val="23"/>
          <w:szCs w:val="23"/>
          <w:lang w:val="es-ES"/>
        </w:rPr>
        <w:t>equipo de oficina (Ej. escáneres,  fotocopiadoras, data shows, sistemas telefónicos, cámaras digitales, etc.</w:t>
      </w:r>
      <w:r w:rsidR="00C57A0F" w:rsidRPr="002302AF">
        <w:rPr>
          <w:bCs/>
          <w:sz w:val="23"/>
          <w:szCs w:val="23"/>
          <w:lang w:val="es-ES"/>
        </w:rPr>
        <w:t xml:space="preserve">), </w:t>
      </w:r>
      <w:r w:rsidR="002A0D30" w:rsidRPr="002302AF">
        <w:rPr>
          <w:bCs/>
          <w:sz w:val="23"/>
          <w:szCs w:val="23"/>
          <w:lang w:val="es-ES"/>
        </w:rPr>
        <w:t xml:space="preserve">equipo de laboratorio y mobiliario (Ej. escritorios, sillas, libreros, etc.). Los pliegos estándares del Banco Mundial se emplearán para </w:t>
      </w:r>
      <w:r w:rsidR="00700BDA" w:rsidRPr="002302AF">
        <w:rPr>
          <w:bCs/>
          <w:sz w:val="23"/>
          <w:szCs w:val="23"/>
          <w:lang w:val="es-ES"/>
        </w:rPr>
        <w:t>las Licitaciones</w:t>
      </w:r>
      <w:r w:rsidR="002A0D30" w:rsidRPr="002302AF">
        <w:rPr>
          <w:bCs/>
          <w:sz w:val="23"/>
          <w:szCs w:val="23"/>
          <w:lang w:val="es-ES"/>
        </w:rPr>
        <w:t xml:space="preserve"> Pública</w:t>
      </w:r>
      <w:r w:rsidR="00700BDA" w:rsidRPr="002302AF">
        <w:rPr>
          <w:bCs/>
          <w:sz w:val="23"/>
          <w:szCs w:val="23"/>
          <w:lang w:val="es-ES"/>
        </w:rPr>
        <w:t>s</w:t>
      </w:r>
      <w:r w:rsidR="002A0D30" w:rsidRPr="002302AF">
        <w:rPr>
          <w:bCs/>
          <w:sz w:val="23"/>
          <w:szCs w:val="23"/>
          <w:lang w:val="es-ES"/>
        </w:rPr>
        <w:t xml:space="preserve"> Internacional</w:t>
      </w:r>
      <w:r w:rsidR="00700BDA" w:rsidRPr="002302AF">
        <w:rPr>
          <w:bCs/>
          <w:sz w:val="23"/>
          <w:szCs w:val="23"/>
          <w:lang w:val="es-ES"/>
        </w:rPr>
        <w:t>es</w:t>
      </w:r>
      <w:r w:rsidR="001C7178" w:rsidRPr="002302AF">
        <w:rPr>
          <w:bCs/>
          <w:sz w:val="23"/>
          <w:szCs w:val="23"/>
          <w:lang w:val="es-ES"/>
        </w:rPr>
        <w:t xml:space="preserve"> (LPI) mientras que los </w:t>
      </w:r>
      <w:r w:rsidR="00700BDA" w:rsidRPr="002302AF">
        <w:rPr>
          <w:bCs/>
          <w:sz w:val="23"/>
          <w:szCs w:val="23"/>
          <w:lang w:val="es-ES"/>
        </w:rPr>
        <w:t>carteles</w:t>
      </w:r>
      <w:r w:rsidR="001C7178" w:rsidRPr="002302AF">
        <w:rPr>
          <w:bCs/>
          <w:sz w:val="23"/>
          <w:szCs w:val="23"/>
          <w:lang w:val="es-ES"/>
        </w:rPr>
        <w:t xml:space="preserve"> nacionales se aplicarán a todos los procesos de Licitación Pública Nacional (LPN). </w:t>
      </w:r>
      <w:r w:rsidR="001C7178" w:rsidRPr="002302AF">
        <w:rPr>
          <w:bCs/>
          <w:sz w:val="23"/>
          <w:szCs w:val="23"/>
          <w:lang w:val="es-NI"/>
        </w:rPr>
        <w:t>En el caso de bienes de valor</w:t>
      </w:r>
      <w:r w:rsidR="00F4435E" w:rsidRPr="002302AF">
        <w:rPr>
          <w:bCs/>
          <w:sz w:val="23"/>
          <w:szCs w:val="23"/>
          <w:lang w:val="es-NI"/>
        </w:rPr>
        <w:t xml:space="preserve"> menor</w:t>
      </w:r>
      <w:r w:rsidR="001C7178" w:rsidRPr="002302AF">
        <w:rPr>
          <w:bCs/>
          <w:sz w:val="23"/>
          <w:szCs w:val="23"/>
          <w:lang w:val="es-NI"/>
        </w:rPr>
        <w:t xml:space="preserve">, se emplearán los procedimientos de compras a través de solicitudes de cotizaciones aceptables y acordadas con el </w:t>
      </w:r>
      <w:r w:rsidR="001C7178" w:rsidRPr="002302AF">
        <w:rPr>
          <w:bCs/>
          <w:sz w:val="23"/>
          <w:szCs w:val="23"/>
          <w:lang w:val="es-ES"/>
        </w:rPr>
        <w:t>Banco Mundial y de conformidad con lo estipulado en el párrafo 3.5 de las Normas de Adquisiciones.</w:t>
      </w:r>
    </w:p>
    <w:p w:rsidR="00C57A0F" w:rsidRPr="002302AF" w:rsidRDefault="00C57A0F" w:rsidP="00C57A0F">
      <w:pPr>
        <w:pStyle w:val="ListParagraph"/>
        <w:rPr>
          <w:b/>
          <w:sz w:val="23"/>
          <w:szCs w:val="23"/>
          <w:lang w:val="es-ES"/>
        </w:rPr>
      </w:pPr>
    </w:p>
    <w:p w:rsidR="00B262A5" w:rsidRPr="002302AF" w:rsidRDefault="00C57A0F" w:rsidP="00FF33C1">
      <w:pPr>
        <w:numPr>
          <w:ilvl w:val="0"/>
          <w:numId w:val="18"/>
        </w:numPr>
        <w:jc w:val="both"/>
        <w:rPr>
          <w:bCs/>
          <w:sz w:val="23"/>
          <w:szCs w:val="23"/>
          <w:lang w:val="es-ES"/>
        </w:rPr>
      </w:pPr>
      <w:r w:rsidRPr="002302AF">
        <w:rPr>
          <w:b/>
          <w:bCs/>
          <w:sz w:val="23"/>
          <w:szCs w:val="23"/>
          <w:lang w:val="es-ES"/>
        </w:rPr>
        <w:t>Servic</w:t>
      </w:r>
      <w:r w:rsidR="00477F41" w:rsidRPr="002302AF">
        <w:rPr>
          <w:b/>
          <w:bCs/>
          <w:sz w:val="23"/>
          <w:szCs w:val="23"/>
          <w:lang w:val="es-ES"/>
        </w:rPr>
        <w:t>ios Distintos a los de Consultoría</w:t>
      </w:r>
      <w:r w:rsidR="004B22D5" w:rsidRPr="002302AF">
        <w:rPr>
          <w:bCs/>
          <w:sz w:val="23"/>
          <w:szCs w:val="23"/>
          <w:lang w:val="es-ES"/>
        </w:rPr>
        <w:t>.</w:t>
      </w:r>
      <w:r w:rsidR="00FE2755">
        <w:rPr>
          <w:bCs/>
          <w:sz w:val="23"/>
          <w:szCs w:val="23"/>
          <w:lang w:val="es-ES"/>
        </w:rPr>
        <w:t xml:space="preserve"> </w:t>
      </w:r>
      <w:r w:rsidR="00477F41" w:rsidRPr="002302AF">
        <w:rPr>
          <w:bCs/>
          <w:sz w:val="23"/>
          <w:szCs w:val="23"/>
          <w:lang w:val="es-ES"/>
        </w:rPr>
        <w:t>Los</w:t>
      </w:r>
      <w:r w:rsidRPr="002302AF">
        <w:rPr>
          <w:bCs/>
          <w:sz w:val="23"/>
          <w:szCs w:val="23"/>
          <w:lang w:val="es-ES"/>
        </w:rPr>
        <w:t xml:space="preserve"> servic</w:t>
      </w:r>
      <w:r w:rsidR="00477F41" w:rsidRPr="002302AF">
        <w:rPr>
          <w:bCs/>
          <w:sz w:val="23"/>
          <w:szCs w:val="23"/>
          <w:lang w:val="es-ES"/>
        </w:rPr>
        <w:t>ios</w:t>
      </w:r>
      <w:r w:rsidR="00B262A5" w:rsidRPr="002302AF">
        <w:rPr>
          <w:bCs/>
          <w:sz w:val="23"/>
          <w:szCs w:val="23"/>
          <w:lang w:val="es-ES"/>
        </w:rPr>
        <w:t xml:space="preserve"> ofrecidos por las firmas en relación con fotografías aéreas, levantamiento topográfico, barrido catastral, </w:t>
      </w:r>
      <w:r w:rsidR="00700BDA" w:rsidRPr="002302AF">
        <w:rPr>
          <w:bCs/>
          <w:sz w:val="23"/>
          <w:szCs w:val="23"/>
          <w:lang w:val="es-ES"/>
        </w:rPr>
        <w:t>publicaciones</w:t>
      </w:r>
      <w:r w:rsidR="00B262A5" w:rsidRPr="002302AF">
        <w:rPr>
          <w:bCs/>
          <w:sz w:val="23"/>
          <w:szCs w:val="23"/>
          <w:lang w:val="es-ES"/>
        </w:rPr>
        <w:t xml:space="preserve"> y comunicaciones se adquirirán como servicios distintos a los de consultoría.</w:t>
      </w:r>
      <w:r w:rsidR="00700BDA" w:rsidRPr="002302AF">
        <w:rPr>
          <w:bCs/>
          <w:sz w:val="23"/>
          <w:szCs w:val="23"/>
          <w:lang w:val="es-ES"/>
        </w:rPr>
        <w:t xml:space="preserve"> Los pliegos estándares del Banco Mundial se emplearán para las Licitaciones Públicas Internacionales (LPI) mientras que los carteles nacionales</w:t>
      </w:r>
      <w:r w:rsidR="00F4435E" w:rsidRPr="002302AF">
        <w:rPr>
          <w:bCs/>
          <w:sz w:val="23"/>
          <w:szCs w:val="23"/>
          <w:lang w:val="es-ES"/>
        </w:rPr>
        <w:t xml:space="preserve"> (aceptados y consensuados con el Banco Mundial)</w:t>
      </w:r>
      <w:r w:rsidR="00700BDA" w:rsidRPr="002302AF">
        <w:rPr>
          <w:bCs/>
          <w:sz w:val="23"/>
          <w:szCs w:val="23"/>
          <w:lang w:val="es-ES"/>
        </w:rPr>
        <w:t xml:space="preserve"> se aplicarán a todos los procesos de Licitación Pública Nacional (LPN).</w:t>
      </w:r>
      <w:r w:rsidR="00F4435E" w:rsidRPr="002302AF">
        <w:rPr>
          <w:bCs/>
          <w:sz w:val="23"/>
          <w:szCs w:val="23"/>
          <w:lang w:val="es-ES"/>
        </w:rPr>
        <w:t xml:space="preserve"> En el caso de bienes de valor menor, se emplearán los procedimientos de compras a través de solicitudes de cotizaciones aceptables y acordadas con el Banco Mundial.</w:t>
      </w:r>
    </w:p>
    <w:p w:rsidR="00C57A0F" w:rsidRPr="002302AF" w:rsidRDefault="00C57A0F" w:rsidP="00C57A0F">
      <w:pPr>
        <w:pStyle w:val="ListParagraph"/>
        <w:rPr>
          <w:bCs/>
          <w:sz w:val="23"/>
          <w:szCs w:val="23"/>
          <w:lang w:val="es-ES"/>
        </w:rPr>
      </w:pPr>
    </w:p>
    <w:p w:rsidR="002308F8" w:rsidRPr="002302AF" w:rsidRDefault="00F4435E" w:rsidP="00FF33C1">
      <w:pPr>
        <w:numPr>
          <w:ilvl w:val="0"/>
          <w:numId w:val="18"/>
        </w:numPr>
        <w:jc w:val="both"/>
        <w:rPr>
          <w:bCs/>
          <w:sz w:val="23"/>
          <w:szCs w:val="23"/>
          <w:lang w:val="es-ES"/>
        </w:rPr>
      </w:pPr>
      <w:r w:rsidRPr="002302AF">
        <w:rPr>
          <w:b/>
          <w:bCs/>
          <w:sz w:val="23"/>
          <w:szCs w:val="23"/>
          <w:lang w:val="es-ES"/>
        </w:rPr>
        <w:t>Selección</w:t>
      </w:r>
      <w:r w:rsidR="00020DA8">
        <w:rPr>
          <w:b/>
          <w:bCs/>
          <w:sz w:val="23"/>
          <w:szCs w:val="23"/>
          <w:lang w:val="es-ES"/>
        </w:rPr>
        <w:t xml:space="preserve"> </w:t>
      </w:r>
      <w:r w:rsidRPr="002302AF">
        <w:rPr>
          <w:b/>
          <w:bCs/>
          <w:sz w:val="23"/>
          <w:szCs w:val="23"/>
          <w:lang w:val="es-ES"/>
        </w:rPr>
        <w:t>de</w:t>
      </w:r>
      <w:r w:rsidR="00C57A0F" w:rsidRPr="002302AF">
        <w:rPr>
          <w:b/>
          <w:bCs/>
          <w:sz w:val="23"/>
          <w:szCs w:val="23"/>
          <w:lang w:val="es-ES"/>
        </w:rPr>
        <w:t xml:space="preserve"> Consult</w:t>
      </w:r>
      <w:r w:rsidRPr="002302AF">
        <w:rPr>
          <w:b/>
          <w:bCs/>
          <w:sz w:val="23"/>
          <w:szCs w:val="23"/>
          <w:lang w:val="es-ES"/>
        </w:rPr>
        <w:t>ores</w:t>
      </w:r>
      <w:r w:rsidR="00C57A0F" w:rsidRPr="002302AF">
        <w:rPr>
          <w:b/>
          <w:bCs/>
          <w:sz w:val="23"/>
          <w:szCs w:val="23"/>
          <w:lang w:val="es-ES"/>
        </w:rPr>
        <w:t>:</w:t>
      </w:r>
      <w:r w:rsidR="00564185">
        <w:rPr>
          <w:b/>
          <w:bCs/>
          <w:sz w:val="23"/>
          <w:szCs w:val="23"/>
          <w:lang w:val="es-ES"/>
        </w:rPr>
        <w:t xml:space="preserve"> </w:t>
      </w:r>
      <w:r w:rsidRPr="002302AF">
        <w:rPr>
          <w:rFonts w:eastAsiaTheme="minorHAnsi"/>
          <w:color w:val="000000"/>
          <w:sz w:val="23"/>
          <w:szCs w:val="23"/>
          <w:lang w:val="es-ES"/>
        </w:rPr>
        <w:t xml:space="preserve">Los contratos laborales con las firmas contemplarán servicios para diversos tipos de análisis, tales como estudios sociales, económicos, de impactos ambientales, campañas de promoción y comunicación, diseño de obras, estudios de </w:t>
      </w:r>
      <w:r w:rsidR="006C4A98" w:rsidRPr="002302AF">
        <w:rPr>
          <w:rFonts w:eastAsiaTheme="minorHAnsi"/>
          <w:color w:val="000000"/>
          <w:sz w:val="23"/>
          <w:szCs w:val="23"/>
          <w:lang w:val="es-ES"/>
        </w:rPr>
        <w:t>caracterización</w:t>
      </w:r>
      <w:r w:rsidRPr="002302AF">
        <w:rPr>
          <w:rFonts w:eastAsiaTheme="minorHAnsi"/>
          <w:color w:val="000000"/>
          <w:sz w:val="23"/>
          <w:szCs w:val="23"/>
          <w:lang w:val="es-ES"/>
        </w:rPr>
        <w:t xml:space="preserve">, monitoreo y evaluación de proyectos y auditorías financieras. </w:t>
      </w:r>
      <w:r w:rsidR="006C4A98" w:rsidRPr="002302AF">
        <w:rPr>
          <w:rFonts w:eastAsiaTheme="minorHAnsi"/>
          <w:color w:val="000000"/>
          <w:sz w:val="23"/>
          <w:szCs w:val="23"/>
          <w:lang w:val="es-ES"/>
        </w:rPr>
        <w:t xml:space="preserve">Los métodos </w:t>
      </w:r>
      <w:r w:rsidR="002308F8" w:rsidRPr="002302AF">
        <w:rPr>
          <w:rFonts w:eastAsiaTheme="minorHAnsi"/>
          <w:color w:val="000000"/>
          <w:sz w:val="23"/>
          <w:szCs w:val="23"/>
          <w:lang w:val="es-ES"/>
        </w:rPr>
        <w:t>de contratación de los consultores son:</w:t>
      </w:r>
      <w:r w:rsidR="00564185">
        <w:rPr>
          <w:rFonts w:eastAsiaTheme="minorHAnsi"/>
          <w:color w:val="000000"/>
          <w:sz w:val="23"/>
          <w:szCs w:val="23"/>
          <w:lang w:val="es-ES"/>
        </w:rPr>
        <w:t xml:space="preserve"> </w:t>
      </w:r>
      <w:r w:rsidR="00BA24EE" w:rsidRPr="002302AF">
        <w:rPr>
          <w:color w:val="000000"/>
          <w:sz w:val="23"/>
          <w:szCs w:val="23"/>
          <w:lang w:val="es-ES"/>
        </w:rPr>
        <w:t>Selección basada en el costo y calidad</w:t>
      </w:r>
      <w:r w:rsidR="00564185">
        <w:rPr>
          <w:color w:val="000000"/>
          <w:sz w:val="23"/>
          <w:szCs w:val="23"/>
          <w:lang w:val="es-ES"/>
        </w:rPr>
        <w:t xml:space="preserve"> </w:t>
      </w:r>
      <w:r w:rsidR="00D82B8E" w:rsidRPr="002302AF">
        <w:rPr>
          <w:rFonts w:eastAsiaTheme="minorHAnsi"/>
          <w:color w:val="000000"/>
          <w:sz w:val="23"/>
          <w:szCs w:val="23"/>
          <w:lang w:val="es-ES"/>
        </w:rPr>
        <w:t>(</w:t>
      </w:r>
      <w:r w:rsidR="00BA24EE" w:rsidRPr="002302AF">
        <w:rPr>
          <w:rFonts w:eastAsiaTheme="minorHAnsi"/>
          <w:color w:val="000000"/>
          <w:sz w:val="23"/>
          <w:szCs w:val="23"/>
          <w:lang w:val="es-ES"/>
        </w:rPr>
        <w:t>SBCC</w:t>
      </w:r>
      <w:r w:rsidR="00D82B8E" w:rsidRPr="002302AF">
        <w:rPr>
          <w:rFonts w:eastAsiaTheme="minorHAnsi"/>
          <w:color w:val="000000"/>
          <w:sz w:val="23"/>
          <w:szCs w:val="23"/>
          <w:lang w:val="es-ES"/>
        </w:rPr>
        <w:t>)</w:t>
      </w:r>
      <w:r w:rsidR="00C57A0F" w:rsidRPr="002302AF">
        <w:rPr>
          <w:rFonts w:eastAsiaTheme="minorHAnsi"/>
          <w:color w:val="000000"/>
          <w:sz w:val="23"/>
          <w:szCs w:val="23"/>
          <w:lang w:val="es-ES"/>
        </w:rPr>
        <w:t xml:space="preserve">, </w:t>
      </w:r>
      <w:r w:rsidR="00BA24EE" w:rsidRPr="002302AF">
        <w:rPr>
          <w:color w:val="000000"/>
          <w:sz w:val="23"/>
          <w:szCs w:val="23"/>
          <w:lang w:val="es-ES"/>
        </w:rPr>
        <w:t xml:space="preserve">Selección basada en la calidad </w:t>
      </w:r>
      <w:r w:rsidR="00D82B8E" w:rsidRPr="002302AF">
        <w:rPr>
          <w:rFonts w:eastAsiaTheme="minorHAnsi"/>
          <w:color w:val="000000"/>
          <w:sz w:val="23"/>
          <w:szCs w:val="23"/>
          <w:lang w:val="es-ES"/>
        </w:rPr>
        <w:t>(</w:t>
      </w:r>
      <w:r w:rsidR="00BA24EE" w:rsidRPr="002302AF">
        <w:rPr>
          <w:rFonts w:eastAsiaTheme="minorHAnsi"/>
          <w:color w:val="000000"/>
          <w:sz w:val="23"/>
          <w:szCs w:val="23"/>
          <w:lang w:val="es-ES"/>
        </w:rPr>
        <w:t>SBC</w:t>
      </w:r>
      <w:r w:rsidR="00D82B8E" w:rsidRPr="002302AF">
        <w:rPr>
          <w:rFonts w:eastAsiaTheme="minorHAnsi"/>
          <w:color w:val="000000"/>
          <w:sz w:val="23"/>
          <w:szCs w:val="23"/>
          <w:lang w:val="es-ES"/>
        </w:rPr>
        <w:t>)</w:t>
      </w:r>
      <w:r w:rsidR="00C57A0F" w:rsidRPr="002302AF">
        <w:rPr>
          <w:rFonts w:eastAsiaTheme="minorHAnsi"/>
          <w:color w:val="000000"/>
          <w:sz w:val="23"/>
          <w:szCs w:val="23"/>
          <w:lang w:val="es-ES"/>
        </w:rPr>
        <w:t xml:space="preserve">, </w:t>
      </w:r>
      <w:r w:rsidR="00BA24EE" w:rsidRPr="002302AF">
        <w:rPr>
          <w:color w:val="000000"/>
          <w:sz w:val="23"/>
          <w:szCs w:val="23"/>
          <w:lang w:val="es-ES"/>
        </w:rPr>
        <w:t xml:space="preserve">Selección </w:t>
      </w:r>
      <w:r w:rsidR="00BA24EE" w:rsidRPr="002302AF">
        <w:rPr>
          <w:color w:val="000000"/>
          <w:sz w:val="23"/>
          <w:szCs w:val="23"/>
          <w:lang w:val="es-ES"/>
        </w:rPr>
        <w:lastRenderedPageBreak/>
        <w:t>Basada en Presupuesto Fijo</w:t>
      </w:r>
      <w:r w:rsidR="00D82B8E" w:rsidRPr="002302AF">
        <w:rPr>
          <w:rFonts w:eastAsiaTheme="minorHAnsi"/>
          <w:color w:val="000000"/>
          <w:sz w:val="23"/>
          <w:szCs w:val="23"/>
          <w:lang w:val="es-ES"/>
        </w:rPr>
        <w:t>(</w:t>
      </w:r>
      <w:r w:rsidR="00BA24EE" w:rsidRPr="002302AF">
        <w:rPr>
          <w:rFonts w:eastAsiaTheme="minorHAnsi"/>
          <w:color w:val="000000"/>
          <w:sz w:val="23"/>
          <w:szCs w:val="23"/>
          <w:lang w:val="es-ES"/>
        </w:rPr>
        <w:t>SBPF</w:t>
      </w:r>
      <w:r w:rsidR="00D82B8E" w:rsidRPr="002302AF">
        <w:rPr>
          <w:rFonts w:eastAsiaTheme="minorHAnsi"/>
          <w:color w:val="000000"/>
          <w:sz w:val="23"/>
          <w:szCs w:val="23"/>
          <w:lang w:val="es-ES"/>
        </w:rPr>
        <w:t>)</w:t>
      </w:r>
      <w:r w:rsidR="00C57A0F" w:rsidRPr="002302AF">
        <w:rPr>
          <w:rFonts w:eastAsiaTheme="minorHAnsi"/>
          <w:color w:val="000000"/>
          <w:sz w:val="23"/>
          <w:szCs w:val="23"/>
          <w:lang w:val="es-ES"/>
        </w:rPr>
        <w:t xml:space="preserve">, </w:t>
      </w:r>
      <w:r w:rsidR="00BA24EE" w:rsidRPr="002302AF">
        <w:rPr>
          <w:color w:val="000000"/>
          <w:sz w:val="23"/>
          <w:szCs w:val="23"/>
          <w:lang w:val="es-ES"/>
        </w:rPr>
        <w:t>Selección basada en el Menor Costo</w:t>
      </w:r>
      <w:r w:rsidR="00D82B8E" w:rsidRPr="002302AF">
        <w:rPr>
          <w:rFonts w:eastAsiaTheme="minorHAnsi"/>
          <w:color w:val="000000"/>
          <w:sz w:val="23"/>
          <w:szCs w:val="23"/>
          <w:lang w:val="es-ES"/>
        </w:rPr>
        <w:t>(</w:t>
      </w:r>
      <w:r w:rsidR="00BA24EE" w:rsidRPr="002302AF">
        <w:rPr>
          <w:rFonts w:eastAsiaTheme="minorHAnsi"/>
          <w:color w:val="000000"/>
          <w:sz w:val="23"/>
          <w:szCs w:val="23"/>
          <w:lang w:val="es-ES"/>
        </w:rPr>
        <w:t>SBMC</w:t>
      </w:r>
      <w:r w:rsidR="00D82B8E" w:rsidRPr="002302AF">
        <w:rPr>
          <w:rFonts w:eastAsiaTheme="minorHAnsi"/>
          <w:color w:val="000000"/>
          <w:sz w:val="23"/>
          <w:szCs w:val="23"/>
          <w:lang w:val="es-ES"/>
        </w:rPr>
        <w:t xml:space="preserve">), </w:t>
      </w:r>
      <w:r w:rsidR="00BA24EE" w:rsidRPr="002302AF">
        <w:rPr>
          <w:color w:val="000000"/>
          <w:sz w:val="23"/>
          <w:szCs w:val="23"/>
          <w:lang w:val="es-ES"/>
        </w:rPr>
        <w:t xml:space="preserve">Selección basada en las calificaciones del consultor </w:t>
      </w:r>
      <w:r w:rsidR="00D82B8E" w:rsidRPr="002302AF">
        <w:rPr>
          <w:rFonts w:eastAsiaTheme="minorHAnsi"/>
          <w:color w:val="000000"/>
          <w:sz w:val="23"/>
          <w:szCs w:val="23"/>
          <w:lang w:val="es-ES"/>
        </w:rPr>
        <w:t>(</w:t>
      </w:r>
      <w:r w:rsidR="00BA24EE" w:rsidRPr="002302AF">
        <w:rPr>
          <w:rFonts w:eastAsiaTheme="minorHAnsi"/>
          <w:color w:val="000000"/>
          <w:sz w:val="23"/>
          <w:szCs w:val="23"/>
          <w:lang w:val="es-ES"/>
        </w:rPr>
        <w:t>SBCC)</w:t>
      </w:r>
      <w:r w:rsidR="00564185">
        <w:rPr>
          <w:rFonts w:eastAsiaTheme="minorHAnsi"/>
          <w:color w:val="000000"/>
          <w:sz w:val="23"/>
          <w:szCs w:val="23"/>
          <w:lang w:val="es-ES"/>
        </w:rPr>
        <w:t xml:space="preserve"> </w:t>
      </w:r>
      <w:r w:rsidR="00FF357C" w:rsidRPr="002302AF">
        <w:rPr>
          <w:rFonts w:eastAsiaTheme="minorHAnsi"/>
          <w:color w:val="000000"/>
          <w:sz w:val="23"/>
          <w:szCs w:val="23"/>
          <w:lang w:val="es-ES"/>
        </w:rPr>
        <w:t>y</w:t>
      </w:r>
      <w:r w:rsidR="00564185">
        <w:rPr>
          <w:rFonts w:eastAsiaTheme="minorHAnsi"/>
          <w:color w:val="000000"/>
          <w:sz w:val="23"/>
          <w:szCs w:val="23"/>
          <w:lang w:val="es-ES"/>
        </w:rPr>
        <w:t xml:space="preserve"> </w:t>
      </w:r>
      <w:r w:rsidR="00BA24EE" w:rsidRPr="002302AF">
        <w:rPr>
          <w:color w:val="000000"/>
          <w:sz w:val="23"/>
          <w:szCs w:val="23"/>
          <w:lang w:val="es-ES"/>
        </w:rPr>
        <w:t>Selección con base en una Sola Fuente</w:t>
      </w:r>
      <w:r w:rsidR="00D82B8E" w:rsidRPr="002302AF">
        <w:rPr>
          <w:rFonts w:eastAsiaTheme="minorHAnsi"/>
          <w:color w:val="000000"/>
          <w:sz w:val="23"/>
          <w:szCs w:val="23"/>
          <w:lang w:val="es-ES"/>
        </w:rPr>
        <w:t xml:space="preserve"> (</w:t>
      </w:r>
      <w:r w:rsidR="00C57A0F" w:rsidRPr="002302AF">
        <w:rPr>
          <w:rFonts w:eastAsiaTheme="minorHAnsi"/>
          <w:color w:val="000000"/>
          <w:sz w:val="23"/>
          <w:szCs w:val="23"/>
          <w:lang w:val="es-ES"/>
        </w:rPr>
        <w:t>SS</w:t>
      </w:r>
      <w:r w:rsidR="00BA24EE" w:rsidRPr="002302AF">
        <w:rPr>
          <w:rFonts w:eastAsiaTheme="minorHAnsi"/>
          <w:color w:val="000000"/>
          <w:sz w:val="23"/>
          <w:szCs w:val="23"/>
          <w:lang w:val="es-ES"/>
        </w:rPr>
        <w:t>F</w:t>
      </w:r>
      <w:r w:rsidR="00D82B8E" w:rsidRPr="002302AF">
        <w:rPr>
          <w:rFonts w:eastAsiaTheme="minorHAnsi"/>
          <w:color w:val="000000"/>
          <w:sz w:val="23"/>
          <w:szCs w:val="23"/>
          <w:lang w:val="es-ES"/>
        </w:rPr>
        <w:t>)</w:t>
      </w:r>
      <w:r w:rsidR="00C57A0F" w:rsidRPr="002302AF">
        <w:rPr>
          <w:rFonts w:eastAsiaTheme="minorHAnsi"/>
          <w:color w:val="000000"/>
          <w:sz w:val="23"/>
          <w:szCs w:val="23"/>
          <w:lang w:val="es-ES"/>
        </w:rPr>
        <w:t xml:space="preserve">. </w:t>
      </w:r>
      <w:r w:rsidR="002308F8" w:rsidRPr="002302AF">
        <w:rPr>
          <w:rFonts w:eastAsiaTheme="minorHAnsi"/>
          <w:color w:val="000000"/>
          <w:sz w:val="23"/>
          <w:szCs w:val="23"/>
          <w:lang w:val="es-ES"/>
        </w:rPr>
        <w:t xml:space="preserve">Los contratos laborales de personas naturales comprenden la contratación del personal técnico y administrativo de la UCP. </w:t>
      </w:r>
      <w:r w:rsidR="002308F8" w:rsidRPr="002302AF">
        <w:rPr>
          <w:rFonts w:eastAsiaTheme="minorHAnsi"/>
          <w:color w:val="000000"/>
          <w:sz w:val="23"/>
          <w:szCs w:val="23"/>
          <w:lang w:val="es-NI"/>
        </w:rPr>
        <w:t>Los servicios técnicos brindados por personas naturales en cuanto a la</w:t>
      </w:r>
      <w:r w:rsidR="004B6E94" w:rsidRPr="002302AF">
        <w:rPr>
          <w:rFonts w:eastAsiaTheme="minorHAnsi"/>
          <w:color w:val="000000"/>
          <w:sz w:val="23"/>
          <w:szCs w:val="23"/>
          <w:lang w:val="es-NI"/>
        </w:rPr>
        <w:t xml:space="preserve"> recopilación de datos, mapeo, digitalización, indexación y medición se financiará a </w:t>
      </w:r>
      <w:r w:rsidR="00FA2A8D" w:rsidRPr="002302AF">
        <w:rPr>
          <w:rFonts w:eastAsiaTheme="minorHAnsi"/>
          <w:color w:val="000000"/>
          <w:sz w:val="23"/>
          <w:szCs w:val="23"/>
          <w:lang w:val="es-NI"/>
        </w:rPr>
        <w:t>través</w:t>
      </w:r>
      <w:r w:rsidR="004B6E94" w:rsidRPr="002302AF">
        <w:rPr>
          <w:rFonts w:eastAsiaTheme="minorHAnsi"/>
          <w:color w:val="000000"/>
          <w:sz w:val="23"/>
          <w:szCs w:val="23"/>
          <w:lang w:val="es-NI"/>
        </w:rPr>
        <w:t xml:space="preserve"> de Contratistas de Prestación de </w:t>
      </w:r>
      <w:r w:rsidR="004B6E94" w:rsidRPr="002302AF">
        <w:rPr>
          <w:rFonts w:eastAsiaTheme="minorHAnsi"/>
          <w:color w:val="000000"/>
          <w:sz w:val="23"/>
          <w:szCs w:val="23"/>
          <w:lang w:val="es-ES"/>
        </w:rPr>
        <w:t>Servicios.</w:t>
      </w:r>
      <w:r w:rsidR="004B6E94" w:rsidRPr="002302AF">
        <w:rPr>
          <w:bCs/>
          <w:sz w:val="23"/>
          <w:szCs w:val="23"/>
          <w:lang w:val="es-ES"/>
        </w:rPr>
        <w:t xml:space="preserve"> Los procedimientos de selección de las personas naturales ofrecen dichos servicios se indicarán en el Manual Operativo.</w:t>
      </w:r>
    </w:p>
    <w:p w:rsidR="002308F8" w:rsidRPr="002302AF" w:rsidRDefault="002308F8" w:rsidP="002308F8">
      <w:pPr>
        <w:pStyle w:val="ListParagraph"/>
        <w:rPr>
          <w:rFonts w:eastAsiaTheme="minorHAnsi"/>
          <w:color w:val="000000"/>
          <w:sz w:val="23"/>
          <w:szCs w:val="23"/>
          <w:lang w:val="es-ES"/>
        </w:rPr>
      </w:pPr>
    </w:p>
    <w:p w:rsidR="004B6E94" w:rsidRPr="002302AF" w:rsidRDefault="00C57A0F" w:rsidP="00FF33C1">
      <w:pPr>
        <w:numPr>
          <w:ilvl w:val="0"/>
          <w:numId w:val="18"/>
        </w:numPr>
        <w:jc w:val="both"/>
        <w:rPr>
          <w:sz w:val="23"/>
          <w:szCs w:val="23"/>
          <w:lang w:val="es-ES"/>
        </w:rPr>
      </w:pPr>
      <w:r w:rsidRPr="002302AF">
        <w:rPr>
          <w:b/>
          <w:bCs/>
          <w:sz w:val="23"/>
          <w:szCs w:val="23"/>
          <w:lang w:val="es-NI"/>
        </w:rPr>
        <w:t>Cost</w:t>
      </w:r>
      <w:r w:rsidR="004B6E94" w:rsidRPr="002302AF">
        <w:rPr>
          <w:b/>
          <w:bCs/>
          <w:sz w:val="23"/>
          <w:szCs w:val="23"/>
          <w:lang w:val="es-NI"/>
        </w:rPr>
        <w:t>o</w:t>
      </w:r>
      <w:r w:rsidRPr="002302AF">
        <w:rPr>
          <w:b/>
          <w:bCs/>
          <w:sz w:val="23"/>
          <w:szCs w:val="23"/>
          <w:lang w:val="es-NI"/>
        </w:rPr>
        <w:t>s</w:t>
      </w:r>
      <w:r w:rsidR="004B6E94" w:rsidRPr="002302AF">
        <w:rPr>
          <w:b/>
          <w:bCs/>
          <w:sz w:val="23"/>
          <w:szCs w:val="23"/>
          <w:lang w:val="es-NI"/>
        </w:rPr>
        <w:t xml:space="preserve"> Operativos</w:t>
      </w:r>
      <w:r w:rsidRPr="002302AF">
        <w:rPr>
          <w:b/>
          <w:bCs/>
          <w:sz w:val="23"/>
          <w:szCs w:val="23"/>
          <w:lang w:val="es-NI"/>
        </w:rPr>
        <w:t>:</w:t>
      </w:r>
      <w:r w:rsidR="00564185">
        <w:rPr>
          <w:b/>
          <w:bCs/>
          <w:sz w:val="23"/>
          <w:szCs w:val="23"/>
          <w:lang w:val="es-NI"/>
        </w:rPr>
        <w:t xml:space="preserve"> </w:t>
      </w:r>
      <w:r w:rsidR="004B6E94" w:rsidRPr="002302AF">
        <w:rPr>
          <w:rFonts w:eastAsiaTheme="minorHAnsi"/>
          <w:color w:val="000000"/>
          <w:sz w:val="23"/>
          <w:szCs w:val="23"/>
          <w:lang w:val="es-NI"/>
        </w:rPr>
        <w:t>El Proyecto financiará los</w:t>
      </w:r>
      <w:r w:rsidR="00AD0800" w:rsidRPr="002302AF">
        <w:rPr>
          <w:rFonts w:eastAsiaTheme="minorHAnsi"/>
          <w:color w:val="000000"/>
          <w:sz w:val="23"/>
          <w:szCs w:val="23"/>
          <w:lang w:val="es-NI"/>
        </w:rPr>
        <w:t xml:space="preserve"> costos operativos y gastos incurridos para administrar y supervisar la marcha del Proyecto, tales como suministros de oficina, consumibles, servicios básicos, internet, mantenimiento de automotores y de equipos, seguros de vehículos</w:t>
      </w:r>
      <w:r w:rsidR="00564185">
        <w:rPr>
          <w:rFonts w:eastAsiaTheme="minorHAnsi"/>
          <w:color w:val="000000"/>
          <w:sz w:val="23"/>
          <w:szCs w:val="23"/>
          <w:lang w:val="es-NI"/>
        </w:rPr>
        <w:t>,</w:t>
      </w:r>
      <w:r w:rsidR="00AD0800" w:rsidRPr="002302AF">
        <w:rPr>
          <w:rFonts w:eastAsiaTheme="minorHAnsi"/>
          <w:color w:val="000000"/>
          <w:sz w:val="23"/>
          <w:szCs w:val="23"/>
          <w:lang w:val="es-NI"/>
        </w:rPr>
        <w:t xml:space="preserve"> de equipos y viáticos. Los artículos se comprarán mediante los procedimientos de comparación </w:t>
      </w:r>
      <w:r w:rsidR="00F8057E" w:rsidRPr="002302AF">
        <w:rPr>
          <w:rFonts w:eastAsiaTheme="minorHAnsi"/>
          <w:color w:val="000000"/>
          <w:sz w:val="23"/>
          <w:szCs w:val="23"/>
          <w:lang w:val="es-NI"/>
        </w:rPr>
        <w:t>estipulados</w:t>
      </w:r>
      <w:r w:rsidR="00AD0800" w:rsidRPr="002302AF">
        <w:rPr>
          <w:rFonts w:eastAsiaTheme="minorHAnsi"/>
          <w:color w:val="000000"/>
          <w:sz w:val="23"/>
          <w:szCs w:val="23"/>
          <w:lang w:val="es-NI"/>
        </w:rPr>
        <w:t xml:space="preserve"> en el Manual Operativo.  </w:t>
      </w:r>
      <w:r w:rsidR="00F8057E" w:rsidRPr="002302AF">
        <w:rPr>
          <w:rFonts w:eastAsiaTheme="minorHAnsi"/>
          <w:color w:val="000000"/>
          <w:sz w:val="23"/>
          <w:szCs w:val="23"/>
          <w:lang w:val="es-NI"/>
        </w:rPr>
        <w:t xml:space="preserve">Además, los costos del personal de apoyo (asistentes, afanadoras </w:t>
      </w:r>
      <w:r w:rsidR="00F8057E" w:rsidRPr="002302AF">
        <w:rPr>
          <w:rFonts w:eastAsiaTheme="minorHAnsi"/>
          <w:color w:val="000000"/>
          <w:sz w:val="23"/>
          <w:szCs w:val="23"/>
          <w:lang w:val="es-ES"/>
        </w:rPr>
        <w:t>y conductores) se registrarán como costos operativos</w:t>
      </w:r>
      <w:r w:rsidR="00D604B4" w:rsidRPr="002302AF">
        <w:rPr>
          <w:rFonts w:eastAsiaTheme="minorHAnsi"/>
          <w:color w:val="000000"/>
          <w:sz w:val="23"/>
          <w:szCs w:val="23"/>
          <w:lang w:val="es-ES"/>
        </w:rPr>
        <w:t xml:space="preserve">. </w:t>
      </w:r>
      <w:r w:rsidR="00D604B4" w:rsidRPr="002302AF">
        <w:rPr>
          <w:rFonts w:eastAsiaTheme="minorHAnsi"/>
          <w:bCs/>
          <w:color w:val="000000"/>
          <w:sz w:val="23"/>
          <w:szCs w:val="23"/>
          <w:lang w:val="es-ES"/>
        </w:rPr>
        <w:t>Los procedimientos de selección de las personas naturales ofrecen dichos servicios se indicarán en el Manual Operativo</w:t>
      </w:r>
      <w:r w:rsidR="00D604B4" w:rsidRPr="002302AF">
        <w:rPr>
          <w:rFonts w:eastAsiaTheme="minorHAnsi"/>
          <w:color w:val="000000"/>
          <w:sz w:val="23"/>
          <w:szCs w:val="23"/>
          <w:lang w:val="es-ES"/>
        </w:rPr>
        <w:t>.</w:t>
      </w:r>
    </w:p>
    <w:p w:rsidR="004B6E94" w:rsidRPr="002302AF" w:rsidRDefault="004B6E94" w:rsidP="004B6E94">
      <w:pPr>
        <w:pStyle w:val="ListParagraph"/>
        <w:rPr>
          <w:rFonts w:eastAsiaTheme="minorHAnsi"/>
          <w:color w:val="000000"/>
          <w:sz w:val="23"/>
          <w:szCs w:val="23"/>
          <w:lang w:val="es-ES"/>
        </w:rPr>
      </w:pPr>
    </w:p>
    <w:p w:rsidR="00C57A0F" w:rsidRPr="00D604B4" w:rsidRDefault="00C57A0F" w:rsidP="00C57A0F">
      <w:pPr>
        <w:jc w:val="both"/>
        <w:rPr>
          <w:lang w:val="es-ES"/>
        </w:rPr>
      </w:pPr>
    </w:p>
    <w:p w:rsidR="00C57A0F" w:rsidRPr="00D604B4" w:rsidRDefault="00DD4F26" w:rsidP="002302AF">
      <w:pPr>
        <w:rPr>
          <w:b/>
          <w:bCs/>
          <w:lang w:val="es-ES"/>
        </w:rPr>
      </w:pPr>
      <w:r w:rsidRPr="00D604B4">
        <w:rPr>
          <w:b/>
          <w:bCs/>
          <w:lang w:val="es-ES"/>
        </w:rPr>
        <w:t xml:space="preserve">B. </w:t>
      </w:r>
      <w:r w:rsidR="00D604B4" w:rsidRPr="00D604B4">
        <w:rPr>
          <w:b/>
          <w:bCs/>
          <w:lang w:val="es-ES"/>
        </w:rPr>
        <w:t xml:space="preserve">Evaluación de la Capacidad de la Agencia Ejecutora para </w:t>
      </w:r>
      <w:r w:rsidR="00810544">
        <w:rPr>
          <w:b/>
          <w:bCs/>
          <w:lang w:val="es-ES"/>
        </w:rPr>
        <w:t>Realizar</w:t>
      </w:r>
      <w:r w:rsidR="00D604B4" w:rsidRPr="00D604B4">
        <w:rPr>
          <w:b/>
          <w:bCs/>
          <w:lang w:val="es-ES"/>
        </w:rPr>
        <w:t xml:space="preserve"> las Adquisiciones</w:t>
      </w:r>
    </w:p>
    <w:p w:rsidR="00C57A0F" w:rsidRPr="002302AF" w:rsidRDefault="00C57A0F" w:rsidP="00C57A0F">
      <w:pPr>
        <w:jc w:val="both"/>
        <w:rPr>
          <w:sz w:val="23"/>
          <w:szCs w:val="23"/>
          <w:lang w:val="es-ES"/>
        </w:rPr>
      </w:pPr>
    </w:p>
    <w:p w:rsidR="009F798E" w:rsidRPr="002302AF" w:rsidRDefault="00D604B4" w:rsidP="00FF33C1">
      <w:pPr>
        <w:numPr>
          <w:ilvl w:val="0"/>
          <w:numId w:val="18"/>
        </w:numPr>
        <w:jc w:val="both"/>
        <w:rPr>
          <w:sz w:val="23"/>
          <w:szCs w:val="23"/>
          <w:lang w:val="es-ES"/>
        </w:rPr>
      </w:pPr>
      <w:r w:rsidRPr="002302AF">
        <w:rPr>
          <w:sz w:val="23"/>
          <w:szCs w:val="23"/>
          <w:lang w:val="es-ES"/>
        </w:rPr>
        <w:t xml:space="preserve">La </w:t>
      </w:r>
      <w:r w:rsidR="00C57A0F" w:rsidRPr="002302AF">
        <w:rPr>
          <w:sz w:val="23"/>
          <w:szCs w:val="23"/>
          <w:lang w:val="es-ES"/>
        </w:rPr>
        <w:t xml:space="preserve">PGR </w:t>
      </w:r>
      <w:r w:rsidRPr="002302AF">
        <w:rPr>
          <w:sz w:val="23"/>
          <w:szCs w:val="23"/>
          <w:lang w:val="es-ES"/>
        </w:rPr>
        <w:t>será la institución</w:t>
      </w:r>
      <w:r w:rsidR="00810544" w:rsidRPr="002302AF">
        <w:rPr>
          <w:sz w:val="23"/>
          <w:szCs w:val="23"/>
          <w:lang w:val="es-ES"/>
        </w:rPr>
        <w:t xml:space="preserve"> ejecutora</w:t>
      </w:r>
      <w:r w:rsidR="00564185">
        <w:rPr>
          <w:sz w:val="23"/>
          <w:szCs w:val="23"/>
          <w:lang w:val="es-ES"/>
        </w:rPr>
        <w:t xml:space="preserve"> </w:t>
      </w:r>
      <w:r w:rsidR="00810544" w:rsidRPr="002302AF">
        <w:rPr>
          <w:sz w:val="23"/>
          <w:szCs w:val="23"/>
          <w:lang w:val="es-ES"/>
        </w:rPr>
        <w:t xml:space="preserve">y a través de la Unidad Coordinadora del Proyecto (SE-PRODEP) tendrá la responsabilidad de </w:t>
      </w:r>
      <w:r w:rsidR="00E937DF" w:rsidRPr="002302AF">
        <w:rPr>
          <w:sz w:val="23"/>
          <w:szCs w:val="23"/>
          <w:lang w:val="es-ES"/>
        </w:rPr>
        <w:t xml:space="preserve">ejecutar </w:t>
      </w:r>
      <w:r w:rsidR="00810544" w:rsidRPr="002302AF">
        <w:rPr>
          <w:sz w:val="23"/>
          <w:szCs w:val="23"/>
          <w:lang w:val="es-ES"/>
        </w:rPr>
        <w:t>las operaciones de adquisiciones y gestión financiera</w:t>
      </w:r>
      <w:r w:rsidR="00E937DF" w:rsidRPr="002302AF">
        <w:rPr>
          <w:sz w:val="23"/>
          <w:szCs w:val="23"/>
          <w:lang w:val="es-ES"/>
        </w:rPr>
        <w:t xml:space="preserve"> y continuará manejando todos los fondos del crédito. Existen cinco agencias co-ejecutoras:</w:t>
      </w:r>
      <w:r w:rsidR="00564185">
        <w:rPr>
          <w:sz w:val="23"/>
          <w:szCs w:val="23"/>
          <w:lang w:val="es-ES"/>
        </w:rPr>
        <w:t xml:space="preserve"> </w:t>
      </w:r>
      <w:r w:rsidR="009F6793" w:rsidRPr="002302AF">
        <w:rPr>
          <w:sz w:val="23"/>
          <w:szCs w:val="23"/>
          <w:lang w:val="es-ES"/>
        </w:rPr>
        <w:t>MARENA, INETER, INIFOM</w:t>
      </w:r>
      <w:r w:rsidR="00C57A0F" w:rsidRPr="002302AF">
        <w:rPr>
          <w:sz w:val="23"/>
          <w:szCs w:val="23"/>
          <w:lang w:val="es-ES"/>
        </w:rPr>
        <w:t xml:space="preserve">, </w:t>
      </w:r>
      <w:r w:rsidR="00E937DF" w:rsidRPr="002302AF">
        <w:rPr>
          <w:sz w:val="23"/>
          <w:szCs w:val="23"/>
          <w:lang w:val="es-ES"/>
        </w:rPr>
        <w:t>INIDE</w:t>
      </w:r>
      <w:r w:rsidR="00564185">
        <w:rPr>
          <w:sz w:val="23"/>
          <w:szCs w:val="23"/>
          <w:lang w:val="es-ES"/>
        </w:rPr>
        <w:t xml:space="preserve"> </w:t>
      </w:r>
      <w:r w:rsidR="00FF357C" w:rsidRPr="002302AF">
        <w:rPr>
          <w:sz w:val="23"/>
          <w:szCs w:val="23"/>
          <w:lang w:val="es-ES"/>
        </w:rPr>
        <w:t>y</w:t>
      </w:r>
      <w:r w:rsidR="009F6793" w:rsidRPr="002302AF">
        <w:rPr>
          <w:sz w:val="23"/>
          <w:szCs w:val="23"/>
          <w:lang w:val="es-ES"/>
        </w:rPr>
        <w:t xml:space="preserve"> CSJ</w:t>
      </w:r>
      <w:r w:rsidR="00C57A0F" w:rsidRPr="002302AF">
        <w:rPr>
          <w:sz w:val="23"/>
          <w:szCs w:val="23"/>
          <w:lang w:val="es-ES"/>
        </w:rPr>
        <w:t xml:space="preserve">. </w:t>
      </w:r>
      <w:r w:rsidR="00E937DF" w:rsidRPr="002302AF">
        <w:rPr>
          <w:sz w:val="23"/>
          <w:szCs w:val="23"/>
          <w:lang w:val="es-ES"/>
        </w:rPr>
        <w:t>Asimismo, el</w:t>
      </w:r>
      <w:r w:rsidR="009F6793" w:rsidRPr="002302AF">
        <w:rPr>
          <w:sz w:val="23"/>
          <w:szCs w:val="23"/>
          <w:lang w:val="es-ES"/>
        </w:rPr>
        <w:t xml:space="preserve"> IP, </w:t>
      </w:r>
      <w:r w:rsidR="00E937DF" w:rsidRPr="002302AF">
        <w:rPr>
          <w:sz w:val="23"/>
          <w:szCs w:val="23"/>
          <w:lang w:val="es-ES"/>
        </w:rPr>
        <w:t xml:space="preserve">un ente descentralizado de la </w:t>
      </w:r>
      <w:r w:rsidR="009F6793" w:rsidRPr="002302AF">
        <w:rPr>
          <w:sz w:val="23"/>
          <w:szCs w:val="23"/>
          <w:lang w:val="es-ES"/>
        </w:rPr>
        <w:t>PGR</w:t>
      </w:r>
      <w:r w:rsidR="00E937DF" w:rsidRPr="002302AF">
        <w:rPr>
          <w:sz w:val="23"/>
          <w:szCs w:val="23"/>
          <w:lang w:val="es-ES"/>
        </w:rPr>
        <w:t xml:space="preserve"> continuará siendo parte integral del Proyecto. Cada institución contará con una pequeña unidad coordinadora. Un estudio evaluativo de la capacidad de la UCP-PGR para llevar a cabo las adquisiciones</w:t>
      </w:r>
      <w:r w:rsidR="00C030A6" w:rsidRPr="002302AF">
        <w:rPr>
          <w:sz w:val="23"/>
          <w:szCs w:val="23"/>
          <w:lang w:val="es-ES"/>
        </w:rPr>
        <w:t>, actualizado en octubre del 2012 cubrió los siguientes aspectos:</w:t>
      </w:r>
      <w:r w:rsidR="00C57A0F" w:rsidRPr="002302AF">
        <w:rPr>
          <w:sz w:val="23"/>
          <w:szCs w:val="23"/>
          <w:lang w:val="es-ES"/>
        </w:rPr>
        <w:t xml:space="preserve"> (a) </w:t>
      </w:r>
      <w:r w:rsidR="00C936FC" w:rsidRPr="002302AF">
        <w:rPr>
          <w:sz w:val="23"/>
          <w:szCs w:val="23"/>
          <w:lang w:val="es-ES"/>
        </w:rPr>
        <w:t xml:space="preserve">estructura </w:t>
      </w:r>
      <w:r w:rsidR="00C57A0F" w:rsidRPr="002302AF">
        <w:rPr>
          <w:sz w:val="23"/>
          <w:szCs w:val="23"/>
          <w:lang w:val="es-ES"/>
        </w:rPr>
        <w:t>organiza</w:t>
      </w:r>
      <w:r w:rsidR="00C936FC" w:rsidRPr="002302AF">
        <w:rPr>
          <w:sz w:val="23"/>
          <w:szCs w:val="23"/>
          <w:lang w:val="es-ES"/>
        </w:rPr>
        <w:t>c</w:t>
      </w:r>
      <w:r w:rsidR="00C57A0F" w:rsidRPr="002302AF">
        <w:rPr>
          <w:sz w:val="23"/>
          <w:szCs w:val="23"/>
          <w:lang w:val="es-ES"/>
        </w:rPr>
        <w:t xml:space="preserve">ional, (b) </w:t>
      </w:r>
      <w:r w:rsidR="00C936FC" w:rsidRPr="002302AF">
        <w:rPr>
          <w:sz w:val="23"/>
          <w:szCs w:val="23"/>
          <w:lang w:val="es-ES"/>
        </w:rPr>
        <w:t xml:space="preserve">instalaciones y capacidad de apoyo; </w:t>
      </w:r>
      <w:r w:rsidR="00C57A0F" w:rsidRPr="002302AF">
        <w:rPr>
          <w:sz w:val="23"/>
          <w:szCs w:val="23"/>
          <w:lang w:val="es-ES"/>
        </w:rPr>
        <w:t xml:space="preserve"> (c) </w:t>
      </w:r>
      <w:r w:rsidR="00C936FC" w:rsidRPr="002302AF">
        <w:rPr>
          <w:sz w:val="23"/>
          <w:szCs w:val="23"/>
          <w:lang w:val="es-ES"/>
        </w:rPr>
        <w:t xml:space="preserve">nivel de preparación profesional y experiencia del personal de adquisiciones; (d) Sistemas de </w:t>
      </w:r>
      <w:r w:rsidR="00742119" w:rsidRPr="002302AF">
        <w:rPr>
          <w:sz w:val="23"/>
          <w:szCs w:val="23"/>
          <w:lang w:val="es-ES"/>
        </w:rPr>
        <w:t xml:space="preserve">mantenimiento de archivos; (e) Planificación de adquisiciones y sistemas de control y monitoreo utilizados, (f) Capacidad para cumplir con los requisitos de rendición de informes de los contratos  de adquisiciones que exige el Banco Mundial. </w:t>
      </w:r>
      <w:r w:rsidR="00742119" w:rsidRPr="002302AF">
        <w:rPr>
          <w:sz w:val="23"/>
          <w:szCs w:val="23"/>
          <w:lang w:val="es-NI"/>
        </w:rPr>
        <w:t>Se concluyó que la</w:t>
      </w:r>
      <w:r w:rsidR="00AA2E2A">
        <w:rPr>
          <w:sz w:val="23"/>
          <w:szCs w:val="23"/>
          <w:lang w:val="es-NI"/>
        </w:rPr>
        <w:t xml:space="preserve"> </w:t>
      </w:r>
      <w:r w:rsidR="00890CA6" w:rsidRPr="002302AF">
        <w:rPr>
          <w:sz w:val="23"/>
          <w:szCs w:val="23"/>
          <w:lang w:val="es-NI"/>
        </w:rPr>
        <w:t>UCP</w:t>
      </w:r>
      <w:r w:rsidR="009F6793" w:rsidRPr="002302AF">
        <w:rPr>
          <w:sz w:val="23"/>
          <w:szCs w:val="23"/>
          <w:lang w:val="es-NI"/>
        </w:rPr>
        <w:t>-PGR</w:t>
      </w:r>
      <w:r w:rsidR="00AA2E2A">
        <w:rPr>
          <w:sz w:val="23"/>
          <w:szCs w:val="23"/>
          <w:lang w:val="es-NI"/>
        </w:rPr>
        <w:t xml:space="preserve"> </w:t>
      </w:r>
      <w:r w:rsidR="00714BB9" w:rsidRPr="002302AF">
        <w:rPr>
          <w:sz w:val="23"/>
          <w:szCs w:val="23"/>
          <w:lang w:val="es-NI"/>
        </w:rPr>
        <w:t xml:space="preserve">cuenta con el personal, </w:t>
      </w:r>
      <w:r w:rsidR="00C57A0F" w:rsidRPr="002302AF">
        <w:rPr>
          <w:sz w:val="23"/>
          <w:szCs w:val="23"/>
          <w:lang w:val="es-NI"/>
        </w:rPr>
        <w:t>experienc</w:t>
      </w:r>
      <w:r w:rsidR="00714BB9" w:rsidRPr="002302AF">
        <w:rPr>
          <w:sz w:val="23"/>
          <w:szCs w:val="23"/>
          <w:lang w:val="es-NI"/>
        </w:rPr>
        <w:t>ia y capacidad</w:t>
      </w:r>
      <w:r w:rsidR="009F798E" w:rsidRPr="002302AF">
        <w:rPr>
          <w:sz w:val="23"/>
          <w:szCs w:val="23"/>
          <w:lang w:val="es-NI"/>
        </w:rPr>
        <w:t>,</w:t>
      </w:r>
      <w:r w:rsidR="00714BB9" w:rsidRPr="002302AF">
        <w:rPr>
          <w:sz w:val="23"/>
          <w:szCs w:val="23"/>
          <w:lang w:val="es-NI"/>
        </w:rPr>
        <w:t xml:space="preserve"> adquiridas en la operación anterior para manejar el Proyecto, cumplir con los procedimientos de adquisición que exige el Banco Mundial, monitorear la buena marcha y brindar asistencia técnica a las agencias co-ejecutoras. El siguiente plan de acción fue preparado con todo detalle para abordar los riesgos </w:t>
      </w:r>
      <w:r w:rsidR="009F798E" w:rsidRPr="002302AF">
        <w:rPr>
          <w:sz w:val="23"/>
          <w:szCs w:val="23"/>
          <w:lang w:val="es-NI"/>
        </w:rPr>
        <w:t>pendientes identificados:</w:t>
      </w:r>
    </w:p>
    <w:p w:rsidR="00C57A0F" w:rsidRPr="006C2DBD" w:rsidRDefault="00C57A0F" w:rsidP="00C57A0F">
      <w:pPr>
        <w:pStyle w:val="ListParagraph"/>
        <w:rPr>
          <w:lang w:val="es-ES"/>
        </w:rPr>
      </w:pPr>
    </w:p>
    <w:tbl>
      <w:tblPr>
        <w:tblW w:w="0" w:type="auto"/>
        <w:tblLayout w:type="fixed"/>
        <w:tblLook w:val="00A0" w:firstRow="1" w:lastRow="0" w:firstColumn="1" w:lastColumn="0" w:noHBand="0" w:noVBand="0"/>
      </w:tblPr>
      <w:tblGrid>
        <w:gridCol w:w="4577"/>
        <w:gridCol w:w="2323"/>
        <w:gridCol w:w="2676"/>
      </w:tblGrid>
      <w:tr w:rsidR="00C57A0F" w:rsidRPr="006C2DBD"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vAlign w:val="bottom"/>
          </w:tcPr>
          <w:p w:rsidR="00C57A0F" w:rsidRPr="006C2DBD" w:rsidRDefault="009F20A1" w:rsidP="009F20A1">
            <w:pPr>
              <w:autoSpaceDE w:val="0"/>
              <w:autoSpaceDN w:val="0"/>
              <w:adjustRightInd w:val="0"/>
              <w:spacing w:after="40"/>
              <w:jc w:val="center"/>
              <w:rPr>
                <w:b/>
                <w:bCs/>
                <w:color w:val="000000"/>
                <w:sz w:val="18"/>
                <w:szCs w:val="18"/>
                <w:lang w:val="es-ES"/>
              </w:rPr>
            </w:pPr>
            <w:r w:rsidRPr="006C2DBD">
              <w:rPr>
                <w:b/>
                <w:bCs/>
                <w:color w:val="000000"/>
                <w:sz w:val="18"/>
                <w:szCs w:val="18"/>
                <w:lang w:val="es-ES"/>
              </w:rPr>
              <w:t xml:space="preserve">MEDIDAS DE </w:t>
            </w:r>
            <w:r w:rsidR="00C57A0F" w:rsidRPr="006C2DBD">
              <w:rPr>
                <w:b/>
                <w:bCs/>
                <w:color w:val="000000"/>
                <w:sz w:val="18"/>
                <w:szCs w:val="18"/>
                <w:lang w:val="es-ES"/>
              </w:rPr>
              <w:t>MITIGA</w:t>
            </w:r>
            <w:r w:rsidRPr="006C2DBD">
              <w:rPr>
                <w:b/>
                <w:bCs/>
                <w:color w:val="000000"/>
                <w:sz w:val="18"/>
                <w:szCs w:val="18"/>
                <w:lang w:val="es-ES"/>
              </w:rPr>
              <w:t>CIÓN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A84C73" w:rsidP="009F20A1">
            <w:pPr>
              <w:autoSpaceDE w:val="0"/>
              <w:autoSpaceDN w:val="0"/>
              <w:adjustRightInd w:val="0"/>
              <w:spacing w:after="40"/>
              <w:jc w:val="center"/>
              <w:rPr>
                <w:b/>
                <w:bCs/>
                <w:color w:val="000000"/>
                <w:sz w:val="18"/>
                <w:szCs w:val="18"/>
                <w:lang w:val="es-ES"/>
              </w:rPr>
            </w:pPr>
            <w:r w:rsidRPr="006C2DBD">
              <w:rPr>
                <w:b/>
                <w:bCs/>
                <w:color w:val="000000"/>
                <w:sz w:val="18"/>
                <w:szCs w:val="18"/>
                <w:lang w:val="es-ES"/>
              </w:rPr>
              <w:t>RESPONS</w:t>
            </w:r>
            <w:r w:rsidR="009F20A1" w:rsidRPr="006C2DBD">
              <w:rPr>
                <w:b/>
                <w:bCs/>
                <w:color w:val="000000"/>
                <w:sz w:val="18"/>
                <w:szCs w:val="18"/>
                <w:lang w:val="es-ES"/>
              </w:rPr>
              <w:t>A</w:t>
            </w:r>
            <w:r w:rsidRPr="006C2DBD">
              <w:rPr>
                <w:b/>
                <w:bCs/>
                <w:color w:val="000000"/>
                <w:sz w:val="18"/>
                <w:szCs w:val="18"/>
                <w:lang w:val="es-ES"/>
              </w:rPr>
              <w:t>BLE</w:t>
            </w:r>
          </w:p>
        </w:tc>
        <w:tc>
          <w:tcPr>
            <w:tcW w:w="26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C57A0F" w:rsidRPr="006C2DBD" w:rsidRDefault="009F20A1" w:rsidP="00283CB3">
            <w:pPr>
              <w:autoSpaceDE w:val="0"/>
              <w:autoSpaceDN w:val="0"/>
              <w:adjustRightInd w:val="0"/>
              <w:spacing w:after="40"/>
              <w:jc w:val="center"/>
              <w:rPr>
                <w:b/>
                <w:bCs/>
                <w:color w:val="000000"/>
                <w:sz w:val="18"/>
                <w:szCs w:val="18"/>
                <w:lang w:val="es-ES"/>
              </w:rPr>
            </w:pPr>
            <w:r w:rsidRPr="006C2DBD">
              <w:rPr>
                <w:b/>
                <w:bCs/>
                <w:color w:val="000000"/>
                <w:sz w:val="18"/>
                <w:szCs w:val="18"/>
                <w:lang w:val="es-ES"/>
              </w:rPr>
              <w:t>ETAPA</w:t>
            </w:r>
          </w:p>
        </w:tc>
      </w:tr>
      <w:tr w:rsidR="00C57A0F" w:rsidRPr="006C2DBD"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9F20A1" w:rsidP="009F20A1">
            <w:pPr>
              <w:autoSpaceDE w:val="0"/>
              <w:autoSpaceDN w:val="0"/>
              <w:adjustRightInd w:val="0"/>
              <w:spacing w:after="40"/>
              <w:rPr>
                <w:color w:val="000000"/>
                <w:sz w:val="18"/>
                <w:szCs w:val="18"/>
                <w:lang w:val="es-ES"/>
              </w:rPr>
            </w:pPr>
            <w:r w:rsidRPr="006C2DBD">
              <w:rPr>
                <w:color w:val="000000"/>
                <w:sz w:val="18"/>
                <w:szCs w:val="18"/>
                <w:lang w:val="es-ES"/>
              </w:rPr>
              <w:t>Preparar un Plan Integral General de Adquisiciones</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890CA6" w:rsidP="00283CB3">
            <w:pPr>
              <w:autoSpaceDE w:val="0"/>
              <w:autoSpaceDN w:val="0"/>
              <w:adjustRightInd w:val="0"/>
              <w:spacing w:after="40"/>
              <w:rPr>
                <w:color w:val="000000"/>
                <w:sz w:val="18"/>
                <w:szCs w:val="18"/>
                <w:lang w:val="es-ES"/>
              </w:rPr>
            </w:pPr>
            <w:r w:rsidRPr="006C2DBD">
              <w:rPr>
                <w:color w:val="000000"/>
                <w:sz w:val="18"/>
                <w:szCs w:val="18"/>
                <w:lang w:val="es-ES"/>
              </w:rPr>
              <w:t>UCP</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AB300B" w:rsidP="009F20A1">
            <w:pPr>
              <w:autoSpaceDE w:val="0"/>
              <w:autoSpaceDN w:val="0"/>
              <w:adjustRightInd w:val="0"/>
              <w:spacing w:after="40"/>
              <w:rPr>
                <w:color w:val="000000"/>
                <w:sz w:val="18"/>
                <w:szCs w:val="18"/>
                <w:lang w:val="es-ES"/>
              </w:rPr>
            </w:pPr>
            <w:r w:rsidRPr="006C2DBD">
              <w:rPr>
                <w:color w:val="000000"/>
                <w:sz w:val="18"/>
                <w:szCs w:val="18"/>
                <w:lang w:val="es-ES"/>
              </w:rPr>
              <w:t>Complet</w:t>
            </w:r>
            <w:r w:rsidR="009F20A1" w:rsidRPr="006C2DBD">
              <w:rPr>
                <w:color w:val="000000"/>
                <w:sz w:val="18"/>
                <w:szCs w:val="18"/>
                <w:lang w:val="es-ES"/>
              </w:rPr>
              <w:t>ado</w:t>
            </w:r>
          </w:p>
        </w:tc>
      </w:tr>
      <w:tr w:rsidR="00C57A0F" w:rsidRPr="00F702EF" w:rsidTr="005B6F44">
        <w:trPr>
          <w:trHeight w:val="534"/>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9F20A1" w:rsidP="009F20A1">
            <w:pPr>
              <w:autoSpaceDE w:val="0"/>
              <w:autoSpaceDN w:val="0"/>
              <w:adjustRightInd w:val="0"/>
              <w:spacing w:after="40"/>
              <w:rPr>
                <w:color w:val="000000"/>
                <w:sz w:val="18"/>
                <w:szCs w:val="18"/>
                <w:lang w:val="es-ES"/>
              </w:rPr>
            </w:pPr>
            <w:r w:rsidRPr="006C2DBD">
              <w:rPr>
                <w:color w:val="000000"/>
                <w:sz w:val="18"/>
                <w:szCs w:val="18"/>
                <w:lang w:val="es-ES"/>
              </w:rPr>
              <w:t xml:space="preserve">Ajustar la muestra de pliegos de licitación para las </w:t>
            </w:r>
            <w:r w:rsidR="005E48C2" w:rsidRPr="006C2DBD">
              <w:rPr>
                <w:color w:val="000000"/>
                <w:sz w:val="18"/>
                <w:szCs w:val="18"/>
                <w:lang w:val="es-ES"/>
              </w:rPr>
              <w:t>LPN</w:t>
            </w:r>
            <w:r w:rsidR="00C57A0F" w:rsidRPr="006C2DBD">
              <w:rPr>
                <w:color w:val="000000"/>
                <w:sz w:val="18"/>
                <w:szCs w:val="18"/>
                <w:lang w:val="es-ES"/>
              </w:rPr>
              <w:t xml:space="preserve">, </w:t>
            </w:r>
            <w:r w:rsidRPr="006C2DBD">
              <w:rPr>
                <w:color w:val="000000"/>
                <w:sz w:val="18"/>
                <w:szCs w:val="18"/>
                <w:lang w:val="es-ES"/>
              </w:rPr>
              <w:t>compras y contratación de consultores</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890CA6" w:rsidP="00283CB3">
            <w:pPr>
              <w:autoSpaceDE w:val="0"/>
              <w:autoSpaceDN w:val="0"/>
              <w:adjustRightInd w:val="0"/>
              <w:spacing w:after="40"/>
              <w:rPr>
                <w:color w:val="000000"/>
                <w:sz w:val="18"/>
                <w:szCs w:val="18"/>
                <w:lang w:val="es-ES"/>
              </w:rPr>
            </w:pPr>
            <w:r w:rsidRPr="006C2DBD">
              <w:rPr>
                <w:color w:val="000000"/>
                <w:sz w:val="18"/>
                <w:szCs w:val="18"/>
                <w:lang w:val="es-ES"/>
              </w:rPr>
              <w:t>UCP</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6C2DBD" w:rsidP="006C2DBD">
            <w:pPr>
              <w:autoSpaceDE w:val="0"/>
              <w:autoSpaceDN w:val="0"/>
              <w:adjustRightInd w:val="0"/>
              <w:spacing w:after="40"/>
              <w:rPr>
                <w:color w:val="000000"/>
                <w:sz w:val="18"/>
                <w:szCs w:val="18"/>
                <w:lang w:val="es-ES"/>
              </w:rPr>
            </w:pPr>
            <w:r w:rsidRPr="006C2DBD">
              <w:rPr>
                <w:color w:val="000000"/>
                <w:sz w:val="18"/>
                <w:szCs w:val="18"/>
                <w:lang w:val="es-ES"/>
              </w:rPr>
              <w:t xml:space="preserve">Antes del primer proceso de cada método </w:t>
            </w:r>
          </w:p>
        </w:tc>
      </w:tr>
      <w:tr w:rsidR="00C57A0F" w:rsidRPr="006C2DBD"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347665" w:rsidP="00347665">
            <w:pPr>
              <w:autoSpaceDE w:val="0"/>
              <w:autoSpaceDN w:val="0"/>
              <w:adjustRightInd w:val="0"/>
              <w:spacing w:after="40"/>
              <w:rPr>
                <w:color w:val="000000"/>
                <w:sz w:val="18"/>
                <w:szCs w:val="18"/>
                <w:lang w:val="es-ES"/>
              </w:rPr>
            </w:pPr>
            <w:r w:rsidRPr="006C2DBD">
              <w:rPr>
                <w:color w:val="000000"/>
                <w:sz w:val="18"/>
                <w:szCs w:val="18"/>
                <w:lang w:val="es-ES"/>
              </w:rPr>
              <w:t>Actualizar el Manual Operativo, el cual contemplará los procedimientos a seguir en la contratación del personal de apoyo así como otros gastos bajo la categoría de costos operativos, así como las plantillas y muestras de la documentación para adquisiciones como solicitudes de propuestas y cualquier otro documento de uso común en el Proyecto.</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890CA6" w:rsidP="00283CB3">
            <w:pPr>
              <w:autoSpaceDE w:val="0"/>
              <w:autoSpaceDN w:val="0"/>
              <w:adjustRightInd w:val="0"/>
              <w:spacing w:after="40"/>
              <w:rPr>
                <w:color w:val="000000"/>
                <w:sz w:val="18"/>
                <w:szCs w:val="18"/>
                <w:lang w:val="es-ES"/>
              </w:rPr>
            </w:pPr>
            <w:r w:rsidRPr="006C2DBD">
              <w:rPr>
                <w:color w:val="000000"/>
                <w:sz w:val="18"/>
                <w:szCs w:val="18"/>
                <w:lang w:val="es-ES"/>
              </w:rPr>
              <w:t>UCP</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6C2DBD" w:rsidP="00283CB3">
            <w:pPr>
              <w:autoSpaceDE w:val="0"/>
              <w:autoSpaceDN w:val="0"/>
              <w:adjustRightInd w:val="0"/>
              <w:spacing w:after="40"/>
              <w:rPr>
                <w:color w:val="000000"/>
                <w:sz w:val="18"/>
                <w:szCs w:val="18"/>
                <w:lang w:val="es-ES"/>
              </w:rPr>
            </w:pPr>
            <w:r w:rsidRPr="006C2DBD">
              <w:rPr>
                <w:color w:val="000000"/>
                <w:sz w:val="18"/>
                <w:szCs w:val="18"/>
                <w:lang w:val="es-ES"/>
              </w:rPr>
              <w:t>Completado</w:t>
            </w:r>
          </w:p>
        </w:tc>
      </w:tr>
      <w:tr w:rsidR="00C57A0F" w:rsidRPr="006C2DBD"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C57A0F" w:rsidP="00347665">
            <w:pPr>
              <w:autoSpaceDE w:val="0"/>
              <w:autoSpaceDN w:val="0"/>
              <w:adjustRightInd w:val="0"/>
              <w:spacing w:after="40"/>
              <w:rPr>
                <w:color w:val="000000"/>
                <w:sz w:val="18"/>
                <w:szCs w:val="18"/>
                <w:lang w:val="es-ES"/>
              </w:rPr>
            </w:pPr>
            <w:r w:rsidRPr="006C2DBD">
              <w:rPr>
                <w:color w:val="000000"/>
                <w:sz w:val="18"/>
                <w:szCs w:val="18"/>
                <w:lang w:val="es-ES"/>
              </w:rPr>
              <w:t>Prepar</w:t>
            </w:r>
            <w:r w:rsidR="00347665" w:rsidRPr="006C2DBD">
              <w:rPr>
                <w:color w:val="000000"/>
                <w:sz w:val="18"/>
                <w:szCs w:val="18"/>
                <w:lang w:val="es-ES"/>
              </w:rPr>
              <w:t xml:space="preserve">ar un Plan de Adquisiciones detallado para los primeros 18 meses de ejecución del Proyecto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890CA6" w:rsidP="00283CB3">
            <w:pPr>
              <w:autoSpaceDE w:val="0"/>
              <w:autoSpaceDN w:val="0"/>
              <w:adjustRightInd w:val="0"/>
              <w:spacing w:after="40"/>
              <w:rPr>
                <w:color w:val="000000"/>
                <w:sz w:val="18"/>
                <w:szCs w:val="18"/>
                <w:lang w:val="es-ES"/>
              </w:rPr>
            </w:pPr>
            <w:r w:rsidRPr="006C2DBD">
              <w:rPr>
                <w:color w:val="000000"/>
                <w:sz w:val="18"/>
                <w:szCs w:val="18"/>
                <w:lang w:val="es-ES"/>
              </w:rPr>
              <w:t>UCP</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347665" w:rsidP="00283CB3">
            <w:pPr>
              <w:autoSpaceDE w:val="0"/>
              <w:autoSpaceDN w:val="0"/>
              <w:adjustRightInd w:val="0"/>
              <w:spacing w:after="40"/>
              <w:rPr>
                <w:color w:val="000000"/>
                <w:sz w:val="18"/>
                <w:szCs w:val="18"/>
                <w:lang w:val="es-ES"/>
              </w:rPr>
            </w:pPr>
            <w:r w:rsidRPr="006C2DBD">
              <w:rPr>
                <w:color w:val="000000"/>
                <w:sz w:val="18"/>
                <w:szCs w:val="18"/>
                <w:lang w:val="es-ES"/>
              </w:rPr>
              <w:t>Completado</w:t>
            </w:r>
          </w:p>
        </w:tc>
      </w:tr>
      <w:tr w:rsidR="00C57A0F" w:rsidRPr="00F702EF"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347665" w:rsidP="006C2DBD">
            <w:pPr>
              <w:autoSpaceDE w:val="0"/>
              <w:autoSpaceDN w:val="0"/>
              <w:adjustRightInd w:val="0"/>
              <w:spacing w:after="40"/>
              <w:rPr>
                <w:color w:val="000000"/>
                <w:sz w:val="18"/>
                <w:szCs w:val="18"/>
                <w:lang w:val="es-ES"/>
              </w:rPr>
            </w:pPr>
            <w:r w:rsidRPr="006C2DBD">
              <w:rPr>
                <w:color w:val="000000"/>
                <w:sz w:val="18"/>
                <w:szCs w:val="18"/>
                <w:lang w:val="es-ES"/>
              </w:rPr>
              <w:t xml:space="preserve">Establecer </w:t>
            </w:r>
            <w:r w:rsidR="00C57A0F" w:rsidRPr="006C2DBD">
              <w:rPr>
                <w:color w:val="000000"/>
                <w:sz w:val="18"/>
                <w:szCs w:val="18"/>
                <w:lang w:val="es-ES"/>
              </w:rPr>
              <w:t xml:space="preserve">SEPA </w:t>
            </w:r>
            <w:r w:rsidR="006C2DBD" w:rsidRPr="006C2DBD">
              <w:rPr>
                <w:color w:val="000000"/>
                <w:sz w:val="18"/>
                <w:szCs w:val="18"/>
                <w:lang w:val="es-ES"/>
              </w:rPr>
              <w:t xml:space="preserve">como el sistema que servirá para </w:t>
            </w:r>
            <w:r w:rsidR="006C2DBD" w:rsidRPr="006C2DBD">
              <w:rPr>
                <w:color w:val="000000"/>
                <w:sz w:val="18"/>
                <w:szCs w:val="18"/>
                <w:lang w:val="es-ES"/>
              </w:rPr>
              <w:lastRenderedPageBreak/>
              <w:t>monitorear y agilizar el Plan de Adquisiciones</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890CA6" w:rsidP="006C2DBD">
            <w:pPr>
              <w:autoSpaceDE w:val="0"/>
              <w:autoSpaceDN w:val="0"/>
              <w:adjustRightInd w:val="0"/>
              <w:spacing w:after="40"/>
              <w:rPr>
                <w:color w:val="000000"/>
                <w:sz w:val="18"/>
                <w:szCs w:val="18"/>
                <w:lang w:val="es-ES"/>
              </w:rPr>
            </w:pPr>
            <w:r w:rsidRPr="006C2DBD">
              <w:rPr>
                <w:color w:val="000000"/>
                <w:sz w:val="18"/>
                <w:szCs w:val="18"/>
                <w:lang w:val="es-ES"/>
              </w:rPr>
              <w:lastRenderedPageBreak/>
              <w:t>UCP</w:t>
            </w:r>
            <w:r w:rsidR="009F6793" w:rsidRPr="006C2DBD">
              <w:rPr>
                <w:color w:val="000000"/>
                <w:sz w:val="18"/>
                <w:szCs w:val="18"/>
                <w:lang w:val="es-ES"/>
              </w:rPr>
              <w:t xml:space="preserve"> / </w:t>
            </w:r>
            <w:r w:rsidR="006C2DBD" w:rsidRPr="006C2DBD">
              <w:rPr>
                <w:color w:val="000000"/>
                <w:sz w:val="18"/>
                <w:szCs w:val="18"/>
                <w:lang w:val="es-ES"/>
              </w:rPr>
              <w:t>Banco Mundial</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6C2DBD" w:rsidP="00283CB3">
            <w:pPr>
              <w:autoSpaceDE w:val="0"/>
              <w:autoSpaceDN w:val="0"/>
              <w:adjustRightInd w:val="0"/>
              <w:spacing w:after="40"/>
              <w:rPr>
                <w:color w:val="000000"/>
                <w:sz w:val="18"/>
                <w:szCs w:val="18"/>
                <w:lang w:val="es-ES"/>
              </w:rPr>
            </w:pPr>
            <w:r w:rsidRPr="006C2DBD">
              <w:rPr>
                <w:color w:val="000000"/>
                <w:sz w:val="18"/>
                <w:szCs w:val="18"/>
                <w:lang w:val="es-ES"/>
              </w:rPr>
              <w:t xml:space="preserve">Después de entrada en vigencia </w:t>
            </w:r>
            <w:r w:rsidRPr="006C2DBD">
              <w:rPr>
                <w:color w:val="000000"/>
                <w:sz w:val="18"/>
                <w:szCs w:val="18"/>
                <w:lang w:val="es-ES"/>
              </w:rPr>
              <w:lastRenderedPageBreak/>
              <w:t xml:space="preserve">del </w:t>
            </w:r>
            <w:r>
              <w:rPr>
                <w:color w:val="000000"/>
                <w:sz w:val="18"/>
                <w:szCs w:val="18"/>
                <w:lang w:val="es-ES"/>
              </w:rPr>
              <w:t>crédito</w:t>
            </w:r>
          </w:p>
        </w:tc>
      </w:tr>
      <w:tr w:rsidR="00C57A0F" w:rsidRPr="00F702EF"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6C2DBD" w:rsidP="00283CB3">
            <w:pPr>
              <w:autoSpaceDE w:val="0"/>
              <w:autoSpaceDN w:val="0"/>
              <w:adjustRightInd w:val="0"/>
              <w:spacing w:after="40"/>
              <w:rPr>
                <w:color w:val="000000"/>
                <w:sz w:val="18"/>
                <w:szCs w:val="18"/>
                <w:lang w:val="es-NI"/>
              </w:rPr>
            </w:pPr>
            <w:r w:rsidRPr="006C2DBD">
              <w:rPr>
                <w:color w:val="000000"/>
                <w:sz w:val="18"/>
                <w:szCs w:val="18"/>
                <w:lang w:val="es-NI"/>
              </w:rPr>
              <w:lastRenderedPageBreak/>
              <w:t xml:space="preserve">El personal actual </w:t>
            </w:r>
            <w:r>
              <w:rPr>
                <w:color w:val="000000"/>
                <w:sz w:val="18"/>
                <w:szCs w:val="18"/>
                <w:lang w:val="es-NI"/>
              </w:rPr>
              <w:t>debe seguir trabajando en la ejecución del Proyecto (minimizar rotación de personal)</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5B6F44" w:rsidP="00283CB3">
            <w:pPr>
              <w:autoSpaceDE w:val="0"/>
              <w:autoSpaceDN w:val="0"/>
              <w:adjustRightInd w:val="0"/>
              <w:spacing w:after="40"/>
              <w:rPr>
                <w:color w:val="000000"/>
                <w:sz w:val="18"/>
                <w:szCs w:val="18"/>
                <w:lang w:val="es-ES"/>
              </w:rPr>
            </w:pPr>
            <w:r w:rsidRPr="006C2DBD">
              <w:rPr>
                <w:color w:val="000000"/>
                <w:sz w:val="18"/>
                <w:szCs w:val="18"/>
                <w:lang w:val="es-ES"/>
              </w:rPr>
              <w:t>PGR</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6C2DBD" w:rsidP="00283CB3">
            <w:pPr>
              <w:autoSpaceDE w:val="0"/>
              <w:autoSpaceDN w:val="0"/>
              <w:adjustRightInd w:val="0"/>
              <w:spacing w:after="40"/>
              <w:rPr>
                <w:color w:val="000000"/>
                <w:sz w:val="18"/>
                <w:szCs w:val="18"/>
                <w:lang w:val="es-ES"/>
              </w:rPr>
            </w:pPr>
            <w:r w:rsidRPr="006C2DBD">
              <w:rPr>
                <w:color w:val="000000"/>
                <w:sz w:val="18"/>
                <w:szCs w:val="18"/>
                <w:lang w:val="es-ES"/>
              </w:rPr>
              <w:t>Durante el periodo de ejecución</w:t>
            </w:r>
          </w:p>
        </w:tc>
      </w:tr>
      <w:tr w:rsidR="00C57A0F" w:rsidRPr="00F702EF" w:rsidTr="00C64CD0">
        <w:trPr>
          <w:trHeight w:val="260"/>
        </w:trPr>
        <w:tc>
          <w:tcPr>
            <w:tcW w:w="4577" w:type="dxa"/>
            <w:tcBorders>
              <w:top w:val="single" w:sz="6" w:space="0" w:color="000000"/>
              <w:left w:val="single" w:sz="6" w:space="0" w:color="000000"/>
              <w:bottom w:val="single" w:sz="6" w:space="0" w:color="000000"/>
              <w:right w:val="single" w:sz="6" w:space="0" w:color="000000"/>
            </w:tcBorders>
            <w:shd w:val="clear" w:color="auto" w:fill="auto"/>
          </w:tcPr>
          <w:p w:rsidR="00C57A0F" w:rsidRPr="00FD3D4D" w:rsidRDefault="00FD3D4D" w:rsidP="00283CB3">
            <w:pPr>
              <w:autoSpaceDE w:val="0"/>
              <w:autoSpaceDN w:val="0"/>
              <w:adjustRightInd w:val="0"/>
              <w:spacing w:after="40"/>
              <w:rPr>
                <w:color w:val="000000"/>
                <w:sz w:val="18"/>
                <w:szCs w:val="18"/>
                <w:lang w:val="es-ES"/>
              </w:rPr>
            </w:pPr>
            <w:r>
              <w:rPr>
                <w:color w:val="000000"/>
                <w:sz w:val="18"/>
                <w:szCs w:val="18"/>
                <w:lang w:val="es-ES"/>
              </w:rPr>
              <w:t>Las capacitaciones periódicas sobre las transacciones de adquisiciones las recibirán el especialista en adquisiciones y el personal técnico pertinente durante todo el per</w:t>
            </w:r>
            <w:r w:rsidR="00AA2E2A">
              <w:rPr>
                <w:color w:val="000000"/>
                <w:sz w:val="18"/>
                <w:szCs w:val="18"/>
                <w:lang w:val="es-ES"/>
              </w:rPr>
              <w:t>í</w:t>
            </w:r>
            <w:r>
              <w:rPr>
                <w:color w:val="000000"/>
                <w:sz w:val="18"/>
                <w:szCs w:val="18"/>
                <w:lang w:val="es-ES"/>
              </w:rPr>
              <w:t>odo de ejecución del Proyecto a partir del sexto mes de la entrada en vigencia.</w:t>
            </w:r>
          </w:p>
        </w:tc>
        <w:tc>
          <w:tcPr>
            <w:tcW w:w="2323"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3E2950" w:rsidP="006C2DBD">
            <w:pPr>
              <w:autoSpaceDE w:val="0"/>
              <w:autoSpaceDN w:val="0"/>
              <w:adjustRightInd w:val="0"/>
              <w:spacing w:after="40"/>
              <w:rPr>
                <w:color w:val="000000"/>
                <w:sz w:val="18"/>
                <w:szCs w:val="18"/>
                <w:lang w:val="es-ES"/>
              </w:rPr>
            </w:pPr>
            <w:r w:rsidRPr="006C2DBD">
              <w:rPr>
                <w:color w:val="000000"/>
                <w:sz w:val="18"/>
                <w:szCs w:val="18"/>
                <w:lang w:val="es-ES"/>
              </w:rPr>
              <w:t>P</w:t>
            </w:r>
            <w:r w:rsidR="005B6F44" w:rsidRPr="006C2DBD">
              <w:rPr>
                <w:color w:val="000000"/>
                <w:sz w:val="18"/>
                <w:szCs w:val="18"/>
                <w:lang w:val="es-ES"/>
              </w:rPr>
              <w:t xml:space="preserve">GR / </w:t>
            </w:r>
            <w:r w:rsidR="006C2DBD" w:rsidRPr="006C2DBD">
              <w:rPr>
                <w:color w:val="000000"/>
                <w:sz w:val="18"/>
                <w:szCs w:val="18"/>
                <w:lang w:val="es-ES"/>
              </w:rPr>
              <w:t>Banco Mundial</w:t>
            </w:r>
          </w:p>
        </w:tc>
        <w:tc>
          <w:tcPr>
            <w:tcW w:w="2676" w:type="dxa"/>
            <w:tcBorders>
              <w:top w:val="single" w:sz="6" w:space="0" w:color="000000"/>
              <w:left w:val="single" w:sz="6" w:space="0" w:color="000000"/>
              <w:bottom w:val="single" w:sz="6" w:space="0" w:color="000000"/>
              <w:right w:val="single" w:sz="6" w:space="0" w:color="000000"/>
            </w:tcBorders>
            <w:shd w:val="clear" w:color="auto" w:fill="auto"/>
          </w:tcPr>
          <w:p w:rsidR="00C57A0F" w:rsidRPr="006C2DBD" w:rsidRDefault="005B6F44" w:rsidP="006C2DBD">
            <w:pPr>
              <w:autoSpaceDE w:val="0"/>
              <w:autoSpaceDN w:val="0"/>
              <w:adjustRightInd w:val="0"/>
              <w:spacing w:after="40"/>
              <w:rPr>
                <w:color w:val="000000"/>
                <w:sz w:val="18"/>
                <w:szCs w:val="18"/>
                <w:lang w:val="es-ES"/>
              </w:rPr>
            </w:pPr>
            <w:r w:rsidRPr="006C2DBD">
              <w:rPr>
                <w:color w:val="000000"/>
                <w:sz w:val="18"/>
                <w:szCs w:val="18"/>
                <w:lang w:val="es-ES"/>
              </w:rPr>
              <w:t>Dur</w:t>
            </w:r>
            <w:r w:rsidR="006C2DBD" w:rsidRPr="006C2DBD">
              <w:rPr>
                <w:color w:val="000000"/>
                <w:sz w:val="18"/>
                <w:szCs w:val="18"/>
                <w:lang w:val="es-ES"/>
              </w:rPr>
              <w:t xml:space="preserve">ante el periodo de ejecución </w:t>
            </w:r>
          </w:p>
        </w:tc>
      </w:tr>
    </w:tbl>
    <w:p w:rsidR="008F4A67" w:rsidRPr="002302AF" w:rsidRDefault="008F4A67" w:rsidP="002302AF">
      <w:pPr>
        <w:autoSpaceDE w:val="0"/>
        <w:autoSpaceDN w:val="0"/>
        <w:adjustRightInd w:val="0"/>
        <w:jc w:val="both"/>
        <w:rPr>
          <w:sz w:val="23"/>
          <w:szCs w:val="23"/>
          <w:lang w:val="es-ES"/>
        </w:rPr>
      </w:pPr>
    </w:p>
    <w:p w:rsidR="00441478" w:rsidRPr="002302AF" w:rsidRDefault="00BA7EFA" w:rsidP="00FF33C1">
      <w:pPr>
        <w:pStyle w:val="ListParagraph"/>
        <w:numPr>
          <w:ilvl w:val="0"/>
          <w:numId w:val="18"/>
        </w:numPr>
        <w:autoSpaceDE w:val="0"/>
        <w:autoSpaceDN w:val="0"/>
        <w:adjustRightInd w:val="0"/>
        <w:jc w:val="both"/>
        <w:rPr>
          <w:sz w:val="23"/>
          <w:szCs w:val="23"/>
          <w:lang w:val="es-ES"/>
        </w:rPr>
      </w:pPr>
      <w:r w:rsidRPr="002302AF">
        <w:rPr>
          <w:sz w:val="23"/>
          <w:szCs w:val="23"/>
          <w:lang w:val="es-ES"/>
        </w:rPr>
        <w:t xml:space="preserve">En términos generales, el nivel de riesgo asociado con las adquisiciones se cataloga como Moderado, tomando en cuenta el riesgo </w:t>
      </w:r>
      <w:r w:rsidR="00AA2E2A">
        <w:rPr>
          <w:sz w:val="23"/>
          <w:szCs w:val="23"/>
          <w:lang w:val="es-ES"/>
        </w:rPr>
        <w:t xml:space="preserve">del </w:t>
      </w:r>
      <w:r w:rsidRPr="002302AF">
        <w:rPr>
          <w:sz w:val="23"/>
          <w:szCs w:val="23"/>
          <w:lang w:val="es-ES"/>
        </w:rPr>
        <w:t xml:space="preserve">país y las capacidades de las agencias co-ejecutoras </w:t>
      </w:r>
      <w:r w:rsidR="00441478" w:rsidRPr="002302AF">
        <w:rPr>
          <w:sz w:val="23"/>
          <w:szCs w:val="23"/>
          <w:lang w:val="es-ES"/>
        </w:rPr>
        <w:t>para llevar a cabo las operaciones de adquisiciones. El nivel de riesgo del Proyecto se volverá a evaluar una vez que haya evidencia de la aplicación adecuada de las medidas de mitigación antes mencionadas.</w:t>
      </w:r>
    </w:p>
    <w:p w:rsidR="00BA7EFA" w:rsidRPr="002302AF" w:rsidRDefault="00BA7EFA" w:rsidP="00441478">
      <w:pPr>
        <w:pStyle w:val="ListParagraph"/>
        <w:autoSpaceDE w:val="0"/>
        <w:autoSpaceDN w:val="0"/>
        <w:adjustRightInd w:val="0"/>
        <w:ind w:left="0"/>
        <w:jc w:val="both"/>
        <w:rPr>
          <w:sz w:val="23"/>
          <w:szCs w:val="23"/>
          <w:lang w:val="es-ES"/>
        </w:rPr>
      </w:pPr>
    </w:p>
    <w:p w:rsidR="004E4A71" w:rsidRPr="002302AF" w:rsidRDefault="00441478" w:rsidP="00441478">
      <w:pPr>
        <w:pStyle w:val="ListParagraph"/>
        <w:numPr>
          <w:ilvl w:val="0"/>
          <w:numId w:val="18"/>
        </w:numPr>
        <w:autoSpaceDE w:val="0"/>
        <w:autoSpaceDN w:val="0"/>
        <w:adjustRightInd w:val="0"/>
        <w:jc w:val="both"/>
        <w:rPr>
          <w:sz w:val="23"/>
          <w:szCs w:val="23"/>
          <w:lang w:val="es-ES"/>
        </w:rPr>
      </w:pPr>
      <w:r w:rsidRPr="002302AF">
        <w:rPr>
          <w:sz w:val="23"/>
          <w:szCs w:val="23"/>
          <w:lang w:val="es-ES"/>
        </w:rPr>
        <w:t xml:space="preserve">La PGR elaboró un Plan de Adquisiciones integral y detallado que cubre el alcance de todo el Proyecto, el cual incluye todos los contratos que requieren de invitaciones a licitar y de solicitud de propuestas a emitir en los primeros 18 meses de ejecución del Proyecto. El Plan de Adquisiciones se dará a conocer a través del Sistema de Ejecución de Planes de Adquisiciones </w:t>
      </w:r>
      <w:r w:rsidR="004E4A71" w:rsidRPr="002302AF">
        <w:rPr>
          <w:sz w:val="23"/>
          <w:szCs w:val="23"/>
          <w:lang w:val="es-ES"/>
        </w:rPr>
        <w:t>(SEPA).</w:t>
      </w:r>
    </w:p>
    <w:p w:rsidR="00947ACA" w:rsidRPr="002302AF" w:rsidRDefault="00947ACA" w:rsidP="00947ACA">
      <w:pPr>
        <w:pStyle w:val="ListParagraph"/>
        <w:autoSpaceDE w:val="0"/>
        <w:autoSpaceDN w:val="0"/>
        <w:adjustRightInd w:val="0"/>
        <w:ind w:left="0"/>
        <w:jc w:val="both"/>
        <w:rPr>
          <w:sz w:val="23"/>
          <w:szCs w:val="23"/>
          <w:lang w:val="es-ES"/>
        </w:rPr>
      </w:pPr>
    </w:p>
    <w:p w:rsidR="00947ACA" w:rsidRPr="00441478" w:rsidRDefault="00947ACA" w:rsidP="00947ACA">
      <w:pPr>
        <w:pStyle w:val="ListParagraph"/>
        <w:autoSpaceDE w:val="0"/>
        <w:autoSpaceDN w:val="0"/>
        <w:adjustRightInd w:val="0"/>
        <w:ind w:left="0"/>
        <w:jc w:val="both"/>
        <w:rPr>
          <w:b/>
          <w:lang w:val="es-ES"/>
        </w:rPr>
      </w:pPr>
      <w:r w:rsidRPr="00441478">
        <w:rPr>
          <w:b/>
          <w:lang w:val="es-ES"/>
        </w:rPr>
        <w:t>Audit</w:t>
      </w:r>
      <w:r w:rsidR="00441478" w:rsidRPr="00441478">
        <w:rPr>
          <w:b/>
          <w:lang w:val="es-ES"/>
        </w:rPr>
        <w:t>orías Anuales de Adquisiciones</w:t>
      </w:r>
    </w:p>
    <w:p w:rsidR="00947ACA" w:rsidRPr="002302AF" w:rsidRDefault="00947ACA" w:rsidP="00947ACA">
      <w:pPr>
        <w:pStyle w:val="ListParagraph"/>
        <w:autoSpaceDE w:val="0"/>
        <w:autoSpaceDN w:val="0"/>
        <w:adjustRightInd w:val="0"/>
        <w:ind w:left="0"/>
        <w:jc w:val="both"/>
        <w:rPr>
          <w:sz w:val="23"/>
          <w:szCs w:val="23"/>
          <w:lang w:val="es-ES"/>
        </w:rPr>
      </w:pPr>
    </w:p>
    <w:p w:rsidR="00D030D6" w:rsidRPr="002302AF" w:rsidRDefault="002C4E5E" w:rsidP="00FF33C1">
      <w:pPr>
        <w:pStyle w:val="ListParagraph"/>
        <w:numPr>
          <w:ilvl w:val="0"/>
          <w:numId w:val="18"/>
        </w:numPr>
        <w:jc w:val="both"/>
        <w:rPr>
          <w:sz w:val="23"/>
          <w:szCs w:val="23"/>
          <w:lang w:val="es-ES"/>
        </w:rPr>
      </w:pPr>
      <w:r w:rsidRPr="002302AF">
        <w:rPr>
          <w:sz w:val="23"/>
          <w:szCs w:val="23"/>
          <w:lang w:val="es-ES"/>
        </w:rPr>
        <w:t xml:space="preserve">La </w:t>
      </w:r>
      <w:r w:rsidR="00947ACA" w:rsidRPr="002302AF">
        <w:rPr>
          <w:sz w:val="23"/>
          <w:szCs w:val="23"/>
          <w:lang w:val="es-ES"/>
        </w:rPr>
        <w:t xml:space="preserve">PGR </w:t>
      </w:r>
      <w:r w:rsidRPr="002302AF">
        <w:rPr>
          <w:sz w:val="23"/>
          <w:szCs w:val="23"/>
          <w:lang w:val="es-ES"/>
        </w:rPr>
        <w:t>deberá</w:t>
      </w:r>
      <w:r w:rsidR="00D030D6" w:rsidRPr="002302AF">
        <w:rPr>
          <w:sz w:val="23"/>
          <w:szCs w:val="23"/>
          <w:lang w:val="es-ES"/>
        </w:rPr>
        <w:t>: (</w:t>
      </w:r>
      <w:r w:rsidR="00947ACA" w:rsidRPr="002302AF">
        <w:rPr>
          <w:sz w:val="23"/>
          <w:szCs w:val="23"/>
          <w:lang w:val="es-ES"/>
        </w:rPr>
        <w:t xml:space="preserve">i) </w:t>
      </w:r>
      <w:r w:rsidR="00D030D6" w:rsidRPr="002302AF">
        <w:rPr>
          <w:sz w:val="23"/>
          <w:szCs w:val="23"/>
          <w:lang w:val="es-ES"/>
        </w:rPr>
        <w:t>someter a auditoria todos los registros y documentación de cada año fiscal del Proyecto,</w:t>
      </w:r>
      <w:r w:rsidR="00AA2E2A">
        <w:rPr>
          <w:sz w:val="23"/>
          <w:szCs w:val="23"/>
          <w:lang w:val="es-ES"/>
        </w:rPr>
        <w:t xml:space="preserve"> </w:t>
      </w:r>
      <w:r w:rsidR="00D030D6" w:rsidRPr="002302AF">
        <w:rPr>
          <w:sz w:val="23"/>
          <w:szCs w:val="23"/>
          <w:lang w:val="es-ES"/>
        </w:rPr>
        <w:t>conform</w:t>
      </w:r>
      <w:r w:rsidR="00AA2E2A">
        <w:rPr>
          <w:sz w:val="23"/>
          <w:szCs w:val="23"/>
          <w:lang w:val="es-ES"/>
        </w:rPr>
        <w:t xml:space="preserve">e a </w:t>
      </w:r>
      <w:r w:rsidR="00D030D6" w:rsidRPr="002302AF">
        <w:rPr>
          <w:sz w:val="23"/>
          <w:szCs w:val="23"/>
          <w:lang w:val="es-ES"/>
        </w:rPr>
        <w:t xml:space="preserve"> los principios de auditoría de adquisiciones. Los auditores independientes deberán </w:t>
      </w:r>
      <w:r w:rsidR="00AA2E2A">
        <w:rPr>
          <w:sz w:val="23"/>
          <w:szCs w:val="23"/>
          <w:lang w:val="es-ES"/>
        </w:rPr>
        <w:t>ser aceptables para</w:t>
      </w:r>
      <w:r w:rsidR="00F702EF">
        <w:rPr>
          <w:sz w:val="23"/>
          <w:szCs w:val="23"/>
          <w:lang w:val="es-ES"/>
        </w:rPr>
        <w:t xml:space="preserve"> </w:t>
      </w:r>
      <w:r w:rsidR="00D030D6" w:rsidRPr="002302AF">
        <w:rPr>
          <w:sz w:val="23"/>
          <w:szCs w:val="23"/>
          <w:lang w:val="es-ES"/>
        </w:rPr>
        <w:t xml:space="preserve">el Banco Mundial; (ii) </w:t>
      </w:r>
      <w:r w:rsidR="008757DB" w:rsidRPr="002302AF">
        <w:rPr>
          <w:sz w:val="23"/>
          <w:szCs w:val="23"/>
          <w:lang w:val="es-ES"/>
        </w:rPr>
        <w:t xml:space="preserve">Remitirle al Banco Mundial lo más pronto posible, pero bajo ninguna circunstancia más allá de los seis meses después del final del año fiscal en cuestión, el informe de auditoría de las </w:t>
      </w:r>
      <w:r w:rsidR="00A8651E" w:rsidRPr="002302AF">
        <w:rPr>
          <w:sz w:val="23"/>
          <w:szCs w:val="23"/>
          <w:lang w:val="es-ES"/>
        </w:rPr>
        <w:t xml:space="preserve">operaciones de adquisiciones, </w:t>
      </w:r>
      <w:r w:rsidR="00777839" w:rsidRPr="002302AF">
        <w:rPr>
          <w:sz w:val="23"/>
          <w:szCs w:val="23"/>
          <w:lang w:val="es-ES"/>
        </w:rPr>
        <w:t>elaborado</w:t>
      </w:r>
      <w:r w:rsidR="00A8651E" w:rsidRPr="002302AF">
        <w:rPr>
          <w:sz w:val="23"/>
          <w:szCs w:val="23"/>
          <w:lang w:val="es-ES"/>
        </w:rPr>
        <w:t xml:space="preserve"> por los auditores, con un alcance y detalle que el </w:t>
      </w:r>
      <w:r w:rsidR="00777839" w:rsidRPr="002302AF">
        <w:rPr>
          <w:sz w:val="23"/>
          <w:szCs w:val="23"/>
          <w:lang w:val="es-ES"/>
        </w:rPr>
        <w:t>banco</w:t>
      </w:r>
      <w:r w:rsidR="00F24324">
        <w:rPr>
          <w:sz w:val="23"/>
          <w:szCs w:val="23"/>
          <w:lang w:val="es-ES"/>
        </w:rPr>
        <w:t xml:space="preserve"> </w:t>
      </w:r>
      <w:r w:rsidR="00777839" w:rsidRPr="002302AF">
        <w:rPr>
          <w:sz w:val="23"/>
          <w:szCs w:val="23"/>
          <w:lang w:val="es-ES"/>
        </w:rPr>
        <w:t>razonablemente</w:t>
      </w:r>
      <w:r w:rsidR="00A8651E" w:rsidRPr="002302AF">
        <w:rPr>
          <w:sz w:val="23"/>
          <w:szCs w:val="23"/>
          <w:lang w:val="es-ES"/>
        </w:rPr>
        <w:t xml:space="preserve"> solicite; (iii) Mandarle </w:t>
      </w:r>
      <w:r w:rsidR="00777839" w:rsidRPr="002302AF">
        <w:rPr>
          <w:sz w:val="23"/>
          <w:szCs w:val="23"/>
          <w:lang w:val="es-ES"/>
        </w:rPr>
        <w:t>a</w:t>
      </w:r>
      <w:r w:rsidR="00A8651E" w:rsidRPr="002302AF">
        <w:rPr>
          <w:sz w:val="23"/>
          <w:szCs w:val="23"/>
          <w:lang w:val="es-ES"/>
        </w:rPr>
        <w:t>l banco cualquier</w:t>
      </w:r>
      <w:r w:rsidR="00F24324">
        <w:rPr>
          <w:sz w:val="23"/>
          <w:szCs w:val="23"/>
          <w:lang w:val="es-ES"/>
        </w:rPr>
        <w:t xml:space="preserve"> </w:t>
      </w:r>
      <w:r w:rsidR="00A8651E" w:rsidRPr="002302AF">
        <w:rPr>
          <w:sz w:val="23"/>
          <w:szCs w:val="23"/>
          <w:lang w:val="es-ES"/>
        </w:rPr>
        <w:t xml:space="preserve">otra información relativa a los registros y documentación de las operaciones de </w:t>
      </w:r>
      <w:r w:rsidR="00777839" w:rsidRPr="002302AF">
        <w:rPr>
          <w:sz w:val="23"/>
          <w:szCs w:val="23"/>
          <w:lang w:val="es-ES"/>
        </w:rPr>
        <w:t>adquisición</w:t>
      </w:r>
      <w:r w:rsidR="00A8651E" w:rsidRPr="002302AF">
        <w:rPr>
          <w:sz w:val="23"/>
          <w:szCs w:val="23"/>
          <w:lang w:val="es-ES"/>
        </w:rPr>
        <w:t xml:space="preserve">, así como la revisión que </w:t>
      </w:r>
      <w:r w:rsidR="00777839" w:rsidRPr="002302AF">
        <w:rPr>
          <w:sz w:val="23"/>
          <w:szCs w:val="23"/>
          <w:lang w:val="es-ES"/>
        </w:rPr>
        <w:t>de manera periódica y razonable requiera el Banco Mundial.</w:t>
      </w:r>
    </w:p>
    <w:p w:rsidR="00777839" w:rsidRPr="002302AF" w:rsidRDefault="00777839" w:rsidP="00777839">
      <w:pPr>
        <w:pStyle w:val="ListParagraph"/>
        <w:ind w:left="0"/>
        <w:jc w:val="both"/>
        <w:rPr>
          <w:sz w:val="23"/>
          <w:szCs w:val="23"/>
          <w:lang w:val="es-ES"/>
        </w:rPr>
      </w:pPr>
    </w:p>
    <w:p w:rsidR="00C57A0F" w:rsidRPr="00777839" w:rsidRDefault="00C57A0F" w:rsidP="00C57A0F">
      <w:pPr>
        <w:ind w:firstLine="720"/>
        <w:rPr>
          <w:b/>
          <w:bCs/>
          <w:lang w:val="es-ES"/>
        </w:rPr>
      </w:pPr>
      <w:r w:rsidRPr="00441478">
        <w:rPr>
          <w:b/>
          <w:bCs/>
          <w:lang w:val="es-ES"/>
        </w:rPr>
        <w:t xml:space="preserve">C. </w:t>
      </w:r>
      <w:r w:rsidR="00777839">
        <w:rPr>
          <w:b/>
          <w:bCs/>
          <w:lang w:val="es-ES"/>
        </w:rPr>
        <w:t>Disposicio</w:t>
      </w:r>
      <w:r w:rsidR="00777839" w:rsidRPr="00777839">
        <w:rPr>
          <w:b/>
          <w:bCs/>
          <w:lang w:val="es-ES"/>
        </w:rPr>
        <w:t xml:space="preserve">nes Especiales de las Operaciones de Adquisición </w:t>
      </w:r>
    </w:p>
    <w:p w:rsidR="00C57A0F" w:rsidRPr="00074A91" w:rsidRDefault="00C57A0F" w:rsidP="00C57A0F">
      <w:pPr>
        <w:ind w:firstLine="720"/>
        <w:rPr>
          <w:b/>
          <w:bCs/>
          <w:sz w:val="23"/>
          <w:szCs w:val="23"/>
          <w:lang w:val="es-ES"/>
        </w:rPr>
      </w:pPr>
    </w:p>
    <w:p w:rsidR="002D20FC" w:rsidRPr="00074A91" w:rsidRDefault="00777839" w:rsidP="002D20FC">
      <w:pPr>
        <w:pStyle w:val="ListParagraph"/>
        <w:numPr>
          <w:ilvl w:val="0"/>
          <w:numId w:val="18"/>
        </w:numPr>
        <w:rPr>
          <w:b/>
          <w:bCs/>
          <w:sz w:val="23"/>
          <w:szCs w:val="23"/>
          <w:lang w:val="es-NI"/>
        </w:rPr>
      </w:pPr>
      <w:r w:rsidRPr="00074A91">
        <w:rPr>
          <w:color w:val="000000"/>
          <w:sz w:val="23"/>
          <w:szCs w:val="23"/>
          <w:lang w:val="es-NI"/>
        </w:rPr>
        <w:t>Además y sin</w:t>
      </w:r>
      <w:r w:rsidR="005C7036" w:rsidRPr="00074A91">
        <w:rPr>
          <w:color w:val="000000"/>
          <w:sz w:val="23"/>
          <w:szCs w:val="23"/>
          <w:lang w:val="es-NI"/>
        </w:rPr>
        <w:t xml:space="preserve"> carácter taxativo contra otras disposiciones estipuladas en la presente sección, las Normas de</w:t>
      </w:r>
      <w:r w:rsidR="00F24324">
        <w:rPr>
          <w:color w:val="000000"/>
          <w:sz w:val="23"/>
          <w:szCs w:val="23"/>
          <w:lang w:val="es-NI"/>
        </w:rPr>
        <w:t xml:space="preserve"> </w:t>
      </w:r>
      <w:r w:rsidR="002D0230" w:rsidRPr="00074A91">
        <w:rPr>
          <w:color w:val="000000"/>
          <w:sz w:val="23"/>
          <w:szCs w:val="23"/>
          <w:lang w:val="es-NI"/>
        </w:rPr>
        <w:t>Adquisición, las Normas de Contratación de Consultores,</w:t>
      </w:r>
      <w:r w:rsidR="002D20FC" w:rsidRPr="00074A91">
        <w:rPr>
          <w:color w:val="000000"/>
          <w:sz w:val="23"/>
          <w:szCs w:val="23"/>
          <w:lang w:val="es-NI"/>
        </w:rPr>
        <w:t xml:space="preserve"> los siguientes principios de adquisición regularán de manera las adquisiciones de obras, bienes, servicios distintos a los de consultoría y consultorías, según corresponda:</w:t>
      </w:r>
    </w:p>
    <w:p w:rsidR="00C57A0F" w:rsidRPr="00074A91" w:rsidRDefault="00C57A0F" w:rsidP="002D20FC">
      <w:pPr>
        <w:pStyle w:val="ListParagraph"/>
        <w:ind w:left="0"/>
        <w:rPr>
          <w:b/>
          <w:bCs/>
          <w:sz w:val="23"/>
          <w:szCs w:val="23"/>
          <w:lang w:val="es-NI"/>
        </w:rPr>
      </w:pP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A l</w:t>
      </w:r>
      <w:r w:rsidR="00C97107">
        <w:rPr>
          <w:color w:val="000000"/>
          <w:sz w:val="23"/>
          <w:szCs w:val="23"/>
          <w:lang w:val="es-ES"/>
        </w:rPr>
        <w:t>a</w:t>
      </w:r>
      <w:r w:rsidRPr="00074A91">
        <w:rPr>
          <w:color w:val="000000"/>
          <w:sz w:val="23"/>
          <w:szCs w:val="23"/>
          <w:lang w:val="es-ES"/>
        </w:rPr>
        <w:t xml:space="preserve">s </w:t>
      </w:r>
      <w:r w:rsidR="00C97107">
        <w:rPr>
          <w:color w:val="000000"/>
          <w:sz w:val="23"/>
          <w:szCs w:val="23"/>
          <w:lang w:val="es-ES"/>
        </w:rPr>
        <w:t xml:space="preserve">personas </w:t>
      </w:r>
      <w:r w:rsidRPr="00074A91">
        <w:rPr>
          <w:color w:val="000000"/>
          <w:sz w:val="23"/>
          <w:szCs w:val="23"/>
          <w:lang w:val="es-ES"/>
        </w:rPr>
        <w:t>licitantes extranjer</w:t>
      </w:r>
      <w:r w:rsidR="00C97107">
        <w:rPr>
          <w:color w:val="000000"/>
          <w:sz w:val="23"/>
          <w:szCs w:val="23"/>
          <w:lang w:val="es-ES"/>
        </w:rPr>
        <w:t>a</w:t>
      </w:r>
      <w:r w:rsidRPr="00074A91">
        <w:rPr>
          <w:color w:val="000000"/>
          <w:sz w:val="23"/>
          <w:szCs w:val="23"/>
          <w:lang w:val="es-ES"/>
        </w:rPr>
        <w:t>s no se les exigirá que se registren ante las autoridades locales como prerrequisito para participar en la licitación.</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Al momento de abrir los sobres, no se rechazará ninguna oferta ni se harán adjudicaciones provisionales.</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Para favorecer la aceptación de las licitaciones, la metodología de solicitud de ofertas no establecerá techos máximos o mínimos en los precios a contratar.</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La Invitación a Licitar no deberá revelar el costo estimado del contrato.</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lastRenderedPageBreak/>
        <w:t>En caso de compras, será necesario obtener tres cotizaciones mínimas para poder adjudicar el Contrato.</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 xml:space="preserve">Salvo disposición contraria acordada por el Banco Mundial, en el caso de bienes y servicios distintos a los de consultoría, la “mejor oferta” será aquella remitida por el licitante, cuya oferta fue determinada con el menor precio evaluado y que responde </w:t>
      </w:r>
      <w:r w:rsidR="00382FD0" w:rsidRPr="00074A91">
        <w:rPr>
          <w:color w:val="000000"/>
          <w:sz w:val="23"/>
          <w:szCs w:val="23"/>
          <w:lang w:val="es-ES"/>
        </w:rPr>
        <w:t xml:space="preserve">mejor </w:t>
      </w:r>
      <w:r w:rsidRPr="00074A91">
        <w:rPr>
          <w:color w:val="000000"/>
          <w:sz w:val="23"/>
          <w:szCs w:val="23"/>
          <w:lang w:val="es-ES"/>
        </w:rPr>
        <w:t xml:space="preserve">a los requisitos de los pliegos de licitación, siempre y cuando se haya determinado que dicho oferente cumple con los requisitos necesarios para </w:t>
      </w:r>
      <w:r w:rsidR="00382FD0" w:rsidRPr="00074A91">
        <w:rPr>
          <w:color w:val="000000"/>
          <w:sz w:val="23"/>
          <w:szCs w:val="23"/>
          <w:lang w:val="es-ES"/>
        </w:rPr>
        <w:t>cumplir con</w:t>
      </w:r>
      <w:r w:rsidRPr="00074A91">
        <w:rPr>
          <w:color w:val="000000"/>
          <w:sz w:val="23"/>
          <w:szCs w:val="23"/>
          <w:lang w:val="es-ES"/>
        </w:rPr>
        <w:t xml:space="preserve"> el contrato de manera satisfactoria.</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No se les permitirán ni a l</w:t>
      </w:r>
      <w:r w:rsidR="00C97107">
        <w:rPr>
          <w:color w:val="000000"/>
          <w:sz w:val="23"/>
          <w:szCs w:val="23"/>
          <w:lang w:val="es-ES"/>
        </w:rPr>
        <w:t>a</w:t>
      </w:r>
      <w:r w:rsidRPr="00074A91">
        <w:rPr>
          <w:color w:val="000000"/>
          <w:sz w:val="23"/>
          <w:szCs w:val="23"/>
          <w:lang w:val="es-ES"/>
        </w:rPr>
        <w:t>s</w:t>
      </w:r>
      <w:r w:rsidR="00C97107">
        <w:rPr>
          <w:color w:val="000000"/>
          <w:sz w:val="23"/>
          <w:szCs w:val="23"/>
          <w:lang w:val="es-ES"/>
        </w:rPr>
        <w:t xml:space="preserve"> personas</w:t>
      </w:r>
      <w:r w:rsidRPr="00074A91">
        <w:rPr>
          <w:color w:val="000000"/>
          <w:sz w:val="23"/>
          <w:szCs w:val="23"/>
          <w:lang w:val="es-ES"/>
        </w:rPr>
        <w:t xml:space="preserve"> consultor</w:t>
      </w:r>
      <w:r w:rsidR="00C97107">
        <w:rPr>
          <w:color w:val="000000"/>
          <w:sz w:val="23"/>
          <w:szCs w:val="23"/>
          <w:lang w:val="es-ES"/>
        </w:rPr>
        <w:t>a</w:t>
      </w:r>
      <w:r w:rsidRPr="00074A91">
        <w:rPr>
          <w:color w:val="000000"/>
          <w:sz w:val="23"/>
          <w:szCs w:val="23"/>
          <w:lang w:val="es-ES"/>
        </w:rPr>
        <w:t>s ni oferentes tener acceso o sacar copias a las ofertas de otr</w:t>
      </w:r>
      <w:r w:rsidR="00C97107">
        <w:rPr>
          <w:color w:val="000000"/>
          <w:sz w:val="23"/>
          <w:szCs w:val="23"/>
          <w:lang w:val="es-ES"/>
        </w:rPr>
        <w:t>a</w:t>
      </w:r>
      <w:r w:rsidRPr="00074A91">
        <w:rPr>
          <w:color w:val="000000"/>
          <w:sz w:val="23"/>
          <w:szCs w:val="23"/>
          <w:lang w:val="es-ES"/>
        </w:rPr>
        <w:t xml:space="preserve">s </w:t>
      </w:r>
      <w:r w:rsidR="00C97107">
        <w:rPr>
          <w:color w:val="000000"/>
          <w:sz w:val="23"/>
          <w:szCs w:val="23"/>
          <w:lang w:val="es-ES"/>
        </w:rPr>
        <w:t xml:space="preserve">personas </w:t>
      </w:r>
      <w:r w:rsidRPr="00074A91">
        <w:rPr>
          <w:color w:val="000000"/>
          <w:sz w:val="23"/>
          <w:szCs w:val="23"/>
          <w:lang w:val="es-ES"/>
        </w:rPr>
        <w:t>consultor</w:t>
      </w:r>
      <w:r w:rsidR="00C97107">
        <w:rPr>
          <w:color w:val="000000"/>
          <w:sz w:val="23"/>
          <w:szCs w:val="23"/>
          <w:lang w:val="es-ES"/>
        </w:rPr>
        <w:t>a</w:t>
      </w:r>
      <w:r w:rsidRPr="00074A91">
        <w:rPr>
          <w:color w:val="000000"/>
          <w:sz w:val="23"/>
          <w:szCs w:val="23"/>
          <w:lang w:val="es-ES"/>
        </w:rPr>
        <w:t>s o licitador</w:t>
      </w:r>
      <w:r w:rsidR="00C97107">
        <w:rPr>
          <w:color w:val="000000"/>
          <w:sz w:val="23"/>
          <w:szCs w:val="23"/>
          <w:lang w:val="es-ES"/>
        </w:rPr>
        <w:t>a</w:t>
      </w:r>
      <w:r w:rsidRPr="00074A91">
        <w:rPr>
          <w:color w:val="000000"/>
          <w:sz w:val="23"/>
          <w:szCs w:val="23"/>
          <w:lang w:val="es-ES"/>
        </w:rPr>
        <w:t xml:space="preserve">s, respectivamente.  Asimismo, las respuestas de </w:t>
      </w:r>
      <w:r w:rsidR="00C97107">
        <w:rPr>
          <w:color w:val="000000"/>
          <w:sz w:val="23"/>
          <w:szCs w:val="23"/>
          <w:lang w:val="es-ES"/>
        </w:rPr>
        <w:t xml:space="preserve">personas </w:t>
      </w:r>
      <w:r w:rsidR="00C97107" w:rsidRPr="00074A91">
        <w:rPr>
          <w:color w:val="000000"/>
          <w:sz w:val="23"/>
          <w:szCs w:val="23"/>
          <w:lang w:val="es-ES"/>
        </w:rPr>
        <w:t>consultor</w:t>
      </w:r>
      <w:r w:rsidR="00C97107">
        <w:rPr>
          <w:color w:val="000000"/>
          <w:sz w:val="23"/>
          <w:szCs w:val="23"/>
          <w:lang w:val="es-ES"/>
        </w:rPr>
        <w:t>a</w:t>
      </w:r>
      <w:r w:rsidR="00C97107" w:rsidRPr="00074A91">
        <w:rPr>
          <w:color w:val="000000"/>
          <w:sz w:val="23"/>
          <w:szCs w:val="23"/>
          <w:lang w:val="es-ES"/>
        </w:rPr>
        <w:t>s o licitador</w:t>
      </w:r>
      <w:r w:rsidR="00C97107">
        <w:rPr>
          <w:color w:val="000000"/>
          <w:sz w:val="23"/>
          <w:szCs w:val="23"/>
          <w:lang w:val="es-ES"/>
        </w:rPr>
        <w:t>a</w:t>
      </w:r>
      <w:r w:rsidR="00C97107" w:rsidRPr="00074A91">
        <w:rPr>
          <w:color w:val="000000"/>
          <w:sz w:val="23"/>
          <w:szCs w:val="23"/>
          <w:lang w:val="es-ES"/>
        </w:rPr>
        <w:t xml:space="preserve">s </w:t>
      </w:r>
      <w:r w:rsidRPr="00074A91">
        <w:rPr>
          <w:color w:val="000000"/>
          <w:sz w:val="23"/>
          <w:szCs w:val="23"/>
          <w:lang w:val="es-ES"/>
        </w:rPr>
        <w:t>ante las solicitudes de aclaración requeridas por la entidad responsable de la adquisición o contratación durante la licitación no serán dadas a conocer a otr</w:t>
      </w:r>
      <w:r w:rsidR="00C97107">
        <w:rPr>
          <w:color w:val="000000"/>
          <w:sz w:val="23"/>
          <w:szCs w:val="23"/>
          <w:lang w:val="es-ES"/>
        </w:rPr>
        <w:t>a</w:t>
      </w:r>
      <w:r w:rsidRPr="00074A91">
        <w:rPr>
          <w:color w:val="000000"/>
          <w:sz w:val="23"/>
          <w:szCs w:val="23"/>
          <w:lang w:val="es-ES"/>
        </w:rPr>
        <w:t xml:space="preserve">s </w:t>
      </w:r>
      <w:r w:rsidR="00C97107">
        <w:rPr>
          <w:color w:val="000000"/>
          <w:sz w:val="23"/>
          <w:szCs w:val="23"/>
          <w:lang w:val="es-ES"/>
        </w:rPr>
        <w:t xml:space="preserve">personas </w:t>
      </w:r>
      <w:r w:rsidRPr="00074A91">
        <w:rPr>
          <w:color w:val="000000"/>
          <w:sz w:val="23"/>
          <w:szCs w:val="23"/>
          <w:lang w:val="es-ES"/>
        </w:rPr>
        <w:t>consultor</w:t>
      </w:r>
      <w:r w:rsidR="00C97107">
        <w:rPr>
          <w:color w:val="000000"/>
          <w:sz w:val="23"/>
          <w:szCs w:val="23"/>
          <w:lang w:val="es-ES"/>
        </w:rPr>
        <w:t>a</w:t>
      </w:r>
      <w:r w:rsidRPr="00074A91">
        <w:rPr>
          <w:color w:val="000000"/>
          <w:sz w:val="23"/>
          <w:szCs w:val="23"/>
          <w:lang w:val="es-ES"/>
        </w:rPr>
        <w:t>s o postor</w:t>
      </w:r>
      <w:r w:rsidR="00C97107">
        <w:rPr>
          <w:color w:val="000000"/>
          <w:sz w:val="23"/>
          <w:szCs w:val="23"/>
          <w:lang w:val="es-ES"/>
        </w:rPr>
        <w:t>a</w:t>
      </w:r>
      <w:r w:rsidRPr="00074A91">
        <w:rPr>
          <w:color w:val="000000"/>
          <w:sz w:val="23"/>
          <w:szCs w:val="23"/>
          <w:lang w:val="es-ES"/>
        </w:rPr>
        <w:t>s, según corresponda el caso. Finamente, los informes que incluyan recomendaciones de adjudicación no se darán a conocer a l</w:t>
      </w:r>
      <w:r w:rsidR="00C97107">
        <w:rPr>
          <w:color w:val="000000"/>
          <w:sz w:val="23"/>
          <w:szCs w:val="23"/>
          <w:lang w:val="es-ES"/>
        </w:rPr>
        <w:t>a</w:t>
      </w:r>
      <w:r w:rsidRPr="00074A91">
        <w:rPr>
          <w:color w:val="000000"/>
          <w:sz w:val="23"/>
          <w:szCs w:val="23"/>
          <w:lang w:val="es-ES"/>
        </w:rPr>
        <w:t>s</w:t>
      </w:r>
      <w:r w:rsidR="00C97107">
        <w:rPr>
          <w:color w:val="000000"/>
          <w:sz w:val="23"/>
          <w:szCs w:val="23"/>
          <w:lang w:val="es-ES"/>
        </w:rPr>
        <w:t xml:space="preserve"> personas</w:t>
      </w:r>
      <w:r w:rsidRPr="00074A91">
        <w:rPr>
          <w:color w:val="000000"/>
          <w:sz w:val="23"/>
          <w:szCs w:val="23"/>
          <w:lang w:val="es-ES"/>
        </w:rPr>
        <w:t xml:space="preserve"> oferentes o consultor</w:t>
      </w:r>
      <w:r w:rsidR="00C97107">
        <w:rPr>
          <w:color w:val="000000"/>
          <w:sz w:val="23"/>
          <w:szCs w:val="23"/>
          <w:lang w:val="es-ES"/>
        </w:rPr>
        <w:t>a</w:t>
      </w:r>
      <w:r w:rsidRPr="00074A91">
        <w:rPr>
          <w:color w:val="000000"/>
          <w:sz w:val="23"/>
          <w:szCs w:val="23"/>
          <w:lang w:val="es-ES"/>
        </w:rPr>
        <w:t>s antes de su publicación.</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Los criterios de elegibilidad corresponderán a los señalados en la Sección I de las Normas de Adquisiciones y Normas de Contrataciones de Consultores. Los artículos 17 y 18 de la Ley General de Contrataciones del Estado no se aplicarán.</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No se rechazarán de forma automática las ofertas o propuestas, según corresponda, debido a diferencias entre los precios ofertados y los costos estimados, por ser más caros que los porcentajes predeterminados.</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L</w:t>
      </w:r>
      <w:r w:rsidR="00C97107">
        <w:rPr>
          <w:color w:val="000000"/>
          <w:sz w:val="23"/>
          <w:szCs w:val="23"/>
          <w:lang w:val="es-ES"/>
        </w:rPr>
        <w:t>a</w:t>
      </w:r>
      <w:r w:rsidRPr="00074A91">
        <w:rPr>
          <w:color w:val="000000"/>
          <w:sz w:val="23"/>
          <w:szCs w:val="23"/>
          <w:lang w:val="es-ES"/>
        </w:rPr>
        <w:t>s</w:t>
      </w:r>
      <w:r w:rsidR="00C97107">
        <w:rPr>
          <w:color w:val="000000"/>
          <w:sz w:val="23"/>
          <w:szCs w:val="23"/>
          <w:lang w:val="es-ES"/>
        </w:rPr>
        <w:t xml:space="preserve"> personas</w:t>
      </w:r>
      <w:r w:rsidRPr="00074A91">
        <w:rPr>
          <w:color w:val="000000"/>
          <w:sz w:val="23"/>
          <w:szCs w:val="23"/>
          <w:lang w:val="es-ES"/>
        </w:rPr>
        <w:t xml:space="preserve"> oferentes tendrán la posibilidad de obtener la versión impresa de las bases del concurso, aunque estén publicadas en el portal electrónico de compras.</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A menos que se indique en los pliegos de licitación aprobados por el Banco Mundial,  no habrán ninguna reunión aclaratoria previa a la licitación.</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El plazo dado para la preparación de las ofertas no se acortará como resultado de la reformulación de la convocatoria a licitar.</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A l</w:t>
      </w:r>
      <w:r w:rsidR="00F97F25">
        <w:rPr>
          <w:color w:val="000000"/>
          <w:sz w:val="23"/>
          <w:szCs w:val="23"/>
          <w:lang w:val="es-ES"/>
        </w:rPr>
        <w:t>a</w:t>
      </w:r>
      <w:r w:rsidRPr="00074A91">
        <w:rPr>
          <w:color w:val="000000"/>
          <w:sz w:val="23"/>
          <w:szCs w:val="23"/>
          <w:lang w:val="es-ES"/>
        </w:rPr>
        <w:t>s</w:t>
      </w:r>
      <w:r w:rsidR="00F97F25">
        <w:rPr>
          <w:color w:val="000000"/>
          <w:sz w:val="23"/>
          <w:szCs w:val="23"/>
          <w:lang w:val="es-ES"/>
        </w:rPr>
        <w:t xml:space="preserve"> personas</w:t>
      </w:r>
      <w:r w:rsidRPr="00074A91">
        <w:rPr>
          <w:color w:val="000000"/>
          <w:sz w:val="23"/>
          <w:szCs w:val="23"/>
          <w:lang w:val="es-ES"/>
        </w:rPr>
        <w:t xml:space="preserve"> consultores no se les pedirá garantía de seriedad/de cumplimiento.</w:t>
      </w:r>
    </w:p>
    <w:p w:rsidR="002D20FC" w:rsidRDefault="002D20FC" w:rsidP="002D20FC">
      <w:pPr>
        <w:numPr>
          <w:ilvl w:val="0"/>
          <w:numId w:val="22"/>
        </w:numPr>
        <w:spacing w:after="240"/>
        <w:jc w:val="both"/>
        <w:rPr>
          <w:color w:val="000000"/>
          <w:sz w:val="23"/>
          <w:szCs w:val="23"/>
          <w:lang w:val="es-ES"/>
        </w:rPr>
      </w:pPr>
      <w:r w:rsidRPr="00074A91">
        <w:rPr>
          <w:color w:val="000000"/>
          <w:sz w:val="23"/>
          <w:szCs w:val="23"/>
          <w:lang w:val="es-ES"/>
        </w:rPr>
        <w:t>Se les dará atención a los reclamos de conformidad con lo dispuesto en los anexos de las Normas de Adquisiciones y Normas de Contrataciones de Consultores.  Los artículos 110 a 116 de la Ley General de Contrataciones se aplicarán de manera suplementaria.</w:t>
      </w:r>
    </w:p>
    <w:p w:rsidR="00F97F25" w:rsidRPr="00B9045A" w:rsidRDefault="00C46691" w:rsidP="002D20FC">
      <w:pPr>
        <w:numPr>
          <w:ilvl w:val="0"/>
          <w:numId w:val="22"/>
        </w:numPr>
        <w:spacing w:after="240"/>
        <w:jc w:val="both"/>
        <w:rPr>
          <w:color w:val="000000"/>
          <w:sz w:val="23"/>
          <w:szCs w:val="23"/>
          <w:lang w:val="es-ES"/>
        </w:rPr>
      </w:pPr>
      <w:r w:rsidRPr="00B9045A">
        <w:rPr>
          <w:color w:val="000000"/>
          <w:sz w:val="23"/>
          <w:szCs w:val="23"/>
          <w:lang w:val="es-ES"/>
        </w:rPr>
        <w:t xml:space="preserve">La adquisición de bienes y obras se llevará a cabo utilizando documentos de licitación estándar, aceptables para </w:t>
      </w:r>
      <w:r w:rsidR="00B9045A" w:rsidRPr="00B9045A">
        <w:rPr>
          <w:color w:val="000000"/>
          <w:sz w:val="23"/>
          <w:szCs w:val="23"/>
          <w:lang w:val="es-ES"/>
        </w:rPr>
        <w:t>la Asociación</w:t>
      </w:r>
      <w:r w:rsidRPr="00B9045A">
        <w:rPr>
          <w:color w:val="000000"/>
          <w:sz w:val="23"/>
          <w:szCs w:val="23"/>
          <w:lang w:val="es-ES"/>
        </w:rPr>
        <w:t>.</w:t>
      </w:r>
      <w:r w:rsidR="00F97F25" w:rsidRPr="00B9045A">
        <w:rPr>
          <w:i/>
          <w:color w:val="000000"/>
          <w:sz w:val="23"/>
          <w:szCs w:val="23"/>
          <w:lang w:val="es-ES"/>
        </w:rPr>
        <w:t xml:space="preserve"> </w:t>
      </w:r>
    </w:p>
    <w:p w:rsidR="002D20FC" w:rsidRPr="00074A91" w:rsidRDefault="00C97107" w:rsidP="002D20FC">
      <w:pPr>
        <w:numPr>
          <w:ilvl w:val="0"/>
          <w:numId w:val="22"/>
        </w:numPr>
        <w:spacing w:after="240"/>
        <w:jc w:val="both"/>
        <w:rPr>
          <w:color w:val="000000"/>
          <w:sz w:val="23"/>
          <w:szCs w:val="23"/>
          <w:lang w:val="es-ES"/>
        </w:rPr>
      </w:pPr>
      <w:r>
        <w:rPr>
          <w:color w:val="000000"/>
          <w:sz w:val="23"/>
          <w:szCs w:val="23"/>
          <w:lang w:val="es-ES"/>
        </w:rPr>
        <w:t xml:space="preserve">La persona </w:t>
      </w:r>
      <w:r w:rsidR="00E62F26" w:rsidRPr="00074A91">
        <w:rPr>
          <w:color w:val="000000"/>
          <w:sz w:val="23"/>
          <w:szCs w:val="23"/>
          <w:lang w:val="es-ES"/>
        </w:rPr>
        <w:t xml:space="preserve"> Beneficiari</w:t>
      </w:r>
      <w:r>
        <w:rPr>
          <w:color w:val="000000"/>
          <w:sz w:val="23"/>
          <w:szCs w:val="23"/>
          <w:lang w:val="es-ES"/>
        </w:rPr>
        <w:t>a</w:t>
      </w:r>
      <w:r w:rsidR="00E62F26" w:rsidRPr="00074A91">
        <w:rPr>
          <w:color w:val="000000"/>
          <w:sz w:val="23"/>
          <w:szCs w:val="23"/>
          <w:lang w:val="es-ES"/>
        </w:rPr>
        <w:t xml:space="preserve"> deberá</w:t>
      </w:r>
      <w:r w:rsidR="002D20FC" w:rsidRPr="00074A91">
        <w:rPr>
          <w:color w:val="000000"/>
          <w:sz w:val="23"/>
          <w:szCs w:val="23"/>
          <w:lang w:val="es-ES"/>
        </w:rPr>
        <w:t xml:space="preserve">: (i) Alimentar al SEPA con información contenida en el plan inicial de adquisiciones en un plazo de 30 días después que el Proyecto haya sido aprobado por el Banco Mundial; (ii) Actualizar dicho plan al menos cada tres meses o cuando lo pida el Banco Mundial, a fin que refleje las necesidades y progresos reales del </w:t>
      </w:r>
      <w:r w:rsidR="002D20FC" w:rsidRPr="00074A91">
        <w:rPr>
          <w:color w:val="000000"/>
          <w:sz w:val="23"/>
          <w:szCs w:val="23"/>
          <w:lang w:val="es-ES"/>
        </w:rPr>
        <w:lastRenderedPageBreak/>
        <w:t>Proyecto y alimentar inmediatamente después al SEPA con la información del plan actualizado.</w:t>
      </w:r>
    </w:p>
    <w:p w:rsidR="002D20FC" w:rsidRPr="00074A91" w:rsidRDefault="002D20FC" w:rsidP="002D20FC">
      <w:pPr>
        <w:numPr>
          <w:ilvl w:val="0"/>
          <w:numId w:val="22"/>
        </w:numPr>
        <w:spacing w:after="240"/>
        <w:jc w:val="both"/>
        <w:rPr>
          <w:color w:val="000000"/>
          <w:sz w:val="23"/>
          <w:szCs w:val="23"/>
          <w:lang w:val="es-ES"/>
        </w:rPr>
      </w:pPr>
      <w:r w:rsidRPr="00074A91">
        <w:rPr>
          <w:color w:val="000000"/>
          <w:sz w:val="23"/>
          <w:szCs w:val="23"/>
          <w:lang w:val="es-ES"/>
        </w:rPr>
        <w:t>Las invitaciones a licitar,  los carteles de licitación, las actas de apertura de ofertas, las solicitudes de expresiones de interés y el pertinente resumen de los informes de evaluación de licitaciones y propuestas de todos los bienes, obras, consultorías y servicios distintos a los de consultoría deberán publicarse en el SISCAE de forma aceptable ante el Banco Mundial. El periodo de licitación iniciará a partir de la fecha de publicación de la invitación a licitar o de la fecha en que estén disponibles los pliegos de licitación, lo que se produzca más tarde y finalizará en la fecha en que se proceda a abrir los sobres.</w:t>
      </w:r>
    </w:p>
    <w:p w:rsidR="00C57A0F" w:rsidRPr="00074A91" w:rsidRDefault="00C57A0F" w:rsidP="00C57A0F">
      <w:pPr>
        <w:ind w:firstLine="720"/>
        <w:rPr>
          <w:b/>
          <w:bCs/>
          <w:sz w:val="23"/>
          <w:szCs w:val="23"/>
          <w:lang w:val="es-ES"/>
        </w:rPr>
      </w:pPr>
      <w:r w:rsidRPr="00074A91">
        <w:rPr>
          <w:b/>
          <w:bCs/>
          <w:sz w:val="23"/>
          <w:szCs w:val="23"/>
          <w:lang w:val="es-ES"/>
        </w:rPr>
        <w:t>D. Plan</w:t>
      </w:r>
      <w:r w:rsidR="00BD1D2B" w:rsidRPr="00074A91">
        <w:rPr>
          <w:b/>
          <w:bCs/>
          <w:sz w:val="23"/>
          <w:szCs w:val="23"/>
          <w:lang w:val="es-ES"/>
        </w:rPr>
        <w:t xml:space="preserve"> de Adquisiciones   </w:t>
      </w:r>
    </w:p>
    <w:p w:rsidR="00C57A0F" w:rsidRPr="00074A91" w:rsidRDefault="00C57A0F" w:rsidP="00C57A0F">
      <w:pPr>
        <w:rPr>
          <w:b/>
          <w:sz w:val="23"/>
          <w:szCs w:val="23"/>
          <w:lang w:val="es-ES"/>
        </w:rPr>
      </w:pPr>
    </w:p>
    <w:p w:rsidR="00C57A0F" w:rsidRPr="00074A91" w:rsidRDefault="00C57A0F" w:rsidP="00F91221">
      <w:pPr>
        <w:pStyle w:val="ListParagraph"/>
        <w:numPr>
          <w:ilvl w:val="0"/>
          <w:numId w:val="58"/>
        </w:numPr>
        <w:rPr>
          <w:b/>
          <w:sz w:val="23"/>
          <w:szCs w:val="23"/>
          <w:u w:val="single"/>
          <w:lang w:val="es-ES"/>
        </w:rPr>
      </w:pPr>
      <w:bookmarkStart w:id="126" w:name="_Toc281316945"/>
      <w:r w:rsidRPr="00074A91">
        <w:rPr>
          <w:b/>
          <w:sz w:val="23"/>
          <w:szCs w:val="23"/>
          <w:lang w:val="es-ES"/>
        </w:rPr>
        <w:t>General</w:t>
      </w:r>
      <w:bookmarkEnd w:id="126"/>
      <w:r w:rsidR="00BD1D2B" w:rsidRPr="00074A91">
        <w:rPr>
          <w:b/>
          <w:sz w:val="23"/>
          <w:szCs w:val="23"/>
          <w:lang w:val="es-ES"/>
        </w:rPr>
        <w:t>idades</w:t>
      </w:r>
    </w:p>
    <w:p w:rsidR="00C57A0F" w:rsidRPr="00074A91" w:rsidRDefault="00C57A0F" w:rsidP="00C57A0F">
      <w:pPr>
        <w:rPr>
          <w:sz w:val="23"/>
          <w:szCs w:val="23"/>
          <w:lang w:val="es-ES"/>
        </w:rPr>
      </w:pPr>
    </w:p>
    <w:p w:rsidR="00C57A0F" w:rsidRPr="00074A91" w:rsidRDefault="00BD1D2B" w:rsidP="00F91221">
      <w:pPr>
        <w:pStyle w:val="ListParagraph"/>
        <w:numPr>
          <w:ilvl w:val="0"/>
          <w:numId w:val="25"/>
        </w:numPr>
        <w:autoSpaceDE w:val="0"/>
        <w:autoSpaceDN w:val="0"/>
        <w:adjustRightInd w:val="0"/>
        <w:jc w:val="both"/>
        <w:rPr>
          <w:sz w:val="23"/>
          <w:szCs w:val="23"/>
          <w:lang w:val="es-ES"/>
        </w:rPr>
      </w:pPr>
      <w:r w:rsidRPr="00074A91">
        <w:rPr>
          <w:sz w:val="23"/>
          <w:szCs w:val="23"/>
          <w:lang w:val="es-ES"/>
        </w:rPr>
        <w:t xml:space="preserve">Fecha cuando el </w:t>
      </w:r>
      <w:r w:rsidR="005659C2" w:rsidRPr="00074A91">
        <w:rPr>
          <w:sz w:val="23"/>
          <w:szCs w:val="23"/>
          <w:lang w:val="es-ES"/>
        </w:rPr>
        <w:t>Banco Mundial</w:t>
      </w:r>
      <w:r w:rsidRPr="00074A91">
        <w:rPr>
          <w:sz w:val="23"/>
          <w:szCs w:val="23"/>
          <w:lang w:val="es-ES"/>
        </w:rPr>
        <w:t xml:space="preserve"> aprobó el Plan de </w:t>
      </w:r>
      <w:r w:rsidR="005659C2" w:rsidRPr="00074A91">
        <w:rPr>
          <w:sz w:val="23"/>
          <w:szCs w:val="23"/>
          <w:lang w:val="es-ES"/>
        </w:rPr>
        <w:t>Adquisiciones</w:t>
      </w:r>
      <w:r w:rsidR="00467CA2" w:rsidRPr="00074A91">
        <w:rPr>
          <w:sz w:val="23"/>
          <w:szCs w:val="23"/>
          <w:lang w:val="es-ES"/>
        </w:rPr>
        <w:t xml:space="preserve">: </w:t>
      </w:r>
      <w:r w:rsidR="005659C2" w:rsidRPr="00074A91">
        <w:rPr>
          <w:sz w:val="23"/>
          <w:szCs w:val="23"/>
          <w:lang w:val="es-ES"/>
        </w:rPr>
        <w:t xml:space="preserve">5 de febrero del </w:t>
      </w:r>
      <w:r w:rsidR="00467CA2" w:rsidRPr="00074A91">
        <w:rPr>
          <w:sz w:val="23"/>
          <w:szCs w:val="23"/>
          <w:lang w:val="es-ES"/>
        </w:rPr>
        <w:t>2013</w:t>
      </w:r>
    </w:p>
    <w:p w:rsidR="00C57A0F" w:rsidRPr="00074A91" w:rsidRDefault="00404D5A" w:rsidP="00F91221">
      <w:pPr>
        <w:pStyle w:val="ListParagraph"/>
        <w:numPr>
          <w:ilvl w:val="0"/>
          <w:numId w:val="25"/>
        </w:numPr>
        <w:autoSpaceDE w:val="0"/>
        <w:autoSpaceDN w:val="0"/>
        <w:adjustRightInd w:val="0"/>
        <w:jc w:val="both"/>
        <w:rPr>
          <w:sz w:val="23"/>
          <w:szCs w:val="23"/>
          <w:lang w:val="es-ES"/>
        </w:rPr>
      </w:pPr>
      <w:r w:rsidRPr="00074A91">
        <w:rPr>
          <w:bCs/>
          <w:sz w:val="23"/>
          <w:szCs w:val="23"/>
          <w:lang w:val="es-ES"/>
        </w:rPr>
        <w:t xml:space="preserve">Fecha de </w:t>
      </w:r>
      <w:r w:rsidR="008C2A50" w:rsidRPr="00074A91">
        <w:rPr>
          <w:bCs/>
          <w:sz w:val="23"/>
          <w:szCs w:val="23"/>
          <w:lang w:val="es-ES"/>
        </w:rPr>
        <w:t>Aviso</w:t>
      </w:r>
      <w:r w:rsidRPr="00074A91">
        <w:rPr>
          <w:bCs/>
          <w:sz w:val="23"/>
          <w:szCs w:val="23"/>
          <w:lang w:val="es-ES"/>
        </w:rPr>
        <w:t xml:space="preserve"> de </w:t>
      </w:r>
      <w:r w:rsidR="008C2A50" w:rsidRPr="00074A91">
        <w:rPr>
          <w:bCs/>
          <w:sz w:val="23"/>
          <w:szCs w:val="23"/>
          <w:lang w:val="es-ES"/>
        </w:rPr>
        <w:t>Licitación G</w:t>
      </w:r>
      <w:r w:rsidR="00C57A0F" w:rsidRPr="00074A91">
        <w:rPr>
          <w:bCs/>
          <w:sz w:val="23"/>
          <w:szCs w:val="23"/>
          <w:lang w:val="es-ES"/>
        </w:rPr>
        <w:t xml:space="preserve">eneral: </w:t>
      </w:r>
      <w:r w:rsidR="00467CA2" w:rsidRPr="00074A91">
        <w:rPr>
          <w:bCs/>
          <w:sz w:val="23"/>
          <w:szCs w:val="23"/>
          <w:lang w:val="es-ES"/>
        </w:rPr>
        <w:t>22</w:t>
      </w:r>
      <w:r w:rsidRPr="00074A91">
        <w:rPr>
          <w:bCs/>
          <w:sz w:val="23"/>
          <w:szCs w:val="23"/>
          <w:lang w:val="es-ES"/>
        </w:rPr>
        <w:t xml:space="preserve"> de enero del</w:t>
      </w:r>
      <w:r w:rsidR="00DF3984" w:rsidRPr="00074A91">
        <w:rPr>
          <w:bCs/>
          <w:sz w:val="23"/>
          <w:szCs w:val="23"/>
          <w:lang w:val="es-ES"/>
        </w:rPr>
        <w:t xml:space="preserve"> 2013</w:t>
      </w:r>
    </w:p>
    <w:p w:rsidR="00C57A0F" w:rsidRPr="00074A91" w:rsidRDefault="00C57A0F" w:rsidP="00F91221">
      <w:pPr>
        <w:pStyle w:val="ListParagraph"/>
        <w:numPr>
          <w:ilvl w:val="0"/>
          <w:numId w:val="25"/>
        </w:numPr>
        <w:autoSpaceDE w:val="0"/>
        <w:autoSpaceDN w:val="0"/>
        <w:adjustRightInd w:val="0"/>
        <w:jc w:val="both"/>
        <w:rPr>
          <w:sz w:val="23"/>
          <w:szCs w:val="23"/>
          <w:lang w:val="es-ES"/>
        </w:rPr>
      </w:pPr>
      <w:r w:rsidRPr="00074A91">
        <w:rPr>
          <w:bCs/>
          <w:sz w:val="23"/>
          <w:szCs w:val="23"/>
          <w:lang w:val="es-ES"/>
        </w:rPr>
        <w:t>Period</w:t>
      </w:r>
      <w:r w:rsidR="008C2A50" w:rsidRPr="00074A91">
        <w:rPr>
          <w:bCs/>
          <w:sz w:val="23"/>
          <w:szCs w:val="23"/>
          <w:lang w:val="es-ES"/>
        </w:rPr>
        <w:t>o cubierto por el Plan de Adquisiciones</w:t>
      </w:r>
      <w:r w:rsidRPr="00074A91">
        <w:rPr>
          <w:bCs/>
          <w:sz w:val="23"/>
          <w:szCs w:val="23"/>
          <w:lang w:val="es-ES"/>
        </w:rPr>
        <w:t xml:space="preserve">: </w:t>
      </w:r>
      <w:r w:rsidR="00E20757" w:rsidRPr="00074A91">
        <w:rPr>
          <w:sz w:val="23"/>
          <w:szCs w:val="23"/>
          <w:lang w:val="es-ES"/>
        </w:rPr>
        <w:t>18</w:t>
      </w:r>
      <w:r w:rsidR="008C2A50" w:rsidRPr="00074A91">
        <w:rPr>
          <w:sz w:val="23"/>
          <w:szCs w:val="23"/>
          <w:lang w:val="es-ES"/>
        </w:rPr>
        <w:t xml:space="preserve"> meses</w:t>
      </w:r>
    </w:p>
    <w:p w:rsidR="00C57A0F" w:rsidRPr="00074A91" w:rsidRDefault="00C57A0F" w:rsidP="00C57A0F">
      <w:pPr>
        <w:rPr>
          <w:sz w:val="23"/>
          <w:szCs w:val="23"/>
          <w:lang w:val="es-ES"/>
        </w:rPr>
      </w:pPr>
    </w:p>
    <w:p w:rsidR="00C57A0F" w:rsidRPr="00074A91" w:rsidRDefault="003A5C3B" w:rsidP="00F91221">
      <w:pPr>
        <w:pStyle w:val="Heading5"/>
        <w:widowControl w:val="0"/>
        <w:numPr>
          <w:ilvl w:val="0"/>
          <w:numId w:val="58"/>
        </w:numPr>
        <w:jc w:val="both"/>
        <w:rPr>
          <w:sz w:val="23"/>
          <w:szCs w:val="23"/>
          <w:u w:val="none"/>
          <w:lang w:val="es-ES"/>
        </w:rPr>
      </w:pPr>
      <w:r w:rsidRPr="00074A91">
        <w:rPr>
          <w:sz w:val="23"/>
          <w:szCs w:val="23"/>
          <w:u w:val="none"/>
          <w:lang w:val="es-ES"/>
        </w:rPr>
        <w:t>Bienes, Obras y Servicios distintos a los de Consultoría</w:t>
      </w:r>
    </w:p>
    <w:p w:rsidR="00C57A0F" w:rsidRPr="00074A91" w:rsidRDefault="00C57A0F" w:rsidP="00C57A0F">
      <w:pPr>
        <w:rPr>
          <w:sz w:val="23"/>
          <w:szCs w:val="23"/>
          <w:lang w:val="es-ES"/>
        </w:rPr>
      </w:pPr>
    </w:p>
    <w:p w:rsidR="006255F0" w:rsidRPr="00074A91" w:rsidRDefault="00271446" w:rsidP="00F91221">
      <w:pPr>
        <w:pStyle w:val="ListParagraph"/>
        <w:numPr>
          <w:ilvl w:val="0"/>
          <w:numId w:val="23"/>
        </w:numPr>
        <w:autoSpaceDE w:val="0"/>
        <w:autoSpaceDN w:val="0"/>
        <w:adjustRightInd w:val="0"/>
        <w:jc w:val="both"/>
        <w:rPr>
          <w:sz w:val="23"/>
          <w:szCs w:val="23"/>
          <w:lang w:val="es-NI"/>
        </w:rPr>
      </w:pPr>
      <w:r w:rsidRPr="00074A91">
        <w:rPr>
          <w:b/>
          <w:sz w:val="23"/>
          <w:szCs w:val="23"/>
          <w:lang w:val="es-NI"/>
        </w:rPr>
        <w:t>Umbral de Revisión a priori</w:t>
      </w:r>
      <w:r w:rsidR="00C57A0F" w:rsidRPr="00074A91">
        <w:rPr>
          <w:sz w:val="23"/>
          <w:szCs w:val="23"/>
          <w:lang w:val="es-NI"/>
        </w:rPr>
        <w:t xml:space="preserve">: </w:t>
      </w:r>
      <w:r w:rsidR="00FE3DB9" w:rsidRPr="00074A91">
        <w:rPr>
          <w:sz w:val="23"/>
          <w:szCs w:val="23"/>
          <w:lang w:val="es-NI"/>
        </w:rPr>
        <w:t>Las</w:t>
      </w:r>
      <w:r w:rsidR="00C57A0F" w:rsidRPr="00074A91">
        <w:rPr>
          <w:sz w:val="23"/>
          <w:szCs w:val="23"/>
          <w:lang w:val="es-NI"/>
        </w:rPr>
        <w:t xml:space="preserve"> decision</w:t>
      </w:r>
      <w:r w:rsidR="00FE3DB9" w:rsidRPr="00074A91">
        <w:rPr>
          <w:sz w:val="23"/>
          <w:szCs w:val="23"/>
          <w:lang w:val="es-NI"/>
        </w:rPr>
        <w:t xml:space="preserve">es pertinentes a las adquisiciones estarán sujetas a la revisión a priori por parte del Banco Mundial, según lo estipulado en el Anexo 1 de las </w:t>
      </w:r>
      <w:r w:rsidR="006255F0" w:rsidRPr="00074A91">
        <w:rPr>
          <w:sz w:val="23"/>
          <w:szCs w:val="23"/>
          <w:lang w:val="es-NI"/>
        </w:rPr>
        <w:t>“Normas: Selección y Contratación de Consultores con Préstamos del BIRF, Créditos y Donaciones del Banco Mundial por Prestatarios del Banco Mundial”</w:t>
      </w:r>
    </w:p>
    <w:p w:rsidR="004A2A99" w:rsidRPr="006255F0" w:rsidRDefault="004A2A99" w:rsidP="006255F0">
      <w:pPr>
        <w:pStyle w:val="ListParagraph"/>
        <w:autoSpaceDE w:val="0"/>
        <w:autoSpaceDN w:val="0"/>
        <w:adjustRightInd w:val="0"/>
        <w:ind w:left="612"/>
        <w:jc w:val="both"/>
        <w:rPr>
          <w:lang w:val="es-NI"/>
        </w:rPr>
      </w:pPr>
    </w:p>
    <w:tbl>
      <w:tblPr>
        <w:tblW w:w="0" w:type="auto"/>
        <w:tblInd w:w="534" w:type="dxa"/>
        <w:tblLayout w:type="fixed"/>
        <w:tblCellMar>
          <w:left w:w="0" w:type="dxa"/>
          <w:right w:w="0" w:type="dxa"/>
        </w:tblCellMar>
        <w:tblLook w:val="00A0" w:firstRow="1" w:lastRow="0" w:firstColumn="1" w:lastColumn="0" w:noHBand="0" w:noVBand="0"/>
      </w:tblPr>
      <w:tblGrid>
        <w:gridCol w:w="1890"/>
        <w:gridCol w:w="2880"/>
        <w:gridCol w:w="2431"/>
        <w:gridCol w:w="1633"/>
      </w:tblGrid>
      <w:tr w:rsidR="00C57A0F" w:rsidRPr="00F702EF" w:rsidTr="00A14F78">
        <w:trPr>
          <w:trHeight w:val="255"/>
        </w:trPr>
        <w:tc>
          <w:tcPr>
            <w:tcW w:w="8834" w:type="dxa"/>
            <w:gridSpan w:val="4"/>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6255F0" w:rsidP="006255F0">
            <w:pPr>
              <w:autoSpaceDE w:val="0"/>
              <w:autoSpaceDN w:val="0"/>
              <w:adjustRightInd w:val="0"/>
              <w:ind w:left="15"/>
              <w:jc w:val="center"/>
              <w:rPr>
                <w:b/>
                <w:bCs/>
                <w:sz w:val="18"/>
                <w:szCs w:val="18"/>
                <w:lang w:val="es-ES"/>
              </w:rPr>
            </w:pPr>
            <w:r>
              <w:rPr>
                <w:b/>
                <w:bCs/>
                <w:sz w:val="18"/>
                <w:szCs w:val="18"/>
                <w:lang w:val="es-ES"/>
              </w:rPr>
              <w:t>Umbrales de los Métodos de Adquisición y Revisión a Priori</w:t>
            </w:r>
            <w:r w:rsidR="00C57A0F" w:rsidRPr="00271446">
              <w:rPr>
                <w:b/>
                <w:bCs/>
                <w:sz w:val="18"/>
                <w:szCs w:val="18"/>
                <w:lang w:val="es-ES"/>
              </w:rPr>
              <w:t xml:space="preserve"> (US$ </w:t>
            </w:r>
            <w:r w:rsidR="00B574FF">
              <w:rPr>
                <w:b/>
                <w:bCs/>
                <w:sz w:val="18"/>
                <w:szCs w:val="18"/>
                <w:lang w:val="es-ES"/>
              </w:rPr>
              <w:t>en miles</w:t>
            </w:r>
            <w:r w:rsidR="00C57A0F" w:rsidRPr="00271446">
              <w:rPr>
                <w:b/>
                <w:bCs/>
                <w:sz w:val="18"/>
                <w:szCs w:val="18"/>
                <w:lang w:val="es-ES"/>
              </w:rPr>
              <w:t xml:space="preserve">) </w:t>
            </w:r>
          </w:p>
        </w:tc>
      </w:tr>
      <w:tr w:rsidR="00C57A0F" w:rsidRPr="00F702EF"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C57A0F" w:rsidRPr="00271446" w:rsidRDefault="00B574FF" w:rsidP="00B574FF">
            <w:pPr>
              <w:autoSpaceDE w:val="0"/>
              <w:autoSpaceDN w:val="0"/>
              <w:adjustRightInd w:val="0"/>
              <w:rPr>
                <w:b/>
                <w:bCs/>
                <w:sz w:val="18"/>
                <w:szCs w:val="18"/>
                <w:lang w:val="es-ES"/>
              </w:rPr>
            </w:pPr>
            <w:r>
              <w:rPr>
                <w:b/>
                <w:bCs/>
                <w:sz w:val="18"/>
                <w:szCs w:val="18"/>
                <w:lang w:val="es-ES"/>
              </w:rPr>
              <w:t>Categoría de Gastos</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C57A0F" w:rsidRPr="00B574FF" w:rsidRDefault="00B574FF" w:rsidP="00B574FF">
            <w:pPr>
              <w:autoSpaceDE w:val="0"/>
              <w:autoSpaceDN w:val="0"/>
              <w:adjustRightInd w:val="0"/>
              <w:ind w:left="15"/>
              <w:jc w:val="center"/>
              <w:rPr>
                <w:b/>
                <w:bCs/>
                <w:sz w:val="18"/>
                <w:szCs w:val="18"/>
                <w:lang w:val="es-NI"/>
              </w:rPr>
            </w:pPr>
            <w:r w:rsidRPr="00B574FF">
              <w:rPr>
                <w:b/>
                <w:bCs/>
                <w:sz w:val="18"/>
                <w:szCs w:val="18"/>
                <w:lang w:val="es-NI"/>
              </w:rPr>
              <w:t xml:space="preserve">Valor del Contrato </w:t>
            </w:r>
            <w:r w:rsidR="00C57A0F" w:rsidRPr="00B574FF">
              <w:rPr>
                <w:b/>
                <w:bCs/>
                <w:sz w:val="18"/>
                <w:szCs w:val="18"/>
                <w:lang w:val="es-NI"/>
              </w:rPr>
              <w:t>(</w:t>
            </w:r>
            <w:r w:rsidRPr="00B574FF">
              <w:rPr>
                <w:b/>
                <w:bCs/>
                <w:sz w:val="18"/>
                <w:szCs w:val="18"/>
                <w:lang w:val="es-NI"/>
              </w:rPr>
              <w:t>Umbrales</w:t>
            </w:r>
            <w:r w:rsidR="00C57A0F" w:rsidRPr="00B574FF">
              <w:rPr>
                <w:b/>
                <w:bCs/>
                <w:sz w:val="18"/>
                <w:szCs w:val="18"/>
                <w:lang w:val="es-NI"/>
              </w:rPr>
              <w:t xml:space="preserve">) US$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rsidR="00C57A0F" w:rsidRPr="00271446" w:rsidRDefault="00B574FF" w:rsidP="00A14F78">
            <w:pPr>
              <w:autoSpaceDE w:val="0"/>
              <w:autoSpaceDN w:val="0"/>
              <w:adjustRightInd w:val="0"/>
              <w:ind w:left="15"/>
              <w:jc w:val="center"/>
              <w:rPr>
                <w:b/>
                <w:bCs/>
                <w:sz w:val="18"/>
                <w:szCs w:val="18"/>
                <w:lang w:val="es-ES"/>
              </w:rPr>
            </w:pPr>
            <w:r w:rsidRPr="00271446">
              <w:rPr>
                <w:b/>
                <w:bCs/>
                <w:sz w:val="18"/>
                <w:szCs w:val="18"/>
                <w:lang w:val="es-ES"/>
              </w:rPr>
              <w:t>Método</w:t>
            </w:r>
            <w:r>
              <w:rPr>
                <w:b/>
                <w:bCs/>
                <w:sz w:val="18"/>
                <w:szCs w:val="18"/>
                <w:lang w:val="es-ES"/>
              </w:rPr>
              <w:t xml:space="preserve"> de Adquisición</w:t>
            </w:r>
          </w:p>
        </w:tc>
        <w:tc>
          <w:tcPr>
            <w:tcW w:w="1633" w:type="dxa"/>
            <w:tcBorders>
              <w:top w:val="single" w:sz="6" w:space="0" w:color="000000"/>
              <w:left w:val="single" w:sz="6" w:space="0" w:color="000000"/>
              <w:bottom w:val="single" w:sz="6" w:space="0" w:color="000000"/>
              <w:right w:val="single" w:sz="6" w:space="0" w:color="000000"/>
            </w:tcBorders>
            <w:vAlign w:val="center"/>
            <w:hideMark/>
          </w:tcPr>
          <w:p w:rsidR="00C57A0F" w:rsidRPr="00271446" w:rsidRDefault="00B574FF" w:rsidP="00B574FF">
            <w:pPr>
              <w:autoSpaceDE w:val="0"/>
              <w:autoSpaceDN w:val="0"/>
              <w:adjustRightInd w:val="0"/>
              <w:ind w:left="15"/>
              <w:jc w:val="center"/>
              <w:rPr>
                <w:b/>
                <w:bCs/>
                <w:sz w:val="18"/>
                <w:szCs w:val="18"/>
                <w:lang w:val="es-ES"/>
              </w:rPr>
            </w:pPr>
            <w:r>
              <w:rPr>
                <w:b/>
                <w:bCs/>
                <w:sz w:val="18"/>
                <w:szCs w:val="18"/>
                <w:lang w:val="es-ES"/>
              </w:rPr>
              <w:t>Contra</w:t>
            </w:r>
            <w:r w:rsidR="00C57A0F" w:rsidRPr="00271446">
              <w:rPr>
                <w:b/>
                <w:bCs/>
                <w:sz w:val="18"/>
                <w:szCs w:val="18"/>
                <w:lang w:val="es-ES"/>
              </w:rPr>
              <w:t>t</w:t>
            </w:r>
            <w:r>
              <w:rPr>
                <w:b/>
                <w:bCs/>
                <w:sz w:val="18"/>
                <w:szCs w:val="18"/>
                <w:lang w:val="es-ES"/>
              </w:rPr>
              <w:t>os sujetos a Revisión a priori</w:t>
            </w:r>
          </w:p>
        </w:tc>
      </w:tr>
      <w:tr w:rsidR="00C57A0F" w:rsidRPr="00271446" w:rsidTr="00A14F78">
        <w:trPr>
          <w:trHeight w:val="327"/>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B574FF">
            <w:pPr>
              <w:autoSpaceDE w:val="0"/>
              <w:autoSpaceDN w:val="0"/>
              <w:adjustRightInd w:val="0"/>
              <w:rPr>
                <w:b/>
                <w:sz w:val="18"/>
                <w:szCs w:val="18"/>
                <w:lang w:val="es-ES"/>
              </w:rPr>
            </w:pPr>
            <w:r w:rsidRPr="00271446">
              <w:rPr>
                <w:b/>
                <w:sz w:val="18"/>
                <w:szCs w:val="18"/>
                <w:lang w:val="es-ES"/>
              </w:rPr>
              <w:t xml:space="preserve">1. </w:t>
            </w:r>
            <w:r w:rsidR="00B574FF">
              <w:rPr>
                <w:b/>
                <w:sz w:val="18"/>
                <w:szCs w:val="18"/>
                <w:lang w:val="es-ES"/>
              </w:rPr>
              <w:t>Obras</w:t>
            </w: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r w:rsidRPr="00271446">
              <w:rPr>
                <w:sz w:val="18"/>
                <w:szCs w:val="18"/>
                <w:lang w:val="es-ES"/>
              </w:rPr>
              <w:t>&gt;1,500,000.00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867ACB" w:rsidP="00A14F78">
            <w:pPr>
              <w:autoSpaceDE w:val="0"/>
              <w:autoSpaceDN w:val="0"/>
              <w:adjustRightInd w:val="0"/>
              <w:ind w:left="15"/>
              <w:jc w:val="center"/>
              <w:rPr>
                <w:sz w:val="18"/>
                <w:szCs w:val="18"/>
                <w:lang w:val="es-ES"/>
              </w:rPr>
            </w:pPr>
            <w:r w:rsidRPr="00271446">
              <w:rPr>
                <w:sz w:val="18"/>
                <w:szCs w:val="18"/>
                <w:lang w:val="es-ES"/>
              </w:rPr>
              <w:t>LPI</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A14F78">
            <w:pPr>
              <w:autoSpaceDE w:val="0"/>
              <w:autoSpaceDN w:val="0"/>
              <w:adjustRightInd w:val="0"/>
              <w:ind w:left="15"/>
              <w:jc w:val="center"/>
              <w:rPr>
                <w:sz w:val="18"/>
                <w:szCs w:val="18"/>
                <w:lang w:val="es-ES"/>
              </w:rPr>
            </w:pPr>
            <w:r>
              <w:rPr>
                <w:sz w:val="18"/>
                <w:szCs w:val="18"/>
                <w:lang w:val="es-ES"/>
              </w:rPr>
              <w:t>Todos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r w:rsidRPr="00271446">
              <w:rPr>
                <w:sz w:val="18"/>
                <w:szCs w:val="18"/>
                <w:lang w:val="es-ES"/>
              </w:rPr>
              <w:t xml:space="preserve">150,000.00 – 1,500,000.00 </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5E48C2" w:rsidP="00A14F78">
            <w:pPr>
              <w:autoSpaceDE w:val="0"/>
              <w:autoSpaceDN w:val="0"/>
              <w:adjustRightInd w:val="0"/>
              <w:ind w:left="15"/>
              <w:jc w:val="center"/>
              <w:rPr>
                <w:sz w:val="18"/>
                <w:szCs w:val="18"/>
                <w:lang w:val="es-ES"/>
              </w:rPr>
            </w:pPr>
            <w:r w:rsidRPr="00271446">
              <w:rPr>
                <w:sz w:val="18"/>
                <w:szCs w:val="18"/>
                <w:lang w:val="es-ES"/>
              </w:rPr>
              <w:t>LPN</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381889">
            <w:pPr>
              <w:autoSpaceDE w:val="0"/>
              <w:autoSpaceDN w:val="0"/>
              <w:adjustRightInd w:val="0"/>
              <w:ind w:left="15"/>
              <w:jc w:val="center"/>
              <w:rPr>
                <w:sz w:val="18"/>
                <w:szCs w:val="18"/>
                <w:lang w:val="es-ES"/>
              </w:rPr>
            </w:pPr>
            <w:r>
              <w:rPr>
                <w:sz w:val="18"/>
                <w:szCs w:val="18"/>
                <w:lang w:val="es-ES"/>
              </w:rPr>
              <w:t>Primeros 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r w:rsidRPr="00271446">
              <w:rPr>
                <w:sz w:val="18"/>
                <w:szCs w:val="18"/>
                <w:lang w:val="es-ES"/>
              </w:rPr>
              <w:t>&lt;150,000.00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B574FF" w:rsidP="00A14F78">
            <w:pPr>
              <w:autoSpaceDE w:val="0"/>
              <w:autoSpaceDN w:val="0"/>
              <w:adjustRightInd w:val="0"/>
              <w:ind w:left="15"/>
              <w:jc w:val="center"/>
              <w:rPr>
                <w:sz w:val="18"/>
                <w:szCs w:val="18"/>
                <w:lang w:val="es-ES"/>
              </w:rPr>
            </w:pPr>
            <w:r>
              <w:rPr>
                <w:sz w:val="18"/>
                <w:szCs w:val="18"/>
                <w:lang w:val="es-ES"/>
              </w:rPr>
              <w:t>Compras</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381889">
            <w:pPr>
              <w:autoSpaceDE w:val="0"/>
              <w:autoSpaceDN w:val="0"/>
              <w:adjustRightInd w:val="0"/>
              <w:ind w:left="15"/>
              <w:jc w:val="center"/>
              <w:rPr>
                <w:sz w:val="18"/>
                <w:szCs w:val="18"/>
                <w:lang w:val="es-ES"/>
              </w:rPr>
            </w:pPr>
            <w:r>
              <w:rPr>
                <w:sz w:val="18"/>
                <w:szCs w:val="18"/>
                <w:lang w:val="es-ES"/>
              </w:rPr>
              <w:t>Primeros 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381889" w:rsidP="00A14F78">
            <w:pPr>
              <w:autoSpaceDE w:val="0"/>
              <w:autoSpaceDN w:val="0"/>
              <w:adjustRightInd w:val="0"/>
              <w:ind w:left="15"/>
              <w:jc w:val="center"/>
              <w:rPr>
                <w:sz w:val="18"/>
                <w:szCs w:val="18"/>
                <w:lang w:val="es-ES"/>
              </w:rPr>
            </w:pPr>
            <w:r>
              <w:rPr>
                <w:sz w:val="18"/>
                <w:szCs w:val="18"/>
                <w:lang w:val="es-ES"/>
              </w:rPr>
              <w:t>CD</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381889">
            <w:pPr>
              <w:autoSpaceDE w:val="0"/>
              <w:autoSpaceDN w:val="0"/>
              <w:adjustRightInd w:val="0"/>
              <w:ind w:left="15"/>
              <w:jc w:val="center"/>
              <w:rPr>
                <w:sz w:val="18"/>
                <w:szCs w:val="18"/>
                <w:lang w:val="es-ES"/>
              </w:rPr>
            </w:pPr>
            <w:r>
              <w:rPr>
                <w:sz w:val="18"/>
                <w:szCs w:val="18"/>
                <w:lang w:val="es-ES"/>
              </w:rPr>
              <w:t>Todos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B574FF">
            <w:pPr>
              <w:autoSpaceDE w:val="0"/>
              <w:autoSpaceDN w:val="0"/>
              <w:adjustRightInd w:val="0"/>
              <w:rPr>
                <w:b/>
                <w:sz w:val="18"/>
                <w:szCs w:val="18"/>
                <w:lang w:val="es-ES"/>
              </w:rPr>
            </w:pPr>
            <w:r w:rsidRPr="00271446">
              <w:rPr>
                <w:b/>
                <w:sz w:val="18"/>
                <w:szCs w:val="18"/>
                <w:lang w:val="es-ES"/>
              </w:rPr>
              <w:t xml:space="preserve">2. </w:t>
            </w:r>
            <w:r w:rsidR="00B574FF">
              <w:rPr>
                <w:b/>
                <w:sz w:val="18"/>
                <w:szCs w:val="18"/>
                <w:lang w:val="es-ES"/>
              </w:rPr>
              <w:t>Bienes</w:t>
            </w: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r w:rsidRPr="00271446">
              <w:rPr>
                <w:sz w:val="18"/>
                <w:szCs w:val="18"/>
                <w:lang w:val="es-ES"/>
              </w:rPr>
              <w:t>&gt;150,000.00</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867ACB" w:rsidP="00A14F78">
            <w:pPr>
              <w:autoSpaceDE w:val="0"/>
              <w:autoSpaceDN w:val="0"/>
              <w:adjustRightInd w:val="0"/>
              <w:ind w:left="15"/>
              <w:jc w:val="center"/>
              <w:rPr>
                <w:sz w:val="18"/>
                <w:szCs w:val="18"/>
                <w:lang w:val="es-ES"/>
              </w:rPr>
            </w:pPr>
            <w:r w:rsidRPr="00271446">
              <w:rPr>
                <w:sz w:val="18"/>
                <w:szCs w:val="18"/>
                <w:lang w:val="es-ES"/>
              </w:rPr>
              <w:t>LPI</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381889">
            <w:pPr>
              <w:autoSpaceDE w:val="0"/>
              <w:autoSpaceDN w:val="0"/>
              <w:adjustRightInd w:val="0"/>
              <w:ind w:left="15"/>
              <w:jc w:val="center"/>
              <w:rPr>
                <w:sz w:val="18"/>
                <w:szCs w:val="18"/>
                <w:lang w:val="es-ES"/>
              </w:rPr>
            </w:pPr>
            <w:r>
              <w:rPr>
                <w:sz w:val="18"/>
                <w:szCs w:val="18"/>
                <w:lang w:val="es-ES"/>
              </w:rPr>
              <w:t>Todos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r w:rsidRPr="00271446">
              <w:rPr>
                <w:sz w:val="18"/>
                <w:szCs w:val="18"/>
                <w:lang w:val="es-ES"/>
              </w:rPr>
              <w:t xml:space="preserve">25,000.00 – 150,000.00 </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5E48C2" w:rsidP="00A14F78">
            <w:pPr>
              <w:autoSpaceDE w:val="0"/>
              <w:autoSpaceDN w:val="0"/>
              <w:adjustRightInd w:val="0"/>
              <w:ind w:left="15"/>
              <w:jc w:val="center"/>
              <w:rPr>
                <w:sz w:val="18"/>
                <w:szCs w:val="18"/>
                <w:lang w:val="es-ES"/>
              </w:rPr>
            </w:pPr>
            <w:r w:rsidRPr="00271446">
              <w:rPr>
                <w:sz w:val="18"/>
                <w:szCs w:val="18"/>
                <w:lang w:val="es-ES"/>
              </w:rPr>
              <w:t>LPN</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A14F78">
            <w:pPr>
              <w:autoSpaceDE w:val="0"/>
              <w:autoSpaceDN w:val="0"/>
              <w:adjustRightInd w:val="0"/>
              <w:ind w:left="15"/>
              <w:jc w:val="center"/>
              <w:rPr>
                <w:sz w:val="18"/>
                <w:szCs w:val="18"/>
                <w:lang w:val="es-ES"/>
              </w:rPr>
            </w:pPr>
            <w:r>
              <w:rPr>
                <w:sz w:val="18"/>
                <w:szCs w:val="18"/>
                <w:lang w:val="es-ES"/>
              </w:rPr>
              <w:t>Primeros 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r w:rsidRPr="00271446">
              <w:rPr>
                <w:sz w:val="18"/>
                <w:szCs w:val="18"/>
                <w:lang w:val="es-ES"/>
              </w:rPr>
              <w:t>25,000.00 &lt;</w:t>
            </w: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381889" w:rsidP="00A14F78">
            <w:pPr>
              <w:autoSpaceDE w:val="0"/>
              <w:autoSpaceDN w:val="0"/>
              <w:adjustRightInd w:val="0"/>
              <w:ind w:left="15"/>
              <w:jc w:val="center"/>
              <w:rPr>
                <w:sz w:val="18"/>
                <w:szCs w:val="18"/>
                <w:lang w:val="es-ES"/>
              </w:rPr>
            </w:pPr>
            <w:r>
              <w:rPr>
                <w:sz w:val="18"/>
                <w:szCs w:val="18"/>
                <w:lang w:val="es-ES"/>
              </w:rPr>
              <w:t>Compras</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381889">
            <w:pPr>
              <w:autoSpaceDE w:val="0"/>
              <w:autoSpaceDN w:val="0"/>
              <w:adjustRightInd w:val="0"/>
              <w:ind w:left="15"/>
              <w:jc w:val="center"/>
              <w:rPr>
                <w:sz w:val="18"/>
                <w:szCs w:val="18"/>
                <w:lang w:val="es-ES"/>
              </w:rPr>
            </w:pPr>
            <w:r>
              <w:rPr>
                <w:sz w:val="18"/>
                <w:szCs w:val="18"/>
                <w:lang w:val="es-ES"/>
              </w:rPr>
              <w:t>Primeros dos</w:t>
            </w:r>
          </w:p>
        </w:tc>
      </w:tr>
      <w:tr w:rsidR="00C57A0F" w:rsidRPr="00271446"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C57A0F" w:rsidP="00A14F78">
            <w:pPr>
              <w:autoSpaceDE w:val="0"/>
              <w:autoSpaceDN w:val="0"/>
              <w:adjustRightInd w:val="0"/>
              <w:ind w:left="15"/>
              <w:jc w:val="center"/>
              <w:rPr>
                <w:sz w:val="18"/>
                <w:szCs w:val="18"/>
                <w:lang w:val="es-ES"/>
              </w:rPr>
            </w:pPr>
          </w:p>
        </w:tc>
        <w:tc>
          <w:tcPr>
            <w:tcW w:w="2431" w:type="dxa"/>
            <w:tcBorders>
              <w:top w:val="single" w:sz="6" w:space="0" w:color="000000"/>
              <w:left w:val="single" w:sz="6" w:space="0" w:color="000000"/>
              <w:bottom w:val="single" w:sz="6" w:space="0" w:color="000000"/>
              <w:right w:val="single" w:sz="6" w:space="0" w:color="000000"/>
            </w:tcBorders>
            <w:vAlign w:val="bottom"/>
            <w:hideMark/>
          </w:tcPr>
          <w:p w:rsidR="00C57A0F" w:rsidRPr="00271446" w:rsidRDefault="00381889" w:rsidP="00A14F78">
            <w:pPr>
              <w:autoSpaceDE w:val="0"/>
              <w:autoSpaceDN w:val="0"/>
              <w:adjustRightInd w:val="0"/>
              <w:ind w:left="15"/>
              <w:jc w:val="center"/>
              <w:rPr>
                <w:sz w:val="18"/>
                <w:szCs w:val="18"/>
                <w:lang w:val="es-ES"/>
              </w:rPr>
            </w:pPr>
            <w:r>
              <w:rPr>
                <w:sz w:val="18"/>
                <w:szCs w:val="18"/>
                <w:lang w:val="es-ES"/>
              </w:rPr>
              <w:t>CD</w:t>
            </w:r>
          </w:p>
        </w:tc>
        <w:tc>
          <w:tcPr>
            <w:tcW w:w="1633" w:type="dxa"/>
            <w:tcBorders>
              <w:top w:val="single" w:sz="6" w:space="0" w:color="000000"/>
              <w:left w:val="single" w:sz="6" w:space="0" w:color="000000"/>
              <w:bottom w:val="single" w:sz="6" w:space="0" w:color="000000"/>
              <w:right w:val="single" w:sz="6" w:space="0" w:color="000000"/>
            </w:tcBorders>
            <w:vAlign w:val="bottom"/>
          </w:tcPr>
          <w:p w:rsidR="00C57A0F" w:rsidRPr="00271446" w:rsidRDefault="00381889" w:rsidP="00381889">
            <w:pPr>
              <w:autoSpaceDE w:val="0"/>
              <w:autoSpaceDN w:val="0"/>
              <w:adjustRightInd w:val="0"/>
              <w:ind w:left="15"/>
              <w:jc w:val="center"/>
              <w:rPr>
                <w:sz w:val="18"/>
                <w:szCs w:val="18"/>
                <w:lang w:val="es-ES"/>
              </w:rPr>
            </w:pPr>
            <w:r>
              <w:rPr>
                <w:sz w:val="18"/>
                <w:szCs w:val="18"/>
                <w:lang w:val="es-ES"/>
              </w:rPr>
              <w:t>Todos</w:t>
            </w:r>
          </w:p>
        </w:tc>
      </w:tr>
      <w:tr w:rsidR="00C57A0F" w:rsidRPr="00271446" w:rsidTr="00A14F78">
        <w:trPr>
          <w:trHeight w:val="786"/>
        </w:trPr>
        <w:tc>
          <w:tcPr>
            <w:tcW w:w="1890" w:type="dxa"/>
            <w:tcBorders>
              <w:top w:val="single" w:sz="6" w:space="0" w:color="000000"/>
              <w:left w:val="single" w:sz="6" w:space="0" w:color="000000"/>
              <w:bottom w:val="single" w:sz="4" w:space="0" w:color="auto"/>
              <w:right w:val="single" w:sz="6" w:space="0" w:color="000000"/>
            </w:tcBorders>
            <w:hideMark/>
          </w:tcPr>
          <w:p w:rsidR="00C57A0F" w:rsidRPr="00271446" w:rsidRDefault="00C57A0F" w:rsidP="00B574FF">
            <w:pPr>
              <w:autoSpaceDE w:val="0"/>
              <w:autoSpaceDN w:val="0"/>
              <w:adjustRightInd w:val="0"/>
              <w:rPr>
                <w:b/>
                <w:sz w:val="18"/>
                <w:szCs w:val="18"/>
                <w:lang w:val="es-ES"/>
              </w:rPr>
            </w:pPr>
            <w:r w:rsidRPr="00271446">
              <w:rPr>
                <w:b/>
                <w:sz w:val="18"/>
                <w:szCs w:val="18"/>
                <w:lang w:val="es-ES"/>
              </w:rPr>
              <w:t>Not</w:t>
            </w:r>
            <w:r w:rsidR="00B574FF">
              <w:rPr>
                <w:b/>
                <w:sz w:val="18"/>
                <w:szCs w:val="18"/>
                <w:lang w:val="es-ES"/>
              </w:rPr>
              <w:t>a</w:t>
            </w:r>
            <w:r w:rsidRPr="00271446">
              <w:rPr>
                <w:b/>
                <w:sz w:val="18"/>
                <w:szCs w:val="18"/>
                <w:lang w:val="es-ES"/>
              </w:rPr>
              <w:t xml:space="preserve">: </w:t>
            </w:r>
          </w:p>
        </w:tc>
        <w:tc>
          <w:tcPr>
            <w:tcW w:w="6944" w:type="dxa"/>
            <w:gridSpan w:val="3"/>
            <w:tcBorders>
              <w:top w:val="single" w:sz="6" w:space="0" w:color="000000"/>
              <w:left w:val="single" w:sz="6" w:space="0" w:color="000000"/>
              <w:bottom w:val="single" w:sz="4" w:space="0" w:color="auto"/>
              <w:right w:val="single" w:sz="6" w:space="0" w:color="000000"/>
            </w:tcBorders>
            <w:vAlign w:val="bottom"/>
          </w:tcPr>
          <w:p w:rsidR="00083B88" w:rsidRDefault="00867ACB" w:rsidP="00A14F78">
            <w:pPr>
              <w:autoSpaceDE w:val="0"/>
              <w:autoSpaceDN w:val="0"/>
              <w:adjustRightInd w:val="0"/>
              <w:ind w:left="15"/>
              <w:jc w:val="center"/>
              <w:rPr>
                <w:sz w:val="18"/>
                <w:szCs w:val="18"/>
                <w:lang w:val="es-ES"/>
              </w:rPr>
            </w:pPr>
            <w:r w:rsidRPr="00271446">
              <w:rPr>
                <w:sz w:val="18"/>
                <w:szCs w:val="18"/>
                <w:lang w:val="es-ES"/>
              </w:rPr>
              <w:t>LPI</w:t>
            </w:r>
            <w:r w:rsidR="00C57A0F" w:rsidRPr="00271446">
              <w:rPr>
                <w:sz w:val="18"/>
                <w:szCs w:val="18"/>
                <w:lang w:val="es-ES"/>
              </w:rPr>
              <w:t xml:space="preserve"> = </w:t>
            </w:r>
            <w:r w:rsidR="00381889">
              <w:rPr>
                <w:sz w:val="18"/>
                <w:szCs w:val="18"/>
                <w:lang w:val="es-ES"/>
              </w:rPr>
              <w:t xml:space="preserve">Licitación Pública </w:t>
            </w:r>
            <w:r w:rsidR="00C57A0F" w:rsidRPr="00271446">
              <w:rPr>
                <w:sz w:val="18"/>
                <w:szCs w:val="18"/>
                <w:lang w:val="es-ES"/>
              </w:rPr>
              <w:t xml:space="preserve">International </w:t>
            </w:r>
          </w:p>
          <w:p w:rsidR="00C57A0F" w:rsidRPr="00271446" w:rsidRDefault="005E48C2" w:rsidP="00A14F78">
            <w:pPr>
              <w:autoSpaceDE w:val="0"/>
              <w:autoSpaceDN w:val="0"/>
              <w:adjustRightInd w:val="0"/>
              <w:ind w:left="15"/>
              <w:jc w:val="center"/>
              <w:rPr>
                <w:sz w:val="18"/>
                <w:szCs w:val="18"/>
                <w:lang w:val="es-ES"/>
              </w:rPr>
            </w:pPr>
            <w:r w:rsidRPr="00271446">
              <w:rPr>
                <w:sz w:val="18"/>
                <w:szCs w:val="18"/>
                <w:lang w:val="es-ES"/>
              </w:rPr>
              <w:t>LPN</w:t>
            </w:r>
            <w:r w:rsidR="00C57A0F" w:rsidRPr="00271446">
              <w:rPr>
                <w:sz w:val="18"/>
                <w:szCs w:val="18"/>
                <w:lang w:val="es-ES"/>
              </w:rPr>
              <w:t xml:space="preserve"> = </w:t>
            </w:r>
            <w:r w:rsidR="00083B88" w:rsidRPr="00083B88">
              <w:rPr>
                <w:sz w:val="18"/>
                <w:szCs w:val="18"/>
                <w:lang w:val="es-ES"/>
              </w:rPr>
              <w:t xml:space="preserve">Licitación Pública </w:t>
            </w:r>
            <w:r w:rsidR="00083B88">
              <w:rPr>
                <w:sz w:val="18"/>
                <w:szCs w:val="18"/>
                <w:lang w:val="es-ES"/>
              </w:rPr>
              <w:t>Nacional</w:t>
            </w:r>
          </w:p>
          <w:p w:rsidR="00C57A0F" w:rsidRPr="00271446" w:rsidRDefault="00C57A0F" w:rsidP="00083B88">
            <w:pPr>
              <w:autoSpaceDE w:val="0"/>
              <w:autoSpaceDN w:val="0"/>
              <w:adjustRightInd w:val="0"/>
              <w:ind w:left="15"/>
              <w:jc w:val="center"/>
              <w:rPr>
                <w:sz w:val="18"/>
                <w:szCs w:val="18"/>
                <w:lang w:val="es-ES"/>
              </w:rPr>
            </w:pPr>
            <w:r w:rsidRPr="00271446">
              <w:rPr>
                <w:sz w:val="18"/>
                <w:szCs w:val="18"/>
                <w:lang w:val="es-ES"/>
              </w:rPr>
              <w:t xml:space="preserve">DC = </w:t>
            </w:r>
            <w:r w:rsidR="00083B88">
              <w:rPr>
                <w:sz w:val="18"/>
                <w:szCs w:val="18"/>
                <w:lang w:val="es-ES"/>
              </w:rPr>
              <w:t xml:space="preserve">Contratación </w:t>
            </w:r>
            <w:r w:rsidRPr="00271446">
              <w:rPr>
                <w:sz w:val="18"/>
                <w:szCs w:val="18"/>
                <w:lang w:val="es-ES"/>
              </w:rPr>
              <w:t>Direct</w:t>
            </w:r>
            <w:r w:rsidR="00083B88">
              <w:rPr>
                <w:sz w:val="18"/>
                <w:szCs w:val="18"/>
                <w:lang w:val="es-ES"/>
              </w:rPr>
              <w:t>a</w:t>
            </w:r>
          </w:p>
        </w:tc>
      </w:tr>
    </w:tbl>
    <w:p w:rsidR="00C57A0F" w:rsidRPr="00007BD9" w:rsidRDefault="00C57A0F" w:rsidP="00007BD9">
      <w:pPr>
        <w:autoSpaceDE w:val="0"/>
        <w:autoSpaceDN w:val="0"/>
        <w:adjustRightInd w:val="0"/>
        <w:jc w:val="both"/>
        <w:rPr>
          <w:lang w:val="es-ES"/>
        </w:rPr>
      </w:pPr>
    </w:p>
    <w:p w:rsidR="00C57A0F" w:rsidRPr="00083B88" w:rsidRDefault="00083B88" w:rsidP="00C57A0F">
      <w:pPr>
        <w:pStyle w:val="Heading5"/>
        <w:jc w:val="center"/>
        <w:rPr>
          <w:bCs w:val="0"/>
          <w:sz w:val="22"/>
          <w:szCs w:val="22"/>
          <w:u w:val="none"/>
          <w:lang w:val="es-ES"/>
        </w:rPr>
      </w:pPr>
      <w:r w:rsidRPr="00083B88">
        <w:rPr>
          <w:bCs w:val="0"/>
          <w:sz w:val="22"/>
          <w:szCs w:val="22"/>
          <w:u w:val="none"/>
          <w:lang w:val="es-ES"/>
        </w:rPr>
        <w:t xml:space="preserve">Resumen de los Paquetes de Adquisición de Obras, Bienes y Servicios distintos a los de Consultoría </w:t>
      </w:r>
    </w:p>
    <w:p w:rsidR="00C57A0F" w:rsidRPr="00083B88" w:rsidRDefault="00B47536" w:rsidP="00C57A0F">
      <w:pPr>
        <w:jc w:val="center"/>
        <w:rPr>
          <w:b/>
          <w:bCs/>
          <w:sz w:val="22"/>
          <w:szCs w:val="22"/>
          <w:lang w:val="es-ES"/>
        </w:rPr>
      </w:pPr>
      <w:r w:rsidRPr="00083B88">
        <w:rPr>
          <w:b/>
          <w:bCs/>
          <w:sz w:val="22"/>
          <w:szCs w:val="22"/>
          <w:lang w:val="es-ES"/>
        </w:rPr>
        <w:t>(</w:t>
      </w:r>
      <w:r w:rsidR="00083B88" w:rsidRPr="00083B88">
        <w:rPr>
          <w:b/>
          <w:bCs/>
          <w:sz w:val="22"/>
          <w:szCs w:val="22"/>
          <w:lang w:val="es-ES"/>
        </w:rPr>
        <w:t xml:space="preserve">Con base en el Plan de </w:t>
      </w:r>
      <w:r w:rsidR="00427E8F">
        <w:rPr>
          <w:b/>
          <w:bCs/>
          <w:sz w:val="22"/>
          <w:szCs w:val="22"/>
          <w:lang w:val="es-ES"/>
        </w:rPr>
        <w:t>Adquisiciones del 5 de febrero del 2013</w:t>
      </w:r>
      <w:r w:rsidR="00C57A0F" w:rsidRPr="00083B88">
        <w:rPr>
          <w:b/>
          <w:bCs/>
          <w:sz w:val="22"/>
          <w:szCs w:val="22"/>
          <w:lang w:val="es-ES"/>
        </w:rPr>
        <w:t>)</w:t>
      </w:r>
    </w:p>
    <w:p w:rsidR="00C57A0F" w:rsidRPr="00083B88" w:rsidRDefault="00C57A0F" w:rsidP="00C57A0F">
      <w:pPr>
        <w:jc w:val="center"/>
        <w:rPr>
          <w:lang w:val="es-ES"/>
        </w:rPr>
      </w:pPr>
    </w:p>
    <w:tbl>
      <w:tblPr>
        <w:tblStyle w:val="TableGrid"/>
        <w:tblW w:w="9375" w:type="dxa"/>
        <w:jc w:val="center"/>
        <w:tblLook w:val="04A0" w:firstRow="1" w:lastRow="0" w:firstColumn="1" w:lastColumn="0" w:noHBand="0" w:noVBand="1"/>
      </w:tblPr>
      <w:tblGrid>
        <w:gridCol w:w="634"/>
        <w:gridCol w:w="1964"/>
        <w:gridCol w:w="1349"/>
        <w:gridCol w:w="906"/>
        <w:gridCol w:w="1460"/>
        <w:gridCol w:w="1775"/>
        <w:gridCol w:w="1287"/>
      </w:tblGrid>
      <w:tr w:rsidR="00C57A0F" w:rsidRPr="00B269E4" w:rsidTr="00007BD9">
        <w:trPr>
          <w:trHeight w:val="315"/>
          <w:jc w:val="center"/>
        </w:trPr>
        <w:tc>
          <w:tcPr>
            <w:tcW w:w="634" w:type="dxa"/>
            <w:hideMark/>
          </w:tcPr>
          <w:p w:rsidR="00C57A0F" w:rsidRPr="00B269E4" w:rsidRDefault="00C57A0F" w:rsidP="00A14F78">
            <w:pPr>
              <w:jc w:val="center"/>
              <w:rPr>
                <w:sz w:val="18"/>
                <w:szCs w:val="18"/>
                <w:lang w:val="es-ES"/>
              </w:rPr>
            </w:pPr>
            <w:r w:rsidRPr="00B269E4">
              <w:rPr>
                <w:bCs/>
                <w:sz w:val="18"/>
                <w:szCs w:val="18"/>
                <w:lang w:val="es-ES"/>
              </w:rPr>
              <w:t>1</w:t>
            </w:r>
          </w:p>
        </w:tc>
        <w:tc>
          <w:tcPr>
            <w:tcW w:w="1964" w:type="dxa"/>
            <w:hideMark/>
          </w:tcPr>
          <w:p w:rsidR="00C57A0F" w:rsidRPr="00B269E4" w:rsidRDefault="00C57A0F" w:rsidP="00A14F78">
            <w:pPr>
              <w:jc w:val="center"/>
              <w:rPr>
                <w:sz w:val="18"/>
                <w:szCs w:val="18"/>
                <w:lang w:val="es-ES"/>
              </w:rPr>
            </w:pPr>
            <w:r w:rsidRPr="00B269E4">
              <w:rPr>
                <w:bCs/>
                <w:sz w:val="18"/>
                <w:szCs w:val="18"/>
                <w:lang w:val="es-ES"/>
              </w:rPr>
              <w:t>2</w:t>
            </w:r>
          </w:p>
        </w:tc>
        <w:tc>
          <w:tcPr>
            <w:tcW w:w="1349" w:type="dxa"/>
            <w:hideMark/>
          </w:tcPr>
          <w:p w:rsidR="00C57A0F" w:rsidRPr="00B269E4" w:rsidRDefault="00C57A0F" w:rsidP="00A14F78">
            <w:pPr>
              <w:jc w:val="center"/>
              <w:rPr>
                <w:sz w:val="18"/>
                <w:szCs w:val="18"/>
                <w:lang w:val="es-ES"/>
              </w:rPr>
            </w:pPr>
            <w:r w:rsidRPr="00B269E4">
              <w:rPr>
                <w:bCs/>
                <w:sz w:val="18"/>
                <w:szCs w:val="18"/>
                <w:lang w:val="es-ES"/>
              </w:rPr>
              <w:t>3</w:t>
            </w:r>
          </w:p>
        </w:tc>
        <w:tc>
          <w:tcPr>
            <w:tcW w:w="906" w:type="dxa"/>
            <w:hideMark/>
          </w:tcPr>
          <w:p w:rsidR="00C57A0F" w:rsidRPr="00B269E4" w:rsidRDefault="00C57A0F" w:rsidP="00A14F78">
            <w:pPr>
              <w:jc w:val="center"/>
              <w:rPr>
                <w:sz w:val="18"/>
                <w:szCs w:val="18"/>
                <w:lang w:val="es-ES"/>
              </w:rPr>
            </w:pPr>
            <w:r w:rsidRPr="00B269E4">
              <w:rPr>
                <w:bCs/>
                <w:sz w:val="18"/>
                <w:szCs w:val="18"/>
                <w:lang w:val="es-ES"/>
              </w:rPr>
              <w:t>4</w:t>
            </w:r>
          </w:p>
        </w:tc>
        <w:tc>
          <w:tcPr>
            <w:tcW w:w="1460" w:type="dxa"/>
            <w:hideMark/>
          </w:tcPr>
          <w:p w:rsidR="00C57A0F" w:rsidRPr="00B269E4" w:rsidRDefault="00C57A0F" w:rsidP="00A14F78">
            <w:pPr>
              <w:jc w:val="center"/>
              <w:rPr>
                <w:sz w:val="18"/>
                <w:szCs w:val="18"/>
                <w:lang w:val="es-ES"/>
              </w:rPr>
            </w:pPr>
            <w:r w:rsidRPr="00B269E4">
              <w:rPr>
                <w:bCs/>
                <w:sz w:val="18"/>
                <w:szCs w:val="18"/>
                <w:lang w:val="es-ES"/>
              </w:rPr>
              <w:t>5</w:t>
            </w:r>
          </w:p>
        </w:tc>
        <w:tc>
          <w:tcPr>
            <w:tcW w:w="1775" w:type="dxa"/>
            <w:hideMark/>
          </w:tcPr>
          <w:p w:rsidR="00C57A0F" w:rsidRPr="00B269E4" w:rsidRDefault="00C57A0F" w:rsidP="00007BD9">
            <w:pPr>
              <w:ind w:left="-2" w:hanging="2"/>
              <w:rPr>
                <w:sz w:val="18"/>
                <w:szCs w:val="18"/>
                <w:lang w:val="es-ES"/>
              </w:rPr>
            </w:pPr>
            <w:r w:rsidRPr="00B269E4">
              <w:rPr>
                <w:bCs/>
                <w:sz w:val="18"/>
                <w:szCs w:val="18"/>
                <w:lang w:val="es-ES"/>
              </w:rPr>
              <w:t>6</w:t>
            </w:r>
          </w:p>
        </w:tc>
        <w:tc>
          <w:tcPr>
            <w:tcW w:w="1287" w:type="dxa"/>
            <w:hideMark/>
          </w:tcPr>
          <w:p w:rsidR="00C57A0F" w:rsidRPr="00B269E4" w:rsidRDefault="00C57A0F" w:rsidP="00A14F78">
            <w:pPr>
              <w:jc w:val="center"/>
              <w:rPr>
                <w:sz w:val="18"/>
                <w:szCs w:val="18"/>
                <w:lang w:val="es-ES"/>
              </w:rPr>
            </w:pPr>
            <w:r w:rsidRPr="00B269E4">
              <w:rPr>
                <w:bCs/>
                <w:sz w:val="18"/>
                <w:szCs w:val="18"/>
                <w:lang w:val="es-ES"/>
              </w:rPr>
              <w:t>7</w:t>
            </w:r>
          </w:p>
        </w:tc>
      </w:tr>
      <w:tr w:rsidR="00C57A0F" w:rsidRPr="00B269E4" w:rsidTr="00007BD9">
        <w:trPr>
          <w:trHeight w:val="854"/>
          <w:jc w:val="center"/>
        </w:trPr>
        <w:tc>
          <w:tcPr>
            <w:tcW w:w="634" w:type="dxa"/>
            <w:hideMark/>
          </w:tcPr>
          <w:p w:rsidR="00C57A0F" w:rsidRPr="00B269E4" w:rsidRDefault="00C57A0F" w:rsidP="00A14F78">
            <w:pPr>
              <w:jc w:val="center"/>
              <w:rPr>
                <w:b/>
                <w:bCs/>
                <w:sz w:val="18"/>
                <w:szCs w:val="18"/>
                <w:lang w:val="es-ES"/>
              </w:rPr>
            </w:pPr>
            <w:r w:rsidRPr="00B269E4">
              <w:rPr>
                <w:b/>
                <w:bCs/>
                <w:sz w:val="18"/>
                <w:szCs w:val="18"/>
                <w:lang w:val="es-ES"/>
              </w:rPr>
              <w:t>Ref. No.</w:t>
            </w:r>
          </w:p>
        </w:tc>
        <w:tc>
          <w:tcPr>
            <w:tcW w:w="1964" w:type="dxa"/>
            <w:hideMark/>
          </w:tcPr>
          <w:p w:rsidR="00C57A0F" w:rsidRPr="00B269E4" w:rsidRDefault="00427E8F" w:rsidP="00A14F78">
            <w:pPr>
              <w:jc w:val="center"/>
              <w:rPr>
                <w:b/>
                <w:bCs/>
                <w:sz w:val="18"/>
                <w:szCs w:val="18"/>
                <w:lang w:val="es-ES"/>
              </w:rPr>
            </w:pPr>
            <w:r w:rsidRPr="00B269E4">
              <w:rPr>
                <w:b/>
                <w:bCs/>
                <w:sz w:val="18"/>
                <w:szCs w:val="18"/>
                <w:lang w:val="es-ES"/>
              </w:rPr>
              <w:t>Descripción</w:t>
            </w:r>
          </w:p>
        </w:tc>
        <w:tc>
          <w:tcPr>
            <w:tcW w:w="1349" w:type="dxa"/>
            <w:hideMark/>
          </w:tcPr>
          <w:p w:rsidR="00C57A0F" w:rsidRPr="00B269E4" w:rsidRDefault="00C57A0F" w:rsidP="00A14F78">
            <w:pPr>
              <w:jc w:val="center"/>
              <w:rPr>
                <w:b/>
                <w:bCs/>
                <w:sz w:val="18"/>
                <w:szCs w:val="18"/>
                <w:lang w:val="es-ES"/>
              </w:rPr>
            </w:pPr>
            <w:r w:rsidRPr="00B269E4">
              <w:rPr>
                <w:b/>
                <w:bCs/>
                <w:sz w:val="18"/>
                <w:szCs w:val="18"/>
                <w:lang w:val="es-ES"/>
              </w:rPr>
              <w:t>Cost</w:t>
            </w:r>
            <w:r w:rsidR="00427E8F" w:rsidRPr="00B269E4">
              <w:rPr>
                <w:b/>
                <w:bCs/>
                <w:sz w:val="18"/>
                <w:szCs w:val="18"/>
                <w:lang w:val="es-ES"/>
              </w:rPr>
              <w:t>o estimado</w:t>
            </w:r>
            <w:r w:rsidRPr="00B269E4">
              <w:rPr>
                <w:b/>
                <w:bCs/>
                <w:sz w:val="18"/>
                <w:szCs w:val="18"/>
                <w:lang w:val="es-ES"/>
              </w:rPr>
              <w:t xml:space="preserve"> US$ </w:t>
            </w:r>
            <w:r w:rsidR="001351F1" w:rsidRPr="00B269E4">
              <w:rPr>
                <w:b/>
                <w:bCs/>
                <w:sz w:val="18"/>
                <w:szCs w:val="18"/>
                <w:lang w:val="es-ES"/>
              </w:rPr>
              <w:t>millones de dólares</w:t>
            </w:r>
          </w:p>
        </w:tc>
        <w:tc>
          <w:tcPr>
            <w:tcW w:w="906" w:type="dxa"/>
            <w:hideMark/>
          </w:tcPr>
          <w:p w:rsidR="00C57A0F" w:rsidRPr="00B269E4" w:rsidRDefault="00427E8F" w:rsidP="00A14F78">
            <w:pPr>
              <w:jc w:val="center"/>
              <w:rPr>
                <w:b/>
                <w:bCs/>
                <w:sz w:val="18"/>
                <w:szCs w:val="18"/>
                <w:lang w:val="es-ES"/>
              </w:rPr>
            </w:pPr>
            <w:r w:rsidRPr="00B269E4">
              <w:rPr>
                <w:b/>
                <w:bCs/>
                <w:sz w:val="18"/>
                <w:szCs w:val="18"/>
                <w:lang w:val="es-ES"/>
              </w:rPr>
              <w:t>Paquetes</w:t>
            </w:r>
          </w:p>
        </w:tc>
        <w:tc>
          <w:tcPr>
            <w:tcW w:w="1460" w:type="dxa"/>
            <w:hideMark/>
          </w:tcPr>
          <w:p w:rsidR="00C57A0F" w:rsidRPr="00B269E4" w:rsidRDefault="00427E8F" w:rsidP="00A14F78">
            <w:pPr>
              <w:jc w:val="center"/>
              <w:rPr>
                <w:b/>
                <w:bCs/>
                <w:sz w:val="18"/>
                <w:szCs w:val="18"/>
                <w:lang w:val="es-ES"/>
              </w:rPr>
            </w:pPr>
            <w:r w:rsidRPr="00B269E4">
              <w:rPr>
                <w:b/>
                <w:bCs/>
                <w:sz w:val="18"/>
                <w:szCs w:val="18"/>
                <w:lang w:val="es-ES"/>
              </w:rPr>
              <w:t>Preferencia por nacionales</w:t>
            </w:r>
            <w:r w:rsidR="00C57A0F" w:rsidRPr="00B269E4">
              <w:rPr>
                <w:b/>
                <w:bCs/>
                <w:sz w:val="18"/>
                <w:szCs w:val="18"/>
                <w:lang w:val="es-ES"/>
              </w:rPr>
              <w:t xml:space="preserve"> (</w:t>
            </w:r>
            <w:r w:rsidRPr="00B269E4">
              <w:rPr>
                <w:b/>
                <w:bCs/>
                <w:sz w:val="18"/>
                <w:szCs w:val="18"/>
                <w:lang w:val="es-ES"/>
              </w:rPr>
              <w:t>sí</w:t>
            </w:r>
            <w:r w:rsidR="00C57A0F" w:rsidRPr="00B269E4">
              <w:rPr>
                <w:b/>
                <w:bCs/>
                <w:sz w:val="18"/>
                <w:szCs w:val="18"/>
                <w:lang w:val="es-ES"/>
              </w:rPr>
              <w:t>/no)</w:t>
            </w:r>
          </w:p>
        </w:tc>
        <w:tc>
          <w:tcPr>
            <w:tcW w:w="1775" w:type="dxa"/>
            <w:hideMark/>
          </w:tcPr>
          <w:p w:rsidR="00C57A0F" w:rsidRPr="00B269E4" w:rsidRDefault="00427E8F" w:rsidP="00007BD9">
            <w:pPr>
              <w:ind w:left="-2" w:hanging="2"/>
              <w:rPr>
                <w:b/>
                <w:bCs/>
                <w:sz w:val="18"/>
                <w:szCs w:val="18"/>
                <w:lang w:val="es-ES"/>
              </w:rPr>
            </w:pPr>
            <w:r w:rsidRPr="00B269E4">
              <w:rPr>
                <w:b/>
                <w:bCs/>
                <w:sz w:val="18"/>
                <w:szCs w:val="18"/>
                <w:lang w:val="es-ES"/>
              </w:rPr>
              <w:t xml:space="preserve">Revisión del Banco Mundial (Priori </w:t>
            </w:r>
            <w:r w:rsidR="00C57A0F" w:rsidRPr="00B269E4">
              <w:rPr>
                <w:b/>
                <w:bCs/>
                <w:sz w:val="18"/>
                <w:szCs w:val="18"/>
                <w:lang w:val="es-ES"/>
              </w:rPr>
              <w:t>/Post</w:t>
            </w:r>
            <w:r w:rsidRPr="00B269E4">
              <w:rPr>
                <w:b/>
                <w:bCs/>
                <w:sz w:val="18"/>
                <w:szCs w:val="18"/>
                <w:lang w:val="es-ES"/>
              </w:rPr>
              <w:t>eriori</w:t>
            </w:r>
            <w:r w:rsidR="00C57A0F" w:rsidRPr="00B269E4">
              <w:rPr>
                <w:b/>
                <w:bCs/>
                <w:sz w:val="18"/>
                <w:szCs w:val="18"/>
                <w:lang w:val="es-ES"/>
              </w:rPr>
              <w:t>)</w:t>
            </w:r>
          </w:p>
        </w:tc>
        <w:tc>
          <w:tcPr>
            <w:tcW w:w="1287" w:type="dxa"/>
            <w:hideMark/>
          </w:tcPr>
          <w:p w:rsidR="00C57A0F" w:rsidRPr="00B269E4" w:rsidRDefault="00427E8F" w:rsidP="00A14F78">
            <w:pPr>
              <w:jc w:val="center"/>
              <w:rPr>
                <w:b/>
                <w:bCs/>
                <w:sz w:val="18"/>
                <w:szCs w:val="18"/>
                <w:lang w:val="es-ES"/>
              </w:rPr>
            </w:pPr>
            <w:r w:rsidRPr="00B269E4">
              <w:rPr>
                <w:b/>
                <w:bCs/>
                <w:sz w:val="18"/>
                <w:szCs w:val="18"/>
                <w:lang w:val="es-ES"/>
              </w:rPr>
              <w:t>Comentarios</w:t>
            </w:r>
          </w:p>
        </w:tc>
      </w:tr>
      <w:tr w:rsidR="00C57A0F" w:rsidRPr="00B269E4" w:rsidTr="00007BD9">
        <w:trPr>
          <w:trHeight w:val="566"/>
          <w:jc w:val="center"/>
        </w:trPr>
        <w:tc>
          <w:tcPr>
            <w:tcW w:w="634" w:type="dxa"/>
            <w:hideMark/>
          </w:tcPr>
          <w:p w:rsidR="00C57A0F" w:rsidRPr="00B269E4" w:rsidRDefault="00C57A0F" w:rsidP="00A14F78">
            <w:pPr>
              <w:jc w:val="center"/>
              <w:rPr>
                <w:sz w:val="18"/>
                <w:szCs w:val="18"/>
                <w:lang w:val="es-ES"/>
              </w:rPr>
            </w:pPr>
            <w:r w:rsidRPr="00B269E4">
              <w:rPr>
                <w:sz w:val="18"/>
                <w:szCs w:val="18"/>
                <w:lang w:val="es-ES"/>
              </w:rPr>
              <w:lastRenderedPageBreak/>
              <w:t>1</w:t>
            </w:r>
          </w:p>
        </w:tc>
        <w:tc>
          <w:tcPr>
            <w:tcW w:w="1964" w:type="dxa"/>
          </w:tcPr>
          <w:p w:rsidR="00C57A0F" w:rsidRPr="00B269E4" w:rsidRDefault="00427E8F" w:rsidP="00764526">
            <w:pPr>
              <w:rPr>
                <w:sz w:val="18"/>
                <w:szCs w:val="18"/>
                <w:lang w:val="es-ES"/>
              </w:rPr>
            </w:pPr>
            <w:r w:rsidRPr="00B269E4">
              <w:rPr>
                <w:sz w:val="18"/>
                <w:szCs w:val="18"/>
                <w:lang w:val="es-ES"/>
              </w:rPr>
              <w:t>Resumen</w:t>
            </w:r>
            <w:r w:rsidR="00F97F25">
              <w:rPr>
                <w:sz w:val="18"/>
                <w:szCs w:val="18"/>
                <w:lang w:val="es-ES"/>
              </w:rPr>
              <w:t xml:space="preserve"> </w:t>
            </w:r>
            <w:r w:rsidR="00764526" w:rsidRPr="00B269E4">
              <w:rPr>
                <w:sz w:val="18"/>
                <w:szCs w:val="18"/>
                <w:lang w:val="es-ES"/>
              </w:rPr>
              <w:t>de</w:t>
            </w:r>
            <w:r w:rsidR="00F97F25">
              <w:rPr>
                <w:sz w:val="18"/>
                <w:szCs w:val="18"/>
                <w:lang w:val="es-ES"/>
              </w:rPr>
              <w:t xml:space="preserve"> </w:t>
            </w:r>
            <w:r w:rsidRPr="00B269E4">
              <w:rPr>
                <w:sz w:val="18"/>
                <w:szCs w:val="18"/>
                <w:lang w:val="es-ES"/>
              </w:rPr>
              <w:t>LPI</w:t>
            </w:r>
            <w:r w:rsidR="00764526" w:rsidRPr="00B269E4">
              <w:rPr>
                <w:sz w:val="18"/>
                <w:szCs w:val="18"/>
                <w:lang w:val="es-ES"/>
              </w:rPr>
              <w:t xml:space="preserve">–Obras </w:t>
            </w:r>
            <w:r w:rsidR="005214BB" w:rsidRPr="00B269E4">
              <w:rPr>
                <w:sz w:val="18"/>
                <w:szCs w:val="18"/>
                <w:lang w:val="es-ES"/>
              </w:rPr>
              <w:t>Civil</w:t>
            </w:r>
            <w:r w:rsidR="00764526" w:rsidRPr="00B269E4">
              <w:rPr>
                <w:sz w:val="18"/>
                <w:szCs w:val="18"/>
                <w:lang w:val="es-ES"/>
              </w:rPr>
              <w:t>es</w:t>
            </w:r>
          </w:p>
        </w:tc>
        <w:tc>
          <w:tcPr>
            <w:tcW w:w="1349" w:type="dxa"/>
          </w:tcPr>
          <w:p w:rsidR="00C57A0F" w:rsidRPr="00B269E4" w:rsidRDefault="004F1E36" w:rsidP="00A14F78">
            <w:pPr>
              <w:jc w:val="center"/>
              <w:rPr>
                <w:iCs/>
                <w:sz w:val="18"/>
                <w:szCs w:val="18"/>
                <w:lang w:val="es-ES"/>
              </w:rPr>
            </w:pPr>
            <w:r w:rsidRPr="00B269E4">
              <w:rPr>
                <w:iCs/>
                <w:sz w:val="18"/>
                <w:szCs w:val="18"/>
                <w:lang w:val="es-ES"/>
              </w:rPr>
              <w:t>0,</w:t>
            </w:r>
            <w:r w:rsidR="005214BB" w:rsidRPr="00B269E4">
              <w:rPr>
                <w:iCs/>
                <w:sz w:val="18"/>
                <w:szCs w:val="18"/>
                <w:lang w:val="es-ES"/>
              </w:rPr>
              <w:t>244</w:t>
            </w:r>
          </w:p>
        </w:tc>
        <w:tc>
          <w:tcPr>
            <w:tcW w:w="906" w:type="dxa"/>
          </w:tcPr>
          <w:p w:rsidR="00C57A0F" w:rsidRPr="00B269E4" w:rsidRDefault="005214BB" w:rsidP="00A14F78">
            <w:pPr>
              <w:jc w:val="center"/>
              <w:rPr>
                <w:iCs/>
                <w:sz w:val="18"/>
                <w:szCs w:val="18"/>
                <w:lang w:val="es-ES"/>
              </w:rPr>
            </w:pPr>
            <w:r w:rsidRPr="00B269E4">
              <w:rPr>
                <w:iCs/>
                <w:sz w:val="18"/>
                <w:szCs w:val="18"/>
                <w:lang w:val="es-ES"/>
              </w:rPr>
              <w:t>1</w:t>
            </w:r>
          </w:p>
        </w:tc>
        <w:tc>
          <w:tcPr>
            <w:tcW w:w="1460" w:type="dxa"/>
          </w:tcPr>
          <w:p w:rsidR="00C57A0F" w:rsidRPr="00B269E4" w:rsidRDefault="005214BB" w:rsidP="00A14F78">
            <w:pPr>
              <w:jc w:val="center"/>
              <w:rPr>
                <w:iCs/>
                <w:sz w:val="18"/>
                <w:szCs w:val="18"/>
                <w:lang w:val="es-ES"/>
              </w:rPr>
            </w:pPr>
            <w:r w:rsidRPr="00B269E4">
              <w:rPr>
                <w:iCs/>
                <w:sz w:val="18"/>
                <w:szCs w:val="18"/>
                <w:lang w:val="es-ES"/>
              </w:rPr>
              <w:t>No</w:t>
            </w:r>
          </w:p>
        </w:tc>
        <w:tc>
          <w:tcPr>
            <w:tcW w:w="1775" w:type="dxa"/>
          </w:tcPr>
          <w:p w:rsidR="00C57A0F" w:rsidRPr="00B269E4" w:rsidRDefault="00427E8F" w:rsidP="00007BD9">
            <w:pPr>
              <w:ind w:left="-2" w:hanging="2"/>
              <w:rPr>
                <w:iCs/>
                <w:sz w:val="18"/>
                <w:szCs w:val="18"/>
                <w:lang w:val="es-ES"/>
              </w:rPr>
            </w:pPr>
            <w:r w:rsidRPr="00B269E4">
              <w:rPr>
                <w:iCs/>
                <w:sz w:val="18"/>
                <w:szCs w:val="18"/>
                <w:lang w:val="es-ES"/>
              </w:rPr>
              <w:t>A priori</w:t>
            </w:r>
          </w:p>
        </w:tc>
        <w:tc>
          <w:tcPr>
            <w:tcW w:w="1287" w:type="dxa"/>
          </w:tcPr>
          <w:p w:rsidR="00C57A0F" w:rsidRPr="00B269E4" w:rsidRDefault="00C57A0F" w:rsidP="00A14F78">
            <w:pPr>
              <w:jc w:val="center"/>
              <w:rPr>
                <w:iCs/>
                <w:sz w:val="18"/>
                <w:szCs w:val="18"/>
                <w:lang w:val="es-ES"/>
              </w:rPr>
            </w:pPr>
          </w:p>
        </w:tc>
      </w:tr>
      <w:tr w:rsidR="00C57A0F" w:rsidRPr="00B269E4" w:rsidTr="00007BD9">
        <w:trPr>
          <w:trHeight w:val="620"/>
          <w:jc w:val="center"/>
        </w:trPr>
        <w:tc>
          <w:tcPr>
            <w:tcW w:w="634" w:type="dxa"/>
            <w:hideMark/>
          </w:tcPr>
          <w:p w:rsidR="00C57A0F" w:rsidRPr="00B269E4" w:rsidRDefault="00C57A0F" w:rsidP="00A14F78">
            <w:pPr>
              <w:jc w:val="center"/>
              <w:rPr>
                <w:sz w:val="18"/>
                <w:szCs w:val="18"/>
                <w:lang w:val="es-ES"/>
              </w:rPr>
            </w:pPr>
            <w:r w:rsidRPr="00B269E4">
              <w:rPr>
                <w:sz w:val="18"/>
                <w:szCs w:val="18"/>
                <w:lang w:val="es-ES"/>
              </w:rPr>
              <w:t>2</w:t>
            </w:r>
          </w:p>
        </w:tc>
        <w:tc>
          <w:tcPr>
            <w:tcW w:w="1964" w:type="dxa"/>
          </w:tcPr>
          <w:p w:rsidR="00C57A0F" w:rsidRPr="00B269E4" w:rsidRDefault="00427E8F" w:rsidP="00A14F78">
            <w:pPr>
              <w:rPr>
                <w:sz w:val="18"/>
                <w:szCs w:val="18"/>
                <w:lang w:val="es-ES"/>
              </w:rPr>
            </w:pPr>
            <w:r w:rsidRPr="00B269E4">
              <w:rPr>
                <w:sz w:val="18"/>
                <w:szCs w:val="18"/>
                <w:lang w:val="es-ES"/>
              </w:rPr>
              <w:t>Resumen de</w:t>
            </w:r>
            <w:r w:rsidR="00F97F25">
              <w:rPr>
                <w:sz w:val="18"/>
                <w:szCs w:val="18"/>
                <w:lang w:val="es-ES"/>
              </w:rPr>
              <w:t xml:space="preserve"> </w:t>
            </w:r>
            <w:r w:rsidRPr="00B269E4">
              <w:rPr>
                <w:sz w:val="18"/>
                <w:szCs w:val="18"/>
                <w:lang w:val="es-ES"/>
              </w:rPr>
              <w:t>LPN</w:t>
            </w:r>
            <w:r w:rsidR="005214BB" w:rsidRPr="00B269E4">
              <w:rPr>
                <w:sz w:val="18"/>
                <w:szCs w:val="18"/>
                <w:lang w:val="es-ES"/>
              </w:rPr>
              <w:t xml:space="preserve"> - </w:t>
            </w:r>
            <w:r w:rsidR="00B269E4" w:rsidRPr="00B269E4">
              <w:rPr>
                <w:sz w:val="18"/>
                <w:szCs w:val="18"/>
                <w:lang w:val="es-ES"/>
              </w:rPr>
              <w:t>Obras Civiles</w:t>
            </w:r>
          </w:p>
        </w:tc>
        <w:tc>
          <w:tcPr>
            <w:tcW w:w="1349" w:type="dxa"/>
          </w:tcPr>
          <w:p w:rsidR="00C57A0F" w:rsidRPr="00B269E4" w:rsidRDefault="004F1E36" w:rsidP="00A14F78">
            <w:pPr>
              <w:jc w:val="center"/>
              <w:rPr>
                <w:iCs/>
                <w:sz w:val="18"/>
                <w:szCs w:val="18"/>
                <w:lang w:val="es-ES"/>
              </w:rPr>
            </w:pPr>
            <w:r w:rsidRPr="00B269E4">
              <w:rPr>
                <w:iCs/>
                <w:sz w:val="18"/>
                <w:szCs w:val="18"/>
                <w:lang w:val="es-ES"/>
              </w:rPr>
              <w:t>0,</w:t>
            </w:r>
            <w:r w:rsidR="005214BB" w:rsidRPr="00B269E4">
              <w:rPr>
                <w:iCs/>
                <w:sz w:val="18"/>
                <w:szCs w:val="18"/>
                <w:lang w:val="es-ES"/>
              </w:rPr>
              <w:t>535</w:t>
            </w:r>
          </w:p>
        </w:tc>
        <w:tc>
          <w:tcPr>
            <w:tcW w:w="906" w:type="dxa"/>
          </w:tcPr>
          <w:p w:rsidR="00C57A0F" w:rsidRPr="00B269E4" w:rsidRDefault="005214BB" w:rsidP="00A14F78">
            <w:pPr>
              <w:jc w:val="center"/>
              <w:rPr>
                <w:iCs/>
                <w:sz w:val="18"/>
                <w:szCs w:val="18"/>
                <w:lang w:val="es-ES"/>
              </w:rPr>
            </w:pPr>
            <w:r w:rsidRPr="00B269E4">
              <w:rPr>
                <w:iCs/>
                <w:sz w:val="18"/>
                <w:szCs w:val="18"/>
                <w:lang w:val="es-ES"/>
              </w:rPr>
              <w:t>6</w:t>
            </w:r>
          </w:p>
        </w:tc>
        <w:tc>
          <w:tcPr>
            <w:tcW w:w="1460" w:type="dxa"/>
          </w:tcPr>
          <w:p w:rsidR="00C57A0F" w:rsidRPr="00B269E4" w:rsidRDefault="005214BB" w:rsidP="00A14F78">
            <w:pPr>
              <w:jc w:val="center"/>
              <w:rPr>
                <w:iCs/>
                <w:sz w:val="18"/>
                <w:szCs w:val="18"/>
                <w:lang w:val="es-ES"/>
              </w:rPr>
            </w:pPr>
            <w:r w:rsidRPr="00B269E4">
              <w:rPr>
                <w:iCs/>
                <w:sz w:val="18"/>
                <w:szCs w:val="18"/>
                <w:lang w:val="es-ES"/>
              </w:rPr>
              <w:t>No</w:t>
            </w:r>
          </w:p>
        </w:tc>
        <w:tc>
          <w:tcPr>
            <w:tcW w:w="1775" w:type="dxa"/>
          </w:tcPr>
          <w:p w:rsidR="00C57A0F" w:rsidRPr="00B269E4" w:rsidRDefault="00764526" w:rsidP="00007BD9">
            <w:pPr>
              <w:ind w:left="-2" w:hanging="2"/>
              <w:rPr>
                <w:iCs/>
                <w:sz w:val="18"/>
                <w:szCs w:val="18"/>
                <w:lang w:val="es-ES"/>
              </w:rPr>
            </w:pPr>
            <w:r w:rsidRPr="00B269E4">
              <w:rPr>
                <w:iCs/>
                <w:sz w:val="18"/>
                <w:szCs w:val="18"/>
                <w:lang w:val="es-ES"/>
              </w:rPr>
              <w:t>Primeros dos a priori</w:t>
            </w:r>
          </w:p>
        </w:tc>
        <w:tc>
          <w:tcPr>
            <w:tcW w:w="1287" w:type="dxa"/>
          </w:tcPr>
          <w:p w:rsidR="00C57A0F" w:rsidRPr="00B269E4" w:rsidRDefault="00C57A0F" w:rsidP="00A14F78">
            <w:pPr>
              <w:jc w:val="center"/>
              <w:rPr>
                <w:iCs/>
                <w:sz w:val="18"/>
                <w:szCs w:val="18"/>
                <w:lang w:val="es-ES"/>
              </w:rPr>
            </w:pPr>
          </w:p>
        </w:tc>
      </w:tr>
      <w:tr w:rsidR="00764526" w:rsidRPr="00B269E4" w:rsidTr="00007BD9">
        <w:trPr>
          <w:trHeight w:val="611"/>
          <w:jc w:val="center"/>
        </w:trPr>
        <w:tc>
          <w:tcPr>
            <w:tcW w:w="634" w:type="dxa"/>
            <w:hideMark/>
          </w:tcPr>
          <w:p w:rsidR="00764526" w:rsidRPr="00B269E4" w:rsidRDefault="00764526" w:rsidP="00764526">
            <w:pPr>
              <w:jc w:val="center"/>
              <w:rPr>
                <w:sz w:val="18"/>
                <w:szCs w:val="18"/>
                <w:lang w:val="es-ES"/>
              </w:rPr>
            </w:pPr>
            <w:r w:rsidRPr="00B269E4">
              <w:rPr>
                <w:sz w:val="18"/>
                <w:szCs w:val="18"/>
                <w:lang w:val="es-ES"/>
              </w:rPr>
              <w:t>3</w:t>
            </w:r>
          </w:p>
        </w:tc>
        <w:tc>
          <w:tcPr>
            <w:tcW w:w="1964" w:type="dxa"/>
          </w:tcPr>
          <w:p w:rsidR="00764526" w:rsidRPr="00B269E4" w:rsidRDefault="00764526" w:rsidP="00764526">
            <w:pPr>
              <w:rPr>
                <w:sz w:val="18"/>
                <w:szCs w:val="18"/>
                <w:lang w:val="es-ES"/>
              </w:rPr>
            </w:pPr>
            <w:r w:rsidRPr="00B269E4">
              <w:rPr>
                <w:sz w:val="18"/>
                <w:szCs w:val="18"/>
                <w:lang w:val="es-ES"/>
              </w:rPr>
              <w:t xml:space="preserve">Resumen de </w:t>
            </w:r>
            <w:r w:rsidR="00B269E4" w:rsidRPr="00B269E4">
              <w:rPr>
                <w:sz w:val="18"/>
                <w:szCs w:val="18"/>
                <w:lang w:val="es-ES"/>
              </w:rPr>
              <w:t>Compras</w:t>
            </w:r>
            <w:r w:rsidRPr="00B269E4">
              <w:rPr>
                <w:sz w:val="18"/>
                <w:szCs w:val="18"/>
                <w:lang w:val="es-ES"/>
              </w:rPr>
              <w:t xml:space="preserve"> - </w:t>
            </w:r>
            <w:r w:rsidR="00B269E4" w:rsidRPr="00B269E4">
              <w:rPr>
                <w:sz w:val="18"/>
                <w:szCs w:val="18"/>
                <w:lang w:val="es-ES"/>
              </w:rPr>
              <w:t>Obras Civiles</w:t>
            </w:r>
          </w:p>
        </w:tc>
        <w:tc>
          <w:tcPr>
            <w:tcW w:w="1349" w:type="dxa"/>
          </w:tcPr>
          <w:p w:rsidR="00764526" w:rsidRPr="00B269E4" w:rsidRDefault="00764526" w:rsidP="00764526">
            <w:pPr>
              <w:jc w:val="center"/>
              <w:rPr>
                <w:iCs/>
                <w:sz w:val="18"/>
                <w:szCs w:val="18"/>
                <w:lang w:val="es-ES"/>
              </w:rPr>
            </w:pPr>
            <w:r w:rsidRPr="00B269E4">
              <w:rPr>
                <w:iCs/>
                <w:sz w:val="18"/>
                <w:szCs w:val="18"/>
                <w:lang w:val="es-ES"/>
              </w:rPr>
              <w:t>0,025</w:t>
            </w:r>
          </w:p>
        </w:tc>
        <w:tc>
          <w:tcPr>
            <w:tcW w:w="906" w:type="dxa"/>
          </w:tcPr>
          <w:p w:rsidR="00764526" w:rsidRPr="00B269E4" w:rsidRDefault="00764526" w:rsidP="00764526">
            <w:pPr>
              <w:jc w:val="center"/>
              <w:rPr>
                <w:iCs/>
                <w:sz w:val="18"/>
                <w:szCs w:val="18"/>
                <w:lang w:val="es-ES"/>
              </w:rPr>
            </w:pPr>
            <w:r w:rsidRPr="00B269E4">
              <w:rPr>
                <w:iCs/>
                <w:sz w:val="18"/>
                <w:szCs w:val="18"/>
                <w:lang w:val="es-ES"/>
              </w:rPr>
              <w:t>1</w:t>
            </w:r>
          </w:p>
        </w:tc>
        <w:tc>
          <w:tcPr>
            <w:tcW w:w="1460" w:type="dxa"/>
          </w:tcPr>
          <w:p w:rsidR="00764526" w:rsidRPr="00B269E4" w:rsidRDefault="00764526" w:rsidP="00764526">
            <w:pPr>
              <w:jc w:val="center"/>
              <w:rPr>
                <w:iCs/>
                <w:sz w:val="18"/>
                <w:szCs w:val="18"/>
                <w:lang w:val="es-ES"/>
              </w:rPr>
            </w:pPr>
            <w:r w:rsidRPr="00B269E4">
              <w:rPr>
                <w:iCs/>
                <w:sz w:val="18"/>
                <w:szCs w:val="18"/>
                <w:lang w:val="es-ES"/>
              </w:rPr>
              <w:t>No</w:t>
            </w:r>
          </w:p>
        </w:tc>
        <w:tc>
          <w:tcPr>
            <w:tcW w:w="1775" w:type="dxa"/>
          </w:tcPr>
          <w:p w:rsidR="00764526" w:rsidRPr="00B269E4" w:rsidRDefault="00764526" w:rsidP="00007BD9">
            <w:pPr>
              <w:ind w:left="-2" w:hanging="2"/>
              <w:rPr>
                <w:sz w:val="18"/>
                <w:szCs w:val="18"/>
                <w:lang w:val="es-ES"/>
              </w:rPr>
            </w:pPr>
            <w:r w:rsidRPr="00B269E4">
              <w:rPr>
                <w:sz w:val="18"/>
                <w:szCs w:val="18"/>
                <w:lang w:val="es-ES"/>
              </w:rPr>
              <w:t>A priori</w:t>
            </w:r>
          </w:p>
        </w:tc>
        <w:tc>
          <w:tcPr>
            <w:tcW w:w="1287" w:type="dxa"/>
          </w:tcPr>
          <w:p w:rsidR="00764526" w:rsidRPr="00B269E4" w:rsidRDefault="00764526" w:rsidP="00764526">
            <w:pPr>
              <w:jc w:val="center"/>
              <w:rPr>
                <w:iCs/>
                <w:sz w:val="18"/>
                <w:szCs w:val="18"/>
                <w:lang w:val="es-ES"/>
              </w:rPr>
            </w:pPr>
          </w:p>
        </w:tc>
      </w:tr>
      <w:tr w:rsidR="00764526" w:rsidRPr="00B269E4" w:rsidTr="00007BD9">
        <w:trPr>
          <w:trHeight w:val="611"/>
          <w:jc w:val="center"/>
        </w:trPr>
        <w:tc>
          <w:tcPr>
            <w:tcW w:w="634" w:type="dxa"/>
          </w:tcPr>
          <w:p w:rsidR="00764526" w:rsidRPr="00B269E4" w:rsidRDefault="00764526" w:rsidP="00764526">
            <w:pPr>
              <w:jc w:val="center"/>
              <w:rPr>
                <w:sz w:val="18"/>
                <w:szCs w:val="18"/>
                <w:lang w:val="es-ES"/>
              </w:rPr>
            </w:pPr>
            <w:r w:rsidRPr="00B269E4">
              <w:rPr>
                <w:sz w:val="18"/>
                <w:szCs w:val="18"/>
                <w:lang w:val="es-ES"/>
              </w:rPr>
              <w:t>4</w:t>
            </w:r>
          </w:p>
        </w:tc>
        <w:tc>
          <w:tcPr>
            <w:tcW w:w="1964" w:type="dxa"/>
          </w:tcPr>
          <w:p w:rsidR="00764526" w:rsidRPr="00B269E4" w:rsidRDefault="00764526" w:rsidP="00764526">
            <w:pPr>
              <w:rPr>
                <w:sz w:val="18"/>
                <w:szCs w:val="18"/>
                <w:lang w:val="es-ES"/>
              </w:rPr>
            </w:pPr>
            <w:r w:rsidRPr="00B269E4">
              <w:rPr>
                <w:sz w:val="18"/>
                <w:szCs w:val="18"/>
                <w:lang w:val="es-ES"/>
              </w:rPr>
              <w:t>Resumen de LPI - Bienes</w:t>
            </w:r>
          </w:p>
        </w:tc>
        <w:tc>
          <w:tcPr>
            <w:tcW w:w="1349" w:type="dxa"/>
          </w:tcPr>
          <w:p w:rsidR="00764526" w:rsidRPr="00B269E4" w:rsidRDefault="00764526" w:rsidP="00764526">
            <w:pPr>
              <w:jc w:val="center"/>
              <w:rPr>
                <w:iCs/>
                <w:sz w:val="18"/>
                <w:szCs w:val="18"/>
                <w:lang w:val="es-ES"/>
              </w:rPr>
            </w:pPr>
            <w:r w:rsidRPr="00B269E4">
              <w:rPr>
                <w:iCs/>
                <w:sz w:val="18"/>
                <w:szCs w:val="18"/>
                <w:lang w:val="es-ES"/>
              </w:rPr>
              <w:t>1,974</w:t>
            </w:r>
          </w:p>
        </w:tc>
        <w:tc>
          <w:tcPr>
            <w:tcW w:w="906" w:type="dxa"/>
          </w:tcPr>
          <w:p w:rsidR="00764526" w:rsidRPr="00B269E4" w:rsidRDefault="00764526" w:rsidP="00764526">
            <w:pPr>
              <w:jc w:val="center"/>
              <w:rPr>
                <w:iCs/>
                <w:sz w:val="18"/>
                <w:szCs w:val="18"/>
                <w:lang w:val="es-ES"/>
              </w:rPr>
            </w:pPr>
            <w:r w:rsidRPr="00B269E4">
              <w:rPr>
                <w:iCs/>
                <w:sz w:val="18"/>
                <w:szCs w:val="18"/>
                <w:lang w:val="es-ES"/>
              </w:rPr>
              <w:t>4</w:t>
            </w:r>
          </w:p>
        </w:tc>
        <w:tc>
          <w:tcPr>
            <w:tcW w:w="1460" w:type="dxa"/>
          </w:tcPr>
          <w:p w:rsidR="00764526" w:rsidRPr="00B269E4" w:rsidRDefault="00764526" w:rsidP="00764526">
            <w:pPr>
              <w:jc w:val="center"/>
              <w:rPr>
                <w:iCs/>
                <w:sz w:val="18"/>
                <w:szCs w:val="18"/>
                <w:lang w:val="es-ES"/>
              </w:rPr>
            </w:pPr>
            <w:r w:rsidRPr="00B269E4">
              <w:rPr>
                <w:iCs/>
                <w:sz w:val="18"/>
                <w:szCs w:val="18"/>
                <w:lang w:val="es-ES"/>
              </w:rPr>
              <w:t>No</w:t>
            </w:r>
          </w:p>
        </w:tc>
        <w:tc>
          <w:tcPr>
            <w:tcW w:w="1775" w:type="dxa"/>
          </w:tcPr>
          <w:p w:rsidR="00764526" w:rsidRPr="00B269E4" w:rsidRDefault="00764526" w:rsidP="00007BD9">
            <w:pPr>
              <w:ind w:left="-2" w:hanging="2"/>
              <w:rPr>
                <w:sz w:val="18"/>
                <w:szCs w:val="18"/>
                <w:lang w:val="es-ES"/>
              </w:rPr>
            </w:pPr>
            <w:r w:rsidRPr="00B269E4">
              <w:rPr>
                <w:sz w:val="18"/>
                <w:szCs w:val="18"/>
                <w:lang w:val="es-ES"/>
              </w:rPr>
              <w:t>A priori</w:t>
            </w:r>
          </w:p>
        </w:tc>
        <w:tc>
          <w:tcPr>
            <w:tcW w:w="1287" w:type="dxa"/>
          </w:tcPr>
          <w:p w:rsidR="00764526" w:rsidRPr="00B269E4" w:rsidRDefault="00764526" w:rsidP="00764526">
            <w:pPr>
              <w:jc w:val="center"/>
              <w:rPr>
                <w:iCs/>
                <w:sz w:val="18"/>
                <w:szCs w:val="18"/>
                <w:lang w:val="es-ES"/>
              </w:rPr>
            </w:pPr>
          </w:p>
        </w:tc>
      </w:tr>
      <w:tr w:rsidR="004F1E36" w:rsidRPr="00B269E4" w:rsidTr="00007BD9">
        <w:trPr>
          <w:trHeight w:val="611"/>
          <w:jc w:val="center"/>
        </w:trPr>
        <w:tc>
          <w:tcPr>
            <w:tcW w:w="634" w:type="dxa"/>
          </w:tcPr>
          <w:p w:rsidR="004F1E36" w:rsidRPr="00B269E4" w:rsidRDefault="004F1E36" w:rsidP="00A14F78">
            <w:pPr>
              <w:jc w:val="center"/>
              <w:rPr>
                <w:sz w:val="18"/>
                <w:szCs w:val="18"/>
                <w:lang w:val="es-ES"/>
              </w:rPr>
            </w:pPr>
            <w:r w:rsidRPr="00B269E4">
              <w:rPr>
                <w:sz w:val="18"/>
                <w:szCs w:val="18"/>
                <w:lang w:val="es-ES"/>
              </w:rPr>
              <w:t>5</w:t>
            </w:r>
          </w:p>
        </w:tc>
        <w:tc>
          <w:tcPr>
            <w:tcW w:w="1964" w:type="dxa"/>
          </w:tcPr>
          <w:p w:rsidR="004F1E36" w:rsidRPr="00B269E4" w:rsidRDefault="00427E8F" w:rsidP="00A14F78">
            <w:pPr>
              <w:rPr>
                <w:sz w:val="18"/>
                <w:szCs w:val="18"/>
                <w:lang w:val="es-ES"/>
              </w:rPr>
            </w:pPr>
            <w:r w:rsidRPr="00B269E4">
              <w:rPr>
                <w:sz w:val="18"/>
                <w:szCs w:val="18"/>
                <w:lang w:val="es-ES"/>
              </w:rPr>
              <w:t>Resumen de</w:t>
            </w:r>
            <w:r w:rsidR="00F97F25">
              <w:rPr>
                <w:sz w:val="18"/>
                <w:szCs w:val="18"/>
                <w:lang w:val="es-ES"/>
              </w:rPr>
              <w:t xml:space="preserve"> </w:t>
            </w:r>
            <w:r w:rsidRPr="00B269E4">
              <w:rPr>
                <w:sz w:val="18"/>
                <w:szCs w:val="18"/>
                <w:lang w:val="es-ES"/>
              </w:rPr>
              <w:t>LPN</w:t>
            </w:r>
            <w:r w:rsidR="00B269E4">
              <w:rPr>
                <w:sz w:val="18"/>
                <w:szCs w:val="18"/>
                <w:lang w:val="es-ES"/>
              </w:rPr>
              <w:t>–</w:t>
            </w:r>
            <w:r w:rsidRPr="00B269E4">
              <w:rPr>
                <w:sz w:val="18"/>
                <w:szCs w:val="18"/>
                <w:lang w:val="es-ES"/>
              </w:rPr>
              <w:t>Bienes</w:t>
            </w:r>
          </w:p>
        </w:tc>
        <w:tc>
          <w:tcPr>
            <w:tcW w:w="1349" w:type="dxa"/>
          </w:tcPr>
          <w:p w:rsidR="004F1E36" w:rsidRPr="00B269E4" w:rsidRDefault="004F1E36" w:rsidP="00A14F78">
            <w:pPr>
              <w:jc w:val="center"/>
              <w:rPr>
                <w:iCs/>
                <w:sz w:val="18"/>
                <w:szCs w:val="18"/>
                <w:lang w:val="es-ES"/>
              </w:rPr>
            </w:pPr>
            <w:r w:rsidRPr="00B269E4">
              <w:rPr>
                <w:iCs/>
                <w:sz w:val="18"/>
                <w:szCs w:val="18"/>
                <w:lang w:val="es-ES"/>
              </w:rPr>
              <w:t>0</w:t>
            </w:r>
            <w:r w:rsidR="0073370C" w:rsidRPr="00B269E4">
              <w:rPr>
                <w:iCs/>
                <w:sz w:val="18"/>
                <w:szCs w:val="18"/>
                <w:lang w:val="es-ES"/>
              </w:rPr>
              <w:t>,</w:t>
            </w:r>
            <w:r w:rsidRPr="00B269E4">
              <w:rPr>
                <w:iCs/>
                <w:sz w:val="18"/>
                <w:szCs w:val="18"/>
                <w:lang w:val="es-ES"/>
              </w:rPr>
              <w:t>468</w:t>
            </w:r>
          </w:p>
        </w:tc>
        <w:tc>
          <w:tcPr>
            <w:tcW w:w="906" w:type="dxa"/>
          </w:tcPr>
          <w:p w:rsidR="004F1E36" w:rsidRPr="00B269E4" w:rsidRDefault="0073370C" w:rsidP="00A14F78">
            <w:pPr>
              <w:jc w:val="center"/>
              <w:rPr>
                <w:iCs/>
                <w:sz w:val="18"/>
                <w:szCs w:val="18"/>
                <w:lang w:val="es-ES"/>
              </w:rPr>
            </w:pPr>
            <w:r w:rsidRPr="00B269E4">
              <w:rPr>
                <w:iCs/>
                <w:sz w:val="18"/>
                <w:szCs w:val="18"/>
                <w:lang w:val="es-ES"/>
              </w:rPr>
              <w:t>7</w:t>
            </w:r>
          </w:p>
        </w:tc>
        <w:tc>
          <w:tcPr>
            <w:tcW w:w="1460" w:type="dxa"/>
          </w:tcPr>
          <w:p w:rsidR="004F1E36" w:rsidRPr="00B269E4" w:rsidRDefault="004F1E36" w:rsidP="00A14F78">
            <w:pPr>
              <w:jc w:val="center"/>
              <w:rPr>
                <w:iCs/>
                <w:sz w:val="18"/>
                <w:szCs w:val="18"/>
                <w:lang w:val="es-ES"/>
              </w:rPr>
            </w:pPr>
            <w:r w:rsidRPr="00B269E4">
              <w:rPr>
                <w:iCs/>
                <w:sz w:val="18"/>
                <w:szCs w:val="18"/>
                <w:lang w:val="es-ES"/>
              </w:rPr>
              <w:t>No</w:t>
            </w:r>
          </w:p>
        </w:tc>
        <w:tc>
          <w:tcPr>
            <w:tcW w:w="1775" w:type="dxa"/>
          </w:tcPr>
          <w:p w:rsidR="004F1E36" w:rsidRPr="00B269E4" w:rsidRDefault="00764526" w:rsidP="00007BD9">
            <w:pPr>
              <w:ind w:left="-2" w:hanging="2"/>
              <w:rPr>
                <w:iCs/>
                <w:sz w:val="18"/>
                <w:szCs w:val="18"/>
                <w:lang w:val="es-ES"/>
              </w:rPr>
            </w:pPr>
            <w:r w:rsidRPr="00B269E4">
              <w:rPr>
                <w:iCs/>
                <w:sz w:val="18"/>
                <w:szCs w:val="18"/>
                <w:lang w:val="es-ES"/>
              </w:rPr>
              <w:t>Primeros dos a priori</w:t>
            </w:r>
          </w:p>
        </w:tc>
        <w:tc>
          <w:tcPr>
            <w:tcW w:w="1287" w:type="dxa"/>
          </w:tcPr>
          <w:p w:rsidR="004F1E36" w:rsidRPr="00B269E4" w:rsidRDefault="004F1E36" w:rsidP="00A14F78">
            <w:pPr>
              <w:jc w:val="center"/>
              <w:rPr>
                <w:iCs/>
                <w:sz w:val="18"/>
                <w:szCs w:val="18"/>
                <w:lang w:val="es-ES"/>
              </w:rPr>
            </w:pPr>
          </w:p>
        </w:tc>
      </w:tr>
      <w:tr w:rsidR="004F1E36" w:rsidRPr="00B269E4" w:rsidTr="00007BD9">
        <w:trPr>
          <w:trHeight w:val="611"/>
          <w:jc w:val="center"/>
        </w:trPr>
        <w:tc>
          <w:tcPr>
            <w:tcW w:w="634" w:type="dxa"/>
          </w:tcPr>
          <w:p w:rsidR="004F1E36" w:rsidRPr="00B269E4" w:rsidRDefault="004F1E36" w:rsidP="00A14F78">
            <w:pPr>
              <w:jc w:val="center"/>
              <w:rPr>
                <w:sz w:val="18"/>
                <w:szCs w:val="18"/>
                <w:lang w:val="es-ES"/>
              </w:rPr>
            </w:pPr>
            <w:r w:rsidRPr="00B269E4">
              <w:rPr>
                <w:sz w:val="18"/>
                <w:szCs w:val="18"/>
                <w:lang w:val="es-ES"/>
              </w:rPr>
              <w:t>6</w:t>
            </w:r>
          </w:p>
        </w:tc>
        <w:tc>
          <w:tcPr>
            <w:tcW w:w="1964" w:type="dxa"/>
          </w:tcPr>
          <w:p w:rsidR="004F1E36" w:rsidRPr="00B269E4" w:rsidRDefault="00427E8F" w:rsidP="00B269E4">
            <w:pPr>
              <w:rPr>
                <w:sz w:val="18"/>
                <w:szCs w:val="18"/>
                <w:lang w:val="es-ES"/>
              </w:rPr>
            </w:pPr>
            <w:r w:rsidRPr="00B269E4">
              <w:rPr>
                <w:sz w:val="18"/>
                <w:szCs w:val="18"/>
                <w:lang w:val="es-ES"/>
              </w:rPr>
              <w:t>Resumen de</w:t>
            </w:r>
            <w:r w:rsidR="00F97F25">
              <w:rPr>
                <w:sz w:val="18"/>
                <w:szCs w:val="18"/>
                <w:lang w:val="es-ES"/>
              </w:rPr>
              <w:t xml:space="preserve"> </w:t>
            </w:r>
            <w:r w:rsidR="00B269E4" w:rsidRPr="00B269E4">
              <w:rPr>
                <w:sz w:val="18"/>
                <w:szCs w:val="18"/>
                <w:lang w:val="es-ES"/>
              </w:rPr>
              <w:t>Compras</w:t>
            </w:r>
            <w:r w:rsidR="004F1E36" w:rsidRPr="00B269E4">
              <w:rPr>
                <w:sz w:val="18"/>
                <w:szCs w:val="18"/>
                <w:lang w:val="es-ES"/>
              </w:rPr>
              <w:t xml:space="preserve"> - </w:t>
            </w:r>
            <w:r w:rsidRPr="00B269E4">
              <w:rPr>
                <w:sz w:val="18"/>
                <w:szCs w:val="18"/>
                <w:lang w:val="es-ES"/>
              </w:rPr>
              <w:t>Bienes</w:t>
            </w:r>
          </w:p>
        </w:tc>
        <w:tc>
          <w:tcPr>
            <w:tcW w:w="1349" w:type="dxa"/>
          </w:tcPr>
          <w:p w:rsidR="004F1E36" w:rsidRPr="00B269E4" w:rsidRDefault="004F1E36" w:rsidP="00A14F78">
            <w:pPr>
              <w:jc w:val="center"/>
              <w:rPr>
                <w:iCs/>
                <w:sz w:val="18"/>
                <w:szCs w:val="18"/>
                <w:lang w:val="es-ES"/>
              </w:rPr>
            </w:pPr>
            <w:r w:rsidRPr="00B269E4">
              <w:rPr>
                <w:iCs/>
                <w:sz w:val="18"/>
                <w:szCs w:val="18"/>
                <w:lang w:val="es-ES"/>
              </w:rPr>
              <w:t>0,162</w:t>
            </w:r>
          </w:p>
        </w:tc>
        <w:tc>
          <w:tcPr>
            <w:tcW w:w="906" w:type="dxa"/>
          </w:tcPr>
          <w:p w:rsidR="004F1E36" w:rsidRPr="00B269E4" w:rsidRDefault="004F1E36" w:rsidP="00A14F78">
            <w:pPr>
              <w:jc w:val="center"/>
              <w:rPr>
                <w:iCs/>
                <w:sz w:val="18"/>
                <w:szCs w:val="18"/>
                <w:lang w:val="es-ES"/>
              </w:rPr>
            </w:pPr>
            <w:r w:rsidRPr="00B269E4">
              <w:rPr>
                <w:iCs/>
                <w:sz w:val="18"/>
                <w:szCs w:val="18"/>
                <w:lang w:val="es-ES"/>
              </w:rPr>
              <w:t>20</w:t>
            </w:r>
          </w:p>
        </w:tc>
        <w:tc>
          <w:tcPr>
            <w:tcW w:w="1460" w:type="dxa"/>
          </w:tcPr>
          <w:p w:rsidR="004F1E36" w:rsidRPr="00B269E4" w:rsidRDefault="004F1E36" w:rsidP="00A14F78">
            <w:pPr>
              <w:jc w:val="center"/>
              <w:rPr>
                <w:iCs/>
                <w:sz w:val="18"/>
                <w:szCs w:val="18"/>
                <w:lang w:val="es-ES"/>
              </w:rPr>
            </w:pPr>
            <w:r w:rsidRPr="00B269E4">
              <w:rPr>
                <w:iCs/>
                <w:sz w:val="18"/>
                <w:szCs w:val="18"/>
                <w:lang w:val="es-ES"/>
              </w:rPr>
              <w:t>No</w:t>
            </w:r>
          </w:p>
        </w:tc>
        <w:tc>
          <w:tcPr>
            <w:tcW w:w="1775" w:type="dxa"/>
          </w:tcPr>
          <w:p w:rsidR="004F1E36" w:rsidRPr="00B269E4" w:rsidRDefault="00764526" w:rsidP="00007BD9">
            <w:pPr>
              <w:ind w:left="-2" w:hanging="2"/>
              <w:rPr>
                <w:iCs/>
                <w:sz w:val="18"/>
                <w:szCs w:val="18"/>
                <w:lang w:val="es-ES"/>
              </w:rPr>
            </w:pPr>
            <w:r w:rsidRPr="00B269E4">
              <w:rPr>
                <w:iCs/>
                <w:sz w:val="18"/>
                <w:szCs w:val="18"/>
                <w:lang w:val="es-ES"/>
              </w:rPr>
              <w:t>Primeros dos a priori</w:t>
            </w:r>
          </w:p>
        </w:tc>
        <w:tc>
          <w:tcPr>
            <w:tcW w:w="1287" w:type="dxa"/>
          </w:tcPr>
          <w:p w:rsidR="004F1E36" w:rsidRPr="00B269E4" w:rsidRDefault="004F1E36" w:rsidP="00A14F78">
            <w:pPr>
              <w:jc w:val="center"/>
              <w:rPr>
                <w:iCs/>
                <w:sz w:val="18"/>
                <w:szCs w:val="18"/>
                <w:lang w:val="es-ES"/>
              </w:rPr>
            </w:pPr>
          </w:p>
        </w:tc>
      </w:tr>
      <w:tr w:rsidR="004F1E36" w:rsidRPr="00B269E4" w:rsidTr="00007BD9">
        <w:trPr>
          <w:trHeight w:val="611"/>
          <w:jc w:val="center"/>
        </w:trPr>
        <w:tc>
          <w:tcPr>
            <w:tcW w:w="634" w:type="dxa"/>
          </w:tcPr>
          <w:p w:rsidR="004F1E36" w:rsidRPr="00B269E4" w:rsidRDefault="004F1E36" w:rsidP="00A14F78">
            <w:pPr>
              <w:jc w:val="center"/>
              <w:rPr>
                <w:sz w:val="18"/>
                <w:szCs w:val="18"/>
                <w:lang w:val="es-ES"/>
              </w:rPr>
            </w:pPr>
            <w:r w:rsidRPr="00B269E4">
              <w:rPr>
                <w:sz w:val="18"/>
                <w:szCs w:val="18"/>
                <w:lang w:val="es-ES"/>
              </w:rPr>
              <w:t>7</w:t>
            </w:r>
          </w:p>
        </w:tc>
        <w:tc>
          <w:tcPr>
            <w:tcW w:w="1964" w:type="dxa"/>
          </w:tcPr>
          <w:p w:rsidR="004F1E36" w:rsidRPr="00B269E4" w:rsidRDefault="00427E8F" w:rsidP="00B269E4">
            <w:pPr>
              <w:rPr>
                <w:sz w:val="18"/>
                <w:szCs w:val="18"/>
                <w:lang w:val="es-ES"/>
              </w:rPr>
            </w:pPr>
            <w:r w:rsidRPr="00B269E4">
              <w:rPr>
                <w:sz w:val="18"/>
                <w:szCs w:val="18"/>
                <w:lang w:val="es-ES"/>
              </w:rPr>
              <w:t>Resumen de</w:t>
            </w:r>
            <w:r w:rsidR="00F97F25">
              <w:rPr>
                <w:sz w:val="18"/>
                <w:szCs w:val="18"/>
                <w:lang w:val="es-ES"/>
              </w:rPr>
              <w:t xml:space="preserve"> </w:t>
            </w:r>
            <w:r w:rsidR="00B269E4">
              <w:rPr>
                <w:sz w:val="18"/>
                <w:szCs w:val="18"/>
                <w:lang w:val="es-ES"/>
              </w:rPr>
              <w:t>CD</w:t>
            </w:r>
            <w:r w:rsidR="004F1E36" w:rsidRPr="00B269E4">
              <w:rPr>
                <w:sz w:val="18"/>
                <w:szCs w:val="18"/>
                <w:lang w:val="es-ES"/>
              </w:rPr>
              <w:t xml:space="preserve"> –</w:t>
            </w:r>
            <w:r w:rsidR="00B269E4">
              <w:rPr>
                <w:sz w:val="18"/>
                <w:szCs w:val="18"/>
                <w:lang w:val="es-ES"/>
              </w:rPr>
              <w:t>Servicios distintos a los de consultoría</w:t>
            </w:r>
          </w:p>
        </w:tc>
        <w:tc>
          <w:tcPr>
            <w:tcW w:w="1349" w:type="dxa"/>
          </w:tcPr>
          <w:p w:rsidR="004F1E36" w:rsidRPr="00B269E4" w:rsidRDefault="004F1E36" w:rsidP="00A14F78">
            <w:pPr>
              <w:jc w:val="center"/>
              <w:rPr>
                <w:iCs/>
                <w:sz w:val="18"/>
                <w:szCs w:val="18"/>
                <w:lang w:val="es-ES"/>
              </w:rPr>
            </w:pPr>
            <w:r w:rsidRPr="00B269E4">
              <w:rPr>
                <w:iCs/>
                <w:sz w:val="18"/>
                <w:szCs w:val="18"/>
                <w:lang w:val="es-ES"/>
              </w:rPr>
              <w:t>0,095</w:t>
            </w:r>
          </w:p>
        </w:tc>
        <w:tc>
          <w:tcPr>
            <w:tcW w:w="906" w:type="dxa"/>
          </w:tcPr>
          <w:p w:rsidR="004F1E36" w:rsidRPr="00B269E4" w:rsidRDefault="004F1E36" w:rsidP="00A14F78">
            <w:pPr>
              <w:jc w:val="center"/>
              <w:rPr>
                <w:iCs/>
                <w:sz w:val="18"/>
                <w:szCs w:val="18"/>
                <w:lang w:val="es-ES"/>
              </w:rPr>
            </w:pPr>
            <w:r w:rsidRPr="00B269E4">
              <w:rPr>
                <w:iCs/>
                <w:sz w:val="18"/>
                <w:szCs w:val="18"/>
                <w:lang w:val="es-ES"/>
              </w:rPr>
              <w:t>1</w:t>
            </w:r>
          </w:p>
        </w:tc>
        <w:tc>
          <w:tcPr>
            <w:tcW w:w="1460" w:type="dxa"/>
          </w:tcPr>
          <w:p w:rsidR="004F1E36" w:rsidRPr="00B269E4" w:rsidRDefault="004F1E36" w:rsidP="00A14F78">
            <w:pPr>
              <w:jc w:val="center"/>
              <w:rPr>
                <w:iCs/>
                <w:sz w:val="18"/>
                <w:szCs w:val="18"/>
                <w:lang w:val="es-ES"/>
              </w:rPr>
            </w:pPr>
            <w:r w:rsidRPr="00B269E4">
              <w:rPr>
                <w:iCs/>
                <w:sz w:val="18"/>
                <w:szCs w:val="18"/>
                <w:lang w:val="es-ES"/>
              </w:rPr>
              <w:t>No</w:t>
            </w:r>
          </w:p>
        </w:tc>
        <w:tc>
          <w:tcPr>
            <w:tcW w:w="1775" w:type="dxa"/>
          </w:tcPr>
          <w:p w:rsidR="004F1E36" w:rsidRPr="00B269E4" w:rsidRDefault="00764526" w:rsidP="00007BD9">
            <w:pPr>
              <w:ind w:left="-2" w:hanging="2"/>
              <w:rPr>
                <w:iCs/>
                <w:sz w:val="18"/>
                <w:szCs w:val="18"/>
                <w:lang w:val="es-ES"/>
              </w:rPr>
            </w:pPr>
            <w:r w:rsidRPr="00B269E4">
              <w:rPr>
                <w:iCs/>
                <w:sz w:val="18"/>
                <w:szCs w:val="18"/>
                <w:lang w:val="es-ES"/>
              </w:rPr>
              <w:t>A priori</w:t>
            </w:r>
          </w:p>
        </w:tc>
        <w:tc>
          <w:tcPr>
            <w:tcW w:w="1287" w:type="dxa"/>
          </w:tcPr>
          <w:p w:rsidR="004F1E36" w:rsidRPr="00B269E4" w:rsidRDefault="004F1E36" w:rsidP="00A14F78">
            <w:pPr>
              <w:jc w:val="center"/>
              <w:rPr>
                <w:iCs/>
                <w:sz w:val="18"/>
                <w:szCs w:val="18"/>
                <w:lang w:val="es-ES"/>
              </w:rPr>
            </w:pPr>
          </w:p>
        </w:tc>
      </w:tr>
    </w:tbl>
    <w:p w:rsidR="00C57A0F" w:rsidRPr="00083B88" w:rsidRDefault="00C57A0F" w:rsidP="00C57A0F">
      <w:pPr>
        <w:rPr>
          <w:sz w:val="20"/>
          <w:szCs w:val="20"/>
          <w:lang w:val="es-ES"/>
        </w:rPr>
      </w:pPr>
    </w:p>
    <w:p w:rsidR="00C57A0F" w:rsidRPr="002C4E65" w:rsidRDefault="00C57A0F" w:rsidP="00C57A0F">
      <w:pPr>
        <w:autoSpaceDE w:val="0"/>
        <w:autoSpaceDN w:val="0"/>
        <w:adjustRightInd w:val="0"/>
        <w:jc w:val="both"/>
        <w:rPr>
          <w:lang w:val="es-ES"/>
        </w:rPr>
      </w:pPr>
    </w:p>
    <w:p w:rsidR="00C57A0F" w:rsidRPr="00074A91" w:rsidRDefault="009B1A8D" w:rsidP="00F91221">
      <w:pPr>
        <w:pStyle w:val="Heading5"/>
        <w:numPr>
          <w:ilvl w:val="0"/>
          <w:numId w:val="58"/>
        </w:numPr>
        <w:rPr>
          <w:sz w:val="23"/>
          <w:szCs w:val="23"/>
          <w:u w:val="none"/>
          <w:lang w:val="es-ES"/>
        </w:rPr>
      </w:pPr>
      <w:r w:rsidRPr="00074A91">
        <w:rPr>
          <w:sz w:val="23"/>
          <w:szCs w:val="23"/>
          <w:u w:val="none"/>
          <w:lang w:val="es-ES"/>
        </w:rPr>
        <w:t>Selección</w:t>
      </w:r>
      <w:r w:rsidR="00F97F25">
        <w:rPr>
          <w:sz w:val="23"/>
          <w:szCs w:val="23"/>
          <w:u w:val="none"/>
          <w:lang w:val="es-ES"/>
        </w:rPr>
        <w:t xml:space="preserve"> </w:t>
      </w:r>
      <w:r w:rsidRPr="00074A91">
        <w:rPr>
          <w:sz w:val="23"/>
          <w:szCs w:val="23"/>
          <w:u w:val="none"/>
          <w:lang w:val="es-ES"/>
        </w:rPr>
        <w:t>de los Consultores</w:t>
      </w:r>
    </w:p>
    <w:p w:rsidR="00C57A0F" w:rsidRPr="00074A91" w:rsidRDefault="00C57A0F" w:rsidP="00C57A0F">
      <w:pPr>
        <w:autoSpaceDE w:val="0"/>
        <w:autoSpaceDN w:val="0"/>
        <w:adjustRightInd w:val="0"/>
        <w:jc w:val="both"/>
        <w:rPr>
          <w:sz w:val="23"/>
          <w:szCs w:val="23"/>
          <w:lang w:val="es-ES"/>
        </w:rPr>
      </w:pPr>
    </w:p>
    <w:p w:rsidR="00C57A0F" w:rsidRPr="00074A91" w:rsidRDefault="002C4E65" w:rsidP="00F91221">
      <w:pPr>
        <w:pStyle w:val="ListParagraph"/>
        <w:numPr>
          <w:ilvl w:val="0"/>
          <w:numId w:val="24"/>
        </w:numPr>
        <w:autoSpaceDE w:val="0"/>
        <w:autoSpaceDN w:val="0"/>
        <w:adjustRightInd w:val="0"/>
        <w:ind w:left="1710" w:hanging="540"/>
        <w:jc w:val="both"/>
        <w:rPr>
          <w:sz w:val="23"/>
          <w:szCs w:val="23"/>
          <w:lang w:val="es-NI"/>
        </w:rPr>
      </w:pPr>
      <w:r w:rsidRPr="00074A91">
        <w:rPr>
          <w:b/>
          <w:sz w:val="23"/>
          <w:szCs w:val="23"/>
          <w:lang w:val="es-NI"/>
        </w:rPr>
        <w:t>Umbral de la Revisión a priori</w:t>
      </w:r>
      <w:r w:rsidR="00C57A0F" w:rsidRPr="00074A91">
        <w:rPr>
          <w:sz w:val="23"/>
          <w:szCs w:val="23"/>
          <w:lang w:val="es-NI"/>
        </w:rPr>
        <w:t xml:space="preserve">: </w:t>
      </w:r>
      <w:r w:rsidRPr="00074A91">
        <w:rPr>
          <w:sz w:val="23"/>
          <w:szCs w:val="23"/>
          <w:lang w:val="es-NI"/>
        </w:rPr>
        <w:t>Las</w:t>
      </w:r>
      <w:r w:rsidR="00C57A0F" w:rsidRPr="00074A91">
        <w:rPr>
          <w:sz w:val="23"/>
          <w:szCs w:val="23"/>
          <w:lang w:val="es-NI"/>
        </w:rPr>
        <w:t xml:space="preserve"> decision</w:t>
      </w:r>
      <w:r w:rsidRPr="00074A91">
        <w:rPr>
          <w:sz w:val="23"/>
          <w:szCs w:val="23"/>
          <w:lang w:val="es-NI"/>
        </w:rPr>
        <w:t xml:space="preserve">es relativas a los métodos de selección sujetos a la revisión a priori por parte del Banco Mundial, tal como se señala en el Anexo 1 de las </w:t>
      </w:r>
      <w:r w:rsidR="005C508D" w:rsidRPr="00074A91">
        <w:rPr>
          <w:sz w:val="23"/>
          <w:szCs w:val="23"/>
          <w:lang w:val="es-NI"/>
        </w:rPr>
        <w:t xml:space="preserve">Normas: Selección y Contratación de </w:t>
      </w:r>
      <w:r w:rsidR="00DB21AD">
        <w:rPr>
          <w:sz w:val="23"/>
          <w:szCs w:val="23"/>
          <w:lang w:val="es-NI"/>
        </w:rPr>
        <w:t xml:space="preserve">Personas </w:t>
      </w:r>
      <w:r w:rsidR="005C508D" w:rsidRPr="00074A91">
        <w:rPr>
          <w:sz w:val="23"/>
          <w:szCs w:val="23"/>
          <w:lang w:val="es-NI"/>
        </w:rPr>
        <w:t>Consultor</w:t>
      </w:r>
      <w:r w:rsidR="00DB21AD">
        <w:rPr>
          <w:sz w:val="23"/>
          <w:szCs w:val="23"/>
          <w:lang w:val="es-NI"/>
        </w:rPr>
        <w:t>a</w:t>
      </w:r>
      <w:r w:rsidR="005C508D" w:rsidRPr="00074A91">
        <w:rPr>
          <w:sz w:val="23"/>
          <w:szCs w:val="23"/>
          <w:lang w:val="es-NI"/>
        </w:rPr>
        <w:t>s son:</w:t>
      </w:r>
    </w:p>
    <w:p w:rsidR="00C57A0F" w:rsidRPr="00900FF9" w:rsidRDefault="00C57A0F" w:rsidP="00C57A0F">
      <w:pPr>
        <w:pStyle w:val="ListParagraph"/>
        <w:ind w:left="1512"/>
        <w:rPr>
          <w:lang w:val="es-NI"/>
        </w:rPr>
      </w:pPr>
    </w:p>
    <w:tbl>
      <w:tblPr>
        <w:tblW w:w="9090" w:type="dxa"/>
        <w:tblInd w:w="8" w:type="dxa"/>
        <w:tblLayout w:type="fixed"/>
        <w:tblCellMar>
          <w:left w:w="0" w:type="dxa"/>
          <w:right w:w="0" w:type="dxa"/>
        </w:tblCellMar>
        <w:tblLook w:val="00A0" w:firstRow="1" w:lastRow="0" w:firstColumn="1" w:lastColumn="0" w:noHBand="0" w:noVBand="0"/>
      </w:tblPr>
      <w:tblGrid>
        <w:gridCol w:w="1890"/>
        <w:gridCol w:w="2880"/>
        <w:gridCol w:w="2160"/>
        <w:gridCol w:w="2160"/>
      </w:tblGrid>
      <w:tr w:rsidR="00C57A0F" w:rsidRPr="00F702EF" w:rsidTr="00A14F78">
        <w:trPr>
          <w:trHeight w:val="255"/>
        </w:trPr>
        <w:tc>
          <w:tcPr>
            <w:tcW w:w="9090" w:type="dxa"/>
            <w:gridSpan w:val="4"/>
            <w:tcBorders>
              <w:top w:val="single" w:sz="6" w:space="0" w:color="000000"/>
              <w:left w:val="single" w:sz="6" w:space="0" w:color="000000"/>
              <w:bottom w:val="single" w:sz="6" w:space="0" w:color="000000"/>
              <w:right w:val="single" w:sz="6" w:space="0" w:color="000000"/>
            </w:tcBorders>
            <w:vAlign w:val="bottom"/>
            <w:hideMark/>
          </w:tcPr>
          <w:p w:rsidR="00C57A0F" w:rsidRPr="00AE5C8E" w:rsidRDefault="005C508D" w:rsidP="005C508D">
            <w:pPr>
              <w:autoSpaceDE w:val="0"/>
              <w:autoSpaceDN w:val="0"/>
              <w:adjustRightInd w:val="0"/>
              <w:ind w:left="15"/>
              <w:jc w:val="center"/>
              <w:rPr>
                <w:b/>
                <w:bCs/>
                <w:sz w:val="18"/>
                <w:szCs w:val="18"/>
                <w:lang w:val="es-ES"/>
              </w:rPr>
            </w:pPr>
            <w:r w:rsidRPr="00AE5C8E">
              <w:rPr>
                <w:b/>
                <w:bCs/>
                <w:sz w:val="18"/>
                <w:szCs w:val="18"/>
                <w:lang w:val="es-ES"/>
              </w:rPr>
              <w:t xml:space="preserve">Umbrales de métodos </w:t>
            </w:r>
            <w:r w:rsidR="00FF357C" w:rsidRPr="00AE5C8E">
              <w:rPr>
                <w:b/>
                <w:bCs/>
                <w:sz w:val="18"/>
                <w:szCs w:val="18"/>
                <w:lang w:val="es-ES"/>
              </w:rPr>
              <w:t>y</w:t>
            </w:r>
            <w:r w:rsidR="00F97F25">
              <w:rPr>
                <w:b/>
                <w:bCs/>
                <w:sz w:val="18"/>
                <w:szCs w:val="18"/>
                <w:lang w:val="es-ES"/>
              </w:rPr>
              <w:t xml:space="preserve"> </w:t>
            </w:r>
            <w:r w:rsidRPr="00AE5C8E">
              <w:rPr>
                <w:b/>
                <w:bCs/>
                <w:sz w:val="18"/>
                <w:szCs w:val="18"/>
                <w:lang w:val="es-ES"/>
              </w:rPr>
              <w:t xml:space="preserve">revisión a </w:t>
            </w:r>
            <w:r w:rsidR="00C57A0F" w:rsidRPr="00AE5C8E">
              <w:rPr>
                <w:b/>
                <w:bCs/>
                <w:sz w:val="18"/>
                <w:szCs w:val="18"/>
                <w:lang w:val="es-ES"/>
              </w:rPr>
              <w:t>prior</w:t>
            </w:r>
            <w:r w:rsidRPr="00AE5C8E">
              <w:rPr>
                <w:b/>
                <w:bCs/>
                <w:sz w:val="18"/>
                <w:szCs w:val="18"/>
                <w:lang w:val="es-ES"/>
              </w:rPr>
              <w:t>i</w:t>
            </w:r>
            <w:r w:rsidR="00C57A0F" w:rsidRPr="00AE5C8E">
              <w:rPr>
                <w:b/>
                <w:bCs/>
                <w:sz w:val="18"/>
                <w:szCs w:val="18"/>
                <w:lang w:val="es-ES"/>
              </w:rPr>
              <w:t xml:space="preserve"> (US$ </w:t>
            </w:r>
            <w:r w:rsidR="00B574FF" w:rsidRPr="00AE5C8E">
              <w:rPr>
                <w:b/>
                <w:bCs/>
                <w:sz w:val="18"/>
                <w:szCs w:val="18"/>
                <w:lang w:val="es-ES"/>
              </w:rPr>
              <w:t>en miles</w:t>
            </w:r>
            <w:r w:rsidR="00C57A0F" w:rsidRPr="00AE5C8E">
              <w:rPr>
                <w:b/>
                <w:bCs/>
                <w:sz w:val="18"/>
                <w:szCs w:val="18"/>
                <w:lang w:val="es-ES"/>
              </w:rPr>
              <w:t xml:space="preserve">) </w:t>
            </w:r>
          </w:p>
        </w:tc>
      </w:tr>
      <w:tr w:rsidR="00C57A0F" w:rsidRPr="00F702EF" w:rsidTr="00A14F78">
        <w:trPr>
          <w:trHeight w:val="255"/>
        </w:trPr>
        <w:tc>
          <w:tcPr>
            <w:tcW w:w="1890" w:type="dxa"/>
            <w:tcBorders>
              <w:top w:val="single" w:sz="6" w:space="0" w:color="000000"/>
              <w:left w:val="single" w:sz="6" w:space="0" w:color="000000"/>
              <w:bottom w:val="single" w:sz="6" w:space="0" w:color="000000"/>
              <w:right w:val="single" w:sz="6" w:space="0" w:color="000000"/>
            </w:tcBorders>
            <w:vAlign w:val="center"/>
            <w:hideMark/>
          </w:tcPr>
          <w:p w:rsidR="00C57A0F" w:rsidRPr="00AE5C8E" w:rsidRDefault="00C57A0F" w:rsidP="005C508D">
            <w:pPr>
              <w:autoSpaceDE w:val="0"/>
              <w:autoSpaceDN w:val="0"/>
              <w:adjustRightInd w:val="0"/>
              <w:jc w:val="center"/>
              <w:rPr>
                <w:b/>
                <w:bCs/>
                <w:sz w:val="18"/>
                <w:szCs w:val="18"/>
                <w:lang w:val="es-ES"/>
              </w:rPr>
            </w:pPr>
            <w:r w:rsidRPr="00AE5C8E">
              <w:rPr>
                <w:b/>
                <w:sz w:val="18"/>
                <w:szCs w:val="18"/>
                <w:lang w:val="es-ES"/>
              </w:rPr>
              <w:t>Servic</w:t>
            </w:r>
            <w:r w:rsidR="005C508D" w:rsidRPr="00AE5C8E">
              <w:rPr>
                <w:b/>
                <w:sz w:val="18"/>
                <w:szCs w:val="18"/>
                <w:lang w:val="es-ES"/>
              </w:rPr>
              <w:t>io</w:t>
            </w:r>
            <w:r w:rsidRPr="00AE5C8E">
              <w:rPr>
                <w:b/>
                <w:sz w:val="18"/>
                <w:szCs w:val="18"/>
                <w:lang w:val="es-ES"/>
              </w:rPr>
              <w:t>s</w:t>
            </w:r>
            <w:r w:rsidR="005C508D" w:rsidRPr="00AE5C8E">
              <w:rPr>
                <w:b/>
                <w:sz w:val="18"/>
                <w:szCs w:val="18"/>
                <w:lang w:val="es-ES"/>
              </w:rPr>
              <w:t xml:space="preserve"> de consultoría</w:t>
            </w:r>
          </w:p>
        </w:tc>
        <w:tc>
          <w:tcPr>
            <w:tcW w:w="2880" w:type="dxa"/>
            <w:tcBorders>
              <w:top w:val="single" w:sz="6" w:space="0" w:color="000000"/>
              <w:left w:val="single" w:sz="6" w:space="0" w:color="000000"/>
              <w:bottom w:val="single" w:sz="6" w:space="0" w:color="000000"/>
              <w:right w:val="single" w:sz="6" w:space="0" w:color="000000"/>
            </w:tcBorders>
            <w:vAlign w:val="center"/>
            <w:hideMark/>
          </w:tcPr>
          <w:p w:rsidR="00C57A0F" w:rsidRPr="00AE5C8E" w:rsidRDefault="005C508D" w:rsidP="005C508D">
            <w:pPr>
              <w:autoSpaceDE w:val="0"/>
              <w:autoSpaceDN w:val="0"/>
              <w:adjustRightInd w:val="0"/>
              <w:ind w:left="15"/>
              <w:jc w:val="center"/>
              <w:rPr>
                <w:b/>
                <w:bCs/>
                <w:sz w:val="18"/>
                <w:szCs w:val="18"/>
                <w:lang w:val="es-ES"/>
              </w:rPr>
            </w:pPr>
            <w:r w:rsidRPr="00AE5C8E">
              <w:rPr>
                <w:b/>
                <w:bCs/>
                <w:sz w:val="18"/>
                <w:szCs w:val="18"/>
                <w:lang w:val="es-ES"/>
              </w:rPr>
              <w:t>Valor del contrato</w:t>
            </w:r>
            <w:r w:rsidR="00C57A0F" w:rsidRPr="00AE5C8E">
              <w:rPr>
                <w:b/>
                <w:bCs/>
                <w:sz w:val="18"/>
                <w:szCs w:val="18"/>
                <w:lang w:val="es-ES"/>
              </w:rPr>
              <w:t xml:space="preserve"> (</w:t>
            </w:r>
            <w:r w:rsidRPr="00AE5C8E">
              <w:rPr>
                <w:b/>
                <w:bCs/>
                <w:sz w:val="18"/>
                <w:szCs w:val="18"/>
                <w:lang w:val="es-ES"/>
              </w:rPr>
              <w:t>umbrales</w:t>
            </w:r>
            <w:r w:rsidR="00C57A0F" w:rsidRPr="00AE5C8E">
              <w:rPr>
                <w:b/>
                <w:bCs/>
                <w:sz w:val="18"/>
                <w:szCs w:val="18"/>
                <w:lang w:val="es-ES"/>
              </w:rPr>
              <w:t xml:space="preserve">) US$ </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C57A0F" w:rsidRPr="00AE5C8E" w:rsidRDefault="005C508D" w:rsidP="00A14F78">
            <w:pPr>
              <w:autoSpaceDE w:val="0"/>
              <w:autoSpaceDN w:val="0"/>
              <w:adjustRightInd w:val="0"/>
              <w:ind w:left="15"/>
              <w:jc w:val="center"/>
              <w:rPr>
                <w:b/>
                <w:bCs/>
                <w:sz w:val="18"/>
                <w:szCs w:val="18"/>
                <w:lang w:val="es-ES"/>
              </w:rPr>
            </w:pPr>
            <w:r w:rsidRPr="00AE5C8E">
              <w:rPr>
                <w:b/>
                <w:bCs/>
                <w:sz w:val="18"/>
                <w:szCs w:val="18"/>
                <w:lang w:val="es-ES"/>
              </w:rPr>
              <w:t>Método de Adquisición</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C57A0F" w:rsidRPr="00AE5C8E" w:rsidRDefault="00887831" w:rsidP="00887831">
            <w:pPr>
              <w:autoSpaceDE w:val="0"/>
              <w:autoSpaceDN w:val="0"/>
              <w:adjustRightInd w:val="0"/>
              <w:ind w:left="15"/>
              <w:jc w:val="center"/>
              <w:rPr>
                <w:b/>
                <w:bCs/>
                <w:sz w:val="18"/>
                <w:szCs w:val="18"/>
                <w:lang w:val="es-ES"/>
              </w:rPr>
            </w:pPr>
            <w:r w:rsidRPr="00AE5C8E">
              <w:rPr>
                <w:b/>
                <w:bCs/>
                <w:sz w:val="18"/>
                <w:szCs w:val="18"/>
                <w:lang w:val="es-ES"/>
              </w:rPr>
              <w:t xml:space="preserve">Contratos sujetos a revisión a priori </w:t>
            </w:r>
          </w:p>
        </w:tc>
      </w:tr>
      <w:tr w:rsidR="00E5626A" w:rsidRPr="00AE5C8E" w:rsidTr="00E5626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E5626A" w:rsidRPr="00AE5C8E" w:rsidRDefault="00E5626A" w:rsidP="00A14F78">
            <w:pPr>
              <w:autoSpaceDE w:val="0"/>
              <w:autoSpaceDN w:val="0"/>
              <w:adjustRightInd w:val="0"/>
              <w:rPr>
                <w:b/>
                <w:sz w:val="18"/>
                <w:szCs w:val="18"/>
                <w:lang w:val="es-ES"/>
              </w:rPr>
            </w:pPr>
            <w:r w:rsidRPr="00AE5C8E">
              <w:rPr>
                <w:b/>
                <w:sz w:val="18"/>
                <w:szCs w:val="18"/>
                <w:lang w:val="es-ES"/>
              </w:rPr>
              <w:t>3.a Firm</w:t>
            </w:r>
            <w:r w:rsidR="00887831" w:rsidRPr="00AE5C8E">
              <w:rPr>
                <w:b/>
                <w:sz w:val="18"/>
                <w:szCs w:val="18"/>
                <w:lang w:val="es-ES"/>
              </w:rPr>
              <w:t>a</w:t>
            </w:r>
            <w:r w:rsidRPr="00AE5C8E">
              <w:rPr>
                <w:b/>
                <w:sz w:val="18"/>
                <w:szCs w:val="18"/>
                <w:lang w:val="es-ES"/>
              </w:rPr>
              <w:t>s</w:t>
            </w:r>
          </w:p>
        </w:tc>
        <w:tc>
          <w:tcPr>
            <w:tcW w:w="2880" w:type="dxa"/>
            <w:tcBorders>
              <w:top w:val="single" w:sz="6" w:space="0" w:color="000000"/>
              <w:left w:val="single" w:sz="6" w:space="0" w:color="000000"/>
              <w:bottom w:val="single" w:sz="6" w:space="0" w:color="000000"/>
              <w:right w:val="single" w:sz="6" w:space="0" w:color="000000"/>
            </w:tcBorders>
            <w:vAlign w:val="bottom"/>
          </w:tcPr>
          <w:p w:rsidR="00E5626A" w:rsidRPr="00AE5C8E" w:rsidRDefault="00E5626A" w:rsidP="0075202A">
            <w:pPr>
              <w:autoSpaceDE w:val="0"/>
              <w:autoSpaceDN w:val="0"/>
              <w:adjustRightInd w:val="0"/>
              <w:ind w:left="15"/>
              <w:jc w:val="center"/>
              <w:rPr>
                <w:sz w:val="18"/>
                <w:szCs w:val="18"/>
                <w:lang w:val="es-ES"/>
              </w:rPr>
            </w:pPr>
            <w:r w:rsidRPr="00AE5C8E">
              <w:rPr>
                <w:sz w:val="18"/>
                <w:szCs w:val="18"/>
                <w:lang w:val="es-ES"/>
              </w:rPr>
              <w:t>&gt;200</w:t>
            </w: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AE5C8E" w:rsidRDefault="00887831" w:rsidP="0075202A">
            <w:pPr>
              <w:autoSpaceDE w:val="0"/>
              <w:autoSpaceDN w:val="0"/>
              <w:adjustRightInd w:val="0"/>
              <w:ind w:left="15"/>
              <w:jc w:val="center"/>
              <w:rPr>
                <w:sz w:val="18"/>
                <w:szCs w:val="18"/>
                <w:lang w:val="es-ES"/>
              </w:rPr>
            </w:pPr>
            <w:r w:rsidRPr="00AE5C8E">
              <w:rPr>
                <w:sz w:val="18"/>
                <w:szCs w:val="18"/>
                <w:lang w:val="es-ES"/>
              </w:rPr>
              <w:t>SBCC</w:t>
            </w:r>
            <w:r w:rsidR="00E5626A" w:rsidRPr="00AE5C8E">
              <w:rPr>
                <w:sz w:val="18"/>
                <w:szCs w:val="18"/>
                <w:lang w:val="es-ES"/>
              </w:rPr>
              <w:t xml:space="preserve">, </w:t>
            </w:r>
            <w:r w:rsidRPr="00AE5C8E">
              <w:rPr>
                <w:sz w:val="18"/>
                <w:szCs w:val="18"/>
                <w:lang w:val="es-ES"/>
              </w:rPr>
              <w:t>SBC</w:t>
            </w:r>
            <w:r w:rsidR="00E5626A" w:rsidRPr="00AE5C8E">
              <w:rPr>
                <w:sz w:val="18"/>
                <w:szCs w:val="18"/>
                <w:lang w:val="es-ES"/>
              </w:rPr>
              <w:t xml:space="preserve">, </w:t>
            </w:r>
            <w:r w:rsidR="007624A5" w:rsidRPr="00AE5C8E">
              <w:rPr>
                <w:sz w:val="18"/>
                <w:szCs w:val="18"/>
                <w:lang w:val="es-ES"/>
              </w:rPr>
              <w:t>SBPF</w:t>
            </w:r>
            <w:r w:rsidR="00E5626A" w:rsidRPr="00AE5C8E">
              <w:rPr>
                <w:sz w:val="18"/>
                <w:szCs w:val="18"/>
                <w:lang w:val="es-ES"/>
              </w:rPr>
              <w:t xml:space="preserve">, </w:t>
            </w:r>
            <w:r w:rsidR="00AB5E1A" w:rsidRPr="00AE5C8E">
              <w:rPr>
                <w:sz w:val="18"/>
                <w:szCs w:val="18"/>
                <w:lang w:val="es-ES"/>
              </w:rPr>
              <w:t>SBMC</w:t>
            </w: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AE5C8E" w:rsidRDefault="00E5626A" w:rsidP="0075202A">
            <w:pPr>
              <w:jc w:val="center"/>
              <w:rPr>
                <w:sz w:val="18"/>
                <w:szCs w:val="18"/>
                <w:lang w:val="es-ES"/>
              </w:rPr>
            </w:pPr>
            <w:r w:rsidRPr="00AE5C8E">
              <w:rPr>
                <w:sz w:val="18"/>
                <w:szCs w:val="18"/>
                <w:lang w:val="es-ES"/>
              </w:rPr>
              <w:t>&gt;200</w:t>
            </w:r>
          </w:p>
        </w:tc>
      </w:tr>
      <w:tr w:rsidR="00E5626A" w:rsidRPr="00AE5C8E" w:rsidTr="00E5626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E5626A" w:rsidRPr="00AE5C8E" w:rsidRDefault="00E5626A"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E5626A" w:rsidRPr="00AE5C8E" w:rsidRDefault="00E5626A" w:rsidP="0075202A">
            <w:pPr>
              <w:autoSpaceDE w:val="0"/>
              <w:autoSpaceDN w:val="0"/>
              <w:adjustRightInd w:val="0"/>
              <w:ind w:left="15"/>
              <w:jc w:val="center"/>
              <w:rPr>
                <w:sz w:val="18"/>
                <w:szCs w:val="18"/>
                <w:lang w:val="es-ES"/>
              </w:rPr>
            </w:pPr>
            <w:r w:rsidRPr="00AE5C8E">
              <w:rPr>
                <w:sz w:val="18"/>
                <w:szCs w:val="18"/>
                <w:lang w:val="es-ES"/>
              </w:rPr>
              <w:t>&lt;200</w:t>
            </w: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AE5C8E" w:rsidRDefault="00887831" w:rsidP="0075202A">
            <w:pPr>
              <w:autoSpaceDE w:val="0"/>
              <w:autoSpaceDN w:val="0"/>
              <w:adjustRightInd w:val="0"/>
              <w:ind w:left="15"/>
              <w:jc w:val="center"/>
              <w:rPr>
                <w:sz w:val="18"/>
                <w:szCs w:val="18"/>
                <w:lang w:val="es-ES"/>
              </w:rPr>
            </w:pPr>
            <w:r w:rsidRPr="00AE5C8E">
              <w:rPr>
                <w:sz w:val="18"/>
                <w:szCs w:val="18"/>
                <w:lang w:val="es-ES"/>
              </w:rPr>
              <w:t>SBCC</w:t>
            </w:r>
            <w:r w:rsidR="00E5626A" w:rsidRPr="00AE5C8E">
              <w:rPr>
                <w:sz w:val="18"/>
                <w:szCs w:val="18"/>
                <w:lang w:val="es-ES"/>
              </w:rPr>
              <w:t xml:space="preserve">, </w:t>
            </w:r>
            <w:r w:rsidRPr="00AE5C8E">
              <w:rPr>
                <w:sz w:val="18"/>
                <w:szCs w:val="18"/>
                <w:lang w:val="es-ES"/>
              </w:rPr>
              <w:t>SBC</w:t>
            </w:r>
            <w:r w:rsidR="00E5626A" w:rsidRPr="00AE5C8E">
              <w:rPr>
                <w:sz w:val="18"/>
                <w:szCs w:val="18"/>
                <w:lang w:val="es-ES"/>
              </w:rPr>
              <w:t xml:space="preserve">, </w:t>
            </w:r>
            <w:r w:rsidR="007624A5" w:rsidRPr="00AE5C8E">
              <w:rPr>
                <w:sz w:val="18"/>
                <w:szCs w:val="18"/>
                <w:lang w:val="es-ES"/>
              </w:rPr>
              <w:t>SBPF</w:t>
            </w:r>
            <w:r w:rsidR="00E5626A" w:rsidRPr="00AE5C8E">
              <w:rPr>
                <w:sz w:val="18"/>
                <w:szCs w:val="18"/>
                <w:lang w:val="es-ES"/>
              </w:rPr>
              <w:t xml:space="preserve">, </w:t>
            </w:r>
            <w:r w:rsidR="00AB5E1A" w:rsidRPr="00AE5C8E">
              <w:rPr>
                <w:sz w:val="18"/>
                <w:szCs w:val="18"/>
                <w:lang w:val="es-ES"/>
              </w:rPr>
              <w:t>SBMC</w:t>
            </w:r>
            <w:r w:rsidR="00E5626A" w:rsidRPr="00AE5C8E">
              <w:rPr>
                <w:sz w:val="18"/>
                <w:szCs w:val="18"/>
                <w:lang w:val="es-ES"/>
              </w:rPr>
              <w:t xml:space="preserve">, </w:t>
            </w:r>
            <w:r w:rsidR="00AB5E1A" w:rsidRPr="00AE5C8E">
              <w:rPr>
                <w:sz w:val="18"/>
                <w:szCs w:val="18"/>
                <w:lang w:val="es-ES"/>
              </w:rPr>
              <w:t>SBCC</w:t>
            </w: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AE5C8E" w:rsidRDefault="00887831" w:rsidP="0075202A">
            <w:pPr>
              <w:autoSpaceDE w:val="0"/>
              <w:autoSpaceDN w:val="0"/>
              <w:adjustRightInd w:val="0"/>
              <w:ind w:left="15"/>
              <w:jc w:val="center"/>
              <w:rPr>
                <w:sz w:val="18"/>
                <w:szCs w:val="18"/>
                <w:lang w:val="es-ES"/>
              </w:rPr>
            </w:pPr>
            <w:r w:rsidRPr="00AE5C8E">
              <w:rPr>
                <w:sz w:val="18"/>
                <w:szCs w:val="18"/>
                <w:lang w:val="es-ES"/>
              </w:rPr>
              <w:t xml:space="preserve">Términos de referencia </w:t>
            </w:r>
          </w:p>
        </w:tc>
      </w:tr>
      <w:tr w:rsidR="00E5626A" w:rsidRPr="006362DD" w:rsidTr="00E5626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E5626A" w:rsidRPr="006362DD" w:rsidRDefault="00E5626A" w:rsidP="00A14F78">
            <w:pPr>
              <w:autoSpaceDE w:val="0"/>
              <w:autoSpaceDN w:val="0"/>
              <w:adjustRightInd w:val="0"/>
              <w:rPr>
                <w:b/>
                <w:sz w:val="18"/>
                <w:szCs w:val="18"/>
                <w:lang w:val="es-ES"/>
              </w:rPr>
            </w:pPr>
          </w:p>
        </w:tc>
        <w:tc>
          <w:tcPr>
            <w:tcW w:w="2880" w:type="dxa"/>
            <w:tcBorders>
              <w:top w:val="single" w:sz="6" w:space="0" w:color="000000"/>
              <w:left w:val="single" w:sz="6" w:space="0" w:color="000000"/>
              <w:bottom w:val="single" w:sz="6" w:space="0" w:color="000000"/>
              <w:right w:val="single" w:sz="6" w:space="0" w:color="000000"/>
            </w:tcBorders>
            <w:vAlign w:val="bottom"/>
          </w:tcPr>
          <w:p w:rsidR="00E5626A" w:rsidRPr="006362DD" w:rsidRDefault="00E5626A" w:rsidP="0075202A">
            <w:pPr>
              <w:autoSpaceDE w:val="0"/>
              <w:autoSpaceDN w:val="0"/>
              <w:adjustRightInd w:val="0"/>
              <w:ind w:left="15"/>
              <w:jc w:val="center"/>
              <w:rPr>
                <w:sz w:val="18"/>
                <w:szCs w:val="18"/>
                <w:lang w:val="es-ES"/>
              </w:rPr>
            </w:pP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6362DD" w:rsidRDefault="00AB5E1A" w:rsidP="0075202A">
            <w:pPr>
              <w:autoSpaceDE w:val="0"/>
              <w:autoSpaceDN w:val="0"/>
              <w:adjustRightInd w:val="0"/>
              <w:ind w:left="15"/>
              <w:jc w:val="center"/>
              <w:rPr>
                <w:sz w:val="18"/>
                <w:szCs w:val="18"/>
                <w:lang w:val="es-ES"/>
              </w:rPr>
            </w:pPr>
            <w:r w:rsidRPr="006362DD">
              <w:rPr>
                <w:sz w:val="18"/>
                <w:szCs w:val="18"/>
                <w:lang w:val="es-ES"/>
              </w:rPr>
              <w:t>SSF</w:t>
            </w: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6362DD" w:rsidRDefault="00E5626A" w:rsidP="0075202A">
            <w:pPr>
              <w:autoSpaceDE w:val="0"/>
              <w:autoSpaceDN w:val="0"/>
              <w:adjustRightInd w:val="0"/>
              <w:ind w:left="15"/>
              <w:jc w:val="center"/>
              <w:rPr>
                <w:sz w:val="18"/>
                <w:szCs w:val="18"/>
                <w:lang w:val="es-ES"/>
              </w:rPr>
            </w:pPr>
          </w:p>
        </w:tc>
      </w:tr>
      <w:tr w:rsidR="00E5626A" w:rsidRPr="006362DD" w:rsidTr="00E5626A">
        <w:trPr>
          <w:trHeight w:val="255"/>
        </w:trPr>
        <w:tc>
          <w:tcPr>
            <w:tcW w:w="1890" w:type="dxa"/>
            <w:tcBorders>
              <w:top w:val="single" w:sz="6" w:space="0" w:color="000000"/>
              <w:left w:val="single" w:sz="6" w:space="0" w:color="000000"/>
              <w:bottom w:val="single" w:sz="6" w:space="0" w:color="000000"/>
              <w:right w:val="single" w:sz="6" w:space="0" w:color="000000"/>
            </w:tcBorders>
            <w:vAlign w:val="bottom"/>
            <w:hideMark/>
          </w:tcPr>
          <w:p w:rsidR="00E5626A" w:rsidRPr="006362DD" w:rsidRDefault="00E5626A" w:rsidP="00887831">
            <w:pPr>
              <w:autoSpaceDE w:val="0"/>
              <w:autoSpaceDN w:val="0"/>
              <w:adjustRightInd w:val="0"/>
              <w:rPr>
                <w:b/>
                <w:sz w:val="18"/>
                <w:szCs w:val="18"/>
                <w:lang w:val="es-ES"/>
              </w:rPr>
            </w:pPr>
            <w:r w:rsidRPr="006362DD">
              <w:rPr>
                <w:b/>
                <w:sz w:val="18"/>
                <w:szCs w:val="18"/>
                <w:lang w:val="es-ES"/>
              </w:rPr>
              <w:t xml:space="preserve">3.b </w:t>
            </w:r>
            <w:r w:rsidR="00887831" w:rsidRPr="006362DD">
              <w:rPr>
                <w:b/>
                <w:sz w:val="18"/>
                <w:szCs w:val="18"/>
                <w:lang w:val="es-ES"/>
              </w:rPr>
              <w:t>Personas Naturale</w:t>
            </w:r>
            <w:r w:rsidR="007624A5" w:rsidRPr="006362DD">
              <w:rPr>
                <w:b/>
                <w:sz w:val="18"/>
                <w:szCs w:val="18"/>
                <w:lang w:val="es-ES"/>
              </w:rPr>
              <w:t>s</w:t>
            </w:r>
          </w:p>
        </w:tc>
        <w:tc>
          <w:tcPr>
            <w:tcW w:w="2880" w:type="dxa"/>
            <w:tcBorders>
              <w:top w:val="single" w:sz="6" w:space="0" w:color="000000"/>
              <w:left w:val="single" w:sz="6" w:space="0" w:color="000000"/>
              <w:bottom w:val="single" w:sz="6" w:space="0" w:color="000000"/>
              <w:right w:val="single" w:sz="6" w:space="0" w:color="000000"/>
            </w:tcBorders>
            <w:vAlign w:val="bottom"/>
          </w:tcPr>
          <w:p w:rsidR="00E5626A" w:rsidRPr="006362DD" w:rsidRDefault="00E5626A" w:rsidP="0075202A">
            <w:pPr>
              <w:autoSpaceDE w:val="0"/>
              <w:autoSpaceDN w:val="0"/>
              <w:adjustRightInd w:val="0"/>
              <w:ind w:left="15"/>
              <w:jc w:val="center"/>
              <w:rPr>
                <w:sz w:val="18"/>
                <w:szCs w:val="18"/>
                <w:lang w:val="es-ES"/>
              </w:rPr>
            </w:pP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6362DD" w:rsidRDefault="00AE5C8E" w:rsidP="00AE5C8E">
            <w:pPr>
              <w:autoSpaceDE w:val="0"/>
              <w:autoSpaceDN w:val="0"/>
              <w:adjustRightInd w:val="0"/>
              <w:ind w:left="15"/>
              <w:jc w:val="center"/>
              <w:rPr>
                <w:sz w:val="18"/>
                <w:szCs w:val="18"/>
                <w:lang w:val="es-ES"/>
              </w:rPr>
            </w:pPr>
            <w:r w:rsidRPr="006362DD">
              <w:rPr>
                <w:sz w:val="18"/>
                <w:szCs w:val="18"/>
                <w:lang w:val="es-ES"/>
              </w:rPr>
              <w:t>Comparar3 CV</w:t>
            </w:r>
            <w:r w:rsidR="00F97F25">
              <w:rPr>
                <w:sz w:val="18"/>
                <w:szCs w:val="18"/>
                <w:lang w:val="es-ES"/>
              </w:rPr>
              <w:t xml:space="preserve"> </w:t>
            </w:r>
            <w:r w:rsidRPr="006362DD">
              <w:rPr>
                <w:sz w:val="18"/>
                <w:szCs w:val="18"/>
                <w:lang w:val="es-ES"/>
              </w:rPr>
              <w:t>de conformidad con Capítulo</w:t>
            </w:r>
            <w:r w:rsidR="00E5626A" w:rsidRPr="006362DD">
              <w:rPr>
                <w:sz w:val="18"/>
                <w:szCs w:val="18"/>
                <w:lang w:val="es-ES"/>
              </w:rPr>
              <w:t xml:space="preserve"> V </w:t>
            </w:r>
            <w:r w:rsidRPr="006362DD">
              <w:rPr>
                <w:sz w:val="18"/>
                <w:szCs w:val="18"/>
                <w:lang w:val="es-ES"/>
              </w:rPr>
              <w:t>de Normas</w:t>
            </w:r>
          </w:p>
        </w:tc>
        <w:tc>
          <w:tcPr>
            <w:tcW w:w="2160" w:type="dxa"/>
            <w:tcBorders>
              <w:top w:val="single" w:sz="6" w:space="0" w:color="000000"/>
              <w:left w:val="single" w:sz="6" w:space="0" w:color="000000"/>
              <w:bottom w:val="single" w:sz="6" w:space="0" w:color="000000"/>
              <w:right w:val="single" w:sz="6" w:space="0" w:color="000000"/>
            </w:tcBorders>
            <w:vAlign w:val="bottom"/>
          </w:tcPr>
          <w:p w:rsidR="00E5626A" w:rsidRPr="006362DD" w:rsidRDefault="00E5626A" w:rsidP="0075202A">
            <w:pPr>
              <w:rPr>
                <w:sz w:val="18"/>
                <w:szCs w:val="18"/>
                <w:lang w:val="es-ES"/>
              </w:rPr>
            </w:pPr>
            <w:r w:rsidRPr="006362DD">
              <w:rPr>
                <w:sz w:val="18"/>
                <w:szCs w:val="18"/>
                <w:lang w:val="es-ES"/>
              </w:rPr>
              <w:t xml:space="preserve">&gt;100; </w:t>
            </w:r>
          </w:p>
          <w:p w:rsidR="00E5626A" w:rsidRPr="006362DD" w:rsidRDefault="00E5626A" w:rsidP="00887831">
            <w:pPr>
              <w:autoSpaceDE w:val="0"/>
              <w:autoSpaceDN w:val="0"/>
              <w:adjustRightInd w:val="0"/>
              <w:ind w:left="15"/>
              <w:jc w:val="center"/>
              <w:rPr>
                <w:sz w:val="18"/>
                <w:szCs w:val="18"/>
                <w:lang w:val="es-ES"/>
              </w:rPr>
            </w:pPr>
            <w:r w:rsidRPr="006362DD">
              <w:rPr>
                <w:sz w:val="18"/>
                <w:szCs w:val="18"/>
                <w:lang w:val="es-ES"/>
              </w:rPr>
              <w:t xml:space="preserve">&lt;100 </w:t>
            </w:r>
            <w:r w:rsidR="00887831" w:rsidRPr="006362DD">
              <w:rPr>
                <w:sz w:val="18"/>
                <w:szCs w:val="18"/>
                <w:lang w:val="es-ES"/>
              </w:rPr>
              <w:t>términos de referencia</w:t>
            </w:r>
          </w:p>
        </w:tc>
      </w:tr>
      <w:tr w:rsidR="00E5626A" w:rsidRPr="00F702EF" w:rsidTr="00B001A0">
        <w:trPr>
          <w:trHeight w:val="1299"/>
        </w:trPr>
        <w:tc>
          <w:tcPr>
            <w:tcW w:w="1890" w:type="dxa"/>
            <w:tcBorders>
              <w:top w:val="single" w:sz="6" w:space="0" w:color="000000"/>
              <w:left w:val="single" w:sz="6" w:space="0" w:color="000000"/>
              <w:bottom w:val="single" w:sz="4" w:space="0" w:color="auto"/>
              <w:right w:val="single" w:sz="6" w:space="0" w:color="000000"/>
            </w:tcBorders>
            <w:hideMark/>
          </w:tcPr>
          <w:p w:rsidR="00E5626A" w:rsidRPr="002776C2" w:rsidRDefault="00E5626A" w:rsidP="00A14F78">
            <w:pPr>
              <w:autoSpaceDE w:val="0"/>
              <w:autoSpaceDN w:val="0"/>
              <w:adjustRightInd w:val="0"/>
              <w:rPr>
                <w:b/>
                <w:sz w:val="18"/>
                <w:szCs w:val="18"/>
                <w:lang w:val="es-ES"/>
              </w:rPr>
            </w:pPr>
            <w:r w:rsidRPr="002776C2">
              <w:rPr>
                <w:b/>
                <w:sz w:val="18"/>
                <w:szCs w:val="18"/>
                <w:lang w:val="es-ES"/>
              </w:rPr>
              <w:t>Not</w:t>
            </w:r>
            <w:r w:rsidR="00AB5E1A" w:rsidRPr="002776C2">
              <w:rPr>
                <w:b/>
                <w:sz w:val="18"/>
                <w:szCs w:val="18"/>
                <w:lang w:val="es-ES"/>
              </w:rPr>
              <w:t>a</w:t>
            </w:r>
            <w:r w:rsidRPr="002776C2">
              <w:rPr>
                <w:b/>
                <w:sz w:val="18"/>
                <w:szCs w:val="18"/>
                <w:lang w:val="es-ES"/>
              </w:rPr>
              <w:t>:</w:t>
            </w:r>
          </w:p>
          <w:p w:rsidR="00E5626A" w:rsidRPr="002776C2" w:rsidRDefault="00E5626A" w:rsidP="00A14F78">
            <w:pPr>
              <w:autoSpaceDE w:val="0"/>
              <w:autoSpaceDN w:val="0"/>
              <w:adjustRightInd w:val="0"/>
              <w:rPr>
                <w:sz w:val="18"/>
                <w:szCs w:val="18"/>
                <w:lang w:val="es-ES"/>
              </w:rPr>
            </w:pPr>
          </w:p>
          <w:p w:rsidR="00E5626A" w:rsidRPr="002776C2" w:rsidRDefault="00E5626A" w:rsidP="00A14F78">
            <w:pPr>
              <w:autoSpaceDE w:val="0"/>
              <w:autoSpaceDN w:val="0"/>
              <w:adjustRightInd w:val="0"/>
              <w:rPr>
                <w:sz w:val="18"/>
                <w:szCs w:val="18"/>
                <w:lang w:val="es-ES"/>
              </w:rPr>
            </w:pPr>
          </w:p>
          <w:p w:rsidR="00E5626A" w:rsidRPr="002776C2" w:rsidRDefault="00E5626A" w:rsidP="00A14F78">
            <w:pPr>
              <w:autoSpaceDE w:val="0"/>
              <w:autoSpaceDN w:val="0"/>
              <w:adjustRightInd w:val="0"/>
              <w:rPr>
                <w:sz w:val="18"/>
                <w:szCs w:val="18"/>
                <w:lang w:val="es-ES"/>
              </w:rPr>
            </w:pPr>
          </w:p>
          <w:p w:rsidR="00E5626A" w:rsidRPr="002776C2" w:rsidRDefault="00E5626A" w:rsidP="00A14F78">
            <w:pPr>
              <w:autoSpaceDE w:val="0"/>
              <w:autoSpaceDN w:val="0"/>
              <w:adjustRightInd w:val="0"/>
              <w:rPr>
                <w:b/>
                <w:sz w:val="18"/>
                <w:szCs w:val="18"/>
                <w:lang w:val="es-ES"/>
              </w:rPr>
            </w:pPr>
          </w:p>
        </w:tc>
        <w:tc>
          <w:tcPr>
            <w:tcW w:w="7200" w:type="dxa"/>
            <w:gridSpan w:val="3"/>
            <w:tcBorders>
              <w:top w:val="single" w:sz="6" w:space="0" w:color="000000"/>
              <w:left w:val="single" w:sz="6" w:space="0" w:color="000000"/>
              <w:bottom w:val="single" w:sz="4" w:space="0" w:color="auto"/>
              <w:right w:val="single" w:sz="6" w:space="0" w:color="000000"/>
            </w:tcBorders>
            <w:vAlign w:val="bottom"/>
          </w:tcPr>
          <w:p w:rsidR="00E5626A" w:rsidRPr="002776C2" w:rsidRDefault="00887831" w:rsidP="00A14F78">
            <w:pPr>
              <w:autoSpaceDE w:val="0"/>
              <w:autoSpaceDN w:val="0"/>
              <w:adjustRightInd w:val="0"/>
              <w:ind w:left="15"/>
              <w:jc w:val="center"/>
              <w:rPr>
                <w:sz w:val="18"/>
                <w:szCs w:val="18"/>
                <w:lang w:val="es-ES"/>
              </w:rPr>
            </w:pPr>
            <w:r w:rsidRPr="002776C2">
              <w:rPr>
                <w:sz w:val="18"/>
                <w:szCs w:val="18"/>
                <w:lang w:val="es-ES"/>
              </w:rPr>
              <w:t>SBCC</w:t>
            </w:r>
            <w:r w:rsidR="00E5626A" w:rsidRPr="002776C2">
              <w:rPr>
                <w:sz w:val="18"/>
                <w:szCs w:val="18"/>
                <w:lang w:val="es-ES"/>
              </w:rPr>
              <w:t xml:space="preserve"> = </w:t>
            </w:r>
            <w:r w:rsidR="00AB5E1A" w:rsidRPr="002776C2">
              <w:rPr>
                <w:sz w:val="18"/>
                <w:szCs w:val="18"/>
                <w:lang w:val="es-ES"/>
              </w:rPr>
              <w:t>Selección</w:t>
            </w:r>
            <w:r w:rsidR="00AE5C8E" w:rsidRPr="002776C2">
              <w:rPr>
                <w:sz w:val="18"/>
                <w:szCs w:val="18"/>
                <w:lang w:val="es-ES"/>
              </w:rPr>
              <w:t xml:space="preserve"> Basada en Calidad y Costo</w:t>
            </w:r>
          </w:p>
          <w:p w:rsidR="00E5626A" w:rsidRPr="002776C2" w:rsidRDefault="00887831" w:rsidP="00A14F78">
            <w:pPr>
              <w:autoSpaceDE w:val="0"/>
              <w:autoSpaceDN w:val="0"/>
              <w:adjustRightInd w:val="0"/>
              <w:ind w:left="15"/>
              <w:jc w:val="center"/>
              <w:rPr>
                <w:sz w:val="18"/>
                <w:szCs w:val="18"/>
                <w:lang w:val="es-ES"/>
              </w:rPr>
            </w:pPr>
            <w:r w:rsidRPr="002776C2">
              <w:rPr>
                <w:sz w:val="18"/>
                <w:szCs w:val="18"/>
                <w:lang w:val="es-ES"/>
              </w:rPr>
              <w:t>SBC</w:t>
            </w:r>
            <w:r w:rsidR="00E5626A" w:rsidRPr="002776C2">
              <w:rPr>
                <w:sz w:val="18"/>
                <w:szCs w:val="18"/>
                <w:lang w:val="es-ES"/>
              </w:rPr>
              <w:t xml:space="preserve"> = </w:t>
            </w:r>
            <w:r w:rsidR="00AB5E1A" w:rsidRPr="002776C2">
              <w:rPr>
                <w:sz w:val="18"/>
                <w:szCs w:val="18"/>
                <w:lang w:val="es-ES"/>
              </w:rPr>
              <w:t>Selección</w:t>
            </w:r>
            <w:r w:rsidR="00AE5C8E" w:rsidRPr="002776C2">
              <w:rPr>
                <w:sz w:val="18"/>
                <w:szCs w:val="18"/>
                <w:lang w:val="es-ES"/>
              </w:rPr>
              <w:t xml:space="preserve"> Basada en la Calidad</w:t>
            </w:r>
          </w:p>
          <w:p w:rsidR="00E5626A" w:rsidRPr="002776C2" w:rsidRDefault="007624A5" w:rsidP="00A14F78">
            <w:pPr>
              <w:autoSpaceDE w:val="0"/>
              <w:autoSpaceDN w:val="0"/>
              <w:adjustRightInd w:val="0"/>
              <w:ind w:left="15"/>
              <w:jc w:val="center"/>
              <w:rPr>
                <w:sz w:val="18"/>
                <w:szCs w:val="18"/>
                <w:lang w:val="es-ES"/>
              </w:rPr>
            </w:pPr>
            <w:r w:rsidRPr="002776C2">
              <w:rPr>
                <w:sz w:val="18"/>
                <w:szCs w:val="18"/>
                <w:lang w:val="es-ES"/>
              </w:rPr>
              <w:t>SBPF</w:t>
            </w:r>
            <w:r w:rsidR="00E5626A" w:rsidRPr="002776C2">
              <w:rPr>
                <w:sz w:val="18"/>
                <w:szCs w:val="18"/>
                <w:lang w:val="es-ES"/>
              </w:rPr>
              <w:t xml:space="preserve"> = </w:t>
            </w:r>
            <w:r w:rsidR="00AB5E1A" w:rsidRPr="002776C2">
              <w:rPr>
                <w:sz w:val="18"/>
                <w:szCs w:val="18"/>
                <w:lang w:val="es-ES"/>
              </w:rPr>
              <w:t>Selección</w:t>
            </w:r>
            <w:r w:rsidR="00AE5C8E" w:rsidRPr="002776C2">
              <w:rPr>
                <w:sz w:val="18"/>
                <w:szCs w:val="18"/>
                <w:lang w:val="es-ES"/>
              </w:rPr>
              <w:t xml:space="preserve"> Basada en Presupuesto Fijo</w:t>
            </w:r>
          </w:p>
          <w:p w:rsidR="00E5626A" w:rsidRPr="002776C2" w:rsidRDefault="00AB5E1A" w:rsidP="00A14F78">
            <w:pPr>
              <w:autoSpaceDE w:val="0"/>
              <w:autoSpaceDN w:val="0"/>
              <w:adjustRightInd w:val="0"/>
              <w:ind w:left="15"/>
              <w:jc w:val="center"/>
              <w:rPr>
                <w:sz w:val="18"/>
                <w:szCs w:val="18"/>
                <w:lang w:val="es-ES"/>
              </w:rPr>
            </w:pPr>
            <w:r w:rsidRPr="002776C2">
              <w:rPr>
                <w:sz w:val="18"/>
                <w:szCs w:val="18"/>
                <w:lang w:val="es-ES"/>
              </w:rPr>
              <w:t>SBMC</w:t>
            </w:r>
            <w:r w:rsidR="00AE5C8E" w:rsidRPr="002776C2">
              <w:rPr>
                <w:sz w:val="18"/>
                <w:szCs w:val="18"/>
                <w:lang w:val="es-ES"/>
              </w:rPr>
              <w:t xml:space="preserve"> = </w:t>
            </w:r>
            <w:r w:rsidRPr="002776C2">
              <w:rPr>
                <w:sz w:val="18"/>
                <w:szCs w:val="18"/>
                <w:lang w:val="es-ES"/>
              </w:rPr>
              <w:t>Selección</w:t>
            </w:r>
            <w:r w:rsidR="00AE5C8E" w:rsidRPr="002776C2">
              <w:rPr>
                <w:sz w:val="18"/>
                <w:szCs w:val="18"/>
                <w:lang w:val="es-ES"/>
              </w:rPr>
              <w:t xml:space="preserve"> Basada en el Menor Costo</w:t>
            </w:r>
          </w:p>
          <w:p w:rsidR="00E5626A" w:rsidRPr="002776C2" w:rsidRDefault="00AB5E1A" w:rsidP="00A14F78">
            <w:pPr>
              <w:autoSpaceDE w:val="0"/>
              <w:autoSpaceDN w:val="0"/>
              <w:adjustRightInd w:val="0"/>
              <w:ind w:left="15"/>
              <w:jc w:val="center"/>
              <w:rPr>
                <w:sz w:val="18"/>
                <w:szCs w:val="18"/>
                <w:lang w:val="es-ES"/>
              </w:rPr>
            </w:pPr>
            <w:r w:rsidRPr="002776C2">
              <w:rPr>
                <w:sz w:val="18"/>
                <w:szCs w:val="18"/>
                <w:lang w:val="es-ES"/>
              </w:rPr>
              <w:t>SBCC</w:t>
            </w:r>
            <w:r w:rsidR="00E5626A" w:rsidRPr="002776C2">
              <w:rPr>
                <w:sz w:val="18"/>
                <w:szCs w:val="18"/>
                <w:lang w:val="es-ES"/>
              </w:rPr>
              <w:t xml:space="preserve"> = </w:t>
            </w:r>
            <w:r w:rsidRPr="002776C2">
              <w:rPr>
                <w:sz w:val="18"/>
                <w:szCs w:val="18"/>
                <w:lang w:val="es-ES"/>
              </w:rPr>
              <w:t>Selección</w:t>
            </w:r>
            <w:r w:rsidR="00E5626A" w:rsidRPr="002776C2">
              <w:rPr>
                <w:sz w:val="18"/>
                <w:szCs w:val="18"/>
                <w:lang w:val="es-ES"/>
              </w:rPr>
              <w:t xml:space="preserve"> Bas</w:t>
            </w:r>
            <w:r w:rsidR="00AE5C8E" w:rsidRPr="002776C2">
              <w:rPr>
                <w:sz w:val="18"/>
                <w:szCs w:val="18"/>
                <w:lang w:val="es-ES"/>
              </w:rPr>
              <w:t xml:space="preserve">ada en </w:t>
            </w:r>
            <w:r w:rsidR="002776C2" w:rsidRPr="002776C2">
              <w:rPr>
                <w:sz w:val="18"/>
                <w:szCs w:val="18"/>
                <w:lang w:val="es-ES"/>
              </w:rPr>
              <w:t>las Calificaciones</w:t>
            </w:r>
            <w:r w:rsidR="00F97F25">
              <w:rPr>
                <w:sz w:val="18"/>
                <w:szCs w:val="18"/>
                <w:lang w:val="es-ES"/>
              </w:rPr>
              <w:t xml:space="preserve"> </w:t>
            </w:r>
            <w:r w:rsidR="002776C2" w:rsidRPr="002776C2">
              <w:rPr>
                <w:sz w:val="18"/>
                <w:szCs w:val="18"/>
                <w:lang w:val="es-ES"/>
              </w:rPr>
              <w:t>de los</w:t>
            </w:r>
            <w:r w:rsidR="00AE5C8E" w:rsidRPr="002776C2">
              <w:rPr>
                <w:sz w:val="18"/>
                <w:szCs w:val="18"/>
                <w:lang w:val="es-ES"/>
              </w:rPr>
              <w:t xml:space="preserve"> Consultor</w:t>
            </w:r>
            <w:r w:rsidR="002776C2" w:rsidRPr="002776C2">
              <w:rPr>
                <w:sz w:val="18"/>
                <w:szCs w:val="18"/>
                <w:lang w:val="es-ES"/>
              </w:rPr>
              <w:t>es</w:t>
            </w:r>
            <w:r w:rsidR="00E5626A" w:rsidRPr="002776C2">
              <w:rPr>
                <w:sz w:val="18"/>
                <w:szCs w:val="18"/>
                <w:lang w:val="es-ES"/>
              </w:rPr>
              <w:t>(</w:t>
            </w:r>
            <w:r w:rsidR="006362DD" w:rsidRPr="002776C2">
              <w:rPr>
                <w:sz w:val="18"/>
                <w:szCs w:val="18"/>
                <w:lang w:val="es-ES"/>
              </w:rPr>
              <w:t xml:space="preserve">no debe exceder los </w:t>
            </w:r>
            <w:r w:rsidR="00E5626A" w:rsidRPr="002776C2">
              <w:rPr>
                <w:sz w:val="18"/>
                <w:szCs w:val="18"/>
                <w:lang w:val="es-ES"/>
              </w:rPr>
              <w:t xml:space="preserve">US$300,000.00)  </w:t>
            </w:r>
          </w:p>
          <w:p w:rsidR="00E5626A" w:rsidRPr="002776C2" w:rsidRDefault="00AB5E1A" w:rsidP="002776C2">
            <w:pPr>
              <w:autoSpaceDE w:val="0"/>
              <w:autoSpaceDN w:val="0"/>
              <w:adjustRightInd w:val="0"/>
              <w:ind w:left="15"/>
              <w:jc w:val="center"/>
              <w:rPr>
                <w:sz w:val="18"/>
                <w:szCs w:val="18"/>
                <w:lang w:val="es-ES"/>
              </w:rPr>
            </w:pPr>
            <w:r w:rsidRPr="002776C2">
              <w:rPr>
                <w:sz w:val="18"/>
                <w:szCs w:val="18"/>
                <w:lang w:val="es-ES"/>
              </w:rPr>
              <w:t>SSF</w:t>
            </w:r>
            <w:r w:rsidR="00E5626A" w:rsidRPr="002776C2">
              <w:rPr>
                <w:sz w:val="18"/>
                <w:szCs w:val="18"/>
                <w:lang w:val="es-ES"/>
              </w:rPr>
              <w:t xml:space="preserve">: </w:t>
            </w:r>
            <w:r w:rsidRPr="002776C2">
              <w:rPr>
                <w:sz w:val="18"/>
                <w:szCs w:val="18"/>
                <w:lang w:val="es-ES"/>
              </w:rPr>
              <w:t>Selección</w:t>
            </w:r>
            <w:r w:rsidR="00F97F25">
              <w:rPr>
                <w:sz w:val="18"/>
                <w:szCs w:val="18"/>
                <w:lang w:val="es-ES"/>
              </w:rPr>
              <w:t xml:space="preserve"> </w:t>
            </w:r>
            <w:r w:rsidR="0014091A" w:rsidRPr="002776C2">
              <w:rPr>
                <w:sz w:val="18"/>
                <w:szCs w:val="18"/>
                <w:lang w:val="es-ES"/>
              </w:rPr>
              <w:t xml:space="preserve">con base en una </w:t>
            </w:r>
            <w:r w:rsidR="006362DD" w:rsidRPr="002776C2">
              <w:rPr>
                <w:sz w:val="18"/>
                <w:szCs w:val="18"/>
                <w:lang w:val="es-ES"/>
              </w:rPr>
              <w:t>Sola Fuente</w:t>
            </w:r>
          </w:p>
        </w:tc>
      </w:tr>
    </w:tbl>
    <w:p w:rsidR="00C57A0F" w:rsidRPr="002776C2" w:rsidRDefault="00C57A0F" w:rsidP="00C57A0F">
      <w:pPr>
        <w:pStyle w:val="ListParagraph"/>
        <w:autoSpaceDE w:val="0"/>
        <w:autoSpaceDN w:val="0"/>
        <w:adjustRightInd w:val="0"/>
        <w:ind w:left="1512"/>
        <w:jc w:val="both"/>
        <w:rPr>
          <w:lang w:val="es-ES"/>
        </w:rPr>
      </w:pPr>
    </w:p>
    <w:p w:rsidR="00C57A0F" w:rsidRPr="00074A91" w:rsidRDefault="002776C2" w:rsidP="00F91221">
      <w:pPr>
        <w:pStyle w:val="ListParagraph"/>
        <w:numPr>
          <w:ilvl w:val="0"/>
          <w:numId w:val="24"/>
        </w:numPr>
        <w:autoSpaceDE w:val="0"/>
        <w:autoSpaceDN w:val="0"/>
        <w:adjustRightInd w:val="0"/>
        <w:ind w:left="709" w:hanging="540"/>
        <w:jc w:val="both"/>
        <w:rPr>
          <w:sz w:val="23"/>
          <w:szCs w:val="23"/>
          <w:lang w:val="es-ES"/>
        </w:rPr>
      </w:pPr>
      <w:r w:rsidRPr="00074A91">
        <w:rPr>
          <w:b/>
          <w:sz w:val="23"/>
          <w:szCs w:val="23"/>
          <w:lang w:val="es-ES"/>
        </w:rPr>
        <w:t xml:space="preserve">Preselección de </w:t>
      </w:r>
      <w:r w:rsidR="00DB21AD">
        <w:rPr>
          <w:b/>
          <w:sz w:val="23"/>
          <w:szCs w:val="23"/>
          <w:lang w:val="es-ES"/>
        </w:rPr>
        <w:t xml:space="preserve">Personas </w:t>
      </w:r>
      <w:r w:rsidRPr="00074A91">
        <w:rPr>
          <w:b/>
          <w:sz w:val="23"/>
          <w:szCs w:val="23"/>
          <w:lang w:val="es-ES"/>
        </w:rPr>
        <w:t>Consultor</w:t>
      </w:r>
      <w:r w:rsidR="00DB21AD">
        <w:rPr>
          <w:b/>
          <w:sz w:val="23"/>
          <w:szCs w:val="23"/>
          <w:lang w:val="es-ES"/>
        </w:rPr>
        <w:t>a</w:t>
      </w:r>
      <w:r w:rsidRPr="00074A91">
        <w:rPr>
          <w:b/>
          <w:sz w:val="23"/>
          <w:szCs w:val="23"/>
          <w:lang w:val="es-ES"/>
        </w:rPr>
        <w:t>s Nacionales</w:t>
      </w:r>
      <w:r w:rsidR="00C57A0F" w:rsidRPr="00074A91">
        <w:rPr>
          <w:sz w:val="23"/>
          <w:szCs w:val="23"/>
          <w:lang w:val="es-ES"/>
        </w:rPr>
        <w:t xml:space="preserve">: </w:t>
      </w:r>
      <w:r w:rsidRPr="00074A91">
        <w:rPr>
          <w:sz w:val="23"/>
          <w:szCs w:val="23"/>
          <w:lang w:val="es-ES"/>
        </w:rPr>
        <w:t xml:space="preserve">La preselección de </w:t>
      </w:r>
      <w:r w:rsidR="00DB21AD">
        <w:rPr>
          <w:sz w:val="23"/>
          <w:szCs w:val="23"/>
          <w:lang w:val="es-ES"/>
        </w:rPr>
        <w:t xml:space="preserve">personas </w:t>
      </w:r>
      <w:r w:rsidRPr="00074A91">
        <w:rPr>
          <w:sz w:val="23"/>
          <w:szCs w:val="23"/>
          <w:lang w:val="es-ES"/>
        </w:rPr>
        <w:t>consultor</w:t>
      </w:r>
      <w:r w:rsidR="00DB21AD">
        <w:rPr>
          <w:sz w:val="23"/>
          <w:szCs w:val="23"/>
          <w:lang w:val="es-ES"/>
        </w:rPr>
        <w:t>a</w:t>
      </w:r>
      <w:r w:rsidRPr="00074A91">
        <w:rPr>
          <w:sz w:val="23"/>
          <w:szCs w:val="23"/>
          <w:lang w:val="es-ES"/>
        </w:rPr>
        <w:t xml:space="preserve">s </w:t>
      </w:r>
      <w:r w:rsidR="00F92C42" w:rsidRPr="00074A91">
        <w:rPr>
          <w:sz w:val="23"/>
          <w:szCs w:val="23"/>
          <w:lang w:val="es-ES"/>
        </w:rPr>
        <w:t>para que ofrezcan servicios, cuyos costos sean menores de US$ 200,000 equivalentes por contrato podría componerse sólo de nacionales</w:t>
      </w:r>
      <w:r w:rsidR="007929F5" w:rsidRPr="00074A91">
        <w:rPr>
          <w:sz w:val="23"/>
          <w:szCs w:val="23"/>
          <w:lang w:val="es-ES"/>
        </w:rPr>
        <w:t>, de conformidad con las disposiciones del párrafo 2.7 de las</w:t>
      </w:r>
      <w:r w:rsidR="007929F5" w:rsidRPr="00074A91">
        <w:rPr>
          <w:bCs/>
          <w:sz w:val="23"/>
          <w:szCs w:val="23"/>
          <w:lang w:val="es-ES"/>
        </w:rPr>
        <w:t xml:space="preserve"> Normas</w:t>
      </w:r>
      <w:r w:rsidR="007929F5" w:rsidRPr="00074A91">
        <w:rPr>
          <w:sz w:val="23"/>
          <w:szCs w:val="23"/>
          <w:lang w:val="es-ES"/>
        </w:rPr>
        <w:t>: Selección y </w:t>
      </w:r>
      <w:r w:rsidR="007929F5" w:rsidRPr="00074A91">
        <w:rPr>
          <w:bCs/>
          <w:sz w:val="23"/>
          <w:szCs w:val="23"/>
          <w:lang w:val="es-ES"/>
        </w:rPr>
        <w:t>Contratación</w:t>
      </w:r>
      <w:r w:rsidR="007929F5" w:rsidRPr="00074A91">
        <w:rPr>
          <w:sz w:val="23"/>
          <w:szCs w:val="23"/>
          <w:lang w:val="es-ES"/>
        </w:rPr>
        <w:t> de </w:t>
      </w:r>
      <w:r w:rsidR="007929F5" w:rsidRPr="00074A91">
        <w:rPr>
          <w:bCs/>
          <w:sz w:val="23"/>
          <w:szCs w:val="23"/>
          <w:lang w:val="es-ES"/>
        </w:rPr>
        <w:t>Consultores</w:t>
      </w:r>
      <w:r w:rsidR="00C57A0F" w:rsidRPr="00074A91">
        <w:rPr>
          <w:sz w:val="23"/>
          <w:szCs w:val="23"/>
          <w:lang w:val="es-ES"/>
        </w:rPr>
        <w:t>.</w:t>
      </w:r>
    </w:p>
    <w:p w:rsidR="00C57A0F" w:rsidRDefault="00C57A0F" w:rsidP="00C57A0F">
      <w:pPr>
        <w:autoSpaceDE w:val="0"/>
        <w:autoSpaceDN w:val="0"/>
        <w:adjustRightInd w:val="0"/>
        <w:jc w:val="both"/>
        <w:rPr>
          <w:b/>
          <w:sz w:val="23"/>
          <w:szCs w:val="23"/>
          <w:lang w:val="es-ES"/>
        </w:rPr>
      </w:pPr>
    </w:p>
    <w:p w:rsidR="00DB21AD" w:rsidRDefault="00DB21AD" w:rsidP="00C57A0F">
      <w:pPr>
        <w:autoSpaceDE w:val="0"/>
        <w:autoSpaceDN w:val="0"/>
        <w:adjustRightInd w:val="0"/>
        <w:jc w:val="both"/>
        <w:rPr>
          <w:b/>
          <w:sz w:val="23"/>
          <w:szCs w:val="23"/>
          <w:lang w:val="es-ES"/>
        </w:rPr>
      </w:pPr>
    </w:p>
    <w:p w:rsidR="00DB21AD" w:rsidRDefault="00DB21AD" w:rsidP="00C57A0F">
      <w:pPr>
        <w:autoSpaceDE w:val="0"/>
        <w:autoSpaceDN w:val="0"/>
        <w:adjustRightInd w:val="0"/>
        <w:jc w:val="both"/>
        <w:rPr>
          <w:b/>
          <w:sz w:val="23"/>
          <w:szCs w:val="23"/>
          <w:lang w:val="es-ES"/>
        </w:rPr>
      </w:pPr>
    </w:p>
    <w:p w:rsidR="00DB21AD" w:rsidRPr="00074A91" w:rsidRDefault="00DB21AD" w:rsidP="00C57A0F">
      <w:pPr>
        <w:autoSpaceDE w:val="0"/>
        <w:autoSpaceDN w:val="0"/>
        <w:adjustRightInd w:val="0"/>
        <w:jc w:val="both"/>
        <w:rPr>
          <w:b/>
          <w:sz w:val="23"/>
          <w:szCs w:val="23"/>
          <w:lang w:val="es-ES"/>
        </w:rPr>
      </w:pPr>
    </w:p>
    <w:p w:rsidR="00C57A0F" w:rsidRPr="007929F5" w:rsidRDefault="007929F5" w:rsidP="00C57A0F">
      <w:pPr>
        <w:jc w:val="center"/>
        <w:rPr>
          <w:b/>
          <w:bCs/>
          <w:sz w:val="22"/>
          <w:szCs w:val="22"/>
          <w:lang w:val="es-ES"/>
        </w:rPr>
      </w:pPr>
      <w:r w:rsidRPr="007929F5">
        <w:rPr>
          <w:b/>
          <w:bCs/>
          <w:sz w:val="22"/>
          <w:szCs w:val="22"/>
          <w:lang w:val="es-ES"/>
        </w:rPr>
        <w:lastRenderedPageBreak/>
        <w:t>Consultorías Asignadas por Métodos de Selección y Calendarización</w:t>
      </w:r>
    </w:p>
    <w:p w:rsidR="00C57A0F" w:rsidRPr="007929F5" w:rsidRDefault="00C57A0F" w:rsidP="00C57A0F">
      <w:pPr>
        <w:jc w:val="center"/>
        <w:rPr>
          <w:b/>
          <w:bCs/>
          <w:sz w:val="22"/>
          <w:szCs w:val="22"/>
          <w:lang w:val="es-ES"/>
        </w:rPr>
      </w:pPr>
      <w:r w:rsidRPr="007929F5">
        <w:rPr>
          <w:b/>
          <w:bCs/>
          <w:sz w:val="22"/>
          <w:szCs w:val="22"/>
          <w:lang w:val="es-ES"/>
        </w:rPr>
        <w:t>(</w:t>
      </w:r>
      <w:r w:rsidR="007929F5">
        <w:rPr>
          <w:b/>
          <w:bCs/>
          <w:sz w:val="22"/>
          <w:szCs w:val="22"/>
          <w:lang w:val="es-ES"/>
        </w:rPr>
        <w:t>C</w:t>
      </w:r>
      <w:r w:rsidR="007929F5" w:rsidRPr="007929F5">
        <w:rPr>
          <w:b/>
          <w:bCs/>
          <w:sz w:val="22"/>
          <w:szCs w:val="22"/>
          <w:lang w:val="es-ES"/>
        </w:rPr>
        <w:t>on base en el</w:t>
      </w:r>
      <w:r w:rsidR="00DE7C07" w:rsidRPr="007929F5">
        <w:rPr>
          <w:b/>
          <w:bCs/>
          <w:sz w:val="22"/>
          <w:szCs w:val="22"/>
          <w:lang w:val="es-ES"/>
        </w:rPr>
        <w:t xml:space="preserve"> Plan</w:t>
      </w:r>
      <w:r w:rsidR="007929F5" w:rsidRPr="007929F5">
        <w:rPr>
          <w:b/>
          <w:bCs/>
          <w:sz w:val="22"/>
          <w:szCs w:val="22"/>
          <w:lang w:val="es-ES"/>
        </w:rPr>
        <w:t xml:space="preserve"> de </w:t>
      </w:r>
      <w:r w:rsidR="007929F5">
        <w:rPr>
          <w:b/>
          <w:bCs/>
          <w:sz w:val="22"/>
          <w:szCs w:val="22"/>
          <w:lang w:val="es-ES"/>
        </w:rPr>
        <w:t>Adquisiciones del 5 de febrero del</w:t>
      </w:r>
      <w:r w:rsidR="00DE7C07" w:rsidRPr="007929F5">
        <w:rPr>
          <w:b/>
          <w:bCs/>
          <w:sz w:val="22"/>
          <w:szCs w:val="22"/>
          <w:lang w:val="es-ES"/>
        </w:rPr>
        <w:t xml:space="preserve"> 2013</w:t>
      </w:r>
      <w:r w:rsidRPr="007929F5">
        <w:rPr>
          <w:b/>
          <w:bCs/>
          <w:sz w:val="22"/>
          <w:szCs w:val="22"/>
          <w:lang w:val="es-ES"/>
        </w:rPr>
        <w:t>)</w:t>
      </w:r>
    </w:p>
    <w:p w:rsidR="00C57A0F" w:rsidRPr="007929F5" w:rsidRDefault="00C57A0F" w:rsidP="00C57A0F">
      <w:pPr>
        <w:jc w:val="center"/>
        <w:rPr>
          <w:b/>
          <w:bCs/>
          <w:sz w:val="22"/>
          <w:szCs w:val="22"/>
          <w:lang w:val="es-ES"/>
        </w:rPr>
      </w:pPr>
    </w:p>
    <w:tbl>
      <w:tblPr>
        <w:tblW w:w="8122" w:type="dxa"/>
        <w:jc w:val="center"/>
        <w:tblInd w:w="-1174" w:type="dxa"/>
        <w:tblLook w:val="04A0" w:firstRow="1" w:lastRow="0" w:firstColumn="1" w:lastColumn="0" w:noHBand="0" w:noVBand="1"/>
      </w:tblPr>
      <w:tblGrid>
        <w:gridCol w:w="929"/>
        <w:gridCol w:w="3981"/>
        <w:gridCol w:w="1134"/>
        <w:gridCol w:w="2078"/>
      </w:tblGrid>
      <w:tr w:rsidR="00C57A0F" w:rsidRPr="007929F5" w:rsidTr="00074A91">
        <w:trPr>
          <w:trHeight w:val="315"/>
          <w:jc w:val="center"/>
        </w:trPr>
        <w:tc>
          <w:tcPr>
            <w:tcW w:w="929" w:type="dxa"/>
            <w:tcBorders>
              <w:top w:val="single" w:sz="8" w:space="0" w:color="auto"/>
              <w:left w:val="single" w:sz="8" w:space="0" w:color="auto"/>
              <w:bottom w:val="single" w:sz="4" w:space="0" w:color="auto"/>
              <w:right w:val="single" w:sz="8" w:space="0" w:color="auto"/>
            </w:tcBorders>
            <w:shd w:val="clear" w:color="auto" w:fill="auto"/>
            <w:hideMark/>
          </w:tcPr>
          <w:p w:rsidR="00C57A0F" w:rsidRPr="007929F5" w:rsidRDefault="00C57A0F" w:rsidP="00A14F78">
            <w:pPr>
              <w:jc w:val="center"/>
              <w:rPr>
                <w:rFonts w:ascii="Calibri" w:hAnsi="Calibri"/>
                <w:b/>
                <w:bCs/>
                <w:sz w:val="20"/>
                <w:szCs w:val="20"/>
                <w:lang w:val="es-ES"/>
              </w:rPr>
            </w:pPr>
            <w:r w:rsidRPr="007929F5">
              <w:rPr>
                <w:rFonts w:ascii="Calibri" w:hAnsi="Calibri"/>
                <w:b/>
                <w:bCs/>
                <w:sz w:val="20"/>
                <w:lang w:val="es-ES"/>
              </w:rPr>
              <w:t>1</w:t>
            </w:r>
          </w:p>
        </w:tc>
        <w:tc>
          <w:tcPr>
            <w:tcW w:w="3981" w:type="dxa"/>
            <w:tcBorders>
              <w:top w:val="single" w:sz="8" w:space="0" w:color="auto"/>
              <w:left w:val="nil"/>
              <w:bottom w:val="single" w:sz="4" w:space="0" w:color="auto"/>
              <w:right w:val="single" w:sz="4" w:space="0" w:color="auto"/>
            </w:tcBorders>
            <w:shd w:val="clear" w:color="auto" w:fill="auto"/>
            <w:hideMark/>
          </w:tcPr>
          <w:p w:rsidR="00C57A0F" w:rsidRPr="007929F5" w:rsidRDefault="00C57A0F" w:rsidP="00A14F78">
            <w:pPr>
              <w:jc w:val="center"/>
              <w:rPr>
                <w:rFonts w:ascii="Calibri" w:hAnsi="Calibri"/>
                <w:b/>
                <w:bCs/>
                <w:sz w:val="20"/>
                <w:szCs w:val="20"/>
                <w:lang w:val="es-ES"/>
              </w:rPr>
            </w:pPr>
            <w:r w:rsidRPr="007929F5">
              <w:rPr>
                <w:rFonts w:ascii="Calibri" w:hAnsi="Calibri"/>
                <w:b/>
                <w:bCs/>
                <w:sz w:val="20"/>
                <w:lang w:val="es-ES"/>
              </w:rPr>
              <w:t>2</w:t>
            </w:r>
          </w:p>
        </w:tc>
        <w:tc>
          <w:tcPr>
            <w:tcW w:w="1134" w:type="dxa"/>
            <w:tcBorders>
              <w:top w:val="single" w:sz="4" w:space="0" w:color="auto"/>
              <w:left w:val="single" w:sz="4" w:space="0" w:color="auto"/>
              <w:bottom w:val="single" w:sz="4" w:space="0" w:color="auto"/>
              <w:right w:val="single" w:sz="4" w:space="0" w:color="auto"/>
            </w:tcBorders>
          </w:tcPr>
          <w:p w:rsidR="00C57A0F" w:rsidRPr="007929F5" w:rsidRDefault="00C57A0F" w:rsidP="00A14F78">
            <w:pPr>
              <w:jc w:val="center"/>
              <w:rPr>
                <w:rFonts w:ascii="Calibri" w:hAnsi="Calibri"/>
                <w:b/>
                <w:bCs/>
                <w:sz w:val="20"/>
                <w:lang w:val="es-ES"/>
              </w:rPr>
            </w:pPr>
            <w:r w:rsidRPr="007929F5">
              <w:rPr>
                <w:rFonts w:ascii="Calibri" w:hAnsi="Calibri"/>
                <w:b/>
                <w:bCs/>
                <w:sz w:val="20"/>
                <w:lang w:val="es-ES"/>
              </w:rPr>
              <w:t>3</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C57A0F" w:rsidRPr="007929F5" w:rsidRDefault="00C57A0F" w:rsidP="00A14F78">
            <w:pPr>
              <w:jc w:val="center"/>
              <w:rPr>
                <w:rFonts w:ascii="Calibri" w:hAnsi="Calibri"/>
                <w:b/>
                <w:bCs/>
                <w:sz w:val="20"/>
                <w:szCs w:val="20"/>
                <w:lang w:val="es-ES"/>
              </w:rPr>
            </w:pPr>
            <w:r w:rsidRPr="007929F5">
              <w:rPr>
                <w:rFonts w:ascii="Calibri" w:hAnsi="Calibri"/>
                <w:b/>
                <w:bCs/>
                <w:sz w:val="20"/>
                <w:lang w:val="es-ES"/>
              </w:rPr>
              <w:t>4</w:t>
            </w:r>
          </w:p>
        </w:tc>
      </w:tr>
      <w:tr w:rsidR="00C57A0F" w:rsidRPr="00F702EF" w:rsidTr="00074A91">
        <w:trPr>
          <w:trHeight w:val="233"/>
          <w:jc w:val="center"/>
        </w:trPr>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0F" w:rsidRPr="007929F5" w:rsidRDefault="00C57A0F" w:rsidP="00A14F78">
            <w:pPr>
              <w:jc w:val="center"/>
              <w:rPr>
                <w:b/>
                <w:bCs/>
                <w:sz w:val="20"/>
                <w:szCs w:val="20"/>
                <w:lang w:val="es-ES"/>
              </w:rPr>
            </w:pPr>
            <w:r w:rsidRPr="007929F5">
              <w:rPr>
                <w:b/>
                <w:bCs/>
                <w:sz w:val="20"/>
                <w:szCs w:val="20"/>
                <w:lang w:val="es-ES"/>
              </w:rPr>
              <w:t>Ref. No.</w:t>
            </w:r>
          </w:p>
        </w:tc>
        <w:tc>
          <w:tcPr>
            <w:tcW w:w="3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0F" w:rsidRPr="007929F5" w:rsidRDefault="007929F5" w:rsidP="0080145C">
            <w:pPr>
              <w:jc w:val="center"/>
              <w:rPr>
                <w:b/>
                <w:bCs/>
                <w:sz w:val="20"/>
                <w:szCs w:val="20"/>
                <w:lang w:val="es-ES"/>
              </w:rPr>
            </w:pPr>
            <w:r w:rsidRPr="007929F5">
              <w:rPr>
                <w:b/>
                <w:bCs/>
                <w:sz w:val="20"/>
                <w:szCs w:val="20"/>
                <w:lang w:val="es-ES"/>
              </w:rPr>
              <w:t>Descripción</w:t>
            </w:r>
            <w:r w:rsidR="00F97F25">
              <w:rPr>
                <w:b/>
                <w:bCs/>
                <w:sz w:val="20"/>
                <w:szCs w:val="20"/>
                <w:lang w:val="es-ES"/>
              </w:rPr>
              <w:t xml:space="preserve"> </w:t>
            </w:r>
            <w:r w:rsidR="0080145C">
              <w:rPr>
                <w:b/>
                <w:bCs/>
                <w:sz w:val="20"/>
                <w:szCs w:val="20"/>
                <w:lang w:val="es-ES"/>
              </w:rPr>
              <w:t>de asignaciones</w:t>
            </w:r>
          </w:p>
        </w:tc>
        <w:tc>
          <w:tcPr>
            <w:tcW w:w="1134" w:type="dxa"/>
            <w:tcBorders>
              <w:top w:val="single" w:sz="4" w:space="0" w:color="auto"/>
              <w:left w:val="single" w:sz="4" w:space="0" w:color="auto"/>
              <w:bottom w:val="single" w:sz="4" w:space="0" w:color="auto"/>
              <w:right w:val="single" w:sz="4" w:space="0" w:color="auto"/>
            </w:tcBorders>
          </w:tcPr>
          <w:p w:rsidR="00C57A0F" w:rsidRPr="007929F5" w:rsidRDefault="0080145C" w:rsidP="00A14F78">
            <w:pPr>
              <w:jc w:val="center"/>
              <w:rPr>
                <w:b/>
                <w:bCs/>
                <w:sz w:val="20"/>
                <w:szCs w:val="20"/>
                <w:lang w:val="es-ES"/>
              </w:rPr>
            </w:pPr>
            <w:r>
              <w:rPr>
                <w:b/>
                <w:bCs/>
                <w:sz w:val="20"/>
                <w:szCs w:val="20"/>
                <w:lang w:val="es-ES"/>
              </w:rPr>
              <w:t>Cantidad</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0F" w:rsidRPr="007929F5" w:rsidRDefault="00C57A0F" w:rsidP="0080145C">
            <w:pPr>
              <w:jc w:val="center"/>
              <w:rPr>
                <w:b/>
                <w:bCs/>
                <w:sz w:val="20"/>
                <w:szCs w:val="20"/>
                <w:lang w:val="es-ES"/>
              </w:rPr>
            </w:pPr>
            <w:r w:rsidRPr="007929F5">
              <w:rPr>
                <w:b/>
                <w:bCs/>
                <w:sz w:val="20"/>
                <w:szCs w:val="20"/>
                <w:lang w:val="es-ES"/>
              </w:rPr>
              <w:t>Cost</w:t>
            </w:r>
            <w:r w:rsidR="0080145C">
              <w:rPr>
                <w:b/>
                <w:bCs/>
                <w:sz w:val="20"/>
                <w:szCs w:val="20"/>
                <w:lang w:val="es-ES"/>
              </w:rPr>
              <w:t>o</w:t>
            </w:r>
            <w:r w:rsidR="00F97F25">
              <w:rPr>
                <w:b/>
                <w:bCs/>
                <w:sz w:val="20"/>
                <w:szCs w:val="20"/>
                <w:lang w:val="es-ES"/>
              </w:rPr>
              <w:t xml:space="preserve"> </w:t>
            </w:r>
            <w:r w:rsidR="0080145C" w:rsidRPr="007929F5">
              <w:rPr>
                <w:b/>
                <w:bCs/>
                <w:sz w:val="20"/>
                <w:szCs w:val="20"/>
                <w:lang w:val="es-ES"/>
              </w:rPr>
              <w:t>Estima</w:t>
            </w:r>
            <w:r w:rsidR="0080145C">
              <w:rPr>
                <w:b/>
                <w:bCs/>
                <w:sz w:val="20"/>
                <w:szCs w:val="20"/>
                <w:lang w:val="es-ES"/>
              </w:rPr>
              <w:t>do</w:t>
            </w:r>
            <w:r w:rsidR="00F97F25">
              <w:rPr>
                <w:b/>
                <w:bCs/>
                <w:sz w:val="20"/>
                <w:szCs w:val="20"/>
                <w:lang w:val="es-ES"/>
              </w:rPr>
              <w:t xml:space="preserve"> </w:t>
            </w:r>
            <w:r w:rsidRPr="007929F5">
              <w:rPr>
                <w:b/>
                <w:bCs/>
                <w:sz w:val="20"/>
                <w:szCs w:val="20"/>
                <w:lang w:val="es-ES"/>
              </w:rPr>
              <w:t xml:space="preserve">US$ </w:t>
            </w:r>
            <w:r w:rsidR="001351F1" w:rsidRPr="007929F5">
              <w:rPr>
                <w:b/>
                <w:bCs/>
                <w:sz w:val="20"/>
                <w:szCs w:val="20"/>
                <w:lang w:val="es-ES"/>
              </w:rPr>
              <w:t>millones de dólares</w:t>
            </w:r>
          </w:p>
        </w:tc>
      </w:tr>
      <w:tr w:rsidR="00C57A0F" w:rsidRPr="007929F5" w:rsidTr="00074A91">
        <w:trPr>
          <w:trHeight w:val="727"/>
          <w:jc w:val="center"/>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C57A0F" w:rsidRPr="007929F5" w:rsidRDefault="00C57A0F" w:rsidP="00A14F78">
            <w:pPr>
              <w:jc w:val="center"/>
              <w:rPr>
                <w:sz w:val="20"/>
                <w:szCs w:val="20"/>
                <w:lang w:val="es-ES"/>
              </w:rPr>
            </w:pPr>
            <w:r w:rsidRPr="007929F5">
              <w:rPr>
                <w:sz w:val="20"/>
                <w:szCs w:val="20"/>
                <w:lang w:val="es-ES"/>
              </w:rPr>
              <w:t>1</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C57A0F" w:rsidRPr="007929F5" w:rsidRDefault="00427E8F" w:rsidP="0080145C">
            <w:pPr>
              <w:rPr>
                <w:sz w:val="20"/>
                <w:szCs w:val="20"/>
                <w:lang w:val="es-ES"/>
              </w:rPr>
            </w:pPr>
            <w:r w:rsidRPr="007929F5">
              <w:rPr>
                <w:sz w:val="20"/>
                <w:szCs w:val="20"/>
                <w:lang w:val="es-ES"/>
              </w:rPr>
              <w:t xml:space="preserve">Resumen </w:t>
            </w:r>
            <w:r w:rsidR="0080145C">
              <w:rPr>
                <w:sz w:val="20"/>
                <w:szCs w:val="20"/>
                <w:lang w:val="es-ES"/>
              </w:rPr>
              <w:t xml:space="preserve">del número de contratos a asignarse bajo el método de </w:t>
            </w:r>
            <w:r w:rsidR="00887831" w:rsidRPr="007929F5">
              <w:rPr>
                <w:sz w:val="20"/>
                <w:szCs w:val="20"/>
                <w:lang w:val="es-ES"/>
              </w:rPr>
              <w:t>SBCC</w:t>
            </w:r>
          </w:p>
        </w:tc>
        <w:tc>
          <w:tcPr>
            <w:tcW w:w="1134" w:type="dxa"/>
            <w:tcBorders>
              <w:top w:val="single" w:sz="4" w:space="0" w:color="auto"/>
              <w:left w:val="single" w:sz="4" w:space="0" w:color="auto"/>
              <w:bottom w:val="single" w:sz="4" w:space="0" w:color="auto"/>
              <w:right w:val="single" w:sz="4" w:space="0" w:color="auto"/>
            </w:tcBorders>
          </w:tcPr>
          <w:p w:rsidR="00C57A0F" w:rsidRPr="007929F5" w:rsidRDefault="00DE7C07" w:rsidP="00A14F78">
            <w:pPr>
              <w:jc w:val="center"/>
              <w:rPr>
                <w:sz w:val="20"/>
                <w:szCs w:val="20"/>
                <w:lang w:val="es-ES"/>
              </w:rPr>
            </w:pPr>
            <w:r w:rsidRPr="007929F5">
              <w:rPr>
                <w:sz w:val="20"/>
                <w:szCs w:val="20"/>
                <w:lang w:val="es-ES"/>
              </w:rPr>
              <w:t>1</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57A0F" w:rsidRPr="007929F5" w:rsidRDefault="00DE7C07" w:rsidP="00A14F78">
            <w:pPr>
              <w:jc w:val="center"/>
              <w:rPr>
                <w:sz w:val="20"/>
                <w:szCs w:val="20"/>
                <w:lang w:val="es-ES"/>
              </w:rPr>
            </w:pPr>
            <w:r w:rsidRPr="007929F5">
              <w:rPr>
                <w:sz w:val="20"/>
                <w:szCs w:val="20"/>
                <w:lang w:val="es-ES"/>
              </w:rPr>
              <w:t>0,084</w:t>
            </w:r>
          </w:p>
        </w:tc>
      </w:tr>
      <w:tr w:rsidR="00C57A0F" w:rsidRPr="007929F5" w:rsidTr="00074A91">
        <w:trPr>
          <w:trHeight w:val="457"/>
          <w:jc w:val="center"/>
        </w:trPr>
        <w:tc>
          <w:tcPr>
            <w:tcW w:w="929" w:type="dxa"/>
            <w:tcBorders>
              <w:top w:val="single" w:sz="4" w:space="0" w:color="auto"/>
              <w:left w:val="single" w:sz="4" w:space="0" w:color="auto"/>
              <w:bottom w:val="single" w:sz="4" w:space="0" w:color="auto"/>
              <w:right w:val="single" w:sz="4" w:space="0" w:color="auto"/>
            </w:tcBorders>
            <w:shd w:val="clear" w:color="auto" w:fill="auto"/>
            <w:hideMark/>
          </w:tcPr>
          <w:p w:rsidR="00C57A0F" w:rsidRPr="007929F5" w:rsidRDefault="00DE7C07" w:rsidP="00A14F78">
            <w:pPr>
              <w:jc w:val="center"/>
              <w:rPr>
                <w:sz w:val="20"/>
                <w:szCs w:val="20"/>
                <w:lang w:val="es-ES"/>
              </w:rPr>
            </w:pPr>
            <w:r w:rsidRPr="007929F5">
              <w:rPr>
                <w:sz w:val="20"/>
                <w:szCs w:val="20"/>
                <w:lang w:val="es-ES"/>
              </w:rPr>
              <w:t>2</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C57A0F" w:rsidRPr="007929F5" w:rsidRDefault="0080145C" w:rsidP="00A14F78">
            <w:pPr>
              <w:rPr>
                <w:sz w:val="20"/>
                <w:szCs w:val="20"/>
                <w:lang w:val="es-ES"/>
              </w:rPr>
            </w:pPr>
            <w:r w:rsidRPr="0080145C">
              <w:rPr>
                <w:sz w:val="20"/>
                <w:szCs w:val="20"/>
                <w:lang w:val="es-ES"/>
              </w:rPr>
              <w:t xml:space="preserve">Resumen del número de contratos a asignarse bajo el método de </w:t>
            </w:r>
            <w:r w:rsidR="00AB5E1A" w:rsidRPr="007929F5">
              <w:rPr>
                <w:sz w:val="20"/>
                <w:szCs w:val="20"/>
                <w:lang w:val="es-ES"/>
              </w:rPr>
              <w:t>SBMC</w:t>
            </w:r>
          </w:p>
        </w:tc>
        <w:tc>
          <w:tcPr>
            <w:tcW w:w="1134" w:type="dxa"/>
            <w:tcBorders>
              <w:top w:val="single" w:sz="4" w:space="0" w:color="auto"/>
              <w:left w:val="single" w:sz="4" w:space="0" w:color="auto"/>
              <w:bottom w:val="single" w:sz="4" w:space="0" w:color="auto"/>
              <w:right w:val="single" w:sz="4" w:space="0" w:color="auto"/>
            </w:tcBorders>
          </w:tcPr>
          <w:p w:rsidR="00C57A0F" w:rsidRPr="007929F5" w:rsidRDefault="00DE7C07" w:rsidP="00A14F78">
            <w:pPr>
              <w:jc w:val="center"/>
              <w:rPr>
                <w:sz w:val="20"/>
                <w:szCs w:val="20"/>
                <w:lang w:val="es-ES"/>
              </w:rPr>
            </w:pPr>
            <w:r w:rsidRPr="007929F5">
              <w:rPr>
                <w:sz w:val="20"/>
                <w:szCs w:val="20"/>
                <w:lang w:val="es-ES"/>
              </w:rPr>
              <w:t>2</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C57A0F" w:rsidRPr="007929F5" w:rsidRDefault="00DE7C07" w:rsidP="00A14F78">
            <w:pPr>
              <w:jc w:val="center"/>
              <w:rPr>
                <w:sz w:val="20"/>
                <w:szCs w:val="20"/>
                <w:lang w:val="es-ES"/>
              </w:rPr>
            </w:pPr>
            <w:r w:rsidRPr="007929F5">
              <w:rPr>
                <w:sz w:val="20"/>
                <w:szCs w:val="20"/>
                <w:lang w:val="es-ES"/>
              </w:rPr>
              <w:t>0,088</w:t>
            </w:r>
          </w:p>
        </w:tc>
      </w:tr>
      <w:tr w:rsidR="00DE7C07" w:rsidRPr="007929F5" w:rsidTr="00074A91">
        <w:trPr>
          <w:trHeight w:val="457"/>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DE7C07" w:rsidRPr="007929F5" w:rsidRDefault="00DE7C07" w:rsidP="00A14F78">
            <w:pPr>
              <w:jc w:val="center"/>
              <w:rPr>
                <w:sz w:val="20"/>
                <w:szCs w:val="20"/>
                <w:lang w:val="es-ES"/>
              </w:rPr>
            </w:pPr>
            <w:r w:rsidRPr="007929F5">
              <w:rPr>
                <w:sz w:val="20"/>
                <w:szCs w:val="20"/>
                <w:lang w:val="es-ES"/>
              </w:rPr>
              <w:t>3</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DE7C07" w:rsidRPr="007929F5" w:rsidRDefault="0080145C" w:rsidP="0080145C">
            <w:pPr>
              <w:rPr>
                <w:sz w:val="20"/>
                <w:szCs w:val="20"/>
                <w:lang w:val="es-ES"/>
              </w:rPr>
            </w:pPr>
            <w:r w:rsidRPr="0080145C">
              <w:rPr>
                <w:sz w:val="20"/>
                <w:szCs w:val="20"/>
                <w:lang w:val="es-ES"/>
              </w:rPr>
              <w:t xml:space="preserve">Resumen del número de contratos </w:t>
            </w:r>
            <w:r>
              <w:rPr>
                <w:sz w:val="20"/>
                <w:szCs w:val="20"/>
                <w:lang w:val="es-ES"/>
              </w:rPr>
              <w:t xml:space="preserve">para </w:t>
            </w:r>
            <w:r w:rsidR="00DE7C07" w:rsidRPr="007929F5">
              <w:rPr>
                <w:sz w:val="20"/>
                <w:szCs w:val="20"/>
                <w:lang w:val="es-ES"/>
              </w:rPr>
              <w:t>IC</w:t>
            </w:r>
          </w:p>
        </w:tc>
        <w:tc>
          <w:tcPr>
            <w:tcW w:w="1134" w:type="dxa"/>
            <w:tcBorders>
              <w:top w:val="single" w:sz="4" w:space="0" w:color="auto"/>
              <w:left w:val="single" w:sz="4" w:space="0" w:color="auto"/>
              <w:bottom w:val="single" w:sz="4" w:space="0" w:color="auto"/>
              <w:right w:val="single" w:sz="4" w:space="0" w:color="auto"/>
            </w:tcBorders>
          </w:tcPr>
          <w:p w:rsidR="00DE7C07" w:rsidRPr="007929F5" w:rsidRDefault="00DE7C07" w:rsidP="00A14F78">
            <w:pPr>
              <w:jc w:val="center"/>
              <w:rPr>
                <w:sz w:val="20"/>
                <w:szCs w:val="20"/>
                <w:lang w:val="es-ES"/>
              </w:rPr>
            </w:pPr>
            <w:r w:rsidRPr="007929F5">
              <w:rPr>
                <w:sz w:val="20"/>
                <w:szCs w:val="20"/>
                <w:lang w:val="es-ES"/>
              </w:rPr>
              <w:t>137</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E7C07" w:rsidRPr="007929F5" w:rsidRDefault="00DE7C07" w:rsidP="00A14F78">
            <w:pPr>
              <w:jc w:val="center"/>
              <w:rPr>
                <w:sz w:val="20"/>
                <w:szCs w:val="20"/>
                <w:lang w:val="es-ES"/>
              </w:rPr>
            </w:pPr>
            <w:r w:rsidRPr="007929F5">
              <w:rPr>
                <w:sz w:val="20"/>
                <w:szCs w:val="20"/>
                <w:lang w:val="es-ES"/>
              </w:rPr>
              <w:t>6,807</w:t>
            </w:r>
          </w:p>
        </w:tc>
      </w:tr>
      <w:tr w:rsidR="00DE7C07" w:rsidRPr="002776C2" w:rsidTr="00074A91">
        <w:trPr>
          <w:trHeight w:val="457"/>
          <w:jc w:val="center"/>
        </w:trPr>
        <w:tc>
          <w:tcPr>
            <w:tcW w:w="929" w:type="dxa"/>
            <w:tcBorders>
              <w:top w:val="single" w:sz="4" w:space="0" w:color="auto"/>
              <w:left w:val="single" w:sz="4" w:space="0" w:color="auto"/>
              <w:bottom w:val="single" w:sz="4" w:space="0" w:color="auto"/>
              <w:right w:val="single" w:sz="4" w:space="0" w:color="auto"/>
            </w:tcBorders>
            <w:shd w:val="clear" w:color="auto" w:fill="auto"/>
          </w:tcPr>
          <w:p w:rsidR="00DE7C07" w:rsidRPr="002776C2" w:rsidRDefault="00DE7C07" w:rsidP="00A14F78">
            <w:pPr>
              <w:jc w:val="center"/>
              <w:rPr>
                <w:sz w:val="20"/>
                <w:szCs w:val="20"/>
                <w:lang w:val="es-ES"/>
              </w:rPr>
            </w:pPr>
            <w:r w:rsidRPr="002776C2">
              <w:rPr>
                <w:sz w:val="20"/>
                <w:szCs w:val="20"/>
                <w:lang w:val="es-ES"/>
              </w:rPr>
              <w:t>4</w:t>
            </w:r>
          </w:p>
        </w:tc>
        <w:tc>
          <w:tcPr>
            <w:tcW w:w="3981" w:type="dxa"/>
            <w:tcBorders>
              <w:top w:val="single" w:sz="4" w:space="0" w:color="auto"/>
              <w:left w:val="single" w:sz="4" w:space="0" w:color="auto"/>
              <w:bottom w:val="single" w:sz="4" w:space="0" w:color="auto"/>
              <w:right w:val="single" w:sz="4" w:space="0" w:color="auto"/>
            </w:tcBorders>
            <w:shd w:val="clear" w:color="auto" w:fill="auto"/>
          </w:tcPr>
          <w:p w:rsidR="00DE7C07" w:rsidRPr="002776C2" w:rsidRDefault="0080145C" w:rsidP="00A14F78">
            <w:pPr>
              <w:rPr>
                <w:sz w:val="20"/>
                <w:szCs w:val="20"/>
                <w:lang w:val="es-ES"/>
              </w:rPr>
            </w:pPr>
            <w:r w:rsidRPr="0080145C">
              <w:rPr>
                <w:sz w:val="20"/>
                <w:szCs w:val="20"/>
                <w:lang w:val="es-ES"/>
              </w:rPr>
              <w:t xml:space="preserve">Resumen del número de contratos a asignarse bajo el método de </w:t>
            </w:r>
            <w:r w:rsidR="00FA2A8D" w:rsidRPr="00FA2A8D">
              <w:rPr>
                <w:sz w:val="20"/>
                <w:szCs w:val="20"/>
                <w:lang w:val="es-NI"/>
              </w:rPr>
              <w:t xml:space="preserve">Contratistas de Prestación de </w:t>
            </w:r>
            <w:r w:rsidR="00FA2A8D" w:rsidRPr="00FA2A8D">
              <w:rPr>
                <w:sz w:val="20"/>
                <w:szCs w:val="20"/>
                <w:lang w:val="es-ES"/>
              </w:rPr>
              <w:t>Servicios</w:t>
            </w:r>
          </w:p>
        </w:tc>
        <w:tc>
          <w:tcPr>
            <w:tcW w:w="1134" w:type="dxa"/>
            <w:tcBorders>
              <w:top w:val="single" w:sz="4" w:space="0" w:color="auto"/>
              <w:left w:val="single" w:sz="4" w:space="0" w:color="auto"/>
              <w:bottom w:val="single" w:sz="4" w:space="0" w:color="auto"/>
              <w:right w:val="single" w:sz="4" w:space="0" w:color="auto"/>
            </w:tcBorders>
          </w:tcPr>
          <w:p w:rsidR="00DE7C07" w:rsidRPr="002776C2" w:rsidRDefault="00DE7C07" w:rsidP="00A14F78">
            <w:pPr>
              <w:jc w:val="center"/>
              <w:rPr>
                <w:sz w:val="20"/>
                <w:szCs w:val="20"/>
                <w:lang w:val="es-ES"/>
              </w:rPr>
            </w:pPr>
            <w:r w:rsidRPr="002776C2">
              <w:rPr>
                <w:sz w:val="20"/>
                <w:szCs w:val="20"/>
                <w:lang w:val="es-ES"/>
              </w:rPr>
              <w:t>472</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E7C07" w:rsidRPr="002776C2" w:rsidRDefault="00DE7C07" w:rsidP="00A14F78">
            <w:pPr>
              <w:jc w:val="center"/>
              <w:rPr>
                <w:sz w:val="20"/>
                <w:szCs w:val="20"/>
                <w:lang w:val="es-ES"/>
              </w:rPr>
            </w:pPr>
            <w:r w:rsidRPr="002776C2">
              <w:rPr>
                <w:sz w:val="20"/>
                <w:szCs w:val="20"/>
                <w:lang w:val="es-ES"/>
              </w:rPr>
              <w:t>5,980</w:t>
            </w:r>
          </w:p>
        </w:tc>
      </w:tr>
    </w:tbl>
    <w:p w:rsidR="00C57A0F" w:rsidRPr="00C34478" w:rsidRDefault="00C57A0F" w:rsidP="00C57A0F">
      <w:pPr>
        <w:rPr>
          <w:bCs/>
          <w:sz w:val="20"/>
          <w:szCs w:val="20"/>
          <w:lang w:val="es-ES"/>
        </w:rPr>
      </w:pPr>
    </w:p>
    <w:p w:rsidR="00C34478" w:rsidRPr="00074A91" w:rsidRDefault="00C34478" w:rsidP="00F91221">
      <w:pPr>
        <w:pStyle w:val="ListParagraph"/>
        <w:numPr>
          <w:ilvl w:val="0"/>
          <w:numId w:val="24"/>
        </w:numPr>
        <w:autoSpaceDE w:val="0"/>
        <w:autoSpaceDN w:val="0"/>
        <w:adjustRightInd w:val="0"/>
        <w:ind w:left="1710" w:hanging="540"/>
        <w:jc w:val="both"/>
        <w:rPr>
          <w:sz w:val="23"/>
          <w:szCs w:val="23"/>
          <w:lang w:val="es-ES"/>
        </w:rPr>
      </w:pPr>
      <w:r w:rsidRPr="00074A91">
        <w:rPr>
          <w:sz w:val="23"/>
          <w:szCs w:val="23"/>
          <w:lang w:val="es-ES"/>
        </w:rPr>
        <w:t>Además de la supervisión de revisión a priori que realizarán las oficinas del Banco Mundial, la evaluación de la capacidad de la entidad ejecutora recomienda organizar misiones de supervisión semestral de campo para hacer revisiones a posteriori de las transacciones de adquisición.  El tamaño de la muestra no debe ser menor de 1 por cada 10 contratos.</w:t>
      </w:r>
    </w:p>
    <w:p w:rsidR="00C57A0F" w:rsidRPr="00074A91" w:rsidRDefault="00C57A0F" w:rsidP="00C57A0F">
      <w:pPr>
        <w:rPr>
          <w:sz w:val="23"/>
          <w:szCs w:val="23"/>
          <w:lang w:val="es-ES"/>
        </w:rPr>
      </w:pPr>
    </w:p>
    <w:p w:rsidR="00C57A0F" w:rsidRDefault="008157F4" w:rsidP="00F91221">
      <w:pPr>
        <w:pStyle w:val="ListParagraph"/>
        <w:numPr>
          <w:ilvl w:val="0"/>
          <w:numId w:val="58"/>
        </w:numPr>
        <w:jc w:val="both"/>
        <w:rPr>
          <w:sz w:val="23"/>
          <w:szCs w:val="23"/>
          <w:lang w:val="es-ES"/>
        </w:rPr>
      </w:pPr>
      <w:r w:rsidRPr="00074A91">
        <w:rPr>
          <w:b/>
          <w:bCs/>
          <w:sz w:val="23"/>
          <w:szCs w:val="23"/>
          <w:lang w:val="es-ES"/>
        </w:rPr>
        <w:t xml:space="preserve">Componente Contingente de Respuestas a Emergencias </w:t>
      </w:r>
      <w:r w:rsidR="008C7023" w:rsidRPr="00074A91">
        <w:rPr>
          <w:bCs/>
          <w:sz w:val="23"/>
          <w:szCs w:val="23"/>
          <w:lang w:val="es-ES"/>
        </w:rPr>
        <w:t>(</w:t>
      </w:r>
      <w:r w:rsidR="004E78BC" w:rsidRPr="00074A91">
        <w:rPr>
          <w:bCs/>
          <w:sz w:val="23"/>
          <w:szCs w:val="23"/>
          <w:lang w:val="es-ES"/>
        </w:rPr>
        <w:t xml:space="preserve">CERC – </w:t>
      </w:r>
      <w:r w:rsidR="00237729" w:rsidRPr="00074A91">
        <w:rPr>
          <w:bCs/>
          <w:sz w:val="23"/>
          <w:szCs w:val="23"/>
          <w:lang w:val="es-ES"/>
        </w:rPr>
        <w:t>Componente</w:t>
      </w:r>
      <w:r w:rsidR="008C7023" w:rsidRPr="00074A91">
        <w:rPr>
          <w:sz w:val="23"/>
          <w:szCs w:val="23"/>
          <w:lang w:val="es-ES"/>
        </w:rPr>
        <w:t xml:space="preserve"> 5). </w:t>
      </w:r>
      <w:r w:rsidRPr="00074A91">
        <w:rPr>
          <w:sz w:val="23"/>
          <w:szCs w:val="23"/>
          <w:lang w:val="es-ES"/>
        </w:rPr>
        <w:t>Este</w:t>
      </w:r>
      <w:r w:rsidR="00F97F25">
        <w:rPr>
          <w:sz w:val="23"/>
          <w:szCs w:val="23"/>
          <w:lang w:val="es-ES"/>
        </w:rPr>
        <w:t xml:space="preserve"> </w:t>
      </w:r>
      <w:r w:rsidR="00E601F4" w:rsidRPr="00074A91">
        <w:rPr>
          <w:sz w:val="23"/>
          <w:szCs w:val="23"/>
          <w:lang w:val="es-ES"/>
        </w:rPr>
        <w:t>componente financiará los gastos públicos y privados de una lista positiva de bienes nacionales e importados y/u obras, bienes, servicios (incluyendo costos de auditoría). Los procedimientos de adquisición que se aplicarán a dichos gastos a</w:t>
      </w:r>
      <w:r w:rsidR="0071276A" w:rsidRPr="00074A91">
        <w:rPr>
          <w:sz w:val="23"/>
          <w:szCs w:val="23"/>
          <w:lang w:val="es-ES"/>
        </w:rPr>
        <w:t xml:space="preserve">parecen </w:t>
      </w:r>
      <w:r w:rsidR="00E601F4" w:rsidRPr="00074A91">
        <w:rPr>
          <w:sz w:val="23"/>
          <w:szCs w:val="23"/>
          <w:lang w:val="es-ES"/>
        </w:rPr>
        <w:t>explicado</w:t>
      </w:r>
      <w:r w:rsidR="0071276A" w:rsidRPr="00074A91">
        <w:rPr>
          <w:sz w:val="23"/>
          <w:szCs w:val="23"/>
          <w:lang w:val="es-ES"/>
        </w:rPr>
        <w:t>s en detalle en un Manual Operativo específico que deberá contar con la no objeción del Banco Mundial y es una condición fundamental para proceder con los desembolsos correspondientes a este Componente.</w:t>
      </w:r>
    </w:p>
    <w:p w:rsidR="00F702EF" w:rsidRPr="00074A91" w:rsidRDefault="00F702EF" w:rsidP="00F702EF">
      <w:pPr>
        <w:pStyle w:val="ListParagraph"/>
        <w:jc w:val="both"/>
        <w:rPr>
          <w:sz w:val="23"/>
          <w:szCs w:val="23"/>
          <w:lang w:val="es-ES"/>
        </w:rPr>
      </w:pPr>
    </w:p>
    <w:p w:rsidR="00D753CC" w:rsidRPr="00074A91" w:rsidRDefault="008D01B9" w:rsidP="00D753CC">
      <w:pPr>
        <w:pStyle w:val="ListParagraph"/>
        <w:spacing w:after="200" w:line="276" w:lineRule="auto"/>
        <w:ind w:left="0"/>
        <w:rPr>
          <w:b/>
          <w:sz w:val="23"/>
          <w:szCs w:val="23"/>
          <w:u w:val="single"/>
          <w:lang w:val="es-ES"/>
        </w:rPr>
      </w:pPr>
      <w:r w:rsidRPr="00074A91">
        <w:rPr>
          <w:b/>
          <w:sz w:val="23"/>
          <w:szCs w:val="23"/>
          <w:lang w:val="es-ES"/>
        </w:rPr>
        <w:t>IV.</w:t>
      </w:r>
      <w:r w:rsidRPr="00074A91">
        <w:rPr>
          <w:b/>
          <w:sz w:val="23"/>
          <w:szCs w:val="23"/>
          <w:lang w:val="es-ES"/>
        </w:rPr>
        <w:tab/>
      </w:r>
      <w:r w:rsidR="00F34A20" w:rsidRPr="00074A91">
        <w:rPr>
          <w:b/>
          <w:sz w:val="23"/>
          <w:szCs w:val="23"/>
          <w:u w:val="single"/>
          <w:lang w:val="es-ES"/>
        </w:rPr>
        <w:t>Aspect</w:t>
      </w:r>
      <w:r w:rsidR="0071276A" w:rsidRPr="00074A91">
        <w:rPr>
          <w:b/>
          <w:sz w:val="23"/>
          <w:szCs w:val="23"/>
          <w:u w:val="single"/>
          <w:lang w:val="es-ES"/>
        </w:rPr>
        <w:t>os Ambientales y Sociale</w:t>
      </w:r>
      <w:r w:rsidR="00F34A20" w:rsidRPr="00074A91">
        <w:rPr>
          <w:b/>
          <w:sz w:val="23"/>
          <w:szCs w:val="23"/>
          <w:u w:val="single"/>
          <w:lang w:val="es-ES"/>
        </w:rPr>
        <w:t>s</w:t>
      </w:r>
      <w:r w:rsidR="00F97F25">
        <w:rPr>
          <w:b/>
          <w:sz w:val="23"/>
          <w:szCs w:val="23"/>
          <w:u w:val="single"/>
          <w:lang w:val="es-ES"/>
        </w:rPr>
        <w:t xml:space="preserve"> </w:t>
      </w:r>
      <w:r w:rsidR="00D753CC" w:rsidRPr="00074A91">
        <w:rPr>
          <w:b/>
          <w:sz w:val="23"/>
          <w:szCs w:val="23"/>
          <w:u w:val="single"/>
          <w:lang w:val="es-ES"/>
        </w:rPr>
        <w:t>(inclu</w:t>
      </w:r>
      <w:r w:rsidR="00F702EF">
        <w:rPr>
          <w:b/>
          <w:sz w:val="23"/>
          <w:szCs w:val="23"/>
          <w:u w:val="single"/>
          <w:lang w:val="es-ES"/>
        </w:rPr>
        <w:t>yendo</w:t>
      </w:r>
      <w:r w:rsidR="0071276A" w:rsidRPr="00074A91">
        <w:rPr>
          <w:b/>
          <w:sz w:val="23"/>
          <w:szCs w:val="23"/>
          <w:u w:val="single"/>
          <w:lang w:val="es-ES"/>
        </w:rPr>
        <w:t xml:space="preserve"> </w:t>
      </w:r>
      <w:r w:rsidR="003D2A18" w:rsidRPr="00074A91">
        <w:rPr>
          <w:b/>
          <w:sz w:val="23"/>
          <w:szCs w:val="23"/>
          <w:u w:val="single"/>
          <w:lang w:val="es-ES"/>
        </w:rPr>
        <w:t>salvaguardas</w:t>
      </w:r>
      <w:r w:rsidR="00D753CC" w:rsidRPr="00074A91">
        <w:rPr>
          <w:b/>
          <w:sz w:val="23"/>
          <w:szCs w:val="23"/>
          <w:u w:val="single"/>
          <w:lang w:val="es-ES"/>
        </w:rPr>
        <w:t>)</w:t>
      </w:r>
    </w:p>
    <w:p w:rsidR="00D753CC" w:rsidRPr="00074A91" w:rsidRDefault="00D753CC" w:rsidP="00D753CC">
      <w:pPr>
        <w:pStyle w:val="ListParagraph"/>
        <w:tabs>
          <w:tab w:val="left" w:pos="540"/>
        </w:tabs>
        <w:ind w:left="90"/>
        <w:rPr>
          <w:b/>
          <w:bCs/>
          <w:sz w:val="23"/>
          <w:szCs w:val="23"/>
          <w:lang w:val="es-ES"/>
        </w:rPr>
      </w:pPr>
    </w:p>
    <w:p w:rsidR="00287353" w:rsidRPr="00074A91" w:rsidRDefault="0071276A" w:rsidP="00287353">
      <w:pPr>
        <w:numPr>
          <w:ilvl w:val="0"/>
          <w:numId w:val="18"/>
        </w:numPr>
        <w:jc w:val="both"/>
        <w:rPr>
          <w:sz w:val="23"/>
          <w:szCs w:val="23"/>
          <w:lang w:val="es-ES"/>
        </w:rPr>
      </w:pPr>
      <w:r w:rsidRPr="00074A91">
        <w:rPr>
          <w:sz w:val="23"/>
          <w:szCs w:val="23"/>
          <w:lang w:val="es-ES"/>
        </w:rPr>
        <w:t xml:space="preserve">El Proyecto está diseñado para cumplir </w:t>
      </w:r>
      <w:r w:rsidR="00287353" w:rsidRPr="00074A91">
        <w:rPr>
          <w:sz w:val="23"/>
          <w:szCs w:val="23"/>
          <w:lang w:val="es-ES"/>
        </w:rPr>
        <w:t>de lleno con los contenidos y</w:t>
      </w:r>
      <w:r w:rsidR="007A1A99">
        <w:rPr>
          <w:sz w:val="23"/>
          <w:szCs w:val="23"/>
          <w:lang w:val="es-ES"/>
        </w:rPr>
        <w:t xml:space="preserve"> </w:t>
      </w:r>
      <w:r w:rsidR="00A7778B" w:rsidRPr="00074A91">
        <w:rPr>
          <w:sz w:val="23"/>
          <w:szCs w:val="23"/>
          <w:lang w:val="es-ES"/>
        </w:rPr>
        <w:t>objetivo</w:t>
      </w:r>
      <w:r w:rsidR="00D753CC" w:rsidRPr="00074A91">
        <w:rPr>
          <w:sz w:val="23"/>
          <w:szCs w:val="23"/>
          <w:lang w:val="es-ES"/>
        </w:rPr>
        <w:t xml:space="preserve">s </w:t>
      </w:r>
      <w:r w:rsidR="00287353" w:rsidRPr="00074A91">
        <w:rPr>
          <w:sz w:val="23"/>
          <w:szCs w:val="23"/>
          <w:lang w:val="es-ES"/>
        </w:rPr>
        <w:t>de las salvaguardas pertinentes del Banco Mundial, entre ellas</w:t>
      </w:r>
      <w:r w:rsidR="00161EAB" w:rsidRPr="00074A91">
        <w:rPr>
          <w:sz w:val="23"/>
          <w:szCs w:val="23"/>
          <w:lang w:val="es-ES"/>
        </w:rPr>
        <w:t xml:space="preserve">: </w:t>
      </w:r>
      <w:r w:rsidR="00287353" w:rsidRPr="00074A91">
        <w:rPr>
          <w:sz w:val="23"/>
          <w:szCs w:val="23"/>
          <w:lang w:val="es-ES"/>
        </w:rPr>
        <w:t xml:space="preserve">Estudio Ambiental (OP 4.01), Hábitats Naturales (OP 4.04), </w:t>
      </w:r>
      <w:r w:rsidR="0084658A" w:rsidRPr="00074A91">
        <w:rPr>
          <w:sz w:val="23"/>
          <w:szCs w:val="23"/>
          <w:lang w:val="es-ES"/>
        </w:rPr>
        <w:t xml:space="preserve">Bosques (OP 4.36). </w:t>
      </w:r>
      <w:r w:rsidR="00287353" w:rsidRPr="00074A91">
        <w:rPr>
          <w:sz w:val="23"/>
          <w:szCs w:val="23"/>
          <w:lang w:val="es-ES"/>
        </w:rPr>
        <w:t>Patrimonio Cultural Tangible (OP 4.11)</w:t>
      </w:r>
      <w:r w:rsidR="0084658A" w:rsidRPr="00074A91">
        <w:rPr>
          <w:sz w:val="23"/>
          <w:szCs w:val="23"/>
          <w:lang w:val="es-ES"/>
        </w:rPr>
        <w:t xml:space="preserve">, Pueblos Indígenas (OP/BP 4.10) y Reasentamiento Involuntario (OP/BP 4.12) </w:t>
      </w:r>
      <w:r w:rsidR="002D6828" w:rsidRPr="00074A91">
        <w:rPr>
          <w:sz w:val="23"/>
          <w:szCs w:val="23"/>
          <w:lang w:val="es-ES"/>
        </w:rPr>
        <w:t xml:space="preserve">–y guardan relación específica con la posible restricción del acceso a los recursos naturales durante la demarcación de las áreas protegidas.  </w:t>
      </w:r>
      <w:r w:rsidR="00287353" w:rsidRPr="00074A91">
        <w:rPr>
          <w:sz w:val="23"/>
          <w:szCs w:val="23"/>
          <w:lang w:val="es-ES"/>
        </w:rPr>
        <w:t xml:space="preserve">De conformidad con la Política de </w:t>
      </w:r>
      <w:r w:rsidR="00955736" w:rsidRPr="00074A91">
        <w:rPr>
          <w:sz w:val="23"/>
          <w:szCs w:val="23"/>
          <w:lang w:val="es-ES"/>
        </w:rPr>
        <w:t>Acceso a la</w:t>
      </w:r>
      <w:r w:rsidR="00287353" w:rsidRPr="00074A91">
        <w:rPr>
          <w:sz w:val="23"/>
          <w:szCs w:val="23"/>
          <w:lang w:val="es-ES"/>
        </w:rPr>
        <w:t xml:space="preserve"> Información </w:t>
      </w:r>
      <w:r w:rsidR="00955736" w:rsidRPr="00074A91">
        <w:rPr>
          <w:sz w:val="23"/>
          <w:szCs w:val="23"/>
          <w:lang w:val="es-ES"/>
        </w:rPr>
        <w:t xml:space="preserve">Pública </w:t>
      </w:r>
      <w:r w:rsidR="00287353" w:rsidRPr="00074A91">
        <w:rPr>
          <w:sz w:val="23"/>
          <w:szCs w:val="23"/>
          <w:lang w:val="es-ES"/>
        </w:rPr>
        <w:t>de</w:t>
      </w:r>
      <w:r w:rsidR="00E42EEC">
        <w:rPr>
          <w:sz w:val="23"/>
          <w:szCs w:val="23"/>
          <w:lang w:val="es-ES"/>
        </w:rPr>
        <w:t xml:space="preserve"> </w:t>
      </w:r>
      <w:r w:rsidR="00287353" w:rsidRPr="00074A91">
        <w:rPr>
          <w:sz w:val="23"/>
          <w:szCs w:val="23"/>
          <w:lang w:val="es-ES"/>
        </w:rPr>
        <w:t>l</w:t>
      </w:r>
      <w:r w:rsidR="00291CB6" w:rsidRPr="00074A91">
        <w:rPr>
          <w:sz w:val="23"/>
          <w:szCs w:val="23"/>
          <w:lang w:val="es-ES"/>
        </w:rPr>
        <w:t>a AIF</w:t>
      </w:r>
      <w:r w:rsidR="00287353" w:rsidRPr="00074A91">
        <w:rPr>
          <w:sz w:val="23"/>
          <w:szCs w:val="23"/>
          <w:lang w:val="es-ES"/>
        </w:rPr>
        <w:t xml:space="preserve"> (BP 17.50),  </w:t>
      </w:r>
      <w:r w:rsidR="00291CB6" w:rsidRPr="00074A91">
        <w:rPr>
          <w:sz w:val="23"/>
          <w:szCs w:val="23"/>
          <w:lang w:val="es-ES"/>
        </w:rPr>
        <w:t>toda la documentación requerida de las salvaguardas como el</w:t>
      </w:r>
      <w:r w:rsidR="00E42EEC">
        <w:rPr>
          <w:sz w:val="23"/>
          <w:szCs w:val="23"/>
          <w:lang w:val="es-ES"/>
        </w:rPr>
        <w:t xml:space="preserve"> </w:t>
      </w:r>
      <w:r w:rsidR="00287353" w:rsidRPr="00074A91">
        <w:rPr>
          <w:sz w:val="23"/>
          <w:szCs w:val="23"/>
          <w:lang w:val="es-ES"/>
        </w:rPr>
        <w:t>EA</w:t>
      </w:r>
      <w:r w:rsidR="00291CB6" w:rsidRPr="00074A91">
        <w:rPr>
          <w:sz w:val="23"/>
          <w:szCs w:val="23"/>
          <w:lang w:val="es-ES"/>
        </w:rPr>
        <w:t>,</w:t>
      </w:r>
      <w:r w:rsidR="00287353" w:rsidRPr="00074A91">
        <w:rPr>
          <w:sz w:val="23"/>
          <w:szCs w:val="23"/>
          <w:lang w:val="es-ES"/>
        </w:rPr>
        <w:t xml:space="preserve"> el PGA</w:t>
      </w:r>
      <w:r w:rsidR="00291CB6" w:rsidRPr="00074A91">
        <w:rPr>
          <w:sz w:val="23"/>
          <w:szCs w:val="23"/>
          <w:lang w:val="es-ES"/>
        </w:rPr>
        <w:t>, el PPI y el marco procesal</w:t>
      </w:r>
      <w:r w:rsidR="00287353" w:rsidRPr="00074A91">
        <w:rPr>
          <w:sz w:val="23"/>
          <w:szCs w:val="23"/>
          <w:lang w:val="es-ES"/>
        </w:rPr>
        <w:t xml:space="preserve"> fueron dados a conocer en los sitios web del país y del Banco Mundial el 27 de diciembre del 2012. </w:t>
      </w:r>
      <w:r w:rsidR="00E42EEC">
        <w:rPr>
          <w:sz w:val="23"/>
          <w:szCs w:val="23"/>
          <w:lang w:val="es-ES"/>
        </w:rPr>
        <w:t xml:space="preserve">Estarán disponibles al </w:t>
      </w:r>
      <w:r w:rsidR="001671F2" w:rsidRPr="00074A91">
        <w:rPr>
          <w:sz w:val="23"/>
          <w:szCs w:val="23"/>
          <w:lang w:val="es-ES"/>
        </w:rPr>
        <w:t>públic</w:t>
      </w:r>
      <w:r w:rsidR="00E42EEC">
        <w:rPr>
          <w:sz w:val="23"/>
          <w:szCs w:val="23"/>
          <w:lang w:val="es-ES"/>
        </w:rPr>
        <w:t>o</w:t>
      </w:r>
      <w:r w:rsidR="001671F2" w:rsidRPr="00074A91">
        <w:rPr>
          <w:sz w:val="23"/>
          <w:szCs w:val="23"/>
          <w:lang w:val="es-ES"/>
        </w:rPr>
        <w:t xml:space="preserve"> las versiones en español de </w:t>
      </w:r>
      <w:r w:rsidR="00287353" w:rsidRPr="00074A91">
        <w:rPr>
          <w:sz w:val="23"/>
          <w:szCs w:val="23"/>
          <w:lang w:val="es-ES"/>
        </w:rPr>
        <w:t>dichos documentos</w:t>
      </w:r>
      <w:r w:rsidR="001671F2" w:rsidRPr="00074A91">
        <w:rPr>
          <w:sz w:val="23"/>
          <w:szCs w:val="23"/>
          <w:lang w:val="es-ES"/>
        </w:rPr>
        <w:t xml:space="preserve"> en las oficinas de la PGR </w:t>
      </w:r>
      <w:r w:rsidR="00287353" w:rsidRPr="00074A91">
        <w:rPr>
          <w:sz w:val="23"/>
          <w:szCs w:val="23"/>
          <w:lang w:val="es-ES"/>
        </w:rPr>
        <w:t>en Managua y en las oficinas regionales de las principales agencias co-ejecutoras.</w:t>
      </w:r>
    </w:p>
    <w:p w:rsidR="00D753CC" w:rsidRPr="001671F2" w:rsidRDefault="00D753CC" w:rsidP="00D753CC">
      <w:pPr>
        <w:jc w:val="both"/>
        <w:rPr>
          <w:lang w:val="es-ES"/>
        </w:rPr>
      </w:pPr>
    </w:p>
    <w:p w:rsidR="00D753CC" w:rsidRPr="001671F2" w:rsidRDefault="00D753CC" w:rsidP="00F91221">
      <w:pPr>
        <w:pStyle w:val="ListParagraph"/>
        <w:numPr>
          <w:ilvl w:val="0"/>
          <w:numId w:val="27"/>
        </w:numPr>
        <w:jc w:val="both"/>
        <w:rPr>
          <w:b/>
          <w:lang w:val="es-ES"/>
        </w:rPr>
      </w:pPr>
      <w:r w:rsidRPr="001671F2">
        <w:rPr>
          <w:b/>
          <w:lang w:val="es-ES"/>
        </w:rPr>
        <w:t>E</w:t>
      </w:r>
      <w:r w:rsidR="001671F2" w:rsidRPr="001671F2">
        <w:rPr>
          <w:b/>
          <w:lang w:val="es-ES"/>
        </w:rPr>
        <w:t xml:space="preserve">studio Ambiental </w:t>
      </w:r>
      <w:r w:rsidRPr="001671F2">
        <w:rPr>
          <w:b/>
          <w:lang w:val="es-ES"/>
        </w:rPr>
        <w:t>(OP</w:t>
      </w:r>
      <w:r w:rsidR="008C7023" w:rsidRPr="001671F2">
        <w:rPr>
          <w:b/>
          <w:lang w:val="es-ES"/>
        </w:rPr>
        <w:t>/BP</w:t>
      </w:r>
      <w:r w:rsidRPr="001671F2">
        <w:rPr>
          <w:b/>
          <w:lang w:val="es-ES"/>
        </w:rPr>
        <w:t xml:space="preserve"> 4.01)</w:t>
      </w:r>
    </w:p>
    <w:p w:rsidR="00D753CC" w:rsidRPr="00074A91" w:rsidRDefault="00D753CC" w:rsidP="00D753CC">
      <w:pPr>
        <w:jc w:val="both"/>
        <w:rPr>
          <w:sz w:val="23"/>
          <w:szCs w:val="23"/>
          <w:lang w:val="es-ES"/>
        </w:rPr>
      </w:pPr>
    </w:p>
    <w:p w:rsidR="005C1B39" w:rsidRPr="00074A91" w:rsidRDefault="009F3769" w:rsidP="00182537">
      <w:pPr>
        <w:pStyle w:val="ListParagraph"/>
        <w:numPr>
          <w:ilvl w:val="0"/>
          <w:numId w:val="18"/>
        </w:numPr>
        <w:jc w:val="both"/>
        <w:rPr>
          <w:sz w:val="23"/>
          <w:szCs w:val="23"/>
          <w:lang w:val="es-ES"/>
        </w:rPr>
      </w:pPr>
      <w:r>
        <w:rPr>
          <w:sz w:val="23"/>
          <w:szCs w:val="23"/>
          <w:lang w:val="es-ES"/>
        </w:rPr>
        <w:t xml:space="preserve">El Proyecto está calificado en </w:t>
      </w:r>
      <w:r w:rsidR="001671F2" w:rsidRPr="00074A91">
        <w:rPr>
          <w:sz w:val="23"/>
          <w:szCs w:val="23"/>
          <w:lang w:val="es-ES"/>
        </w:rPr>
        <w:t xml:space="preserve">Categoría “B” </w:t>
      </w:r>
      <w:r w:rsidR="007061B9" w:rsidRPr="00074A91">
        <w:rPr>
          <w:sz w:val="23"/>
          <w:szCs w:val="23"/>
          <w:lang w:val="es-ES"/>
        </w:rPr>
        <w:t>y requiere la preparación, aprobación y publicación de un EA parcial. Por ende, el Estudio Ambiental (EA) fue elaborado junto con</w:t>
      </w:r>
      <w:r w:rsidR="00E42EEC">
        <w:rPr>
          <w:sz w:val="23"/>
          <w:szCs w:val="23"/>
          <w:lang w:val="es-ES"/>
        </w:rPr>
        <w:t xml:space="preserve"> su respectivo</w:t>
      </w:r>
      <w:r w:rsidR="007061B9" w:rsidRPr="00074A91">
        <w:rPr>
          <w:sz w:val="23"/>
          <w:szCs w:val="23"/>
          <w:lang w:val="es-ES"/>
        </w:rPr>
        <w:t xml:space="preserve"> PGA.  Se hicieron cinco consultas durante el proceso </w:t>
      </w:r>
      <w:r w:rsidR="00E42EEC">
        <w:rPr>
          <w:sz w:val="23"/>
          <w:szCs w:val="23"/>
          <w:lang w:val="es-ES"/>
        </w:rPr>
        <w:t>de</w:t>
      </w:r>
      <w:r w:rsidR="007061B9" w:rsidRPr="00074A91">
        <w:rPr>
          <w:sz w:val="23"/>
          <w:szCs w:val="23"/>
          <w:lang w:val="es-ES"/>
        </w:rPr>
        <w:t xml:space="preserve"> elaboración </w:t>
      </w:r>
      <w:r w:rsidR="00627D17" w:rsidRPr="00074A91">
        <w:rPr>
          <w:sz w:val="23"/>
          <w:szCs w:val="23"/>
          <w:lang w:val="es-ES"/>
        </w:rPr>
        <w:t xml:space="preserve">del estudio y del </w:t>
      </w:r>
      <w:r w:rsidR="00627D17" w:rsidRPr="00074A91">
        <w:rPr>
          <w:sz w:val="23"/>
          <w:szCs w:val="23"/>
          <w:lang w:val="es-ES"/>
        </w:rPr>
        <w:lastRenderedPageBreak/>
        <w:t xml:space="preserve">PGA en octubre y noviembre del 2012 en los siguientes municipios: </w:t>
      </w:r>
      <w:r w:rsidR="00737211" w:rsidRPr="00074A91">
        <w:rPr>
          <w:sz w:val="23"/>
          <w:szCs w:val="23"/>
          <w:lang w:val="es-ES"/>
        </w:rPr>
        <w:t>Ocotal,</w:t>
      </w:r>
      <w:r w:rsidR="00230DC6" w:rsidRPr="00074A91">
        <w:rPr>
          <w:sz w:val="23"/>
          <w:szCs w:val="23"/>
          <w:lang w:val="es-ES"/>
        </w:rPr>
        <w:t xml:space="preserve"> Jinotega</w:t>
      </w:r>
      <w:r w:rsidR="00737211" w:rsidRPr="00074A91">
        <w:rPr>
          <w:sz w:val="23"/>
          <w:szCs w:val="23"/>
          <w:lang w:val="es-ES"/>
        </w:rPr>
        <w:t xml:space="preserve">, </w:t>
      </w:r>
      <w:r w:rsidR="00627D17" w:rsidRPr="00074A91">
        <w:rPr>
          <w:sz w:val="23"/>
          <w:szCs w:val="23"/>
          <w:lang w:val="es-ES"/>
        </w:rPr>
        <w:t xml:space="preserve">Reserva Natural de Dipilto, Reserva Natural de </w:t>
      </w:r>
      <w:r w:rsidR="00230DC6" w:rsidRPr="00074A91">
        <w:rPr>
          <w:sz w:val="23"/>
          <w:szCs w:val="23"/>
          <w:lang w:val="es-ES"/>
        </w:rPr>
        <w:t>Cerros de Yalí, San Sebastián de Yalí</w:t>
      </w:r>
      <w:r w:rsidR="00E42EEC">
        <w:rPr>
          <w:sz w:val="23"/>
          <w:szCs w:val="23"/>
          <w:lang w:val="es-ES"/>
        </w:rPr>
        <w:t xml:space="preserve"> </w:t>
      </w:r>
      <w:r w:rsidR="00FF357C" w:rsidRPr="00074A91">
        <w:rPr>
          <w:sz w:val="23"/>
          <w:szCs w:val="23"/>
          <w:lang w:val="es-ES"/>
        </w:rPr>
        <w:t>y</w:t>
      </w:r>
      <w:r w:rsidR="00E42EEC">
        <w:rPr>
          <w:sz w:val="23"/>
          <w:szCs w:val="23"/>
          <w:lang w:val="es-ES"/>
        </w:rPr>
        <w:t xml:space="preserve"> </w:t>
      </w:r>
      <w:r w:rsidR="00627D17" w:rsidRPr="00074A91">
        <w:rPr>
          <w:sz w:val="23"/>
          <w:szCs w:val="23"/>
          <w:lang w:val="es-ES"/>
        </w:rPr>
        <w:t xml:space="preserve">Reserva Natural de </w:t>
      </w:r>
      <w:r w:rsidR="00B47536" w:rsidRPr="00074A91">
        <w:rPr>
          <w:sz w:val="23"/>
          <w:szCs w:val="23"/>
          <w:lang w:val="es-ES"/>
        </w:rPr>
        <w:t>Datanlí-</w:t>
      </w:r>
      <w:r w:rsidR="00737211" w:rsidRPr="00074A91">
        <w:rPr>
          <w:sz w:val="23"/>
          <w:szCs w:val="23"/>
          <w:lang w:val="es-ES"/>
        </w:rPr>
        <w:t>El Diablo</w:t>
      </w:r>
      <w:r w:rsidR="00230DC6" w:rsidRPr="00074A91">
        <w:rPr>
          <w:sz w:val="23"/>
          <w:szCs w:val="23"/>
          <w:lang w:val="es-ES"/>
        </w:rPr>
        <w:t xml:space="preserve">. </w:t>
      </w:r>
      <w:r w:rsidR="000070F4" w:rsidRPr="00074A91">
        <w:rPr>
          <w:sz w:val="23"/>
          <w:szCs w:val="23"/>
          <w:lang w:val="es-ES"/>
        </w:rPr>
        <w:t xml:space="preserve"> Una amplia gama de actores </w:t>
      </w:r>
      <w:r w:rsidR="00A32BA9" w:rsidRPr="00074A91">
        <w:rPr>
          <w:sz w:val="23"/>
          <w:szCs w:val="23"/>
          <w:lang w:val="es-ES"/>
        </w:rPr>
        <w:t xml:space="preserve">participaron en las consultas, entre ellos el personal de PRODEP, autoridades municipales, personal técnico y ambiental (en particular los especialistas de catastro, </w:t>
      </w:r>
      <w:r w:rsidR="00DF0B42" w:rsidRPr="00074A91">
        <w:rPr>
          <w:sz w:val="23"/>
          <w:szCs w:val="23"/>
          <w:lang w:val="es-ES"/>
        </w:rPr>
        <w:t>registro y medio ambiente)</w:t>
      </w:r>
      <w:r w:rsidR="00182537" w:rsidRPr="00074A91">
        <w:rPr>
          <w:sz w:val="23"/>
          <w:szCs w:val="23"/>
          <w:lang w:val="es-ES"/>
        </w:rPr>
        <w:t>, los comités de gestión colaboradora de las áreas protegidas  y representantes comunitarios.  Los posibles impactos positivos y negativos</w:t>
      </w:r>
      <w:r w:rsidR="00182537" w:rsidRPr="00074A91">
        <w:rPr>
          <w:sz w:val="23"/>
          <w:szCs w:val="23"/>
          <w:lang w:val="es-NI"/>
        </w:rPr>
        <w:t xml:space="preserve">, </w:t>
      </w:r>
      <w:r w:rsidR="00182537" w:rsidRPr="00074A91">
        <w:rPr>
          <w:sz w:val="23"/>
          <w:szCs w:val="23"/>
          <w:lang w:val="es-ES"/>
        </w:rPr>
        <w:t>directos e indirectos fueron identificados y evaluados en el EA a través de la revisión de la información técnica y ambiental compilada a partir de los talleres técnicos y visitas de campo</w:t>
      </w:r>
      <w:r w:rsidR="00C46691" w:rsidRPr="00F702EF">
        <w:rPr>
          <w:sz w:val="23"/>
          <w:szCs w:val="23"/>
          <w:lang w:val="es-ES"/>
        </w:rPr>
        <w:t>.</w:t>
      </w:r>
      <w:r w:rsidR="008206CA">
        <w:rPr>
          <w:rStyle w:val="FootnoteReference"/>
          <w:sz w:val="23"/>
          <w:szCs w:val="23"/>
          <w:lang w:val="es-ES"/>
        </w:rPr>
        <w:footnoteReference w:id="28"/>
      </w:r>
    </w:p>
    <w:p w:rsidR="00D753CC" w:rsidRPr="00074A91" w:rsidRDefault="00D753CC" w:rsidP="00D753CC">
      <w:pPr>
        <w:pStyle w:val="ListParagraph"/>
        <w:ind w:left="0"/>
        <w:jc w:val="both"/>
        <w:rPr>
          <w:sz w:val="23"/>
          <w:szCs w:val="23"/>
          <w:lang w:val="es-ES"/>
        </w:rPr>
      </w:pPr>
    </w:p>
    <w:p w:rsidR="00D753CC" w:rsidRPr="001A4ECD" w:rsidRDefault="001F091E" w:rsidP="00D753CC">
      <w:pPr>
        <w:pStyle w:val="ListParagraph"/>
        <w:ind w:left="0"/>
        <w:jc w:val="both"/>
        <w:rPr>
          <w:b/>
          <w:lang w:val="es-ES"/>
        </w:rPr>
      </w:pPr>
      <w:r w:rsidRPr="001A4ECD">
        <w:rPr>
          <w:b/>
          <w:lang w:val="es-ES"/>
        </w:rPr>
        <w:t>I</w:t>
      </w:r>
      <w:r w:rsidR="00D753CC" w:rsidRPr="001A4ECD">
        <w:rPr>
          <w:b/>
          <w:lang w:val="es-ES"/>
        </w:rPr>
        <w:t>mpact</w:t>
      </w:r>
      <w:r w:rsidR="001A4ECD" w:rsidRPr="001A4ECD">
        <w:rPr>
          <w:b/>
          <w:lang w:val="es-ES"/>
        </w:rPr>
        <w:t>o</w:t>
      </w:r>
      <w:r w:rsidR="00D753CC" w:rsidRPr="001A4ECD">
        <w:rPr>
          <w:b/>
          <w:lang w:val="es-ES"/>
        </w:rPr>
        <w:t>s</w:t>
      </w:r>
      <w:r w:rsidR="001A4ECD" w:rsidRPr="001A4ECD">
        <w:rPr>
          <w:b/>
          <w:lang w:val="es-ES"/>
        </w:rPr>
        <w:t xml:space="preserve"> Ambientales Positivos Esperados</w:t>
      </w:r>
    </w:p>
    <w:p w:rsidR="00D753CC" w:rsidRPr="001A4ECD" w:rsidRDefault="00D753CC" w:rsidP="00D753CC">
      <w:pPr>
        <w:pStyle w:val="ListParagraph"/>
        <w:ind w:left="0"/>
        <w:jc w:val="both"/>
        <w:rPr>
          <w:lang w:val="es-ES"/>
        </w:rPr>
      </w:pPr>
    </w:p>
    <w:p w:rsidR="00B77B8D" w:rsidRPr="00074A91" w:rsidRDefault="001A4ECD" w:rsidP="00B77B8D">
      <w:pPr>
        <w:pStyle w:val="ListParagraph"/>
        <w:numPr>
          <w:ilvl w:val="0"/>
          <w:numId w:val="18"/>
        </w:numPr>
        <w:jc w:val="both"/>
        <w:rPr>
          <w:sz w:val="23"/>
          <w:szCs w:val="23"/>
          <w:lang w:val="es-ES"/>
        </w:rPr>
      </w:pPr>
      <w:r w:rsidRPr="00074A91">
        <w:rPr>
          <w:sz w:val="23"/>
          <w:szCs w:val="23"/>
          <w:lang w:val="es-ES"/>
        </w:rPr>
        <w:t>En general</w:t>
      </w:r>
      <w:r w:rsidR="00D753CC" w:rsidRPr="00074A91">
        <w:rPr>
          <w:sz w:val="23"/>
          <w:szCs w:val="23"/>
          <w:lang w:val="es-ES"/>
        </w:rPr>
        <w:t xml:space="preserve">, </w:t>
      </w:r>
      <w:r w:rsidRPr="00074A91">
        <w:rPr>
          <w:sz w:val="23"/>
          <w:szCs w:val="23"/>
          <w:lang w:val="es-ES"/>
        </w:rPr>
        <w:t>se espera que el Proyecto genere impactos ambientales muy positivos. En primer lugar, el l</w:t>
      </w:r>
      <w:r w:rsidR="00FF52DD" w:rsidRPr="00074A91">
        <w:rPr>
          <w:sz w:val="23"/>
          <w:szCs w:val="23"/>
          <w:lang w:val="es-ES"/>
        </w:rPr>
        <w:t>evantamiento catastral</w:t>
      </w:r>
      <w:r w:rsidR="0054477C">
        <w:rPr>
          <w:sz w:val="23"/>
          <w:szCs w:val="23"/>
          <w:lang w:val="es-ES"/>
        </w:rPr>
        <w:t xml:space="preserve"> </w:t>
      </w:r>
      <w:r w:rsidR="00FF357C" w:rsidRPr="00074A91">
        <w:rPr>
          <w:sz w:val="23"/>
          <w:szCs w:val="23"/>
          <w:lang w:val="es-ES"/>
        </w:rPr>
        <w:t>y</w:t>
      </w:r>
      <w:r w:rsidR="0054477C">
        <w:rPr>
          <w:sz w:val="23"/>
          <w:szCs w:val="23"/>
          <w:lang w:val="es-ES"/>
        </w:rPr>
        <w:t xml:space="preserve"> </w:t>
      </w:r>
      <w:r w:rsidRPr="00074A91">
        <w:rPr>
          <w:sz w:val="23"/>
          <w:szCs w:val="23"/>
          <w:lang w:val="es-ES"/>
        </w:rPr>
        <w:t>la regularización de la tenencia de la tierra</w:t>
      </w:r>
      <w:r w:rsidR="00B77B8D" w:rsidRPr="00074A91">
        <w:rPr>
          <w:sz w:val="23"/>
          <w:szCs w:val="23"/>
          <w:lang w:val="es-ES"/>
        </w:rPr>
        <w:t xml:space="preserve"> por lo usual provoca cambios positivos en las decisiones relacionadas con los usos de la tierra y empuja hacia el aprovechamiento racional de la tierra y de los recursos naturales. En segundo lugar, el proceso de titulación de tierras, además de su </w:t>
      </w:r>
      <w:r w:rsidR="00D753CC" w:rsidRPr="00074A91">
        <w:rPr>
          <w:sz w:val="23"/>
          <w:szCs w:val="23"/>
          <w:lang w:val="es-ES"/>
        </w:rPr>
        <w:t xml:space="preserve">principal </w:t>
      </w:r>
      <w:r w:rsidR="00A7778B" w:rsidRPr="00074A91">
        <w:rPr>
          <w:sz w:val="23"/>
          <w:szCs w:val="23"/>
          <w:lang w:val="es-ES"/>
        </w:rPr>
        <w:t>objetivo</w:t>
      </w:r>
      <w:r w:rsidR="00976D46">
        <w:rPr>
          <w:sz w:val="23"/>
          <w:szCs w:val="23"/>
          <w:lang w:val="es-ES"/>
        </w:rPr>
        <w:t xml:space="preserve"> </w:t>
      </w:r>
      <w:r w:rsidR="00B77B8D" w:rsidRPr="00074A91">
        <w:rPr>
          <w:sz w:val="23"/>
          <w:szCs w:val="23"/>
          <w:lang w:val="es-ES"/>
        </w:rPr>
        <w:t>de proveer seguridad jurídica, incorpora el l</w:t>
      </w:r>
      <w:r w:rsidR="00FF52DD" w:rsidRPr="00074A91">
        <w:rPr>
          <w:sz w:val="23"/>
          <w:szCs w:val="23"/>
          <w:lang w:val="es-ES"/>
        </w:rPr>
        <w:t>evantamiento catastral</w:t>
      </w:r>
      <w:r w:rsidR="00B77B8D" w:rsidRPr="00074A91">
        <w:rPr>
          <w:sz w:val="23"/>
          <w:szCs w:val="23"/>
          <w:lang w:val="es-ES"/>
        </w:rPr>
        <w:t xml:space="preserve"> como un instrumento para identificar las áreas muy vulnerables ante desastres o que son ecológicamente frágiles. El Proyecto incentivará</w:t>
      </w:r>
      <w:r w:rsidR="00976D46">
        <w:rPr>
          <w:sz w:val="23"/>
          <w:szCs w:val="23"/>
          <w:lang w:val="es-ES"/>
        </w:rPr>
        <w:t xml:space="preserve"> </w:t>
      </w:r>
      <w:r w:rsidR="00B77B8D" w:rsidRPr="00074A91">
        <w:rPr>
          <w:sz w:val="23"/>
          <w:szCs w:val="23"/>
          <w:lang w:val="es-ES"/>
        </w:rPr>
        <w:t>dichas</w:t>
      </w:r>
      <w:r w:rsidR="005324E7" w:rsidRPr="00074A91">
        <w:rPr>
          <w:sz w:val="23"/>
          <w:szCs w:val="23"/>
          <w:lang w:val="es-ES"/>
        </w:rPr>
        <w:t xml:space="preserve"> prácticas de conformidad con la legislación nacional vigente.</w:t>
      </w:r>
    </w:p>
    <w:p w:rsidR="005324E7" w:rsidRPr="00074A91" w:rsidRDefault="005324E7" w:rsidP="005324E7">
      <w:pPr>
        <w:pStyle w:val="ListParagraph"/>
        <w:ind w:left="0"/>
        <w:jc w:val="both"/>
        <w:rPr>
          <w:sz w:val="23"/>
          <w:szCs w:val="23"/>
          <w:lang w:val="es-ES"/>
        </w:rPr>
      </w:pPr>
    </w:p>
    <w:p w:rsidR="00BC755E" w:rsidRPr="00074A91" w:rsidRDefault="005324E7" w:rsidP="003D2190">
      <w:pPr>
        <w:pStyle w:val="ListParagraph"/>
        <w:numPr>
          <w:ilvl w:val="0"/>
          <w:numId w:val="18"/>
        </w:numPr>
        <w:jc w:val="both"/>
        <w:rPr>
          <w:sz w:val="23"/>
          <w:szCs w:val="23"/>
          <w:lang w:val="es-ES"/>
        </w:rPr>
      </w:pPr>
      <w:r w:rsidRPr="00074A91">
        <w:rPr>
          <w:sz w:val="23"/>
          <w:szCs w:val="23"/>
          <w:lang w:val="es-ES"/>
        </w:rPr>
        <w:t xml:space="preserve">Se espera que cada componente del Proyecto genere impactos ambientales positivos. El Componente 1 (Consolidación del Marco Institucional y de Políticas) permitirá perfeccionar los servicios catastrales y en general la capacidad institucional, </w:t>
      </w:r>
      <w:r w:rsidR="00976D46">
        <w:rPr>
          <w:sz w:val="23"/>
          <w:szCs w:val="23"/>
          <w:lang w:val="es-ES"/>
        </w:rPr>
        <w:t>incluyendo</w:t>
      </w:r>
      <w:r w:rsidR="009F3769">
        <w:rPr>
          <w:sz w:val="23"/>
          <w:szCs w:val="23"/>
          <w:lang w:val="es-ES"/>
        </w:rPr>
        <w:t xml:space="preserve"> </w:t>
      </w:r>
      <w:r w:rsidRPr="00074A91">
        <w:rPr>
          <w:sz w:val="23"/>
          <w:szCs w:val="23"/>
          <w:lang w:val="es-ES"/>
        </w:rPr>
        <w:t>una mayor atención hacia los temas de sostenibilidad ambiental. Asimismo, el Componente 2 (</w:t>
      </w:r>
      <w:r w:rsidR="003D2190" w:rsidRPr="00074A91">
        <w:rPr>
          <w:sz w:val="23"/>
          <w:szCs w:val="23"/>
          <w:lang w:val="es-NI"/>
        </w:rPr>
        <w:t>Fortalecimiento de la Capacidad del Registro de la Propiedad y de la Resolución Alterna de Conflictos) contribuirá a fortalecer los derechos de propiedad, incentivan</w:t>
      </w:r>
      <w:r w:rsidR="00976D46">
        <w:rPr>
          <w:sz w:val="23"/>
          <w:szCs w:val="23"/>
          <w:lang w:val="es-NI"/>
        </w:rPr>
        <w:t>do</w:t>
      </w:r>
      <w:r w:rsidR="003D2190" w:rsidRPr="00074A91">
        <w:rPr>
          <w:sz w:val="23"/>
          <w:szCs w:val="23"/>
          <w:lang w:val="es-NI"/>
        </w:rPr>
        <w:t xml:space="preserve"> usos más sostenibles </w:t>
      </w:r>
      <w:r w:rsidR="000E0EFD" w:rsidRPr="00074A91">
        <w:rPr>
          <w:sz w:val="23"/>
          <w:szCs w:val="23"/>
          <w:lang w:val="es-NI"/>
        </w:rPr>
        <w:t>de los suelos.</w:t>
      </w:r>
    </w:p>
    <w:p w:rsidR="00BC755E" w:rsidRPr="00074A91" w:rsidRDefault="00BC755E" w:rsidP="00BC755E">
      <w:pPr>
        <w:rPr>
          <w:sz w:val="23"/>
          <w:szCs w:val="23"/>
          <w:lang w:val="es-ES"/>
        </w:rPr>
      </w:pPr>
    </w:p>
    <w:p w:rsidR="000E0EFD" w:rsidRPr="00074A91" w:rsidRDefault="003D2190" w:rsidP="003D2190">
      <w:pPr>
        <w:pStyle w:val="ListParagraph"/>
        <w:numPr>
          <w:ilvl w:val="0"/>
          <w:numId w:val="18"/>
        </w:numPr>
        <w:jc w:val="both"/>
        <w:rPr>
          <w:sz w:val="23"/>
          <w:szCs w:val="23"/>
          <w:lang w:val="es-ES"/>
        </w:rPr>
      </w:pPr>
      <w:r w:rsidRPr="00074A91">
        <w:rPr>
          <w:sz w:val="23"/>
          <w:szCs w:val="23"/>
          <w:lang w:val="es-ES"/>
        </w:rPr>
        <w:t>En el</w:t>
      </w:r>
      <w:r w:rsidR="00976D46">
        <w:rPr>
          <w:sz w:val="23"/>
          <w:szCs w:val="23"/>
          <w:lang w:val="es-ES"/>
        </w:rPr>
        <w:t xml:space="preserve"> </w:t>
      </w:r>
      <w:r w:rsidR="00237729" w:rsidRPr="00074A91">
        <w:rPr>
          <w:sz w:val="23"/>
          <w:szCs w:val="23"/>
          <w:lang w:val="es-ES"/>
        </w:rPr>
        <w:t>Componente</w:t>
      </w:r>
      <w:r w:rsidR="006B38FA" w:rsidRPr="00074A91">
        <w:rPr>
          <w:sz w:val="23"/>
          <w:szCs w:val="23"/>
          <w:lang w:val="es-ES"/>
        </w:rPr>
        <w:t xml:space="preserve"> 3 (</w:t>
      </w:r>
      <w:r w:rsidRPr="00074A91">
        <w:rPr>
          <w:sz w:val="23"/>
          <w:szCs w:val="23"/>
          <w:lang w:val="es-ES"/>
        </w:rPr>
        <w:t>Servicios de Titulación y Regularización</w:t>
      </w:r>
      <w:r w:rsidR="006B38FA" w:rsidRPr="00074A91">
        <w:rPr>
          <w:sz w:val="23"/>
          <w:szCs w:val="23"/>
          <w:lang w:val="es-ES"/>
        </w:rPr>
        <w:t>)</w:t>
      </w:r>
      <w:r w:rsidR="00D753CC" w:rsidRPr="00074A91">
        <w:rPr>
          <w:sz w:val="23"/>
          <w:szCs w:val="23"/>
          <w:lang w:val="es-ES"/>
        </w:rPr>
        <w:t xml:space="preserve">, </w:t>
      </w:r>
      <w:r w:rsidRPr="00074A91">
        <w:rPr>
          <w:sz w:val="23"/>
          <w:szCs w:val="23"/>
          <w:lang w:val="es-ES"/>
        </w:rPr>
        <w:t xml:space="preserve">las </w:t>
      </w:r>
      <w:r w:rsidR="00D753CC" w:rsidRPr="00074A91">
        <w:rPr>
          <w:sz w:val="23"/>
          <w:szCs w:val="23"/>
          <w:lang w:val="es-ES"/>
        </w:rPr>
        <w:t>orto</w:t>
      </w:r>
      <w:r w:rsidR="000E0EFD" w:rsidRPr="00074A91">
        <w:rPr>
          <w:sz w:val="23"/>
          <w:szCs w:val="23"/>
          <w:lang w:val="es-ES"/>
        </w:rPr>
        <w:t xml:space="preserve">fotografías generadas por fotos aéreas pueden emplearse como fuente primaria de datos e información para emprender estudios geológicos, hidrológicos, geomorfológicos, </w:t>
      </w:r>
      <w:r w:rsidR="00864A39" w:rsidRPr="00074A91">
        <w:rPr>
          <w:sz w:val="23"/>
          <w:szCs w:val="23"/>
          <w:lang w:val="es-ES"/>
        </w:rPr>
        <w:t>aprovechamiento de los suelos, ordenamiento territorial de zonas urbanas y rurales. Asimismo, el amplio uso de los sistemas de GPS y de imágenes satelitales tornan los levantados catastrales más precisos, eficientes y ambientalmente amigables porque ya es innecesario intervenir en el ecosistema (Ej. t</w:t>
      </w:r>
      <w:r w:rsidR="008E596C" w:rsidRPr="00074A91">
        <w:rPr>
          <w:sz w:val="23"/>
          <w:szCs w:val="23"/>
          <w:lang w:val="es-ES"/>
        </w:rPr>
        <w:t>alar la vegetación existente). Un aspecto muy importante del Componente 3</w:t>
      </w:r>
      <w:r w:rsidR="00784425" w:rsidRPr="00074A91">
        <w:rPr>
          <w:sz w:val="23"/>
          <w:szCs w:val="23"/>
          <w:lang w:val="es-ES"/>
        </w:rPr>
        <w:t xml:space="preserve"> es la inclusión de los criterios de vulnerabilidad ante riesgos de desastres en el levantamiento catastral, a la vez que se crea mayor conciencia sobre las decisiones que implican prácticas racionales e irracionales del uso de</w:t>
      </w:r>
      <w:r w:rsidR="00976D46">
        <w:rPr>
          <w:sz w:val="23"/>
          <w:szCs w:val="23"/>
          <w:lang w:val="es-ES"/>
        </w:rPr>
        <w:t xml:space="preserve"> la tierra</w:t>
      </w:r>
      <w:r w:rsidR="00784425" w:rsidRPr="00074A91">
        <w:rPr>
          <w:sz w:val="23"/>
          <w:szCs w:val="23"/>
          <w:lang w:val="es-ES"/>
        </w:rPr>
        <w:t xml:space="preserve"> que degradan el medio ambiente y elevan la vulnerabilidad ante los desastres.</w:t>
      </w:r>
    </w:p>
    <w:p w:rsidR="00784425" w:rsidRPr="00074A91" w:rsidRDefault="00784425" w:rsidP="00784425">
      <w:pPr>
        <w:pStyle w:val="ListParagraph"/>
        <w:rPr>
          <w:sz w:val="23"/>
          <w:szCs w:val="23"/>
          <w:lang w:val="es-ES"/>
        </w:rPr>
      </w:pPr>
    </w:p>
    <w:p w:rsidR="00C57D5D" w:rsidRPr="00074A91" w:rsidRDefault="00784425" w:rsidP="00C57D5D">
      <w:pPr>
        <w:pStyle w:val="ListParagraph"/>
        <w:numPr>
          <w:ilvl w:val="0"/>
          <w:numId w:val="18"/>
        </w:numPr>
        <w:jc w:val="both"/>
        <w:rPr>
          <w:sz w:val="23"/>
          <w:szCs w:val="23"/>
          <w:lang w:val="es-ES"/>
        </w:rPr>
      </w:pPr>
      <w:r w:rsidRPr="00074A91">
        <w:rPr>
          <w:sz w:val="23"/>
          <w:szCs w:val="23"/>
          <w:lang w:val="es-ES"/>
        </w:rPr>
        <w:t xml:space="preserve">La demarcación de las áreas protegidas </w:t>
      </w:r>
      <w:r w:rsidR="006E21A9" w:rsidRPr="00074A91">
        <w:rPr>
          <w:sz w:val="23"/>
          <w:szCs w:val="23"/>
          <w:lang w:val="es-ES"/>
        </w:rPr>
        <w:t xml:space="preserve">también contemplada en el Componente 3 ejercerá </w:t>
      </w:r>
      <w:r w:rsidR="00F773FC" w:rsidRPr="00074A91">
        <w:rPr>
          <w:sz w:val="23"/>
          <w:szCs w:val="23"/>
          <w:lang w:val="es-ES"/>
        </w:rPr>
        <w:t>los</w:t>
      </w:r>
      <w:r w:rsidR="006E21A9" w:rsidRPr="00074A91">
        <w:rPr>
          <w:sz w:val="23"/>
          <w:szCs w:val="23"/>
          <w:lang w:val="es-ES"/>
        </w:rPr>
        <w:t xml:space="preserve"> mayor</w:t>
      </w:r>
      <w:r w:rsidR="00F773FC" w:rsidRPr="00074A91">
        <w:rPr>
          <w:sz w:val="23"/>
          <w:szCs w:val="23"/>
          <w:lang w:val="es-ES"/>
        </w:rPr>
        <w:t>es</w:t>
      </w:r>
      <w:r w:rsidR="006E21A9" w:rsidRPr="00074A91">
        <w:rPr>
          <w:sz w:val="23"/>
          <w:szCs w:val="23"/>
          <w:lang w:val="es-ES"/>
        </w:rPr>
        <w:t xml:space="preserve"> impacto</w:t>
      </w:r>
      <w:r w:rsidR="00F773FC" w:rsidRPr="00074A91">
        <w:rPr>
          <w:sz w:val="23"/>
          <w:szCs w:val="23"/>
          <w:lang w:val="es-ES"/>
        </w:rPr>
        <w:t>s</w:t>
      </w:r>
      <w:r w:rsidR="006E21A9" w:rsidRPr="00074A91">
        <w:rPr>
          <w:sz w:val="23"/>
          <w:szCs w:val="23"/>
          <w:lang w:val="es-ES"/>
        </w:rPr>
        <w:t xml:space="preserve"> ambiental</w:t>
      </w:r>
      <w:r w:rsidR="00F773FC" w:rsidRPr="00074A91">
        <w:rPr>
          <w:sz w:val="23"/>
          <w:szCs w:val="23"/>
          <w:lang w:val="es-ES"/>
        </w:rPr>
        <w:t>es</w:t>
      </w:r>
      <w:r w:rsidR="006E21A9" w:rsidRPr="00074A91">
        <w:rPr>
          <w:sz w:val="23"/>
          <w:szCs w:val="23"/>
          <w:lang w:val="es-ES"/>
        </w:rPr>
        <w:t xml:space="preserve"> positivo</w:t>
      </w:r>
      <w:r w:rsidR="00F773FC" w:rsidRPr="00074A91">
        <w:rPr>
          <w:sz w:val="23"/>
          <w:szCs w:val="23"/>
          <w:lang w:val="es-ES"/>
        </w:rPr>
        <w:t>s</w:t>
      </w:r>
      <w:r w:rsidR="006E21A9" w:rsidRPr="00074A91">
        <w:rPr>
          <w:sz w:val="23"/>
          <w:szCs w:val="23"/>
          <w:lang w:val="es-ES"/>
        </w:rPr>
        <w:t xml:space="preserve"> y directo</w:t>
      </w:r>
      <w:r w:rsidR="00F773FC" w:rsidRPr="00074A91">
        <w:rPr>
          <w:sz w:val="23"/>
          <w:szCs w:val="23"/>
          <w:lang w:val="es-ES"/>
        </w:rPr>
        <w:t xml:space="preserve">s, los cuales se verán ampliados por la campaña de concientización y educación. </w:t>
      </w:r>
      <w:r w:rsidR="001E6507" w:rsidRPr="00074A91">
        <w:rPr>
          <w:sz w:val="23"/>
          <w:szCs w:val="23"/>
          <w:lang w:val="es-ES"/>
        </w:rPr>
        <w:t>Espec</w:t>
      </w:r>
      <w:r w:rsidR="001E6507">
        <w:rPr>
          <w:sz w:val="23"/>
          <w:szCs w:val="23"/>
          <w:lang w:val="es-ES"/>
        </w:rPr>
        <w:t>í</w:t>
      </w:r>
      <w:r w:rsidR="001E6507" w:rsidRPr="00074A91">
        <w:rPr>
          <w:sz w:val="23"/>
          <w:szCs w:val="23"/>
          <w:lang w:val="es-ES"/>
        </w:rPr>
        <w:t>fic</w:t>
      </w:r>
      <w:r w:rsidR="001E6507">
        <w:rPr>
          <w:sz w:val="23"/>
          <w:szCs w:val="23"/>
          <w:lang w:val="es-ES"/>
        </w:rPr>
        <w:t>amente</w:t>
      </w:r>
      <w:r w:rsidR="00F773FC" w:rsidRPr="00074A91">
        <w:rPr>
          <w:sz w:val="23"/>
          <w:szCs w:val="23"/>
          <w:lang w:val="es-ES"/>
        </w:rPr>
        <w:t xml:space="preserve">, el Proyecto financiará la demarcación de los linderos externos de cinco áreas protegidas en </w:t>
      </w:r>
      <w:r w:rsidR="002915FA" w:rsidRPr="00074A91">
        <w:rPr>
          <w:sz w:val="23"/>
          <w:szCs w:val="23"/>
          <w:lang w:val="es-ES"/>
        </w:rPr>
        <w:t xml:space="preserve">Nueva Segovia </w:t>
      </w:r>
      <w:r w:rsidR="00FF357C" w:rsidRPr="00074A91">
        <w:rPr>
          <w:sz w:val="23"/>
          <w:szCs w:val="23"/>
          <w:lang w:val="es-ES"/>
        </w:rPr>
        <w:t>y</w:t>
      </w:r>
      <w:r w:rsidR="002915FA" w:rsidRPr="00074A91">
        <w:rPr>
          <w:sz w:val="23"/>
          <w:szCs w:val="23"/>
          <w:lang w:val="es-ES"/>
        </w:rPr>
        <w:t xml:space="preserve"> Jinotega.</w:t>
      </w:r>
      <w:r w:rsidR="002915FA" w:rsidRPr="00074A91">
        <w:rPr>
          <w:rStyle w:val="FootnoteReference"/>
          <w:sz w:val="23"/>
          <w:szCs w:val="23"/>
          <w:lang w:val="es-ES"/>
        </w:rPr>
        <w:footnoteReference w:id="29"/>
      </w:r>
      <w:r w:rsidR="00F773FC" w:rsidRPr="00074A91">
        <w:rPr>
          <w:sz w:val="23"/>
          <w:szCs w:val="23"/>
          <w:lang w:val="es-ES"/>
        </w:rPr>
        <w:t>El diseño del Proyecto enfatiza la necesidad de darle manten</w:t>
      </w:r>
      <w:r w:rsidR="00D12AAD" w:rsidRPr="00074A91">
        <w:rPr>
          <w:sz w:val="23"/>
          <w:szCs w:val="23"/>
          <w:lang w:val="es-ES"/>
        </w:rPr>
        <w:t xml:space="preserve">imiento a la demarcación y </w:t>
      </w:r>
      <w:r w:rsidR="008D4F14">
        <w:rPr>
          <w:sz w:val="23"/>
          <w:szCs w:val="23"/>
          <w:lang w:val="es-ES"/>
        </w:rPr>
        <w:t xml:space="preserve">actividades de </w:t>
      </w:r>
      <w:r w:rsidR="00D12AAD" w:rsidRPr="00074A91">
        <w:rPr>
          <w:sz w:val="23"/>
          <w:szCs w:val="23"/>
          <w:lang w:val="es-ES"/>
        </w:rPr>
        <w:t>señal</w:t>
      </w:r>
      <w:r w:rsidR="008D4F14">
        <w:rPr>
          <w:sz w:val="23"/>
          <w:szCs w:val="23"/>
          <w:lang w:val="es-ES"/>
        </w:rPr>
        <w:t>ización</w:t>
      </w:r>
      <w:r w:rsidR="00D12AAD" w:rsidRPr="00074A91">
        <w:rPr>
          <w:sz w:val="23"/>
          <w:szCs w:val="23"/>
          <w:lang w:val="es-ES"/>
        </w:rPr>
        <w:t xml:space="preserve"> dentro </w:t>
      </w:r>
      <w:r w:rsidR="00D12AAD" w:rsidRPr="00074A91">
        <w:rPr>
          <w:sz w:val="23"/>
          <w:szCs w:val="23"/>
          <w:lang w:val="es-ES"/>
        </w:rPr>
        <w:lastRenderedPageBreak/>
        <w:t xml:space="preserve">de los respectivos </w:t>
      </w:r>
      <w:r w:rsidR="008D4F14">
        <w:rPr>
          <w:sz w:val="23"/>
          <w:szCs w:val="23"/>
          <w:lang w:val="es-ES"/>
        </w:rPr>
        <w:t>P</w:t>
      </w:r>
      <w:r w:rsidR="00D12AAD" w:rsidRPr="00074A91">
        <w:rPr>
          <w:sz w:val="23"/>
          <w:szCs w:val="23"/>
          <w:lang w:val="es-ES"/>
        </w:rPr>
        <w:t xml:space="preserve">lanes de </w:t>
      </w:r>
      <w:r w:rsidR="008D4F14">
        <w:rPr>
          <w:sz w:val="23"/>
          <w:szCs w:val="23"/>
          <w:lang w:val="es-ES"/>
        </w:rPr>
        <w:t>Manejo</w:t>
      </w:r>
      <w:r w:rsidR="00D12AAD" w:rsidRPr="00074A91">
        <w:rPr>
          <w:sz w:val="23"/>
          <w:szCs w:val="23"/>
          <w:lang w:val="es-ES"/>
        </w:rPr>
        <w:t xml:space="preserve"> y dentro de los convenios de participación </w:t>
      </w:r>
      <w:r w:rsidR="00DC14FA" w:rsidRPr="00074A91">
        <w:rPr>
          <w:sz w:val="23"/>
          <w:szCs w:val="23"/>
          <w:lang w:val="es-ES"/>
        </w:rPr>
        <w:t>que suscribirán los municipios con la PGR. Ambas acciones están diseñadas a asegurar la sostenibilidad de los impactos ambientales positivos</w:t>
      </w:r>
      <w:r w:rsidR="00C57D5D" w:rsidRPr="00074A91">
        <w:rPr>
          <w:sz w:val="23"/>
          <w:szCs w:val="23"/>
          <w:lang w:val="es-ES"/>
        </w:rPr>
        <w:t xml:space="preserve"> que genere el Proyecto. Además, las Guías de las Buenas Prácticas Ambientales para la Demarcación de las Áreas protegidas, elaboradas por el MARENA, se aplicarán durante el periodo de ejecución del Proyecto.</w:t>
      </w:r>
    </w:p>
    <w:p w:rsidR="006847EB" w:rsidRPr="00074A91" w:rsidRDefault="006847EB" w:rsidP="006847EB">
      <w:pPr>
        <w:pStyle w:val="ListParagraph"/>
        <w:rPr>
          <w:sz w:val="23"/>
          <w:szCs w:val="23"/>
          <w:lang w:val="es-ES"/>
        </w:rPr>
      </w:pPr>
    </w:p>
    <w:p w:rsidR="00D753CC" w:rsidRPr="00074A91" w:rsidRDefault="00C57D5D" w:rsidP="00FF33C1">
      <w:pPr>
        <w:pStyle w:val="ListParagraph"/>
        <w:numPr>
          <w:ilvl w:val="0"/>
          <w:numId w:val="18"/>
        </w:numPr>
        <w:jc w:val="both"/>
        <w:rPr>
          <w:sz w:val="23"/>
          <w:szCs w:val="23"/>
          <w:lang w:val="es-NI"/>
        </w:rPr>
      </w:pPr>
      <w:r w:rsidRPr="00074A91">
        <w:rPr>
          <w:sz w:val="23"/>
          <w:szCs w:val="23"/>
          <w:lang w:val="es-ES"/>
        </w:rPr>
        <w:t>Adicionalmente a las actividades ambientales del P</w:t>
      </w:r>
      <w:r w:rsidR="00F81753" w:rsidRPr="00074A91">
        <w:rPr>
          <w:sz w:val="23"/>
          <w:szCs w:val="23"/>
          <w:lang w:val="es-ES"/>
        </w:rPr>
        <w:t>royecto propuesto</w:t>
      </w:r>
      <w:r w:rsidRPr="00074A91">
        <w:rPr>
          <w:sz w:val="23"/>
          <w:szCs w:val="23"/>
          <w:lang w:val="es-ES"/>
        </w:rPr>
        <w:t xml:space="preserve">, los </w:t>
      </w:r>
      <w:r w:rsidR="000B7159" w:rsidRPr="00074A91">
        <w:rPr>
          <w:sz w:val="23"/>
          <w:szCs w:val="23"/>
          <w:lang w:val="es-ES"/>
        </w:rPr>
        <w:t>municipios participantes</w:t>
      </w:r>
      <w:r w:rsidR="00F421B8" w:rsidRPr="00074A91">
        <w:rPr>
          <w:sz w:val="23"/>
          <w:szCs w:val="23"/>
          <w:lang w:val="es-ES"/>
        </w:rPr>
        <w:t xml:space="preserve"> consideran, entre otras cosas: (a) Lograr la restauración ambiental del río </w:t>
      </w:r>
      <w:r w:rsidR="00062875" w:rsidRPr="00074A91">
        <w:rPr>
          <w:sz w:val="23"/>
          <w:szCs w:val="23"/>
          <w:lang w:val="es-ES"/>
        </w:rPr>
        <w:t>Dipilto-</w:t>
      </w:r>
      <w:r w:rsidR="00D753CC" w:rsidRPr="00074A91">
        <w:rPr>
          <w:sz w:val="23"/>
          <w:szCs w:val="23"/>
          <w:lang w:val="es-ES"/>
        </w:rPr>
        <w:t xml:space="preserve">Ocotal, </w:t>
      </w:r>
      <w:r w:rsidR="00725163" w:rsidRPr="00074A91">
        <w:rPr>
          <w:sz w:val="23"/>
          <w:szCs w:val="23"/>
          <w:lang w:val="es-ES"/>
        </w:rPr>
        <w:t xml:space="preserve">el río </w:t>
      </w:r>
      <w:r w:rsidR="00D753CC" w:rsidRPr="00074A91">
        <w:rPr>
          <w:sz w:val="23"/>
          <w:szCs w:val="23"/>
          <w:lang w:val="es-ES"/>
        </w:rPr>
        <w:t>Mozonte</w:t>
      </w:r>
      <w:r w:rsidR="0054477C">
        <w:rPr>
          <w:sz w:val="23"/>
          <w:szCs w:val="23"/>
          <w:lang w:val="es-ES"/>
        </w:rPr>
        <w:t xml:space="preserve"> </w:t>
      </w:r>
      <w:r w:rsidR="00725163" w:rsidRPr="00074A91">
        <w:rPr>
          <w:sz w:val="23"/>
          <w:szCs w:val="23"/>
          <w:lang w:val="es-ES"/>
        </w:rPr>
        <w:t xml:space="preserve">y las zonas aledañas; </w:t>
      </w:r>
      <w:r w:rsidR="006847EB" w:rsidRPr="00074A91">
        <w:rPr>
          <w:sz w:val="23"/>
          <w:szCs w:val="23"/>
          <w:lang w:val="es-ES"/>
        </w:rPr>
        <w:t xml:space="preserve"> (b) </w:t>
      </w:r>
      <w:r w:rsidR="00725163" w:rsidRPr="00074A91">
        <w:rPr>
          <w:sz w:val="23"/>
          <w:szCs w:val="23"/>
          <w:lang w:val="es-ES"/>
        </w:rPr>
        <w:t>I</w:t>
      </w:r>
      <w:r w:rsidR="00296A07" w:rsidRPr="00074A91">
        <w:rPr>
          <w:sz w:val="23"/>
          <w:szCs w:val="23"/>
          <w:lang w:val="es-ES"/>
        </w:rPr>
        <w:t>ncre</w:t>
      </w:r>
      <w:r w:rsidR="00725163" w:rsidRPr="00074A91">
        <w:rPr>
          <w:sz w:val="23"/>
          <w:szCs w:val="23"/>
          <w:lang w:val="es-ES"/>
        </w:rPr>
        <w:t xml:space="preserve">mentar los esfuerzos para prevenir los incendios forestales; </w:t>
      </w:r>
      <w:r w:rsidR="00D753CC" w:rsidRPr="00074A91">
        <w:rPr>
          <w:sz w:val="23"/>
          <w:szCs w:val="23"/>
          <w:lang w:val="es-ES"/>
        </w:rPr>
        <w:t>(c)</w:t>
      </w:r>
      <w:r w:rsidR="00725163" w:rsidRPr="00074A91">
        <w:rPr>
          <w:sz w:val="23"/>
          <w:szCs w:val="23"/>
          <w:lang w:val="es-ES"/>
        </w:rPr>
        <w:t>Apoyar la supervisión de los recursos naturales mediante la dotación de adecuados recursos humanos y financieros; (d) Promover el turismo rural y comunitario; (e) Formular, revisar y actualizar los planes de prevención, mitigación y respuesta a desastres.</w:t>
      </w:r>
    </w:p>
    <w:p w:rsidR="00D753CC" w:rsidRPr="00074A91" w:rsidRDefault="00D753CC" w:rsidP="00D753CC">
      <w:pPr>
        <w:pStyle w:val="ListParagraph"/>
        <w:spacing w:after="200"/>
        <w:ind w:left="0"/>
        <w:jc w:val="both"/>
        <w:rPr>
          <w:spacing w:val="-4"/>
          <w:sz w:val="23"/>
          <w:szCs w:val="23"/>
          <w:lang w:val="es-ES"/>
        </w:rPr>
      </w:pPr>
    </w:p>
    <w:p w:rsidR="00D753CC" w:rsidRPr="003B3FBE" w:rsidRDefault="00427D3A" w:rsidP="00D753CC">
      <w:pPr>
        <w:pStyle w:val="ListParagraph"/>
        <w:spacing w:after="200"/>
        <w:ind w:left="0"/>
        <w:jc w:val="both"/>
        <w:rPr>
          <w:b/>
          <w:spacing w:val="-4"/>
          <w:lang w:val="es-ES"/>
        </w:rPr>
      </w:pPr>
      <w:r w:rsidRPr="003B3FBE">
        <w:rPr>
          <w:b/>
          <w:spacing w:val="-4"/>
          <w:lang w:val="es-ES"/>
        </w:rPr>
        <w:t>Posibles Impactos Ambientales Adversos</w:t>
      </w:r>
    </w:p>
    <w:p w:rsidR="00D753CC" w:rsidRPr="003B3FBE" w:rsidRDefault="00D753CC" w:rsidP="00D753CC">
      <w:pPr>
        <w:pStyle w:val="ListParagraph"/>
        <w:spacing w:after="200"/>
        <w:ind w:left="0"/>
        <w:jc w:val="both"/>
        <w:rPr>
          <w:spacing w:val="-4"/>
          <w:lang w:val="es-ES"/>
        </w:rPr>
      </w:pPr>
    </w:p>
    <w:p w:rsidR="00D753CC" w:rsidRPr="00074A91" w:rsidRDefault="003B3FBE" w:rsidP="002957E5">
      <w:pPr>
        <w:pStyle w:val="ListParagraph"/>
        <w:numPr>
          <w:ilvl w:val="0"/>
          <w:numId w:val="18"/>
        </w:numPr>
        <w:spacing w:after="200"/>
        <w:jc w:val="both"/>
        <w:rPr>
          <w:spacing w:val="-4"/>
          <w:sz w:val="23"/>
          <w:szCs w:val="23"/>
          <w:lang w:val="es-ES"/>
        </w:rPr>
      </w:pPr>
      <w:r w:rsidRPr="00074A91">
        <w:rPr>
          <w:spacing w:val="-4"/>
          <w:sz w:val="23"/>
          <w:szCs w:val="23"/>
          <w:lang w:val="es-ES"/>
        </w:rPr>
        <w:t>Los posibles impactos ambientales negativos</w:t>
      </w:r>
      <w:r w:rsidR="004A0B1C" w:rsidRPr="00074A91">
        <w:rPr>
          <w:spacing w:val="-4"/>
          <w:sz w:val="23"/>
          <w:szCs w:val="23"/>
          <w:lang w:val="es-ES"/>
        </w:rPr>
        <w:t xml:space="preserve"> derivados de una mayor seguridad en la tenencia de la tierra son pocos.  Sin embargo, existe un</w:t>
      </w:r>
      <w:r w:rsidR="00A33CF4">
        <w:rPr>
          <w:spacing w:val="-4"/>
          <w:sz w:val="23"/>
          <w:szCs w:val="23"/>
          <w:lang w:val="es-ES"/>
        </w:rPr>
        <w:t>a cantidad</w:t>
      </w:r>
      <w:r w:rsidR="004A0B1C" w:rsidRPr="00074A91">
        <w:rPr>
          <w:spacing w:val="-4"/>
          <w:sz w:val="23"/>
          <w:szCs w:val="23"/>
          <w:lang w:val="es-ES"/>
        </w:rPr>
        <w:t xml:space="preserve"> de impactos derivados de la ejecución de obras menores del Componente 1. Estas obras son pequeñas en escala, temporales y reversibles pero podrían implicar la tala de árboles y genera</w:t>
      </w:r>
      <w:r w:rsidR="00A33CF4">
        <w:rPr>
          <w:spacing w:val="-4"/>
          <w:sz w:val="23"/>
          <w:szCs w:val="23"/>
          <w:lang w:val="es-ES"/>
        </w:rPr>
        <w:t>r</w:t>
      </w:r>
      <w:r w:rsidR="004A0B1C" w:rsidRPr="00074A91">
        <w:rPr>
          <w:spacing w:val="-4"/>
          <w:sz w:val="23"/>
          <w:szCs w:val="23"/>
          <w:lang w:val="es-ES"/>
        </w:rPr>
        <w:t xml:space="preserve"> desechos de construcción </w:t>
      </w:r>
      <w:r w:rsidR="002957E5" w:rsidRPr="00074A91">
        <w:rPr>
          <w:spacing w:val="-4"/>
          <w:sz w:val="23"/>
          <w:szCs w:val="23"/>
          <w:lang w:val="es-ES"/>
        </w:rPr>
        <w:t xml:space="preserve">dentro de las áreas protegidas. Cualquier impacto ambiental </w:t>
      </w:r>
      <w:r w:rsidR="00A33CF4">
        <w:rPr>
          <w:spacing w:val="-4"/>
          <w:sz w:val="23"/>
          <w:szCs w:val="23"/>
          <w:lang w:val="es-ES"/>
        </w:rPr>
        <w:t>adverso</w:t>
      </w:r>
      <w:r w:rsidR="009F3769">
        <w:rPr>
          <w:spacing w:val="-4"/>
          <w:sz w:val="23"/>
          <w:szCs w:val="23"/>
          <w:lang w:val="es-ES"/>
        </w:rPr>
        <w:t xml:space="preserve"> </w:t>
      </w:r>
      <w:r w:rsidR="002957E5" w:rsidRPr="00074A91">
        <w:rPr>
          <w:spacing w:val="-4"/>
          <w:sz w:val="23"/>
          <w:szCs w:val="23"/>
          <w:lang w:val="es-ES"/>
        </w:rPr>
        <w:t xml:space="preserve">que surja se podrá mitigar con la aplicación de buenas prácticas ambientales y de construcción, así como de la supervisión continua de las actividades de demarcación de las áreas </w:t>
      </w:r>
      <w:r w:rsidR="00C46691" w:rsidRPr="009F3769">
        <w:rPr>
          <w:spacing w:val="-4"/>
          <w:sz w:val="23"/>
          <w:szCs w:val="23"/>
          <w:lang w:val="es-ES"/>
        </w:rPr>
        <w:t>protegidas.</w:t>
      </w:r>
      <w:r w:rsidR="00D753CC" w:rsidRPr="00074A91">
        <w:rPr>
          <w:spacing w:val="-4"/>
          <w:sz w:val="23"/>
          <w:szCs w:val="23"/>
          <w:lang w:val="es-ES"/>
        </w:rPr>
        <w:t xml:space="preserve"> </w:t>
      </w:r>
    </w:p>
    <w:p w:rsidR="00D753CC" w:rsidRPr="00074A91" w:rsidRDefault="00D753CC" w:rsidP="00D753CC">
      <w:pPr>
        <w:pStyle w:val="ListParagraph"/>
        <w:spacing w:after="200"/>
        <w:ind w:left="0"/>
        <w:jc w:val="both"/>
        <w:rPr>
          <w:spacing w:val="-4"/>
          <w:sz w:val="23"/>
          <w:szCs w:val="23"/>
          <w:lang w:val="es-ES"/>
        </w:rPr>
      </w:pPr>
    </w:p>
    <w:p w:rsidR="002B311F" w:rsidRPr="00074A91" w:rsidRDefault="002957E5" w:rsidP="002B311F">
      <w:pPr>
        <w:pStyle w:val="ListParagraph"/>
        <w:numPr>
          <w:ilvl w:val="0"/>
          <w:numId w:val="18"/>
        </w:numPr>
        <w:spacing w:after="200"/>
        <w:jc w:val="both"/>
        <w:rPr>
          <w:spacing w:val="-4"/>
          <w:sz w:val="23"/>
          <w:szCs w:val="23"/>
          <w:lang w:val="es-NI"/>
        </w:rPr>
      </w:pPr>
      <w:r w:rsidRPr="00074A91">
        <w:rPr>
          <w:spacing w:val="-4"/>
          <w:sz w:val="23"/>
          <w:szCs w:val="23"/>
          <w:lang w:val="es-NI"/>
        </w:rPr>
        <w:t xml:space="preserve">Existe la posibilidad de que se den impactos ambientales adversos no relacionados con las </w:t>
      </w:r>
      <w:r w:rsidR="006811F8" w:rsidRPr="00074A91">
        <w:rPr>
          <w:spacing w:val="-4"/>
          <w:sz w:val="23"/>
          <w:szCs w:val="23"/>
          <w:lang w:val="es-NI"/>
        </w:rPr>
        <w:t xml:space="preserve">obras físicas, sino más bien en términos más amplios, con cambios en el uso de la tierra y con los procesos de </w:t>
      </w:r>
      <w:r w:rsidR="00FF52DD" w:rsidRPr="00074A91">
        <w:rPr>
          <w:spacing w:val="-4"/>
          <w:sz w:val="23"/>
          <w:szCs w:val="23"/>
          <w:lang w:val="es-NI"/>
        </w:rPr>
        <w:t>regularización</w:t>
      </w:r>
      <w:r w:rsidR="00173A37">
        <w:rPr>
          <w:spacing w:val="-4"/>
          <w:sz w:val="23"/>
          <w:szCs w:val="23"/>
          <w:lang w:val="es-NI"/>
        </w:rPr>
        <w:t xml:space="preserve"> </w:t>
      </w:r>
      <w:r w:rsidR="00FF357C" w:rsidRPr="00074A91">
        <w:rPr>
          <w:spacing w:val="-4"/>
          <w:sz w:val="23"/>
          <w:szCs w:val="23"/>
          <w:lang w:val="es-NI"/>
        </w:rPr>
        <w:t>y</w:t>
      </w:r>
      <w:r w:rsidR="00173A37">
        <w:rPr>
          <w:spacing w:val="-4"/>
          <w:sz w:val="23"/>
          <w:szCs w:val="23"/>
          <w:lang w:val="es-NI"/>
        </w:rPr>
        <w:t xml:space="preserve"> </w:t>
      </w:r>
      <w:r w:rsidR="00FF52DD" w:rsidRPr="00074A91">
        <w:rPr>
          <w:spacing w:val="-4"/>
          <w:sz w:val="23"/>
          <w:szCs w:val="23"/>
          <w:lang w:val="es-NI"/>
        </w:rPr>
        <w:t>titulación</w:t>
      </w:r>
      <w:r w:rsidR="00D753CC" w:rsidRPr="00074A91">
        <w:rPr>
          <w:spacing w:val="-4"/>
          <w:sz w:val="23"/>
          <w:szCs w:val="23"/>
          <w:lang w:val="es-NI"/>
        </w:rPr>
        <w:t xml:space="preserve">. </w:t>
      </w:r>
      <w:r w:rsidR="006811F8" w:rsidRPr="00074A91">
        <w:rPr>
          <w:spacing w:val="-4"/>
          <w:sz w:val="23"/>
          <w:szCs w:val="23"/>
          <w:lang w:val="es-NI"/>
        </w:rPr>
        <w:t xml:space="preserve">Aunque estos impactos no fueron ningún problema en el proyecto anterior, quizás personas o grupos de individuos se sientan estimulados a tomarse </w:t>
      </w:r>
      <w:r w:rsidR="00A21FCB" w:rsidRPr="00074A91">
        <w:rPr>
          <w:spacing w:val="-4"/>
          <w:sz w:val="23"/>
          <w:szCs w:val="23"/>
          <w:lang w:val="es-NI"/>
        </w:rPr>
        <w:t xml:space="preserve">tierras públicas, privadas o invadir áreas protegidas con la finalidad de presionar por la titulación de las tierras.  Dichas acciones podrían tener efectos desestabilizadores sobre la sociedad, la economía y el medio ambiente.  Los pleitos y/o conflictos en torno a los linderos externos de las áreas protegidas, especialmente </w:t>
      </w:r>
      <w:r w:rsidR="00332D8C" w:rsidRPr="00074A91">
        <w:rPr>
          <w:spacing w:val="-4"/>
          <w:sz w:val="23"/>
          <w:szCs w:val="23"/>
          <w:lang w:val="es-NI"/>
        </w:rPr>
        <w:t xml:space="preserve">aquellas adyacentes a las comunidades indígenas, podrían conducir a tensiones o a conductas nocivas para los ecosistemas locales. Finalmente, es posible que los dueños de tierras aceleren </w:t>
      </w:r>
      <w:r w:rsidR="0053167A" w:rsidRPr="00074A91">
        <w:rPr>
          <w:spacing w:val="-4"/>
          <w:sz w:val="23"/>
          <w:szCs w:val="23"/>
          <w:lang w:val="es-NI"/>
        </w:rPr>
        <w:t>las acciones de tala en las áreas protegidas y boscosas antes que se dé el levantamiento topográfico y el registro legal de los terrenos con la finalidad de aparentar la mayor extensión posible de tierras bajo uso productivo. Para mitigar estos posibles impactos, además de la estrategia de comunicación</w:t>
      </w:r>
      <w:r w:rsidR="002B311F" w:rsidRPr="00074A91">
        <w:rPr>
          <w:spacing w:val="-4"/>
          <w:sz w:val="23"/>
          <w:szCs w:val="23"/>
          <w:lang w:val="es-NI"/>
        </w:rPr>
        <w:t xml:space="preserve"> y de la campaña de educación ambiental, la </w:t>
      </w:r>
      <w:r w:rsidR="00890CA6" w:rsidRPr="00074A91">
        <w:rPr>
          <w:spacing w:val="-4"/>
          <w:sz w:val="23"/>
          <w:szCs w:val="23"/>
          <w:lang w:val="es-NI"/>
        </w:rPr>
        <w:t>UCP</w:t>
      </w:r>
      <w:r w:rsidR="00BB4ECF" w:rsidRPr="00074A91">
        <w:rPr>
          <w:spacing w:val="-4"/>
          <w:sz w:val="23"/>
          <w:szCs w:val="23"/>
          <w:lang w:val="es-NI"/>
        </w:rPr>
        <w:t xml:space="preserve">-PGR, </w:t>
      </w:r>
      <w:r w:rsidR="00031178" w:rsidRPr="00074A91">
        <w:rPr>
          <w:spacing w:val="-4"/>
          <w:sz w:val="23"/>
          <w:szCs w:val="23"/>
          <w:lang w:val="es-NI"/>
        </w:rPr>
        <w:t>en colaboración con</w:t>
      </w:r>
      <w:r w:rsidR="00173A37">
        <w:rPr>
          <w:spacing w:val="-4"/>
          <w:sz w:val="23"/>
          <w:szCs w:val="23"/>
          <w:lang w:val="es-NI"/>
        </w:rPr>
        <w:t xml:space="preserve"> </w:t>
      </w:r>
      <w:r w:rsidR="002B311F" w:rsidRPr="00074A91">
        <w:rPr>
          <w:spacing w:val="-4"/>
          <w:sz w:val="23"/>
          <w:szCs w:val="23"/>
          <w:lang w:val="es-NI"/>
        </w:rPr>
        <w:t>las agencias co-ejecutoras pertinentes seguirán de cerca y supervisarán los impactos ambientales que ocurran dentro del área de influencia del Proyecto.</w:t>
      </w:r>
    </w:p>
    <w:p w:rsidR="00D753CC" w:rsidRPr="00074A91" w:rsidRDefault="00D753CC" w:rsidP="00D753CC">
      <w:pPr>
        <w:pStyle w:val="ListParagraph"/>
        <w:rPr>
          <w:sz w:val="23"/>
          <w:szCs w:val="23"/>
          <w:lang w:val="es-ES"/>
        </w:rPr>
      </w:pPr>
    </w:p>
    <w:p w:rsidR="00D753CC" w:rsidRPr="00074A91" w:rsidRDefault="0045149A" w:rsidP="00F91221">
      <w:pPr>
        <w:pStyle w:val="ListParagraph"/>
        <w:numPr>
          <w:ilvl w:val="0"/>
          <w:numId w:val="27"/>
        </w:numPr>
        <w:spacing w:after="200"/>
        <w:jc w:val="both"/>
        <w:rPr>
          <w:b/>
          <w:lang w:val="es-ES"/>
        </w:rPr>
      </w:pPr>
      <w:r w:rsidRPr="00074A91">
        <w:rPr>
          <w:b/>
          <w:lang w:val="es-ES"/>
        </w:rPr>
        <w:t xml:space="preserve">Hábitats </w:t>
      </w:r>
      <w:r w:rsidR="00D753CC" w:rsidRPr="00074A91">
        <w:rPr>
          <w:b/>
          <w:lang w:val="es-ES"/>
        </w:rPr>
        <w:t>Natural</w:t>
      </w:r>
      <w:r w:rsidRPr="00074A91">
        <w:rPr>
          <w:b/>
          <w:lang w:val="es-ES"/>
        </w:rPr>
        <w:t>es</w:t>
      </w:r>
      <w:r w:rsidR="00D753CC" w:rsidRPr="00074A91">
        <w:rPr>
          <w:b/>
          <w:lang w:val="es-ES"/>
        </w:rPr>
        <w:t xml:space="preserve"> (OP</w:t>
      </w:r>
      <w:r w:rsidR="00ED39CC" w:rsidRPr="00074A91">
        <w:rPr>
          <w:b/>
          <w:lang w:val="es-ES"/>
        </w:rPr>
        <w:t>/BP</w:t>
      </w:r>
      <w:r w:rsidR="00D753CC" w:rsidRPr="00074A91">
        <w:rPr>
          <w:b/>
          <w:lang w:val="es-ES"/>
        </w:rPr>
        <w:t xml:space="preserve"> 4.04) </w:t>
      </w:r>
      <w:r w:rsidR="00FF357C" w:rsidRPr="00074A91">
        <w:rPr>
          <w:b/>
          <w:lang w:val="es-ES"/>
        </w:rPr>
        <w:t>y</w:t>
      </w:r>
      <w:r w:rsidR="009F3769">
        <w:rPr>
          <w:b/>
          <w:lang w:val="es-ES"/>
        </w:rPr>
        <w:t xml:space="preserve"> </w:t>
      </w:r>
      <w:r w:rsidRPr="00074A91">
        <w:rPr>
          <w:b/>
          <w:lang w:val="es-ES"/>
        </w:rPr>
        <w:t>Bosques</w:t>
      </w:r>
      <w:r w:rsidR="00D753CC" w:rsidRPr="00074A91">
        <w:rPr>
          <w:b/>
          <w:lang w:val="es-ES"/>
        </w:rPr>
        <w:t xml:space="preserve"> (OP</w:t>
      </w:r>
      <w:r w:rsidR="00ED39CC" w:rsidRPr="00074A91">
        <w:rPr>
          <w:b/>
          <w:lang w:val="es-ES"/>
        </w:rPr>
        <w:t>/BP</w:t>
      </w:r>
      <w:r w:rsidR="00D753CC" w:rsidRPr="00074A91">
        <w:rPr>
          <w:b/>
          <w:lang w:val="es-ES"/>
        </w:rPr>
        <w:t xml:space="preserve"> 4.36)</w:t>
      </w:r>
    </w:p>
    <w:p w:rsidR="008D01B9" w:rsidRPr="00900FF9" w:rsidRDefault="008D01B9" w:rsidP="008D01B9">
      <w:pPr>
        <w:pStyle w:val="ListParagraph"/>
        <w:spacing w:after="200"/>
        <w:jc w:val="both"/>
        <w:rPr>
          <w:b/>
          <w:lang w:val="fr-FR"/>
        </w:rPr>
      </w:pPr>
    </w:p>
    <w:p w:rsidR="00D753CC" w:rsidRPr="00074A91" w:rsidRDefault="0045149A" w:rsidP="00E372D7">
      <w:pPr>
        <w:pStyle w:val="ListParagraph"/>
        <w:numPr>
          <w:ilvl w:val="0"/>
          <w:numId w:val="18"/>
        </w:numPr>
        <w:spacing w:after="200"/>
        <w:jc w:val="both"/>
        <w:rPr>
          <w:sz w:val="23"/>
          <w:szCs w:val="23"/>
          <w:lang w:val="es-ES"/>
        </w:rPr>
      </w:pPr>
      <w:r w:rsidRPr="00074A91">
        <w:rPr>
          <w:spacing w:val="-4"/>
          <w:sz w:val="23"/>
          <w:szCs w:val="23"/>
          <w:lang w:val="es-ES"/>
        </w:rPr>
        <w:t>La</w:t>
      </w:r>
      <w:r w:rsidR="00173A37">
        <w:rPr>
          <w:spacing w:val="-4"/>
          <w:sz w:val="23"/>
          <w:szCs w:val="23"/>
          <w:lang w:val="es-ES"/>
        </w:rPr>
        <w:t xml:space="preserve"> </w:t>
      </w:r>
      <w:r w:rsidR="00FF52DD" w:rsidRPr="00074A91">
        <w:rPr>
          <w:spacing w:val="-4"/>
          <w:sz w:val="23"/>
          <w:szCs w:val="23"/>
          <w:lang w:val="es-ES"/>
        </w:rPr>
        <w:t>regularización</w:t>
      </w:r>
      <w:r w:rsidRPr="00074A91">
        <w:rPr>
          <w:spacing w:val="-4"/>
          <w:sz w:val="23"/>
          <w:szCs w:val="23"/>
          <w:lang w:val="es-ES"/>
        </w:rPr>
        <w:t xml:space="preserve"> de tierras, en especial de las áreas rurales, quizá ejerza impactos negativos contra hábitats naturales críticos</w:t>
      </w:r>
      <w:r w:rsidR="00173A37">
        <w:rPr>
          <w:spacing w:val="-4"/>
          <w:sz w:val="23"/>
          <w:szCs w:val="23"/>
          <w:lang w:val="es-ES"/>
        </w:rPr>
        <w:t>, incluyendo</w:t>
      </w:r>
      <w:r w:rsidR="00E372D7" w:rsidRPr="00074A91">
        <w:rPr>
          <w:spacing w:val="-4"/>
          <w:sz w:val="23"/>
          <w:szCs w:val="23"/>
          <w:lang w:val="es-ES"/>
        </w:rPr>
        <w:t xml:space="preserve"> los bosques. Por ende, se activan las políticas de salvaguardas correspondientes a  Hábitats Naturales y  Bosques. Las cinco áreas protegidas a demarcar contienen hábitats naturales aunque estén deshabitadas. Los linderos de dichas áreas protegidas están bien definidas desde el punto de vista administrativo y el Proyecto en ningún momento los modificará. Asimismo, dichas áreas ya cuentan con planes de </w:t>
      </w:r>
      <w:r w:rsidR="00CA32A6">
        <w:rPr>
          <w:spacing w:val="-4"/>
          <w:sz w:val="23"/>
          <w:szCs w:val="23"/>
          <w:lang w:val="es-ES"/>
        </w:rPr>
        <w:t>manejo</w:t>
      </w:r>
      <w:r w:rsidR="00E372D7" w:rsidRPr="00074A91">
        <w:rPr>
          <w:spacing w:val="-4"/>
          <w:sz w:val="23"/>
          <w:szCs w:val="23"/>
          <w:lang w:val="es-ES"/>
        </w:rPr>
        <w:t xml:space="preserve"> ambiental aprobados por el </w:t>
      </w:r>
      <w:r w:rsidR="0002690A" w:rsidRPr="00074A91">
        <w:rPr>
          <w:spacing w:val="-4"/>
          <w:sz w:val="23"/>
          <w:szCs w:val="23"/>
          <w:lang w:val="es-ES"/>
        </w:rPr>
        <w:t>MARENA</w:t>
      </w:r>
      <w:r w:rsidR="00CA32A6">
        <w:rPr>
          <w:spacing w:val="-4"/>
          <w:sz w:val="23"/>
          <w:szCs w:val="23"/>
          <w:lang w:val="es-ES"/>
        </w:rPr>
        <w:t xml:space="preserve"> </w:t>
      </w:r>
      <w:r w:rsidR="00FF357C" w:rsidRPr="00074A91">
        <w:rPr>
          <w:spacing w:val="-4"/>
          <w:sz w:val="23"/>
          <w:szCs w:val="23"/>
          <w:lang w:val="es-ES"/>
        </w:rPr>
        <w:t>y</w:t>
      </w:r>
      <w:r w:rsidR="0002690A" w:rsidRPr="00074A91">
        <w:rPr>
          <w:spacing w:val="-4"/>
          <w:sz w:val="23"/>
          <w:szCs w:val="23"/>
          <w:lang w:val="es-ES"/>
        </w:rPr>
        <w:t xml:space="preserve"> el Proyecto no pretende revisarlos o cambiar las zonas existentes. Se espera que el Proyecto contribuya a la </w:t>
      </w:r>
      <w:r w:rsidR="0002690A" w:rsidRPr="00074A91">
        <w:rPr>
          <w:spacing w:val="-4"/>
          <w:sz w:val="23"/>
          <w:szCs w:val="23"/>
          <w:lang w:val="es-ES"/>
        </w:rPr>
        <w:lastRenderedPageBreak/>
        <w:t>preservación de los hábitats naturales al amojonar físicamente los linderos y actualizar la cartografía local mediante registros georreferenciados.</w:t>
      </w:r>
    </w:p>
    <w:p w:rsidR="000767E5" w:rsidRPr="00074A91" w:rsidRDefault="000767E5" w:rsidP="000767E5">
      <w:pPr>
        <w:pStyle w:val="ListParagraph"/>
        <w:spacing w:after="200"/>
        <w:ind w:left="0"/>
        <w:jc w:val="both"/>
        <w:rPr>
          <w:sz w:val="23"/>
          <w:szCs w:val="23"/>
          <w:lang w:val="es-ES"/>
        </w:rPr>
      </w:pPr>
    </w:p>
    <w:p w:rsidR="00FF716A" w:rsidRPr="00074A91" w:rsidRDefault="00E91689" w:rsidP="00AC378F">
      <w:pPr>
        <w:pStyle w:val="ListParagraph"/>
        <w:numPr>
          <w:ilvl w:val="0"/>
          <w:numId w:val="18"/>
        </w:numPr>
        <w:spacing w:after="200"/>
        <w:jc w:val="both"/>
        <w:rPr>
          <w:sz w:val="23"/>
          <w:szCs w:val="23"/>
          <w:lang w:val="es-ES"/>
        </w:rPr>
      </w:pPr>
      <w:r w:rsidRPr="00074A91">
        <w:rPr>
          <w:sz w:val="23"/>
          <w:szCs w:val="23"/>
          <w:lang w:val="es-ES"/>
        </w:rPr>
        <w:t>La</w:t>
      </w:r>
      <w:r w:rsidR="00CA32A6">
        <w:rPr>
          <w:sz w:val="23"/>
          <w:szCs w:val="23"/>
          <w:lang w:val="es-ES"/>
        </w:rPr>
        <w:t xml:space="preserve"> </w:t>
      </w:r>
      <w:r w:rsidRPr="00074A91">
        <w:rPr>
          <w:sz w:val="23"/>
          <w:szCs w:val="23"/>
          <w:lang w:val="es-ES"/>
        </w:rPr>
        <w:t>salvaguarda de Bosques se activ</w:t>
      </w:r>
      <w:r w:rsidR="00CA32A6">
        <w:rPr>
          <w:sz w:val="23"/>
          <w:szCs w:val="23"/>
          <w:lang w:val="es-ES"/>
        </w:rPr>
        <w:t>a</w:t>
      </w:r>
      <w:r w:rsidRPr="00074A91">
        <w:rPr>
          <w:sz w:val="23"/>
          <w:szCs w:val="23"/>
          <w:lang w:val="es-ES"/>
        </w:rPr>
        <w:t xml:space="preserve"> porque las áreas protegidas a demarcar albergan bosques. Sin embargo, el Proyecto no financia ninguna actividad forestal (natural o plantación). Se espera que el Proyecto contribuya a preservar los bosques al amojonar los linderos administrativos de las áreas protegidas y al actualizar la cartografía a través de </w:t>
      </w:r>
      <w:r w:rsidR="00AC378F" w:rsidRPr="00074A91">
        <w:rPr>
          <w:sz w:val="23"/>
          <w:szCs w:val="23"/>
          <w:lang w:val="es-ES"/>
        </w:rPr>
        <w:t>puntos georreferenciados.</w:t>
      </w:r>
    </w:p>
    <w:p w:rsidR="00FF716A" w:rsidRPr="00074A91" w:rsidRDefault="00FF716A" w:rsidP="00FF716A">
      <w:pPr>
        <w:pStyle w:val="ListParagraph"/>
        <w:spacing w:after="200"/>
        <w:ind w:left="0"/>
        <w:jc w:val="both"/>
        <w:rPr>
          <w:sz w:val="23"/>
          <w:szCs w:val="23"/>
          <w:lang w:val="es-ES"/>
        </w:rPr>
      </w:pPr>
    </w:p>
    <w:p w:rsidR="00D753CC" w:rsidRPr="00ED1A83" w:rsidRDefault="00ED1A83" w:rsidP="00F91221">
      <w:pPr>
        <w:pStyle w:val="ListParagraph"/>
        <w:numPr>
          <w:ilvl w:val="0"/>
          <w:numId w:val="27"/>
        </w:numPr>
        <w:rPr>
          <w:b/>
          <w:lang w:val="es-ES"/>
        </w:rPr>
      </w:pPr>
      <w:r w:rsidRPr="00ED1A83">
        <w:rPr>
          <w:b/>
          <w:lang w:val="es-ES"/>
        </w:rPr>
        <w:t>Patrimonios</w:t>
      </w:r>
      <w:r w:rsidR="00D753CC" w:rsidRPr="00ED1A83">
        <w:rPr>
          <w:b/>
          <w:lang w:val="es-ES"/>
        </w:rPr>
        <w:t xml:space="preserve"> Cultural</w:t>
      </w:r>
      <w:r w:rsidRPr="00ED1A83">
        <w:rPr>
          <w:b/>
          <w:lang w:val="es-ES"/>
        </w:rPr>
        <w:t>es</w:t>
      </w:r>
      <w:r w:rsidR="00CA32A6">
        <w:rPr>
          <w:b/>
          <w:lang w:val="es-ES"/>
        </w:rPr>
        <w:t xml:space="preserve"> </w:t>
      </w:r>
      <w:r w:rsidRPr="00ED1A83">
        <w:rPr>
          <w:b/>
          <w:lang w:val="es-ES"/>
        </w:rPr>
        <w:t>Tangibles</w:t>
      </w:r>
      <w:r w:rsidR="00D753CC" w:rsidRPr="00ED1A83">
        <w:rPr>
          <w:b/>
          <w:lang w:val="es-ES"/>
        </w:rPr>
        <w:t xml:space="preserve"> (OP</w:t>
      </w:r>
      <w:r w:rsidR="00ED39CC" w:rsidRPr="00ED1A83">
        <w:rPr>
          <w:b/>
          <w:lang w:val="es-ES"/>
        </w:rPr>
        <w:t>/BP</w:t>
      </w:r>
      <w:r w:rsidR="00D753CC" w:rsidRPr="00ED1A83">
        <w:rPr>
          <w:b/>
          <w:lang w:val="es-ES"/>
        </w:rPr>
        <w:t xml:space="preserve"> 4.11)</w:t>
      </w:r>
    </w:p>
    <w:p w:rsidR="00D753CC" w:rsidRPr="00ED1A83" w:rsidRDefault="00D753CC" w:rsidP="00D753CC">
      <w:pPr>
        <w:rPr>
          <w:lang w:val="es-ES"/>
        </w:rPr>
      </w:pPr>
    </w:p>
    <w:p w:rsidR="00ED1A83" w:rsidRPr="003E2BB3" w:rsidRDefault="00ED1A83" w:rsidP="00FF33C1">
      <w:pPr>
        <w:pStyle w:val="ListParagraph"/>
        <w:numPr>
          <w:ilvl w:val="0"/>
          <w:numId w:val="18"/>
        </w:numPr>
        <w:spacing w:after="200"/>
        <w:jc w:val="both"/>
        <w:rPr>
          <w:sz w:val="23"/>
          <w:szCs w:val="23"/>
          <w:lang w:val="es-ES"/>
        </w:rPr>
      </w:pPr>
      <w:r w:rsidRPr="003E2BB3">
        <w:rPr>
          <w:sz w:val="23"/>
          <w:szCs w:val="23"/>
          <w:lang w:val="es-ES"/>
        </w:rPr>
        <w:t>El Proyecto financiará la conservación de todos los patrimonios culturales y arqueológicos tangibles que se encuentren dentro del área de influencia del Proyecto al delimitar cualquier sitio no declarado. Las actividades con posibles riesgos son las obras civiles menores, el levantamiento catastral, la demarcación de áreas protegidas y la demarcación de los</w:t>
      </w:r>
      <w:r w:rsidRPr="003E2BB3">
        <w:rPr>
          <w:sz w:val="23"/>
          <w:szCs w:val="23"/>
          <w:lang w:val="es-NI"/>
        </w:rPr>
        <w:t xml:space="preserve"> territorios indígenas.</w:t>
      </w:r>
      <w:r w:rsidR="00423FF8" w:rsidRPr="003E2BB3">
        <w:rPr>
          <w:sz w:val="23"/>
          <w:szCs w:val="23"/>
          <w:lang w:val="es-NI"/>
        </w:rPr>
        <w:t xml:space="preserve"> El Proyecto se rige por las leyes y procedimientos nacionales en cuanto a los patrimonios culturales tangibles con la finalidad de abordar cualquier “descubrimiento fortuito”. En estos casos, la ubicación exacta de los sitios se le comunicaría al Instituto Nicaragüense de Cultura, el cual en alianza con la municipalidad respectiva y conforme con las leyes nacionales, decidirá las acciones y regulaciones que se aplicarían para proteger el patrimonio cultural específico. Finalmente, el </w:t>
      </w:r>
      <w:r w:rsidR="00A26CBA" w:rsidRPr="003E2BB3">
        <w:rPr>
          <w:sz w:val="23"/>
          <w:szCs w:val="23"/>
          <w:lang w:val="es-NI"/>
        </w:rPr>
        <w:t xml:space="preserve">estudio social ayudó a identificar los lugares sagrados y paisajes de importancia cultural de los </w:t>
      </w:r>
      <w:r w:rsidR="00356822">
        <w:rPr>
          <w:sz w:val="23"/>
          <w:szCs w:val="23"/>
          <w:lang w:val="es-NI"/>
        </w:rPr>
        <w:t>P</w:t>
      </w:r>
      <w:r w:rsidR="00A26CBA" w:rsidRPr="003E2BB3">
        <w:rPr>
          <w:sz w:val="23"/>
          <w:szCs w:val="23"/>
          <w:lang w:val="es-NI"/>
        </w:rPr>
        <w:t xml:space="preserve">ueblos </w:t>
      </w:r>
      <w:r w:rsidR="00356822">
        <w:rPr>
          <w:sz w:val="23"/>
          <w:szCs w:val="23"/>
          <w:lang w:val="es-NI"/>
        </w:rPr>
        <w:t>I</w:t>
      </w:r>
      <w:r w:rsidR="00A26CBA" w:rsidRPr="003E2BB3">
        <w:rPr>
          <w:sz w:val="23"/>
          <w:szCs w:val="23"/>
          <w:lang w:val="es-NI"/>
        </w:rPr>
        <w:t xml:space="preserve">ndígenas. El PPI contempla acciones para evitar, minimizar o mitigar cualquier posible riesgo que ponga en peligro los patrimonios culturales tangibles de los </w:t>
      </w:r>
      <w:r w:rsidR="00356822">
        <w:rPr>
          <w:sz w:val="23"/>
          <w:szCs w:val="23"/>
          <w:lang w:val="es-NI"/>
        </w:rPr>
        <w:t>P</w:t>
      </w:r>
      <w:r w:rsidR="00A26CBA" w:rsidRPr="003E2BB3">
        <w:rPr>
          <w:sz w:val="23"/>
          <w:szCs w:val="23"/>
          <w:lang w:val="es-NI"/>
        </w:rPr>
        <w:t xml:space="preserve">ueblos </w:t>
      </w:r>
      <w:r w:rsidR="00356822">
        <w:rPr>
          <w:sz w:val="23"/>
          <w:szCs w:val="23"/>
          <w:lang w:val="es-NI"/>
        </w:rPr>
        <w:t>I</w:t>
      </w:r>
      <w:r w:rsidR="00A26CBA" w:rsidRPr="003E2BB3">
        <w:rPr>
          <w:sz w:val="23"/>
          <w:szCs w:val="23"/>
          <w:lang w:val="es-NI"/>
        </w:rPr>
        <w:t>ndígenas.</w:t>
      </w:r>
    </w:p>
    <w:p w:rsidR="005D379D" w:rsidRPr="00A26CBA" w:rsidRDefault="005D379D" w:rsidP="00A26CBA">
      <w:pPr>
        <w:pStyle w:val="ListParagraph"/>
        <w:spacing w:after="200"/>
        <w:ind w:left="0"/>
        <w:jc w:val="both"/>
        <w:rPr>
          <w:lang w:val="es-ES"/>
        </w:rPr>
      </w:pPr>
    </w:p>
    <w:p w:rsidR="005D379D" w:rsidRPr="00ED1A83" w:rsidRDefault="00A26CBA" w:rsidP="00F91221">
      <w:pPr>
        <w:pStyle w:val="ListParagraph"/>
        <w:widowControl w:val="0"/>
        <w:numPr>
          <w:ilvl w:val="0"/>
          <w:numId w:val="27"/>
        </w:numPr>
        <w:autoSpaceDE w:val="0"/>
        <w:autoSpaceDN w:val="0"/>
        <w:adjustRightInd w:val="0"/>
        <w:jc w:val="both"/>
        <w:rPr>
          <w:b/>
          <w:lang w:val="es-ES"/>
        </w:rPr>
      </w:pPr>
      <w:r>
        <w:rPr>
          <w:b/>
          <w:lang w:val="es-ES"/>
        </w:rPr>
        <w:t>Estudio Social</w:t>
      </w:r>
    </w:p>
    <w:p w:rsidR="005D379D" w:rsidRPr="00ED1A83" w:rsidRDefault="005D379D" w:rsidP="005D379D">
      <w:pPr>
        <w:pStyle w:val="NoSpacing"/>
        <w:jc w:val="both"/>
        <w:rPr>
          <w:rFonts w:ascii="Arial" w:hAnsi="Arial" w:cs="Arial"/>
          <w:lang w:val="es-ES"/>
        </w:rPr>
      </w:pPr>
    </w:p>
    <w:p w:rsidR="005D379D" w:rsidRPr="003E2BB3" w:rsidRDefault="00DF0000" w:rsidP="000D235D">
      <w:pPr>
        <w:pStyle w:val="ListParagraph"/>
        <w:numPr>
          <w:ilvl w:val="0"/>
          <w:numId w:val="18"/>
        </w:numPr>
        <w:jc w:val="both"/>
        <w:rPr>
          <w:sz w:val="23"/>
          <w:szCs w:val="23"/>
          <w:lang w:val="es-NI"/>
        </w:rPr>
      </w:pPr>
      <w:r w:rsidRPr="003E2BB3">
        <w:rPr>
          <w:sz w:val="23"/>
          <w:szCs w:val="23"/>
          <w:lang w:val="es-NI"/>
        </w:rPr>
        <w:t>Se llevó a cabo un estudio social para analizar los puntos de vista de los grupos sociales más vulnerables ubicados en el área de influencia del Proyecto, en relación con los impactos que esperan del Proyecto y su interés de participar en las actividades del mismo. El estudio capturó datos primarios a través de entrevistas semi</w:t>
      </w:r>
      <w:r w:rsidR="00D464A0" w:rsidRPr="003E2BB3">
        <w:rPr>
          <w:sz w:val="23"/>
          <w:szCs w:val="23"/>
          <w:lang w:val="es-NI"/>
        </w:rPr>
        <w:t>-</w:t>
      </w:r>
      <w:r w:rsidRPr="003E2BB3">
        <w:rPr>
          <w:sz w:val="23"/>
          <w:szCs w:val="23"/>
          <w:lang w:val="es-NI"/>
        </w:rPr>
        <w:t>estructuradas</w:t>
      </w:r>
      <w:r w:rsidR="00D464A0" w:rsidRPr="003E2BB3">
        <w:rPr>
          <w:sz w:val="23"/>
          <w:szCs w:val="23"/>
          <w:lang w:val="es-NI"/>
        </w:rPr>
        <w:t xml:space="preserve"> realizadas al personal de la agencias co-ejecutoras, grupos focales con representantes de las comunidades indígenas y talleres informativos y de consulta realizados con l</w:t>
      </w:r>
      <w:r w:rsidR="00356822">
        <w:rPr>
          <w:sz w:val="23"/>
          <w:szCs w:val="23"/>
          <w:lang w:val="es-NI"/>
        </w:rPr>
        <w:t>a</w:t>
      </w:r>
      <w:r w:rsidR="00D464A0" w:rsidRPr="003E2BB3">
        <w:rPr>
          <w:sz w:val="23"/>
          <w:szCs w:val="23"/>
          <w:lang w:val="es-NI"/>
        </w:rPr>
        <w:t>s</w:t>
      </w:r>
      <w:r w:rsidR="00356822">
        <w:rPr>
          <w:sz w:val="23"/>
          <w:szCs w:val="23"/>
          <w:lang w:val="es-NI"/>
        </w:rPr>
        <w:t xml:space="preserve"> personas</w:t>
      </w:r>
      <w:r w:rsidR="00D464A0" w:rsidRPr="003E2BB3">
        <w:rPr>
          <w:sz w:val="23"/>
          <w:szCs w:val="23"/>
          <w:lang w:val="es-NI"/>
        </w:rPr>
        <w:t xml:space="preserve"> representantes de comunidades no indígenas, así como </w:t>
      </w:r>
      <w:r w:rsidR="00356822">
        <w:rPr>
          <w:sz w:val="23"/>
          <w:szCs w:val="23"/>
          <w:lang w:val="es-NI"/>
        </w:rPr>
        <w:t xml:space="preserve">personas productoras rurales de </w:t>
      </w:r>
      <w:r w:rsidR="00D464A0" w:rsidRPr="003E2BB3">
        <w:rPr>
          <w:sz w:val="23"/>
          <w:szCs w:val="23"/>
          <w:lang w:val="es-NI"/>
        </w:rPr>
        <w:t>pequeñ</w:t>
      </w:r>
      <w:r w:rsidR="00356822">
        <w:rPr>
          <w:sz w:val="23"/>
          <w:szCs w:val="23"/>
          <w:lang w:val="es-NI"/>
        </w:rPr>
        <w:t>a</w:t>
      </w:r>
      <w:r w:rsidR="00D464A0" w:rsidRPr="003E2BB3">
        <w:rPr>
          <w:sz w:val="23"/>
          <w:szCs w:val="23"/>
          <w:lang w:val="es-NI"/>
        </w:rPr>
        <w:t>s y median</w:t>
      </w:r>
      <w:r w:rsidR="00356822">
        <w:rPr>
          <w:sz w:val="23"/>
          <w:szCs w:val="23"/>
          <w:lang w:val="es-NI"/>
        </w:rPr>
        <w:t>a escala</w:t>
      </w:r>
      <w:r w:rsidR="00D464A0" w:rsidRPr="003E2BB3">
        <w:rPr>
          <w:sz w:val="23"/>
          <w:szCs w:val="23"/>
          <w:lang w:val="es-NI"/>
        </w:rPr>
        <w:t>. Los hallazgos, entre ellos las versiones borrador de los instrumentos de salvaguardas propuestos</w:t>
      </w:r>
      <w:r w:rsidR="000D235D" w:rsidRPr="003E2BB3">
        <w:rPr>
          <w:sz w:val="23"/>
          <w:szCs w:val="23"/>
          <w:lang w:val="es-NI"/>
        </w:rPr>
        <w:t>, fueron discutidos con l</w:t>
      </w:r>
      <w:r w:rsidR="00356822">
        <w:rPr>
          <w:sz w:val="23"/>
          <w:szCs w:val="23"/>
          <w:lang w:val="es-NI"/>
        </w:rPr>
        <w:t>a</w:t>
      </w:r>
      <w:r w:rsidR="000D235D" w:rsidRPr="003E2BB3">
        <w:rPr>
          <w:sz w:val="23"/>
          <w:szCs w:val="23"/>
          <w:lang w:val="es-NI"/>
        </w:rPr>
        <w:t xml:space="preserve">s </w:t>
      </w:r>
      <w:r w:rsidR="00356822">
        <w:rPr>
          <w:sz w:val="23"/>
          <w:szCs w:val="23"/>
          <w:lang w:val="es-NI"/>
        </w:rPr>
        <w:t xml:space="preserve">personas </w:t>
      </w:r>
      <w:r w:rsidR="000D235D" w:rsidRPr="003E2BB3">
        <w:rPr>
          <w:sz w:val="23"/>
          <w:szCs w:val="23"/>
          <w:lang w:val="es-NI"/>
        </w:rPr>
        <w:t>involucrad</w:t>
      </w:r>
      <w:r w:rsidR="00356822">
        <w:rPr>
          <w:sz w:val="23"/>
          <w:szCs w:val="23"/>
          <w:lang w:val="es-NI"/>
        </w:rPr>
        <w:t>a</w:t>
      </w:r>
      <w:r w:rsidR="000D235D" w:rsidRPr="003E2BB3">
        <w:rPr>
          <w:sz w:val="23"/>
          <w:szCs w:val="23"/>
          <w:lang w:val="es-NI"/>
        </w:rPr>
        <w:t xml:space="preserve">s y </w:t>
      </w:r>
      <w:r w:rsidR="00356822">
        <w:rPr>
          <w:sz w:val="23"/>
          <w:szCs w:val="23"/>
          <w:lang w:val="es-NI"/>
        </w:rPr>
        <w:t xml:space="preserve">personas </w:t>
      </w:r>
      <w:r w:rsidR="000D235D" w:rsidRPr="003E2BB3">
        <w:rPr>
          <w:sz w:val="23"/>
          <w:szCs w:val="23"/>
          <w:lang w:val="es-NI"/>
        </w:rPr>
        <w:t>beneficiari</w:t>
      </w:r>
      <w:r w:rsidR="00356822">
        <w:rPr>
          <w:sz w:val="23"/>
          <w:szCs w:val="23"/>
          <w:lang w:val="es-NI"/>
        </w:rPr>
        <w:t>a</w:t>
      </w:r>
      <w:r w:rsidR="000D235D" w:rsidRPr="003E2BB3">
        <w:rPr>
          <w:sz w:val="23"/>
          <w:szCs w:val="23"/>
          <w:lang w:val="es-NI"/>
        </w:rPr>
        <w:t>s potenciales en tres consultas públicas celebradas entre el 15 y el 30 de octubre del 2012, en varias locaciones del área de influencia del Proyecto.</w:t>
      </w:r>
      <w:r w:rsidR="005D379D" w:rsidRPr="003E2BB3">
        <w:rPr>
          <w:rStyle w:val="FootnoteReference"/>
          <w:sz w:val="23"/>
          <w:szCs w:val="23"/>
          <w:lang w:val="es-ES"/>
        </w:rPr>
        <w:footnoteReference w:id="30"/>
      </w:r>
    </w:p>
    <w:p w:rsidR="005D379D" w:rsidRPr="003E2BB3" w:rsidRDefault="005D379D" w:rsidP="005D379D">
      <w:pPr>
        <w:pStyle w:val="ListParagraph"/>
        <w:ind w:left="0"/>
        <w:jc w:val="both"/>
        <w:rPr>
          <w:sz w:val="23"/>
          <w:szCs w:val="23"/>
          <w:lang w:val="es-ES"/>
        </w:rPr>
      </w:pPr>
    </w:p>
    <w:p w:rsidR="000D235D" w:rsidRPr="003E2BB3" w:rsidRDefault="000D235D" w:rsidP="00CD5061">
      <w:pPr>
        <w:pStyle w:val="ListParagraph"/>
        <w:numPr>
          <w:ilvl w:val="0"/>
          <w:numId w:val="18"/>
        </w:numPr>
        <w:jc w:val="both"/>
        <w:rPr>
          <w:sz w:val="23"/>
          <w:szCs w:val="23"/>
          <w:lang w:val="es-ES"/>
        </w:rPr>
      </w:pPr>
      <w:r w:rsidRPr="003E2BB3">
        <w:rPr>
          <w:sz w:val="23"/>
          <w:szCs w:val="23"/>
          <w:lang w:val="es-NI"/>
        </w:rPr>
        <w:t xml:space="preserve">El estudio social ayudó a identificar una gama de conflictos por la tenencia de la tierra, en su mayoría </w:t>
      </w:r>
      <w:r w:rsidR="00CD5061" w:rsidRPr="003E2BB3">
        <w:rPr>
          <w:sz w:val="23"/>
          <w:szCs w:val="23"/>
          <w:lang w:val="es-NI"/>
        </w:rPr>
        <w:t xml:space="preserve">relativos a la necesidad de reconocer los derechos de propiedad de colectivos de </w:t>
      </w:r>
      <w:r w:rsidR="00356822">
        <w:rPr>
          <w:sz w:val="23"/>
          <w:szCs w:val="23"/>
          <w:lang w:val="es-NI"/>
        </w:rPr>
        <w:t>personas a</w:t>
      </w:r>
      <w:r w:rsidR="00CD5061" w:rsidRPr="003E2BB3">
        <w:rPr>
          <w:sz w:val="23"/>
          <w:szCs w:val="23"/>
          <w:lang w:val="es-NI"/>
        </w:rPr>
        <w:t>ctor</w:t>
      </w:r>
      <w:r w:rsidR="00356822">
        <w:rPr>
          <w:sz w:val="23"/>
          <w:szCs w:val="23"/>
          <w:lang w:val="es-NI"/>
        </w:rPr>
        <w:t>a</w:t>
      </w:r>
      <w:r w:rsidR="00CD5061" w:rsidRPr="003E2BB3">
        <w:rPr>
          <w:sz w:val="23"/>
          <w:szCs w:val="23"/>
          <w:lang w:val="es-NI"/>
        </w:rPr>
        <w:t>s por parte de otros grupos. El estudio recomienda cuatro áreas de intervención: (i) Mejorar los mecanismos de información y consulta con l</w:t>
      </w:r>
      <w:r w:rsidR="00356822">
        <w:rPr>
          <w:sz w:val="23"/>
          <w:szCs w:val="23"/>
          <w:lang w:val="es-NI"/>
        </w:rPr>
        <w:t>a</w:t>
      </w:r>
      <w:r w:rsidR="00CD5061" w:rsidRPr="003E2BB3">
        <w:rPr>
          <w:sz w:val="23"/>
          <w:szCs w:val="23"/>
          <w:lang w:val="es-NI"/>
        </w:rPr>
        <w:t>s</w:t>
      </w:r>
      <w:r w:rsidR="00356822">
        <w:rPr>
          <w:sz w:val="23"/>
          <w:szCs w:val="23"/>
          <w:lang w:val="es-NI"/>
        </w:rPr>
        <w:t xml:space="preserve"> personas </w:t>
      </w:r>
      <w:r w:rsidR="00CD5061" w:rsidRPr="003E2BB3">
        <w:rPr>
          <w:sz w:val="23"/>
          <w:szCs w:val="23"/>
          <w:lang w:val="es-NI"/>
        </w:rPr>
        <w:t xml:space="preserve"> beneficiari</w:t>
      </w:r>
      <w:r w:rsidR="00356822">
        <w:rPr>
          <w:sz w:val="23"/>
          <w:szCs w:val="23"/>
          <w:lang w:val="es-NI"/>
        </w:rPr>
        <w:t>a</w:t>
      </w:r>
      <w:r w:rsidR="00CD5061" w:rsidRPr="003E2BB3">
        <w:rPr>
          <w:sz w:val="23"/>
          <w:szCs w:val="23"/>
          <w:lang w:val="es-NI"/>
        </w:rPr>
        <w:t>s; (ii) Brindar capacitaciones en torno a la regularización, administración y gestión de tierras; (iii) Fortalecer la participación de las comunidades indígenas y no indígenas en la</w:t>
      </w:r>
      <w:r w:rsidR="00193FC2" w:rsidRPr="003E2BB3">
        <w:rPr>
          <w:sz w:val="23"/>
          <w:szCs w:val="23"/>
          <w:lang w:val="es-NI"/>
        </w:rPr>
        <w:t xml:space="preserve"> regularización de las tierras, demarcación y titulación de los territorios indígenas y demarcación de las áreas protegidas; (iv) Fortalec</w:t>
      </w:r>
      <w:r w:rsidR="002615B7">
        <w:rPr>
          <w:sz w:val="23"/>
          <w:szCs w:val="23"/>
          <w:lang w:val="es-NI"/>
        </w:rPr>
        <w:t>er</w:t>
      </w:r>
      <w:r w:rsidR="00193FC2" w:rsidRPr="003E2BB3">
        <w:rPr>
          <w:sz w:val="23"/>
          <w:szCs w:val="23"/>
          <w:lang w:val="es-NI"/>
        </w:rPr>
        <w:t xml:space="preserve"> la participación de l</w:t>
      </w:r>
      <w:r w:rsidR="002615B7">
        <w:rPr>
          <w:sz w:val="23"/>
          <w:szCs w:val="23"/>
          <w:lang w:val="es-NI"/>
        </w:rPr>
        <w:t>a</w:t>
      </w:r>
      <w:r w:rsidR="00193FC2" w:rsidRPr="003E2BB3">
        <w:rPr>
          <w:sz w:val="23"/>
          <w:szCs w:val="23"/>
          <w:lang w:val="es-NI"/>
        </w:rPr>
        <w:t>s</w:t>
      </w:r>
      <w:r w:rsidR="009F3769">
        <w:rPr>
          <w:sz w:val="23"/>
          <w:szCs w:val="23"/>
          <w:lang w:val="es-NI"/>
        </w:rPr>
        <w:t xml:space="preserve"> per</w:t>
      </w:r>
      <w:r w:rsidR="002615B7">
        <w:rPr>
          <w:sz w:val="23"/>
          <w:szCs w:val="23"/>
          <w:lang w:val="es-NI"/>
        </w:rPr>
        <w:t>s</w:t>
      </w:r>
      <w:r w:rsidR="009F3769">
        <w:rPr>
          <w:sz w:val="23"/>
          <w:szCs w:val="23"/>
          <w:lang w:val="es-NI"/>
        </w:rPr>
        <w:t>o</w:t>
      </w:r>
      <w:r w:rsidR="002615B7">
        <w:rPr>
          <w:sz w:val="23"/>
          <w:szCs w:val="23"/>
          <w:lang w:val="es-NI"/>
        </w:rPr>
        <w:t>nas</w:t>
      </w:r>
      <w:r w:rsidR="00193FC2" w:rsidRPr="003E2BB3">
        <w:rPr>
          <w:sz w:val="23"/>
          <w:szCs w:val="23"/>
          <w:lang w:val="es-NI"/>
        </w:rPr>
        <w:t xml:space="preserve"> beneficiari</w:t>
      </w:r>
      <w:r w:rsidR="002615B7">
        <w:rPr>
          <w:sz w:val="23"/>
          <w:szCs w:val="23"/>
          <w:lang w:val="es-NI"/>
        </w:rPr>
        <w:t>a</w:t>
      </w:r>
      <w:r w:rsidR="00193FC2" w:rsidRPr="003E2BB3">
        <w:rPr>
          <w:sz w:val="23"/>
          <w:szCs w:val="23"/>
          <w:lang w:val="es-NI"/>
        </w:rPr>
        <w:t>s en el monitoreo y evaluación. La estrategia de comunicación y el mecanismo de atención a quejas y denuncias</w:t>
      </w:r>
      <w:r w:rsidR="005709E1" w:rsidRPr="003E2BB3">
        <w:rPr>
          <w:sz w:val="23"/>
          <w:szCs w:val="23"/>
          <w:lang w:val="es-NI"/>
        </w:rPr>
        <w:t xml:space="preserve"> reforzará los mecanismos de comunicación y los procesos participativos.</w:t>
      </w:r>
    </w:p>
    <w:p w:rsidR="008D01B9" w:rsidRPr="005709E1" w:rsidRDefault="008D01B9" w:rsidP="008D01B9">
      <w:pPr>
        <w:pStyle w:val="ListParagraph"/>
        <w:spacing w:after="200"/>
        <w:ind w:left="0"/>
        <w:jc w:val="both"/>
        <w:rPr>
          <w:lang w:val="es-ES"/>
        </w:rPr>
      </w:pPr>
    </w:p>
    <w:p w:rsidR="007A23E6" w:rsidRPr="005709E1" w:rsidRDefault="005709E1" w:rsidP="00F91221">
      <w:pPr>
        <w:pStyle w:val="ListParagraph"/>
        <w:numPr>
          <w:ilvl w:val="0"/>
          <w:numId w:val="27"/>
        </w:numPr>
        <w:jc w:val="both"/>
        <w:rPr>
          <w:b/>
          <w:lang w:val="es-ES"/>
        </w:rPr>
      </w:pPr>
      <w:r w:rsidRPr="005709E1">
        <w:rPr>
          <w:b/>
          <w:lang w:val="es-ES"/>
        </w:rPr>
        <w:t xml:space="preserve">Pueblos Indígenas </w:t>
      </w:r>
      <w:r w:rsidR="007A23E6" w:rsidRPr="005709E1">
        <w:rPr>
          <w:b/>
          <w:lang w:val="es-ES"/>
        </w:rPr>
        <w:t>(OP</w:t>
      </w:r>
      <w:r w:rsidR="00ED39CC" w:rsidRPr="005709E1">
        <w:rPr>
          <w:b/>
          <w:lang w:val="es-ES"/>
        </w:rPr>
        <w:t>/BP</w:t>
      </w:r>
      <w:r w:rsidR="007A23E6" w:rsidRPr="005709E1">
        <w:rPr>
          <w:b/>
          <w:lang w:val="es-ES"/>
        </w:rPr>
        <w:t xml:space="preserve"> 4.10)</w:t>
      </w:r>
    </w:p>
    <w:p w:rsidR="007A23E6" w:rsidRPr="005709E1" w:rsidRDefault="007A23E6" w:rsidP="007A23E6">
      <w:pPr>
        <w:pStyle w:val="ListParagraph"/>
        <w:ind w:left="0"/>
        <w:jc w:val="both"/>
        <w:rPr>
          <w:lang w:val="es-ES"/>
        </w:rPr>
      </w:pPr>
    </w:p>
    <w:p w:rsidR="007A23E6" w:rsidRPr="003E2BB3" w:rsidRDefault="005709E1" w:rsidP="00A2161C">
      <w:pPr>
        <w:pStyle w:val="ListParagraph"/>
        <w:numPr>
          <w:ilvl w:val="0"/>
          <w:numId w:val="18"/>
        </w:numPr>
        <w:jc w:val="both"/>
        <w:rPr>
          <w:sz w:val="23"/>
          <w:szCs w:val="23"/>
          <w:lang w:val="es-ES"/>
        </w:rPr>
      </w:pPr>
      <w:r w:rsidRPr="003E2BB3">
        <w:rPr>
          <w:sz w:val="23"/>
          <w:szCs w:val="23"/>
          <w:lang w:val="es-NI"/>
        </w:rPr>
        <w:t>La presencia</w:t>
      </w:r>
      <w:r w:rsidR="002615B7">
        <w:rPr>
          <w:sz w:val="23"/>
          <w:szCs w:val="23"/>
          <w:lang w:val="es-NI"/>
        </w:rPr>
        <w:t xml:space="preserve"> </w:t>
      </w:r>
      <w:r w:rsidR="00903C43" w:rsidRPr="003E2BB3">
        <w:rPr>
          <w:sz w:val="23"/>
          <w:szCs w:val="23"/>
          <w:lang w:val="es-NI"/>
        </w:rPr>
        <w:t>de</w:t>
      </w:r>
      <w:r w:rsidR="002615B7">
        <w:rPr>
          <w:sz w:val="23"/>
          <w:szCs w:val="23"/>
          <w:lang w:val="es-NI"/>
        </w:rPr>
        <w:t xml:space="preserve"> </w:t>
      </w:r>
      <w:r w:rsidRPr="003E2BB3">
        <w:rPr>
          <w:sz w:val="23"/>
          <w:szCs w:val="23"/>
          <w:lang w:val="es-NI"/>
        </w:rPr>
        <w:t xml:space="preserve">comunidades indígenas en el área del Proyecto </w:t>
      </w:r>
      <w:r w:rsidR="00814B76" w:rsidRPr="003E2BB3">
        <w:rPr>
          <w:sz w:val="23"/>
          <w:szCs w:val="23"/>
          <w:lang w:val="es-NI"/>
        </w:rPr>
        <w:t>y la demarcación y titulación de las áreas complementarias de los territorios indígenas en el  régimen especial de desarrollo de Bosaw</w:t>
      </w:r>
      <w:r w:rsidR="002615B7">
        <w:rPr>
          <w:sz w:val="23"/>
          <w:szCs w:val="23"/>
          <w:lang w:val="es-NI"/>
        </w:rPr>
        <w:t>á</w:t>
      </w:r>
      <w:r w:rsidR="00814B76" w:rsidRPr="003E2BB3">
        <w:rPr>
          <w:sz w:val="23"/>
          <w:szCs w:val="23"/>
          <w:lang w:val="es-NI"/>
        </w:rPr>
        <w:t xml:space="preserve">s exige contar con un PPI para garantizar </w:t>
      </w:r>
      <w:r w:rsidR="00DC5117" w:rsidRPr="003E2BB3">
        <w:rPr>
          <w:sz w:val="23"/>
          <w:szCs w:val="23"/>
          <w:lang w:val="es-NI"/>
        </w:rPr>
        <w:t xml:space="preserve">que se celebren con dichas comunidades consultas libres, previas e informativas y que se pueda evitar, minimizar, mitigar o compensar cualquier posible impacto adverso identificado.  En conjunto con el estudio social, el PPI fue elaborado a partir de un proceso de consultas sostenidas con </w:t>
      </w:r>
      <w:r w:rsidR="00A2161C" w:rsidRPr="003E2BB3">
        <w:rPr>
          <w:sz w:val="23"/>
          <w:szCs w:val="23"/>
          <w:lang w:val="es-NI"/>
        </w:rPr>
        <w:t xml:space="preserve">los líderes y representantes de las </w:t>
      </w:r>
      <w:r w:rsidRPr="003E2BB3">
        <w:rPr>
          <w:sz w:val="23"/>
          <w:szCs w:val="23"/>
          <w:lang w:val="es-NI"/>
        </w:rPr>
        <w:t>comunidades indígenas</w:t>
      </w:r>
      <w:r w:rsidR="00A2161C" w:rsidRPr="003E2BB3">
        <w:rPr>
          <w:sz w:val="23"/>
          <w:szCs w:val="23"/>
          <w:lang w:val="es-NI"/>
        </w:rPr>
        <w:t xml:space="preserve"> ubicadas en el área de influencia del Proyecto</w:t>
      </w:r>
      <w:r w:rsidR="0056774E" w:rsidRPr="003E2BB3">
        <w:rPr>
          <w:sz w:val="23"/>
          <w:szCs w:val="23"/>
          <w:lang w:val="es-NI"/>
        </w:rPr>
        <w:t xml:space="preserve">. El PPI analiza los posibles riesgos que se derivarían de las acciones del Proyecto en los </w:t>
      </w:r>
      <w:r w:rsidR="00FE4705" w:rsidRPr="003E2BB3">
        <w:rPr>
          <w:sz w:val="23"/>
          <w:szCs w:val="23"/>
          <w:lang w:val="es-ES"/>
        </w:rPr>
        <w:t>territorios indígenas</w:t>
      </w:r>
      <w:r w:rsidR="0056774E" w:rsidRPr="003E2BB3">
        <w:rPr>
          <w:sz w:val="23"/>
          <w:szCs w:val="23"/>
          <w:lang w:val="es-ES"/>
        </w:rPr>
        <w:t xml:space="preserve"> e</w:t>
      </w:r>
      <w:r w:rsidR="007A23E6" w:rsidRPr="003E2BB3">
        <w:rPr>
          <w:sz w:val="23"/>
          <w:szCs w:val="23"/>
          <w:lang w:val="es-ES"/>
        </w:rPr>
        <w:t xml:space="preserve"> identifi</w:t>
      </w:r>
      <w:r w:rsidR="0056774E" w:rsidRPr="003E2BB3">
        <w:rPr>
          <w:sz w:val="23"/>
          <w:szCs w:val="23"/>
          <w:lang w:val="es-ES"/>
        </w:rPr>
        <w:t xml:space="preserve">ca las medidas de mitigación adecuadas a la cultura local, entre las que podemos citar  la participación de los </w:t>
      </w:r>
      <w:r w:rsidRPr="003E2BB3">
        <w:rPr>
          <w:sz w:val="23"/>
          <w:szCs w:val="23"/>
          <w:lang w:val="es-ES"/>
        </w:rPr>
        <w:t>pueblos indígenas</w:t>
      </w:r>
      <w:r w:rsidR="0056774E" w:rsidRPr="003E2BB3">
        <w:rPr>
          <w:sz w:val="23"/>
          <w:szCs w:val="23"/>
          <w:lang w:val="es-ES"/>
        </w:rPr>
        <w:t xml:space="preserve"> en el proceso de </w:t>
      </w:r>
      <w:r w:rsidR="00FE4705" w:rsidRPr="003E2BB3">
        <w:rPr>
          <w:sz w:val="23"/>
          <w:szCs w:val="23"/>
          <w:lang w:val="es-ES"/>
        </w:rPr>
        <w:t>demarcación</w:t>
      </w:r>
      <w:r w:rsidR="002615B7">
        <w:rPr>
          <w:sz w:val="23"/>
          <w:szCs w:val="23"/>
          <w:lang w:val="es-ES"/>
        </w:rPr>
        <w:t xml:space="preserve"> </w:t>
      </w:r>
      <w:r w:rsidR="00FF357C" w:rsidRPr="003E2BB3">
        <w:rPr>
          <w:sz w:val="23"/>
          <w:szCs w:val="23"/>
          <w:lang w:val="es-ES"/>
        </w:rPr>
        <w:t>y</w:t>
      </w:r>
      <w:r w:rsidR="002615B7">
        <w:rPr>
          <w:sz w:val="23"/>
          <w:szCs w:val="23"/>
          <w:lang w:val="es-ES"/>
        </w:rPr>
        <w:t xml:space="preserve"> </w:t>
      </w:r>
      <w:r w:rsidR="00FF52DD" w:rsidRPr="003E2BB3">
        <w:rPr>
          <w:sz w:val="23"/>
          <w:szCs w:val="23"/>
          <w:lang w:val="es-ES"/>
        </w:rPr>
        <w:t>titulación</w:t>
      </w:r>
      <w:r w:rsidR="0056774E" w:rsidRPr="003E2BB3">
        <w:rPr>
          <w:sz w:val="23"/>
          <w:szCs w:val="23"/>
          <w:lang w:val="es-ES"/>
        </w:rPr>
        <w:t xml:space="preserve">, tomando en cuenta en el caso de las </w:t>
      </w:r>
      <w:r w:rsidR="00CC58FA" w:rsidRPr="003E2BB3">
        <w:rPr>
          <w:sz w:val="23"/>
          <w:szCs w:val="23"/>
          <w:lang w:val="es-ES"/>
        </w:rPr>
        <w:t>áreas complementarias</w:t>
      </w:r>
      <w:r w:rsidR="0056774E" w:rsidRPr="003E2BB3">
        <w:rPr>
          <w:sz w:val="23"/>
          <w:szCs w:val="23"/>
          <w:lang w:val="es-ES"/>
        </w:rPr>
        <w:t xml:space="preserve"> el manual aprobado por el </w:t>
      </w:r>
      <w:r w:rsidR="002615B7">
        <w:rPr>
          <w:sz w:val="23"/>
          <w:szCs w:val="23"/>
          <w:lang w:val="es-ES"/>
        </w:rPr>
        <w:t>G</w:t>
      </w:r>
      <w:r w:rsidR="0056774E" w:rsidRPr="003E2BB3">
        <w:rPr>
          <w:sz w:val="23"/>
          <w:szCs w:val="23"/>
          <w:lang w:val="es-ES"/>
        </w:rPr>
        <w:t>obierno</w:t>
      </w:r>
      <w:r w:rsidR="003E4D92" w:rsidRPr="003E2BB3">
        <w:rPr>
          <w:rStyle w:val="FootnoteReference"/>
          <w:sz w:val="23"/>
          <w:szCs w:val="23"/>
          <w:lang w:val="es-ES"/>
        </w:rPr>
        <w:footnoteReference w:id="31"/>
      </w:r>
      <w:r w:rsidR="0056774E" w:rsidRPr="003E2BB3">
        <w:rPr>
          <w:sz w:val="23"/>
          <w:szCs w:val="23"/>
          <w:lang w:val="es-ES"/>
        </w:rPr>
        <w:t>así como la instauración de los mecanismos de consultas y de las actividades de formación de capacidades</w:t>
      </w:r>
      <w:r w:rsidR="007A23E6" w:rsidRPr="003E2BB3">
        <w:rPr>
          <w:sz w:val="23"/>
          <w:szCs w:val="23"/>
          <w:lang w:val="es-ES"/>
        </w:rPr>
        <w:t>.</w:t>
      </w:r>
      <w:r w:rsidR="00607E70" w:rsidRPr="003E2BB3">
        <w:rPr>
          <w:sz w:val="23"/>
          <w:szCs w:val="23"/>
          <w:lang w:val="es-ES"/>
        </w:rPr>
        <w:t xml:space="preserve"> El PPI se verá fortalecido por las estrategias de género y comunicación del Proyecto. </w:t>
      </w:r>
    </w:p>
    <w:p w:rsidR="007A23E6" w:rsidRPr="003E2BB3" w:rsidRDefault="007A23E6" w:rsidP="007A23E6">
      <w:pPr>
        <w:pStyle w:val="ListParagraph"/>
        <w:ind w:left="0"/>
        <w:jc w:val="both"/>
        <w:rPr>
          <w:sz w:val="23"/>
          <w:szCs w:val="23"/>
          <w:lang w:val="es-ES"/>
        </w:rPr>
      </w:pPr>
    </w:p>
    <w:p w:rsidR="007A23E6" w:rsidRPr="00607E70" w:rsidRDefault="00607E70" w:rsidP="00F91221">
      <w:pPr>
        <w:pStyle w:val="ListParagraph"/>
        <w:numPr>
          <w:ilvl w:val="0"/>
          <w:numId w:val="27"/>
        </w:numPr>
        <w:jc w:val="both"/>
        <w:rPr>
          <w:b/>
          <w:lang w:val="es-ES"/>
        </w:rPr>
      </w:pPr>
      <w:r w:rsidRPr="00607E70">
        <w:rPr>
          <w:b/>
          <w:lang w:val="es-ES"/>
        </w:rPr>
        <w:t xml:space="preserve">Reasentamiento </w:t>
      </w:r>
      <w:r w:rsidR="007A23E6" w:rsidRPr="00607E70">
        <w:rPr>
          <w:b/>
          <w:lang w:val="es-ES"/>
        </w:rPr>
        <w:t>Involuntar</w:t>
      </w:r>
      <w:r w:rsidRPr="00607E70">
        <w:rPr>
          <w:b/>
          <w:lang w:val="es-ES"/>
        </w:rPr>
        <w:t>io</w:t>
      </w:r>
      <w:r w:rsidR="007A23E6" w:rsidRPr="00607E70">
        <w:rPr>
          <w:b/>
          <w:lang w:val="es-ES"/>
        </w:rPr>
        <w:t xml:space="preserve"> (OP</w:t>
      </w:r>
      <w:r w:rsidR="00ED39CC" w:rsidRPr="00607E70">
        <w:rPr>
          <w:b/>
          <w:lang w:val="es-ES"/>
        </w:rPr>
        <w:t>/BP</w:t>
      </w:r>
      <w:r w:rsidR="007A23E6" w:rsidRPr="00607E70">
        <w:rPr>
          <w:b/>
          <w:lang w:val="es-ES"/>
        </w:rPr>
        <w:t xml:space="preserve"> 4.12) </w:t>
      </w:r>
    </w:p>
    <w:p w:rsidR="007A23E6" w:rsidRPr="00607E70" w:rsidRDefault="007A23E6" w:rsidP="007A23E6">
      <w:pPr>
        <w:pStyle w:val="ListParagraph"/>
        <w:ind w:left="0"/>
        <w:jc w:val="both"/>
        <w:rPr>
          <w:lang w:val="es-ES"/>
        </w:rPr>
      </w:pPr>
    </w:p>
    <w:p w:rsidR="0019094B" w:rsidRPr="00967D77" w:rsidRDefault="00607E70" w:rsidP="00165096">
      <w:pPr>
        <w:pStyle w:val="ListParagraph"/>
        <w:numPr>
          <w:ilvl w:val="0"/>
          <w:numId w:val="18"/>
        </w:numPr>
        <w:jc w:val="both"/>
        <w:rPr>
          <w:sz w:val="23"/>
          <w:szCs w:val="23"/>
          <w:lang w:val="es-ES"/>
        </w:rPr>
      </w:pPr>
      <w:r w:rsidRPr="00967D77">
        <w:rPr>
          <w:sz w:val="23"/>
          <w:szCs w:val="23"/>
          <w:lang w:val="es-ES"/>
        </w:rPr>
        <w:t xml:space="preserve">Se espera que no se produzca ningún reasentamiento en el periodo de ejecución del Proyecto. </w:t>
      </w:r>
      <w:r w:rsidRPr="00967D77">
        <w:rPr>
          <w:sz w:val="23"/>
          <w:szCs w:val="23"/>
          <w:lang w:val="es-NI"/>
        </w:rPr>
        <w:t xml:space="preserve">La salvaguarda </w:t>
      </w:r>
      <w:r w:rsidR="00B906A6" w:rsidRPr="00967D77">
        <w:rPr>
          <w:sz w:val="23"/>
          <w:szCs w:val="23"/>
          <w:lang w:val="es-NI"/>
        </w:rPr>
        <w:t xml:space="preserve">OP/BP </w:t>
      </w:r>
      <w:r w:rsidR="00256403" w:rsidRPr="00967D77">
        <w:rPr>
          <w:sz w:val="23"/>
          <w:szCs w:val="23"/>
          <w:lang w:val="es-NI"/>
        </w:rPr>
        <w:t xml:space="preserve">4.12 </w:t>
      </w:r>
      <w:r w:rsidRPr="00967D77">
        <w:rPr>
          <w:sz w:val="23"/>
          <w:szCs w:val="23"/>
          <w:lang w:val="es-NI"/>
        </w:rPr>
        <w:t xml:space="preserve">se activa en vista de la posible restricción de acceso a los recursos naturales </w:t>
      </w:r>
      <w:r w:rsidR="00B80B43" w:rsidRPr="00967D77">
        <w:rPr>
          <w:sz w:val="23"/>
          <w:szCs w:val="23"/>
          <w:lang w:val="es-NI"/>
        </w:rPr>
        <w:t>debido a la demarcación de los linderos externos de las áreas protegidas.</w:t>
      </w:r>
      <w:r w:rsidR="006F7A24" w:rsidRPr="00967D77">
        <w:rPr>
          <w:sz w:val="23"/>
          <w:szCs w:val="23"/>
          <w:lang w:val="es-NI"/>
        </w:rPr>
        <w:t xml:space="preserve"> Tal como ha aplicado en operaciones previas y similares financiadas por el Banco Mundial, las actividades</w:t>
      </w:r>
      <w:r w:rsidR="00165096" w:rsidRPr="00967D77">
        <w:rPr>
          <w:sz w:val="23"/>
          <w:szCs w:val="23"/>
          <w:lang w:val="es-NI"/>
        </w:rPr>
        <w:t xml:space="preserve"> sistemáticas de levantado catastral y regularización se consideran que quedan fuera del ámbito de la política </w:t>
      </w:r>
      <w:r w:rsidR="00B906A6" w:rsidRPr="00967D77">
        <w:rPr>
          <w:sz w:val="23"/>
          <w:szCs w:val="23"/>
          <w:lang w:val="es-NI"/>
        </w:rPr>
        <w:t>OP 4.12</w:t>
      </w:r>
      <w:r w:rsidR="00165096" w:rsidRPr="00967D77">
        <w:rPr>
          <w:sz w:val="23"/>
          <w:szCs w:val="23"/>
          <w:lang w:val="es-NI"/>
        </w:rPr>
        <w:t xml:space="preserve">, tal como se indica en la nota de pie </w:t>
      </w:r>
      <w:r w:rsidR="00B906A6" w:rsidRPr="00967D77">
        <w:rPr>
          <w:sz w:val="23"/>
          <w:szCs w:val="23"/>
          <w:lang w:val="es-NI"/>
        </w:rPr>
        <w:t xml:space="preserve">8 </w:t>
      </w:r>
      <w:r w:rsidR="00165096" w:rsidRPr="00967D77">
        <w:rPr>
          <w:sz w:val="23"/>
          <w:szCs w:val="23"/>
          <w:lang w:val="es-NI"/>
        </w:rPr>
        <w:t>de dicha p</w:t>
      </w:r>
      <w:r w:rsidR="002615B7">
        <w:rPr>
          <w:sz w:val="23"/>
          <w:szCs w:val="23"/>
          <w:lang w:val="es-NI"/>
        </w:rPr>
        <w:t>olítica</w:t>
      </w:r>
      <w:r w:rsidR="00165096" w:rsidRPr="00967D77">
        <w:rPr>
          <w:sz w:val="23"/>
          <w:szCs w:val="23"/>
          <w:lang w:val="es-NI"/>
        </w:rPr>
        <w:t xml:space="preserve"> con relación a las disputas entre </w:t>
      </w:r>
      <w:r w:rsidR="0019094B" w:rsidRPr="00967D77">
        <w:rPr>
          <w:sz w:val="23"/>
          <w:szCs w:val="23"/>
          <w:lang w:val="es-NI"/>
        </w:rPr>
        <w:t>particulares en los proyectos de titulación de tierras</w:t>
      </w:r>
      <w:r w:rsidR="00B906A6" w:rsidRPr="00967D77">
        <w:rPr>
          <w:sz w:val="23"/>
          <w:szCs w:val="23"/>
          <w:lang w:val="es-NI"/>
        </w:rPr>
        <w:t>.</w:t>
      </w:r>
      <w:r w:rsidR="007E23E7" w:rsidRPr="00967D77">
        <w:rPr>
          <w:rStyle w:val="FootnoteReference"/>
          <w:sz w:val="23"/>
          <w:szCs w:val="23"/>
          <w:lang w:val="es-ES"/>
        </w:rPr>
        <w:footnoteReference w:id="32"/>
      </w:r>
      <w:r w:rsidR="0019094B" w:rsidRPr="00967D77">
        <w:rPr>
          <w:sz w:val="23"/>
          <w:szCs w:val="23"/>
          <w:lang w:val="es-NI"/>
        </w:rPr>
        <w:t xml:space="preserve">Finalmente, las obras civiles menores en cuanto a la renovación de las oficinas de algunas agencias co-ejecutoras </w:t>
      </w:r>
      <w:r w:rsidR="0019094B" w:rsidRPr="00967D77">
        <w:rPr>
          <w:sz w:val="23"/>
          <w:szCs w:val="23"/>
          <w:lang w:val="es-ES"/>
        </w:rPr>
        <w:t>no requieren comprar o adquirir tierras.</w:t>
      </w:r>
    </w:p>
    <w:p w:rsidR="00B75F68" w:rsidRPr="00967D77" w:rsidRDefault="00B75F68" w:rsidP="00B75F68">
      <w:pPr>
        <w:pStyle w:val="ListParagraph"/>
        <w:ind w:left="0"/>
        <w:jc w:val="both"/>
        <w:rPr>
          <w:sz w:val="23"/>
          <w:szCs w:val="23"/>
          <w:lang w:val="es-ES"/>
        </w:rPr>
      </w:pPr>
    </w:p>
    <w:p w:rsidR="002C186B" w:rsidRPr="00967D77" w:rsidRDefault="00B75F68" w:rsidP="00C178D1">
      <w:pPr>
        <w:pStyle w:val="ListParagraph"/>
        <w:numPr>
          <w:ilvl w:val="0"/>
          <w:numId w:val="18"/>
        </w:numPr>
        <w:jc w:val="both"/>
        <w:rPr>
          <w:sz w:val="23"/>
          <w:szCs w:val="23"/>
          <w:lang w:val="es-ES"/>
        </w:rPr>
      </w:pPr>
      <w:r w:rsidRPr="00967D77">
        <w:rPr>
          <w:sz w:val="23"/>
          <w:szCs w:val="23"/>
          <w:lang w:val="es-ES"/>
        </w:rPr>
        <w:t xml:space="preserve">Según sea necesario, para abordar el posible problema del acceso restringido a los recursos naturales, se elaboró un marco procesal que quedó inserto en el Manual Operativo. Dicho marco procesal identifica varios escenarios probables donde se darían dichas restricciones, en particular para (i) Los </w:t>
      </w:r>
      <w:r w:rsidR="00717F51">
        <w:rPr>
          <w:sz w:val="23"/>
          <w:szCs w:val="23"/>
          <w:lang w:val="es-ES"/>
        </w:rPr>
        <w:t>P</w:t>
      </w:r>
      <w:r w:rsidRPr="00967D77">
        <w:rPr>
          <w:sz w:val="23"/>
          <w:szCs w:val="23"/>
          <w:lang w:val="es-ES"/>
        </w:rPr>
        <w:t xml:space="preserve">ueblos </w:t>
      </w:r>
      <w:r w:rsidR="00717F51">
        <w:rPr>
          <w:sz w:val="23"/>
          <w:szCs w:val="23"/>
          <w:lang w:val="es-ES"/>
        </w:rPr>
        <w:t>I</w:t>
      </w:r>
      <w:r w:rsidRPr="00967D77">
        <w:rPr>
          <w:sz w:val="23"/>
          <w:szCs w:val="23"/>
          <w:lang w:val="es-ES"/>
        </w:rPr>
        <w:t xml:space="preserve">ndígenas que </w:t>
      </w:r>
      <w:r w:rsidR="00626A32" w:rsidRPr="00967D77">
        <w:rPr>
          <w:sz w:val="23"/>
          <w:szCs w:val="23"/>
          <w:lang w:val="es-ES"/>
        </w:rPr>
        <w:t>viven en o cerca de las áreas protegidas</w:t>
      </w:r>
      <w:r w:rsidRPr="00967D77">
        <w:rPr>
          <w:sz w:val="23"/>
          <w:szCs w:val="23"/>
          <w:lang w:val="es-ES"/>
        </w:rPr>
        <w:t xml:space="preserve">; (ii) Los pueblos </w:t>
      </w:r>
      <w:r w:rsidR="00626A32" w:rsidRPr="00967D77">
        <w:rPr>
          <w:sz w:val="23"/>
          <w:szCs w:val="23"/>
          <w:lang w:val="es-ES"/>
        </w:rPr>
        <w:t>no indígenas que viven en o cerca de las áreas protegidas. Sin embargo, dado que el manejo de los recursos naturales en las áreas protegidas,  incluso en las áreas de amortiguamiento</w:t>
      </w:r>
      <w:r w:rsidR="00717F51">
        <w:rPr>
          <w:sz w:val="23"/>
          <w:szCs w:val="23"/>
          <w:lang w:val="es-ES"/>
        </w:rPr>
        <w:t>,</w:t>
      </w:r>
      <w:r w:rsidR="00626A32" w:rsidRPr="00967D77">
        <w:rPr>
          <w:sz w:val="23"/>
          <w:szCs w:val="23"/>
          <w:lang w:val="es-ES"/>
        </w:rPr>
        <w:t xml:space="preserve"> permiten el aprovechamiento sostenible de los recursos, es poco probable que la demarcación </w:t>
      </w:r>
      <w:r w:rsidR="00C178D1" w:rsidRPr="00967D77">
        <w:rPr>
          <w:sz w:val="23"/>
          <w:szCs w:val="23"/>
          <w:lang w:val="es-ES"/>
        </w:rPr>
        <w:t xml:space="preserve">que impulsará el Proyecto restrinja las prácticas </w:t>
      </w:r>
      <w:r w:rsidR="00717F51">
        <w:rPr>
          <w:sz w:val="23"/>
          <w:szCs w:val="23"/>
          <w:lang w:val="es-ES"/>
        </w:rPr>
        <w:t xml:space="preserve">sostenibles </w:t>
      </w:r>
      <w:r w:rsidR="00C178D1" w:rsidRPr="00967D77">
        <w:rPr>
          <w:sz w:val="23"/>
          <w:szCs w:val="23"/>
          <w:lang w:val="es-ES"/>
        </w:rPr>
        <w:t xml:space="preserve">actuales de las poblaciones que viven </w:t>
      </w:r>
      <w:r w:rsidR="00717F51">
        <w:rPr>
          <w:sz w:val="23"/>
          <w:szCs w:val="23"/>
          <w:lang w:val="es-ES"/>
        </w:rPr>
        <w:t>dentro</w:t>
      </w:r>
      <w:r w:rsidR="00C178D1" w:rsidRPr="00967D77">
        <w:rPr>
          <w:sz w:val="23"/>
          <w:szCs w:val="23"/>
          <w:lang w:val="es-ES"/>
        </w:rPr>
        <w:t xml:space="preserve"> o </w:t>
      </w:r>
      <w:r w:rsidR="00717F51">
        <w:rPr>
          <w:sz w:val="23"/>
          <w:szCs w:val="23"/>
          <w:lang w:val="es-ES"/>
        </w:rPr>
        <w:t xml:space="preserve">alrededor </w:t>
      </w:r>
      <w:r w:rsidR="00C178D1" w:rsidRPr="00967D77">
        <w:rPr>
          <w:sz w:val="23"/>
          <w:szCs w:val="23"/>
          <w:lang w:val="es-ES"/>
        </w:rPr>
        <w:t xml:space="preserve">de las áreas protegidas. En línea con la política </w:t>
      </w:r>
      <w:r w:rsidR="00A712BC" w:rsidRPr="00967D77">
        <w:rPr>
          <w:sz w:val="23"/>
          <w:szCs w:val="23"/>
          <w:lang w:val="es-ES"/>
        </w:rPr>
        <w:t xml:space="preserve">OP/BP 4.12, </w:t>
      </w:r>
      <w:r w:rsidR="00E97902" w:rsidRPr="00967D77">
        <w:rPr>
          <w:sz w:val="23"/>
          <w:szCs w:val="23"/>
          <w:lang w:val="es-ES"/>
        </w:rPr>
        <w:t xml:space="preserve">el </w:t>
      </w:r>
      <w:r w:rsidR="00455A20" w:rsidRPr="00967D77">
        <w:rPr>
          <w:sz w:val="23"/>
          <w:szCs w:val="23"/>
          <w:lang w:val="es-ES"/>
        </w:rPr>
        <w:t>marco procesal describe el proceso participativo para identificar y mitigar cualquier posible restricción. Las actividades contemplan un diagnóstico participativo, foros de consultas y acciones de comunicación y concientización ambiental dirigidas a las comunidades afectadas.</w:t>
      </w:r>
    </w:p>
    <w:p w:rsidR="008B01A2" w:rsidRPr="00967D77" w:rsidRDefault="008B01A2" w:rsidP="00786AFC">
      <w:pPr>
        <w:pStyle w:val="ListParagraph"/>
        <w:widowControl w:val="0"/>
        <w:autoSpaceDE w:val="0"/>
        <w:autoSpaceDN w:val="0"/>
        <w:adjustRightInd w:val="0"/>
        <w:ind w:left="0"/>
        <w:jc w:val="both"/>
        <w:rPr>
          <w:sz w:val="23"/>
          <w:szCs w:val="23"/>
          <w:lang w:val="es-ES"/>
        </w:rPr>
      </w:pPr>
    </w:p>
    <w:p w:rsidR="002C186B" w:rsidRPr="00946A9A" w:rsidRDefault="00946A9A" w:rsidP="00F91221">
      <w:pPr>
        <w:pStyle w:val="ListParagraph"/>
        <w:widowControl w:val="0"/>
        <w:numPr>
          <w:ilvl w:val="0"/>
          <w:numId w:val="27"/>
        </w:numPr>
        <w:autoSpaceDE w:val="0"/>
        <w:autoSpaceDN w:val="0"/>
        <w:adjustRightInd w:val="0"/>
        <w:jc w:val="both"/>
        <w:rPr>
          <w:b/>
          <w:lang w:val="es-ES"/>
        </w:rPr>
      </w:pPr>
      <w:r w:rsidRPr="00946A9A">
        <w:rPr>
          <w:b/>
          <w:lang w:val="es-ES"/>
        </w:rPr>
        <w:lastRenderedPageBreak/>
        <w:t xml:space="preserve">Capacidad para Ejecutar las Salvaguardas </w:t>
      </w:r>
    </w:p>
    <w:p w:rsidR="002C186B" w:rsidRPr="00946A9A" w:rsidRDefault="002C186B" w:rsidP="002C186B">
      <w:pPr>
        <w:widowControl w:val="0"/>
        <w:autoSpaceDE w:val="0"/>
        <w:autoSpaceDN w:val="0"/>
        <w:adjustRightInd w:val="0"/>
        <w:jc w:val="both"/>
        <w:rPr>
          <w:lang w:val="es-ES"/>
        </w:rPr>
      </w:pPr>
    </w:p>
    <w:p w:rsidR="001402B1" w:rsidRPr="00967D77" w:rsidRDefault="00946A9A" w:rsidP="000639B1">
      <w:pPr>
        <w:pStyle w:val="ListParagraph"/>
        <w:widowControl w:val="0"/>
        <w:numPr>
          <w:ilvl w:val="0"/>
          <w:numId w:val="18"/>
        </w:numPr>
        <w:autoSpaceDE w:val="0"/>
        <w:autoSpaceDN w:val="0"/>
        <w:adjustRightInd w:val="0"/>
        <w:jc w:val="both"/>
        <w:rPr>
          <w:sz w:val="23"/>
          <w:szCs w:val="23"/>
          <w:lang w:val="es-ES"/>
        </w:rPr>
      </w:pPr>
      <w:r w:rsidRPr="00967D77">
        <w:rPr>
          <w:sz w:val="23"/>
          <w:szCs w:val="23"/>
          <w:lang w:val="es-ES"/>
        </w:rPr>
        <w:t xml:space="preserve">La </w:t>
      </w:r>
      <w:r w:rsidR="00A76208" w:rsidRPr="00967D77">
        <w:rPr>
          <w:sz w:val="23"/>
          <w:szCs w:val="23"/>
          <w:lang w:val="es-ES"/>
        </w:rPr>
        <w:t xml:space="preserve">PGR </w:t>
      </w:r>
      <w:r w:rsidR="00FF357C" w:rsidRPr="00967D77">
        <w:rPr>
          <w:sz w:val="23"/>
          <w:szCs w:val="23"/>
          <w:lang w:val="es-ES"/>
        </w:rPr>
        <w:t>y</w:t>
      </w:r>
      <w:r w:rsidRPr="00967D77">
        <w:rPr>
          <w:sz w:val="23"/>
          <w:szCs w:val="23"/>
          <w:lang w:val="es-ES"/>
        </w:rPr>
        <w:t xml:space="preserve"> las agencias co-ejecutoras están familiarizadas con las salvaguardas del Banco Mundial</w:t>
      </w:r>
      <w:r w:rsidR="00717F51">
        <w:rPr>
          <w:sz w:val="23"/>
          <w:szCs w:val="23"/>
          <w:lang w:val="es-ES"/>
        </w:rPr>
        <w:t xml:space="preserve"> </w:t>
      </w:r>
      <w:r w:rsidR="007809D7" w:rsidRPr="00967D77">
        <w:rPr>
          <w:sz w:val="23"/>
          <w:szCs w:val="23"/>
          <w:lang w:val="es-ES"/>
        </w:rPr>
        <w:t>relacionadas</w:t>
      </w:r>
      <w:r w:rsidR="002E6D28" w:rsidRPr="00967D77">
        <w:rPr>
          <w:sz w:val="23"/>
          <w:szCs w:val="23"/>
          <w:lang w:val="es-ES"/>
        </w:rPr>
        <w:t xml:space="preserve"> con los esfuerzos de ordenamiento territorial que hace Nicaragua. El cumplimiento de las salvaguardas se cataloga como satisfactorio por parte del PRODEP y este desempeño debe continuar porque </w:t>
      </w:r>
      <w:r w:rsidR="000639B1" w:rsidRPr="00967D77">
        <w:rPr>
          <w:sz w:val="23"/>
          <w:szCs w:val="23"/>
          <w:lang w:val="es-ES"/>
        </w:rPr>
        <w:t xml:space="preserve">las mismas políticas se aplicarán bajo el Proyecto propuesto. Con PRODEP, las instituciones participantes adquirieron mucha experiencia a través de la </w:t>
      </w:r>
      <w:r w:rsidR="007809D7" w:rsidRPr="00967D77">
        <w:rPr>
          <w:sz w:val="23"/>
          <w:szCs w:val="23"/>
          <w:lang w:val="es-ES"/>
        </w:rPr>
        <w:t>demarcación</w:t>
      </w:r>
      <w:r w:rsidR="007F03A5">
        <w:rPr>
          <w:sz w:val="23"/>
          <w:szCs w:val="23"/>
          <w:lang w:val="es-ES"/>
        </w:rPr>
        <w:t xml:space="preserve"> </w:t>
      </w:r>
      <w:r w:rsidR="000639B1" w:rsidRPr="00967D77">
        <w:rPr>
          <w:sz w:val="23"/>
          <w:szCs w:val="23"/>
          <w:lang w:val="es-ES"/>
        </w:rPr>
        <w:t xml:space="preserve">de 14 áreas protegidas y </w:t>
      </w:r>
      <w:r w:rsidR="007F03A5">
        <w:rPr>
          <w:sz w:val="23"/>
          <w:szCs w:val="23"/>
          <w:lang w:val="es-ES"/>
        </w:rPr>
        <w:t xml:space="preserve">la demarcación y </w:t>
      </w:r>
      <w:r w:rsidR="000639B1" w:rsidRPr="00967D77">
        <w:rPr>
          <w:sz w:val="23"/>
          <w:szCs w:val="23"/>
          <w:lang w:val="es-ES"/>
        </w:rPr>
        <w:t>titulación de 15</w:t>
      </w:r>
      <w:r w:rsidR="007F03A5">
        <w:rPr>
          <w:sz w:val="23"/>
          <w:szCs w:val="23"/>
          <w:lang w:val="es-ES"/>
        </w:rPr>
        <w:t xml:space="preserve"> T</w:t>
      </w:r>
      <w:r w:rsidR="00FE4705" w:rsidRPr="00967D77">
        <w:rPr>
          <w:sz w:val="23"/>
          <w:szCs w:val="23"/>
          <w:lang w:val="es-ES"/>
        </w:rPr>
        <w:t xml:space="preserve">erritorios </w:t>
      </w:r>
      <w:r w:rsidR="007F03A5">
        <w:rPr>
          <w:sz w:val="23"/>
          <w:szCs w:val="23"/>
          <w:lang w:val="es-ES"/>
        </w:rPr>
        <w:t>I</w:t>
      </w:r>
      <w:r w:rsidR="00FE4705" w:rsidRPr="00967D77">
        <w:rPr>
          <w:sz w:val="23"/>
          <w:szCs w:val="23"/>
          <w:lang w:val="es-ES"/>
        </w:rPr>
        <w:t>ndígenas</w:t>
      </w:r>
      <w:r w:rsidR="001402B1" w:rsidRPr="00967D77">
        <w:rPr>
          <w:sz w:val="23"/>
          <w:szCs w:val="23"/>
          <w:lang w:val="es-ES"/>
        </w:rPr>
        <w:t xml:space="preserve">, </w:t>
      </w:r>
      <w:r w:rsidR="000639B1" w:rsidRPr="00967D77">
        <w:rPr>
          <w:sz w:val="23"/>
          <w:szCs w:val="23"/>
          <w:lang w:val="es-ES"/>
        </w:rPr>
        <w:t>sin provocar aparentes impactos ambientales o sociales negativos.</w:t>
      </w:r>
    </w:p>
    <w:p w:rsidR="002915FA" w:rsidRPr="00967D77" w:rsidRDefault="002915FA" w:rsidP="002915FA">
      <w:pPr>
        <w:pStyle w:val="ListParagraph"/>
        <w:widowControl w:val="0"/>
        <w:autoSpaceDE w:val="0"/>
        <w:autoSpaceDN w:val="0"/>
        <w:adjustRightInd w:val="0"/>
        <w:ind w:left="0"/>
        <w:jc w:val="both"/>
        <w:rPr>
          <w:sz w:val="23"/>
          <w:szCs w:val="23"/>
          <w:lang w:val="es-ES"/>
        </w:rPr>
      </w:pPr>
    </w:p>
    <w:p w:rsidR="001A7477" w:rsidRPr="00967D77" w:rsidRDefault="000639B1" w:rsidP="00FF33C1">
      <w:pPr>
        <w:pStyle w:val="ListParagraph"/>
        <w:widowControl w:val="0"/>
        <w:numPr>
          <w:ilvl w:val="0"/>
          <w:numId w:val="18"/>
        </w:numPr>
        <w:autoSpaceDE w:val="0"/>
        <w:autoSpaceDN w:val="0"/>
        <w:adjustRightInd w:val="0"/>
        <w:jc w:val="both"/>
        <w:rPr>
          <w:sz w:val="23"/>
          <w:szCs w:val="23"/>
          <w:lang w:val="es-ES"/>
        </w:rPr>
      </w:pPr>
      <w:r w:rsidRPr="00967D77">
        <w:rPr>
          <w:sz w:val="23"/>
          <w:szCs w:val="23"/>
          <w:lang w:val="es-ES"/>
        </w:rPr>
        <w:t>La capacidad para ejecutar las salvaguardas se verá reforzada al</w:t>
      </w:r>
      <w:r w:rsidR="001E2E47" w:rsidRPr="00967D77">
        <w:rPr>
          <w:sz w:val="23"/>
          <w:szCs w:val="23"/>
          <w:lang w:val="es-ES"/>
        </w:rPr>
        <w:t xml:space="preserve"> integrar a la UCP-PGR a una</w:t>
      </w:r>
      <w:r w:rsidR="007F03A5">
        <w:rPr>
          <w:sz w:val="23"/>
          <w:szCs w:val="23"/>
          <w:lang w:val="es-ES"/>
        </w:rPr>
        <w:t xml:space="preserve"> personas</w:t>
      </w:r>
      <w:r w:rsidR="001E2E47" w:rsidRPr="00967D77">
        <w:rPr>
          <w:sz w:val="23"/>
          <w:szCs w:val="23"/>
          <w:lang w:val="es-ES"/>
        </w:rPr>
        <w:t xml:space="preserve"> especialista social/género y a un</w:t>
      </w:r>
      <w:r w:rsidR="007F03A5">
        <w:rPr>
          <w:sz w:val="23"/>
          <w:szCs w:val="23"/>
          <w:lang w:val="es-ES"/>
        </w:rPr>
        <w:t>a persona</w:t>
      </w:r>
      <w:r w:rsidR="001E2E47" w:rsidRPr="00967D77">
        <w:rPr>
          <w:sz w:val="23"/>
          <w:szCs w:val="23"/>
          <w:lang w:val="es-ES"/>
        </w:rPr>
        <w:t xml:space="preserve"> especialista ambiental, cuyos trabajos se verán complementados por la labor de</w:t>
      </w:r>
      <w:r w:rsidR="007F03A5">
        <w:rPr>
          <w:sz w:val="23"/>
          <w:szCs w:val="23"/>
          <w:lang w:val="es-ES"/>
        </w:rPr>
        <w:t xml:space="preserve"> </w:t>
      </w:r>
      <w:r w:rsidR="001E2E47" w:rsidRPr="00967D77">
        <w:rPr>
          <w:sz w:val="23"/>
          <w:szCs w:val="23"/>
          <w:lang w:val="es-ES"/>
        </w:rPr>
        <w:t>l</w:t>
      </w:r>
      <w:r w:rsidR="007F03A5">
        <w:rPr>
          <w:sz w:val="23"/>
          <w:szCs w:val="23"/>
          <w:lang w:val="es-ES"/>
        </w:rPr>
        <w:t>a persona</w:t>
      </w:r>
      <w:r w:rsidR="001E2E47" w:rsidRPr="00967D77">
        <w:rPr>
          <w:sz w:val="23"/>
          <w:szCs w:val="23"/>
          <w:lang w:val="es-ES"/>
        </w:rPr>
        <w:t xml:space="preserve"> especialista en comunicaciones. L</w:t>
      </w:r>
      <w:r w:rsidR="007F03A5">
        <w:rPr>
          <w:sz w:val="23"/>
          <w:szCs w:val="23"/>
          <w:lang w:val="es-ES"/>
        </w:rPr>
        <w:t>a</w:t>
      </w:r>
      <w:r w:rsidR="001E2E47" w:rsidRPr="00967D77">
        <w:rPr>
          <w:sz w:val="23"/>
          <w:szCs w:val="23"/>
          <w:lang w:val="es-ES"/>
        </w:rPr>
        <w:t>s primer</w:t>
      </w:r>
      <w:r w:rsidR="007F03A5">
        <w:rPr>
          <w:sz w:val="23"/>
          <w:szCs w:val="23"/>
          <w:lang w:val="es-ES"/>
        </w:rPr>
        <w:t>a</w:t>
      </w:r>
      <w:r w:rsidR="001E2E47" w:rsidRPr="00967D77">
        <w:rPr>
          <w:sz w:val="23"/>
          <w:szCs w:val="23"/>
          <w:lang w:val="es-ES"/>
        </w:rPr>
        <w:t xml:space="preserve">s dos </w:t>
      </w:r>
      <w:r w:rsidR="007F03A5">
        <w:rPr>
          <w:sz w:val="23"/>
          <w:szCs w:val="23"/>
          <w:lang w:val="es-ES"/>
        </w:rPr>
        <w:t xml:space="preserve">personas </w:t>
      </w:r>
      <w:r w:rsidR="001E2E47" w:rsidRPr="00967D77">
        <w:rPr>
          <w:sz w:val="23"/>
          <w:szCs w:val="23"/>
          <w:lang w:val="es-ES"/>
        </w:rPr>
        <w:t xml:space="preserve">especialistas supervisarán la </w:t>
      </w:r>
      <w:r w:rsidR="00F2632E" w:rsidRPr="00967D77">
        <w:rPr>
          <w:sz w:val="23"/>
          <w:szCs w:val="23"/>
          <w:lang w:val="es-ES"/>
        </w:rPr>
        <w:t>aplicación</w:t>
      </w:r>
      <w:r w:rsidR="001E2E47" w:rsidRPr="00967D77">
        <w:rPr>
          <w:sz w:val="23"/>
          <w:szCs w:val="23"/>
          <w:lang w:val="es-ES"/>
        </w:rPr>
        <w:t xml:space="preserve"> de las salvaguardas, </w:t>
      </w:r>
      <w:r w:rsidR="00F2632E" w:rsidRPr="00967D77">
        <w:rPr>
          <w:sz w:val="23"/>
          <w:szCs w:val="23"/>
          <w:lang w:val="es-ES"/>
        </w:rPr>
        <w:t>dándole</w:t>
      </w:r>
      <w:r w:rsidR="001E2E47" w:rsidRPr="00967D77">
        <w:rPr>
          <w:sz w:val="23"/>
          <w:szCs w:val="23"/>
          <w:lang w:val="es-ES"/>
        </w:rPr>
        <w:t xml:space="preserve"> seguimiento ambiental y social</w:t>
      </w:r>
      <w:r w:rsidR="001A7477" w:rsidRPr="00967D77">
        <w:rPr>
          <w:sz w:val="23"/>
          <w:szCs w:val="23"/>
          <w:lang w:val="es-ES"/>
        </w:rPr>
        <w:t xml:space="preserve"> a los impactos provocados</w:t>
      </w:r>
      <w:r w:rsidR="00160FCD">
        <w:rPr>
          <w:sz w:val="23"/>
          <w:szCs w:val="23"/>
          <w:lang w:val="es-ES"/>
        </w:rPr>
        <w:t>.</w:t>
      </w:r>
      <w:r w:rsidR="001A7477" w:rsidRPr="00967D77">
        <w:rPr>
          <w:sz w:val="23"/>
          <w:szCs w:val="23"/>
          <w:lang w:val="es-ES"/>
        </w:rPr>
        <w:t xml:space="preserve"> </w:t>
      </w:r>
      <w:r w:rsidR="00160FCD">
        <w:rPr>
          <w:sz w:val="23"/>
          <w:szCs w:val="23"/>
          <w:lang w:val="es-ES"/>
        </w:rPr>
        <w:t>También</w:t>
      </w:r>
      <w:r w:rsidR="001A7477" w:rsidRPr="00967D77">
        <w:rPr>
          <w:sz w:val="23"/>
          <w:szCs w:val="23"/>
          <w:lang w:val="es-ES"/>
        </w:rPr>
        <w:t xml:space="preserve"> coordinarán los temas de sostenibilidad ambiental y social para todo el Proyecto en colaboración con las agencias co-ejecutoras, especialmente el MARENA. Asimismo, el Banco Mundial brindará capacitaciones periódicas al personal del Proyecto para mantener dicha capacidad del grupo en óptimos niveles. </w:t>
      </w:r>
    </w:p>
    <w:p w:rsidR="00E43AE0" w:rsidRPr="00967D77" w:rsidRDefault="00E43AE0" w:rsidP="001A7477">
      <w:pPr>
        <w:rPr>
          <w:sz w:val="23"/>
          <w:szCs w:val="23"/>
          <w:lang w:val="es-ES"/>
        </w:rPr>
      </w:pPr>
    </w:p>
    <w:p w:rsidR="00E43AE0" w:rsidRPr="001E2E47" w:rsidRDefault="001A7477" w:rsidP="00F91221">
      <w:pPr>
        <w:pStyle w:val="ListParagraph"/>
        <w:widowControl w:val="0"/>
        <w:numPr>
          <w:ilvl w:val="0"/>
          <w:numId w:val="27"/>
        </w:numPr>
        <w:autoSpaceDE w:val="0"/>
        <w:autoSpaceDN w:val="0"/>
        <w:adjustRightInd w:val="0"/>
        <w:jc w:val="both"/>
        <w:rPr>
          <w:b/>
          <w:lang w:val="es-ES"/>
        </w:rPr>
      </w:pPr>
      <w:r>
        <w:rPr>
          <w:b/>
          <w:lang w:val="es-ES"/>
        </w:rPr>
        <w:t xml:space="preserve">Marco de </w:t>
      </w:r>
      <w:r w:rsidR="00E43AE0" w:rsidRPr="001E2E47">
        <w:rPr>
          <w:b/>
          <w:lang w:val="es-ES"/>
        </w:rPr>
        <w:t>Consult</w:t>
      </w:r>
      <w:r>
        <w:rPr>
          <w:b/>
          <w:lang w:val="es-ES"/>
        </w:rPr>
        <w:t>as</w:t>
      </w:r>
    </w:p>
    <w:p w:rsidR="00E43AE0" w:rsidRPr="001E2E47" w:rsidRDefault="00E43AE0" w:rsidP="00E43AE0">
      <w:pPr>
        <w:pStyle w:val="ListParagraph"/>
        <w:widowControl w:val="0"/>
        <w:autoSpaceDE w:val="0"/>
        <w:autoSpaceDN w:val="0"/>
        <w:adjustRightInd w:val="0"/>
        <w:jc w:val="both"/>
        <w:rPr>
          <w:b/>
          <w:lang w:val="es-ES"/>
        </w:rPr>
      </w:pPr>
    </w:p>
    <w:p w:rsidR="00824102" w:rsidRPr="00967D77" w:rsidRDefault="001A7477" w:rsidP="00824102">
      <w:pPr>
        <w:pStyle w:val="ListParagraph"/>
        <w:widowControl w:val="0"/>
        <w:numPr>
          <w:ilvl w:val="0"/>
          <w:numId w:val="18"/>
        </w:numPr>
        <w:autoSpaceDE w:val="0"/>
        <w:autoSpaceDN w:val="0"/>
        <w:adjustRightInd w:val="0"/>
        <w:jc w:val="both"/>
        <w:rPr>
          <w:sz w:val="23"/>
          <w:szCs w:val="23"/>
          <w:lang w:val="es-ES"/>
        </w:rPr>
      </w:pPr>
      <w:r w:rsidRPr="00967D77">
        <w:rPr>
          <w:sz w:val="23"/>
          <w:szCs w:val="23"/>
          <w:lang w:val="es-NI"/>
        </w:rPr>
        <w:t>Además del</w:t>
      </w:r>
      <w:r w:rsidR="00160FCD">
        <w:rPr>
          <w:sz w:val="23"/>
          <w:szCs w:val="23"/>
          <w:lang w:val="es-NI"/>
        </w:rPr>
        <w:t xml:space="preserve"> </w:t>
      </w:r>
      <w:r w:rsidR="0075348E" w:rsidRPr="00967D77">
        <w:rPr>
          <w:sz w:val="23"/>
          <w:szCs w:val="23"/>
          <w:lang w:val="es-NI"/>
        </w:rPr>
        <w:t>PPI</w:t>
      </w:r>
      <w:r w:rsidR="00160FCD">
        <w:rPr>
          <w:sz w:val="23"/>
          <w:szCs w:val="23"/>
          <w:lang w:val="es-NI"/>
        </w:rPr>
        <w:t xml:space="preserve"> </w:t>
      </w:r>
      <w:r w:rsidR="00FF357C" w:rsidRPr="00967D77">
        <w:rPr>
          <w:sz w:val="23"/>
          <w:szCs w:val="23"/>
          <w:lang w:val="es-NI"/>
        </w:rPr>
        <w:t>y</w:t>
      </w:r>
      <w:r w:rsidR="00160FCD">
        <w:rPr>
          <w:sz w:val="23"/>
          <w:szCs w:val="23"/>
          <w:lang w:val="es-NI"/>
        </w:rPr>
        <w:t xml:space="preserve"> </w:t>
      </w:r>
      <w:r w:rsidRPr="00967D77">
        <w:rPr>
          <w:sz w:val="23"/>
          <w:szCs w:val="23"/>
          <w:lang w:val="es-NI"/>
        </w:rPr>
        <w:t xml:space="preserve">del marco procesal, el marco de consultas del Proyecto </w:t>
      </w:r>
      <w:r w:rsidR="00E44C6C" w:rsidRPr="00967D77">
        <w:rPr>
          <w:sz w:val="23"/>
          <w:szCs w:val="23"/>
          <w:lang w:val="es-NI"/>
        </w:rPr>
        <w:t xml:space="preserve">contempla actividades de alcance social para impulsar los procesos catastrales y de regularización, los cuales también tienen que ver con la estrategia de comunicación y con el mecanismo de atención y </w:t>
      </w:r>
      <w:r w:rsidR="007C2CFB" w:rsidRPr="00967D77">
        <w:rPr>
          <w:sz w:val="23"/>
          <w:szCs w:val="23"/>
          <w:lang w:val="es-NI"/>
        </w:rPr>
        <w:t>re</w:t>
      </w:r>
      <w:r w:rsidR="00E44C6C" w:rsidRPr="00967D77">
        <w:rPr>
          <w:sz w:val="23"/>
          <w:szCs w:val="23"/>
          <w:lang w:val="es-NI"/>
        </w:rPr>
        <w:t>solución de quejas/denuncias descrito más adelante.  Las actividades de consultas comprenden reuniones con las autoridades locales, personal técnico, líderes comunitarios y organizaciones interesadas.  La participación de l</w:t>
      </w:r>
      <w:r w:rsidR="00160FCD">
        <w:rPr>
          <w:sz w:val="23"/>
          <w:szCs w:val="23"/>
          <w:lang w:val="es-NI"/>
        </w:rPr>
        <w:t>a</w:t>
      </w:r>
      <w:r w:rsidR="00E44C6C" w:rsidRPr="00967D77">
        <w:rPr>
          <w:sz w:val="23"/>
          <w:szCs w:val="23"/>
          <w:lang w:val="es-NI"/>
        </w:rPr>
        <w:t>s</w:t>
      </w:r>
      <w:r w:rsidR="009F3769">
        <w:rPr>
          <w:sz w:val="23"/>
          <w:szCs w:val="23"/>
          <w:lang w:val="es-NI"/>
        </w:rPr>
        <w:t xml:space="preserve"> per</w:t>
      </w:r>
      <w:r w:rsidR="00160FCD">
        <w:rPr>
          <w:sz w:val="23"/>
          <w:szCs w:val="23"/>
          <w:lang w:val="es-NI"/>
        </w:rPr>
        <w:t>s</w:t>
      </w:r>
      <w:r w:rsidR="009F3769">
        <w:rPr>
          <w:sz w:val="23"/>
          <w:szCs w:val="23"/>
          <w:lang w:val="es-NI"/>
        </w:rPr>
        <w:t>o</w:t>
      </w:r>
      <w:r w:rsidR="00160FCD">
        <w:rPr>
          <w:sz w:val="23"/>
          <w:szCs w:val="23"/>
          <w:lang w:val="es-NI"/>
        </w:rPr>
        <w:t>nas</w:t>
      </w:r>
      <w:r w:rsidR="00E44C6C" w:rsidRPr="00967D77">
        <w:rPr>
          <w:sz w:val="23"/>
          <w:szCs w:val="23"/>
          <w:lang w:val="es-NI"/>
        </w:rPr>
        <w:t xml:space="preserve"> beneficiari</w:t>
      </w:r>
      <w:r w:rsidR="00160FCD">
        <w:rPr>
          <w:sz w:val="23"/>
          <w:szCs w:val="23"/>
          <w:lang w:val="es-NI"/>
        </w:rPr>
        <w:t>a</w:t>
      </w:r>
      <w:r w:rsidR="00E44C6C" w:rsidRPr="00967D77">
        <w:rPr>
          <w:sz w:val="23"/>
          <w:szCs w:val="23"/>
          <w:lang w:val="es-NI"/>
        </w:rPr>
        <w:t xml:space="preserve">s es fundamental para reunir información legal y geográfica sobre las propiedades y proceder a validarla. </w:t>
      </w:r>
      <w:r w:rsidR="00824102" w:rsidRPr="00967D77">
        <w:rPr>
          <w:sz w:val="23"/>
          <w:szCs w:val="23"/>
          <w:lang w:val="es-NI"/>
        </w:rPr>
        <w:t>Las exposiciones públicas</w:t>
      </w:r>
      <w:r w:rsidR="00160FCD">
        <w:rPr>
          <w:sz w:val="23"/>
          <w:szCs w:val="23"/>
          <w:lang w:val="es-NI"/>
        </w:rPr>
        <w:t>,</w:t>
      </w:r>
      <w:r w:rsidR="00824102" w:rsidRPr="00967D77">
        <w:rPr>
          <w:sz w:val="23"/>
          <w:szCs w:val="23"/>
          <w:lang w:val="es-NI"/>
        </w:rPr>
        <w:t xml:space="preserve"> que son parte integral del proceso catastral y de </w:t>
      </w:r>
      <w:r w:rsidR="00F2632E" w:rsidRPr="00967D77">
        <w:rPr>
          <w:sz w:val="23"/>
          <w:szCs w:val="23"/>
          <w:lang w:val="es-NI"/>
        </w:rPr>
        <w:t>regularización</w:t>
      </w:r>
      <w:r w:rsidR="00160FCD">
        <w:rPr>
          <w:sz w:val="23"/>
          <w:szCs w:val="23"/>
          <w:lang w:val="es-NI"/>
        </w:rPr>
        <w:t>,</w:t>
      </w:r>
      <w:r w:rsidR="00824102" w:rsidRPr="00967D77">
        <w:rPr>
          <w:sz w:val="23"/>
          <w:szCs w:val="23"/>
          <w:lang w:val="es-NI"/>
        </w:rPr>
        <w:t xml:space="preserve"> constituyen u</w:t>
      </w:r>
      <w:r w:rsidR="00E44C6C" w:rsidRPr="00967D77">
        <w:rPr>
          <w:sz w:val="23"/>
          <w:szCs w:val="23"/>
          <w:lang w:val="es-NI"/>
        </w:rPr>
        <w:t xml:space="preserve">n mecanismo por mandato legal </w:t>
      </w:r>
      <w:r w:rsidR="00824102" w:rsidRPr="00967D77">
        <w:rPr>
          <w:sz w:val="23"/>
          <w:szCs w:val="23"/>
          <w:lang w:val="es-NI"/>
        </w:rPr>
        <w:t>que reviste gran importancia.</w:t>
      </w:r>
    </w:p>
    <w:p w:rsidR="00824102" w:rsidRPr="00967D77" w:rsidRDefault="00824102" w:rsidP="00824102">
      <w:pPr>
        <w:pStyle w:val="ListParagraph"/>
        <w:widowControl w:val="0"/>
        <w:autoSpaceDE w:val="0"/>
        <w:autoSpaceDN w:val="0"/>
        <w:adjustRightInd w:val="0"/>
        <w:ind w:left="0"/>
        <w:jc w:val="both"/>
        <w:rPr>
          <w:sz w:val="23"/>
          <w:szCs w:val="23"/>
          <w:lang w:val="es-ES"/>
        </w:rPr>
      </w:pPr>
    </w:p>
    <w:p w:rsidR="00E43AE0" w:rsidRPr="00967D77" w:rsidRDefault="00824102" w:rsidP="00FF33C1">
      <w:pPr>
        <w:pStyle w:val="ListParagraph"/>
        <w:widowControl w:val="0"/>
        <w:numPr>
          <w:ilvl w:val="0"/>
          <w:numId w:val="18"/>
        </w:numPr>
        <w:autoSpaceDE w:val="0"/>
        <w:autoSpaceDN w:val="0"/>
        <w:adjustRightInd w:val="0"/>
        <w:jc w:val="both"/>
        <w:rPr>
          <w:sz w:val="23"/>
          <w:szCs w:val="23"/>
          <w:lang w:val="es-ES"/>
        </w:rPr>
      </w:pPr>
      <w:r w:rsidRPr="00967D77">
        <w:rPr>
          <w:sz w:val="23"/>
          <w:szCs w:val="23"/>
          <w:lang w:val="es-ES"/>
        </w:rPr>
        <w:t xml:space="preserve">En el caso de las áreas protegidas, la demarcación inicia con las consultas a municipios y demás </w:t>
      </w:r>
      <w:r w:rsidR="00160FCD">
        <w:rPr>
          <w:sz w:val="23"/>
          <w:szCs w:val="23"/>
          <w:lang w:val="es-ES"/>
        </w:rPr>
        <w:t xml:space="preserve">participantes </w:t>
      </w:r>
      <w:r w:rsidRPr="00967D77">
        <w:rPr>
          <w:sz w:val="23"/>
          <w:szCs w:val="23"/>
          <w:lang w:val="es-ES"/>
        </w:rPr>
        <w:t xml:space="preserve">locales, seguida de la selección y contratación de los servicios técnicos. La demarcación real se hará con la participación de </w:t>
      </w:r>
      <w:r w:rsidR="00160FCD">
        <w:rPr>
          <w:sz w:val="23"/>
          <w:szCs w:val="23"/>
          <w:lang w:val="es-ES"/>
        </w:rPr>
        <w:t>la población</w:t>
      </w:r>
      <w:r w:rsidR="009F3769">
        <w:rPr>
          <w:sz w:val="23"/>
          <w:szCs w:val="23"/>
          <w:lang w:val="es-ES"/>
        </w:rPr>
        <w:t xml:space="preserve"> l</w:t>
      </w:r>
      <w:r w:rsidRPr="00967D77">
        <w:rPr>
          <w:sz w:val="23"/>
          <w:szCs w:val="23"/>
          <w:lang w:val="es-ES"/>
        </w:rPr>
        <w:t xml:space="preserve">ocal relacionados con las áreas protegidas. La campaña de educación </w:t>
      </w:r>
      <w:r w:rsidR="001A11BE" w:rsidRPr="00967D77">
        <w:rPr>
          <w:sz w:val="23"/>
          <w:szCs w:val="23"/>
          <w:lang w:val="es-ES"/>
        </w:rPr>
        <w:t xml:space="preserve">enlazada con la demarcación constituye un mecanismo útil para involucrar a los actores y para promover la sostenibilidad ambiental. </w:t>
      </w:r>
    </w:p>
    <w:p w:rsidR="00D44B72" w:rsidRPr="00967D77" w:rsidRDefault="00D44B72" w:rsidP="001A11BE">
      <w:pPr>
        <w:rPr>
          <w:sz w:val="23"/>
          <w:szCs w:val="23"/>
          <w:lang w:val="es-ES"/>
        </w:rPr>
      </w:pPr>
    </w:p>
    <w:p w:rsidR="007A23E6" w:rsidRPr="00967D77" w:rsidRDefault="00117599" w:rsidP="00FF33C1">
      <w:pPr>
        <w:pStyle w:val="ListParagraph"/>
        <w:widowControl w:val="0"/>
        <w:numPr>
          <w:ilvl w:val="0"/>
          <w:numId w:val="18"/>
        </w:numPr>
        <w:autoSpaceDE w:val="0"/>
        <w:autoSpaceDN w:val="0"/>
        <w:adjustRightInd w:val="0"/>
        <w:jc w:val="both"/>
        <w:rPr>
          <w:sz w:val="23"/>
          <w:szCs w:val="23"/>
          <w:lang w:val="es-ES"/>
        </w:rPr>
      </w:pPr>
      <w:r w:rsidRPr="00967D77">
        <w:rPr>
          <w:sz w:val="23"/>
          <w:szCs w:val="23"/>
          <w:lang w:val="es-ES"/>
        </w:rPr>
        <w:t>Las</w:t>
      </w:r>
      <w:r w:rsidR="001A11BE" w:rsidRPr="00967D77">
        <w:rPr>
          <w:sz w:val="23"/>
          <w:szCs w:val="23"/>
          <w:lang w:val="es-ES"/>
        </w:rPr>
        <w:t xml:space="preserve"> consultas </w:t>
      </w:r>
      <w:r w:rsidRPr="00967D77">
        <w:rPr>
          <w:sz w:val="23"/>
          <w:szCs w:val="23"/>
          <w:lang w:val="es-ES"/>
        </w:rPr>
        <w:t xml:space="preserve">públicas </w:t>
      </w:r>
      <w:r w:rsidR="001A11BE" w:rsidRPr="00967D77">
        <w:rPr>
          <w:sz w:val="23"/>
          <w:szCs w:val="23"/>
          <w:lang w:val="es-ES"/>
        </w:rPr>
        <w:t>también se ve</w:t>
      </w:r>
      <w:r w:rsidRPr="00967D77">
        <w:rPr>
          <w:sz w:val="23"/>
          <w:szCs w:val="23"/>
          <w:lang w:val="es-ES"/>
        </w:rPr>
        <w:t>n</w:t>
      </w:r>
      <w:r w:rsidR="001A11BE" w:rsidRPr="00967D77">
        <w:rPr>
          <w:sz w:val="23"/>
          <w:szCs w:val="23"/>
          <w:lang w:val="es-ES"/>
        </w:rPr>
        <w:t xml:space="preserve"> enriquecid</w:t>
      </w:r>
      <w:r w:rsidRPr="00967D77">
        <w:rPr>
          <w:sz w:val="23"/>
          <w:szCs w:val="23"/>
          <w:lang w:val="es-ES"/>
        </w:rPr>
        <w:t>as</w:t>
      </w:r>
      <w:r w:rsidR="001A11BE" w:rsidRPr="00967D77">
        <w:rPr>
          <w:sz w:val="23"/>
          <w:szCs w:val="23"/>
          <w:lang w:val="es-ES"/>
        </w:rPr>
        <w:t xml:space="preserve"> por el an</w:t>
      </w:r>
      <w:r w:rsidR="00160FCD">
        <w:rPr>
          <w:sz w:val="23"/>
          <w:szCs w:val="23"/>
          <w:lang w:val="es-ES"/>
        </w:rPr>
        <w:t>á</w:t>
      </w:r>
      <w:r w:rsidR="001A11BE" w:rsidRPr="00967D77">
        <w:rPr>
          <w:sz w:val="23"/>
          <w:szCs w:val="23"/>
          <w:lang w:val="es-ES"/>
        </w:rPr>
        <w:t xml:space="preserve">lisis del proceso de consultas </w:t>
      </w:r>
      <w:r w:rsidRPr="00967D77">
        <w:rPr>
          <w:sz w:val="23"/>
          <w:szCs w:val="23"/>
          <w:lang w:val="es-ES"/>
        </w:rPr>
        <w:t>que forman parte de</w:t>
      </w:r>
      <w:r w:rsidR="001A11BE" w:rsidRPr="00967D77">
        <w:rPr>
          <w:sz w:val="23"/>
          <w:szCs w:val="23"/>
          <w:lang w:val="es-ES"/>
        </w:rPr>
        <w:t xml:space="preserve"> la pol</w:t>
      </w:r>
      <w:r w:rsidR="00160FCD">
        <w:rPr>
          <w:sz w:val="23"/>
          <w:szCs w:val="23"/>
          <w:lang w:val="es-ES"/>
        </w:rPr>
        <w:t>í</w:t>
      </w:r>
      <w:r w:rsidR="001A11BE" w:rsidRPr="00967D77">
        <w:rPr>
          <w:sz w:val="23"/>
          <w:szCs w:val="23"/>
          <w:lang w:val="es-ES"/>
        </w:rPr>
        <w:t xml:space="preserve">tica de </w:t>
      </w:r>
      <w:r w:rsidR="005709E1" w:rsidRPr="00967D77">
        <w:rPr>
          <w:sz w:val="23"/>
          <w:szCs w:val="23"/>
          <w:lang w:val="es-ES"/>
        </w:rPr>
        <w:t xml:space="preserve">Pueblos </w:t>
      </w:r>
      <w:r w:rsidR="00160FCD">
        <w:rPr>
          <w:sz w:val="23"/>
          <w:szCs w:val="23"/>
          <w:lang w:val="es-ES"/>
        </w:rPr>
        <w:t>I</w:t>
      </w:r>
      <w:r w:rsidR="005709E1" w:rsidRPr="00967D77">
        <w:rPr>
          <w:sz w:val="23"/>
          <w:szCs w:val="23"/>
          <w:lang w:val="es-ES"/>
        </w:rPr>
        <w:t>ndígenas</w:t>
      </w:r>
      <w:r w:rsidRPr="00967D77">
        <w:rPr>
          <w:sz w:val="23"/>
          <w:szCs w:val="23"/>
          <w:lang w:val="es-ES"/>
        </w:rPr>
        <w:t xml:space="preserve"> en Nicaragua. Dicho análisis realizado entre mayo y junio del 2012 por el Banco Mundial abordó como uno de los estudios de casos </w:t>
      </w:r>
      <w:r w:rsidR="0029400A" w:rsidRPr="00967D77">
        <w:rPr>
          <w:sz w:val="23"/>
          <w:szCs w:val="23"/>
          <w:lang w:val="es-ES"/>
        </w:rPr>
        <w:t>la experiencia de PRODEP y formuló recomendaciones cla</w:t>
      </w:r>
      <w:r w:rsidR="00631407">
        <w:rPr>
          <w:sz w:val="23"/>
          <w:szCs w:val="23"/>
          <w:lang w:val="es-ES"/>
        </w:rPr>
        <w:t>v</w:t>
      </w:r>
      <w:r w:rsidR="0029400A" w:rsidRPr="00967D77">
        <w:rPr>
          <w:sz w:val="23"/>
          <w:szCs w:val="23"/>
          <w:lang w:val="es-ES"/>
        </w:rPr>
        <w:t xml:space="preserve">es para que las </w:t>
      </w:r>
      <w:r w:rsidR="005709E1" w:rsidRPr="00967D77">
        <w:rPr>
          <w:sz w:val="23"/>
          <w:szCs w:val="23"/>
          <w:lang w:val="es-ES"/>
        </w:rPr>
        <w:t>comunidades indígenas</w:t>
      </w:r>
      <w:r w:rsidR="0029400A" w:rsidRPr="00967D77">
        <w:rPr>
          <w:sz w:val="23"/>
          <w:szCs w:val="23"/>
          <w:lang w:val="es-ES"/>
        </w:rPr>
        <w:t xml:space="preserve"> tengan una participación adecuada en todo el ciclo del Proyecto.</w:t>
      </w:r>
    </w:p>
    <w:p w:rsidR="00442297" w:rsidRPr="00967D77" w:rsidRDefault="00442297" w:rsidP="00442297">
      <w:pPr>
        <w:pStyle w:val="ListParagraph"/>
        <w:widowControl w:val="0"/>
        <w:autoSpaceDE w:val="0"/>
        <w:autoSpaceDN w:val="0"/>
        <w:adjustRightInd w:val="0"/>
        <w:ind w:left="0"/>
        <w:jc w:val="both"/>
        <w:rPr>
          <w:sz w:val="23"/>
          <w:szCs w:val="23"/>
          <w:lang w:val="es-ES"/>
        </w:rPr>
      </w:pPr>
    </w:p>
    <w:p w:rsidR="007A23E6" w:rsidRPr="002472BB" w:rsidRDefault="00C46691" w:rsidP="00F91221">
      <w:pPr>
        <w:pStyle w:val="ListParagraph"/>
        <w:numPr>
          <w:ilvl w:val="0"/>
          <w:numId w:val="27"/>
        </w:numPr>
        <w:jc w:val="both"/>
        <w:rPr>
          <w:b/>
          <w:lang w:val="es-ES"/>
        </w:rPr>
      </w:pPr>
      <w:r w:rsidRPr="009F3769">
        <w:rPr>
          <w:b/>
          <w:lang w:val="es-ES"/>
        </w:rPr>
        <w:t>Estrategia de Comunicación</w:t>
      </w:r>
    </w:p>
    <w:p w:rsidR="007A23E6" w:rsidRPr="0029400A" w:rsidRDefault="007A23E6" w:rsidP="007A23E6">
      <w:pPr>
        <w:pStyle w:val="ListParagraph"/>
        <w:ind w:left="0"/>
        <w:jc w:val="both"/>
        <w:rPr>
          <w:lang w:val="es-ES"/>
        </w:rPr>
      </w:pPr>
    </w:p>
    <w:p w:rsidR="00AA3D30" w:rsidRPr="00967D77" w:rsidRDefault="005729C5" w:rsidP="00FF33C1">
      <w:pPr>
        <w:pStyle w:val="ListParagraph"/>
        <w:numPr>
          <w:ilvl w:val="0"/>
          <w:numId w:val="18"/>
        </w:numPr>
        <w:jc w:val="both"/>
        <w:rPr>
          <w:sz w:val="23"/>
          <w:szCs w:val="23"/>
          <w:lang w:val="es-ES"/>
        </w:rPr>
      </w:pPr>
      <w:r w:rsidRPr="00967D77">
        <w:rPr>
          <w:sz w:val="23"/>
          <w:szCs w:val="23"/>
          <w:lang w:val="es-NI"/>
        </w:rPr>
        <w:t>La estrategia de comunicación del Proyecto persigue dos objetivos</w:t>
      </w:r>
      <w:r w:rsidR="00631407">
        <w:rPr>
          <w:sz w:val="23"/>
          <w:szCs w:val="23"/>
          <w:lang w:val="es-NI"/>
        </w:rPr>
        <w:t xml:space="preserve"> principales</w:t>
      </w:r>
      <w:r w:rsidRPr="00967D77">
        <w:rPr>
          <w:sz w:val="23"/>
          <w:szCs w:val="23"/>
          <w:lang w:val="es-NI"/>
        </w:rPr>
        <w:t>:</w:t>
      </w:r>
      <w:r w:rsidR="0004654B" w:rsidRPr="00967D77">
        <w:rPr>
          <w:sz w:val="23"/>
          <w:szCs w:val="23"/>
          <w:lang w:val="es-NI"/>
        </w:rPr>
        <w:t xml:space="preserve"> (i) Apoyar la ejecución de las actividades del Proyecto, en especial el levantamiento catastral</w:t>
      </w:r>
      <w:r w:rsidR="00071E71" w:rsidRPr="00967D77">
        <w:rPr>
          <w:sz w:val="23"/>
          <w:szCs w:val="23"/>
          <w:lang w:val="es-NI"/>
        </w:rPr>
        <w:t xml:space="preserve"> y la ampliación de los servicios de mediación de conflictos; (ii) Promover la sostenibilidad de estas actividades, en </w:t>
      </w:r>
      <w:r w:rsidR="00071E71" w:rsidRPr="00967D77">
        <w:rPr>
          <w:sz w:val="23"/>
          <w:szCs w:val="23"/>
          <w:lang w:val="es-NI"/>
        </w:rPr>
        <w:lastRenderedPageBreak/>
        <w:t xml:space="preserve">particular el mantenimiento de la información catastral y registral. En este aspecto, </w:t>
      </w:r>
      <w:r w:rsidR="00AA3D30" w:rsidRPr="00967D77">
        <w:rPr>
          <w:sz w:val="23"/>
          <w:szCs w:val="23"/>
          <w:lang w:val="es-NI"/>
        </w:rPr>
        <w:t>los públicos meta</w:t>
      </w:r>
      <w:r w:rsidR="00071E71" w:rsidRPr="00967D77">
        <w:rPr>
          <w:sz w:val="23"/>
          <w:szCs w:val="23"/>
          <w:lang w:val="es-NI"/>
        </w:rPr>
        <w:t xml:space="preserve"> principales son </w:t>
      </w:r>
      <w:r w:rsidR="00AA3D30" w:rsidRPr="00967D77">
        <w:rPr>
          <w:sz w:val="23"/>
          <w:szCs w:val="23"/>
          <w:lang w:val="es-NI"/>
        </w:rPr>
        <w:t>l</w:t>
      </w:r>
      <w:r w:rsidR="002472BB">
        <w:rPr>
          <w:sz w:val="23"/>
          <w:szCs w:val="23"/>
          <w:lang w:val="es-NI"/>
        </w:rPr>
        <w:t>a</w:t>
      </w:r>
      <w:r w:rsidR="00AA3D30" w:rsidRPr="00967D77">
        <w:rPr>
          <w:sz w:val="23"/>
          <w:szCs w:val="23"/>
          <w:lang w:val="es-NI"/>
        </w:rPr>
        <w:t xml:space="preserve">s </w:t>
      </w:r>
      <w:r w:rsidR="002472BB">
        <w:rPr>
          <w:sz w:val="23"/>
          <w:szCs w:val="23"/>
          <w:lang w:val="es-NI"/>
        </w:rPr>
        <w:t xml:space="preserve">personas </w:t>
      </w:r>
      <w:r w:rsidR="00AA3D30" w:rsidRPr="00967D77">
        <w:rPr>
          <w:sz w:val="23"/>
          <w:szCs w:val="23"/>
          <w:lang w:val="es-NI"/>
        </w:rPr>
        <w:t>beneficiari</w:t>
      </w:r>
      <w:r w:rsidR="002472BB">
        <w:rPr>
          <w:sz w:val="23"/>
          <w:szCs w:val="23"/>
          <w:lang w:val="es-NI"/>
        </w:rPr>
        <w:t>a</w:t>
      </w:r>
      <w:r w:rsidR="00AA3D30" w:rsidRPr="00967D77">
        <w:rPr>
          <w:sz w:val="23"/>
          <w:szCs w:val="23"/>
          <w:lang w:val="es-NI"/>
        </w:rPr>
        <w:t xml:space="preserve">s del sistema de ordenamiento territorial y las instituciones que se encargan de mantener dicho sistema, entre ellas los municipios. Las </w:t>
      </w:r>
      <w:r w:rsidR="00AA3D30" w:rsidRPr="00967D77">
        <w:rPr>
          <w:sz w:val="23"/>
          <w:szCs w:val="23"/>
          <w:lang w:val="es-ES"/>
        </w:rPr>
        <w:t>actividades, canales y mensajes de la estrategia se ajustarán a las necesidades de información y comunicación del Proyecto, así como al perfil de los públicos. Asimismo, el MARENA elaborará y pondrá en práctica los planes de educación ambiental en apoyo a la demarcación y sostenibilidad de las áreas protegidas y de sus zonas de amortiguamiento.</w:t>
      </w:r>
    </w:p>
    <w:p w:rsidR="00AA3D30" w:rsidRPr="00967D77" w:rsidRDefault="00AA3D30" w:rsidP="00AA3D30">
      <w:pPr>
        <w:pStyle w:val="ListParagraph"/>
        <w:ind w:left="0"/>
        <w:jc w:val="both"/>
        <w:rPr>
          <w:sz w:val="23"/>
          <w:szCs w:val="23"/>
          <w:lang w:val="es-ES"/>
        </w:rPr>
      </w:pPr>
    </w:p>
    <w:p w:rsidR="00AA3D30" w:rsidRPr="00967D77" w:rsidRDefault="00AA3D30" w:rsidP="00FF33C1">
      <w:pPr>
        <w:pStyle w:val="ListParagraph"/>
        <w:numPr>
          <w:ilvl w:val="0"/>
          <w:numId w:val="18"/>
        </w:numPr>
        <w:jc w:val="both"/>
        <w:rPr>
          <w:sz w:val="23"/>
          <w:szCs w:val="23"/>
          <w:lang w:val="es-ES"/>
        </w:rPr>
      </w:pPr>
      <w:r w:rsidRPr="00967D77">
        <w:rPr>
          <w:sz w:val="23"/>
          <w:szCs w:val="23"/>
          <w:lang w:val="es-ES"/>
        </w:rPr>
        <w:t xml:space="preserve">La estrategia de comunicación busca cómo promover tres aspectos </w:t>
      </w:r>
      <w:r w:rsidR="007C2CFB" w:rsidRPr="00967D77">
        <w:rPr>
          <w:sz w:val="23"/>
          <w:szCs w:val="23"/>
          <w:lang w:val="es-ES"/>
        </w:rPr>
        <w:t xml:space="preserve">trasversales: educación ambiental, </w:t>
      </w:r>
      <w:r w:rsidR="00B2072D" w:rsidRPr="00967D77">
        <w:rPr>
          <w:sz w:val="23"/>
          <w:szCs w:val="23"/>
          <w:lang w:val="es-ES"/>
        </w:rPr>
        <w:t>igualdad</w:t>
      </w:r>
      <w:r w:rsidR="007C2CFB" w:rsidRPr="00967D77">
        <w:rPr>
          <w:sz w:val="23"/>
          <w:szCs w:val="23"/>
          <w:lang w:val="es-ES"/>
        </w:rPr>
        <w:t xml:space="preserve"> de género, transparencia y rendición de cuentas. Si bien los planes de educación ambiental están dirigidos a las poblaciones que viven en y alrededor de las áreas protegidas, centrada en la importancia de los recursos naturales, del manejo ambiental y del aprovechamiento racional del suelo, la estrategia de comunicación pretende elevar los niveles de concientización ambiental en </w:t>
      </w:r>
      <w:r w:rsidR="009F3769" w:rsidRPr="00967D77">
        <w:rPr>
          <w:sz w:val="23"/>
          <w:szCs w:val="23"/>
          <w:lang w:val="es-ES"/>
        </w:rPr>
        <w:t>todas</w:t>
      </w:r>
      <w:r w:rsidR="007C2CFB" w:rsidRPr="00967D77">
        <w:rPr>
          <w:sz w:val="23"/>
          <w:szCs w:val="23"/>
          <w:lang w:val="es-ES"/>
        </w:rPr>
        <w:t xml:space="preserve"> l</w:t>
      </w:r>
      <w:r w:rsidR="000B2AF2">
        <w:rPr>
          <w:sz w:val="23"/>
          <w:szCs w:val="23"/>
          <w:lang w:val="es-ES"/>
        </w:rPr>
        <w:t>a</w:t>
      </w:r>
      <w:r w:rsidR="007C2CFB" w:rsidRPr="00967D77">
        <w:rPr>
          <w:sz w:val="23"/>
          <w:szCs w:val="23"/>
          <w:lang w:val="es-ES"/>
        </w:rPr>
        <w:t>s</w:t>
      </w:r>
      <w:r w:rsidR="000B2AF2">
        <w:rPr>
          <w:sz w:val="23"/>
          <w:szCs w:val="23"/>
          <w:lang w:val="es-ES"/>
        </w:rPr>
        <w:t xml:space="preserve"> personas</w:t>
      </w:r>
      <w:r w:rsidR="007C2CFB" w:rsidRPr="00967D77">
        <w:rPr>
          <w:sz w:val="23"/>
          <w:szCs w:val="23"/>
          <w:lang w:val="es-ES"/>
        </w:rPr>
        <w:t xml:space="preserve"> beneficia</w:t>
      </w:r>
      <w:r w:rsidR="000B2AF2">
        <w:rPr>
          <w:sz w:val="23"/>
          <w:szCs w:val="23"/>
          <w:lang w:val="es-ES"/>
        </w:rPr>
        <w:t>da</w:t>
      </w:r>
      <w:r w:rsidR="007C2CFB" w:rsidRPr="00967D77">
        <w:rPr>
          <w:sz w:val="23"/>
          <w:szCs w:val="23"/>
          <w:lang w:val="es-ES"/>
        </w:rPr>
        <w:t xml:space="preserve">s </w:t>
      </w:r>
      <w:r w:rsidR="000B2AF2">
        <w:rPr>
          <w:sz w:val="23"/>
          <w:szCs w:val="23"/>
          <w:lang w:val="es-ES"/>
        </w:rPr>
        <w:t xml:space="preserve">por </w:t>
      </w:r>
      <w:r w:rsidR="007C2CFB" w:rsidRPr="00967D77">
        <w:rPr>
          <w:sz w:val="23"/>
          <w:szCs w:val="23"/>
          <w:lang w:val="es-ES"/>
        </w:rPr>
        <w:t>el Proyecto en general.</w:t>
      </w:r>
    </w:p>
    <w:p w:rsidR="007C2CFB" w:rsidRPr="00967D77" w:rsidRDefault="007C2CFB" w:rsidP="007C2CFB">
      <w:pPr>
        <w:pStyle w:val="ListParagraph"/>
        <w:rPr>
          <w:sz w:val="23"/>
          <w:szCs w:val="23"/>
          <w:lang w:val="es-ES"/>
        </w:rPr>
      </w:pPr>
    </w:p>
    <w:p w:rsidR="007C2CFB" w:rsidRDefault="00C46691" w:rsidP="00F91221">
      <w:pPr>
        <w:pStyle w:val="ListParagraph"/>
        <w:numPr>
          <w:ilvl w:val="0"/>
          <w:numId w:val="27"/>
        </w:numPr>
        <w:jc w:val="both"/>
        <w:rPr>
          <w:b/>
          <w:lang w:val="es-ES"/>
        </w:rPr>
      </w:pPr>
      <w:r w:rsidRPr="009F3769">
        <w:rPr>
          <w:b/>
          <w:lang w:val="es-ES"/>
        </w:rPr>
        <w:t>Mecanismo de</w:t>
      </w:r>
      <w:r w:rsidR="007C2CFB" w:rsidRPr="00A01FBF">
        <w:rPr>
          <w:b/>
          <w:lang w:val="es-ES"/>
        </w:rPr>
        <w:t xml:space="preserve"> Atención y Resolución de Quejas/Denuncias</w:t>
      </w:r>
    </w:p>
    <w:p w:rsidR="00A01FBF" w:rsidRPr="00967D77" w:rsidRDefault="00A01FBF" w:rsidP="00A01FBF">
      <w:pPr>
        <w:pStyle w:val="ListParagraph"/>
        <w:rPr>
          <w:b/>
          <w:sz w:val="23"/>
          <w:szCs w:val="23"/>
          <w:lang w:val="es-ES"/>
        </w:rPr>
      </w:pPr>
    </w:p>
    <w:p w:rsidR="00631963" w:rsidRPr="00967D77" w:rsidRDefault="00A01FBF" w:rsidP="00E76716">
      <w:pPr>
        <w:pStyle w:val="ListParagraph"/>
        <w:numPr>
          <w:ilvl w:val="0"/>
          <w:numId w:val="18"/>
        </w:numPr>
        <w:jc w:val="both"/>
        <w:rPr>
          <w:sz w:val="23"/>
          <w:szCs w:val="23"/>
          <w:lang w:val="es-ES"/>
        </w:rPr>
      </w:pPr>
      <w:r w:rsidRPr="00967D77">
        <w:rPr>
          <w:sz w:val="23"/>
          <w:szCs w:val="23"/>
          <w:lang w:val="es-ES"/>
        </w:rPr>
        <w:t>Este mecanismo que forma parte de la estrategia de comunicación del Proyecto busca cómo</w:t>
      </w:r>
      <w:r w:rsidR="00E76716" w:rsidRPr="00967D77">
        <w:rPr>
          <w:sz w:val="23"/>
          <w:szCs w:val="23"/>
          <w:lang w:val="es-ES"/>
        </w:rPr>
        <w:t xml:space="preserve"> establecer canales y procesos comunicativos bidireccionales que les permitan a l</w:t>
      </w:r>
      <w:r w:rsidR="00D23FD6">
        <w:rPr>
          <w:sz w:val="23"/>
          <w:szCs w:val="23"/>
          <w:lang w:val="es-ES"/>
        </w:rPr>
        <w:t>a</w:t>
      </w:r>
      <w:r w:rsidR="00E76716" w:rsidRPr="00967D77">
        <w:rPr>
          <w:sz w:val="23"/>
          <w:szCs w:val="23"/>
          <w:lang w:val="es-ES"/>
        </w:rPr>
        <w:t>s</w:t>
      </w:r>
      <w:r w:rsidR="00D23FD6">
        <w:rPr>
          <w:sz w:val="23"/>
          <w:szCs w:val="23"/>
          <w:lang w:val="es-ES"/>
        </w:rPr>
        <w:t xml:space="preserve"> personas</w:t>
      </w:r>
      <w:r w:rsidR="00E76716" w:rsidRPr="00967D77">
        <w:rPr>
          <w:sz w:val="23"/>
          <w:szCs w:val="23"/>
          <w:lang w:val="es-ES"/>
        </w:rPr>
        <w:t xml:space="preserve"> beneficiari</w:t>
      </w:r>
      <w:r w:rsidR="00D23FD6">
        <w:rPr>
          <w:sz w:val="23"/>
          <w:szCs w:val="23"/>
          <w:lang w:val="es-ES"/>
        </w:rPr>
        <w:t>a</w:t>
      </w:r>
      <w:r w:rsidR="00E76716" w:rsidRPr="00967D77">
        <w:rPr>
          <w:sz w:val="23"/>
          <w:szCs w:val="23"/>
          <w:lang w:val="es-ES"/>
        </w:rPr>
        <w:t>s buscar mayor información sob</w:t>
      </w:r>
      <w:r w:rsidR="00D23FD6">
        <w:rPr>
          <w:sz w:val="23"/>
          <w:szCs w:val="23"/>
          <w:lang w:val="es-ES"/>
        </w:rPr>
        <w:t>r</w:t>
      </w:r>
      <w:r w:rsidR="00E76716" w:rsidRPr="00967D77">
        <w:rPr>
          <w:sz w:val="23"/>
          <w:szCs w:val="23"/>
          <w:lang w:val="es-ES"/>
        </w:rPr>
        <w:t xml:space="preserve">e el Proyecto, por un lado y por el otro, exponer sus quejas. </w:t>
      </w:r>
      <w:r w:rsidR="00E76716" w:rsidRPr="00967D77">
        <w:rPr>
          <w:sz w:val="23"/>
          <w:szCs w:val="23"/>
          <w:lang w:val="es-NI"/>
        </w:rPr>
        <w:t xml:space="preserve">También le permitirá a la </w:t>
      </w:r>
      <w:r w:rsidR="00890CA6" w:rsidRPr="00967D77">
        <w:rPr>
          <w:sz w:val="23"/>
          <w:szCs w:val="23"/>
          <w:lang w:val="es-NI"/>
        </w:rPr>
        <w:t>UCP</w:t>
      </w:r>
      <w:r w:rsidR="0055684F" w:rsidRPr="00967D77">
        <w:rPr>
          <w:sz w:val="23"/>
          <w:szCs w:val="23"/>
          <w:lang w:val="es-NI"/>
        </w:rPr>
        <w:t>-PGR</w:t>
      </w:r>
      <w:r w:rsidR="007A23E6" w:rsidRPr="00967D77">
        <w:rPr>
          <w:sz w:val="23"/>
          <w:szCs w:val="23"/>
          <w:lang w:val="es-NI"/>
        </w:rPr>
        <w:t xml:space="preserve"> inform</w:t>
      </w:r>
      <w:r w:rsidR="00631963" w:rsidRPr="00967D77">
        <w:rPr>
          <w:sz w:val="23"/>
          <w:szCs w:val="23"/>
          <w:lang w:val="es-NI"/>
        </w:rPr>
        <w:t xml:space="preserve">ar a </w:t>
      </w:r>
      <w:r w:rsidR="00D23FD6" w:rsidRPr="00967D77">
        <w:rPr>
          <w:sz w:val="23"/>
          <w:szCs w:val="23"/>
          <w:lang w:val="es-ES"/>
        </w:rPr>
        <w:t>l</w:t>
      </w:r>
      <w:r w:rsidR="00D23FD6">
        <w:rPr>
          <w:sz w:val="23"/>
          <w:szCs w:val="23"/>
          <w:lang w:val="es-ES"/>
        </w:rPr>
        <w:t>a</w:t>
      </w:r>
      <w:r w:rsidR="00D23FD6" w:rsidRPr="00967D77">
        <w:rPr>
          <w:sz w:val="23"/>
          <w:szCs w:val="23"/>
          <w:lang w:val="es-ES"/>
        </w:rPr>
        <w:t>s</w:t>
      </w:r>
      <w:r w:rsidR="00D23FD6">
        <w:rPr>
          <w:sz w:val="23"/>
          <w:szCs w:val="23"/>
          <w:lang w:val="es-ES"/>
        </w:rPr>
        <w:t xml:space="preserve"> personas</w:t>
      </w:r>
      <w:r w:rsidR="00D23FD6" w:rsidRPr="00967D77">
        <w:rPr>
          <w:sz w:val="23"/>
          <w:szCs w:val="23"/>
          <w:lang w:val="es-ES"/>
        </w:rPr>
        <w:t xml:space="preserve"> beneficiari</w:t>
      </w:r>
      <w:r w:rsidR="00D23FD6">
        <w:rPr>
          <w:sz w:val="23"/>
          <w:szCs w:val="23"/>
          <w:lang w:val="es-ES"/>
        </w:rPr>
        <w:t>a</w:t>
      </w:r>
      <w:r w:rsidR="00D23FD6" w:rsidRPr="00967D77">
        <w:rPr>
          <w:sz w:val="23"/>
          <w:szCs w:val="23"/>
          <w:lang w:val="es-ES"/>
        </w:rPr>
        <w:t>s</w:t>
      </w:r>
      <w:r w:rsidR="00D23FD6" w:rsidRPr="00967D77">
        <w:rPr>
          <w:sz w:val="23"/>
          <w:szCs w:val="23"/>
          <w:lang w:val="es-NI"/>
        </w:rPr>
        <w:t xml:space="preserve"> </w:t>
      </w:r>
      <w:r w:rsidR="00631963" w:rsidRPr="00967D77">
        <w:rPr>
          <w:sz w:val="23"/>
          <w:szCs w:val="23"/>
          <w:lang w:val="es-NI"/>
        </w:rPr>
        <w:t xml:space="preserve">la atención brindada a sus quejas o inquietudes. </w:t>
      </w:r>
      <w:r w:rsidR="00631963" w:rsidRPr="00967D77">
        <w:rPr>
          <w:sz w:val="23"/>
          <w:szCs w:val="23"/>
          <w:lang w:val="es-ES"/>
        </w:rPr>
        <w:t xml:space="preserve">Una variedad de puntos de entrada </w:t>
      </w:r>
      <w:r w:rsidR="009A52DB" w:rsidRPr="00967D77">
        <w:rPr>
          <w:sz w:val="23"/>
          <w:szCs w:val="23"/>
          <w:lang w:val="es-ES"/>
        </w:rPr>
        <w:t xml:space="preserve">(adecuadas al </w:t>
      </w:r>
      <w:r w:rsidR="00D23FD6">
        <w:rPr>
          <w:sz w:val="23"/>
          <w:szCs w:val="23"/>
          <w:lang w:val="es-ES"/>
        </w:rPr>
        <w:t xml:space="preserve"> diverso </w:t>
      </w:r>
      <w:r w:rsidR="009A52DB" w:rsidRPr="00967D77">
        <w:rPr>
          <w:sz w:val="23"/>
          <w:szCs w:val="23"/>
          <w:lang w:val="es-ES"/>
        </w:rPr>
        <w:t xml:space="preserve">nivel de </w:t>
      </w:r>
      <w:r w:rsidR="00D23FD6">
        <w:rPr>
          <w:sz w:val="23"/>
          <w:szCs w:val="23"/>
          <w:lang w:val="es-ES"/>
        </w:rPr>
        <w:t>educación</w:t>
      </w:r>
      <w:r w:rsidR="009A52DB" w:rsidRPr="00967D77">
        <w:rPr>
          <w:sz w:val="23"/>
          <w:szCs w:val="23"/>
          <w:lang w:val="es-ES"/>
        </w:rPr>
        <w:t xml:space="preserve"> de</w:t>
      </w:r>
      <w:r w:rsidR="00D23FD6" w:rsidRPr="00967D77">
        <w:rPr>
          <w:sz w:val="23"/>
          <w:szCs w:val="23"/>
          <w:lang w:val="es-ES"/>
        </w:rPr>
        <w:t>l</w:t>
      </w:r>
      <w:r w:rsidR="00D23FD6">
        <w:rPr>
          <w:sz w:val="23"/>
          <w:szCs w:val="23"/>
          <w:lang w:val="es-ES"/>
        </w:rPr>
        <w:t>a</w:t>
      </w:r>
      <w:r w:rsidR="00D23FD6" w:rsidRPr="00967D77">
        <w:rPr>
          <w:sz w:val="23"/>
          <w:szCs w:val="23"/>
          <w:lang w:val="es-ES"/>
        </w:rPr>
        <w:t>s</w:t>
      </w:r>
      <w:r w:rsidR="00D23FD6">
        <w:rPr>
          <w:sz w:val="23"/>
          <w:szCs w:val="23"/>
          <w:lang w:val="es-ES"/>
        </w:rPr>
        <w:t xml:space="preserve"> personas</w:t>
      </w:r>
      <w:r w:rsidR="00D23FD6" w:rsidRPr="00967D77">
        <w:rPr>
          <w:sz w:val="23"/>
          <w:szCs w:val="23"/>
          <w:lang w:val="es-ES"/>
        </w:rPr>
        <w:t xml:space="preserve"> beneficiari</w:t>
      </w:r>
      <w:r w:rsidR="00D23FD6">
        <w:rPr>
          <w:sz w:val="23"/>
          <w:szCs w:val="23"/>
          <w:lang w:val="es-ES"/>
        </w:rPr>
        <w:t>a</w:t>
      </w:r>
      <w:r w:rsidR="00D23FD6" w:rsidRPr="00967D77">
        <w:rPr>
          <w:sz w:val="23"/>
          <w:szCs w:val="23"/>
          <w:lang w:val="es-ES"/>
        </w:rPr>
        <w:t>s</w:t>
      </w:r>
      <w:r w:rsidR="009A52DB" w:rsidRPr="00967D77">
        <w:rPr>
          <w:sz w:val="23"/>
          <w:szCs w:val="23"/>
          <w:lang w:val="es-ES"/>
        </w:rPr>
        <w:t xml:space="preserve">) </w:t>
      </w:r>
      <w:r w:rsidR="00631963" w:rsidRPr="00967D77">
        <w:rPr>
          <w:sz w:val="23"/>
          <w:szCs w:val="23"/>
          <w:lang w:val="es-ES"/>
        </w:rPr>
        <w:t xml:space="preserve">garantizará que el sistema sea accesible, sin importar ubicación geográfica o nivel de escolaridad. La </w:t>
      </w:r>
      <w:r w:rsidR="000756F2" w:rsidRPr="00967D77">
        <w:rPr>
          <w:sz w:val="23"/>
          <w:szCs w:val="23"/>
          <w:lang w:val="es-ES"/>
        </w:rPr>
        <w:t>e</w:t>
      </w:r>
      <w:r w:rsidR="00631963" w:rsidRPr="00967D77">
        <w:rPr>
          <w:sz w:val="23"/>
          <w:szCs w:val="23"/>
          <w:lang w:val="es-ES"/>
        </w:rPr>
        <w:t xml:space="preserve">strategia de </w:t>
      </w:r>
      <w:r w:rsidR="000756F2" w:rsidRPr="00967D77">
        <w:rPr>
          <w:sz w:val="23"/>
          <w:szCs w:val="23"/>
          <w:lang w:val="es-ES"/>
        </w:rPr>
        <w:t>c</w:t>
      </w:r>
      <w:r w:rsidR="009A52DB" w:rsidRPr="00967D77">
        <w:rPr>
          <w:sz w:val="23"/>
          <w:szCs w:val="23"/>
          <w:lang w:val="es-ES"/>
        </w:rPr>
        <w:t>omunicación</w:t>
      </w:r>
      <w:r w:rsidR="00631963" w:rsidRPr="00967D77">
        <w:rPr>
          <w:sz w:val="23"/>
          <w:szCs w:val="23"/>
          <w:lang w:val="es-ES"/>
        </w:rPr>
        <w:t xml:space="preserve"> permitirá mantener </w:t>
      </w:r>
      <w:r w:rsidR="00CC3DFD">
        <w:rPr>
          <w:sz w:val="23"/>
          <w:szCs w:val="23"/>
          <w:lang w:val="es-ES"/>
        </w:rPr>
        <w:t xml:space="preserve">a la población </w:t>
      </w:r>
      <w:r w:rsidR="00631963" w:rsidRPr="00967D77">
        <w:rPr>
          <w:sz w:val="23"/>
          <w:szCs w:val="23"/>
          <w:lang w:val="es-ES"/>
        </w:rPr>
        <w:t>informad</w:t>
      </w:r>
      <w:r w:rsidR="00CC3DFD">
        <w:rPr>
          <w:sz w:val="23"/>
          <w:szCs w:val="23"/>
          <w:lang w:val="es-ES"/>
        </w:rPr>
        <w:t>a</w:t>
      </w:r>
      <w:r w:rsidR="00631963" w:rsidRPr="00967D77">
        <w:rPr>
          <w:sz w:val="23"/>
          <w:szCs w:val="23"/>
          <w:lang w:val="es-ES"/>
        </w:rPr>
        <w:t xml:space="preserve"> sobre la existencia de dicho mecanismo, sus múltiples puntos de entrada y de cómo las quejas/denuncias son aborda</w:t>
      </w:r>
      <w:r w:rsidR="009A52DB" w:rsidRPr="00967D77">
        <w:rPr>
          <w:sz w:val="23"/>
          <w:szCs w:val="23"/>
          <w:lang w:val="es-ES"/>
        </w:rPr>
        <w:t>das</w:t>
      </w:r>
      <w:r w:rsidR="00631963" w:rsidRPr="00967D77">
        <w:rPr>
          <w:sz w:val="23"/>
          <w:szCs w:val="23"/>
          <w:lang w:val="es-ES"/>
        </w:rPr>
        <w:t xml:space="preserve"> por las instituciones pertinentes</w:t>
      </w:r>
      <w:r w:rsidR="00CC3DFD">
        <w:rPr>
          <w:sz w:val="23"/>
          <w:szCs w:val="23"/>
          <w:lang w:val="es-ES"/>
        </w:rPr>
        <w:t>.</w:t>
      </w:r>
    </w:p>
    <w:p w:rsidR="007A23E6" w:rsidRPr="00967D77" w:rsidRDefault="007A23E6" w:rsidP="009A52DB">
      <w:pPr>
        <w:pStyle w:val="ListParagraph"/>
        <w:ind w:left="0"/>
        <w:jc w:val="both"/>
        <w:rPr>
          <w:sz w:val="23"/>
          <w:szCs w:val="23"/>
          <w:lang w:val="es-ES"/>
        </w:rPr>
      </w:pPr>
    </w:p>
    <w:p w:rsidR="00B2072D" w:rsidRPr="00967D77" w:rsidRDefault="009A52DB" w:rsidP="00BD439F">
      <w:pPr>
        <w:pStyle w:val="ListParagraph"/>
        <w:numPr>
          <w:ilvl w:val="0"/>
          <w:numId w:val="18"/>
        </w:numPr>
        <w:jc w:val="both"/>
        <w:rPr>
          <w:sz w:val="23"/>
          <w:szCs w:val="23"/>
          <w:lang w:val="es-ES"/>
        </w:rPr>
      </w:pPr>
      <w:r w:rsidRPr="00967D77">
        <w:rPr>
          <w:sz w:val="23"/>
          <w:szCs w:val="23"/>
          <w:lang w:val="es-ES"/>
        </w:rPr>
        <w:t xml:space="preserve">En la medida de lo </w:t>
      </w:r>
      <w:r w:rsidR="000756F2" w:rsidRPr="00967D77">
        <w:rPr>
          <w:sz w:val="23"/>
          <w:szCs w:val="23"/>
          <w:lang w:val="es-ES"/>
        </w:rPr>
        <w:t>po</w:t>
      </w:r>
      <w:r w:rsidRPr="00967D77">
        <w:rPr>
          <w:sz w:val="23"/>
          <w:szCs w:val="23"/>
          <w:lang w:val="es-ES"/>
        </w:rPr>
        <w:t>sible, el mecanismo de atenci</w:t>
      </w:r>
      <w:r w:rsidR="00CC3DFD">
        <w:rPr>
          <w:sz w:val="23"/>
          <w:szCs w:val="23"/>
          <w:lang w:val="es-ES"/>
        </w:rPr>
        <w:t>ó</w:t>
      </w:r>
      <w:r w:rsidRPr="00967D77">
        <w:rPr>
          <w:sz w:val="23"/>
          <w:szCs w:val="23"/>
          <w:lang w:val="es-ES"/>
        </w:rPr>
        <w:t>n y resoluci</w:t>
      </w:r>
      <w:r w:rsidR="00CC3DFD">
        <w:rPr>
          <w:sz w:val="23"/>
          <w:szCs w:val="23"/>
          <w:lang w:val="es-ES"/>
        </w:rPr>
        <w:t>ó</w:t>
      </w:r>
      <w:r w:rsidRPr="00967D77">
        <w:rPr>
          <w:sz w:val="23"/>
          <w:szCs w:val="23"/>
          <w:lang w:val="es-ES"/>
        </w:rPr>
        <w:t>n de quejas</w:t>
      </w:r>
      <w:r w:rsidR="000756F2" w:rsidRPr="00967D77">
        <w:rPr>
          <w:sz w:val="23"/>
          <w:szCs w:val="23"/>
          <w:lang w:val="es-ES"/>
        </w:rPr>
        <w:t xml:space="preserve"> aprovechará y se forjará a partir del mecanismo similar que maneja el Poder Ejecutivo, el cual mandata a las entidades y empresas del estado a establecer mecanismos para recibir y atender quejas y sugerencias</w:t>
      </w:r>
      <w:r w:rsidR="006D5E78" w:rsidRPr="00967D77">
        <w:rPr>
          <w:sz w:val="23"/>
          <w:szCs w:val="23"/>
          <w:lang w:val="es-ES"/>
        </w:rPr>
        <w:t xml:space="preserve"> de</w:t>
      </w:r>
      <w:r w:rsidR="00CC3DFD">
        <w:rPr>
          <w:sz w:val="23"/>
          <w:szCs w:val="23"/>
          <w:lang w:val="es-ES"/>
        </w:rPr>
        <w:t>l público</w:t>
      </w:r>
      <w:r w:rsidR="006D5E78" w:rsidRPr="00967D77">
        <w:rPr>
          <w:sz w:val="23"/>
          <w:szCs w:val="23"/>
          <w:lang w:val="es-ES"/>
        </w:rPr>
        <w:t xml:space="preserve"> usuario. Además, el Proyecto busca cómo involucrar a las organizaciones comunitarias a nivel local para que se transformen en un punto de entrada adicional para atender inquietudes y quejas y para mantener informados a </w:t>
      </w:r>
      <w:r w:rsidR="00CC3DFD" w:rsidRPr="00967D77">
        <w:rPr>
          <w:sz w:val="23"/>
          <w:szCs w:val="23"/>
          <w:lang w:val="es-ES"/>
        </w:rPr>
        <w:t>l</w:t>
      </w:r>
      <w:r w:rsidR="00CC3DFD">
        <w:rPr>
          <w:sz w:val="23"/>
          <w:szCs w:val="23"/>
          <w:lang w:val="es-ES"/>
        </w:rPr>
        <w:t>a</w:t>
      </w:r>
      <w:r w:rsidR="00CC3DFD" w:rsidRPr="00967D77">
        <w:rPr>
          <w:sz w:val="23"/>
          <w:szCs w:val="23"/>
          <w:lang w:val="es-ES"/>
        </w:rPr>
        <w:t>s</w:t>
      </w:r>
      <w:r w:rsidR="00CC3DFD">
        <w:rPr>
          <w:sz w:val="23"/>
          <w:szCs w:val="23"/>
          <w:lang w:val="es-ES"/>
        </w:rPr>
        <w:t xml:space="preserve"> personas</w:t>
      </w:r>
      <w:r w:rsidR="00CC3DFD" w:rsidRPr="00967D77">
        <w:rPr>
          <w:sz w:val="23"/>
          <w:szCs w:val="23"/>
          <w:lang w:val="es-ES"/>
        </w:rPr>
        <w:t xml:space="preserve"> beneficiari</w:t>
      </w:r>
      <w:r w:rsidR="00CC3DFD">
        <w:rPr>
          <w:sz w:val="23"/>
          <w:szCs w:val="23"/>
          <w:lang w:val="es-ES"/>
        </w:rPr>
        <w:t>a</w:t>
      </w:r>
      <w:r w:rsidR="00CC3DFD" w:rsidRPr="00967D77">
        <w:rPr>
          <w:sz w:val="23"/>
          <w:szCs w:val="23"/>
          <w:lang w:val="es-ES"/>
        </w:rPr>
        <w:t>s</w:t>
      </w:r>
      <w:r w:rsidR="00CC3DFD" w:rsidRPr="00967D77" w:rsidDel="00CC3DFD">
        <w:rPr>
          <w:sz w:val="23"/>
          <w:szCs w:val="23"/>
          <w:lang w:val="es-ES"/>
        </w:rPr>
        <w:t xml:space="preserve"> </w:t>
      </w:r>
      <w:r w:rsidR="006D5E78" w:rsidRPr="00967D77">
        <w:rPr>
          <w:sz w:val="23"/>
          <w:szCs w:val="23"/>
          <w:lang w:val="es-ES"/>
        </w:rPr>
        <w:t xml:space="preserve">sobre el estatus de sus quejas o inquietudes abordadas por la </w:t>
      </w:r>
      <w:r w:rsidR="006D5E78" w:rsidRPr="00967D77">
        <w:rPr>
          <w:sz w:val="23"/>
          <w:szCs w:val="23"/>
          <w:lang w:val="es-NI"/>
        </w:rPr>
        <w:t>UCP-PGR. En la matriz de resultados del Proyecto se incluy</w:t>
      </w:r>
      <w:r w:rsidR="0097430A" w:rsidRPr="00967D77">
        <w:rPr>
          <w:sz w:val="23"/>
          <w:szCs w:val="23"/>
          <w:lang w:val="es-NI"/>
        </w:rPr>
        <w:t>ó un indicador para medir la efectividad de dicho mecanismo.</w:t>
      </w:r>
    </w:p>
    <w:p w:rsidR="00B2072D" w:rsidRPr="00967D77" w:rsidRDefault="00B2072D" w:rsidP="00BD439F">
      <w:pPr>
        <w:pStyle w:val="ListParagraph"/>
        <w:ind w:left="0"/>
        <w:jc w:val="both"/>
        <w:rPr>
          <w:sz w:val="23"/>
          <w:szCs w:val="23"/>
          <w:lang w:val="es-ES"/>
        </w:rPr>
      </w:pPr>
    </w:p>
    <w:p w:rsidR="007A23E6" w:rsidRPr="00967D77" w:rsidRDefault="00B2072D" w:rsidP="00F91221">
      <w:pPr>
        <w:pStyle w:val="ListParagraph"/>
        <w:numPr>
          <w:ilvl w:val="0"/>
          <w:numId w:val="27"/>
        </w:numPr>
        <w:rPr>
          <w:b/>
          <w:sz w:val="23"/>
          <w:szCs w:val="23"/>
          <w:lang w:val="es-ES"/>
        </w:rPr>
      </w:pPr>
      <w:r w:rsidRPr="00B2072D">
        <w:rPr>
          <w:b/>
          <w:lang w:val="es-ES"/>
        </w:rPr>
        <w:t>Es</w:t>
      </w:r>
      <w:r w:rsidR="007A23E6" w:rsidRPr="00B2072D">
        <w:rPr>
          <w:b/>
          <w:lang w:val="es-ES"/>
        </w:rPr>
        <w:t>trateg</w:t>
      </w:r>
      <w:r w:rsidRPr="00B2072D">
        <w:rPr>
          <w:b/>
          <w:lang w:val="es-ES"/>
        </w:rPr>
        <w:t>ia y Análisis de Género</w:t>
      </w:r>
    </w:p>
    <w:p w:rsidR="007A23E6" w:rsidRPr="00967D77" w:rsidRDefault="007A23E6" w:rsidP="007A23E6">
      <w:pPr>
        <w:pStyle w:val="ListParagraph"/>
        <w:rPr>
          <w:b/>
          <w:sz w:val="23"/>
          <w:szCs w:val="23"/>
          <w:lang w:val="es-ES"/>
        </w:rPr>
      </w:pPr>
    </w:p>
    <w:p w:rsidR="00642C61" w:rsidRPr="00967D77" w:rsidRDefault="00B2072D" w:rsidP="007A6572">
      <w:pPr>
        <w:pStyle w:val="ListParagraph"/>
        <w:numPr>
          <w:ilvl w:val="0"/>
          <w:numId w:val="18"/>
        </w:numPr>
        <w:jc w:val="both"/>
        <w:rPr>
          <w:sz w:val="23"/>
          <w:szCs w:val="23"/>
          <w:lang w:val="es-ES"/>
        </w:rPr>
      </w:pPr>
      <w:r w:rsidRPr="00967D77">
        <w:rPr>
          <w:sz w:val="23"/>
          <w:szCs w:val="23"/>
          <w:lang w:val="es-NI"/>
        </w:rPr>
        <w:t xml:space="preserve">El Proyecto </w:t>
      </w:r>
      <w:r w:rsidR="00CC3DFD">
        <w:rPr>
          <w:sz w:val="23"/>
          <w:szCs w:val="23"/>
          <w:lang w:val="es-NI"/>
        </w:rPr>
        <w:t>apoy</w:t>
      </w:r>
      <w:r w:rsidRPr="00967D77">
        <w:rPr>
          <w:sz w:val="23"/>
          <w:szCs w:val="23"/>
          <w:lang w:val="es-NI"/>
        </w:rPr>
        <w:t xml:space="preserve">ará los esfuerzos del </w:t>
      </w:r>
      <w:r w:rsidR="00CC3DFD">
        <w:rPr>
          <w:sz w:val="23"/>
          <w:szCs w:val="23"/>
          <w:lang w:val="es-NI"/>
        </w:rPr>
        <w:t>G</w:t>
      </w:r>
      <w:r w:rsidRPr="00967D77">
        <w:rPr>
          <w:sz w:val="23"/>
          <w:szCs w:val="23"/>
          <w:lang w:val="es-NI"/>
        </w:rPr>
        <w:t>obierno para promover la igualdad de género en los derechos de propiedad en Nicaragua.</w:t>
      </w:r>
      <w:r w:rsidR="00641AC5" w:rsidRPr="00967D77">
        <w:rPr>
          <w:sz w:val="23"/>
          <w:szCs w:val="23"/>
          <w:lang w:val="es-NI"/>
        </w:rPr>
        <w:t xml:space="preserve"> Entre otras cosas,</w:t>
      </w:r>
      <w:r w:rsidR="0029432B" w:rsidRPr="00967D77">
        <w:rPr>
          <w:sz w:val="23"/>
          <w:szCs w:val="23"/>
          <w:lang w:val="es-NI"/>
        </w:rPr>
        <w:t xml:space="preserve"> como reflejo de una legislación </w:t>
      </w:r>
      <w:r w:rsidR="007A6572" w:rsidRPr="00967D77">
        <w:rPr>
          <w:sz w:val="23"/>
          <w:szCs w:val="23"/>
          <w:lang w:val="es-NI"/>
        </w:rPr>
        <w:t>consciente</w:t>
      </w:r>
      <w:r w:rsidR="0029432B" w:rsidRPr="00967D77">
        <w:rPr>
          <w:sz w:val="23"/>
          <w:szCs w:val="23"/>
          <w:lang w:val="es-NI"/>
        </w:rPr>
        <w:t xml:space="preserve"> de las necesidades de las mujeres, el Proyecto busca cómo beneficiar a las mujeres al incentivar la </w:t>
      </w:r>
      <w:r w:rsidR="007349BB" w:rsidRPr="00967D77">
        <w:rPr>
          <w:sz w:val="23"/>
          <w:szCs w:val="23"/>
          <w:lang w:val="es-NI"/>
        </w:rPr>
        <w:t>titulación</w:t>
      </w:r>
      <w:r w:rsidR="0029432B" w:rsidRPr="00967D77">
        <w:rPr>
          <w:sz w:val="23"/>
          <w:szCs w:val="23"/>
          <w:lang w:val="es-ES"/>
        </w:rPr>
        <w:t xml:space="preserve"> conjunta de parejas </w:t>
      </w:r>
      <w:r w:rsidR="007349BB" w:rsidRPr="00967D77">
        <w:rPr>
          <w:sz w:val="23"/>
          <w:szCs w:val="23"/>
          <w:lang w:val="es-ES"/>
        </w:rPr>
        <w:t>(esposo y esposa) y de hogares con jefas de familia al frente. Para tal fin, la estrategia de género</w:t>
      </w:r>
      <w:r w:rsidR="00B81E0C" w:rsidRPr="00967D77">
        <w:rPr>
          <w:sz w:val="23"/>
          <w:szCs w:val="23"/>
          <w:lang w:val="es-ES"/>
        </w:rPr>
        <w:t xml:space="preserve"> se vio enriqu</w:t>
      </w:r>
      <w:r w:rsidR="007349BB" w:rsidRPr="00967D77">
        <w:rPr>
          <w:sz w:val="23"/>
          <w:szCs w:val="23"/>
          <w:lang w:val="es-ES"/>
        </w:rPr>
        <w:t>ecida</w:t>
      </w:r>
      <w:r w:rsidR="00B81E0C" w:rsidRPr="00967D77">
        <w:rPr>
          <w:sz w:val="23"/>
          <w:szCs w:val="23"/>
          <w:lang w:val="es-ES"/>
        </w:rPr>
        <w:t xml:space="preserve"> por un estudio de género y por una evaluación de la estrategia</w:t>
      </w:r>
      <w:r w:rsidR="00CC3DFD">
        <w:rPr>
          <w:sz w:val="23"/>
          <w:szCs w:val="23"/>
          <w:lang w:val="es-ES"/>
        </w:rPr>
        <w:t xml:space="preserve"> </w:t>
      </w:r>
      <w:r w:rsidR="00B81E0C" w:rsidRPr="00967D77">
        <w:rPr>
          <w:sz w:val="23"/>
          <w:szCs w:val="23"/>
          <w:lang w:val="es-ES"/>
        </w:rPr>
        <w:t xml:space="preserve">de género del proyecto anterior. El estudio se hizo para analizar los factores que podrían potenciar o limitar la igualdad de género en el fortalecimiento de los derechos de propiedad. Capturó </w:t>
      </w:r>
      <w:r w:rsidR="00B81E0C" w:rsidRPr="00967D77">
        <w:rPr>
          <w:sz w:val="23"/>
          <w:szCs w:val="23"/>
          <w:lang w:val="es-ES"/>
        </w:rPr>
        <w:lastRenderedPageBreak/>
        <w:t>datos primarios a través de entrevistas y grupos focales sostenidos con tres gr</w:t>
      </w:r>
      <w:r w:rsidR="007A6572" w:rsidRPr="00967D77">
        <w:rPr>
          <w:sz w:val="23"/>
          <w:szCs w:val="23"/>
          <w:lang w:val="es-ES"/>
        </w:rPr>
        <w:t>upos de informantes claves de toda el</w:t>
      </w:r>
      <w:r w:rsidR="00A9663E">
        <w:rPr>
          <w:sz w:val="23"/>
          <w:szCs w:val="23"/>
          <w:lang w:val="es-ES"/>
        </w:rPr>
        <w:t xml:space="preserve"> </w:t>
      </w:r>
      <w:r w:rsidR="007A6572" w:rsidRPr="00967D77">
        <w:rPr>
          <w:sz w:val="23"/>
          <w:szCs w:val="23"/>
          <w:lang w:val="es-ES"/>
        </w:rPr>
        <w:t>área de influencia del Proyecto</w:t>
      </w:r>
      <w:r w:rsidR="00642C61" w:rsidRPr="00967D77">
        <w:rPr>
          <w:sz w:val="23"/>
          <w:szCs w:val="23"/>
          <w:lang w:val="es-ES"/>
        </w:rPr>
        <w:t>.</w:t>
      </w:r>
      <w:r w:rsidR="00642C61" w:rsidRPr="00967D77">
        <w:rPr>
          <w:sz w:val="23"/>
          <w:szCs w:val="23"/>
          <w:vertAlign w:val="superscript"/>
          <w:lang w:val="es-ES"/>
        </w:rPr>
        <w:footnoteReference w:id="33"/>
      </w:r>
    </w:p>
    <w:p w:rsidR="00642C61" w:rsidRPr="00967D77" w:rsidRDefault="00642C61" w:rsidP="00642C61">
      <w:pPr>
        <w:pStyle w:val="ListParagraph"/>
        <w:ind w:left="0"/>
        <w:jc w:val="both"/>
        <w:rPr>
          <w:sz w:val="23"/>
          <w:szCs w:val="23"/>
          <w:lang w:val="es-ES"/>
        </w:rPr>
      </w:pPr>
    </w:p>
    <w:p w:rsidR="007A6572" w:rsidRPr="00967D77" w:rsidRDefault="007A6572" w:rsidP="00FF33C1">
      <w:pPr>
        <w:pStyle w:val="ListParagraph"/>
        <w:numPr>
          <w:ilvl w:val="0"/>
          <w:numId w:val="18"/>
        </w:numPr>
        <w:jc w:val="both"/>
        <w:rPr>
          <w:sz w:val="23"/>
          <w:szCs w:val="23"/>
          <w:lang w:val="es-ES"/>
        </w:rPr>
      </w:pPr>
      <w:r w:rsidRPr="00967D77">
        <w:rPr>
          <w:sz w:val="23"/>
          <w:szCs w:val="23"/>
          <w:lang w:val="es-ES"/>
        </w:rPr>
        <w:t>La</w:t>
      </w:r>
      <w:r w:rsidR="00A9663E">
        <w:rPr>
          <w:sz w:val="23"/>
          <w:szCs w:val="23"/>
          <w:lang w:val="es-ES"/>
        </w:rPr>
        <w:t xml:space="preserve"> </w:t>
      </w:r>
      <w:r w:rsidRPr="00967D77">
        <w:rPr>
          <w:sz w:val="23"/>
          <w:szCs w:val="23"/>
          <w:lang w:val="es-ES"/>
        </w:rPr>
        <w:t>evaluación</w:t>
      </w:r>
      <w:r w:rsidR="00A9663E">
        <w:rPr>
          <w:sz w:val="23"/>
          <w:szCs w:val="23"/>
          <w:lang w:val="es-ES"/>
        </w:rPr>
        <w:t xml:space="preserve"> </w:t>
      </w:r>
      <w:r w:rsidRPr="00967D77">
        <w:rPr>
          <w:sz w:val="23"/>
          <w:szCs w:val="23"/>
          <w:lang w:val="es-ES"/>
        </w:rPr>
        <w:t>de la</w:t>
      </w:r>
      <w:r w:rsidR="00A9663E">
        <w:rPr>
          <w:sz w:val="23"/>
          <w:szCs w:val="23"/>
          <w:lang w:val="es-ES"/>
        </w:rPr>
        <w:t xml:space="preserve"> </w:t>
      </w:r>
      <w:r w:rsidRPr="00967D77">
        <w:rPr>
          <w:sz w:val="23"/>
          <w:szCs w:val="23"/>
          <w:lang w:val="es-ES"/>
        </w:rPr>
        <w:t>estrategia de género</w:t>
      </w:r>
      <w:r w:rsidR="00A9663E">
        <w:rPr>
          <w:sz w:val="23"/>
          <w:szCs w:val="23"/>
          <w:lang w:val="es-ES"/>
        </w:rPr>
        <w:t xml:space="preserve"> </w:t>
      </w:r>
      <w:r w:rsidRPr="00967D77">
        <w:rPr>
          <w:sz w:val="23"/>
          <w:szCs w:val="23"/>
          <w:lang w:val="es-ES"/>
        </w:rPr>
        <w:t xml:space="preserve">del proyecto anterior demostró que ésta facilitó la integración de la perspectiva de género a lo largo y ancho de las diversas </w:t>
      </w:r>
      <w:r w:rsidR="009E641C" w:rsidRPr="00967D77">
        <w:rPr>
          <w:sz w:val="23"/>
          <w:szCs w:val="23"/>
          <w:lang w:val="es-ES"/>
        </w:rPr>
        <w:t xml:space="preserve">actividades relacionadas con el proceso de barrido y regularización. Se destacan los siguientes hallazgos: (i) La </w:t>
      </w:r>
      <w:r w:rsidR="00077BF9" w:rsidRPr="00967D77">
        <w:rPr>
          <w:sz w:val="23"/>
          <w:szCs w:val="23"/>
          <w:lang w:val="es-ES"/>
        </w:rPr>
        <w:t xml:space="preserve">aplicación de prácticas </w:t>
      </w:r>
      <w:r w:rsidR="00DD425B" w:rsidRPr="00967D77">
        <w:rPr>
          <w:sz w:val="23"/>
          <w:szCs w:val="23"/>
          <w:lang w:val="es-ES"/>
        </w:rPr>
        <w:t xml:space="preserve">sensibles de género en las tareas diarias del personal del Proyecto como resultado de guías, herramientas y capacitaciones de género; (ii) Compromiso del personal del Proyecto para aplicar la estrategia de género; (iii) Percepción de </w:t>
      </w:r>
      <w:r w:rsidR="0088327A" w:rsidRPr="00967D77">
        <w:rPr>
          <w:sz w:val="23"/>
          <w:szCs w:val="23"/>
          <w:lang w:val="es-ES"/>
        </w:rPr>
        <w:t>l</w:t>
      </w:r>
      <w:r w:rsidR="0088327A">
        <w:rPr>
          <w:sz w:val="23"/>
          <w:szCs w:val="23"/>
          <w:lang w:val="es-ES"/>
        </w:rPr>
        <w:t>a</w:t>
      </w:r>
      <w:r w:rsidR="0088327A" w:rsidRPr="00967D77">
        <w:rPr>
          <w:sz w:val="23"/>
          <w:szCs w:val="23"/>
          <w:lang w:val="es-ES"/>
        </w:rPr>
        <w:t>s</w:t>
      </w:r>
      <w:r w:rsidR="0088327A">
        <w:rPr>
          <w:sz w:val="23"/>
          <w:szCs w:val="23"/>
          <w:lang w:val="es-ES"/>
        </w:rPr>
        <w:t xml:space="preserve"> personas</w:t>
      </w:r>
      <w:r w:rsidR="0088327A" w:rsidRPr="00967D77">
        <w:rPr>
          <w:sz w:val="23"/>
          <w:szCs w:val="23"/>
          <w:lang w:val="es-ES"/>
        </w:rPr>
        <w:t xml:space="preserve"> beneficiari</w:t>
      </w:r>
      <w:r w:rsidR="0088327A">
        <w:rPr>
          <w:sz w:val="23"/>
          <w:szCs w:val="23"/>
          <w:lang w:val="es-ES"/>
        </w:rPr>
        <w:t>a</w:t>
      </w:r>
      <w:r w:rsidR="0088327A" w:rsidRPr="00967D77">
        <w:rPr>
          <w:sz w:val="23"/>
          <w:szCs w:val="23"/>
          <w:lang w:val="es-ES"/>
        </w:rPr>
        <w:t>s</w:t>
      </w:r>
      <w:r w:rsidR="0088327A" w:rsidRPr="00967D77" w:rsidDel="0088327A">
        <w:rPr>
          <w:sz w:val="23"/>
          <w:szCs w:val="23"/>
          <w:lang w:val="es-ES"/>
        </w:rPr>
        <w:t xml:space="preserve"> </w:t>
      </w:r>
      <w:r w:rsidR="00DD425B" w:rsidRPr="00967D77">
        <w:rPr>
          <w:sz w:val="23"/>
          <w:szCs w:val="23"/>
          <w:lang w:val="es-ES"/>
        </w:rPr>
        <w:t xml:space="preserve">que PRODEP promueve los derechos de propiedad de las mujeres, gracias a las campañas de comunicación y </w:t>
      </w:r>
      <w:r w:rsidR="00811438" w:rsidRPr="00967D77">
        <w:rPr>
          <w:sz w:val="23"/>
          <w:szCs w:val="23"/>
          <w:lang w:val="es-ES"/>
        </w:rPr>
        <w:t>sensibilización. En consecuencia, las organizaciones comunitarias con representación femenina están comprometid</w:t>
      </w:r>
      <w:r w:rsidR="0088327A">
        <w:rPr>
          <w:sz w:val="23"/>
          <w:szCs w:val="23"/>
          <w:lang w:val="es-ES"/>
        </w:rPr>
        <w:t>a</w:t>
      </w:r>
      <w:r w:rsidR="00811438" w:rsidRPr="00967D77">
        <w:rPr>
          <w:sz w:val="23"/>
          <w:szCs w:val="23"/>
          <w:lang w:val="es-ES"/>
        </w:rPr>
        <w:t xml:space="preserve">s a apoyar las actividades del Proyecto. Asimismo, el Proyecto facilitó la coordinación </w:t>
      </w:r>
      <w:r w:rsidR="005137E6" w:rsidRPr="00967D77">
        <w:rPr>
          <w:sz w:val="23"/>
          <w:szCs w:val="23"/>
          <w:lang w:val="es-ES"/>
        </w:rPr>
        <w:t>entre los municipios y las organizaciones de base comunitaria</w:t>
      </w:r>
      <w:r w:rsidR="005137E6" w:rsidRPr="00967D77">
        <w:rPr>
          <w:sz w:val="23"/>
          <w:szCs w:val="23"/>
          <w:vertAlign w:val="superscript"/>
          <w:lang w:val="es-ES"/>
        </w:rPr>
        <w:footnoteReference w:id="34"/>
      </w:r>
      <w:r w:rsidR="005137E6" w:rsidRPr="00967D77">
        <w:rPr>
          <w:sz w:val="23"/>
          <w:szCs w:val="23"/>
          <w:lang w:val="es-ES"/>
        </w:rPr>
        <w:t xml:space="preserve"> a nivel local  para estimular la participación activa de la mujer en las actividades del Proyecto. Es de gran importancia señalar que la evaluación identificó incluso algunas limitaciones en la aplicación de la estrategia, especialmente el hecho que la falta de monitoreo de dicha estrategia  restringió la institucionalización de la perspectiva de género en las actividades del Proyecto.</w:t>
      </w:r>
    </w:p>
    <w:p w:rsidR="00642C61" w:rsidRPr="00967D77" w:rsidRDefault="00642C61" w:rsidP="00642C61">
      <w:pPr>
        <w:pStyle w:val="ListParagraph"/>
        <w:ind w:left="0"/>
        <w:jc w:val="both"/>
        <w:rPr>
          <w:sz w:val="23"/>
          <w:szCs w:val="23"/>
          <w:lang w:val="es-ES"/>
        </w:rPr>
      </w:pPr>
    </w:p>
    <w:p w:rsidR="005C2B8C" w:rsidRPr="00967D77" w:rsidRDefault="005137E6" w:rsidP="00050078">
      <w:pPr>
        <w:pStyle w:val="ListParagraph"/>
        <w:numPr>
          <w:ilvl w:val="0"/>
          <w:numId w:val="18"/>
        </w:numPr>
        <w:jc w:val="both"/>
        <w:rPr>
          <w:sz w:val="23"/>
          <w:szCs w:val="23"/>
          <w:lang w:val="es-NI"/>
        </w:rPr>
      </w:pPr>
      <w:r w:rsidRPr="00967D77">
        <w:rPr>
          <w:sz w:val="23"/>
          <w:szCs w:val="23"/>
          <w:lang w:val="es-NI"/>
        </w:rPr>
        <w:t>El estudio de género también ayudó a identificar las diversas organizaciones comunitarias en los seis departamentos beneficiados por el Proyecto</w:t>
      </w:r>
      <w:r w:rsidR="0088327A">
        <w:rPr>
          <w:sz w:val="23"/>
          <w:szCs w:val="23"/>
          <w:lang w:val="es-NI"/>
        </w:rPr>
        <w:t>,</w:t>
      </w:r>
      <w:r w:rsidRPr="00967D77">
        <w:rPr>
          <w:sz w:val="23"/>
          <w:szCs w:val="23"/>
          <w:lang w:val="es-NI"/>
        </w:rPr>
        <w:t xml:space="preserve"> </w:t>
      </w:r>
      <w:r w:rsidR="007E631F" w:rsidRPr="00967D77">
        <w:rPr>
          <w:sz w:val="23"/>
          <w:szCs w:val="23"/>
          <w:lang w:val="es-NI"/>
        </w:rPr>
        <w:t>que busca</w:t>
      </w:r>
      <w:r w:rsidR="0088327A">
        <w:rPr>
          <w:sz w:val="23"/>
          <w:szCs w:val="23"/>
          <w:lang w:val="es-NI"/>
        </w:rPr>
        <w:t>n</w:t>
      </w:r>
      <w:r w:rsidR="007E631F" w:rsidRPr="00967D77">
        <w:rPr>
          <w:sz w:val="23"/>
          <w:szCs w:val="23"/>
          <w:lang w:val="es-NI"/>
        </w:rPr>
        <w:t xml:space="preserve"> cómo restituir los derechos de propiedad de la mujer. Los representantes de las </w:t>
      </w:r>
      <w:r w:rsidR="00B72C3C">
        <w:rPr>
          <w:sz w:val="23"/>
          <w:szCs w:val="23"/>
          <w:lang w:val="es-ES"/>
        </w:rPr>
        <w:t>C</w:t>
      </w:r>
      <w:r w:rsidR="007E631F" w:rsidRPr="00967D77">
        <w:rPr>
          <w:sz w:val="23"/>
          <w:szCs w:val="23"/>
          <w:lang w:val="es-ES"/>
        </w:rPr>
        <w:t xml:space="preserve">omunidades </w:t>
      </w:r>
      <w:r w:rsidR="00B72C3C">
        <w:rPr>
          <w:sz w:val="23"/>
          <w:szCs w:val="23"/>
          <w:lang w:val="es-ES"/>
        </w:rPr>
        <w:t>I</w:t>
      </w:r>
      <w:r w:rsidR="007E631F" w:rsidRPr="00967D77">
        <w:rPr>
          <w:sz w:val="23"/>
          <w:szCs w:val="23"/>
          <w:lang w:val="es-ES"/>
        </w:rPr>
        <w:t xml:space="preserve">ndígenas </w:t>
      </w:r>
      <w:r w:rsidR="00B72C3C">
        <w:rPr>
          <w:sz w:val="23"/>
          <w:szCs w:val="23"/>
          <w:lang w:val="es-ES"/>
        </w:rPr>
        <w:t>C</w:t>
      </w:r>
      <w:r w:rsidR="007E631F" w:rsidRPr="00967D77">
        <w:rPr>
          <w:sz w:val="23"/>
          <w:szCs w:val="23"/>
          <w:lang w:val="es-ES"/>
        </w:rPr>
        <w:t>horotega</w:t>
      </w:r>
      <w:r w:rsidR="0078545C" w:rsidRPr="00967D77">
        <w:rPr>
          <w:sz w:val="23"/>
          <w:szCs w:val="23"/>
          <w:lang w:val="es-ES"/>
        </w:rPr>
        <w:t>s, por ejemplo</w:t>
      </w:r>
      <w:r w:rsidR="00B72C3C">
        <w:rPr>
          <w:sz w:val="23"/>
          <w:szCs w:val="23"/>
          <w:lang w:val="es-ES"/>
        </w:rPr>
        <w:t>,</w:t>
      </w:r>
      <w:r w:rsidR="0078545C" w:rsidRPr="00967D77">
        <w:rPr>
          <w:sz w:val="23"/>
          <w:szCs w:val="23"/>
          <w:lang w:val="es-ES"/>
        </w:rPr>
        <w:t xml:space="preserve"> aunque no reconocen la necesidad de participar en el proceso de regularización, ya han iniciado un proceso para</w:t>
      </w:r>
      <w:r w:rsidR="00B72C3C">
        <w:rPr>
          <w:sz w:val="23"/>
          <w:szCs w:val="23"/>
          <w:lang w:val="es-ES"/>
        </w:rPr>
        <w:t xml:space="preserve"> </w:t>
      </w:r>
      <w:r w:rsidR="0078545C" w:rsidRPr="00967D77">
        <w:rPr>
          <w:sz w:val="23"/>
          <w:szCs w:val="23"/>
          <w:lang w:val="es-ES"/>
        </w:rPr>
        <w:t xml:space="preserve">mover el derecho de la mujer para heredar tierras. Asimismo, los representantes de las comunidades indígenas en Jinotega reconocen las desigualdades </w:t>
      </w:r>
      <w:r w:rsidR="00B72C3C">
        <w:rPr>
          <w:sz w:val="23"/>
          <w:szCs w:val="23"/>
          <w:lang w:val="es-ES"/>
        </w:rPr>
        <w:t xml:space="preserve">en el ejercicio de </w:t>
      </w:r>
      <w:r w:rsidR="00D24F0B" w:rsidRPr="00967D77">
        <w:rPr>
          <w:sz w:val="23"/>
          <w:szCs w:val="23"/>
          <w:lang w:val="es-ES"/>
        </w:rPr>
        <w:t xml:space="preserve">los derechos de las mujeres con relación a tierras comunales. </w:t>
      </w:r>
      <w:r w:rsidR="00D24F0B" w:rsidRPr="00967D77">
        <w:rPr>
          <w:sz w:val="23"/>
          <w:szCs w:val="23"/>
          <w:vertAlign w:val="superscript"/>
          <w:lang w:val="es-ES"/>
        </w:rPr>
        <w:footnoteReference w:id="35"/>
      </w:r>
      <w:r w:rsidR="00D24F0B" w:rsidRPr="00967D77">
        <w:rPr>
          <w:sz w:val="23"/>
          <w:szCs w:val="23"/>
          <w:lang w:val="es-ES"/>
        </w:rPr>
        <w:t>Sin embargo, algunos riesgos persisten en la lucha por alcanzar la igualdad de género en el acceso y tenencia de la tierra. Por ejemplo, acceso desigual a los mercados inmobiliarios d</w:t>
      </w:r>
      <w:r w:rsidR="00050078" w:rsidRPr="00967D77">
        <w:rPr>
          <w:sz w:val="23"/>
          <w:szCs w:val="23"/>
          <w:lang w:val="es-ES"/>
        </w:rPr>
        <w:t xml:space="preserve">ebido al hecho que la mujer no está </w:t>
      </w:r>
      <w:r w:rsidR="00B72C3C">
        <w:rPr>
          <w:sz w:val="23"/>
          <w:szCs w:val="23"/>
          <w:lang w:val="es-ES"/>
        </w:rPr>
        <w:t xml:space="preserve">lo suficientemente empoderada </w:t>
      </w:r>
      <w:r w:rsidR="00050078" w:rsidRPr="00967D77">
        <w:rPr>
          <w:sz w:val="23"/>
          <w:szCs w:val="23"/>
          <w:lang w:val="es-ES"/>
        </w:rPr>
        <w:t xml:space="preserve"> para ejercer sus derechos y tomar decisiones sobre sus propiedades aunque los títulos salgan a su nombre.</w:t>
      </w:r>
    </w:p>
    <w:p w:rsidR="005C2B8C" w:rsidRPr="00967D77" w:rsidRDefault="005C2B8C" w:rsidP="005C2B8C">
      <w:pPr>
        <w:pStyle w:val="ListParagraph"/>
        <w:rPr>
          <w:sz w:val="23"/>
          <w:szCs w:val="23"/>
          <w:lang w:val="es-NI"/>
        </w:rPr>
      </w:pPr>
    </w:p>
    <w:p w:rsidR="00642C61" w:rsidRPr="00967D77" w:rsidRDefault="00B72C3C" w:rsidP="006D46AB">
      <w:pPr>
        <w:pStyle w:val="ListParagraph"/>
        <w:numPr>
          <w:ilvl w:val="0"/>
          <w:numId w:val="18"/>
        </w:numPr>
        <w:jc w:val="both"/>
        <w:rPr>
          <w:sz w:val="23"/>
          <w:szCs w:val="23"/>
          <w:lang w:val="es-ES"/>
        </w:rPr>
      </w:pPr>
      <w:r>
        <w:rPr>
          <w:sz w:val="23"/>
          <w:szCs w:val="23"/>
          <w:lang w:val="es-ES"/>
        </w:rPr>
        <w:t>B</w:t>
      </w:r>
      <w:r w:rsidR="004C7839" w:rsidRPr="00967D77">
        <w:rPr>
          <w:sz w:val="23"/>
          <w:szCs w:val="23"/>
          <w:lang w:val="es-ES"/>
        </w:rPr>
        <w:t>as</w:t>
      </w:r>
      <w:r>
        <w:rPr>
          <w:sz w:val="23"/>
          <w:szCs w:val="23"/>
          <w:lang w:val="es-ES"/>
        </w:rPr>
        <w:t>ada</w:t>
      </w:r>
      <w:r w:rsidR="004C7839" w:rsidRPr="00967D77">
        <w:rPr>
          <w:sz w:val="23"/>
          <w:szCs w:val="23"/>
          <w:lang w:val="es-ES"/>
        </w:rPr>
        <w:t xml:space="preserve"> en estos hallazgos, la</w:t>
      </w:r>
      <w:r w:rsidR="004C7839" w:rsidRPr="00967D77">
        <w:rPr>
          <w:sz w:val="23"/>
          <w:szCs w:val="23"/>
          <w:lang w:val="es-NI"/>
        </w:rPr>
        <w:t xml:space="preserve"> estrategia de </w:t>
      </w:r>
      <w:r w:rsidR="004C7839" w:rsidRPr="00967D77">
        <w:rPr>
          <w:sz w:val="23"/>
          <w:szCs w:val="23"/>
          <w:lang w:val="es-ES"/>
        </w:rPr>
        <w:t>género</w:t>
      </w:r>
      <w:r w:rsidR="00B84DCF" w:rsidRPr="00967D77">
        <w:rPr>
          <w:sz w:val="23"/>
          <w:szCs w:val="23"/>
          <w:lang w:val="es-ES"/>
        </w:rPr>
        <w:t xml:space="preserve"> del Proyecto pretende que el tema de género predomine en las actividades del Proyecto para empoderar </w:t>
      </w:r>
      <w:r w:rsidR="00794955" w:rsidRPr="00967D77">
        <w:rPr>
          <w:sz w:val="23"/>
          <w:szCs w:val="23"/>
          <w:lang w:val="es-ES"/>
        </w:rPr>
        <w:t>a</w:t>
      </w:r>
      <w:r w:rsidR="00B84DCF" w:rsidRPr="00967D77">
        <w:rPr>
          <w:sz w:val="23"/>
          <w:szCs w:val="23"/>
          <w:lang w:val="es-ES"/>
        </w:rPr>
        <w:t xml:space="preserve"> las </w:t>
      </w:r>
      <w:r w:rsidR="00794955" w:rsidRPr="00967D77">
        <w:rPr>
          <w:sz w:val="23"/>
          <w:szCs w:val="23"/>
          <w:lang w:val="es-ES"/>
        </w:rPr>
        <w:t xml:space="preserve">beneficiarias y concientizarlas para que conozcan sus derechos de propiedad. La estrategia descansa en cuatro pilares: </w:t>
      </w:r>
      <w:r w:rsidR="005359AB">
        <w:rPr>
          <w:sz w:val="23"/>
          <w:szCs w:val="23"/>
          <w:lang w:val="es-ES"/>
        </w:rPr>
        <w:t xml:space="preserve">(i) </w:t>
      </w:r>
      <w:r w:rsidR="00794955" w:rsidRPr="00967D77">
        <w:rPr>
          <w:sz w:val="23"/>
          <w:szCs w:val="23"/>
          <w:lang w:val="es-ES"/>
        </w:rPr>
        <w:t>institucionalización del género en todas las agencias co-ejecutoras del Proyecto</w:t>
      </w:r>
      <w:r w:rsidR="001A3D74" w:rsidRPr="00967D77">
        <w:rPr>
          <w:sz w:val="23"/>
          <w:szCs w:val="23"/>
          <w:lang w:val="es-ES"/>
        </w:rPr>
        <w:t>,</w:t>
      </w:r>
      <w:r w:rsidR="005359AB">
        <w:rPr>
          <w:sz w:val="23"/>
          <w:szCs w:val="23"/>
          <w:lang w:val="es-ES"/>
        </w:rPr>
        <w:t xml:space="preserve"> (ii)</w:t>
      </w:r>
      <w:r w:rsidR="001A3D74" w:rsidRPr="00967D77">
        <w:rPr>
          <w:sz w:val="23"/>
          <w:szCs w:val="23"/>
          <w:lang w:val="es-ES"/>
        </w:rPr>
        <w:t xml:space="preserve"> fortalecimiento de las instituciones pertinentes, </w:t>
      </w:r>
      <w:r w:rsidR="005359AB">
        <w:rPr>
          <w:sz w:val="23"/>
          <w:szCs w:val="23"/>
          <w:lang w:val="es-ES"/>
        </w:rPr>
        <w:t xml:space="preserve">(iii) </w:t>
      </w:r>
      <w:r w:rsidR="001A3D74" w:rsidRPr="00967D77">
        <w:rPr>
          <w:sz w:val="23"/>
          <w:szCs w:val="23"/>
          <w:lang w:val="es-ES"/>
        </w:rPr>
        <w:t>comunicación y sensibilización de las comunidades y</w:t>
      </w:r>
      <w:r w:rsidR="005359AB">
        <w:rPr>
          <w:sz w:val="23"/>
          <w:szCs w:val="23"/>
          <w:lang w:val="es-ES"/>
        </w:rPr>
        <w:t xml:space="preserve"> (iv)</w:t>
      </w:r>
      <w:r w:rsidR="001A3D74" w:rsidRPr="00967D77">
        <w:rPr>
          <w:sz w:val="23"/>
          <w:szCs w:val="23"/>
          <w:lang w:val="es-ES"/>
        </w:rPr>
        <w:t xml:space="preserve"> coordinación interinstitucional. Asimismo, la estrategia recomienda que el sistema de Monitoreo &amp; Evaluación (M&amp;E) cuantifique el avance hacia la consecución de las metas </w:t>
      </w:r>
      <w:r w:rsidR="006D46AB" w:rsidRPr="00967D77">
        <w:rPr>
          <w:sz w:val="23"/>
          <w:szCs w:val="23"/>
          <w:lang w:val="es-ES"/>
        </w:rPr>
        <w:t>de género. La estrategia de comunicación del Proyecto reforzará la aplicación de la e</w:t>
      </w:r>
      <w:r w:rsidR="007A6572" w:rsidRPr="00967D77">
        <w:rPr>
          <w:sz w:val="23"/>
          <w:szCs w:val="23"/>
          <w:lang w:val="es-ES"/>
        </w:rPr>
        <w:t>strategia de género</w:t>
      </w:r>
      <w:r w:rsidR="00642C61" w:rsidRPr="00967D77">
        <w:rPr>
          <w:sz w:val="23"/>
          <w:szCs w:val="23"/>
          <w:lang w:val="es-ES"/>
        </w:rPr>
        <w:t>.</w:t>
      </w:r>
    </w:p>
    <w:p w:rsidR="000E1E4A" w:rsidRPr="00111EF0" w:rsidRDefault="000E1E4A" w:rsidP="00D753CC">
      <w:pPr>
        <w:pStyle w:val="ListParagraph"/>
        <w:spacing w:after="200"/>
        <w:ind w:left="0"/>
        <w:jc w:val="both"/>
        <w:rPr>
          <w:sz w:val="22"/>
          <w:szCs w:val="22"/>
          <w:lang w:val="es-ES"/>
        </w:rPr>
      </w:pPr>
    </w:p>
    <w:p w:rsidR="00B226FC" w:rsidRPr="00383309" w:rsidRDefault="008D01B9" w:rsidP="00BA1503">
      <w:pPr>
        <w:pStyle w:val="ListParagraph"/>
        <w:spacing w:after="200" w:line="276" w:lineRule="auto"/>
        <w:ind w:left="0"/>
        <w:rPr>
          <w:b/>
          <w:lang w:val="es-ES"/>
        </w:rPr>
      </w:pPr>
      <w:r w:rsidRPr="00383309">
        <w:rPr>
          <w:b/>
          <w:lang w:val="es-ES"/>
        </w:rPr>
        <w:t>V.</w:t>
      </w:r>
      <w:r w:rsidRPr="00383309">
        <w:rPr>
          <w:b/>
          <w:lang w:val="es-ES"/>
        </w:rPr>
        <w:tab/>
      </w:r>
      <w:r w:rsidR="006D46AB" w:rsidRPr="00383309">
        <w:rPr>
          <w:b/>
          <w:u w:val="single"/>
          <w:lang w:val="es-ES"/>
        </w:rPr>
        <w:t>Monitoreo &amp; Evaluación (M&amp;E)</w:t>
      </w:r>
    </w:p>
    <w:p w:rsidR="00FA1637" w:rsidRPr="00383309" w:rsidRDefault="00FA1637" w:rsidP="00BA1503">
      <w:pPr>
        <w:pStyle w:val="ListParagraph"/>
        <w:spacing w:after="200" w:line="276" w:lineRule="auto"/>
        <w:ind w:left="0"/>
        <w:rPr>
          <w:b/>
          <w:lang w:val="es-ES"/>
        </w:rPr>
      </w:pPr>
    </w:p>
    <w:p w:rsidR="00383309" w:rsidRPr="00967D77" w:rsidRDefault="00383309" w:rsidP="00FF33C1">
      <w:pPr>
        <w:pStyle w:val="ListParagraph"/>
        <w:numPr>
          <w:ilvl w:val="0"/>
          <w:numId w:val="18"/>
        </w:numPr>
        <w:jc w:val="both"/>
        <w:rPr>
          <w:sz w:val="23"/>
          <w:szCs w:val="23"/>
          <w:lang w:val="es-ES"/>
        </w:rPr>
      </w:pPr>
      <w:r w:rsidRPr="00967D77">
        <w:rPr>
          <w:sz w:val="23"/>
          <w:szCs w:val="23"/>
          <w:lang w:val="es-ES"/>
        </w:rPr>
        <w:lastRenderedPageBreak/>
        <w:t xml:space="preserve">La </w:t>
      </w:r>
      <w:r w:rsidR="00FA1637" w:rsidRPr="00967D77">
        <w:rPr>
          <w:sz w:val="23"/>
          <w:szCs w:val="23"/>
          <w:lang w:val="es-ES"/>
        </w:rPr>
        <w:t xml:space="preserve">PGR, </w:t>
      </w:r>
      <w:r w:rsidR="005359AB">
        <w:rPr>
          <w:sz w:val="23"/>
          <w:szCs w:val="23"/>
          <w:lang w:val="es-ES"/>
        </w:rPr>
        <w:t xml:space="preserve">mediante </w:t>
      </w:r>
      <w:r w:rsidRPr="00967D77">
        <w:rPr>
          <w:sz w:val="23"/>
          <w:szCs w:val="23"/>
          <w:lang w:val="es-ES"/>
        </w:rPr>
        <w:t xml:space="preserve"> la</w:t>
      </w:r>
      <w:r w:rsidR="005359AB">
        <w:rPr>
          <w:sz w:val="23"/>
          <w:szCs w:val="23"/>
          <w:lang w:val="es-ES"/>
        </w:rPr>
        <w:t xml:space="preserve"> </w:t>
      </w:r>
      <w:r w:rsidR="00890CA6" w:rsidRPr="00967D77">
        <w:rPr>
          <w:sz w:val="23"/>
          <w:szCs w:val="23"/>
          <w:lang w:val="es-ES"/>
        </w:rPr>
        <w:t>UCP</w:t>
      </w:r>
      <w:r w:rsidR="00FA1637" w:rsidRPr="00967D77">
        <w:rPr>
          <w:sz w:val="23"/>
          <w:szCs w:val="23"/>
          <w:lang w:val="es-ES"/>
        </w:rPr>
        <w:t xml:space="preserve">, </w:t>
      </w:r>
      <w:r w:rsidRPr="00967D77">
        <w:rPr>
          <w:sz w:val="23"/>
          <w:szCs w:val="23"/>
          <w:lang w:val="es-ES"/>
        </w:rPr>
        <w:t>se encargará del Monitoreo &amp; Evaluación (M&amp;E). En consecuencia, la UCP: (a) Capturará, consolidará y reportará datos sobre la marcha del Proyecto (avance físico y financiero); (b) Brindará información periódica sobre los resultados intermedios del Proyecto y el avance hacia la consecución de resultados de más alto nivel. La</w:t>
      </w:r>
      <w:r w:rsidR="00F2632E" w:rsidRPr="00967D77">
        <w:rPr>
          <w:sz w:val="23"/>
          <w:szCs w:val="23"/>
          <w:lang w:val="es-ES"/>
        </w:rPr>
        <w:t>s agencias</w:t>
      </w:r>
      <w:r w:rsidR="005359AB">
        <w:rPr>
          <w:sz w:val="23"/>
          <w:szCs w:val="23"/>
          <w:lang w:val="es-ES"/>
        </w:rPr>
        <w:t xml:space="preserve"> </w:t>
      </w:r>
      <w:r w:rsidR="003E242A">
        <w:rPr>
          <w:sz w:val="23"/>
          <w:szCs w:val="23"/>
          <w:lang w:val="es-ES"/>
        </w:rPr>
        <w:t xml:space="preserve"> </w:t>
      </w:r>
      <w:r w:rsidRPr="00967D77">
        <w:rPr>
          <w:sz w:val="23"/>
          <w:szCs w:val="23"/>
          <w:lang w:val="es-ES"/>
        </w:rPr>
        <w:t>co-ejecutoras deberán brindar los insumos necesarios para garantizar de manera óptima el monitoreo y la evaluación del Proyecto.</w:t>
      </w:r>
      <w:r w:rsidR="005A7FB6" w:rsidRPr="00967D77">
        <w:rPr>
          <w:sz w:val="23"/>
          <w:szCs w:val="23"/>
          <w:lang w:val="es-ES"/>
        </w:rPr>
        <w:t xml:space="preserve"> La UCP</w:t>
      </w:r>
      <w:r w:rsidR="005E02F4" w:rsidRPr="00967D77">
        <w:rPr>
          <w:sz w:val="23"/>
          <w:szCs w:val="23"/>
          <w:lang w:val="es-ES"/>
        </w:rPr>
        <w:t xml:space="preserve"> elaborará informes semestrales de avance durante todo el periodo de ejecución del Proyecto. El crédito financiar</w:t>
      </w:r>
      <w:r w:rsidR="003E242A">
        <w:rPr>
          <w:sz w:val="23"/>
          <w:szCs w:val="23"/>
          <w:lang w:val="es-ES"/>
        </w:rPr>
        <w:t>á</w:t>
      </w:r>
      <w:r w:rsidR="005E02F4" w:rsidRPr="00967D77">
        <w:rPr>
          <w:sz w:val="23"/>
          <w:szCs w:val="23"/>
          <w:lang w:val="es-ES"/>
        </w:rPr>
        <w:t xml:space="preserve"> la recopilación de datos de línea de base con la finalidad de evaluar los impactos sociales, ambientales y económicos de las principales actividades</w:t>
      </w:r>
      <w:r w:rsidR="00932A79" w:rsidRPr="00967D77">
        <w:rPr>
          <w:sz w:val="23"/>
          <w:szCs w:val="23"/>
          <w:lang w:val="es-ES"/>
        </w:rPr>
        <w:t xml:space="preserve">, así como los impactos diferenciados tanto en hombres como en mujeres. Los indicadores e impactos del Proyecto </w:t>
      </w:r>
      <w:r w:rsidR="00D9750C" w:rsidRPr="00967D77">
        <w:rPr>
          <w:sz w:val="23"/>
          <w:szCs w:val="23"/>
          <w:lang w:val="es-ES"/>
        </w:rPr>
        <w:t>se someterán a una valoración exhaustiva durante la evaluación de mitad de periodo y la evaluación final. Ambas estarán a cargo de consultores independientes.</w:t>
      </w:r>
      <w:r w:rsidR="00B0706B" w:rsidRPr="00967D77">
        <w:rPr>
          <w:sz w:val="23"/>
          <w:szCs w:val="23"/>
          <w:lang w:val="es-ES"/>
        </w:rPr>
        <w:t xml:space="preserve"> Las evaluaciones se verán complementadas por la auditoría social de las principales actividades, la cual es casi seguro que se realizará al mismo tiempo de la evaluación de mitad de periodo. El Manual Operativo abarca la estrategia de M&amp;E, cubriendo aspectos como la definición de los indicadores de resultados a nivel de OPD y de resultados intermedios, instrumentos para capturar información sobre </w:t>
      </w:r>
      <w:r w:rsidR="008768AC" w:rsidRPr="00967D77">
        <w:rPr>
          <w:sz w:val="23"/>
          <w:szCs w:val="23"/>
          <w:lang w:val="es-ES"/>
        </w:rPr>
        <w:t>los indicadores, periodicidad, personal responsable y entidades.</w:t>
      </w:r>
    </w:p>
    <w:p w:rsidR="008768AC" w:rsidRPr="00967D77" w:rsidRDefault="008768AC" w:rsidP="008768AC">
      <w:pPr>
        <w:pStyle w:val="ListParagraph"/>
        <w:ind w:left="0"/>
        <w:jc w:val="both"/>
        <w:rPr>
          <w:sz w:val="23"/>
          <w:szCs w:val="23"/>
          <w:lang w:val="es-ES"/>
        </w:rPr>
      </w:pPr>
    </w:p>
    <w:p w:rsidR="003E2950" w:rsidRPr="00967D77" w:rsidRDefault="008768AC" w:rsidP="00FF33C1">
      <w:pPr>
        <w:pStyle w:val="ListParagraph"/>
        <w:numPr>
          <w:ilvl w:val="0"/>
          <w:numId w:val="18"/>
        </w:numPr>
        <w:jc w:val="both"/>
        <w:rPr>
          <w:sz w:val="23"/>
          <w:szCs w:val="23"/>
          <w:lang w:val="es-ES"/>
        </w:rPr>
      </w:pPr>
      <w:r w:rsidRPr="00967D77">
        <w:rPr>
          <w:sz w:val="23"/>
          <w:szCs w:val="23"/>
          <w:lang w:val="es-ES"/>
        </w:rPr>
        <w:t xml:space="preserve">El Proyecto financiará la ejecución de una encuesta de medición de niveles de pobreza, la cual además de cuantificar las tendencias de pobreza, </w:t>
      </w:r>
      <w:r w:rsidR="003E242A">
        <w:rPr>
          <w:sz w:val="23"/>
          <w:szCs w:val="23"/>
          <w:lang w:val="es-ES"/>
        </w:rPr>
        <w:t>inclui</w:t>
      </w:r>
      <w:r w:rsidRPr="00967D77">
        <w:rPr>
          <w:sz w:val="23"/>
          <w:szCs w:val="23"/>
          <w:lang w:val="es-ES"/>
        </w:rPr>
        <w:t>rá preguntas sobre las tendencias relacionadas con la tenencia de la tierra</w:t>
      </w:r>
      <w:r w:rsidR="004E5268" w:rsidRPr="00967D77">
        <w:rPr>
          <w:sz w:val="23"/>
          <w:szCs w:val="23"/>
          <w:lang w:val="es-ES"/>
        </w:rPr>
        <w:t xml:space="preserve"> como soporte de la captura y evaluación de datos. Se espera que a través de este esfuerzo, se establezca una línea de base sobre la situación de la tenencia de la tierra y derechos de propiedad en el país, con la finalidad de medir el avance futuro de la aplicación del programa nacional de tierras.</w:t>
      </w:r>
    </w:p>
    <w:p w:rsidR="001C58A5" w:rsidRPr="00967D77" w:rsidRDefault="001C58A5" w:rsidP="001C58A5">
      <w:pPr>
        <w:pStyle w:val="ListParagraph"/>
        <w:ind w:left="0"/>
        <w:jc w:val="both"/>
        <w:rPr>
          <w:sz w:val="23"/>
          <w:szCs w:val="23"/>
          <w:lang w:val="es-ES"/>
        </w:rPr>
      </w:pPr>
    </w:p>
    <w:p w:rsidR="00B226FC" w:rsidRPr="008768AC" w:rsidRDefault="005973EF" w:rsidP="005973EF">
      <w:pPr>
        <w:pStyle w:val="PDSHeading1"/>
        <w:numPr>
          <w:ilvl w:val="0"/>
          <w:numId w:val="0"/>
        </w:numPr>
        <w:rPr>
          <w:rFonts w:ascii="Times New Roman Bold" w:hAnsi="Times New Roman Bold"/>
          <w:caps w:val="0"/>
          <w:u w:val="single"/>
          <w:lang w:val="es-ES"/>
        </w:rPr>
      </w:pPr>
      <w:r w:rsidRPr="008768AC">
        <w:rPr>
          <w:rFonts w:ascii="Times New Roman Bold" w:hAnsi="Times New Roman Bold"/>
          <w:caps w:val="0"/>
          <w:lang w:val="es-ES"/>
        </w:rPr>
        <w:t>VI.</w:t>
      </w:r>
      <w:r w:rsidRPr="008768AC">
        <w:rPr>
          <w:rFonts w:ascii="Times New Roman Bold" w:hAnsi="Times New Roman Bold"/>
          <w:caps w:val="0"/>
          <w:lang w:val="es-ES"/>
        </w:rPr>
        <w:tab/>
      </w:r>
      <w:bookmarkStart w:id="127" w:name="_Toc342909553"/>
      <w:r w:rsidR="004E5268">
        <w:rPr>
          <w:rFonts w:ascii="Times New Roman Bold" w:hAnsi="Times New Roman Bold"/>
          <w:caps w:val="0"/>
          <w:u w:val="single"/>
          <w:lang w:val="es-ES"/>
        </w:rPr>
        <w:t>Rol de los Socios</w:t>
      </w:r>
      <w:bookmarkEnd w:id="127"/>
    </w:p>
    <w:p w:rsidR="00BA1503" w:rsidRPr="00967D77" w:rsidRDefault="00BA1503" w:rsidP="00BA1503">
      <w:pPr>
        <w:pStyle w:val="ListParagraph"/>
        <w:spacing w:after="200" w:line="276" w:lineRule="auto"/>
        <w:ind w:left="0"/>
        <w:rPr>
          <w:sz w:val="23"/>
          <w:szCs w:val="23"/>
          <w:lang w:val="es-ES"/>
        </w:rPr>
      </w:pPr>
    </w:p>
    <w:p w:rsidR="00842CC0" w:rsidRPr="00967D77" w:rsidRDefault="004E5268" w:rsidP="003779B4">
      <w:pPr>
        <w:pStyle w:val="ListParagraph"/>
        <w:numPr>
          <w:ilvl w:val="0"/>
          <w:numId w:val="18"/>
        </w:numPr>
        <w:jc w:val="both"/>
        <w:rPr>
          <w:sz w:val="23"/>
          <w:szCs w:val="23"/>
          <w:lang w:val="es-ES"/>
        </w:rPr>
      </w:pPr>
      <w:r w:rsidRPr="00967D77">
        <w:rPr>
          <w:sz w:val="23"/>
          <w:szCs w:val="23"/>
          <w:lang w:val="es-ES"/>
        </w:rPr>
        <w:t xml:space="preserve">No existe </w:t>
      </w:r>
      <w:r w:rsidR="00FD61AE" w:rsidRPr="00967D77">
        <w:rPr>
          <w:sz w:val="23"/>
          <w:szCs w:val="23"/>
          <w:lang w:val="es-ES"/>
        </w:rPr>
        <w:t>cofinanciación</w:t>
      </w:r>
      <w:r w:rsidRPr="00967D77">
        <w:rPr>
          <w:sz w:val="23"/>
          <w:szCs w:val="23"/>
          <w:lang w:val="es-ES"/>
        </w:rPr>
        <w:t xml:space="preserve"> o financiamiento paralelo al Proyecto</w:t>
      </w:r>
      <w:r w:rsidR="00FD61AE" w:rsidRPr="00967D77">
        <w:rPr>
          <w:sz w:val="23"/>
          <w:szCs w:val="23"/>
          <w:lang w:val="es-ES"/>
        </w:rPr>
        <w:t xml:space="preserve">.  Hasta el día de hoy, el Banco Mundial es el principal socio de Nicaragua en el proceso de modernización del ordenamiento de la propiedad. En el proyecto anterior, el Banco Mundial trabajó de la mano con la </w:t>
      </w:r>
      <w:r w:rsidR="00857F28" w:rsidRPr="00967D77">
        <w:rPr>
          <w:sz w:val="23"/>
          <w:szCs w:val="23"/>
          <w:lang w:val="es-ES"/>
        </w:rPr>
        <w:t xml:space="preserve">MCC </w:t>
      </w:r>
      <w:r w:rsidR="00FF357C" w:rsidRPr="00967D77">
        <w:rPr>
          <w:sz w:val="23"/>
          <w:szCs w:val="23"/>
          <w:lang w:val="es-ES"/>
        </w:rPr>
        <w:t>y</w:t>
      </w:r>
      <w:r w:rsidR="00FD61AE" w:rsidRPr="00967D77">
        <w:rPr>
          <w:sz w:val="23"/>
          <w:szCs w:val="23"/>
          <w:lang w:val="es-ES"/>
        </w:rPr>
        <w:t xml:space="preserve"> el</w:t>
      </w:r>
      <w:r w:rsidR="003B3A28">
        <w:rPr>
          <w:sz w:val="23"/>
          <w:szCs w:val="23"/>
          <w:lang w:val="es-ES"/>
        </w:rPr>
        <w:t xml:space="preserve"> </w:t>
      </w:r>
      <w:r w:rsidR="00325771" w:rsidRPr="00967D77">
        <w:rPr>
          <w:sz w:val="23"/>
          <w:szCs w:val="23"/>
          <w:lang w:val="es-ES"/>
        </w:rPr>
        <w:t>FND</w:t>
      </w:r>
      <w:r w:rsidR="00857F28" w:rsidRPr="00967D77">
        <w:rPr>
          <w:sz w:val="23"/>
          <w:szCs w:val="23"/>
          <w:lang w:val="es-ES"/>
        </w:rPr>
        <w:t xml:space="preserve">. </w:t>
      </w:r>
      <w:r w:rsidR="00FD61AE" w:rsidRPr="00967D77">
        <w:rPr>
          <w:sz w:val="23"/>
          <w:szCs w:val="23"/>
          <w:lang w:val="es-ES"/>
        </w:rPr>
        <w:t xml:space="preserve">Sin embargo, la preparación del </w:t>
      </w:r>
      <w:r w:rsidR="00F81753" w:rsidRPr="00967D77">
        <w:rPr>
          <w:sz w:val="23"/>
          <w:szCs w:val="23"/>
          <w:lang w:val="es-ES"/>
        </w:rPr>
        <w:t>proyecto propuesto</w:t>
      </w:r>
      <w:r w:rsidR="00FD61AE" w:rsidRPr="00967D77">
        <w:rPr>
          <w:sz w:val="23"/>
          <w:szCs w:val="23"/>
          <w:lang w:val="es-ES"/>
        </w:rPr>
        <w:t xml:space="preserve"> ha avanzado </w:t>
      </w:r>
      <w:r w:rsidR="003B3A28">
        <w:rPr>
          <w:sz w:val="23"/>
          <w:szCs w:val="23"/>
          <w:lang w:val="es-ES"/>
        </w:rPr>
        <w:t xml:space="preserve">mediante </w:t>
      </w:r>
      <w:r w:rsidR="00FD61AE" w:rsidRPr="00967D77">
        <w:rPr>
          <w:sz w:val="23"/>
          <w:szCs w:val="23"/>
          <w:lang w:val="es-ES"/>
        </w:rPr>
        <w:t xml:space="preserve"> las consultas sostenidas con los socios donantes interesados </w:t>
      </w:r>
      <w:r w:rsidR="00D93187" w:rsidRPr="00967D77">
        <w:rPr>
          <w:sz w:val="23"/>
          <w:szCs w:val="23"/>
          <w:lang w:val="es-ES"/>
        </w:rPr>
        <w:t>en temas como la tenencia de la tierra, la</w:t>
      </w:r>
      <w:r w:rsidR="003B3A28">
        <w:rPr>
          <w:sz w:val="23"/>
          <w:szCs w:val="23"/>
          <w:lang w:val="es-ES"/>
        </w:rPr>
        <w:t xml:space="preserve"> </w:t>
      </w:r>
      <w:r w:rsidR="007D6A45" w:rsidRPr="00967D77">
        <w:rPr>
          <w:sz w:val="23"/>
          <w:szCs w:val="23"/>
          <w:lang w:val="es-ES"/>
        </w:rPr>
        <w:t>GRD</w:t>
      </w:r>
      <w:r w:rsidR="00D93187" w:rsidRPr="00967D77">
        <w:rPr>
          <w:sz w:val="23"/>
          <w:szCs w:val="23"/>
          <w:lang w:val="es-ES"/>
        </w:rPr>
        <w:t xml:space="preserve"> y asistencia técnica de la</w:t>
      </w:r>
      <w:r w:rsidR="003B3A28">
        <w:rPr>
          <w:sz w:val="23"/>
          <w:szCs w:val="23"/>
          <w:lang w:val="es-ES"/>
        </w:rPr>
        <w:t xml:space="preserve"> </w:t>
      </w:r>
      <w:r w:rsidR="00730D7B" w:rsidRPr="00967D77">
        <w:rPr>
          <w:sz w:val="23"/>
          <w:szCs w:val="23"/>
          <w:lang w:val="es-ES"/>
        </w:rPr>
        <w:t>FAO</w:t>
      </w:r>
      <w:r w:rsidR="00196821" w:rsidRPr="00967D77">
        <w:rPr>
          <w:sz w:val="23"/>
          <w:szCs w:val="23"/>
          <w:lang w:val="es-ES"/>
        </w:rPr>
        <w:t xml:space="preserve">. </w:t>
      </w:r>
      <w:r w:rsidR="00D93187" w:rsidRPr="00967D77">
        <w:rPr>
          <w:sz w:val="23"/>
          <w:szCs w:val="23"/>
          <w:lang w:val="es-ES"/>
        </w:rPr>
        <w:t xml:space="preserve">Se hizo un recuento de los proyectos e iniciativas complementarias con la finalidad de enriquecer el diseño del Proyecto. </w:t>
      </w:r>
      <w:r w:rsidR="004A4CA4" w:rsidRPr="00967D77">
        <w:rPr>
          <w:sz w:val="23"/>
          <w:szCs w:val="23"/>
          <w:lang w:val="es-ES"/>
        </w:rPr>
        <w:t xml:space="preserve">En consecuencia, el Proyecto tiene relación con proyectos financiados por otros donantes que también apoyan el fortalecimiento institucional de las municipalidades, el desarrollo rural y la </w:t>
      </w:r>
      <w:r w:rsidR="007D6A45" w:rsidRPr="00967D77">
        <w:rPr>
          <w:sz w:val="23"/>
          <w:szCs w:val="23"/>
          <w:lang w:val="es-ES"/>
        </w:rPr>
        <w:t>GRD</w:t>
      </w:r>
      <w:r w:rsidR="00E032A1" w:rsidRPr="00967D77">
        <w:rPr>
          <w:sz w:val="23"/>
          <w:szCs w:val="23"/>
          <w:lang w:val="es-ES"/>
        </w:rPr>
        <w:t xml:space="preserve">. </w:t>
      </w:r>
      <w:r w:rsidR="004A4CA4" w:rsidRPr="00967D77">
        <w:rPr>
          <w:sz w:val="23"/>
          <w:szCs w:val="23"/>
          <w:lang w:val="es-NI"/>
        </w:rPr>
        <w:t xml:space="preserve">Entre los donantes podemos contar a la </w:t>
      </w:r>
      <w:r w:rsidR="005C6B2B" w:rsidRPr="00967D77">
        <w:rPr>
          <w:sz w:val="23"/>
          <w:szCs w:val="23"/>
          <w:lang w:val="es-NI"/>
        </w:rPr>
        <w:t xml:space="preserve">FAO, </w:t>
      </w:r>
      <w:r w:rsidR="004A4CA4" w:rsidRPr="00967D77">
        <w:rPr>
          <w:sz w:val="23"/>
          <w:szCs w:val="23"/>
          <w:lang w:val="es-NI"/>
        </w:rPr>
        <w:t>al Fondo Internacional de Desarrollo Agrícola</w:t>
      </w:r>
      <w:r w:rsidR="003B3A28">
        <w:rPr>
          <w:sz w:val="23"/>
          <w:szCs w:val="23"/>
          <w:lang w:val="es-NI"/>
        </w:rPr>
        <w:t xml:space="preserve"> (IADB)</w:t>
      </w:r>
      <w:r w:rsidR="004A4CA4" w:rsidRPr="00967D77">
        <w:rPr>
          <w:sz w:val="23"/>
          <w:szCs w:val="23"/>
          <w:lang w:val="es-NI"/>
        </w:rPr>
        <w:t>, el Banco Interamericano</w:t>
      </w:r>
      <w:r w:rsidR="003B3A28">
        <w:rPr>
          <w:sz w:val="23"/>
          <w:szCs w:val="23"/>
          <w:lang w:val="es-NI"/>
        </w:rPr>
        <w:t xml:space="preserve"> (IADB)</w:t>
      </w:r>
      <w:r w:rsidR="004A4CA4" w:rsidRPr="00967D77">
        <w:rPr>
          <w:sz w:val="23"/>
          <w:szCs w:val="23"/>
          <w:lang w:val="es-NI"/>
        </w:rPr>
        <w:t xml:space="preserve">, la Unión Europea, Japón, </w:t>
      </w:r>
      <w:r w:rsidR="003779B4" w:rsidRPr="00967D77">
        <w:rPr>
          <w:sz w:val="23"/>
          <w:szCs w:val="23"/>
          <w:lang w:val="es-NI"/>
        </w:rPr>
        <w:t>Canadá</w:t>
      </w:r>
      <w:r w:rsidR="004A4CA4" w:rsidRPr="00967D77">
        <w:rPr>
          <w:sz w:val="23"/>
          <w:szCs w:val="23"/>
          <w:lang w:val="es-NI"/>
        </w:rPr>
        <w:t>, Suiza y Finlandia.</w:t>
      </w:r>
      <w:r w:rsidR="003779B4" w:rsidRPr="00967D77">
        <w:rPr>
          <w:sz w:val="23"/>
          <w:szCs w:val="23"/>
          <w:lang w:val="es-NI"/>
        </w:rPr>
        <w:t xml:space="preserve"> La coordinación se verá robustecida durante el periodo de ejecución del Proyecto.</w:t>
      </w:r>
      <w:bookmarkStart w:id="128" w:name="_Toc40780202"/>
      <w:bookmarkStart w:id="129" w:name="_Toc295296837"/>
      <w:bookmarkEnd w:id="125"/>
    </w:p>
    <w:p w:rsidR="003779B4" w:rsidRPr="00967D77" w:rsidRDefault="003779B4" w:rsidP="003779B4">
      <w:pPr>
        <w:pStyle w:val="ListParagraph"/>
        <w:numPr>
          <w:ilvl w:val="0"/>
          <w:numId w:val="18"/>
        </w:numPr>
        <w:jc w:val="both"/>
        <w:rPr>
          <w:sz w:val="23"/>
          <w:szCs w:val="23"/>
          <w:lang w:val="es-ES"/>
        </w:rPr>
        <w:sectPr w:rsidR="003779B4" w:rsidRPr="00967D77" w:rsidSect="00842CC0">
          <w:pgSz w:w="12240" w:h="15840" w:code="1"/>
          <w:pgMar w:top="1440" w:right="1440" w:bottom="1440" w:left="1440" w:header="720" w:footer="720" w:gutter="0"/>
          <w:cols w:space="720"/>
          <w:docGrid w:linePitch="360"/>
        </w:sectPr>
      </w:pPr>
    </w:p>
    <w:tbl>
      <w:tblPr>
        <w:tblW w:w="13178" w:type="dxa"/>
        <w:jc w:val="center"/>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653"/>
        <w:gridCol w:w="1701"/>
        <w:gridCol w:w="1731"/>
        <w:gridCol w:w="41"/>
        <w:gridCol w:w="1365"/>
        <w:gridCol w:w="34"/>
        <w:gridCol w:w="41"/>
        <w:gridCol w:w="1367"/>
        <w:gridCol w:w="32"/>
        <w:gridCol w:w="1530"/>
        <w:gridCol w:w="25"/>
        <w:gridCol w:w="1658"/>
      </w:tblGrid>
      <w:tr w:rsidR="00513697" w:rsidRPr="009F3769" w:rsidTr="00F140BD">
        <w:trPr>
          <w:jc w:val="center"/>
        </w:trPr>
        <w:tc>
          <w:tcPr>
            <w:tcW w:w="13178" w:type="dxa"/>
            <w:gridSpan w:val="12"/>
            <w:tcBorders>
              <w:top w:val="nil"/>
              <w:left w:val="nil"/>
              <w:bottom w:val="nil"/>
              <w:right w:val="nil"/>
            </w:tcBorders>
            <w:shd w:val="clear" w:color="auto" w:fill="FFFFFF"/>
            <w:tcMar>
              <w:top w:w="50" w:type="dxa"/>
              <w:left w:w="50" w:type="dxa"/>
              <w:bottom w:w="50" w:type="dxa"/>
              <w:right w:w="50" w:type="dxa"/>
            </w:tcMar>
            <w:vAlign w:val="center"/>
          </w:tcPr>
          <w:p w:rsidR="00513697" w:rsidRPr="00161DCB" w:rsidRDefault="005B6CFA" w:rsidP="00161DCB">
            <w:pPr>
              <w:pStyle w:val="Heading4"/>
            </w:pPr>
            <w:bookmarkStart w:id="130" w:name="_Toc357981086"/>
            <w:bookmarkStart w:id="131" w:name="_Toc40780204"/>
            <w:bookmarkStart w:id="132" w:name="_Toc295296838"/>
            <w:bookmarkEnd w:id="128"/>
            <w:bookmarkEnd w:id="129"/>
            <w:r w:rsidRPr="00161DCB">
              <w:lastRenderedPageBreak/>
              <w:t>Anexo</w:t>
            </w:r>
            <w:r w:rsidR="00513697" w:rsidRPr="00161DCB">
              <w:t xml:space="preserve"> 4</w:t>
            </w:r>
            <w:r w:rsidR="006D59C0" w:rsidRPr="00161DCB">
              <w:t>: Marco de Evaluación de Riesgos Operativos (ORAF)</w:t>
            </w:r>
            <w:bookmarkEnd w:id="130"/>
          </w:p>
        </w:tc>
      </w:tr>
      <w:tr w:rsidR="00513697" w:rsidRPr="009F3769" w:rsidTr="00F140BD">
        <w:trPr>
          <w:jc w:val="center"/>
        </w:trPr>
        <w:tc>
          <w:tcPr>
            <w:tcW w:w="13178" w:type="dxa"/>
            <w:gridSpan w:val="12"/>
            <w:tcBorders>
              <w:top w:val="nil"/>
              <w:left w:val="nil"/>
              <w:bottom w:val="nil"/>
              <w:right w:val="nil"/>
            </w:tcBorders>
            <w:shd w:val="clear" w:color="auto" w:fill="FFFFFF"/>
            <w:tcMar>
              <w:top w:w="50" w:type="dxa"/>
              <w:left w:w="50" w:type="dxa"/>
              <w:bottom w:w="50" w:type="dxa"/>
              <w:right w:w="50" w:type="dxa"/>
            </w:tcMar>
            <w:vAlign w:val="center"/>
          </w:tcPr>
          <w:p w:rsidR="00513697" w:rsidRPr="00B2072D" w:rsidRDefault="00513697" w:rsidP="003779B4">
            <w:pPr>
              <w:jc w:val="center"/>
              <w:rPr>
                <w:lang w:val="es-ES"/>
              </w:rPr>
            </w:pPr>
          </w:p>
        </w:tc>
      </w:tr>
      <w:tr w:rsidR="00513697" w:rsidRPr="009F3769" w:rsidTr="00F140BD">
        <w:trPr>
          <w:jc w:val="center"/>
        </w:trPr>
        <w:tc>
          <w:tcPr>
            <w:tcW w:w="13178" w:type="dxa"/>
            <w:gridSpan w:val="12"/>
            <w:tcBorders>
              <w:top w:val="nil"/>
              <w:left w:val="nil"/>
              <w:bottom w:val="nil"/>
              <w:right w:val="nil"/>
            </w:tcBorders>
            <w:shd w:val="clear" w:color="auto" w:fill="FFFFFF"/>
            <w:tcMar>
              <w:top w:w="50" w:type="dxa"/>
              <w:left w:w="50" w:type="dxa"/>
              <w:bottom w:w="50" w:type="dxa"/>
              <w:right w:w="50" w:type="dxa"/>
            </w:tcMar>
            <w:vAlign w:val="center"/>
          </w:tcPr>
          <w:p w:rsidR="00513697" w:rsidRPr="00B2072D" w:rsidRDefault="00513697" w:rsidP="000146F6">
            <w:pPr>
              <w:jc w:val="center"/>
              <w:rPr>
                <w:lang w:val="es-ES"/>
              </w:rPr>
            </w:pPr>
            <w:r w:rsidRPr="00B2072D">
              <w:rPr>
                <w:b/>
                <w:bCs/>
                <w:lang w:val="es-ES"/>
              </w:rPr>
              <w:t xml:space="preserve">Nicaragua: </w:t>
            </w:r>
            <w:r w:rsidR="001209FA" w:rsidRPr="00B2072D">
              <w:rPr>
                <w:b/>
                <w:bCs/>
                <w:lang w:val="es-ES"/>
              </w:rPr>
              <w:t>Segundo Proyecto de Ordenamiento de la Propiedad</w:t>
            </w:r>
            <w:r w:rsidRPr="00B2072D">
              <w:rPr>
                <w:b/>
                <w:bCs/>
                <w:lang w:val="es-ES"/>
              </w:rPr>
              <w:t xml:space="preserve"> (P121152)</w:t>
            </w:r>
          </w:p>
        </w:tc>
      </w:tr>
      <w:tr w:rsidR="00513697" w:rsidRPr="009F3769" w:rsidTr="00F140BD">
        <w:trPr>
          <w:jc w:val="center"/>
        </w:trPr>
        <w:tc>
          <w:tcPr>
            <w:tcW w:w="13178" w:type="dxa"/>
            <w:gridSpan w:val="12"/>
            <w:tcBorders>
              <w:top w:val="nil"/>
              <w:left w:val="nil"/>
              <w:bottom w:val="nil"/>
              <w:right w:val="nil"/>
            </w:tcBorders>
            <w:shd w:val="clear" w:color="auto" w:fill="FFFFFF"/>
            <w:tcMar>
              <w:top w:w="50" w:type="dxa"/>
              <w:left w:w="50" w:type="dxa"/>
              <w:bottom w:w="50" w:type="dxa"/>
              <w:right w:w="50" w:type="dxa"/>
            </w:tcMar>
            <w:vAlign w:val="center"/>
          </w:tcPr>
          <w:p w:rsidR="00513697" w:rsidRPr="00B2072D" w:rsidRDefault="00513697" w:rsidP="0087213B">
            <w:pPr>
              <w:rPr>
                <w:sz w:val="19"/>
                <w:szCs w:val="19"/>
                <w:lang w:val="es-ES"/>
              </w:rPr>
            </w:pPr>
          </w:p>
        </w:tc>
      </w:tr>
      <w:tr w:rsidR="00513697" w:rsidRPr="009F3769" w:rsidTr="00F140BD">
        <w:trPr>
          <w:jc w:val="center"/>
        </w:trPr>
        <w:tc>
          <w:tcPr>
            <w:tcW w:w="13178" w:type="dxa"/>
            <w:gridSpan w:val="12"/>
            <w:tcBorders>
              <w:top w:val="nil"/>
              <w:left w:val="nil"/>
              <w:bottom w:val="nil"/>
              <w:right w:val="nil"/>
            </w:tcBorders>
            <w:shd w:val="clear" w:color="auto" w:fill="5B5B5B"/>
            <w:tcMar>
              <w:top w:w="50" w:type="dxa"/>
              <w:left w:w="50" w:type="dxa"/>
              <w:bottom w:w="50" w:type="dxa"/>
              <w:right w:w="50" w:type="dxa"/>
            </w:tcMar>
            <w:vAlign w:val="center"/>
          </w:tcPr>
          <w:p w:rsidR="00513697" w:rsidRPr="00B4690D" w:rsidRDefault="000D0E49" w:rsidP="000146F6">
            <w:pPr>
              <w:rPr>
                <w:color w:val="FFFFFF"/>
                <w:sz w:val="17"/>
                <w:szCs w:val="17"/>
                <w:lang w:val="es-ES"/>
              </w:rPr>
            </w:pPr>
            <w:r w:rsidRPr="00B4690D">
              <w:rPr>
                <w:color w:val="FFFFFF"/>
                <w:sz w:val="17"/>
                <w:szCs w:val="17"/>
                <w:lang w:val="es-ES"/>
              </w:rPr>
              <w:t>Riesgos Asociados con los Actores Involucrados</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443D05" w:rsidP="000146F6">
            <w:pPr>
              <w:rPr>
                <w:sz w:val="17"/>
                <w:szCs w:val="17"/>
                <w:lang w:val="es-ES"/>
              </w:rPr>
            </w:pPr>
            <w:r w:rsidRPr="00B4690D">
              <w:rPr>
                <w:b/>
                <w:bCs/>
                <w:sz w:val="17"/>
                <w:szCs w:val="17"/>
                <w:lang w:val="es-ES"/>
              </w:rPr>
              <w:t>Riesgos Asociados con l</w:t>
            </w:r>
            <w:r w:rsidR="003B3A28">
              <w:rPr>
                <w:b/>
                <w:bCs/>
                <w:sz w:val="17"/>
                <w:szCs w:val="17"/>
                <w:lang w:val="es-ES"/>
              </w:rPr>
              <w:t>a</w:t>
            </w:r>
            <w:r w:rsidRPr="00B4690D">
              <w:rPr>
                <w:b/>
                <w:bCs/>
                <w:sz w:val="17"/>
                <w:szCs w:val="17"/>
                <w:lang w:val="es-ES"/>
              </w:rPr>
              <w:t xml:space="preserve">s </w:t>
            </w:r>
            <w:r w:rsidR="003B3A28">
              <w:rPr>
                <w:b/>
                <w:bCs/>
                <w:sz w:val="17"/>
                <w:szCs w:val="17"/>
                <w:lang w:val="es-ES"/>
              </w:rPr>
              <w:t xml:space="preserve">Personas Involucradas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844C3">
            <w:pPr>
              <w:rPr>
                <w:b/>
                <w:sz w:val="17"/>
                <w:szCs w:val="17"/>
                <w:lang w:val="es-ES"/>
              </w:rPr>
            </w:pPr>
            <w:r w:rsidRPr="00B4690D">
              <w:rPr>
                <w:b/>
                <w:sz w:val="17"/>
                <w:szCs w:val="17"/>
                <w:lang w:val="es-ES"/>
              </w:rPr>
              <w:t>Moderad</w:t>
            </w:r>
            <w:r w:rsidR="000844C3" w:rsidRPr="00B4690D">
              <w:rPr>
                <w:b/>
                <w:sz w:val="17"/>
                <w:szCs w:val="17"/>
                <w:lang w:val="es-ES"/>
              </w:rPr>
              <w:t>a</w:t>
            </w:r>
          </w:p>
        </w:tc>
      </w:tr>
      <w:tr w:rsidR="00513697" w:rsidRPr="00B4690D" w:rsidTr="00B4690D">
        <w:trPr>
          <w:jc w:val="center"/>
        </w:trPr>
        <w:tc>
          <w:tcPr>
            <w:tcW w:w="3653"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sz w:val="17"/>
                <w:szCs w:val="17"/>
                <w:lang w:val="es-ES"/>
              </w:rPr>
            </w:pPr>
            <w:r w:rsidRPr="00B4690D">
              <w:rPr>
                <w:sz w:val="17"/>
                <w:szCs w:val="17"/>
                <w:lang w:val="es-ES"/>
              </w:rPr>
              <w:t>Descripción</w:t>
            </w:r>
            <w:r w:rsidR="00513697" w:rsidRPr="00B4690D">
              <w:rPr>
                <w:sz w:val="17"/>
                <w:szCs w:val="17"/>
                <w:lang w:val="es-ES"/>
              </w:rPr>
              <w:t>:</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bCs/>
                <w:color w:val="314F4F"/>
                <w:sz w:val="17"/>
                <w:szCs w:val="17"/>
                <w:lang w:val="es-ES"/>
              </w:rPr>
              <w:t>Control del riesgo</w:t>
            </w:r>
            <w:r w:rsidR="00513697" w:rsidRPr="00B4690D">
              <w:rPr>
                <w:bCs/>
                <w:color w:val="314F4F"/>
                <w:sz w:val="17"/>
                <w:szCs w:val="17"/>
                <w:lang w:val="es-ES"/>
              </w:rPr>
              <w:t>:</w:t>
            </w:r>
          </w:p>
        </w:tc>
      </w:tr>
      <w:tr w:rsidR="00513697" w:rsidRPr="009F3769" w:rsidTr="00B4690D">
        <w:trPr>
          <w:jc w:val="center"/>
        </w:trPr>
        <w:tc>
          <w:tcPr>
            <w:tcW w:w="3653" w:type="dxa"/>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13697" w:rsidRPr="00B4690D" w:rsidRDefault="00862848" w:rsidP="000363B5">
            <w:pPr>
              <w:rPr>
                <w:sz w:val="17"/>
                <w:szCs w:val="17"/>
                <w:lang w:val="es-ES"/>
              </w:rPr>
            </w:pPr>
            <w:r w:rsidRPr="00B4690D">
              <w:rPr>
                <w:sz w:val="17"/>
                <w:szCs w:val="17"/>
                <w:lang w:val="es-ES"/>
              </w:rPr>
              <w:t xml:space="preserve">Ganarse el apoyo de algunas </w:t>
            </w:r>
            <w:r w:rsidR="005709E1" w:rsidRPr="00B4690D">
              <w:rPr>
                <w:sz w:val="17"/>
                <w:szCs w:val="17"/>
                <w:lang w:val="es-ES"/>
              </w:rPr>
              <w:t>comunidades indígenas</w:t>
            </w:r>
            <w:r w:rsidRPr="00B4690D">
              <w:rPr>
                <w:sz w:val="17"/>
                <w:szCs w:val="17"/>
                <w:lang w:val="es-ES"/>
              </w:rPr>
              <w:t xml:space="preserve"> en</w:t>
            </w:r>
            <w:r w:rsidR="003B3A28">
              <w:rPr>
                <w:sz w:val="17"/>
                <w:szCs w:val="17"/>
                <w:lang w:val="es-ES"/>
              </w:rPr>
              <w:t xml:space="preserve"> </w:t>
            </w:r>
            <w:r w:rsidR="00FF52DD" w:rsidRPr="00B4690D">
              <w:rPr>
                <w:sz w:val="17"/>
                <w:szCs w:val="17"/>
                <w:lang w:val="es-ES"/>
              </w:rPr>
              <w:t>municipios</w:t>
            </w:r>
            <w:r w:rsidR="003B3A28">
              <w:rPr>
                <w:sz w:val="17"/>
                <w:szCs w:val="17"/>
                <w:lang w:val="es-ES"/>
              </w:rPr>
              <w:t xml:space="preserve"> </w:t>
            </w:r>
            <w:r w:rsidRPr="00B4690D">
              <w:rPr>
                <w:sz w:val="17"/>
                <w:szCs w:val="17"/>
                <w:lang w:val="es-ES"/>
              </w:rPr>
              <w:t xml:space="preserve">de las regiones </w:t>
            </w:r>
            <w:r w:rsidR="00513697" w:rsidRPr="00B4690D">
              <w:rPr>
                <w:sz w:val="17"/>
                <w:szCs w:val="17"/>
                <w:lang w:val="es-ES"/>
              </w:rPr>
              <w:t>Pacific</w:t>
            </w:r>
            <w:r w:rsidRPr="00B4690D">
              <w:rPr>
                <w:sz w:val="17"/>
                <w:szCs w:val="17"/>
                <w:lang w:val="es-ES"/>
              </w:rPr>
              <w:t>o</w:t>
            </w:r>
            <w:r w:rsidR="003B3A28">
              <w:rPr>
                <w:sz w:val="17"/>
                <w:szCs w:val="17"/>
                <w:lang w:val="es-ES"/>
              </w:rPr>
              <w:t xml:space="preserve"> </w:t>
            </w:r>
            <w:r w:rsidR="00FF357C" w:rsidRPr="00B4690D">
              <w:rPr>
                <w:sz w:val="17"/>
                <w:szCs w:val="17"/>
                <w:lang w:val="es-ES"/>
              </w:rPr>
              <w:t>y</w:t>
            </w:r>
            <w:r w:rsidR="00513697" w:rsidRPr="00B4690D">
              <w:rPr>
                <w:sz w:val="17"/>
                <w:szCs w:val="17"/>
                <w:lang w:val="es-ES"/>
              </w:rPr>
              <w:t xml:space="preserve"> Central </w:t>
            </w:r>
            <w:r w:rsidRPr="00B4690D">
              <w:rPr>
                <w:sz w:val="17"/>
                <w:szCs w:val="17"/>
                <w:lang w:val="es-ES"/>
              </w:rPr>
              <w:t>sigue siendo todo un reto</w:t>
            </w:r>
            <w:r w:rsidR="00513697" w:rsidRPr="00B4690D">
              <w:rPr>
                <w:sz w:val="17"/>
                <w:szCs w:val="17"/>
                <w:lang w:val="es-ES"/>
              </w:rPr>
              <w:t xml:space="preserve">. </w:t>
            </w:r>
            <w:r w:rsidRPr="00B4690D">
              <w:rPr>
                <w:sz w:val="17"/>
                <w:szCs w:val="17"/>
                <w:lang w:val="es-ES"/>
              </w:rPr>
              <w:t>El marco</w:t>
            </w:r>
            <w:r w:rsidR="00513697" w:rsidRPr="00B4690D">
              <w:rPr>
                <w:sz w:val="17"/>
                <w:szCs w:val="17"/>
                <w:lang w:val="es-ES"/>
              </w:rPr>
              <w:t xml:space="preserve"> legal </w:t>
            </w:r>
            <w:r w:rsidRPr="00B4690D">
              <w:rPr>
                <w:sz w:val="17"/>
                <w:szCs w:val="17"/>
                <w:lang w:val="es-ES"/>
              </w:rPr>
              <w:t>es limitado en cuanto al reconocimiento de los derechos territoriales</w:t>
            </w:r>
            <w:r w:rsidR="00900FF9" w:rsidRPr="00B4690D">
              <w:rPr>
                <w:sz w:val="17"/>
                <w:szCs w:val="17"/>
                <w:lang w:val="es-ES"/>
              </w:rPr>
              <w:t xml:space="preserve"> de los pueblos indígenas. Como resultado, quizás se le dificulte al Proyecto cumplir con algunas de las expectativas de las comunidades indígenas </w:t>
            </w:r>
            <w:r w:rsidR="000363B5" w:rsidRPr="00B4690D">
              <w:rPr>
                <w:sz w:val="17"/>
                <w:szCs w:val="17"/>
                <w:lang w:val="es-ES"/>
              </w:rPr>
              <w:t>y por ende quizás se opongan a brindar el apoyo amplio que se requiere para implementar las actividades catastrales y de regularización en ciertos municipios</w:t>
            </w:r>
            <w:r w:rsidR="00513697" w:rsidRPr="00B4690D">
              <w:rPr>
                <w:sz w:val="17"/>
                <w:szCs w:val="17"/>
                <w:lang w:val="es-ES"/>
              </w:rPr>
              <w:t>.</w:t>
            </w: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271891" w:rsidRPr="00B4690D" w:rsidRDefault="000363B5" w:rsidP="00271891">
            <w:pPr>
              <w:rPr>
                <w:sz w:val="17"/>
                <w:szCs w:val="17"/>
                <w:lang w:val="es-NI"/>
              </w:rPr>
            </w:pPr>
            <w:r w:rsidRPr="00B4690D">
              <w:rPr>
                <w:sz w:val="17"/>
                <w:szCs w:val="17"/>
                <w:lang w:val="es-ES"/>
              </w:rPr>
              <w:t xml:space="preserve">Aunque existen limitaciones legales que no se pueden superar en este momento y los factores políticos </w:t>
            </w:r>
            <w:r w:rsidR="0042778A" w:rsidRPr="00B4690D">
              <w:rPr>
                <w:sz w:val="17"/>
                <w:szCs w:val="17"/>
                <w:lang w:val="es-ES"/>
              </w:rPr>
              <w:t>impiden mayor progreso al respecto, el gobierno ha demostrado su compromiso de reconocer los derechos territoriales de los pueblos indígenas. Para asegurar un proceso adecuado de consultas, se elaboró</w:t>
            </w:r>
            <w:r w:rsidR="005218FF" w:rsidRPr="00B4690D">
              <w:rPr>
                <w:sz w:val="17"/>
                <w:szCs w:val="17"/>
                <w:lang w:val="es-ES"/>
              </w:rPr>
              <w:t xml:space="preserve"> un Plan para Pueblos Indígenas  (PPI)</w:t>
            </w:r>
            <w:r w:rsidR="00A000BF" w:rsidRPr="00B4690D">
              <w:rPr>
                <w:sz w:val="17"/>
                <w:szCs w:val="17"/>
                <w:lang w:val="es-ES"/>
              </w:rPr>
              <w:t>, el cual quedó complementado por una estrategia de comunicación y</w:t>
            </w:r>
            <w:r w:rsidR="00C64CBA" w:rsidRPr="00B4690D">
              <w:rPr>
                <w:sz w:val="17"/>
                <w:szCs w:val="17"/>
                <w:lang w:val="es-ES"/>
              </w:rPr>
              <w:t xml:space="preserve"> un mecanismo de atención de quejas/denuncias (ver detalles más adelante). Es importante señalar que siguiendo la práctica del proyecto anterior,</w:t>
            </w:r>
            <w:r w:rsidR="00D6425B" w:rsidRPr="00B4690D">
              <w:rPr>
                <w:sz w:val="17"/>
                <w:szCs w:val="17"/>
                <w:lang w:val="es-ES"/>
              </w:rPr>
              <w:t xml:space="preserve"> no se financiará ninguna actividad catastral en un municipio donde una comunidad indígena tenga un reclamo de tierras o enfrente problemas de</w:t>
            </w:r>
            <w:r w:rsidR="007566E7" w:rsidRPr="00B4690D">
              <w:rPr>
                <w:sz w:val="17"/>
                <w:szCs w:val="17"/>
                <w:lang w:val="es-ES"/>
              </w:rPr>
              <w:t xml:space="preserve"> propiedad a menos que dicha comunidad apruebe </w:t>
            </w:r>
            <w:r w:rsidR="00271891" w:rsidRPr="00B4690D">
              <w:rPr>
                <w:sz w:val="17"/>
                <w:szCs w:val="17"/>
                <w:lang w:val="es-ES"/>
              </w:rPr>
              <w:t xml:space="preserve">la realización de dichas actividades o cualquier acción subsecuente </w:t>
            </w:r>
            <w:r w:rsidR="00591FDD" w:rsidRPr="00B4690D">
              <w:rPr>
                <w:sz w:val="17"/>
                <w:szCs w:val="17"/>
                <w:lang w:val="es-ES"/>
              </w:rPr>
              <w:t>contemplada</w:t>
            </w:r>
            <w:r w:rsidR="00271891" w:rsidRPr="00B4690D">
              <w:rPr>
                <w:sz w:val="17"/>
                <w:szCs w:val="17"/>
                <w:lang w:val="es-ES"/>
              </w:rPr>
              <w:t xml:space="preserve"> en el marco actual.</w:t>
            </w:r>
          </w:p>
          <w:p w:rsidR="00EE77FE" w:rsidRPr="00B4690D" w:rsidRDefault="00EE77FE" w:rsidP="000146F6">
            <w:pPr>
              <w:rPr>
                <w:sz w:val="17"/>
                <w:szCs w:val="17"/>
                <w:lang w:val="es-NI"/>
              </w:rPr>
            </w:pPr>
          </w:p>
        </w:tc>
      </w:tr>
      <w:tr w:rsidR="00F75251" w:rsidRPr="00B4690D" w:rsidTr="00B4690D">
        <w:trPr>
          <w:jc w:val="center"/>
        </w:trPr>
        <w:tc>
          <w:tcPr>
            <w:tcW w:w="3653" w:type="dxa"/>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F75251" w:rsidP="000146F6">
            <w:pPr>
              <w:rPr>
                <w:sz w:val="17"/>
                <w:szCs w:val="17"/>
                <w:lang w:val="es-N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271891" w:rsidP="000146F6">
            <w:pPr>
              <w:rPr>
                <w:color w:val="314F4F"/>
                <w:sz w:val="17"/>
                <w:szCs w:val="17"/>
                <w:lang w:val="es-ES"/>
              </w:rPr>
            </w:pPr>
            <w:r w:rsidRPr="00B4690D">
              <w:rPr>
                <w:color w:val="314F4F"/>
                <w:sz w:val="17"/>
                <w:szCs w:val="17"/>
                <w:lang w:val="es-ES"/>
              </w:rPr>
              <w:t>Responsable:</w:t>
            </w:r>
          </w:p>
          <w:p w:rsidR="00F75251" w:rsidRPr="00B4690D" w:rsidRDefault="00802545" w:rsidP="000146F6">
            <w:pPr>
              <w:rPr>
                <w:sz w:val="17"/>
                <w:szCs w:val="17"/>
                <w:lang w:val="es-ES"/>
              </w:rPr>
            </w:pPr>
            <w:r w:rsidRPr="00B4690D">
              <w:rPr>
                <w:sz w:val="17"/>
                <w:szCs w:val="17"/>
                <w:lang w:val="es-ES"/>
              </w:rPr>
              <w:t>Cliente / Banco</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0D0E49" w:rsidP="000146F6">
            <w:pPr>
              <w:rPr>
                <w:color w:val="314F4F"/>
                <w:sz w:val="17"/>
                <w:szCs w:val="17"/>
                <w:lang w:val="es-ES"/>
              </w:rPr>
            </w:pPr>
            <w:r w:rsidRPr="00B4690D">
              <w:rPr>
                <w:color w:val="314F4F"/>
                <w:sz w:val="17"/>
                <w:szCs w:val="17"/>
                <w:lang w:val="es-ES"/>
              </w:rPr>
              <w:t>Etapa</w:t>
            </w:r>
            <w:r w:rsidR="00F75251" w:rsidRPr="00B4690D">
              <w:rPr>
                <w:color w:val="314F4F"/>
                <w:sz w:val="17"/>
                <w:szCs w:val="17"/>
                <w:lang w:val="es-ES"/>
              </w:rPr>
              <w:t>:</w:t>
            </w:r>
          </w:p>
          <w:p w:rsidR="00F75251" w:rsidRPr="00B4690D" w:rsidRDefault="000D0E49" w:rsidP="000146F6">
            <w:pPr>
              <w:rPr>
                <w:sz w:val="17"/>
                <w:szCs w:val="17"/>
                <w:lang w:val="es-ES"/>
              </w:rPr>
            </w:pPr>
            <w:r w:rsidRPr="00B4690D">
              <w:rPr>
                <w:sz w:val="17"/>
                <w:szCs w:val="17"/>
                <w:lang w:val="es-ES"/>
              </w:rPr>
              <w:t>En ejecución</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443D05" w:rsidP="000146F6">
            <w:pPr>
              <w:jc w:val="center"/>
              <w:rPr>
                <w:color w:val="314F4F"/>
                <w:sz w:val="17"/>
                <w:szCs w:val="17"/>
                <w:lang w:val="es-ES"/>
              </w:rPr>
            </w:pPr>
            <w:r w:rsidRPr="00B4690D">
              <w:rPr>
                <w:color w:val="314F4F"/>
                <w:sz w:val="17"/>
                <w:szCs w:val="17"/>
                <w:lang w:val="es-ES"/>
              </w:rPr>
              <w:t>Recurrente</w:t>
            </w:r>
            <w:r w:rsidR="00F75251" w:rsidRPr="00B4690D">
              <w:rPr>
                <w:color w:val="314F4F"/>
                <w:sz w:val="17"/>
                <w:szCs w:val="17"/>
                <w:lang w:val="es-ES"/>
              </w:rPr>
              <w:t>:</w:t>
            </w:r>
          </w:p>
          <w:p w:rsidR="00F75251" w:rsidRPr="00B4690D" w:rsidRDefault="00F75251"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0D0E49" w:rsidP="000146F6">
            <w:pPr>
              <w:rPr>
                <w:sz w:val="17"/>
                <w:szCs w:val="17"/>
                <w:lang w:val="es-ES"/>
              </w:rPr>
            </w:pPr>
            <w:r w:rsidRPr="00B4690D">
              <w:rPr>
                <w:color w:val="314F4F"/>
                <w:sz w:val="17"/>
                <w:szCs w:val="17"/>
                <w:lang w:val="es-ES"/>
              </w:rPr>
              <w:t>Fecha límite</w:t>
            </w:r>
            <w:r w:rsidR="00F75251" w:rsidRPr="00B4690D">
              <w:rPr>
                <w:color w:val="314F4F"/>
                <w:sz w:val="17"/>
                <w:szCs w:val="17"/>
                <w:lang w:val="es-ES"/>
              </w:rPr>
              <w:t>:</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F018C3" w:rsidP="000146F6">
            <w:pPr>
              <w:rPr>
                <w:color w:val="314F4F"/>
                <w:sz w:val="17"/>
                <w:szCs w:val="17"/>
                <w:lang w:val="es-ES"/>
              </w:rPr>
            </w:pPr>
            <w:r w:rsidRPr="00B4690D">
              <w:rPr>
                <w:color w:val="314F4F"/>
                <w:sz w:val="17"/>
                <w:szCs w:val="17"/>
                <w:lang w:val="es-ES"/>
              </w:rPr>
              <w:t>Frecuencia</w:t>
            </w:r>
            <w:r w:rsidR="00F75251" w:rsidRPr="00B4690D">
              <w:rPr>
                <w:color w:val="314F4F"/>
                <w:sz w:val="17"/>
                <w:szCs w:val="17"/>
                <w:lang w:val="es-ES"/>
              </w:rPr>
              <w:t xml:space="preserve">: </w:t>
            </w:r>
          </w:p>
          <w:p w:rsidR="00F75251" w:rsidRPr="00B4690D" w:rsidRDefault="002A0AF7" w:rsidP="000146F6">
            <w:pPr>
              <w:rPr>
                <w:sz w:val="17"/>
                <w:szCs w:val="17"/>
                <w:lang w:val="es-ES"/>
              </w:rPr>
            </w:pPr>
            <w:r w:rsidRPr="00B4690D">
              <w:rPr>
                <w:sz w:val="17"/>
                <w:szCs w:val="17"/>
                <w:lang w:val="es-ES"/>
              </w:rPr>
              <w:t>Anualmente</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75251" w:rsidRPr="00B4690D" w:rsidRDefault="00802545" w:rsidP="000146F6">
            <w:pPr>
              <w:rPr>
                <w:color w:val="314F4F"/>
                <w:sz w:val="17"/>
                <w:szCs w:val="17"/>
                <w:lang w:val="es-ES"/>
              </w:rPr>
            </w:pPr>
            <w:r w:rsidRPr="00B4690D">
              <w:rPr>
                <w:color w:val="314F4F"/>
                <w:sz w:val="17"/>
                <w:szCs w:val="17"/>
                <w:lang w:val="es-ES"/>
              </w:rPr>
              <w:t>Estatus</w:t>
            </w:r>
            <w:r w:rsidR="00F75251" w:rsidRPr="00B4690D">
              <w:rPr>
                <w:color w:val="314F4F"/>
                <w:sz w:val="17"/>
                <w:szCs w:val="17"/>
                <w:lang w:val="es-ES"/>
              </w:rPr>
              <w:t>:</w:t>
            </w:r>
          </w:p>
          <w:p w:rsidR="00F75251" w:rsidRPr="00B4690D" w:rsidRDefault="00802545" w:rsidP="000146F6">
            <w:pPr>
              <w:rPr>
                <w:sz w:val="17"/>
                <w:szCs w:val="17"/>
                <w:lang w:val="es-ES"/>
              </w:rPr>
            </w:pPr>
            <w:r w:rsidRPr="00B4690D">
              <w:rPr>
                <w:sz w:val="17"/>
                <w:szCs w:val="17"/>
                <w:lang w:val="es-ES"/>
              </w:rPr>
              <w:t>En progreso</w:t>
            </w:r>
          </w:p>
          <w:p w:rsidR="00F75251" w:rsidRPr="00B4690D" w:rsidRDefault="00F75251" w:rsidP="000146F6">
            <w:pPr>
              <w:rPr>
                <w:sz w:val="17"/>
                <w:szCs w:val="17"/>
                <w:lang w:val="es-ES"/>
              </w:rPr>
            </w:pPr>
          </w:p>
        </w:tc>
      </w:tr>
      <w:tr w:rsidR="00513697" w:rsidRPr="009F3769" w:rsidTr="00F140BD">
        <w:trPr>
          <w:jc w:val="center"/>
        </w:trPr>
        <w:tc>
          <w:tcPr>
            <w:tcW w:w="13178" w:type="dxa"/>
            <w:gridSpan w:val="12"/>
            <w:tcBorders>
              <w:top w:val="nil"/>
              <w:left w:val="nil"/>
              <w:bottom w:val="nil"/>
              <w:right w:val="nil"/>
            </w:tcBorders>
            <w:shd w:val="clear" w:color="auto" w:fill="5B5B5B"/>
            <w:tcMar>
              <w:top w:w="50" w:type="dxa"/>
              <w:left w:w="50" w:type="dxa"/>
              <w:bottom w:w="50" w:type="dxa"/>
              <w:right w:w="50" w:type="dxa"/>
            </w:tcMar>
            <w:vAlign w:val="center"/>
          </w:tcPr>
          <w:p w:rsidR="00513697" w:rsidRPr="00B4690D" w:rsidRDefault="00231193" w:rsidP="00AA37EC">
            <w:pPr>
              <w:rPr>
                <w:color w:val="FFFFFF"/>
                <w:sz w:val="17"/>
                <w:szCs w:val="17"/>
                <w:lang w:val="es-NI"/>
              </w:rPr>
            </w:pPr>
            <w:r w:rsidRPr="00B4690D">
              <w:rPr>
                <w:color w:val="FFFFFF"/>
                <w:sz w:val="17"/>
                <w:szCs w:val="17"/>
                <w:lang w:val="es-NI"/>
              </w:rPr>
              <w:t xml:space="preserve">Riesgos </w:t>
            </w:r>
            <w:r w:rsidR="00AA37EC" w:rsidRPr="00B4690D">
              <w:rPr>
                <w:color w:val="FFFFFF"/>
                <w:sz w:val="17"/>
                <w:szCs w:val="17"/>
                <w:lang w:val="es-NI"/>
              </w:rPr>
              <w:t>A</w:t>
            </w:r>
            <w:r w:rsidRPr="00B4690D">
              <w:rPr>
                <w:color w:val="FFFFFF"/>
                <w:sz w:val="17"/>
                <w:szCs w:val="17"/>
                <w:lang w:val="es-NI"/>
              </w:rPr>
              <w:t>sociados con la Agencia Ejecutora</w:t>
            </w:r>
            <w:r w:rsidR="00513697" w:rsidRPr="00B4690D">
              <w:rPr>
                <w:color w:val="FFFFFF"/>
                <w:sz w:val="17"/>
                <w:szCs w:val="17"/>
                <w:lang w:val="es-NI"/>
              </w:rPr>
              <w:t xml:space="preserve"> (</w:t>
            </w:r>
            <w:r w:rsidR="00AA37EC" w:rsidRPr="00B4690D">
              <w:rPr>
                <w:color w:val="FFFFFF"/>
                <w:sz w:val="17"/>
                <w:szCs w:val="17"/>
                <w:lang w:val="es-NI"/>
              </w:rPr>
              <w:t>entre ellos,</w:t>
            </w:r>
            <w:r w:rsidRPr="00B4690D">
              <w:rPr>
                <w:color w:val="FFFFFF"/>
                <w:sz w:val="17"/>
                <w:szCs w:val="17"/>
                <w:lang w:val="es-NI"/>
              </w:rPr>
              <w:t xml:space="preserve"> riesgos fiduciarios</w:t>
            </w:r>
            <w:r w:rsidR="00513697" w:rsidRPr="00B4690D">
              <w:rPr>
                <w:color w:val="FFFFFF"/>
                <w:sz w:val="17"/>
                <w:szCs w:val="17"/>
                <w:lang w:val="es-NI"/>
              </w:rPr>
              <w:t>)</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513697" w:rsidP="000146F6">
            <w:pPr>
              <w:rPr>
                <w:sz w:val="17"/>
                <w:szCs w:val="17"/>
                <w:lang w:val="es-ES"/>
              </w:rPr>
            </w:pPr>
            <w:r w:rsidRPr="00B4690D">
              <w:rPr>
                <w:b/>
                <w:bCs/>
                <w:sz w:val="17"/>
                <w:szCs w:val="17"/>
                <w:lang w:val="es-ES"/>
              </w:rPr>
              <w:t>Capaci</w:t>
            </w:r>
            <w:r w:rsidR="00231193" w:rsidRPr="00B4690D">
              <w:rPr>
                <w:b/>
                <w:bCs/>
                <w:sz w:val="17"/>
                <w:szCs w:val="17"/>
                <w:lang w:val="es-ES"/>
              </w:rPr>
              <w:t>dad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844C3">
            <w:pPr>
              <w:rPr>
                <w:b/>
                <w:sz w:val="17"/>
                <w:szCs w:val="17"/>
                <w:lang w:val="es-ES"/>
              </w:rPr>
            </w:pPr>
            <w:r w:rsidRPr="00B4690D">
              <w:rPr>
                <w:b/>
                <w:sz w:val="17"/>
                <w:szCs w:val="17"/>
                <w:lang w:val="es-ES"/>
              </w:rPr>
              <w:t>Moderad</w:t>
            </w:r>
            <w:r w:rsidR="000844C3" w:rsidRPr="00B4690D">
              <w:rPr>
                <w:b/>
                <w:sz w:val="17"/>
                <w:szCs w:val="17"/>
                <w:lang w:val="es-ES"/>
              </w:rPr>
              <w:t>a</w:t>
            </w:r>
          </w:p>
        </w:tc>
      </w:tr>
      <w:tr w:rsidR="00513697" w:rsidRPr="00B4690D" w:rsidTr="00B4690D">
        <w:trPr>
          <w:jc w:val="center"/>
        </w:trPr>
        <w:tc>
          <w:tcPr>
            <w:tcW w:w="3653"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sz w:val="17"/>
                <w:szCs w:val="17"/>
                <w:lang w:val="es-ES"/>
              </w:rPr>
            </w:pPr>
            <w:r w:rsidRPr="00B4690D">
              <w:rPr>
                <w:sz w:val="17"/>
                <w:szCs w:val="17"/>
                <w:lang w:val="es-ES"/>
              </w:rPr>
              <w:t>Descripción</w:t>
            </w:r>
            <w:r w:rsidR="00513697" w:rsidRPr="00B4690D">
              <w:rPr>
                <w:sz w:val="17"/>
                <w:szCs w:val="17"/>
                <w:lang w:val="es-ES"/>
              </w:rPr>
              <w:t>:</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bCs/>
                <w:color w:val="314F4F"/>
                <w:sz w:val="17"/>
                <w:szCs w:val="17"/>
                <w:lang w:val="es-ES"/>
              </w:rPr>
              <w:t>Control del riesgo</w:t>
            </w:r>
            <w:r w:rsidR="00513697" w:rsidRPr="00B4690D">
              <w:rPr>
                <w:bCs/>
                <w:color w:val="314F4F"/>
                <w:sz w:val="17"/>
                <w:szCs w:val="17"/>
                <w:lang w:val="es-ES"/>
              </w:rPr>
              <w:t>:</w:t>
            </w:r>
          </w:p>
        </w:tc>
      </w:tr>
      <w:tr w:rsidR="00513697" w:rsidRPr="009F3769" w:rsidTr="00B4690D">
        <w:trPr>
          <w:jc w:val="center"/>
        </w:trPr>
        <w:tc>
          <w:tcPr>
            <w:tcW w:w="3653" w:type="dxa"/>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3C6D7E" w:rsidRPr="00B4690D" w:rsidRDefault="00231193" w:rsidP="00CC1AF0">
            <w:pPr>
              <w:rPr>
                <w:sz w:val="17"/>
                <w:szCs w:val="17"/>
                <w:lang w:val="es-ES"/>
              </w:rPr>
            </w:pPr>
            <w:r w:rsidRPr="00B4690D">
              <w:rPr>
                <w:sz w:val="17"/>
                <w:szCs w:val="17"/>
                <w:lang w:val="es-ES"/>
              </w:rPr>
              <w:t xml:space="preserve">La capacidad de la </w:t>
            </w:r>
            <w:r w:rsidR="00513697" w:rsidRPr="00B4690D">
              <w:rPr>
                <w:sz w:val="17"/>
                <w:szCs w:val="17"/>
                <w:lang w:val="es-ES"/>
              </w:rPr>
              <w:t>PGR</w:t>
            </w:r>
            <w:r w:rsidRPr="00B4690D">
              <w:rPr>
                <w:sz w:val="17"/>
                <w:szCs w:val="17"/>
                <w:lang w:val="es-ES"/>
              </w:rPr>
              <w:t xml:space="preserve">, que en la actualidad se considera adecuada, debe preservarse para asegurar una transición </w:t>
            </w:r>
            <w:r w:rsidR="00B77FEC" w:rsidRPr="00B4690D">
              <w:rPr>
                <w:sz w:val="17"/>
                <w:szCs w:val="17"/>
                <w:lang w:val="es-ES"/>
              </w:rPr>
              <w:t>gradual hacia el arranque y ejecución del Proyecto propuesto y garantizar la rendición oportuna de informes sobre los flujos</w:t>
            </w:r>
            <w:r w:rsidR="00181F7B" w:rsidRPr="00B4690D">
              <w:rPr>
                <w:sz w:val="17"/>
                <w:szCs w:val="17"/>
                <w:lang w:val="es-ES"/>
              </w:rPr>
              <w:t xml:space="preserve"> de fondos e informes financieros. Desde que asumió </w:t>
            </w:r>
            <w:r w:rsidR="00CC1AF0" w:rsidRPr="00B4690D">
              <w:rPr>
                <w:sz w:val="17"/>
                <w:szCs w:val="17"/>
                <w:lang w:val="es-ES"/>
              </w:rPr>
              <w:t>su papel de entidad ejecutora en el 2008, la PGR</w:t>
            </w:r>
            <w:r w:rsidR="009828FC">
              <w:rPr>
                <w:sz w:val="17"/>
                <w:szCs w:val="17"/>
                <w:lang w:val="es-ES"/>
              </w:rPr>
              <w:t xml:space="preserve"> </w:t>
            </w:r>
            <w:r w:rsidR="00CC1AF0" w:rsidRPr="00B4690D">
              <w:rPr>
                <w:sz w:val="17"/>
                <w:szCs w:val="17"/>
                <w:lang w:val="es-ES"/>
              </w:rPr>
              <w:t>ha demostrado su compromiso de alcanzar resultados sostenibles. La UCP adscrita a la PGR, realizó las acciones del proyecto anterior  de conformidad con las políticas de gestión financiera y adquisiciones del Banco Mundial</w:t>
            </w:r>
            <w:r w:rsidR="00513697" w:rsidRPr="00B4690D">
              <w:rPr>
                <w:sz w:val="17"/>
                <w:szCs w:val="17"/>
                <w:lang w:val="es-ES"/>
              </w:rPr>
              <w:t>.</w:t>
            </w: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3C6D7E" w:rsidRPr="00B4690D" w:rsidRDefault="00591FDD" w:rsidP="000146F6">
            <w:pPr>
              <w:rPr>
                <w:sz w:val="17"/>
                <w:szCs w:val="17"/>
                <w:lang w:val="es-ES"/>
              </w:rPr>
            </w:pPr>
            <w:r w:rsidRPr="00B4690D">
              <w:rPr>
                <w:sz w:val="17"/>
                <w:szCs w:val="17"/>
                <w:lang w:val="es-ES"/>
              </w:rPr>
              <w:t>La</w:t>
            </w:r>
            <w:r w:rsidR="009828FC">
              <w:rPr>
                <w:sz w:val="17"/>
                <w:szCs w:val="17"/>
                <w:lang w:val="es-ES"/>
              </w:rPr>
              <w:t xml:space="preserve"> </w:t>
            </w:r>
            <w:r w:rsidR="00890CA6" w:rsidRPr="00B4690D">
              <w:rPr>
                <w:sz w:val="17"/>
                <w:szCs w:val="17"/>
                <w:lang w:val="es-ES"/>
              </w:rPr>
              <w:t>UCP</w:t>
            </w:r>
            <w:r w:rsidR="009828FC">
              <w:rPr>
                <w:sz w:val="17"/>
                <w:szCs w:val="17"/>
                <w:lang w:val="es-ES"/>
              </w:rPr>
              <w:t xml:space="preserve"> </w:t>
            </w:r>
            <w:r w:rsidR="007809D7" w:rsidRPr="00B4690D">
              <w:rPr>
                <w:sz w:val="17"/>
                <w:szCs w:val="17"/>
                <w:lang w:val="es-ES"/>
              </w:rPr>
              <w:t xml:space="preserve">está </w:t>
            </w:r>
            <w:r w:rsidR="00C62B5F" w:rsidRPr="00B4690D">
              <w:rPr>
                <w:sz w:val="17"/>
                <w:szCs w:val="17"/>
                <w:lang w:val="es-ES"/>
              </w:rPr>
              <w:t>familiarizada</w:t>
            </w:r>
            <w:r w:rsidR="007809D7" w:rsidRPr="00B4690D">
              <w:rPr>
                <w:sz w:val="17"/>
                <w:szCs w:val="17"/>
                <w:lang w:val="es-ES"/>
              </w:rPr>
              <w:t xml:space="preserve"> con las políticas y prácticas del Banco Mundial gracias al primer PRODEP</w:t>
            </w:r>
            <w:r w:rsidR="00565F64" w:rsidRPr="00B4690D">
              <w:rPr>
                <w:sz w:val="17"/>
                <w:szCs w:val="17"/>
                <w:lang w:val="es-ES"/>
              </w:rPr>
              <w:t xml:space="preserve">, El Banco Mundial aprobó un PPA para garantizar la </w:t>
            </w:r>
            <w:r w:rsidR="008414BA" w:rsidRPr="00B4690D">
              <w:rPr>
                <w:sz w:val="17"/>
                <w:szCs w:val="17"/>
                <w:lang w:val="es-ES"/>
              </w:rPr>
              <w:t>continuidad</w:t>
            </w:r>
            <w:r w:rsidR="00565F64" w:rsidRPr="00B4690D">
              <w:rPr>
                <w:sz w:val="17"/>
                <w:szCs w:val="17"/>
                <w:lang w:val="es-ES"/>
              </w:rPr>
              <w:t xml:space="preserve"> entre los dos proyectos. Las evaluaciones fiduciarias</w:t>
            </w:r>
            <w:r w:rsidR="00BE5E6D" w:rsidRPr="00B4690D">
              <w:rPr>
                <w:sz w:val="17"/>
                <w:szCs w:val="17"/>
                <w:lang w:val="es-ES"/>
              </w:rPr>
              <w:t xml:space="preserve"> fueron finalizadas para identificar las</w:t>
            </w:r>
            <w:r w:rsidR="008414BA" w:rsidRPr="00B4690D">
              <w:rPr>
                <w:sz w:val="17"/>
                <w:szCs w:val="17"/>
                <w:lang w:val="es-ES"/>
              </w:rPr>
              <w:t xml:space="preserve"> principales áreas en las cuales la UCP requeriría mayor consolidación.  Como parte de las medidas de mitigación, el Banco Mundial requiere: (i) C</w:t>
            </w:r>
            <w:r w:rsidR="006679F2" w:rsidRPr="00B4690D">
              <w:rPr>
                <w:sz w:val="17"/>
                <w:szCs w:val="17"/>
                <w:lang w:val="es-ES"/>
              </w:rPr>
              <w:t>ontratar</w:t>
            </w:r>
            <w:r w:rsidR="008414BA" w:rsidRPr="00B4690D">
              <w:rPr>
                <w:sz w:val="17"/>
                <w:szCs w:val="17"/>
                <w:lang w:val="es-ES"/>
              </w:rPr>
              <w:t xml:space="preserve"> una auditoría independiente </w:t>
            </w:r>
            <w:r w:rsidR="006679F2" w:rsidRPr="00B4690D">
              <w:rPr>
                <w:sz w:val="17"/>
                <w:szCs w:val="17"/>
                <w:lang w:val="es-ES"/>
              </w:rPr>
              <w:t xml:space="preserve">y externa </w:t>
            </w:r>
            <w:r w:rsidR="008414BA" w:rsidRPr="00B4690D">
              <w:rPr>
                <w:sz w:val="17"/>
                <w:szCs w:val="17"/>
                <w:lang w:val="es-ES"/>
              </w:rPr>
              <w:t>por el periodo de ejecución del Proyecto</w:t>
            </w:r>
            <w:r w:rsidR="006679F2" w:rsidRPr="00B4690D">
              <w:rPr>
                <w:sz w:val="17"/>
                <w:szCs w:val="17"/>
                <w:lang w:val="es-ES"/>
              </w:rPr>
              <w:t>; (ii) Seguir empleando SIAFI como sistemas integrados financieros y como parte de las medidas de mitigación; (iii) Actualización del Manual Operativo que refleje las lecciones aprendidas del Proyecto previo.</w:t>
            </w:r>
          </w:p>
          <w:p w:rsidR="006679F2" w:rsidRPr="00B4690D" w:rsidRDefault="006679F2" w:rsidP="000146F6">
            <w:pPr>
              <w:rPr>
                <w:sz w:val="17"/>
                <w:szCs w:val="17"/>
                <w:lang w:val="es-ES"/>
              </w:rPr>
            </w:pPr>
          </w:p>
          <w:p w:rsidR="006679F2" w:rsidRPr="00B4690D" w:rsidRDefault="006679F2" w:rsidP="000146F6">
            <w:pPr>
              <w:rPr>
                <w:sz w:val="17"/>
                <w:szCs w:val="17"/>
                <w:lang w:val="es-ES"/>
              </w:rPr>
            </w:pPr>
          </w:p>
          <w:p w:rsidR="006679F2" w:rsidRPr="00B4690D" w:rsidRDefault="006679F2" w:rsidP="000146F6">
            <w:pPr>
              <w:rPr>
                <w:sz w:val="17"/>
                <w:szCs w:val="17"/>
                <w:lang w:val="es-ES"/>
              </w:rPr>
            </w:pPr>
          </w:p>
          <w:p w:rsidR="006679F2" w:rsidRPr="00B4690D" w:rsidRDefault="006679F2" w:rsidP="000146F6">
            <w:pPr>
              <w:rPr>
                <w:sz w:val="17"/>
                <w:szCs w:val="17"/>
                <w:lang w:val="es-ES"/>
              </w:rPr>
            </w:pPr>
          </w:p>
          <w:p w:rsidR="006679F2" w:rsidRPr="00B4690D" w:rsidRDefault="006679F2" w:rsidP="000146F6">
            <w:pPr>
              <w:rPr>
                <w:sz w:val="17"/>
                <w:szCs w:val="17"/>
                <w:lang w:val="es-ES"/>
              </w:rPr>
            </w:pPr>
          </w:p>
          <w:p w:rsidR="006679F2" w:rsidRPr="00B4690D" w:rsidRDefault="006679F2" w:rsidP="000146F6">
            <w:pPr>
              <w:rPr>
                <w:sz w:val="17"/>
                <w:szCs w:val="17"/>
                <w:lang w:val="es-ES"/>
              </w:rPr>
            </w:pPr>
          </w:p>
        </w:tc>
      </w:tr>
      <w:tr w:rsidR="0054711D" w:rsidRPr="00B4690D" w:rsidTr="00B4690D">
        <w:trPr>
          <w:jc w:val="center"/>
        </w:trPr>
        <w:tc>
          <w:tcPr>
            <w:tcW w:w="3653" w:type="dxa"/>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54711D"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271891" w:rsidP="000146F6">
            <w:pPr>
              <w:rPr>
                <w:color w:val="314F4F"/>
                <w:sz w:val="17"/>
                <w:szCs w:val="17"/>
                <w:lang w:val="es-ES"/>
              </w:rPr>
            </w:pPr>
            <w:r w:rsidRPr="00B4690D">
              <w:rPr>
                <w:color w:val="314F4F"/>
                <w:sz w:val="17"/>
                <w:szCs w:val="17"/>
                <w:lang w:val="es-ES"/>
              </w:rPr>
              <w:t>Responsable:</w:t>
            </w:r>
          </w:p>
          <w:p w:rsidR="0054711D" w:rsidRPr="00B4690D" w:rsidRDefault="00271891" w:rsidP="000146F6">
            <w:pPr>
              <w:rPr>
                <w:sz w:val="17"/>
                <w:szCs w:val="17"/>
                <w:lang w:val="es-ES"/>
              </w:rPr>
            </w:pPr>
            <w:r w:rsidRPr="00B4690D">
              <w:rPr>
                <w:sz w:val="17"/>
                <w:szCs w:val="17"/>
                <w:lang w:val="es-ES"/>
              </w:rPr>
              <w:t>Cliente</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0D0E49" w:rsidP="000146F6">
            <w:pPr>
              <w:rPr>
                <w:color w:val="314F4F"/>
                <w:sz w:val="17"/>
                <w:szCs w:val="17"/>
                <w:lang w:val="es-ES"/>
              </w:rPr>
            </w:pPr>
            <w:r w:rsidRPr="00B4690D">
              <w:rPr>
                <w:color w:val="314F4F"/>
                <w:sz w:val="17"/>
                <w:szCs w:val="17"/>
                <w:lang w:val="es-ES"/>
              </w:rPr>
              <w:t>Etapa</w:t>
            </w:r>
            <w:r w:rsidR="0054711D" w:rsidRPr="00B4690D">
              <w:rPr>
                <w:color w:val="314F4F"/>
                <w:sz w:val="17"/>
                <w:szCs w:val="17"/>
                <w:lang w:val="es-ES"/>
              </w:rPr>
              <w:t>:</w:t>
            </w:r>
          </w:p>
          <w:p w:rsidR="0054711D" w:rsidRPr="00B4690D" w:rsidRDefault="003679E0" w:rsidP="000146F6">
            <w:pPr>
              <w:rPr>
                <w:sz w:val="17"/>
                <w:szCs w:val="17"/>
                <w:lang w:val="es-ES"/>
              </w:rPr>
            </w:pPr>
            <w:r w:rsidRPr="00B4690D">
              <w:rPr>
                <w:sz w:val="17"/>
                <w:szCs w:val="17"/>
                <w:lang w:val="es-ES"/>
              </w:rPr>
              <w:t>Preparación</w:t>
            </w:r>
            <w:r w:rsidR="00B634E5" w:rsidRPr="00B4690D">
              <w:rPr>
                <w:sz w:val="17"/>
                <w:szCs w:val="17"/>
                <w:lang w:val="es-ES"/>
              </w:rPr>
              <w:t xml:space="preserve"> / </w:t>
            </w:r>
            <w:r w:rsidR="000D0E49" w:rsidRPr="00B4690D">
              <w:rPr>
                <w:sz w:val="17"/>
                <w:szCs w:val="17"/>
                <w:lang w:val="es-ES"/>
              </w:rPr>
              <w:t>En ejecución</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443D05" w:rsidP="0054711D">
            <w:pPr>
              <w:rPr>
                <w:color w:val="314F4F"/>
                <w:sz w:val="17"/>
                <w:szCs w:val="17"/>
                <w:lang w:val="es-ES"/>
              </w:rPr>
            </w:pPr>
            <w:r w:rsidRPr="00B4690D">
              <w:rPr>
                <w:color w:val="314F4F"/>
                <w:sz w:val="17"/>
                <w:szCs w:val="17"/>
                <w:lang w:val="es-ES"/>
              </w:rPr>
              <w:t>Recurrente</w:t>
            </w:r>
            <w:r w:rsidR="0054711D" w:rsidRPr="00B4690D">
              <w:rPr>
                <w:color w:val="314F4F"/>
                <w:sz w:val="17"/>
                <w:szCs w:val="17"/>
                <w:lang w:val="es-ES"/>
              </w:rPr>
              <w:t>:</w:t>
            </w:r>
          </w:p>
          <w:p w:rsidR="0054711D" w:rsidRPr="00B4690D" w:rsidRDefault="0054711D"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0D0E49" w:rsidP="000146F6">
            <w:pPr>
              <w:rPr>
                <w:sz w:val="17"/>
                <w:szCs w:val="17"/>
                <w:lang w:val="es-ES"/>
              </w:rPr>
            </w:pPr>
            <w:r w:rsidRPr="00B4690D">
              <w:rPr>
                <w:color w:val="314F4F"/>
                <w:sz w:val="17"/>
                <w:szCs w:val="17"/>
                <w:lang w:val="es-ES"/>
              </w:rPr>
              <w:t>Fecha límite</w:t>
            </w:r>
            <w:r w:rsidR="0054711D" w:rsidRPr="00B4690D">
              <w:rPr>
                <w:color w:val="314F4F"/>
                <w:sz w:val="17"/>
                <w:szCs w:val="17"/>
                <w:lang w:val="es-ES"/>
              </w:rPr>
              <w:t>:</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F018C3" w:rsidP="000146F6">
            <w:pPr>
              <w:rPr>
                <w:color w:val="314F4F"/>
                <w:sz w:val="17"/>
                <w:szCs w:val="17"/>
                <w:lang w:val="es-ES"/>
              </w:rPr>
            </w:pPr>
            <w:r w:rsidRPr="00B4690D">
              <w:rPr>
                <w:color w:val="314F4F"/>
                <w:sz w:val="17"/>
                <w:szCs w:val="17"/>
                <w:lang w:val="es-ES"/>
              </w:rPr>
              <w:t>Frecuencia</w:t>
            </w:r>
            <w:r w:rsidR="0054711D" w:rsidRPr="00B4690D">
              <w:rPr>
                <w:color w:val="314F4F"/>
                <w:sz w:val="17"/>
                <w:szCs w:val="17"/>
                <w:lang w:val="es-ES"/>
              </w:rPr>
              <w:t xml:space="preserve">: </w:t>
            </w:r>
          </w:p>
          <w:p w:rsidR="0054711D" w:rsidRPr="00B4690D" w:rsidRDefault="006679F2" w:rsidP="000146F6">
            <w:pPr>
              <w:rPr>
                <w:sz w:val="17"/>
                <w:szCs w:val="17"/>
                <w:lang w:val="es-ES"/>
              </w:rPr>
            </w:pPr>
            <w:r w:rsidRPr="00B4690D">
              <w:rPr>
                <w:color w:val="314F4F"/>
                <w:sz w:val="17"/>
                <w:szCs w:val="17"/>
                <w:lang w:val="es-ES"/>
              </w:rPr>
              <w:t>Anual</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4711D" w:rsidRPr="00B4690D" w:rsidRDefault="00802545" w:rsidP="000146F6">
            <w:pPr>
              <w:rPr>
                <w:color w:val="314F4F"/>
                <w:sz w:val="17"/>
                <w:szCs w:val="17"/>
                <w:lang w:val="es-ES"/>
              </w:rPr>
            </w:pPr>
            <w:r w:rsidRPr="00B4690D">
              <w:rPr>
                <w:color w:val="314F4F"/>
                <w:sz w:val="17"/>
                <w:szCs w:val="17"/>
                <w:lang w:val="es-ES"/>
              </w:rPr>
              <w:t>Estatus</w:t>
            </w:r>
            <w:r w:rsidR="0054711D" w:rsidRPr="00B4690D">
              <w:rPr>
                <w:color w:val="314F4F"/>
                <w:sz w:val="17"/>
                <w:szCs w:val="17"/>
                <w:lang w:val="es-ES"/>
              </w:rPr>
              <w:t>:</w:t>
            </w:r>
          </w:p>
          <w:p w:rsidR="0054711D" w:rsidRPr="00B4690D" w:rsidRDefault="00802545" w:rsidP="000146F6">
            <w:pPr>
              <w:rPr>
                <w:sz w:val="17"/>
                <w:szCs w:val="17"/>
                <w:lang w:val="es-ES"/>
              </w:rPr>
            </w:pPr>
            <w:r w:rsidRPr="00B4690D">
              <w:rPr>
                <w:sz w:val="17"/>
                <w:szCs w:val="17"/>
                <w:lang w:val="es-ES"/>
              </w:rPr>
              <w:t>En progreso</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513697" w:rsidP="00CC1AF0">
            <w:pPr>
              <w:rPr>
                <w:sz w:val="17"/>
                <w:szCs w:val="17"/>
                <w:lang w:val="es-ES"/>
              </w:rPr>
            </w:pPr>
            <w:r w:rsidRPr="00B4690D">
              <w:rPr>
                <w:b/>
                <w:bCs/>
                <w:sz w:val="17"/>
                <w:szCs w:val="17"/>
                <w:lang w:val="es-ES"/>
              </w:rPr>
              <w:t>Go</w:t>
            </w:r>
            <w:r w:rsidR="00CC1AF0" w:rsidRPr="00B4690D">
              <w:rPr>
                <w:b/>
                <w:bCs/>
                <w:sz w:val="17"/>
                <w:szCs w:val="17"/>
                <w:lang w:val="es-ES"/>
              </w:rPr>
              <w:t>b</w:t>
            </w:r>
            <w:r w:rsidRPr="00B4690D">
              <w:rPr>
                <w:b/>
                <w:bCs/>
                <w:sz w:val="17"/>
                <w:szCs w:val="17"/>
                <w:lang w:val="es-ES"/>
              </w:rPr>
              <w:t>ernan</w:t>
            </w:r>
            <w:r w:rsidR="00CC1AF0" w:rsidRPr="00B4690D">
              <w:rPr>
                <w:b/>
                <w:bCs/>
                <w:sz w:val="17"/>
                <w:szCs w:val="17"/>
                <w:lang w:val="es-ES"/>
              </w:rPr>
              <w:t>za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844C3">
            <w:pPr>
              <w:rPr>
                <w:b/>
                <w:sz w:val="17"/>
                <w:szCs w:val="17"/>
                <w:lang w:val="es-ES"/>
              </w:rPr>
            </w:pPr>
            <w:r w:rsidRPr="00B4690D">
              <w:rPr>
                <w:b/>
                <w:sz w:val="17"/>
                <w:szCs w:val="17"/>
                <w:lang w:val="es-ES"/>
              </w:rPr>
              <w:t>Moderad</w:t>
            </w:r>
            <w:r w:rsidR="000844C3" w:rsidRPr="00B4690D">
              <w:rPr>
                <w:b/>
                <w:sz w:val="17"/>
                <w:szCs w:val="17"/>
                <w:lang w:val="es-ES"/>
              </w:rPr>
              <w:t>a</w:t>
            </w:r>
          </w:p>
        </w:tc>
      </w:tr>
      <w:tr w:rsidR="00655633" w:rsidRPr="00B4690D" w:rsidTr="00B4690D">
        <w:trPr>
          <w:jc w:val="center"/>
        </w:trPr>
        <w:tc>
          <w:tcPr>
            <w:tcW w:w="3653" w:type="dxa"/>
            <w:vMerge w:val="restart"/>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0D0E49" w:rsidP="000146F6">
            <w:pPr>
              <w:rPr>
                <w:sz w:val="17"/>
                <w:szCs w:val="17"/>
                <w:lang w:val="es-ES"/>
              </w:rPr>
            </w:pPr>
            <w:r w:rsidRPr="00B4690D">
              <w:rPr>
                <w:sz w:val="17"/>
                <w:szCs w:val="17"/>
                <w:lang w:val="es-ES"/>
              </w:rPr>
              <w:lastRenderedPageBreak/>
              <w:t>Descripción</w:t>
            </w:r>
            <w:r w:rsidR="00655633" w:rsidRPr="00B4690D">
              <w:rPr>
                <w:sz w:val="17"/>
                <w:szCs w:val="17"/>
                <w:lang w:val="es-ES"/>
              </w:rPr>
              <w:t>:</w:t>
            </w:r>
          </w:p>
          <w:p w:rsidR="00655633" w:rsidRPr="00B4690D" w:rsidRDefault="006679F2" w:rsidP="004C16F5">
            <w:pPr>
              <w:rPr>
                <w:sz w:val="17"/>
                <w:szCs w:val="17"/>
                <w:lang w:val="es-ES"/>
              </w:rPr>
            </w:pPr>
            <w:r w:rsidRPr="00B4690D">
              <w:rPr>
                <w:sz w:val="17"/>
                <w:szCs w:val="17"/>
                <w:lang w:val="es-ES"/>
              </w:rPr>
              <w:t xml:space="preserve">La gobernabilidad en el país se percibe débil. A pesar de los avances logrados, el sector </w:t>
            </w:r>
            <w:r w:rsidR="004C16F5" w:rsidRPr="00B4690D">
              <w:rPr>
                <w:sz w:val="17"/>
                <w:szCs w:val="17"/>
                <w:lang w:val="es-ES"/>
              </w:rPr>
              <w:t>de administración de la tierra requiere una mayor consolidación de la transparencia y rendición de cuentas. Asimismo, los municipios aún no han alcanzado el potencial de convertirse en socios del manejo del catastro nacional y regularización de la propiedad.</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655633" w:rsidRPr="00B4690D" w:rsidRDefault="000D0E49" w:rsidP="000146F6">
            <w:pPr>
              <w:rPr>
                <w:color w:val="314F4F"/>
                <w:sz w:val="17"/>
                <w:szCs w:val="17"/>
                <w:lang w:val="es-ES"/>
              </w:rPr>
            </w:pPr>
            <w:r w:rsidRPr="00B4690D">
              <w:rPr>
                <w:bCs/>
                <w:color w:val="314F4F"/>
                <w:sz w:val="17"/>
                <w:szCs w:val="17"/>
                <w:lang w:val="es-ES"/>
              </w:rPr>
              <w:t>Control del riesgo</w:t>
            </w:r>
            <w:r w:rsidR="00655633" w:rsidRPr="00B4690D">
              <w:rPr>
                <w:bCs/>
                <w:color w:val="314F4F"/>
                <w:sz w:val="17"/>
                <w:szCs w:val="17"/>
                <w:lang w:val="es-ES"/>
              </w:rPr>
              <w:t>:</w:t>
            </w:r>
          </w:p>
        </w:tc>
      </w:tr>
      <w:tr w:rsidR="00655633" w:rsidRPr="009F3769"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655633" w:rsidP="000146F6">
            <w:pPr>
              <w:rPr>
                <w:color w:val="314F4F"/>
                <w:sz w:val="17"/>
                <w:szCs w:val="17"/>
                <w:lang w:val="es-ES"/>
              </w:rPr>
            </w:pP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655633" w:rsidRPr="00B4690D" w:rsidRDefault="004C16F5" w:rsidP="004C084E">
            <w:pPr>
              <w:rPr>
                <w:sz w:val="17"/>
                <w:szCs w:val="17"/>
                <w:lang w:val="es-ES"/>
              </w:rPr>
            </w:pPr>
            <w:r w:rsidRPr="00B4690D">
              <w:rPr>
                <w:sz w:val="17"/>
                <w:szCs w:val="17"/>
                <w:lang w:val="es-ES"/>
              </w:rPr>
              <w:t>E</w:t>
            </w:r>
            <w:r w:rsidR="00BB39B7" w:rsidRPr="00B4690D">
              <w:rPr>
                <w:sz w:val="17"/>
                <w:szCs w:val="17"/>
                <w:lang w:val="es-ES"/>
              </w:rPr>
              <w:t xml:space="preserve">n general, </w:t>
            </w:r>
            <w:r w:rsidRPr="00B4690D">
              <w:rPr>
                <w:sz w:val="17"/>
                <w:szCs w:val="17"/>
                <w:lang w:val="es-ES"/>
              </w:rPr>
              <w:t xml:space="preserve">el </w:t>
            </w:r>
            <w:r w:rsidR="003B6211" w:rsidRPr="00B4690D">
              <w:rPr>
                <w:sz w:val="17"/>
                <w:szCs w:val="17"/>
                <w:lang w:val="es-ES"/>
              </w:rPr>
              <w:t xml:space="preserve">Banco Mundial ha apoyado a Nicaragua en el mejoramiento del sistema de gestión financiera pública  y en la promoción de la rendición de cuentas. Para controlar los riesgos fiduciarios, el Banco Mundial continuará brindando capacitaciones integradas anuales al personal fiduciario del Proyecto y mantendrá descentralizadas las funciones de adquisiciones y </w:t>
            </w:r>
            <w:r w:rsidR="00C46691" w:rsidRPr="00B9045A">
              <w:rPr>
                <w:sz w:val="17"/>
                <w:szCs w:val="17"/>
                <w:lang w:val="es-ES"/>
              </w:rPr>
              <w:t>la supervisión</w:t>
            </w:r>
            <w:r w:rsidR="009828FC">
              <w:rPr>
                <w:sz w:val="17"/>
                <w:szCs w:val="17"/>
                <w:lang w:val="es-ES"/>
              </w:rPr>
              <w:t xml:space="preserve"> </w:t>
            </w:r>
            <w:r w:rsidR="003B6211" w:rsidRPr="00B4690D">
              <w:rPr>
                <w:sz w:val="17"/>
                <w:szCs w:val="17"/>
                <w:lang w:val="es-ES"/>
              </w:rPr>
              <w:t xml:space="preserve">de gestión financiera. Hasta el momento, una supervisión estricta, la adopción del sistema electrónico de adquisiciones (SEPA) y capacitaciones fiduciarias periódicas </w:t>
            </w:r>
            <w:r w:rsidR="00803785" w:rsidRPr="00B4690D">
              <w:rPr>
                <w:sz w:val="17"/>
                <w:szCs w:val="17"/>
                <w:lang w:val="es-ES"/>
              </w:rPr>
              <w:t xml:space="preserve">brindadas al personal del </w:t>
            </w:r>
            <w:r w:rsidR="009828FC">
              <w:rPr>
                <w:sz w:val="17"/>
                <w:szCs w:val="17"/>
                <w:lang w:val="es-ES"/>
              </w:rPr>
              <w:t>G</w:t>
            </w:r>
            <w:r w:rsidR="00803785" w:rsidRPr="00B4690D">
              <w:rPr>
                <w:sz w:val="17"/>
                <w:szCs w:val="17"/>
                <w:lang w:val="es-ES"/>
              </w:rPr>
              <w:t xml:space="preserve">obierno y del Proyecto han generado buenos resultados. Con respecto del proyecto propuesto, los mecanismos fiduciarios de la operación previa se seguirán utilizando, pero se ejecutarán acciones específicas para promover la </w:t>
            </w:r>
            <w:r w:rsidR="00D15991" w:rsidRPr="00B4690D">
              <w:rPr>
                <w:sz w:val="17"/>
                <w:szCs w:val="17"/>
                <w:lang w:val="es-ES"/>
              </w:rPr>
              <w:t>supervisión, la realización de las auditorías anuales sobre las transacciones de adquisición, una auditoría social de las actividades relevantes, las cuales se ejecutarán lo más seguro durante la evaluación de mitad de periodo</w:t>
            </w:r>
            <w:r w:rsidR="00A92E34" w:rsidRPr="00B4690D">
              <w:rPr>
                <w:sz w:val="17"/>
                <w:szCs w:val="17"/>
                <w:lang w:val="es-ES"/>
              </w:rPr>
              <w:t xml:space="preserve"> y un monitoreo estrecho del mecanismo de atención de quejas (se incluyó un indicador específico en la matriz de resultados). Se espera preservar al personal fiduciario actual de la UCP bajo la PGR, cuya capacidad se considera </w:t>
            </w:r>
            <w:r w:rsidR="004C084E" w:rsidRPr="00B4690D">
              <w:rPr>
                <w:sz w:val="17"/>
                <w:szCs w:val="17"/>
                <w:lang w:val="es-ES"/>
              </w:rPr>
              <w:t>adecuada</w:t>
            </w:r>
            <w:r w:rsidR="00BB39B7" w:rsidRPr="00B4690D">
              <w:rPr>
                <w:sz w:val="17"/>
                <w:szCs w:val="17"/>
                <w:lang w:val="es-ES"/>
              </w:rPr>
              <w:t>.</w:t>
            </w:r>
          </w:p>
        </w:tc>
      </w:tr>
      <w:tr w:rsidR="00655633" w:rsidRPr="00B4690D"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655633"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271891" w:rsidP="000146F6">
            <w:pPr>
              <w:rPr>
                <w:color w:val="314F4F"/>
                <w:sz w:val="17"/>
                <w:szCs w:val="17"/>
                <w:lang w:val="es-ES"/>
              </w:rPr>
            </w:pPr>
            <w:r w:rsidRPr="00B4690D">
              <w:rPr>
                <w:color w:val="314F4F"/>
                <w:sz w:val="17"/>
                <w:szCs w:val="17"/>
                <w:lang w:val="es-ES"/>
              </w:rPr>
              <w:t>Responsable:</w:t>
            </w:r>
          </w:p>
          <w:p w:rsidR="00655633" w:rsidRPr="00B4690D" w:rsidRDefault="00802545" w:rsidP="000146F6">
            <w:pPr>
              <w:rPr>
                <w:sz w:val="17"/>
                <w:szCs w:val="17"/>
                <w:lang w:val="es-ES"/>
              </w:rPr>
            </w:pPr>
            <w:r w:rsidRPr="00B4690D">
              <w:rPr>
                <w:sz w:val="17"/>
                <w:szCs w:val="17"/>
                <w:lang w:val="es-ES"/>
              </w:rPr>
              <w:t>Cliente / Banco</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0D0E49" w:rsidP="000146F6">
            <w:pPr>
              <w:rPr>
                <w:color w:val="314F4F"/>
                <w:sz w:val="17"/>
                <w:szCs w:val="17"/>
                <w:lang w:val="es-ES"/>
              </w:rPr>
            </w:pPr>
            <w:r w:rsidRPr="00B4690D">
              <w:rPr>
                <w:color w:val="314F4F"/>
                <w:sz w:val="17"/>
                <w:szCs w:val="17"/>
                <w:lang w:val="es-ES"/>
              </w:rPr>
              <w:t>Etapa</w:t>
            </w:r>
            <w:r w:rsidR="00655633" w:rsidRPr="00B4690D">
              <w:rPr>
                <w:color w:val="314F4F"/>
                <w:sz w:val="17"/>
                <w:szCs w:val="17"/>
                <w:lang w:val="es-ES"/>
              </w:rPr>
              <w:t>:</w:t>
            </w:r>
          </w:p>
          <w:p w:rsidR="00655633" w:rsidRPr="00B4690D" w:rsidRDefault="000D0E49" w:rsidP="000146F6">
            <w:pPr>
              <w:rPr>
                <w:sz w:val="17"/>
                <w:szCs w:val="17"/>
                <w:lang w:val="es-ES"/>
              </w:rPr>
            </w:pPr>
            <w:r w:rsidRPr="00B4690D">
              <w:rPr>
                <w:sz w:val="17"/>
                <w:szCs w:val="17"/>
                <w:lang w:val="es-ES"/>
              </w:rPr>
              <w:t>En ejecución</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4C16F5" w:rsidP="004C16F5">
            <w:pPr>
              <w:rPr>
                <w:color w:val="314F4F"/>
                <w:sz w:val="17"/>
                <w:szCs w:val="17"/>
                <w:lang w:val="es-ES"/>
              </w:rPr>
            </w:pPr>
            <w:r w:rsidRPr="00B4690D">
              <w:rPr>
                <w:color w:val="314F4F"/>
                <w:sz w:val="17"/>
                <w:szCs w:val="17"/>
                <w:lang w:val="es-ES"/>
              </w:rPr>
              <w:t>R</w:t>
            </w:r>
            <w:r w:rsidR="00443D05" w:rsidRPr="00B4690D">
              <w:rPr>
                <w:color w:val="314F4F"/>
                <w:sz w:val="17"/>
                <w:szCs w:val="17"/>
                <w:lang w:val="es-ES"/>
              </w:rPr>
              <w:t>ecurrente</w:t>
            </w:r>
            <w:r w:rsidR="00655633" w:rsidRPr="00B4690D">
              <w:rPr>
                <w:color w:val="314F4F"/>
                <w:sz w:val="17"/>
                <w:szCs w:val="17"/>
                <w:lang w:val="es-ES"/>
              </w:rPr>
              <w:t>:</w:t>
            </w:r>
          </w:p>
          <w:p w:rsidR="00655633" w:rsidRPr="00B4690D" w:rsidRDefault="00655633"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0D0E49" w:rsidP="000146F6">
            <w:pPr>
              <w:rPr>
                <w:sz w:val="17"/>
                <w:szCs w:val="17"/>
                <w:lang w:val="es-ES"/>
              </w:rPr>
            </w:pPr>
            <w:r w:rsidRPr="00B4690D">
              <w:rPr>
                <w:color w:val="314F4F"/>
                <w:sz w:val="17"/>
                <w:szCs w:val="17"/>
                <w:lang w:val="es-ES"/>
              </w:rPr>
              <w:t>Fecha límite</w:t>
            </w:r>
            <w:r w:rsidR="00655633" w:rsidRPr="00B4690D">
              <w:rPr>
                <w:color w:val="314F4F"/>
                <w:sz w:val="17"/>
                <w:szCs w:val="17"/>
                <w:lang w:val="es-E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F018C3" w:rsidP="000146F6">
            <w:pPr>
              <w:rPr>
                <w:color w:val="314F4F"/>
                <w:sz w:val="17"/>
                <w:szCs w:val="17"/>
                <w:lang w:val="es-ES"/>
              </w:rPr>
            </w:pPr>
            <w:r w:rsidRPr="00B4690D">
              <w:rPr>
                <w:color w:val="314F4F"/>
                <w:sz w:val="17"/>
                <w:szCs w:val="17"/>
                <w:lang w:val="es-ES"/>
              </w:rPr>
              <w:t>Frecuencia</w:t>
            </w:r>
            <w:r w:rsidR="00655633" w:rsidRPr="00B4690D">
              <w:rPr>
                <w:color w:val="314F4F"/>
                <w:sz w:val="17"/>
                <w:szCs w:val="17"/>
                <w:lang w:val="es-ES"/>
              </w:rPr>
              <w:t xml:space="preserve">: </w:t>
            </w:r>
          </w:p>
          <w:p w:rsidR="00655633" w:rsidRPr="00B4690D" w:rsidRDefault="002A0AF7" w:rsidP="004C16F5">
            <w:pPr>
              <w:rPr>
                <w:sz w:val="17"/>
                <w:szCs w:val="17"/>
                <w:lang w:val="es-ES"/>
              </w:rPr>
            </w:pPr>
            <w:r w:rsidRPr="00B4690D">
              <w:rPr>
                <w:sz w:val="17"/>
                <w:szCs w:val="17"/>
                <w:lang w:val="es-ES"/>
              </w:rPr>
              <w:t>Anual</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802545" w:rsidP="000146F6">
            <w:pPr>
              <w:rPr>
                <w:color w:val="314F4F"/>
                <w:sz w:val="17"/>
                <w:szCs w:val="17"/>
                <w:lang w:val="es-ES"/>
              </w:rPr>
            </w:pPr>
            <w:r w:rsidRPr="00B4690D">
              <w:rPr>
                <w:color w:val="314F4F"/>
                <w:sz w:val="17"/>
                <w:szCs w:val="17"/>
                <w:lang w:val="es-ES"/>
              </w:rPr>
              <w:t>Estatus</w:t>
            </w:r>
            <w:r w:rsidR="00655633" w:rsidRPr="00B4690D">
              <w:rPr>
                <w:color w:val="314F4F"/>
                <w:sz w:val="17"/>
                <w:szCs w:val="17"/>
                <w:lang w:val="es-ES"/>
              </w:rPr>
              <w:t>:</w:t>
            </w:r>
          </w:p>
          <w:p w:rsidR="00655633" w:rsidRPr="00B4690D" w:rsidRDefault="00802545" w:rsidP="000146F6">
            <w:pPr>
              <w:rPr>
                <w:sz w:val="17"/>
                <w:szCs w:val="17"/>
                <w:lang w:val="es-ES"/>
              </w:rPr>
            </w:pPr>
            <w:r w:rsidRPr="00B4690D">
              <w:rPr>
                <w:sz w:val="17"/>
                <w:szCs w:val="17"/>
                <w:lang w:val="es-ES"/>
              </w:rPr>
              <w:t>En progreso</w:t>
            </w:r>
          </w:p>
        </w:tc>
      </w:tr>
      <w:tr w:rsidR="00655633" w:rsidRPr="00B4690D"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655633" w:rsidP="000146F6">
            <w:pPr>
              <w:rPr>
                <w:sz w:val="17"/>
                <w:szCs w:val="17"/>
                <w:lang w:val="es-ES"/>
              </w:rPr>
            </w:pP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655633" w:rsidRPr="00B4690D" w:rsidRDefault="000D0E49" w:rsidP="000146F6">
            <w:pPr>
              <w:rPr>
                <w:color w:val="314F4F"/>
                <w:sz w:val="17"/>
                <w:szCs w:val="17"/>
                <w:lang w:val="es-ES"/>
              </w:rPr>
            </w:pPr>
            <w:r w:rsidRPr="00B4690D">
              <w:rPr>
                <w:bCs/>
                <w:color w:val="314F4F"/>
                <w:sz w:val="17"/>
                <w:szCs w:val="17"/>
                <w:lang w:val="es-ES"/>
              </w:rPr>
              <w:t>Control del riesgo</w:t>
            </w:r>
            <w:r w:rsidR="00655633" w:rsidRPr="00B4690D">
              <w:rPr>
                <w:bCs/>
                <w:color w:val="314F4F"/>
                <w:sz w:val="17"/>
                <w:szCs w:val="17"/>
                <w:lang w:val="es-ES"/>
              </w:rPr>
              <w:t>:</w:t>
            </w:r>
          </w:p>
        </w:tc>
      </w:tr>
      <w:tr w:rsidR="00655633" w:rsidRPr="009F3769"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655633" w:rsidP="000146F6">
            <w:pPr>
              <w:rPr>
                <w:color w:val="314F4F"/>
                <w:sz w:val="17"/>
                <w:szCs w:val="17"/>
                <w:lang w:val="es-ES"/>
              </w:rPr>
            </w:pP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655633" w:rsidRPr="00B4690D" w:rsidRDefault="004C084E" w:rsidP="006440A0">
            <w:pPr>
              <w:rPr>
                <w:sz w:val="17"/>
                <w:szCs w:val="17"/>
                <w:lang w:val="es-ES"/>
              </w:rPr>
            </w:pPr>
            <w:r w:rsidRPr="00B4690D">
              <w:rPr>
                <w:sz w:val="17"/>
                <w:szCs w:val="17"/>
                <w:lang w:val="es-ES"/>
              </w:rPr>
              <w:t>El Proyecto contribuirá a inyectar mayor voz y rendición de cuentas al (i) Fortalecer al mecanismo de atención</w:t>
            </w:r>
            <w:r w:rsidR="001C2068" w:rsidRPr="00B4690D">
              <w:rPr>
                <w:sz w:val="17"/>
                <w:szCs w:val="17"/>
                <w:lang w:val="es-ES"/>
              </w:rPr>
              <w:t xml:space="preserve"> de quejas en el sector de administración de tierras; (ii) Publicar los resultados de monitoreo y </w:t>
            </w:r>
            <w:r w:rsidR="006440A0" w:rsidRPr="00B4690D">
              <w:rPr>
                <w:sz w:val="17"/>
                <w:szCs w:val="17"/>
                <w:lang w:val="es-ES"/>
              </w:rPr>
              <w:t xml:space="preserve">evaluación sobre la actuación de las instituciones de ordenamiento de la propiedad. </w:t>
            </w:r>
          </w:p>
        </w:tc>
      </w:tr>
      <w:tr w:rsidR="00013D54" w:rsidRPr="00B4690D"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013D54"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271891" w:rsidP="000146F6">
            <w:pPr>
              <w:rPr>
                <w:color w:val="314F4F"/>
                <w:sz w:val="17"/>
                <w:szCs w:val="17"/>
                <w:lang w:val="es-ES"/>
              </w:rPr>
            </w:pPr>
            <w:r w:rsidRPr="00B4690D">
              <w:rPr>
                <w:color w:val="314F4F"/>
                <w:sz w:val="17"/>
                <w:szCs w:val="17"/>
                <w:lang w:val="es-ES"/>
              </w:rPr>
              <w:t>Responsable:</w:t>
            </w:r>
          </w:p>
          <w:p w:rsidR="00013D54" w:rsidRPr="00B4690D" w:rsidRDefault="00271891" w:rsidP="000146F6">
            <w:pPr>
              <w:rPr>
                <w:sz w:val="17"/>
                <w:szCs w:val="17"/>
                <w:lang w:val="es-ES"/>
              </w:rPr>
            </w:pPr>
            <w:r w:rsidRPr="00B4690D">
              <w:rPr>
                <w:sz w:val="17"/>
                <w:szCs w:val="17"/>
                <w:lang w:val="es-ES"/>
              </w:rPr>
              <w:t>Cliente</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0D0E49" w:rsidP="000146F6">
            <w:pPr>
              <w:rPr>
                <w:color w:val="314F4F"/>
                <w:sz w:val="17"/>
                <w:szCs w:val="17"/>
                <w:lang w:val="es-ES"/>
              </w:rPr>
            </w:pPr>
            <w:r w:rsidRPr="00B4690D">
              <w:rPr>
                <w:color w:val="314F4F"/>
                <w:sz w:val="17"/>
                <w:szCs w:val="17"/>
                <w:lang w:val="es-ES"/>
              </w:rPr>
              <w:t>Etapa</w:t>
            </w:r>
            <w:r w:rsidR="00013D54" w:rsidRPr="00B4690D">
              <w:rPr>
                <w:color w:val="314F4F"/>
                <w:sz w:val="17"/>
                <w:szCs w:val="17"/>
                <w:lang w:val="es-ES"/>
              </w:rPr>
              <w:t>:</w:t>
            </w:r>
          </w:p>
          <w:p w:rsidR="00013D54" w:rsidRPr="00B4690D" w:rsidRDefault="000D0E49" w:rsidP="000146F6">
            <w:pPr>
              <w:rPr>
                <w:sz w:val="17"/>
                <w:szCs w:val="17"/>
                <w:lang w:val="es-ES"/>
              </w:rPr>
            </w:pPr>
            <w:r w:rsidRPr="00B4690D">
              <w:rPr>
                <w:sz w:val="17"/>
                <w:szCs w:val="17"/>
                <w:lang w:val="es-ES"/>
              </w:rPr>
              <w:t>En ejecución</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443D05" w:rsidP="000146F6">
            <w:pPr>
              <w:jc w:val="center"/>
              <w:rPr>
                <w:color w:val="314F4F"/>
                <w:sz w:val="17"/>
                <w:szCs w:val="17"/>
                <w:lang w:val="es-ES"/>
              </w:rPr>
            </w:pPr>
            <w:r w:rsidRPr="00B4690D">
              <w:rPr>
                <w:color w:val="314F4F"/>
                <w:sz w:val="17"/>
                <w:szCs w:val="17"/>
                <w:lang w:val="es-ES"/>
              </w:rPr>
              <w:t>Recurrente</w:t>
            </w:r>
            <w:r w:rsidR="00013D54" w:rsidRPr="00B4690D">
              <w:rPr>
                <w:color w:val="314F4F"/>
                <w:sz w:val="17"/>
                <w:szCs w:val="17"/>
                <w:lang w:val="es-ES"/>
              </w:rPr>
              <w:t>:</w:t>
            </w:r>
          </w:p>
          <w:p w:rsidR="00013D54" w:rsidRPr="00B4690D" w:rsidRDefault="00013D54"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0D0E49" w:rsidP="000146F6">
            <w:pPr>
              <w:rPr>
                <w:sz w:val="17"/>
                <w:szCs w:val="17"/>
                <w:lang w:val="es-ES"/>
              </w:rPr>
            </w:pPr>
            <w:r w:rsidRPr="00B4690D">
              <w:rPr>
                <w:color w:val="314F4F"/>
                <w:sz w:val="17"/>
                <w:szCs w:val="17"/>
                <w:lang w:val="es-ES"/>
              </w:rPr>
              <w:t>Fecha límite</w:t>
            </w:r>
            <w:r w:rsidR="00013D54" w:rsidRPr="00B4690D">
              <w:rPr>
                <w:color w:val="314F4F"/>
                <w:sz w:val="17"/>
                <w:szCs w:val="17"/>
                <w:lang w:val="es-E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F018C3" w:rsidP="000146F6">
            <w:pPr>
              <w:rPr>
                <w:color w:val="314F4F"/>
                <w:sz w:val="17"/>
                <w:szCs w:val="17"/>
                <w:lang w:val="es-ES"/>
              </w:rPr>
            </w:pPr>
            <w:r w:rsidRPr="00B4690D">
              <w:rPr>
                <w:color w:val="314F4F"/>
                <w:sz w:val="17"/>
                <w:szCs w:val="17"/>
                <w:lang w:val="es-ES"/>
              </w:rPr>
              <w:t>Frecuencia</w:t>
            </w:r>
            <w:r w:rsidR="00013D54" w:rsidRPr="00B4690D">
              <w:rPr>
                <w:color w:val="314F4F"/>
                <w:sz w:val="17"/>
                <w:szCs w:val="17"/>
                <w:lang w:val="es-ES"/>
              </w:rPr>
              <w:t xml:space="preserve">: </w:t>
            </w:r>
          </w:p>
          <w:p w:rsidR="00013D54" w:rsidRPr="00B4690D" w:rsidRDefault="004C16F5" w:rsidP="000146F6">
            <w:pPr>
              <w:rPr>
                <w:sz w:val="17"/>
                <w:szCs w:val="17"/>
                <w:lang w:val="es-ES"/>
              </w:rPr>
            </w:pPr>
            <w:r w:rsidRPr="00B4690D">
              <w:rPr>
                <w:sz w:val="17"/>
                <w:szCs w:val="17"/>
                <w:lang w:val="es-ES"/>
              </w:rPr>
              <w:t>Trimestral</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013D54" w:rsidRPr="00B4690D" w:rsidRDefault="00802545" w:rsidP="000146F6">
            <w:pPr>
              <w:rPr>
                <w:color w:val="314F4F"/>
                <w:sz w:val="17"/>
                <w:szCs w:val="17"/>
                <w:lang w:val="es-ES"/>
              </w:rPr>
            </w:pPr>
            <w:r w:rsidRPr="00B4690D">
              <w:rPr>
                <w:color w:val="314F4F"/>
                <w:sz w:val="17"/>
                <w:szCs w:val="17"/>
                <w:lang w:val="es-ES"/>
              </w:rPr>
              <w:t>Estatus</w:t>
            </w:r>
            <w:r w:rsidR="00013D54" w:rsidRPr="00B4690D">
              <w:rPr>
                <w:color w:val="314F4F"/>
                <w:sz w:val="17"/>
                <w:szCs w:val="17"/>
                <w:lang w:val="es-ES"/>
              </w:rPr>
              <w:t>:</w:t>
            </w:r>
          </w:p>
          <w:p w:rsidR="00013D54" w:rsidRPr="00B4690D" w:rsidRDefault="00802545" w:rsidP="000146F6">
            <w:pPr>
              <w:rPr>
                <w:sz w:val="17"/>
                <w:szCs w:val="17"/>
                <w:lang w:val="es-ES"/>
              </w:rPr>
            </w:pPr>
            <w:r w:rsidRPr="00B4690D">
              <w:rPr>
                <w:sz w:val="17"/>
                <w:szCs w:val="17"/>
                <w:lang w:val="es-ES"/>
              </w:rPr>
              <w:t>En progreso</w:t>
            </w:r>
          </w:p>
        </w:tc>
      </w:tr>
      <w:tr w:rsidR="00655633" w:rsidRPr="00B4690D"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vAlign w:val="center"/>
          </w:tcPr>
          <w:p w:rsidR="00655633" w:rsidRPr="00B4690D" w:rsidRDefault="00655633" w:rsidP="000146F6">
            <w:pPr>
              <w:rPr>
                <w:sz w:val="17"/>
                <w:szCs w:val="17"/>
                <w:lang w:val="es-ES"/>
              </w:rPr>
            </w:pP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655633" w:rsidRPr="00B4690D" w:rsidRDefault="000D0E49" w:rsidP="000146F6">
            <w:pPr>
              <w:rPr>
                <w:color w:val="314F4F"/>
                <w:sz w:val="17"/>
                <w:szCs w:val="17"/>
                <w:lang w:val="es-ES"/>
              </w:rPr>
            </w:pPr>
            <w:r w:rsidRPr="00B4690D">
              <w:rPr>
                <w:bCs/>
                <w:color w:val="314F4F"/>
                <w:sz w:val="17"/>
                <w:szCs w:val="17"/>
                <w:lang w:val="es-ES"/>
              </w:rPr>
              <w:t>Control del riesgo</w:t>
            </w:r>
            <w:r w:rsidR="00655633" w:rsidRPr="00B4690D">
              <w:rPr>
                <w:bCs/>
                <w:color w:val="314F4F"/>
                <w:sz w:val="17"/>
                <w:szCs w:val="17"/>
                <w:lang w:val="es-ES"/>
              </w:rPr>
              <w:t>:</w:t>
            </w:r>
          </w:p>
        </w:tc>
      </w:tr>
      <w:tr w:rsidR="00655633" w:rsidRPr="009F3769" w:rsidTr="00B4690D">
        <w:trPr>
          <w:jc w:val="center"/>
        </w:trPr>
        <w:tc>
          <w:tcPr>
            <w:tcW w:w="3653" w:type="dxa"/>
            <w:vMerge/>
            <w:tcBorders>
              <w:left w:val="single" w:sz="4" w:space="0" w:color="000000"/>
              <w:right w:val="single" w:sz="4" w:space="0" w:color="000000"/>
            </w:tcBorders>
            <w:shd w:val="clear" w:color="auto" w:fill="FFFFFF"/>
            <w:tcMar>
              <w:top w:w="50" w:type="dxa"/>
              <w:left w:w="50" w:type="dxa"/>
              <w:bottom w:w="50" w:type="dxa"/>
              <w:right w:w="50" w:type="dxa"/>
            </w:tcMar>
          </w:tcPr>
          <w:p w:rsidR="00655633" w:rsidRPr="00B4690D" w:rsidRDefault="00655633" w:rsidP="000146F6">
            <w:pPr>
              <w:rPr>
                <w:sz w:val="17"/>
                <w:szCs w:val="17"/>
                <w:lang w:val="es-ES"/>
              </w:rPr>
            </w:pP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655633" w:rsidRPr="00B4690D" w:rsidRDefault="006E15EA" w:rsidP="006E15EA">
            <w:pPr>
              <w:rPr>
                <w:sz w:val="17"/>
                <w:szCs w:val="17"/>
                <w:lang w:val="es-ES"/>
              </w:rPr>
            </w:pPr>
            <w:r w:rsidRPr="00B4690D">
              <w:rPr>
                <w:sz w:val="17"/>
                <w:szCs w:val="17"/>
                <w:lang w:val="es-ES"/>
              </w:rPr>
              <w:t>D</w:t>
            </w:r>
            <w:r w:rsidR="00E83F37" w:rsidRPr="00B4690D">
              <w:rPr>
                <w:sz w:val="17"/>
                <w:szCs w:val="17"/>
                <w:lang w:val="es-ES"/>
              </w:rPr>
              <w:t>escentraliza</w:t>
            </w:r>
            <w:r w:rsidRPr="00B4690D">
              <w:rPr>
                <w:sz w:val="17"/>
                <w:szCs w:val="17"/>
                <w:lang w:val="es-ES"/>
              </w:rPr>
              <w:t xml:space="preserve">r </w:t>
            </w:r>
            <w:r w:rsidR="00E83F37" w:rsidRPr="00B4690D">
              <w:rPr>
                <w:sz w:val="17"/>
                <w:szCs w:val="17"/>
                <w:lang w:val="es-ES"/>
              </w:rPr>
              <w:t>las</w:t>
            </w:r>
            <w:r w:rsidR="00927A61">
              <w:rPr>
                <w:sz w:val="17"/>
                <w:szCs w:val="17"/>
                <w:lang w:val="es-ES"/>
              </w:rPr>
              <w:t xml:space="preserve"> </w:t>
            </w:r>
            <w:r w:rsidR="00E83F37" w:rsidRPr="00B4690D">
              <w:rPr>
                <w:sz w:val="17"/>
                <w:szCs w:val="17"/>
                <w:lang w:val="es-ES"/>
              </w:rPr>
              <w:t>funciones</w:t>
            </w:r>
            <w:r w:rsidR="00927A61">
              <w:rPr>
                <w:sz w:val="17"/>
                <w:szCs w:val="17"/>
                <w:lang w:val="es-ES"/>
              </w:rPr>
              <w:t xml:space="preserve"> </w:t>
            </w:r>
            <w:r w:rsidR="00E83F37" w:rsidRPr="00B4690D">
              <w:rPr>
                <w:sz w:val="17"/>
                <w:szCs w:val="17"/>
                <w:lang w:val="es-ES"/>
              </w:rPr>
              <w:t>de los</w:t>
            </w:r>
            <w:r w:rsidR="00927A61">
              <w:rPr>
                <w:sz w:val="17"/>
                <w:szCs w:val="17"/>
                <w:lang w:val="es-ES"/>
              </w:rPr>
              <w:t xml:space="preserve"> </w:t>
            </w:r>
            <w:r w:rsidR="00FF52DD" w:rsidRPr="00B4690D">
              <w:rPr>
                <w:sz w:val="17"/>
                <w:szCs w:val="17"/>
                <w:lang w:val="es-ES"/>
              </w:rPr>
              <w:t>municipios</w:t>
            </w:r>
            <w:r w:rsidR="00927A61">
              <w:rPr>
                <w:sz w:val="17"/>
                <w:szCs w:val="17"/>
                <w:lang w:val="es-ES"/>
              </w:rPr>
              <w:t xml:space="preserve"> </w:t>
            </w:r>
            <w:r w:rsidRPr="00B4690D">
              <w:rPr>
                <w:sz w:val="17"/>
                <w:szCs w:val="17"/>
                <w:lang w:val="es-ES"/>
              </w:rPr>
              <w:t xml:space="preserve">tiene la ventaja de consolidar los servicios a nivel local. El Proyecto continuará brindando formación de capacidades a los municipios a través del </w:t>
            </w:r>
            <w:r w:rsidR="00BB39B7" w:rsidRPr="00B4690D">
              <w:rPr>
                <w:sz w:val="17"/>
                <w:szCs w:val="17"/>
                <w:lang w:val="es-ES"/>
              </w:rPr>
              <w:t>INIFOM.</w:t>
            </w:r>
          </w:p>
        </w:tc>
      </w:tr>
      <w:tr w:rsidR="00E728FC" w:rsidRPr="00B4690D" w:rsidTr="00B4690D">
        <w:trPr>
          <w:jc w:val="center"/>
        </w:trPr>
        <w:tc>
          <w:tcPr>
            <w:tcW w:w="3653" w:type="dxa"/>
            <w:vMerge/>
            <w:tcBorders>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E728FC"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271891" w:rsidP="000146F6">
            <w:pPr>
              <w:rPr>
                <w:color w:val="314F4F"/>
                <w:sz w:val="17"/>
                <w:szCs w:val="17"/>
                <w:lang w:val="es-ES"/>
              </w:rPr>
            </w:pPr>
            <w:r w:rsidRPr="00B4690D">
              <w:rPr>
                <w:color w:val="314F4F"/>
                <w:sz w:val="17"/>
                <w:szCs w:val="17"/>
                <w:lang w:val="es-ES"/>
              </w:rPr>
              <w:t>Responsable:</w:t>
            </w:r>
          </w:p>
          <w:p w:rsidR="00E728FC" w:rsidRPr="00B4690D" w:rsidRDefault="00271891" w:rsidP="000146F6">
            <w:pPr>
              <w:rPr>
                <w:sz w:val="17"/>
                <w:szCs w:val="17"/>
                <w:lang w:val="es-ES"/>
              </w:rPr>
            </w:pPr>
            <w:r w:rsidRPr="00B4690D">
              <w:rPr>
                <w:sz w:val="17"/>
                <w:szCs w:val="17"/>
                <w:lang w:val="es-ES"/>
              </w:rPr>
              <w:t>Cliente</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0D0E49" w:rsidP="000146F6">
            <w:pPr>
              <w:rPr>
                <w:color w:val="314F4F"/>
                <w:sz w:val="17"/>
                <w:szCs w:val="17"/>
                <w:lang w:val="es-ES"/>
              </w:rPr>
            </w:pPr>
            <w:r w:rsidRPr="00B4690D">
              <w:rPr>
                <w:color w:val="314F4F"/>
                <w:sz w:val="17"/>
                <w:szCs w:val="17"/>
                <w:lang w:val="es-ES"/>
              </w:rPr>
              <w:t>Etapa</w:t>
            </w:r>
            <w:r w:rsidR="00E728FC" w:rsidRPr="00B4690D">
              <w:rPr>
                <w:color w:val="314F4F"/>
                <w:sz w:val="17"/>
                <w:szCs w:val="17"/>
                <w:lang w:val="es-ES"/>
              </w:rPr>
              <w:t>:</w:t>
            </w:r>
          </w:p>
          <w:p w:rsidR="00E728FC" w:rsidRPr="00B4690D" w:rsidRDefault="000D0E49" w:rsidP="000146F6">
            <w:pPr>
              <w:rPr>
                <w:sz w:val="17"/>
                <w:szCs w:val="17"/>
                <w:lang w:val="es-ES"/>
              </w:rPr>
            </w:pPr>
            <w:r w:rsidRPr="00B4690D">
              <w:rPr>
                <w:sz w:val="17"/>
                <w:szCs w:val="17"/>
                <w:lang w:val="es-ES"/>
              </w:rPr>
              <w:t>En ejecución</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443D05" w:rsidP="000146F6">
            <w:pPr>
              <w:jc w:val="center"/>
              <w:rPr>
                <w:color w:val="314F4F"/>
                <w:sz w:val="17"/>
                <w:szCs w:val="17"/>
                <w:lang w:val="es-ES"/>
              </w:rPr>
            </w:pPr>
            <w:r w:rsidRPr="00B4690D">
              <w:rPr>
                <w:color w:val="314F4F"/>
                <w:sz w:val="17"/>
                <w:szCs w:val="17"/>
                <w:lang w:val="es-ES"/>
              </w:rPr>
              <w:t>Recurrente</w:t>
            </w:r>
            <w:r w:rsidR="00E728FC" w:rsidRPr="00B4690D">
              <w:rPr>
                <w:color w:val="314F4F"/>
                <w:sz w:val="17"/>
                <w:szCs w:val="17"/>
                <w:lang w:val="es-ES"/>
              </w:rPr>
              <w:t>:</w:t>
            </w:r>
          </w:p>
          <w:p w:rsidR="00E728FC" w:rsidRPr="00B4690D" w:rsidRDefault="00E728FC"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0D0E49" w:rsidP="000146F6">
            <w:pPr>
              <w:rPr>
                <w:sz w:val="17"/>
                <w:szCs w:val="17"/>
                <w:lang w:val="es-ES"/>
              </w:rPr>
            </w:pPr>
            <w:r w:rsidRPr="00B4690D">
              <w:rPr>
                <w:color w:val="314F4F"/>
                <w:sz w:val="17"/>
                <w:szCs w:val="17"/>
                <w:lang w:val="es-ES"/>
              </w:rPr>
              <w:t>Fecha límite</w:t>
            </w:r>
            <w:r w:rsidR="00E728FC" w:rsidRPr="00B4690D">
              <w:rPr>
                <w:color w:val="314F4F"/>
                <w:sz w:val="17"/>
                <w:szCs w:val="17"/>
                <w:lang w:val="es-ES"/>
              </w:rPr>
              <w:t>:</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F018C3" w:rsidP="000146F6">
            <w:pPr>
              <w:rPr>
                <w:color w:val="314F4F"/>
                <w:sz w:val="17"/>
                <w:szCs w:val="17"/>
                <w:lang w:val="es-ES"/>
              </w:rPr>
            </w:pPr>
            <w:r w:rsidRPr="00B4690D">
              <w:rPr>
                <w:color w:val="314F4F"/>
                <w:sz w:val="17"/>
                <w:szCs w:val="17"/>
                <w:lang w:val="es-ES"/>
              </w:rPr>
              <w:t>Frecuencia</w:t>
            </w:r>
            <w:r w:rsidR="00E728FC" w:rsidRPr="00B4690D">
              <w:rPr>
                <w:color w:val="314F4F"/>
                <w:sz w:val="17"/>
                <w:szCs w:val="17"/>
                <w:lang w:val="es-ES"/>
              </w:rPr>
              <w:t xml:space="preserve">: </w:t>
            </w:r>
          </w:p>
          <w:p w:rsidR="00E728FC" w:rsidRPr="00B4690D" w:rsidRDefault="004C16F5" w:rsidP="000146F6">
            <w:pPr>
              <w:rPr>
                <w:sz w:val="17"/>
                <w:szCs w:val="17"/>
                <w:lang w:val="es-ES"/>
              </w:rPr>
            </w:pPr>
            <w:r w:rsidRPr="00B4690D">
              <w:rPr>
                <w:sz w:val="17"/>
                <w:szCs w:val="17"/>
                <w:lang w:val="es-ES"/>
              </w:rPr>
              <w:t>Trimestral</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728FC" w:rsidRPr="00B4690D" w:rsidRDefault="00802545" w:rsidP="000146F6">
            <w:pPr>
              <w:rPr>
                <w:color w:val="314F4F"/>
                <w:sz w:val="17"/>
                <w:szCs w:val="17"/>
                <w:lang w:val="es-ES"/>
              </w:rPr>
            </w:pPr>
            <w:r w:rsidRPr="00B4690D">
              <w:rPr>
                <w:color w:val="314F4F"/>
                <w:sz w:val="17"/>
                <w:szCs w:val="17"/>
                <w:lang w:val="es-ES"/>
              </w:rPr>
              <w:t>Estatus</w:t>
            </w:r>
            <w:r w:rsidR="00E728FC" w:rsidRPr="00B4690D">
              <w:rPr>
                <w:color w:val="314F4F"/>
                <w:sz w:val="17"/>
                <w:szCs w:val="17"/>
                <w:lang w:val="es-ES"/>
              </w:rPr>
              <w:t>:</w:t>
            </w:r>
          </w:p>
          <w:p w:rsidR="00E728FC" w:rsidRPr="00B4690D" w:rsidRDefault="00802545" w:rsidP="000146F6">
            <w:pPr>
              <w:rPr>
                <w:sz w:val="17"/>
                <w:szCs w:val="17"/>
                <w:lang w:val="es-ES"/>
              </w:rPr>
            </w:pPr>
            <w:r w:rsidRPr="00B4690D">
              <w:rPr>
                <w:sz w:val="17"/>
                <w:szCs w:val="17"/>
                <w:lang w:val="es-ES"/>
              </w:rPr>
              <w:t>En progreso</w:t>
            </w:r>
          </w:p>
        </w:tc>
      </w:tr>
      <w:tr w:rsidR="00513697" w:rsidRPr="009F3769" w:rsidTr="00F140BD">
        <w:trPr>
          <w:jc w:val="center"/>
        </w:trPr>
        <w:tc>
          <w:tcPr>
            <w:tcW w:w="13178" w:type="dxa"/>
            <w:gridSpan w:val="12"/>
            <w:tcBorders>
              <w:top w:val="nil"/>
              <w:left w:val="nil"/>
              <w:bottom w:val="nil"/>
              <w:right w:val="nil"/>
            </w:tcBorders>
            <w:shd w:val="clear" w:color="auto" w:fill="5B5B5B"/>
            <w:tcMar>
              <w:top w:w="50" w:type="dxa"/>
              <w:left w:w="50" w:type="dxa"/>
              <w:bottom w:w="50" w:type="dxa"/>
              <w:right w:w="50" w:type="dxa"/>
            </w:tcMar>
            <w:vAlign w:val="center"/>
          </w:tcPr>
          <w:p w:rsidR="00513697" w:rsidRPr="00B4690D" w:rsidRDefault="00AA37EC" w:rsidP="00AA37EC">
            <w:pPr>
              <w:rPr>
                <w:color w:val="FFFFFF"/>
                <w:sz w:val="17"/>
                <w:szCs w:val="17"/>
                <w:lang w:val="es-ES"/>
              </w:rPr>
            </w:pPr>
            <w:r w:rsidRPr="00B4690D">
              <w:rPr>
                <w:color w:val="FFFFFF"/>
                <w:sz w:val="17"/>
                <w:szCs w:val="17"/>
                <w:lang w:val="es-ES"/>
              </w:rPr>
              <w:t xml:space="preserve">Riesgos Asociados con el Proyecto </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AA37EC" w:rsidP="000146F6">
            <w:pPr>
              <w:rPr>
                <w:sz w:val="17"/>
                <w:szCs w:val="17"/>
                <w:lang w:val="es-ES"/>
              </w:rPr>
            </w:pPr>
            <w:r w:rsidRPr="00B4690D">
              <w:rPr>
                <w:b/>
                <w:bCs/>
                <w:sz w:val="17"/>
                <w:szCs w:val="17"/>
                <w:lang w:val="es-ES"/>
              </w:rPr>
              <w:t>Diseño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4C16F5" w:rsidP="000146F6">
            <w:pPr>
              <w:rPr>
                <w:b/>
                <w:sz w:val="17"/>
                <w:szCs w:val="17"/>
                <w:lang w:val="es-ES"/>
              </w:rPr>
            </w:pPr>
            <w:r w:rsidRPr="00B4690D">
              <w:rPr>
                <w:b/>
                <w:sz w:val="17"/>
                <w:szCs w:val="17"/>
                <w:lang w:val="es-ES"/>
              </w:rPr>
              <w:t>Baja</w:t>
            </w:r>
          </w:p>
        </w:tc>
      </w:tr>
      <w:tr w:rsidR="00513697" w:rsidRPr="00B4690D" w:rsidTr="00B4690D">
        <w:trPr>
          <w:jc w:val="center"/>
        </w:trPr>
        <w:tc>
          <w:tcPr>
            <w:tcW w:w="3653"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sz w:val="17"/>
                <w:szCs w:val="17"/>
                <w:lang w:val="es-ES"/>
              </w:rPr>
            </w:pPr>
            <w:r w:rsidRPr="00B4690D">
              <w:rPr>
                <w:sz w:val="17"/>
                <w:szCs w:val="17"/>
                <w:lang w:val="es-ES"/>
              </w:rPr>
              <w:t>Descripción</w:t>
            </w:r>
            <w:r w:rsidR="00513697" w:rsidRPr="00B4690D">
              <w:rPr>
                <w:sz w:val="17"/>
                <w:szCs w:val="17"/>
                <w:lang w:val="es-ES"/>
              </w:rPr>
              <w:t>:</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bCs/>
                <w:color w:val="314F4F"/>
                <w:sz w:val="17"/>
                <w:szCs w:val="17"/>
                <w:lang w:val="es-ES"/>
              </w:rPr>
              <w:t>Control del riesgo</w:t>
            </w:r>
            <w:r w:rsidR="00513697" w:rsidRPr="00B4690D">
              <w:rPr>
                <w:bCs/>
                <w:color w:val="314F4F"/>
                <w:sz w:val="17"/>
                <w:szCs w:val="17"/>
                <w:lang w:val="es-ES"/>
              </w:rPr>
              <w:t>:</w:t>
            </w:r>
          </w:p>
        </w:tc>
      </w:tr>
      <w:tr w:rsidR="00513697" w:rsidRPr="009F3769" w:rsidTr="00B4690D">
        <w:trPr>
          <w:jc w:val="center"/>
        </w:trPr>
        <w:tc>
          <w:tcPr>
            <w:tcW w:w="3653" w:type="dxa"/>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13697" w:rsidRPr="00B4690D" w:rsidRDefault="00FF52DD" w:rsidP="009E0F9E">
            <w:pPr>
              <w:rPr>
                <w:sz w:val="17"/>
                <w:szCs w:val="17"/>
                <w:lang w:val="es-ES"/>
              </w:rPr>
            </w:pPr>
            <w:r w:rsidRPr="00B4690D">
              <w:rPr>
                <w:sz w:val="17"/>
                <w:szCs w:val="17"/>
                <w:lang w:val="es-ES"/>
              </w:rPr>
              <w:t>Municipios</w:t>
            </w:r>
            <w:r w:rsidR="00927A61">
              <w:rPr>
                <w:sz w:val="17"/>
                <w:szCs w:val="17"/>
                <w:lang w:val="es-ES"/>
              </w:rPr>
              <w:t xml:space="preserve"> </w:t>
            </w:r>
            <w:r w:rsidR="00AA37EC" w:rsidRPr="00B4690D">
              <w:rPr>
                <w:sz w:val="17"/>
                <w:szCs w:val="17"/>
                <w:lang w:val="es-ES"/>
              </w:rPr>
              <w:t xml:space="preserve">poseen capacidades técnicas relativamente débiles para brindar servicios de administración de tierras. Por lo tanto, quizá no puedan </w:t>
            </w:r>
            <w:r w:rsidR="001C0E93" w:rsidRPr="00B4690D">
              <w:rPr>
                <w:sz w:val="17"/>
                <w:szCs w:val="17"/>
                <w:lang w:val="es-ES"/>
              </w:rPr>
              <w:t>mantener</w:t>
            </w:r>
            <w:r w:rsidR="00AA37EC" w:rsidRPr="00B4690D">
              <w:rPr>
                <w:sz w:val="17"/>
                <w:szCs w:val="17"/>
                <w:lang w:val="es-ES"/>
              </w:rPr>
              <w:t xml:space="preserve"> la base de datos catastrales </w:t>
            </w:r>
            <w:r w:rsidR="001C0E93" w:rsidRPr="00B4690D">
              <w:rPr>
                <w:sz w:val="17"/>
                <w:szCs w:val="17"/>
                <w:lang w:val="es-ES"/>
              </w:rPr>
              <w:t xml:space="preserve">actualizada e integrada al catastro nacional o utilizar  esta información de forma efectiva para cobrar impuestos a los bienes inmuebles o para realizar acciones de ordenamiento territorial. Sin embargo, el Proyecto </w:t>
            </w:r>
            <w:r w:rsidR="009E0F9E" w:rsidRPr="00B4690D">
              <w:rPr>
                <w:sz w:val="17"/>
                <w:szCs w:val="17"/>
                <w:lang w:val="es-ES"/>
              </w:rPr>
              <w:t xml:space="preserve">se forja a partir de metodologías comprobadas y ha elevado la capacidad en general a nivel nacional. </w:t>
            </w: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9E0F9E" w:rsidP="00ED1CCD">
            <w:pPr>
              <w:rPr>
                <w:sz w:val="17"/>
                <w:szCs w:val="17"/>
                <w:lang w:val="es-ES"/>
              </w:rPr>
            </w:pPr>
            <w:r w:rsidRPr="00B4690D">
              <w:rPr>
                <w:sz w:val="17"/>
                <w:szCs w:val="17"/>
                <w:lang w:val="es-ES"/>
              </w:rPr>
              <w:t xml:space="preserve">El diseño del Proyecto hace énfasis en el papel activo de los municipios. </w:t>
            </w:r>
            <w:r w:rsidR="00656680" w:rsidRPr="00B4690D">
              <w:rPr>
                <w:sz w:val="17"/>
                <w:szCs w:val="17"/>
                <w:lang w:val="es-ES"/>
              </w:rPr>
              <w:t>Los municipios recibirán fortalecimiento técnico por parte de INIFOM, cuyo mandato dicta d</w:t>
            </w:r>
            <w:r w:rsidR="00ED1CCD" w:rsidRPr="00B4690D">
              <w:rPr>
                <w:sz w:val="17"/>
                <w:szCs w:val="17"/>
                <w:lang w:val="es-ES"/>
              </w:rPr>
              <w:t xml:space="preserve">icho papel y tiene experiencia en este campo bajo el proyecto previo y otras iniciativas </w:t>
            </w:r>
          </w:p>
          <w:p w:rsidR="00BA61C9" w:rsidRPr="00B4690D" w:rsidRDefault="00BA61C9" w:rsidP="000146F6">
            <w:pPr>
              <w:rPr>
                <w:sz w:val="17"/>
                <w:szCs w:val="17"/>
                <w:lang w:val="es-ES"/>
              </w:rPr>
            </w:pPr>
          </w:p>
          <w:p w:rsidR="00BA61C9" w:rsidRPr="00B4690D" w:rsidRDefault="00BA61C9" w:rsidP="000146F6">
            <w:pPr>
              <w:rPr>
                <w:sz w:val="17"/>
                <w:szCs w:val="17"/>
                <w:lang w:val="es-ES"/>
              </w:rPr>
            </w:pPr>
          </w:p>
        </w:tc>
      </w:tr>
      <w:tr w:rsidR="007F17DB" w:rsidRPr="00B4690D" w:rsidTr="00B4690D">
        <w:trPr>
          <w:jc w:val="center"/>
        </w:trPr>
        <w:tc>
          <w:tcPr>
            <w:tcW w:w="3653" w:type="dxa"/>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7F17DB"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271891" w:rsidP="000146F6">
            <w:pPr>
              <w:rPr>
                <w:color w:val="314F4F"/>
                <w:sz w:val="17"/>
                <w:szCs w:val="17"/>
                <w:lang w:val="es-ES"/>
              </w:rPr>
            </w:pPr>
            <w:r w:rsidRPr="00B4690D">
              <w:rPr>
                <w:color w:val="314F4F"/>
                <w:sz w:val="17"/>
                <w:szCs w:val="17"/>
                <w:lang w:val="es-ES"/>
              </w:rPr>
              <w:t>Responsable:</w:t>
            </w:r>
          </w:p>
          <w:p w:rsidR="007F17DB" w:rsidRPr="00B4690D" w:rsidRDefault="00271891" w:rsidP="000146F6">
            <w:pPr>
              <w:rPr>
                <w:sz w:val="17"/>
                <w:szCs w:val="17"/>
                <w:lang w:val="es-ES"/>
              </w:rPr>
            </w:pPr>
            <w:r w:rsidRPr="00B4690D">
              <w:rPr>
                <w:sz w:val="17"/>
                <w:szCs w:val="17"/>
                <w:lang w:val="es-ES"/>
              </w:rPr>
              <w:t>Cliente</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0D0E49" w:rsidP="000146F6">
            <w:pPr>
              <w:rPr>
                <w:color w:val="314F4F"/>
                <w:sz w:val="17"/>
                <w:szCs w:val="17"/>
                <w:lang w:val="es-ES"/>
              </w:rPr>
            </w:pPr>
            <w:r w:rsidRPr="00B4690D">
              <w:rPr>
                <w:color w:val="314F4F"/>
                <w:sz w:val="17"/>
                <w:szCs w:val="17"/>
                <w:lang w:val="es-ES"/>
              </w:rPr>
              <w:t>Etapa</w:t>
            </w:r>
            <w:r w:rsidR="007F17DB" w:rsidRPr="00B4690D">
              <w:rPr>
                <w:color w:val="314F4F"/>
                <w:sz w:val="17"/>
                <w:szCs w:val="17"/>
                <w:lang w:val="es-ES"/>
              </w:rPr>
              <w:t>:</w:t>
            </w:r>
          </w:p>
          <w:p w:rsidR="007F17DB" w:rsidRPr="00B4690D" w:rsidRDefault="000D0E49" w:rsidP="000146F6">
            <w:pPr>
              <w:rPr>
                <w:sz w:val="17"/>
                <w:szCs w:val="17"/>
                <w:lang w:val="es-ES"/>
              </w:rPr>
            </w:pPr>
            <w:r w:rsidRPr="00B4690D">
              <w:rPr>
                <w:sz w:val="17"/>
                <w:szCs w:val="17"/>
                <w:lang w:val="es-ES"/>
              </w:rPr>
              <w:t>En ejecución</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443D05" w:rsidP="000146F6">
            <w:pPr>
              <w:jc w:val="center"/>
              <w:rPr>
                <w:color w:val="314F4F"/>
                <w:sz w:val="17"/>
                <w:szCs w:val="17"/>
                <w:lang w:val="es-ES"/>
              </w:rPr>
            </w:pPr>
            <w:r w:rsidRPr="00B4690D">
              <w:rPr>
                <w:color w:val="314F4F"/>
                <w:sz w:val="17"/>
                <w:szCs w:val="17"/>
                <w:lang w:val="es-ES"/>
              </w:rPr>
              <w:t>Recurrente</w:t>
            </w:r>
            <w:r w:rsidR="007F17DB" w:rsidRPr="00B4690D">
              <w:rPr>
                <w:color w:val="314F4F"/>
                <w:sz w:val="17"/>
                <w:szCs w:val="17"/>
                <w:lang w:val="es-ES"/>
              </w:rPr>
              <w:t>:</w:t>
            </w:r>
          </w:p>
          <w:p w:rsidR="007F17DB" w:rsidRPr="00B4690D" w:rsidRDefault="007F17DB"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42"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0D0E49" w:rsidP="000146F6">
            <w:pPr>
              <w:rPr>
                <w:sz w:val="17"/>
                <w:szCs w:val="17"/>
                <w:lang w:val="es-ES"/>
              </w:rPr>
            </w:pPr>
            <w:r w:rsidRPr="00B4690D">
              <w:rPr>
                <w:color w:val="314F4F"/>
                <w:sz w:val="17"/>
                <w:szCs w:val="17"/>
                <w:lang w:val="es-ES"/>
              </w:rPr>
              <w:t>Fecha límite</w:t>
            </w:r>
            <w:r w:rsidR="007F17DB" w:rsidRPr="00B4690D">
              <w:rPr>
                <w:color w:val="314F4F"/>
                <w:sz w:val="17"/>
                <w:szCs w:val="17"/>
                <w:lang w:val="es-ES"/>
              </w:rPr>
              <w:t>:</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F018C3" w:rsidP="000146F6">
            <w:pPr>
              <w:rPr>
                <w:color w:val="314F4F"/>
                <w:sz w:val="17"/>
                <w:szCs w:val="17"/>
                <w:lang w:val="es-ES"/>
              </w:rPr>
            </w:pPr>
            <w:r w:rsidRPr="00B4690D">
              <w:rPr>
                <w:color w:val="314F4F"/>
                <w:sz w:val="17"/>
                <w:szCs w:val="17"/>
                <w:lang w:val="es-ES"/>
              </w:rPr>
              <w:t>Frecuencia</w:t>
            </w:r>
            <w:r w:rsidR="007F17DB" w:rsidRPr="00B4690D">
              <w:rPr>
                <w:color w:val="314F4F"/>
                <w:sz w:val="17"/>
                <w:szCs w:val="17"/>
                <w:lang w:val="es-ES"/>
              </w:rPr>
              <w:t xml:space="preserve">: </w:t>
            </w:r>
          </w:p>
          <w:p w:rsidR="007F17DB" w:rsidRPr="00B4690D" w:rsidRDefault="001C0E93" w:rsidP="000146F6">
            <w:pPr>
              <w:rPr>
                <w:sz w:val="17"/>
                <w:szCs w:val="17"/>
                <w:lang w:val="es-ES"/>
              </w:rPr>
            </w:pPr>
            <w:r w:rsidRPr="00B4690D">
              <w:rPr>
                <w:sz w:val="17"/>
                <w:szCs w:val="17"/>
                <w:lang w:val="es-ES"/>
              </w:rPr>
              <w:t>Trimestral</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7F17DB" w:rsidRPr="00B4690D" w:rsidRDefault="00802545" w:rsidP="000146F6">
            <w:pPr>
              <w:rPr>
                <w:color w:val="314F4F"/>
                <w:sz w:val="17"/>
                <w:szCs w:val="17"/>
                <w:lang w:val="es-ES"/>
              </w:rPr>
            </w:pPr>
            <w:r w:rsidRPr="00B4690D">
              <w:rPr>
                <w:color w:val="314F4F"/>
                <w:sz w:val="17"/>
                <w:szCs w:val="17"/>
                <w:lang w:val="es-ES"/>
              </w:rPr>
              <w:t>Estatus</w:t>
            </w:r>
            <w:r w:rsidR="007F17DB" w:rsidRPr="00B4690D">
              <w:rPr>
                <w:color w:val="314F4F"/>
                <w:sz w:val="17"/>
                <w:szCs w:val="17"/>
                <w:lang w:val="es-ES"/>
              </w:rPr>
              <w:t>:</w:t>
            </w:r>
          </w:p>
          <w:p w:rsidR="007F17DB" w:rsidRPr="00B4690D" w:rsidRDefault="00802545" w:rsidP="000146F6">
            <w:pPr>
              <w:rPr>
                <w:sz w:val="17"/>
                <w:szCs w:val="17"/>
                <w:lang w:val="es-ES"/>
              </w:rPr>
            </w:pPr>
            <w:r w:rsidRPr="00B4690D">
              <w:rPr>
                <w:sz w:val="17"/>
                <w:szCs w:val="17"/>
                <w:lang w:val="es-ES"/>
              </w:rPr>
              <w:t>En progreso</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513697" w:rsidP="00ED1CCD">
            <w:pPr>
              <w:rPr>
                <w:sz w:val="17"/>
                <w:szCs w:val="17"/>
                <w:lang w:val="es-ES"/>
              </w:rPr>
            </w:pPr>
            <w:r w:rsidRPr="00B4690D">
              <w:rPr>
                <w:b/>
                <w:bCs/>
                <w:sz w:val="17"/>
                <w:szCs w:val="17"/>
                <w:lang w:val="es-ES"/>
              </w:rPr>
              <w:lastRenderedPageBreak/>
              <w:t xml:space="preserve">Social </w:t>
            </w:r>
            <w:r w:rsidR="00FF357C" w:rsidRPr="00B4690D">
              <w:rPr>
                <w:b/>
                <w:bCs/>
                <w:sz w:val="17"/>
                <w:szCs w:val="17"/>
                <w:lang w:val="es-ES"/>
              </w:rPr>
              <w:t>y</w:t>
            </w:r>
            <w:r w:rsidR="00927A61">
              <w:rPr>
                <w:b/>
                <w:bCs/>
                <w:sz w:val="17"/>
                <w:szCs w:val="17"/>
                <w:lang w:val="es-ES"/>
              </w:rPr>
              <w:t xml:space="preserve"> </w:t>
            </w:r>
            <w:r w:rsidR="00ED1CCD" w:rsidRPr="00B4690D">
              <w:rPr>
                <w:b/>
                <w:bCs/>
                <w:sz w:val="17"/>
                <w:szCs w:val="17"/>
                <w:lang w:val="es-ES"/>
              </w:rPr>
              <w:t>Ambiental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b/>
                <w:sz w:val="17"/>
                <w:szCs w:val="17"/>
                <w:lang w:val="es-ES"/>
              </w:rPr>
            </w:pPr>
            <w:r w:rsidRPr="00B4690D">
              <w:rPr>
                <w:b/>
                <w:sz w:val="17"/>
                <w:szCs w:val="17"/>
                <w:lang w:val="es-ES"/>
              </w:rPr>
              <w:t>Moderad</w:t>
            </w:r>
            <w:r w:rsidR="000844C3" w:rsidRPr="00B4690D">
              <w:rPr>
                <w:b/>
                <w:sz w:val="17"/>
                <w:szCs w:val="17"/>
                <w:lang w:val="es-ES"/>
              </w:rPr>
              <w:t>a</w:t>
            </w:r>
          </w:p>
        </w:tc>
      </w:tr>
      <w:tr w:rsidR="00513697" w:rsidRPr="00B4690D" w:rsidTr="00B4690D">
        <w:trPr>
          <w:jc w:val="center"/>
        </w:trPr>
        <w:tc>
          <w:tcPr>
            <w:tcW w:w="3653"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sz w:val="17"/>
                <w:szCs w:val="17"/>
                <w:lang w:val="es-ES"/>
              </w:rPr>
            </w:pPr>
            <w:r w:rsidRPr="00B4690D">
              <w:rPr>
                <w:sz w:val="17"/>
                <w:szCs w:val="17"/>
                <w:lang w:val="es-ES"/>
              </w:rPr>
              <w:t>Descripción</w:t>
            </w:r>
            <w:r w:rsidR="00513697" w:rsidRPr="00B4690D">
              <w:rPr>
                <w:sz w:val="17"/>
                <w:szCs w:val="17"/>
                <w:lang w:val="es-ES"/>
              </w:rPr>
              <w:t>:</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b/>
                <w:bCs/>
                <w:color w:val="314F4F"/>
                <w:sz w:val="17"/>
                <w:szCs w:val="17"/>
                <w:lang w:val="es-ES"/>
              </w:rPr>
              <w:t>Control del riesgo</w:t>
            </w:r>
            <w:r w:rsidR="00513697" w:rsidRPr="00B4690D">
              <w:rPr>
                <w:b/>
                <w:bCs/>
                <w:color w:val="314F4F"/>
                <w:sz w:val="17"/>
                <w:szCs w:val="17"/>
                <w:lang w:val="es-ES"/>
              </w:rPr>
              <w:t>:</w:t>
            </w:r>
          </w:p>
        </w:tc>
      </w:tr>
      <w:tr w:rsidR="00513697" w:rsidRPr="009F3769" w:rsidTr="00B4690D">
        <w:trPr>
          <w:jc w:val="center"/>
        </w:trPr>
        <w:tc>
          <w:tcPr>
            <w:tcW w:w="3653" w:type="dxa"/>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13697" w:rsidRPr="00B4690D" w:rsidRDefault="00296771" w:rsidP="00F2632E">
            <w:pPr>
              <w:rPr>
                <w:sz w:val="17"/>
                <w:szCs w:val="17"/>
                <w:lang w:val="es-ES"/>
              </w:rPr>
            </w:pPr>
            <w:r w:rsidRPr="00B4690D">
              <w:rPr>
                <w:sz w:val="17"/>
                <w:szCs w:val="17"/>
                <w:lang w:val="es-ES"/>
              </w:rPr>
              <w:t>En términos generales</w:t>
            </w:r>
            <w:r w:rsidR="00513697" w:rsidRPr="00B4690D">
              <w:rPr>
                <w:sz w:val="17"/>
                <w:szCs w:val="17"/>
                <w:lang w:val="es-ES"/>
              </w:rPr>
              <w:t xml:space="preserve">, </w:t>
            </w:r>
            <w:r w:rsidRPr="00B4690D">
              <w:rPr>
                <w:sz w:val="17"/>
                <w:szCs w:val="17"/>
                <w:lang w:val="es-ES"/>
              </w:rPr>
              <w:t xml:space="preserve">se espera que el Proyecto provoque impactos sociales y ambientales positivos. </w:t>
            </w:r>
            <w:r w:rsidR="00F2632E" w:rsidRPr="00B4690D">
              <w:rPr>
                <w:sz w:val="17"/>
                <w:szCs w:val="17"/>
                <w:lang w:val="es-ES"/>
              </w:rPr>
              <w:t>Sin embargo, aún</w:t>
            </w:r>
            <w:r w:rsidRPr="00B4690D">
              <w:rPr>
                <w:sz w:val="17"/>
                <w:szCs w:val="17"/>
                <w:lang w:val="es-ES"/>
              </w:rPr>
              <w:t xml:space="preserve"> existe poco entendimiento de las </w:t>
            </w:r>
            <w:r w:rsidR="003D2A18" w:rsidRPr="00B4690D">
              <w:rPr>
                <w:sz w:val="17"/>
                <w:szCs w:val="17"/>
                <w:lang w:val="es-ES"/>
              </w:rPr>
              <w:t>salvaguardas</w:t>
            </w:r>
            <w:r w:rsidR="00F2632E" w:rsidRPr="00B4690D">
              <w:rPr>
                <w:sz w:val="17"/>
                <w:szCs w:val="17"/>
                <w:lang w:val="es-ES"/>
              </w:rPr>
              <w:t xml:space="preserve"> entre la agencias co-ejecutoras </w:t>
            </w: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283112" w:rsidP="000844C3">
            <w:pPr>
              <w:rPr>
                <w:sz w:val="17"/>
                <w:szCs w:val="17"/>
                <w:lang w:val="es-ES"/>
              </w:rPr>
            </w:pPr>
            <w:r w:rsidRPr="00B4690D">
              <w:rPr>
                <w:sz w:val="17"/>
                <w:szCs w:val="17"/>
                <w:lang w:val="es-ES"/>
              </w:rPr>
              <w:t>La</w:t>
            </w:r>
            <w:r w:rsidR="00927A61">
              <w:rPr>
                <w:sz w:val="17"/>
                <w:szCs w:val="17"/>
                <w:lang w:val="es-ES"/>
              </w:rPr>
              <w:t xml:space="preserve"> </w:t>
            </w:r>
            <w:r w:rsidR="00890CA6" w:rsidRPr="00B4690D">
              <w:rPr>
                <w:sz w:val="17"/>
                <w:szCs w:val="17"/>
                <w:lang w:val="es-ES"/>
              </w:rPr>
              <w:t>UCP</w:t>
            </w:r>
            <w:r w:rsidRPr="00B4690D">
              <w:rPr>
                <w:sz w:val="17"/>
                <w:szCs w:val="17"/>
                <w:lang w:val="es-ES"/>
              </w:rPr>
              <w:t xml:space="preserve"> contará con un especialista social/género y a un especialista ambiental, complementado con un especialista de comunicación y el Banco Mundial brindará capacitaciones sobre las salvaguardas al inicio de la ejecución del Proyecto. Las salvaguardas requeridas (análisis ambiental), el Plan de Gestión, el Plan de los Pueblos Indígenas, Marco Procesal) </w:t>
            </w:r>
            <w:r w:rsidR="00FC4611" w:rsidRPr="00B4690D">
              <w:rPr>
                <w:sz w:val="17"/>
                <w:szCs w:val="17"/>
                <w:lang w:val="es-ES"/>
              </w:rPr>
              <w:t xml:space="preserve">fueron terminadas y dadas a conocer antes de la evaluación. </w:t>
            </w:r>
            <w:r w:rsidR="000844C3" w:rsidRPr="00B4690D">
              <w:rPr>
                <w:sz w:val="17"/>
                <w:szCs w:val="17"/>
                <w:lang w:val="es-ES"/>
              </w:rPr>
              <w:t>La estrategia de comunicación y la e</w:t>
            </w:r>
            <w:r w:rsidR="007A6572" w:rsidRPr="00B4690D">
              <w:rPr>
                <w:sz w:val="17"/>
                <w:szCs w:val="17"/>
                <w:lang w:val="es-ES"/>
              </w:rPr>
              <w:t>strategia de género</w:t>
            </w:r>
            <w:r w:rsidR="00927A61">
              <w:rPr>
                <w:sz w:val="17"/>
                <w:szCs w:val="17"/>
                <w:lang w:val="es-ES"/>
              </w:rPr>
              <w:t xml:space="preserve"> </w:t>
            </w:r>
            <w:r w:rsidR="000844C3" w:rsidRPr="00B4690D">
              <w:rPr>
                <w:sz w:val="17"/>
                <w:szCs w:val="17"/>
                <w:lang w:val="es-ES"/>
              </w:rPr>
              <w:t>complementarán dichos instrumentos</w:t>
            </w:r>
            <w:r w:rsidR="00513697" w:rsidRPr="00B4690D">
              <w:rPr>
                <w:sz w:val="17"/>
                <w:szCs w:val="17"/>
                <w:lang w:val="es-ES"/>
              </w:rPr>
              <w:t>.</w:t>
            </w:r>
          </w:p>
        </w:tc>
      </w:tr>
      <w:tr w:rsidR="00846A2F" w:rsidRPr="00B4690D" w:rsidTr="00B4690D">
        <w:trPr>
          <w:jc w:val="center"/>
        </w:trPr>
        <w:tc>
          <w:tcPr>
            <w:tcW w:w="3653" w:type="dxa"/>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846A2F"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271891" w:rsidP="000146F6">
            <w:pPr>
              <w:rPr>
                <w:color w:val="314F4F"/>
                <w:sz w:val="17"/>
                <w:szCs w:val="17"/>
                <w:lang w:val="es-ES"/>
              </w:rPr>
            </w:pPr>
            <w:r w:rsidRPr="00B4690D">
              <w:rPr>
                <w:color w:val="314F4F"/>
                <w:sz w:val="17"/>
                <w:szCs w:val="17"/>
                <w:lang w:val="es-ES"/>
              </w:rPr>
              <w:t>Responsable:</w:t>
            </w:r>
          </w:p>
          <w:p w:rsidR="00846A2F" w:rsidRPr="00B4690D" w:rsidRDefault="00802545" w:rsidP="000146F6">
            <w:pPr>
              <w:rPr>
                <w:sz w:val="17"/>
                <w:szCs w:val="17"/>
                <w:lang w:val="es-ES"/>
              </w:rPr>
            </w:pPr>
            <w:r w:rsidRPr="00B4690D">
              <w:rPr>
                <w:sz w:val="17"/>
                <w:szCs w:val="17"/>
                <w:lang w:val="es-ES"/>
              </w:rPr>
              <w:t>Cliente / Banco</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0D0E49" w:rsidP="000146F6">
            <w:pPr>
              <w:rPr>
                <w:color w:val="314F4F"/>
                <w:sz w:val="17"/>
                <w:szCs w:val="17"/>
                <w:lang w:val="es-ES"/>
              </w:rPr>
            </w:pPr>
            <w:r w:rsidRPr="00B4690D">
              <w:rPr>
                <w:color w:val="314F4F"/>
                <w:sz w:val="17"/>
                <w:szCs w:val="17"/>
                <w:lang w:val="es-ES"/>
              </w:rPr>
              <w:t>Etapa</w:t>
            </w:r>
            <w:r w:rsidR="00846A2F" w:rsidRPr="00B4690D">
              <w:rPr>
                <w:color w:val="314F4F"/>
                <w:sz w:val="17"/>
                <w:szCs w:val="17"/>
                <w:lang w:val="es-ES"/>
              </w:rPr>
              <w:t>:</w:t>
            </w:r>
          </w:p>
          <w:p w:rsidR="00846A2F" w:rsidRPr="00B4690D" w:rsidRDefault="000844C3" w:rsidP="000146F6">
            <w:pPr>
              <w:rPr>
                <w:sz w:val="17"/>
                <w:szCs w:val="17"/>
                <w:lang w:val="es-ES"/>
              </w:rPr>
            </w:pPr>
            <w:r w:rsidRPr="00B4690D">
              <w:rPr>
                <w:sz w:val="17"/>
                <w:szCs w:val="17"/>
                <w:lang w:val="es-ES"/>
              </w:rPr>
              <w:t>Ambas</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443D05" w:rsidP="000146F6">
            <w:pPr>
              <w:jc w:val="center"/>
              <w:rPr>
                <w:color w:val="314F4F"/>
                <w:sz w:val="17"/>
                <w:szCs w:val="17"/>
                <w:lang w:val="es-ES"/>
              </w:rPr>
            </w:pPr>
            <w:r w:rsidRPr="00B4690D">
              <w:rPr>
                <w:color w:val="314F4F"/>
                <w:sz w:val="17"/>
                <w:szCs w:val="17"/>
                <w:lang w:val="es-ES"/>
              </w:rPr>
              <w:t>Recurrente</w:t>
            </w:r>
            <w:r w:rsidR="00846A2F" w:rsidRPr="00B4690D">
              <w:rPr>
                <w:color w:val="314F4F"/>
                <w:sz w:val="17"/>
                <w:szCs w:val="17"/>
                <w:lang w:val="es-ES"/>
              </w:rPr>
              <w:t>:</w:t>
            </w:r>
          </w:p>
          <w:p w:rsidR="00846A2F" w:rsidRPr="00B4690D" w:rsidRDefault="00846A2F"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0D0E49" w:rsidP="000146F6">
            <w:pPr>
              <w:rPr>
                <w:sz w:val="17"/>
                <w:szCs w:val="17"/>
                <w:lang w:val="es-ES"/>
              </w:rPr>
            </w:pPr>
            <w:r w:rsidRPr="00B4690D">
              <w:rPr>
                <w:color w:val="314F4F"/>
                <w:sz w:val="17"/>
                <w:szCs w:val="17"/>
                <w:lang w:val="es-ES"/>
              </w:rPr>
              <w:t>Fecha límite</w:t>
            </w:r>
            <w:r w:rsidR="00846A2F" w:rsidRPr="00B4690D">
              <w:rPr>
                <w:color w:val="314F4F"/>
                <w:sz w:val="17"/>
                <w:szCs w:val="17"/>
                <w:lang w:val="es-ES"/>
              </w:rPr>
              <w:t>:</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F018C3" w:rsidP="000146F6">
            <w:pPr>
              <w:rPr>
                <w:color w:val="314F4F"/>
                <w:sz w:val="17"/>
                <w:szCs w:val="17"/>
                <w:lang w:val="es-ES"/>
              </w:rPr>
            </w:pPr>
            <w:r w:rsidRPr="00B4690D">
              <w:rPr>
                <w:color w:val="314F4F"/>
                <w:sz w:val="17"/>
                <w:szCs w:val="17"/>
                <w:lang w:val="es-ES"/>
              </w:rPr>
              <w:t>Frecuencia</w:t>
            </w:r>
            <w:r w:rsidR="00846A2F" w:rsidRPr="00B4690D">
              <w:rPr>
                <w:color w:val="314F4F"/>
                <w:sz w:val="17"/>
                <w:szCs w:val="17"/>
                <w:lang w:val="es-ES"/>
              </w:rPr>
              <w:t xml:space="preserve">: </w:t>
            </w:r>
          </w:p>
          <w:p w:rsidR="00846A2F" w:rsidRPr="00B4690D" w:rsidRDefault="000844C3" w:rsidP="000146F6">
            <w:pPr>
              <w:rPr>
                <w:sz w:val="17"/>
                <w:szCs w:val="17"/>
                <w:lang w:val="es-ES"/>
              </w:rPr>
            </w:pPr>
            <w:r w:rsidRPr="00B4690D">
              <w:rPr>
                <w:sz w:val="17"/>
                <w:szCs w:val="17"/>
                <w:lang w:val="es-ES"/>
              </w:rPr>
              <w:t>Mensual</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802545" w:rsidP="000146F6">
            <w:pPr>
              <w:rPr>
                <w:color w:val="314F4F"/>
                <w:sz w:val="17"/>
                <w:szCs w:val="17"/>
                <w:lang w:val="es-ES"/>
              </w:rPr>
            </w:pPr>
            <w:r w:rsidRPr="00B4690D">
              <w:rPr>
                <w:color w:val="314F4F"/>
                <w:sz w:val="17"/>
                <w:szCs w:val="17"/>
                <w:lang w:val="es-ES"/>
              </w:rPr>
              <w:t>Estatus</w:t>
            </w:r>
            <w:r w:rsidR="00846A2F" w:rsidRPr="00B4690D">
              <w:rPr>
                <w:color w:val="314F4F"/>
                <w:sz w:val="17"/>
                <w:szCs w:val="17"/>
                <w:lang w:val="es-ES"/>
              </w:rPr>
              <w:t>:</w:t>
            </w:r>
          </w:p>
          <w:p w:rsidR="00846A2F" w:rsidRPr="00B4690D" w:rsidRDefault="00802545" w:rsidP="000146F6">
            <w:pPr>
              <w:rPr>
                <w:sz w:val="17"/>
                <w:szCs w:val="17"/>
                <w:lang w:val="es-ES"/>
              </w:rPr>
            </w:pPr>
            <w:r w:rsidRPr="00B4690D">
              <w:rPr>
                <w:sz w:val="17"/>
                <w:szCs w:val="17"/>
                <w:lang w:val="es-ES"/>
              </w:rPr>
              <w:t>En progreso</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513697" w:rsidP="000844C3">
            <w:pPr>
              <w:rPr>
                <w:sz w:val="17"/>
                <w:szCs w:val="17"/>
                <w:lang w:val="es-ES"/>
              </w:rPr>
            </w:pPr>
            <w:r w:rsidRPr="00B4690D">
              <w:rPr>
                <w:b/>
                <w:bCs/>
                <w:sz w:val="17"/>
                <w:szCs w:val="17"/>
                <w:lang w:val="es-ES"/>
              </w:rPr>
              <w:t>Program</w:t>
            </w:r>
            <w:r w:rsidR="000844C3" w:rsidRPr="00B4690D">
              <w:rPr>
                <w:b/>
                <w:bCs/>
                <w:sz w:val="17"/>
                <w:szCs w:val="17"/>
                <w:lang w:val="es-ES"/>
              </w:rPr>
              <w:t>a</w:t>
            </w:r>
            <w:r w:rsidR="00B724A7">
              <w:rPr>
                <w:b/>
                <w:bCs/>
                <w:sz w:val="17"/>
                <w:szCs w:val="17"/>
                <w:lang w:val="es-ES"/>
              </w:rPr>
              <w:t xml:space="preserve"> </w:t>
            </w:r>
            <w:r w:rsidR="00FF357C" w:rsidRPr="00B4690D">
              <w:rPr>
                <w:b/>
                <w:bCs/>
                <w:sz w:val="17"/>
                <w:szCs w:val="17"/>
                <w:lang w:val="es-ES"/>
              </w:rPr>
              <w:t>y</w:t>
            </w:r>
            <w:r w:rsidRPr="00B4690D">
              <w:rPr>
                <w:b/>
                <w:bCs/>
                <w:sz w:val="17"/>
                <w:szCs w:val="17"/>
                <w:lang w:val="es-ES"/>
              </w:rPr>
              <w:t xml:space="preserve"> Don</w:t>
            </w:r>
            <w:r w:rsidR="000844C3" w:rsidRPr="00B4690D">
              <w:rPr>
                <w:b/>
                <w:bCs/>
                <w:sz w:val="17"/>
                <w:szCs w:val="17"/>
                <w:lang w:val="es-ES"/>
              </w:rPr>
              <w:t>antes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844C3" w:rsidP="000146F6">
            <w:pPr>
              <w:rPr>
                <w:b/>
                <w:sz w:val="17"/>
                <w:szCs w:val="17"/>
                <w:lang w:val="es-ES"/>
              </w:rPr>
            </w:pPr>
            <w:r w:rsidRPr="00B4690D">
              <w:rPr>
                <w:b/>
                <w:sz w:val="17"/>
                <w:szCs w:val="17"/>
                <w:lang w:val="es-ES"/>
              </w:rPr>
              <w:t>Baja</w:t>
            </w:r>
          </w:p>
        </w:tc>
      </w:tr>
      <w:tr w:rsidR="00513697" w:rsidRPr="00B4690D" w:rsidTr="00B4690D">
        <w:trPr>
          <w:jc w:val="center"/>
        </w:trPr>
        <w:tc>
          <w:tcPr>
            <w:tcW w:w="3653"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sz w:val="17"/>
                <w:szCs w:val="17"/>
                <w:lang w:val="es-ES"/>
              </w:rPr>
            </w:pPr>
            <w:r w:rsidRPr="00B4690D">
              <w:rPr>
                <w:sz w:val="17"/>
                <w:szCs w:val="17"/>
                <w:lang w:val="es-ES"/>
              </w:rPr>
              <w:t>Descripción</w:t>
            </w:r>
            <w:r w:rsidR="00513697" w:rsidRPr="00B4690D">
              <w:rPr>
                <w:sz w:val="17"/>
                <w:szCs w:val="17"/>
                <w:lang w:val="es-ES"/>
              </w:rPr>
              <w:t>:</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b/>
                <w:bCs/>
                <w:color w:val="314F4F"/>
                <w:sz w:val="17"/>
                <w:szCs w:val="17"/>
                <w:lang w:val="es-ES"/>
              </w:rPr>
              <w:t>Control del riesgo</w:t>
            </w:r>
            <w:r w:rsidR="00513697" w:rsidRPr="00B4690D">
              <w:rPr>
                <w:b/>
                <w:bCs/>
                <w:color w:val="314F4F"/>
                <w:sz w:val="17"/>
                <w:szCs w:val="17"/>
                <w:lang w:val="es-ES"/>
              </w:rPr>
              <w:t>:</w:t>
            </w:r>
          </w:p>
        </w:tc>
      </w:tr>
      <w:tr w:rsidR="00513697" w:rsidRPr="009F3769" w:rsidTr="00B4690D">
        <w:trPr>
          <w:jc w:val="center"/>
        </w:trPr>
        <w:tc>
          <w:tcPr>
            <w:tcW w:w="3653" w:type="dxa"/>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13697" w:rsidRPr="00B4690D" w:rsidRDefault="000844C3" w:rsidP="00847FF8">
            <w:pPr>
              <w:rPr>
                <w:sz w:val="17"/>
                <w:szCs w:val="17"/>
                <w:lang w:val="es-ES"/>
              </w:rPr>
            </w:pPr>
            <w:r w:rsidRPr="00B4690D">
              <w:rPr>
                <w:sz w:val="17"/>
                <w:szCs w:val="17"/>
                <w:lang w:val="es-ES"/>
              </w:rPr>
              <w:t xml:space="preserve">Aunque el PRODEP del </w:t>
            </w:r>
            <w:r w:rsidR="00B724A7">
              <w:rPr>
                <w:sz w:val="17"/>
                <w:szCs w:val="17"/>
                <w:lang w:val="es-ES"/>
              </w:rPr>
              <w:t>G</w:t>
            </w:r>
            <w:r w:rsidRPr="00B4690D">
              <w:rPr>
                <w:sz w:val="17"/>
                <w:szCs w:val="17"/>
                <w:lang w:val="es-ES"/>
              </w:rPr>
              <w:t xml:space="preserve">obierno requiere de recursos sustanciales, el Banco Mundial es la principal entidad </w:t>
            </w:r>
            <w:r w:rsidR="00847FF8" w:rsidRPr="00B4690D">
              <w:rPr>
                <w:sz w:val="17"/>
                <w:szCs w:val="17"/>
                <w:lang w:val="es-ES"/>
              </w:rPr>
              <w:t>que apoya al proceso de modernización del ordenamiento de la propiedad e</w:t>
            </w:r>
            <w:r w:rsidR="00513697" w:rsidRPr="00B4690D">
              <w:rPr>
                <w:sz w:val="17"/>
                <w:szCs w:val="17"/>
                <w:lang w:val="es-ES"/>
              </w:rPr>
              <w:t>n Nicaragua.</w:t>
            </w: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D47B3F" w:rsidP="00DA663F">
            <w:pPr>
              <w:rPr>
                <w:sz w:val="17"/>
                <w:szCs w:val="17"/>
                <w:lang w:val="es-ES"/>
              </w:rPr>
            </w:pPr>
            <w:r w:rsidRPr="00B4690D">
              <w:rPr>
                <w:sz w:val="17"/>
                <w:szCs w:val="17"/>
                <w:lang w:val="es-ES"/>
              </w:rPr>
              <w:t xml:space="preserve">El Proyecto fue elaborado en consultas con los socios donantes </w:t>
            </w:r>
            <w:r w:rsidR="00DA663F" w:rsidRPr="00B4690D">
              <w:rPr>
                <w:sz w:val="17"/>
                <w:szCs w:val="17"/>
                <w:lang w:val="es-ES"/>
              </w:rPr>
              <w:t>interesados en el sector. Se hizo un recuento de los proyectos e iniciativas complementarias con la finalidad de enriquecer el diseño del Proyecto. La coordinación se verá reforzada durante el periodo de ejecución del Proyecto.</w:t>
            </w:r>
          </w:p>
        </w:tc>
      </w:tr>
      <w:tr w:rsidR="00846A2F" w:rsidRPr="00B4690D" w:rsidTr="00B4690D">
        <w:trPr>
          <w:jc w:val="center"/>
        </w:trPr>
        <w:tc>
          <w:tcPr>
            <w:tcW w:w="3653" w:type="dxa"/>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846A2F"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271891" w:rsidP="000146F6">
            <w:pPr>
              <w:rPr>
                <w:color w:val="314F4F"/>
                <w:sz w:val="17"/>
                <w:szCs w:val="17"/>
                <w:lang w:val="es-ES"/>
              </w:rPr>
            </w:pPr>
            <w:r w:rsidRPr="00B4690D">
              <w:rPr>
                <w:color w:val="314F4F"/>
                <w:sz w:val="17"/>
                <w:szCs w:val="17"/>
                <w:lang w:val="es-ES"/>
              </w:rPr>
              <w:t>Responsable:</w:t>
            </w:r>
          </w:p>
          <w:p w:rsidR="00846A2F" w:rsidRPr="00B4690D" w:rsidRDefault="00847FF8" w:rsidP="000146F6">
            <w:pPr>
              <w:rPr>
                <w:sz w:val="17"/>
                <w:szCs w:val="17"/>
                <w:lang w:val="es-ES"/>
              </w:rPr>
            </w:pPr>
            <w:r w:rsidRPr="00B4690D">
              <w:rPr>
                <w:sz w:val="17"/>
                <w:szCs w:val="17"/>
                <w:lang w:val="es-ES"/>
              </w:rPr>
              <w:t>Ambos</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0D0E49" w:rsidP="000146F6">
            <w:pPr>
              <w:rPr>
                <w:color w:val="314F4F"/>
                <w:sz w:val="17"/>
                <w:szCs w:val="17"/>
                <w:lang w:val="es-ES"/>
              </w:rPr>
            </w:pPr>
            <w:r w:rsidRPr="00B4690D">
              <w:rPr>
                <w:color w:val="314F4F"/>
                <w:sz w:val="17"/>
                <w:szCs w:val="17"/>
                <w:lang w:val="es-ES"/>
              </w:rPr>
              <w:t>Etapa</w:t>
            </w:r>
            <w:r w:rsidR="00846A2F" w:rsidRPr="00B4690D">
              <w:rPr>
                <w:color w:val="314F4F"/>
                <w:sz w:val="17"/>
                <w:szCs w:val="17"/>
                <w:lang w:val="es-ES"/>
              </w:rPr>
              <w:t>:</w:t>
            </w:r>
          </w:p>
          <w:p w:rsidR="00846A2F" w:rsidRPr="00B4690D" w:rsidRDefault="00847FF8" w:rsidP="000146F6">
            <w:pPr>
              <w:rPr>
                <w:sz w:val="17"/>
                <w:szCs w:val="17"/>
                <w:lang w:val="es-ES"/>
              </w:rPr>
            </w:pPr>
            <w:r w:rsidRPr="00B4690D">
              <w:rPr>
                <w:sz w:val="17"/>
                <w:szCs w:val="17"/>
                <w:lang w:val="es-ES"/>
              </w:rPr>
              <w:t>Ambas</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443D05" w:rsidP="000146F6">
            <w:pPr>
              <w:jc w:val="center"/>
              <w:rPr>
                <w:color w:val="314F4F"/>
                <w:sz w:val="17"/>
                <w:szCs w:val="17"/>
                <w:lang w:val="es-ES"/>
              </w:rPr>
            </w:pPr>
            <w:r w:rsidRPr="00B4690D">
              <w:rPr>
                <w:color w:val="314F4F"/>
                <w:sz w:val="17"/>
                <w:szCs w:val="17"/>
                <w:lang w:val="es-ES"/>
              </w:rPr>
              <w:t>Recurrente</w:t>
            </w:r>
            <w:r w:rsidR="00846A2F" w:rsidRPr="00B4690D">
              <w:rPr>
                <w:color w:val="314F4F"/>
                <w:sz w:val="17"/>
                <w:szCs w:val="17"/>
                <w:lang w:val="es-ES"/>
              </w:rPr>
              <w:t>:</w:t>
            </w:r>
          </w:p>
          <w:p w:rsidR="00846A2F" w:rsidRPr="00B4690D" w:rsidRDefault="00846A2F"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0D0E49" w:rsidP="000146F6">
            <w:pPr>
              <w:rPr>
                <w:sz w:val="17"/>
                <w:szCs w:val="17"/>
                <w:lang w:val="es-ES"/>
              </w:rPr>
            </w:pPr>
            <w:r w:rsidRPr="00B4690D">
              <w:rPr>
                <w:color w:val="314F4F"/>
                <w:sz w:val="17"/>
                <w:szCs w:val="17"/>
                <w:lang w:val="es-ES"/>
              </w:rPr>
              <w:t>Fecha límite</w:t>
            </w:r>
            <w:r w:rsidR="00846A2F" w:rsidRPr="00B4690D">
              <w:rPr>
                <w:color w:val="314F4F"/>
                <w:sz w:val="17"/>
                <w:szCs w:val="17"/>
                <w:lang w:val="es-ES"/>
              </w:rPr>
              <w:t>:</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F018C3" w:rsidP="000146F6">
            <w:pPr>
              <w:rPr>
                <w:color w:val="314F4F"/>
                <w:sz w:val="17"/>
                <w:szCs w:val="17"/>
                <w:lang w:val="es-ES"/>
              </w:rPr>
            </w:pPr>
            <w:r w:rsidRPr="00B4690D">
              <w:rPr>
                <w:color w:val="314F4F"/>
                <w:sz w:val="17"/>
                <w:szCs w:val="17"/>
                <w:lang w:val="es-ES"/>
              </w:rPr>
              <w:t>Frecuencia</w:t>
            </w:r>
            <w:r w:rsidR="00846A2F" w:rsidRPr="00B4690D">
              <w:rPr>
                <w:color w:val="314F4F"/>
                <w:sz w:val="17"/>
                <w:szCs w:val="17"/>
                <w:lang w:val="es-ES"/>
              </w:rPr>
              <w:t xml:space="preserve">: </w:t>
            </w:r>
          </w:p>
          <w:p w:rsidR="00846A2F" w:rsidRPr="00B4690D" w:rsidRDefault="002A0AF7" w:rsidP="00847FF8">
            <w:pPr>
              <w:rPr>
                <w:sz w:val="17"/>
                <w:szCs w:val="17"/>
                <w:lang w:val="es-ES"/>
              </w:rPr>
            </w:pPr>
            <w:r w:rsidRPr="00B4690D">
              <w:rPr>
                <w:sz w:val="17"/>
                <w:szCs w:val="17"/>
                <w:lang w:val="es-ES"/>
              </w:rPr>
              <w:t>Anual</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802545" w:rsidP="000146F6">
            <w:pPr>
              <w:rPr>
                <w:color w:val="314F4F"/>
                <w:sz w:val="17"/>
                <w:szCs w:val="17"/>
                <w:lang w:val="es-ES"/>
              </w:rPr>
            </w:pPr>
            <w:r w:rsidRPr="00B4690D">
              <w:rPr>
                <w:color w:val="314F4F"/>
                <w:sz w:val="17"/>
                <w:szCs w:val="17"/>
                <w:lang w:val="es-ES"/>
              </w:rPr>
              <w:t>Estatus</w:t>
            </w:r>
            <w:r w:rsidR="00846A2F" w:rsidRPr="00B4690D">
              <w:rPr>
                <w:color w:val="314F4F"/>
                <w:sz w:val="17"/>
                <w:szCs w:val="17"/>
                <w:lang w:val="es-ES"/>
              </w:rPr>
              <w:t>:</w:t>
            </w:r>
          </w:p>
          <w:p w:rsidR="00846A2F" w:rsidRPr="00B4690D" w:rsidRDefault="00802545" w:rsidP="000146F6">
            <w:pPr>
              <w:rPr>
                <w:sz w:val="17"/>
                <w:szCs w:val="17"/>
                <w:lang w:val="es-ES"/>
              </w:rPr>
            </w:pPr>
            <w:r w:rsidRPr="00B4690D">
              <w:rPr>
                <w:sz w:val="17"/>
                <w:szCs w:val="17"/>
                <w:lang w:val="es-ES"/>
              </w:rPr>
              <w:t>En progreso</w:t>
            </w:r>
          </w:p>
        </w:tc>
      </w:tr>
      <w:tr w:rsidR="00513697" w:rsidRPr="00B4690D" w:rsidTr="00B4690D">
        <w:trPr>
          <w:jc w:val="center"/>
        </w:trPr>
        <w:tc>
          <w:tcPr>
            <w:tcW w:w="3653"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847FF8" w:rsidP="00847FF8">
            <w:pPr>
              <w:rPr>
                <w:sz w:val="17"/>
                <w:szCs w:val="17"/>
                <w:lang w:val="es-ES"/>
              </w:rPr>
            </w:pPr>
            <w:r w:rsidRPr="00B4690D">
              <w:rPr>
                <w:b/>
                <w:bCs/>
                <w:sz w:val="17"/>
                <w:szCs w:val="17"/>
                <w:lang w:val="es-ES"/>
              </w:rPr>
              <w:t>Entrega,</w:t>
            </w:r>
            <w:r w:rsidR="00513697" w:rsidRPr="00B4690D">
              <w:rPr>
                <w:b/>
                <w:bCs/>
                <w:sz w:val="17"/>
                <w:szCs w:val="17"/>
                <w:lang w:val="es-ES"/>
              </w:rPr>
              <w:t xml:space="preserve"> Monitor</w:t>
            </w:r>
            <w:r w:rsidRPr="00B4690D">
              <w:rPr>
                <w:b/>
                <w:bCs/>
                <w:sz w:val="17"/>
                <w:szCs w:val="17"/>
                <w:lang w:val="es-ES"/>
              </w:rPr>
              <w:t xml:space="preserve">eo y Sostenibilidad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color w:val="314F4F"/>
                <w:sz w:val="17"/>
                <w:szCs w:val="17"/>
                <w:lang w:val="es-ES"/>
              </w:rPr>
              <w:t>Calificación</w:t>
            </w:r>
          </w:p>
        </w:tc>
        <w:tc>
          <w:tcPr>
            <w:tcW w:w="7824"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513697" w:rsidRPr="00B4690D" w:rsidRDefault="00847FF8" w:rsidP="000146F6">
            <w:pPr>
              <w:rPr>
                <w:b/>
                <w:sz w:val="17"/>
                <w:szCs w:val="17"/>
                <w:lang w:val="es-ES"/>
              </w:rPr>
            </w:pPr>
            <w:r w:rsidRPr="00B4690D">
              <w:rPr>
                <w:b/>
                <w:sz w:val="17"/>
                <w:szCs w:val="17"/>
                <w:lang w:val="es-ES"/>
              </w:rPr>
              <w:t>Baja</w:t>
            </w:r>
          </w:p>
        </w:tc>
      </w:tr>
      <w:tr w:rsidR="00513697" w:rsidRPr="00B4690D" w:rsidTr="00B4690D">
        <w:trPr>
          <w:jc w:val="center"/>
        </w:trPr>
        <w:tc>
          <w:tcPr>
            <w:tcW w:w="3653" w:type="dxa"/>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sz w:val="17"/>
                <w:szCs w:val="17"/>
                <w:lang w:val="es-ES"/>
              </w:rPr>
            </w:pPr>
            <w:r w:rsidRPr="00B4690D">
              <w:rPr>
                <w:sz w:val="17"/>
                <w:szCs w:val="17"/>
                <w:lang w:val="es-ES"/>
              </w:rPr>
              <w:t>Descripción</w:t>
            </w:r>
            <w:r w:rsidR="00513697" w:rsidRPr="00B4690D">
              <w:rPr>
                <w:sz w:val="17"/>
                <w:szCs w:val="17"/>
                <w:lang w:val="es-ES"/>
              </w:rPr>
              <w:t>:</w:t>
            </w:r>
          </w:p>
        </w:tc>
        <w:tc>
          <w:tcPr>
            <w:tcW w:w="9525" w:type="dxa"/>
            <w:gridSpan w:val="11"/>
            <w:tcBorders>
              <w:top w:val="single" w:sz="4" w:space="0" w:color="000000"/>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13697" w:rsidRPr="00B4690D" w:rsidRDefault="000D0E49" w:rsidP="000146F6">
            <w:pPr>
              <w:rPr>
                <w:color w:val="314F4F"/>
                <w:sz w:val="17"/>
                <w:szCs w:val="17"/>
                <w:lang w:val="es-ES"/>
              </w:rPr>
            </w:pPr>
            <w:r w:rsidRPr="00B4690D">
              <w:rPr>
                <w:b/>
                <w:bCs/>
                <w:color w:val="314F4F"/>
                <w:sz w:val="17"/>
                <w:szCs w:val="17"/>
                <w:lang w:val="es-ES"/>
              </w:rPr>
              <w:t>Control del riesgo</w:t>
            </w:r>
            <w:r w:rsidR="00513697" w:rsidRPr="00B4690D">
              <w:rPr>
                <w:b/>
                <w:bCs/>
                <w:color w:val="314F4F"/>
                <w:sz w:val="17"/>
                <w:szCs w:val="17"/>
                <w:lang w:val="es-ES"/>
              </w:rPr>
              <w:t>:</w:t>
            </w:r>
          </w:p>
        </w:tc>
      </w:tr>
      <w:tr w:rsidR="00513697" w:rsidRPr="009F3769" w:rsidTr="00B4690D">
        <w:trPr>
          <w:jc w:val="center"/>
        </w:trPr>
        <w:tc>
          <w:tcPr>
            <w:tcW w:w="3653" w:type="dxa"/>
            <w:vMerge w:val="restart"/>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13697" w:rsidRPr="00B4690D" w:rsidRDefault="00DA663F" w:rsidP="00610969">
            <w:pPr>
              <w:rPr>
                <w:sz w:val="17"/>
                <w:szCs w:val="17"/>
                <w:lang w:val="es-ES"/>
              </w:rPr>
            </w:pPr>
            <w:r w:rsidRPr="00B4690D">
              <w:rPr>
                <w:sz w:val="17"/>
                <w:szCs w:val="17"/>
                <w:lang w:val="es-ES"/>
              </w:rPr>
              <w:t>Las evaluaciones r</w:t>
            </w:r>
            <w:r w:rsidR="00513697" w:rsidRPr="00B4690D">
              <w:rPr>
                <w:sz w:val="17"/>
                <w:szCs w:val="17"/>
                <w:lang w:val="es-ES"/>
              </w:rPr>
              <w:t>i</w:t>
            </w:r>
            <w:r w:rsidRPr="00B4690D">
              <w:rPr>
                <w:sz w:val="17"/>
                <w:szCs w:val="17"/>
                <w:lang w:val="es-ES"/>
              </w:rPr>
              <w:t xml:space="preserve">gurosas de los impactos provocados por los proyectos de ordenamiento de la propiedad son escasas. La medición </w:t>
            </w:r>
            <w:r w:rsidR="00610969" w:rsidRPr="00B4690D">
              <w:rPr>
                <w:sz w:val="17"/>
                <w:szCs w:val="17"/>
                <w:lang w:val="es-ES"/>
              </w:rPr>
              <w:t>de los indicadores que cuantifican la eficiencia de las instituciones pertinentes se ve obstaculizada por la carencia de registros financieros fiables.</w:t>
            </w:r>
          </w:p>
        </w:tc>
        <w:tc>
          <w:tcPr>
            <w:tcW w:w="9525" w:type="dxa"/>
            <w:gridSpan w:val="11"/>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75251" w:rsidRPr="00B4690D" w:rsidRDefault="002358FD" w:rsidP="002358FD">
            <w:pPr>
              <w:rPr>
                <w:sz w:val="17"/>
                <w:szCs w:val="17"/>
                <w:lang w:val="es-ES"/>
              </w:rPr>
            </w:pPr>
            <w:r w:rsidRPr="00B4690D">
              <w:rPr>
                <w:sz w:val="17"/>
                <w:szCs w:val="17"/>
                <w:lang w:val="es-NI"/>
              </w:rPr>
              <w:t xml:space="preserve">La capacidad de la </w:t>
            </w:r>
            <w:r w:rsidR="00890CA6" w:rsidRPr="00B4690D">
              <w:rPr>
                <w:sz w:val="17"/>
                <w:szCs w:val="17"/>
                <w:lang w:val="es-NI"/>
              </w:rPr>
              <w:t>UCP</w:t>
            </w:r>
            <w:r w:rsidR="00B724A7">
              <w:rPr>
                <w:sz w:val="17"/>
                <w:szCs w:val="17"/>
                <w:lang w:val="es-NI"/>
              </w:rPr>
              <w:t xml:space="preserve"> </w:t>
            </w:r>
            <w:r w:rsidRPr="00B4690D">
              <w:rPr>
                <w:sz w:val="17"/>
                <w:szCs w:val="17"/>
                <w:lang w:val="es-NI"/>
              </w:rPr>
              <w:t xml:space="preserve">para hacer la evaluación de impactos se ha visto fortalecida por los esfuerzos de recopilación de datos en el proyecto anterior. Los datos de línea de base se recopilarán en los nuevos </w:t>
            </w:r>
            <w:r w:rsidR="000B7159" w:rsidRPr="00B4690D">
              <w:rPr>
                <w:sz w:val="17"/>
                <w:szCs w:val="17"/>
                <w:lang w:val="es-ES"/>
              </w:rPr>
              <w:t>municipios participantes</w:t>
            </w:r>
            <w:r w:rsidRPr="00B4690D">
              <w:rPr>
                <w:sz w:val="17"/>
                <w:szCs w:val="17"/>
                <w:lang w:val="es-ES"/>
              </w:rPr>
              <w:t xml:space="preserve"> en las primeras etapas de la ejecución del Proyecto. Expertos brindarán asesoría durante los preparativos de las metodologías de evaluación y realización de las encuestas.</w:t>
            </w:r>
          </w:p>
        </w:tc>
      </w:tr>
      <w:tr w:rsidR="00846A2F" w:rsidRPr="00B4690D" w:rsidTr="00B4690D">
        <w:trPr>
          <w:jc w:val="center"/>
        </w:trPr>
        <w:tc>
          <w:tcPr>
            <w:tcW w:w="3653" w:type="dxa"/>
            <w:vMerge/>
            <w:tcBorders>
              <w:top w:val="nil"/>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846A2F" w:rsidP="000146F6">
            <w:pPr>
              <w:rPr>
                <w:sz w:val="17"/>
                <w:szCs w:val="17"/>
                <w:lang w:val="es-E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271891" w:rsidP="000146F6">
            <w:pPr>
              <w:rPr>
                <w:color w:val="314F4F"/>
                <w:sz w:val="17"/>
                <w:szCs w:val="17"/>
                <w:lang w:val="es-ES"/>
              </w:rPr>
            </w:pPr>
            <w:r w:rsidRPr="00B4690D">
              <w:rPr>
                <w:color w:val="314F4F"/>
                <w:sz w:val="17"/>
                <w:szCs w:val="17"/>
                <w:lang w:val="es-ES"/>
              </w:rPr>
              <w:t>Responsable:</w:t>
            </w:r>
          </w:p>
          <w:p w:rsidR="00846A2F" w:rsidRPr="00B4690D" w:rsidRDefault="00271891" w:rsidP="000146F6">
            <w:pPr>
              <w:rPr>
                <w:sz w:val="17"/>
                <w:szCs w:val="17"/>
                <w:lang w:val="es-ES"/>
              </w:rPr>
            </w:pPr>
            <w:r w:rsidRPr="00B4690D">
              <w:rPr>
                <w:sz w:val="17"/>
                <w:szCs w:val="17"/>
                <w:lang w:val="es-ES"/>
              </w:rPr>
              <w:t>Cliente</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0D0E49" w:rsidP="000146F6">
            <w:pPr>
              <w:rPr>
                <w:color w:val="314F4F"/>
                <w:sz w:val="17"/>
                <w:szCs w:val="17"/>
                <w:lang w:val="es-ES"/>
              </w:rPr>
            </w:pPr>
            <w:r w:rsidRPr="00B4690D">
              <w:rPr>
                <w:color w:val="314F4F"/>
                <w:sz w:val="17"/>
                <w:szCs w:val="17"/>
                <w:lang w:val="es-ES"/>
              </w:rPr>
              <w:t>Etapa</w:t>
            </w:r>
            <w:r w:rsidR="00846A2F" w:rsidRPr="00B4690D">
              <w:rPr>
                <w:color w:val="314F4F"/>
                <w:sz w:val="17"/>
                <w:szCs w:val="17"/>
                <w:lang w:val="es-ES"/>
              </w:rPr>
              <w:t>:</w:t>
            </w:r>
          </w:p>
          <w:p w:rsidR="00846A2F" w:rsidRPr="00B4690D" w:rsidRDefault="000D0E49" w:rsidP="000146F6">
            <w:pPr>
              <w:rPr>
                <w:sz w:val="17"/>
                <w:szCs w:val="17"/>
                <w:lang w:val="es-ES"/>
              </w:rPr>
            </w:pPr>
            <w:r w:rsidRPr="00B4690D">
              <w:rPr>
                <w:sz w:val="17"/>
                <w:szCs w:val="17"/>
                <w:lang w:val="es-ES"/>
              </w:rPr>
              <w:t>En ejecución</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443D05" w:rsidP="000146F6">
            <w:pPr>
              <w:jc w:val="center"/>
              <w:rPr>
                <w:color w:val="314F4F"/>
                <w:sz w:val="17"/>
                <w:szCs w:val="17"/>
                <w:lang w:val="es-ES"/>
              </w:rPr>
            </w:pPr>
            <w:r w:rsidRPr="00B4690D">
              <w:rPr>
                <w:color w:val="314F4F"/>
                <w:sz w:val="17"/>
                <w:szCs w:val="17"/>
                <w:lang w:val="es-ES"/>
              </w:rPr>
              <w:t>Recurrente</w:t>
            </w:r>
            <w:r w:rsidR="00846A2F" w:rsidRPr="00B4690D">
              <w:rPr>
                <w:color w:val="314F4F"/>
                <w:sz w:val="17"/>
                <w:szCs w:val="17"/>
                <w:lang w:val="es-ES"/>
              </w:rPr>
              <w:t>:</w:t>
            </w:r>
          </w:p>
          <w:p w:rsidR="00846A2F" w:rsidRPr="00B4690D" w:rsidRDefault="00846A2F" w:rsidP="000146F6">
            <w:pPr>
              <w:spacing w:line="320" w:lineRule="atLeast"/>
              <w:rPr>
                <w:sz w:val="17"/>
                <w:szCs w:val="17"/>
                <w:lang w:val="es-ES"/>
              </w:rPr>
            </w:pPr>
            <w:r w:rsidRPr="00B4690D">
              <w:rPr>
                <w:noProof/>
                <w:sz w:val="17"/>
                <w:szCs w:val="17"/>
              </w:rPr>
              <w:drawing>
                <wp:inline distT="0" distB="0" distL="0" distR="0">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0D0E49" w:rsidP="000146F6">
            <w:pPr>
              <w:rPr>
                <w:color w:val="314F4F"/>
                <w:sz w:val="17"/>
                <w:szCs w:val="17"/>
                <w:lang w:val="es-ES"/>
              </w:rPr>
            </w:pPr>
            <w:r w:rsidRPr="00B4690D">
              <w:rPr>
                <w:color w:val="314F4F"/>
                <w:sz w:val="17"/>
                <w:szCs w:val="17"/>
                <w:lang w:val="es-ES"/>
              </w:rPr>
              <w:t>Fecha límite</w:t>
            </w:r>
            <w:r w:rsidR="00846A2F" w:rsidRPr="00B4690D">
              <w:rPr>
                <w:color w:val="314F4F"/>
                <w:sz w:val="17"/>
                <w:szCs w:val="17"/>
                <w:lang w:val="es-ES"/>
              </w:rPr>
              <w:t>:</w:t>
            </w:r>
          </w:p>
          <w:p w:rsidR="00846A2F" w:rsidRPr="00B4690D" w:rsidRDefault="00846A2F" w:rsidP="004C4468">
            <w:pPr>
              <w:rPr>
                <w:sz w:val="17"/>
                <w:szCs w:val="17"/>
                <w:lang w:val="es-ES"/>
              </w:rPr>
            </w:pPr>
            <w:r w:rsidRPr="00B4690D">
              <w:rPr>
                <w:sz w:val="17"/>
                <w:szCs w:val="17"/>
                <w:lang w:val="es-ES"/>
              </w:rPr>
              <w:t>30-</w:t>
            </w:r>
            <w:r w:rsidR="004C4468" w:rsidRPr="00B4690D">
              <w:rPr>
                <w:sz w:val="17"/>
                <w:szCs w:val="17"/>
                <w:lang w:val="es-ES"/>
              </w:rPr>
              <w:t>di</w:t>
            </w:r>
            <w:r w:rsidRPr="00B4690D">
              <w:rPr>
                <w:sz w:val="17"/>
                <w:szCs w:val="17"/>
                <w:lang w:val="es-ES"/>
              </w:rPr>
              <w:t>c-2013</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F018C3" w:rsidP="000146F6">
            <w:pPr>
              <w:rPr>
                <w:sz w:val="17"/>
                <w:szCs w:val="17"/>
                <w:lang w:val="es-ES"/>
              </w:rPr>
            </w:pPr>
            <w:r w:rsidRPr="00B4690D">
              <w:rPr>
                <w:color w:val="314F4F"/>
                <w:sz w:val="17"/>
                <w:szCs w:val="17"/>
                <w:lang w:val="es-ES"/>
              </w:rPr>
              <w:t>Frecuencia</w:t>
            </w:r>
            <w:r w:rsidR="00846A2F" w:rsidRPr="00B4690D">
              <w:rPr>
                <w:color w:val="314F4F"/>
                <w:sz w:val="17"/>
                <w:szCs w:val="17"/>
                <w:lang w:val="es-ES"/>
              </w:rPr>
              <w:t xml:space="preserve">: </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6A2F" w:rsidRPr="00B4690D" w:rsidRDefault="00802545" w:rsidP="000146F6">
            <w:pPr>
              <w:rPr>
                <w:color w:val="314F4F"/>
                <w:sz w:val="17"/>
                <w:szCs w:val="17"/>
                <w:lang w:val="es-ES"/>
              </w:rPr>
            </w:pPr>
            <w:r w:rsidRPr="00B4690D">
              <w:rPr>
                <w:color w:val="314F4F"/>
                <w:sz w:val="17"/>
                <w:szCs w:val="17"/>
                <w:lang w:val="es-ES"/>
              </w:rPr>
              <w:t>Estatus</w:t>
            </w:r>
            <w:r w:rsidR="00846A2F" w:rsidRPr="00B4690D">
              <w:rPr>
                <w:color w:val="314F4F"/>
                <w:sz w:val="17"/>
                <w:szCs w:val="17"/>
                <w:lang w:val="es-ES"/>
              </w:rPr>
              <w:t>:</w:t>
            </w:r>
          </w:p>
          <w:p w:rsidR="00846A2F" w:rsidRPr="00B4690D" w:rsidRDefault="004C4468" w:rsidP="004C4468">
            <w:pPr>
              <w:rPr>
                <w:sz w:val="17"/>
                <w:szCs w:val="17"/>
                <w:lang w:val="es-ES"/>
              </w:rPr>
            </w:pPr>
            <w:r w:rsidRPr="00B4690D">
              <w:rPr>
                <w:sz w:val="17"/>
                <w:szCs w:val="17"/>
                <w:lang w:val="es-ES"/>
              </w:rPr>
              <w:t>Aún no vencido</w:t>
            </w:r>
          </w:p>
        </w:tc>
      </w:tr>
      <w:tr w:rsidR="00513697" w:rsidRPr="00B4690D" w:rsidTr="00F140BD">
        <w:trPr>
          <w:jc w:val="center"/>
        </w:trPr>
        <w:tc>
          <w:tcPr>
            <w:tcW w:w="13178" w:type="dxa"/>
            <w:gridSpan w:val="12"/>
            <w:tcBorders>
              <w:top w:val="nil"/>
              <w:left w:val="nil"/>
              <w:bottom w:val="nil"/>
              <w:right w:val="nil"/>
            </w:tcBorders>
            <w:shd w:val="clear" w:color="auto" w:fill="5B5B5B"/>
            <w:tcMar>
              <w:top w:w="50" w:type="dxa"/>
              <w:left w:w="50" w:type="dxa"/>
              <w:bottom w:w="50" w:type="dxa"/>
              <w:right w:w="50" w:type="dxa"/>
            </w:tcMar>
            <w:vAlign w:val="center"/>
          </w:tcPr>
          <w:p w:rsidR="00513697" w:rsidRPr="00B4690D" w:rsidRDefault="004C4468" w:rsidP="004C4468">
            <w:pPr>
              <w:rPr>
                <w:color w:val="FFFFFF"/>
                <w:sz w:val="17"/>
                <w:szCs w:val="17"/>
                <w:lang w:val="es-ES"/>
              </w:rPr>
            </w:pPr>
            <w:r w:rsidRPr="00B4690D">
              <w:rPr>
                <w:color w:val="FFFFFF"/>
                <w:sz w:val="17"/>
                <w:szCs w:val="17"/>
                <w:lang w:val="es-ES"/>
              </w:rPr>
              <w:t>Riesgo en General</w:t>
            </w:r>
          </w:p>
        </w:tc>
      </w:tr>
      <w:tr w:rsidR="00C72C60" w:rsidRPr="009F3769" w:rsidTr="00F140BD">
        <w:trPr>
          <w:jc w:val="center"/>
        </w:trPr>
        <w:tc>
          <w:tcPr>
            <w:tcW w:w="13178" w:type="dxa"/>
            <w:gridSpan w:val="1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C72C60" w:rsidRPr="00B4690D" w:rsidRDefault="000D0E49" w:rsidP="004C4468">
            <w:pPr>
              <w:rPr>
                <w:color w:val="314F4F"/>
                <w:sz w:val="17"/>
                <w:szCs w:val="17"/>
                <w:lang w:val="es-ES"/>
              </w:rPr>
            </w:pPr>
            <w:r w:rsidRPr="00B4690D">
              <w:rPr>
                <w:b/>
                <w:bCs/>
                <w:color w:val="314F4F"/>
                <w:sz w:val="17"/>
                <w:szCs w:val="17"/>
                <w:lang w:val="es-ES"/>
              </w:rPr>
              <w:t>Calificación</w:t>
            </w:r>
            <w:r w:rsidR="004C4468" w:rsidRPr="00B4690D">
              <w:rPr>
                <w:b/>
                <w:bCs/>
                <w:color w:val="314F4F"/>
                <w:sz w:val="17"/>
                <w:szCs w:val="17"/>
                <w:lang w:val="es-ES"/>
              </w:rPr>
              <w:t xml:space="preserve"> del Riesgo Asociado con la Ejecución</w:t>
            </w:r>
            <w:r w:rsidR="00C72C60" w:rsidRPr="00B4690D">
              <w:rPr>
                <w:b/>
                <w:bCs/>
                <w:color w:val="314F4F"/>
                <w:sz w:val="17"/>
                <w:szCs w:val="17"/>
                <w:lang w:val="es-ES"/>
              </w:rPr>
              <w:t>:</w:t>
            </w:r>
            <w:r w:rsidR="00B724A7">
              <w:rPr>
                <w:b/>
                <w:bCs/>
                <w:color w:val="314F4F"/>
                <w:sz w:val="17"/>
                <w:szCs w:val="17"/>
                <w:lang w:val="es-ES"/>
              </w:rPr>
              <w:t xml:space="preserve"> </w:t>
            </w:r>
            <w:r w:rsidRPr="00B4690D">
              <w:rPr>
                <w:b/>
                <w:bCs/>
                <w:sz w:val="17"/>
                <w:szCs w:val="17"/>
                <w:lang w:val="es-ES"/>
              </w:rPr>
              <w:t>Moderado</w:t>
            </w:r>
          </w:p>
        </w:tc>
      </w:tr>
      <w:tr w:rsidR="00C72C60" w:rsidRPr="009F3769" w:rsidTr="00F140BD">
        <w:trPr>
          <w:trHeight w:val="1659"/>
          <w:jc w:val="center"/>
        </w:trPr>
        <w:tc>
          <w:tcPr>
            <w:tcW w:w="13178" w:type="dxa"/>
            <w:gridSpan w:val="12"/>
            <w:tcBorders>
              <w:top w:val="single" w:sz="4" w:space="0" w:color="000000"/>
              <w:left w:val="single" w:sz="4" w:space="0" w:color="000000"/>
              <w:right w:val="single" w:sz="4" w:space="0" w:color="000000"/>
            </w:tcBorders>
            <w:shd w:val="clear" w:color="auto" w:fill="FFFFFF"/>
            <w:tcMar>
              <w:top w:w="50" w:type="dxa"/>
              <w:left w:w="50" w:type="dxa"/>
              <w:bottom w:w="50" w:type="dxa"/>
              <w:right w:w="50" w:type="dxa"/>
            </w:tcMar>
            <w:vAlign w:val="center"/>
          </w:tcPr>
          <w:p w:rsidR="00C72C60" w:rsidRPr="00B4690D" w:rsidRDefault="000D0E49" w:rsidP="000146F6">
            <w:pPr>
              <w:rPr>
                <w:sz w:val="17"/>
                <w:szCs w:val="17"/>
                <w:lang w:val="es-ES"/>
              </w:rPr>
            </w:pPr>
            <w:r w:rsidRPr="00B4690D">
              <w:rPr>
                <w:sz w:val="17"/>
                <w:szCs w:val="17"/>
                <w:lang w:val="es-ES"/>
              </w:rPr>
              <w:t>Descripción</w:t>
            </w:r>
            <w:r w:rsidR="00C72C60" w:rsidRPr="00B4690D">
              <w:rPr>
                <w:sz w:val="17"/>
                <w:szCs w:val="17"/>
                <w:lang w:val="es-ES"/>
              </w:rPr>
              <w:t>:</w:t>
            </w:r>
          </w:p>
          <w:p w:rsidR="00C72C60" w:rsidRPr="00B4690D" w:rsidRDefault="004C4468" w:rsidP="004A4F6D">
            <w:pPr>
              <w:rPr>
                <w:sz w:val="17"/>
                <w:szCs w:val="17"/>
                <w:lang w:val="es-NI"/>
              </w:rPr>
            </w:pPr>
            <w:r w:rsidRPr="00B4690D">
              <w:rPr>
                <w:sz w:val="17"/>
                <w:szCs w:val="17"/>
                <w:lang w:val="es-ES"/>
              </w:rPr>
              <w:t xml:space="preserve">El riesgo global asociado con la ejecución del Proyecto </w:t>
            </w:r>
            <w:r w:rsidR="00FE6102" w:rsidRPr="00B4690D">
              <w:rPr>
                <w:sz w:val="17"/>
                <w:szCs w:val="17"/>
                <w:lang w:val="es-ES"/>
              </w:rPr>
              <w:t xml:space="preserve">se califica como Moderado. La marcha del Proyecto se encontrará con un entorno de políticas estables. El marco legal en términos relativos es completo aunque requiere de cierta consolidación. La PGR ha demostrado ser una entidad ejecutora capaz y diligente. A pesar de estas perspectivas positivas, persisten algunos riesgos </w:t>
            </w:r>
            <w:r w:rsidR="007F502D" w:rsidRPr="00B4690D">
              <w:rPr>
                <w:sz w:val="17"/>
                <w:szCs w:val="17"/>
                <w:lang w:val="es-ES"/>
              </w:rPr>
              <w:t xml:space="preserve">que se pueden encontrar durante el periodo de ejecución del Proyecto, entre ellos: (a) Posibilidad que los factores políticos afecten la coordinación interinstitucional; (b) Los pueblos indígenas, especialmente aquellos situados en las regiones Pacifico y Central no apoyan las actividades del Proyecto; </w:t>
            </w:r>
            <w:r w:rsidR="004A4F6D" w:rsidRPr="00B4690D">
              <w:rPr>
                <w:sz w:val="17"/>
                <w:szCs w:val="17"/>
                <w:lang w:val="es-ES"/>
              </w:rPr>
              <w:t>(</w:t>
            </w:r>
            <w:r w:rsidR="007F502D" w:rsidRPr="00B4690D">
              <w:rPr>
                <w:sz w:val="17"/>
                <w:szCs w:val="17"/>
                <w:lang w:val="es-ES"/>
              </w:rPr>
              <w:t xml:space="preserve">c) A los municipios más pequeños les toma más tiempo </w:t>
            </w:r>
            <w:r w:rsidR="004A4F6D" w:rsidRPr="00B4690D">
              <w:rPr>
                <w:sz w:val="17"/>
                <w:szCs w:val="17"/>
                <w:lang w:val="es-ES"/>
              </w:rPr>
              <w:t xml:space="preserve">del esperado </w:t>
            </w:r>
            <w:r w:rsidR="007F502D" w:rsidRPr="00B4690D">
              <w:rPr>
                <w:sz w:val="17"/>
                <w:szCs w:val="17"/>
                <w:lang w:val="es-ES"/>
              </w:rPr>
              <w:t xml:space="preserve">para crear </w:t>
            </w:r>
            <w:r w:rsidR="004A4F6D" w:rsidRPr="00B4690D">
              <w:rPr>
                <w:sz w:val="17"/>
                <w:szCs w:val="17"/>
                <w:lang w:val="es-ES"/>
              </w:rPr>
              <w:t>capacidades.</w:t>
            </w:r>
          </w:p>
        </w:tc>
      </w:tr>
    </w:tbl>
    <w:p w:rsidR="00513697" w:rsidRPr="004A4F6D" w:rsidRDefault="00513697" w:rsidP="001E4E61">
      <w:pPr>
        <w:rPr>
          <w:sz w:val="19"/>
          <w:szCs w:val="19"/>
          <w:lang w:val="es-NI"/>
        </w:rPr>
        <w:sectPr w:rsidR="00513697" w:rsidRPr="004A4F6D" w:rsidSect="00F140BD">
          <w:pgSz w:w="15840" w:h="12240" w:orient="landscape" w:code="1"/>
          <w:pgMar w:top="1440" w:right="1440" w:bottom="1440" w:left="1440" w:header="720" w:footer="720" w:gutter="0"/>
          <w:cols w:space="720"/>
          <w:docGrid w:linePitch="360"/>
        </w:sectPr>
      </w:pPr>
    </w:p>
    <w:p w:rsidR="00251650" w:rsidRPr="006D59C0" w:rsidRDefault="005B6CFA" w:rsidP="00161DCB">
      <w:pPr>
        <w:pStyle w:val="Heading4"/>
      </w:pPr>
      <w:bookmarkStart w:id="133" w:name="_Toc342909554"/>
      <w:bookmarkStart w:id="134" w:name="_Toc357981087"/>
      <w:r w:rsidRPr="006D59C0">
        <w:lastRenderedPageBreak/>
        <w:t>A</w:t>
      </w:r>
      <w:r w:rsidRPr="006D59C0">
        <w:rPr>
          <w:rStyle w:val="Heading4Char"/>
          <w:b/>
          <w:bCs/>
        </w:rPr>
        <w:t>nexo</w:t>
      </w:r>
      <w:r w:rsidR="00B226FC" w:rsidRPr="006D59C0">
        <w:rPr>
          <w:rStyle w:val="Heading4Char"/>
          <w:b/>
          <w:bCs/>
        </w:rPr>
        <w:t xml:space="preserve"> 5</w:t>
      </w:r>
      <w:r w:rsidR="00251650" w:rsidRPr="006D59C0">
        <w:rPr>
          <w:rStyle w:val="Heading4Char"/>
          <w:b/>
          <w:bCs/>
        </w:rPr>
        <w:t xml:space="preserve">: </w:t>
      </w:r>
      <w:bookmarkEnd w:id="131"/>
      <w:r w:rsidR="00B226FC" w:rsidRPr="006D59C0">
        <w:rPr>
          <w:rStyle w:val="Heading4Char"/>
          <w:b/>
          <w:bCs/>
        </w:rPr>
        <w:t>Plan</w:t>
      </w:r>
      <w:bookmarkEnd w:id="132"/>
      <w:bookmarkEnd w:id="133"/>
      <w:r w:rsidR="004A4F6D" w:rsidRPr="006D59C0">
        <w:rPr>
          <w:rStyle w:val="Heading4Char"/>
          <w:b/>
          <w:bCs/>
        </w:rPr>
        <w:t xml:space="preserve"> de Apoyo a la Ejecución</w:t>
      </w:r>
      <w:bookmarkEnd w:id="134"/>
    </w:p>
    <w:p w:rsidR="00251650" w:rsidRPr="007A3E9B" w:rsidRDefault="00537FA0">
      <w:pPr>
        <w:jc w:val="center"/>
        <w:rPr>
          <w:b/>
          <w:bCs/>
          <w:lang w:val="es-ES"/>
        </w:rPr>
      </w:pPr>
      <w:r w:rsidRPr="004C4468">
        <w:rPr>
          <w:b/>
          <w:lang w:val="es-ES"/>
        </w:rPr>
        <w:t>NICARAGUA</w:t>
      </w:r>
      <w:r w:rsidR="004A4F6D" w:rsidRPr="007A3E9B">
        <w:rPr>
          <w:b/>
          <w:bCs/>
          <w:caps/>
          <w:lang w:val="es-ES"/>
        </w:rPr>
        <w:t xml:space="preserve">: </w:t>
      </w:r>
      <w:r w:rsidR="004A4F6D" w:rsidRPr="007A3E9B">
        <w:rPr>
          <w:b/>
          <w:bCs/>
          <w:lang w:val="es-ES"/>
        </w:rPr>
        <w:t xml:space="preserve">Segundo </w:t>
      </w:r>
      <w:r w:rsidR="001209FA" w:rsidRPr="007A3E9B">
        <w:rPr>
          <w:b/>
          <w:bCs/>
          <w:lang w:val="es-ES"/>
        </w:rPr>
        <w:t>Proyecto de Ordenamiento de la Propiedad</w:t>
      </w:r>
    </w:p>
    <w:p w:rsidR="006E2E0D" w:rsidRPr="009C77E9" w:rsidRDefault="006E2E0D">
      <w:pPr>
        <w:jc w:val="center"/>
        <w:rPr>
          <w:b/>
          <w:bCs/>
          <w:lang w:val="es-ES"/>
        </w:rPr>
      </w:pPr>
    </w:p>
    <w:p w:rsidR="007C174B" w:rsidRPr="009C77E9" w:rsidRDefault="004A4F6D" w:rsidP="00F91221">
      <w:pPr>
        <w:pStyle w:val="ListParagraph"/>
        <w:numPr>
          <w:ilvl w:val="0"/>
          <w:numId w:val="36"/>
        </w:numPr>
        <w:ind w:right="720"/>
        <w:jc w:val="both"/>
        <w:rPr>
          <w:b/>
          <w:szCs w:val="22"/>
          <w:lang w:val="es-ES"/>
        </w:rPr>
      </w:pPr>
      <w:r w:rsidRPr="009C77E9">
        <w:rPr>
          <w:b/>
          <w:szCs w:val="22"/>
          <w:lang w:val="es-ES"/>
        </w:rPr>
        <w:t xml:space="preserve">Estrategia y Enfoque </w:t>
      </w:r>
      <w:r w:rsidR="007A3E9B" w:rsidRPr="009C77E9">
        <w:rPr>
          <w:b/>
          <w:szCs w:val="22"/>
          <w:lang w:val="es-ES"/>
        </w:rPr>
        <w:t>de Apoyo a</w:t>
      </w:r>
      <w:r w:rsidRPr="009C77E9">
        <w:rPr>
          <w:b/>
          <w:szCs w:val="22"/>
          <w:lang w:val="es-ES"/>
        </w:rPr>
        <w:t xml:space="preserve"> la Ejecución</w:t>
      </w:r>
    </w:p>
    <w:p w:rsidR="007C174B" w:rsidRPr="00B4690D" w:rsidRDefault="007C174B" w:rsidP="007C174B">
      <w:pPr>
        <w:ind w:left="720" w:right="720"/>
        <w:jc w:val="both"/>
        <w:rPr>
          <w:sz w:val="23"/>
          <w:szCs w:val="23"/>
          <w:lang w:val="es-ES"/>
        </w:rPr>
      </w:pPr>
    </w:p>
    <w:p w:rsidR="004878CE" w:rsidRPr="00B4690D" w:rsidRDefault="007A3E9B" w:rsidP="00F91221">
      <w:pPr>
        <w:numPr>
          <w:ilvl w:val="0"/>
          <w:numId w:val="32"/>
        </w:numPr>
        <w:jc w:val="both"/>
        <w:rPr>
          <w:sz w:val="23"/>
          <w:szCs w:val="23"/>
          <w:lang w:val="es-ES"/>
        </w:rPr>
      </w:pPr>
      <w:r w:rsidRPr="00B4690D">
        <w:rPr>
          <w:sz w:val="23"/>
          <w:szCs w:val="23"/>
          <w:lang w:val="es-ES"/>
        </w:rPr>
        <w:t xml:space="preserve">La </w:t>
      </w:r>
      <w:r w:rsidR="00F22937">
        <w:rPr>
          <w:sz w:val="23"/>
          <w:szCs w:val="23"/>
          <w:lang w:val="es-ES"/>
        </w:rPr>
        <w:t>E</w:t>
      </w:r>
      <w:r w:rsidRPr="00B4690D">
        <w:rPr>
          <w:sz w:val="23"/>
          <w:szCs w:val="23"/>
          <w:lang w:val="es-ES"/>
        </w:rPr>
        <w:t>strategia</w:t>
      </w:r>
      <w:r w:rsidR="00F22937">
        <w:rPr>
          <w:sz w:val="23"/>
          <w:szCs w:val="23"/>
          <w:lang w:val="es-ES"/>
        </w:rPr>
        <w:t xml:space="preserve"> </w:t>
      </w:r>
      <w:r w:rsidRPr="00B4690D">
        <w:rPr>
          <w:sz w:val="23"/>
          <w:szCs w:val="23"/>
          <w:lang w:val="es-ES"/>
        </w:rPr>
        <w:t xml:space="preserve">de </w:t>
      </w:r>
      <w:r w:rsidR="00F22937">
        <w:rPr>
          <w:sz w:val="23"/>
          <w:szCs w:val="23"/>
          <w:lang w:val="es-ES"/>
        </w:rPr>
        <w:t>A</w:t>
      </w:r>
      <w:r w:rsidRPr="00B4690D">
        <w:rPr>
          <w:sz w:val="23"/>
          <w:szCs w:val="23"/>
          <w:lang w:val="es-ES"/>
        </w:rPr>
        <w:t xml:space="preserve">poyo </w:t>
      </w:r>
      <w:r w:rsidR="00F22937">
        <w:rPr>
          <w:sz w:val="23"/>
          <w:szCs w:val="23"/>
          <w:lang w:val="es-ES"/>
        </w:rPr>
        <w:t>a la E</w:t>
      </w:r>
      <w:r w:rsidR="00F22937" w:rsidRPr="00B4690D">
        <w:rPr>
          <w:sz w:val="23"/>
          <w:szCs w:val="23"/>
          <w:lang w:val="es-ES"/>
        </w:rPr>
        <w:t xml:space="preserve">jecución del Proyecto </w:t>
      </w:r>
      <w:r w:rsidRPr="00B4690D">
        <w:rPr>
          <w:sz w:val="23"/>
          <w:szCs w:val="23"/>
          <w:lang w:val="es-ES"/>
        </w:rPr>
        <w:t>que impulsa el Banco refleja la naturaleza del Proyecto y su perfil de riesgos. La estrategia</w:t>
      </w:r>
      <w:r w:rsidR="00F22937">
        <w:rPr>
          <w:sz w:val="23"/>
          <w:szCs w:val="23"/>
          <w:lang w:val="es-ES"/>
        </w:rPr>
        <w:t xml:space="preserve"> </w:t>
      </w:r>
      <w:r w:rsidR="009C77E9" w:rsidRPr="00B4690D">
        <w:rPr>
          <w:sz w:val="23"/>
          <w:szCs w:val="23"/>
          <w:lang w:val="es-ES"/>
        </w:rPr>
        <w:t xml:space="preserve">pretende que </w:t>
      </w:r>
      <w:r w:rsidR="00F22937">
        <w:rPr>
          <w:sz w:val="23"/>
          <w:szCs w:val="23"/>
          <w:lang w:val="es-ES"/>
        </w:rPr>
        <w:t xml:space="preserve">el apoyo a </w:t>
      </w:r>
      <w:r w:rsidR="009C77E9" w:rsidRPr="00B4690D">
        <w:rPr>
          <w:sz w:val="23"/>
          <w:szCs w:val="23"/>
          <w:lang w:val="es-ES"/>
        </w:rPr>
        <w:t xml:space="preserve">la ejecución del proyecto sea más eficiente y a la vez concentrada en la aplicación de las medidas de mitigación de los riesgos identificados en el ORAF. </w:t>
      </w:r>
      <w:r w:rsidRPr="00B4690D">
        <w:rPr>
          <w:sz w:val="23"/>
          <w:szCs w:val="23"/>
          <w:lang w:val="es-ES"/>
        </w:rPr>
        <w:t>La estrategia</w:t>
      </w:r>
      <w:r w:rsidR="00F22937">
        <w:rPr>
          <w:sz w:val="23"/>
          <w:szCs w:val="23"/>
          <w:lang w:val="es-ES"/>
        </w:rPr>
        <w:t xml:space="preserve"> </w:t>
      </w:r>
      <w:r w:rsidR="009C77E9" w:rsidRPr="00B4690D">
        <w:rPr>
          <w:sz w:val="23"/>
          <w:szCs w:val="23"/>
          <w:lang w:val="es-ES"/>
        </w:rPr>
        <w:t>e</w:t>
      </w:r>
      <w:r w:rsidR="007C174B" w:rsidRPr="00B4690D">
        <w:rPr>
          <w:sz w:val="23"/>
          <w:szCs w:val="23"/>
          <w:lang w:val="es-ES"/>
        </w:rPr>
        <w:t>s</w:t>
      </w:r>
      <w:r w:rsidR="009C77E9" w:rsidRPr="00B4690D">
        <w:rPr>
          <w:sz w:val="23"/>
          <w:szCs w:val="23"/>
          <w:lang w:val="es-ES"/>
        </w:rPr>
        <w:t xml:space="preserve"> además un instrumento indicativo y flexible que se puede revisar durante el periodo de ejecución del Proyecto</w:t>
      </w:r>
      <w:r w:rsidR="00F22937">
        <w:rPr>
          <w:sz w:val="23"/>
          <w:szCs w:val="23"/>
          <w:lang w:val="es-ES"/>
        </w:rPr>
        <w:t xml:space="preserve"> </w:t>
      </w:r>
      <w:r w:rsidR="009C77E9" w:rsidRPr="00B4690D">
        <w:rPr>
          <w:sz w:val="23"/>
          <w:szCs w:val="23"/>
          <w:lang w:val="es-ES"/>
        </w:rPr>
        <w:t xml:space="preserve">como parte </w:t>
      </w:r>
      <w:r w:rsidR="004413C4" w:rsidRPr="00B4690D">
        <w:rPr>
          <w:sz w:val="23"/>
          <w:szCs w:val="23"/>
          <w:lang w:val="es-ES"/>
        </w:rPr>
        <w:t>de las R</w:t>
      </w:r>
      <w:r w:rsidR="00872E57" w:rsidRPr="00B4690D">
        <w:rPr>
          <w:sz w:val="23"/>
          <w:szCs w:val="23"/>
          <w:lang w:val="es-ES"/>
        </w:rPr>
        <w:t>evisiones del</w:t>
      </w:r>
      <w:r w:rsidR="009C77E9" w:rsidRPr="00B4690D">
        <w:rPr>
          <w:sz w:val="23"/>
          <w:szCs w:val="23"/>
          <w:lang w:val="es-ES"/>
        </w:rPr>
        <w:t xml:space="preserve"> Informe </w:t>
      </w:r>
      <w:r w:rsidR="00872E57" w:rsidRPr="00B4690D">
        <w:rPr>
          <w:sz w:val="23"/>
          <w:szCs w:val="23"/>
          <w:lang w:val="es-ES"/>
        </w:rPr>
        <w:t>sobre el Estado de la Ejecución y los Resultados (ISR)</w:t>
      </w:r>
      <w:r w:rsidR="004878CE" w:rsidRPr="00B4690D">
        <w:rPr>
          <w:sz w:val="23"/>
          <w:szCs w:val="23"/>
          <w:lang w:val="es-ES"/>
        </w:rPr>
        <w:t xml:space="preserve"> y ajustar con base en los retos y condiciones de campo que vayan emergiendo.</w:t>
      </w:r>
    </w:p>
    <w:p w:rsidR="007C174B" w:rsidRPr="00B4690D" w:rsidRDefault="007C174B" w:rsidP="00B4690D">
      <w:pPr>
        <w:jc w:val="both"/>
        <w:rPr>
          <w:sz w:val="23"/>
          <w:szCs w:val="23"/>
          <w:lang w:val="es-ES"/>
        </w:rPr>
      </w:pPr>
    </w:p>
    <w:p w:rsidR="007C174B" w:rsidRPr="00B4690D" w:rsidRDefault="004878CE" w:rsidP="00F91221">
      <w:pPr>
        <w:pStyle w:val="ModelNrmlSingle"/>
        <w:numPr>
          <w:ilvl w:val="0"/>
          <w:numId w:val="31"/>
        </w:numPr>
        <w:spacing w:after="0"/>
        <w:rPr>
          <w:sz w:val="23"/>
          <w:szCs w:val="23"/>
          <w:lang w:val="es-ES"/>
        </w:rPr>
      </w:pPr>
      <w:r w:rsidRPr="00B4690D">
        <w:rPr>
          <w:b/>
          <w:sz w:val="23"/>
          <w:szCs w:val="23"/>
          <w:lang w:val="es-ES"/>
        </w:rPr>
        <w:t>Ejecución del Proyecto en General</w:t>
      </w:r>
      <w:r w:rsidR="007C174B" w:rsidRPr="00B4690D">
        <w:rPr>
          <w:b/>
          <w:sz w:val="23"/>
          <w:szCs w:val="23"/>
          <w:lang w:val="es-ES"/>
        </w:rPr>
        <w:t xml:space="preserve">. </w:t>
      </w:r>
      <w:r w:rsidRPr="00B4690D">
        <w:rPr>
          <w:sz w:val="23"/>
          <w:szCs w:val="23"/>
          <w:lang w:val="es-ES"/>
        </w:rPr>
        <w:t>La</w:t>
      </w:r>
      <w:r w:rsidR="00F22937">
        <w:rPr>
          <w:sz w:val="23"/>
          <w:szCs w:val="23"/>
          <w:lang w:val="es-ES"/>
        </w:rPr>
        <w:t xml:space="preserve"> </w:t>
      </w:r>
      <w:r w:rsidRPr="00B4690D">
        <w:rPr>
          <w:sz w:val="23"/>
          <w:szCs w:val="23"/>
          <w:lang w:val="es-ES"/>
        </w:rPr>
        <w:t>supervisión del Proyecto apoyará las siguientes áreas críticas: (a) Capacidad fiduciaria para promover el establecimiento de sistemas ade</w:t>
      </w:r>
      <w:r w:rsidR="00D01082" w:rsidRPr="00B4690D">
        <w:rPr>
          <w:sz w:val="23"/>
          <w:szCs w:val="23"/>
          <w:lang w:val="es-ES"/>
        </w:rPr>
        <w:t xml:space="preserve">cuados de control interno y de buena administración en general; (b) Habilidades técnicas en ordenamiento territorial para apoyar la adopción de buenas prácticas y eficiencia en los costos; (c) Mitigación de posibles interferencias políticas para conservar robusta la capacidad técnica, la alineación con los objetivos del Proyecto y la debida diligencia; (d) Consultas libres, previas e informativas </w:t>
      </w:r>
      <w:r w:rsidR="001072B6" w:rsidRPr="00B4690D">
        <w:rPr>
          <w:sz w:val="23"/>
          <w:szCs w:val="23"/>
          <w:lang w:val="es-ES"/>
        </w:rPr>
        <w:t>a celebrar con los pueblos indígenas durante todo el periodo de ejecución del Proyecto, con la finalidad</w:t>
      </w:r>
      <w:r w:rsidR="00FD41B8" w:rsidRPr="00B4690D">
        <w:rPr>
          <w:sz w:val="23"/>
          <w:szCs w:val="23"/>
          <w:lang w:val="es-ES"/>
        </w:rPr>
        <w:t xml:space="preserve"> de garantizar que reciban beneficios respetuosos de sus creencias culturales; (e)</w:t>
      </w:r>
      <w:r w:rsidR="00F22937">
        <w:rPr>
          <w:sz w:val="23"/>
          <w:szCs w:val="23"/>
          <w:lang w:val="es-ES"/>
        </w:rPr>
        <w:t xml:space="preserve"> Administración</w:t>
      </w:r>
      <w:r w:rsidR="00FD41B8" w:rsidRPr="00B4690D">
        <w:rPr>
          <w:sz w:val="23"/>
          <w:szCs w:val="23"/>
          <w:lang w:val="es-ES"/>
        </w:rPr>
        <w:t xml:space="preserve"> de los factores ambientales y sociales en las áreas protegidas y hábitats naturales críticos para contribuir a la conservación sin comprometer el bienestar de la población local;(f) Campaña de comunicación para mantener informados </w:t>
      </w:r>
      <w:r w:rsidR="00841DC3" w:rsidRPr="00B4690D">
        <w:rPr>
          <w:sz w:val="23"/>
          <w:szCs w:val="23"/>
          <w:lang w:val="es-ES"/>
        </w:rPr>
        <w:t>e involucrados a los actores; (g) Aplicación de la</w:t>
      </w:r>
      <w:r w:rsidR="00F22937">
        <w:rPr>
          <w:sz w:val="23"/>
          <w:szCs w:val="23"/>
          <w:lang w:val="es-ES"/>
        </w:rPr>
        <w:t xml:space="preserve"> </w:t>
      </w:r>
      <w:r w:rsidR="007A6572" w:rsidRPr="00B4690D">
        <w:rPr>
          <w:sz w:val="23"/>
          <w:szCs w:val="23"/>
          <w:lang w:val="es-ES"/>
        </w:rPr>
        <w:t>estrategia de género</w:t>
      </w:r>
      <w:r w:rsidR="00F22937">
        <w:rPr>
          <w:sz w:val="23"/>
          <w:szCs w:val="23"/>
          <w:lang w:val="es-ES"/>
        </w:rPr>
        <w:t xml:space="preserve"> </w:t>
      </w:r>
      <w:r w:rsidR="00841DC3" w:rsidRPr="00B4690D">
        <w:rPr>
          <w:sz w:val="23"/>
          <w:szCs w:val="23"/>
          <w:lang w:val="es-ES"/>
        </w:rPr>
        <w:t xml:space="preserve">para garantizar que los beneficios del Proyecto </w:t>
      </w:r>
      <w:r w:rsidR="00774CEF" w:rsidRPr="00B4690D">
        <w:rPr>
          <w:sz w:val="23"/>
          <w:szCs w:val="23"/>
          <w:lang w:val="es-ES"/>
        </w:rPr>
        <w:t>vayan de manera equitativa para hombres y mujeres</w:t>
      </w:r>
      <w:r w:rsidR="007C174B" w:rsidRPr="00B4690D">
        <w:rPr>
          <w:sz w:val="23"/>
          <w:szCs w:val="23"/>
          <w:lang w:val="es-ES"/>
        </w:rPr>
        <w:t xml:space="preserve">. </w:t>
      </w:r>
    </w:p>
    <w:p w:rsidR="00C85E87" w:rsidRPr="008633A1" w:rsidRDefault="00774CEF" w:rsidP="00F91221">
      <w:pPr>
        <w:pStyle w:val="ModelNrmlSingle"/>
        <w:numPr>
          <w:ilvl w:val="0"/>
          <w:numId w:val="31"/>
        </w:numPr>
        <w:spacing w:after="0"/>
        <w:rPr>
          <w:sz w:val="23"/>
          <w:szCs w:val="23"/>
          <w:lang w:val="es-ES"/>
        </w:rPr>
      </w:pPr>
      <w:r w:rsidRPr="00B4690D">
        <w:rPr>
          <w:b/>
          <w:sz w:val="23"/>
          <w:szCs w:val="23"/>
          <w:lang w:val="es-ES"/>
        </w:rPr>
        <w:t>Aspectos Fiduciarios</w:t>
      </w:r>
      <w:r w:rsidR="007C174B" w:rsidRPr="00B4690D">
        <w:rPr>
          <w:b/>
          <w:sz w:val="23"/>
          <w:szCs w:val="23"/>
          <w:lang w:val="es-ES"/>
        </w:rPr>
        <w:t>.</w:t>
      </w:r>
      <w:r w:rsidR="005C1C80">
        <w:rPr>
          <w:b/>
          <w:sz w:val="23"/>
          <w:szCs w:val="23"/>
          <w:lang w:val="es-ES"/>
        </w:rPr>
        <w:t xml:space="preserve"> </w:t>
      </w:r>
      <w:r w:rsidRPr="00B4690D">
        <w:rPr>
          <w:sz w:val="23"/>
          <w:szCs w:val="23"/>
          <w:lang w:val="es-ES"/>
        </w:rPr>
        <w:t>El Banco Mundial</w:t>
      </w:r>
      <w:r w:rsidR="007C174B" w:rsidRPr="00B4690D">
        <w:rPr>
          <w:sz w:val="23"/>
          <w:szCs w:val="23"/>
          <w:lang w:val="es-ES"/>
        </w:rPr>
        <w:t xml:space="preserve">: (a) </w:t>
      </w:r>
      <w:r w:rsidRPr="00B4690D">
        <w:rPr>
          <w:sz w:val="23"/>
          <w:szCs w:val="23"/>
          <w:lang w:val="es-ES"/>
        </w:rPr>
        <w:t>Brindará capacitaciones y apoyo a la</w:t>
      </w:r>
      <w:r w:rsidR="000D0E49" w:rsidRPr="00B4690D">
        <w:rPr>
          <w:sz w:val="23"/>
          <w:szCs w:val="23"/>
          <w:lang w:val="es-ES"/>
        </w:rPr>
        <w:t xml:space="preserve"> ejecución</w:t>
      </w:r>
      <w:r w:rsidR="005C1C80">
        <w:rPr>
          <w:sz w:val="23"/>
          <w:szCs w:val="23"/>
          <w:lang w:val="es-ES"/>
        </w:rPr>
        <w:t xml:space="preserve"> </w:t>
      </w:r>
      <w:r w:rsidRPr="00B4690D">
        <w:rPr>
          <w:sz w:val="23"/>
          <w:szCs w:val="23"/>
          <w:lang w:val="es-ES"/>
        </w:rPr>
        <w:t>según sea necesario</w:t>
      </w:r>
      <w:r w:rsidR="005746A9" w:rsidRPr="00B4690D">
        <w:rPr>
          <w:sz w:val="23"/>
          <w:szCs w:val="23"/>
          <w:lang w:val="es-ES"/>
        </w:rPr>
        <w:t>; (b)</w:t>
      </w:r>
      <w:r w:rsidR="005C1C80">
        <w:rPr>
          <w:sz w:val="23"/>
          <w:szCs w:val="23"/>
          <w:lang w:val="es-ES"/>
        </w:rPr>
        <w:t xml:space="preserve"> </w:t>
      </w:r>
      <w:r w:rsidR="00C85E87" w:rsidRPr="00B4690D">
        <w:rPr>
          <w:sz w:val="23"/>
          <w:szCs w:val="23"/>
          <w:lang w:val="es-ES"/>
        </w:rPr>
        <w:t xml:space="preserve">Dará </w:t>
      </w:r>
      <w:r w:rsidRPr="00B4690D">
        <w:rPr>
          <w:sz w:val="23"/>
          <w:szCs w:val="23"/>
          <w:lang w:val="es-ES"/>
        </w:rPr>
        <w:t xml:space="preserve">seguimiento al sistema de gestión financiera del Proyecto y su </w:t>
      </w:r>
      <w:r w:rsidRPr="008633A1">
        <w:rPr>
          <w:sz w:val="23"/>
          <w:szCs w:val="23"/>
          <w:lang w:val="es-ES"/>
        </w:rPr>
        <w:t>adherencia al Manual Operativo, entre ellos, sin carácter taxativo, contabilidad, generación de informes y controles internos; (c) Orientar</w:t>
      </w:r>
      <w:r w:rsidR="00C85E87" w:rsidRPr="008633A1">
        <w:rPr>
          <w:sz w:val="23"/>
          <w:szCs w:val="23"/>
          <w:lang w:val="es-ES"/>
        </w:rPr>
        <w:t>á</w:t>
      </w:r>
      <w:r w:rsidRPr="008633A1">
        <w:rPr>
          <w:sz w:val="23"/>
          <w:szCs w:val="23"/>
          <w:lang w:val="es-ES"/>
        </w:rPr>
        <w:t xml:space="preserve"> a la UPC y agencias co-ejecutoras sobre las normas de adquisición del Banco Mundial</w:t>
      </w:r>
      <w:r w:rsidR="00C85E87" w:rsidRPr="008633A1">
        <w:rPr>
          <w:sz w:val="23"/>
          <w:szCs w:val="23"/>
          <w:lang w:val="es-ES"/>
        </w:rPr>
        <w:t>; (d) Revisará la documentación de las adquisiciones y ofrecerá retroalimentación oportuna a la UCP; (e) Ayudará a monitorear el avance de las compras según el Plan de Adquisiciones.</w:t>
      </w:r>
    </w:p>
    <w:p w:rsidR="00971762" w:rsidRPr="008633A1" w:rsidRDefault="00971762" w:rsidP="00F91221">
      <w:pPr>
        <w:pStyle w:val="ModelNrmlSingle"/>
        <w:numPr>
          <w:ilvl w:val="0"/>
          <w:numId w:val="31"/>
        </w:numPr>
        <w:spacing w:after="0"/>
        <w:rPr>
          <w:sz w:val="23"/>
          <w:szCs w:val="23"/>
          <w:lang w:val="es-ES"/>
        </w:rPr>
      </w:pPr>
      <w:r w:rsidRPr="008633A1">
        <w:rPr>
          <w:b/>
          <w:sz w:val="23"/>
          <w:szCs w:val="23"/>
          <w:lang w:val="es-ES"/>
        </w:rPr>
        <w:t>Aspectos Ambientales</w:t>
      </w:r>
      <w:r w:rsidR="009F3769">
        <w:rPr>
          <w:b/>
          <w:sz w:val="23"/>
          <w:szCs w:val="23"/>
          <w:lang w:val="es-ES"/>
        </w:rPr>
        <w:t xml:space="preserve"> </w:t>
      </w:r>
      <w:r w:rsidR="00FF357C" w:rsidRPr="008633A1">
        <w:rPr>
          <w:b/>
          <w:sz w:val="23"/>
          <w:szCs w:val="23"/>
          <w:lang w:val="es-ES"/>
        </w:rPr>
        <w:t>y</w:t>
      </w:r>
      <w:r w:rsidR="007C174B" w:rsidRPr="008633A1">
        <w:rPr>
          <w:b/>
          <w:sz w:val="23"/>
          <w:szCs w:val="23"/>
          <w:lang w:val="es-ES"/>
        </w:rPr>
        <w:t xml:space="preserve"> Social</w:t>
      </w:r>
      <w:r w:rsidRPr="008633A1">
        <w:rPr>
          <w:b/>
          <w:sz w:val="23"/>
          <w:szCs w:val="23"/>
          <w:lang w:val="es-ES"/>
        </w:rPr>
        <w:t>es</w:t>
      </w:r>
      <w:r w:rsidR="007C174B" w:rsidRPr="008633A1">
        <w:rPr>
          <w:b/>
          <w:sz w:val="23"/>
          <w:szCs w:val="23"/>
          <w:lang w:val="es-ES"/>
        </w:rPr>
        <w:t>.</w:t>
      </w:r>
      <w:r w:rsidR="005C1C80">
        <w:rPr>
          <w:b/>
          <w:sz w:val="23"/>
          <w:szCs w:val="23"/>
          <w:lang w:val="es-ES"/>
        </w:rPr>
        <w:t xml:space="preserve"> </w:t>
      </w:r>
      <w:r w:rsidRPr="008633A1">
        <w:rPr>
          <w:sz w:val="23"/>
          <w:szCs w:val="23"/>
          <w:lang w:val="es-NI"/>
        </w:rPr>
        <w:t>El Banco Mundial hará énfasis en las oportunidades</w:t>
      </w:r>
      <w:r w:rsidR="008B3791" w:rsidRPr="008633A1">
        <w:rPr>
          <w:sz w:val="23"/>
          <w:szCs w:val="23"/>
          <w:lang w:val="es-NI"/>
        </w:rPr>
        <w:t xml:space="preserve"> de desarrollo social y sostenibilidad ambiental que ofrece el Proyecto, así como atención adecuada a los temas de igualdad de género. Dentro de este marco, el Banco Mundial contribuirá a darle seguimiento a la ejecución de las actividades y de las salvaguardas. Los especialistas en temas sociales y ambientales, asignados por el Banco Mundial, le brindarán orientación </w:t>
      </w:r>
      <w:r w:rsidR="008B3791" w:rsidRPr="008633A1">
        <w:rPr>
          <w:sz w:val="23"/>
          <w:szCs w:val="23"/>
          <w:lang w:val="es-ES"/>
        </w:rPr>
        <w:t>oportuna a la PGR y agencias co-ejecutoras  y harán visitas de campo de forma periódica para mantener una comunicación y comprensión de la situación en el terreno.</w:t>
      </w:r>
    </w:p>
    <w:p w:rsidR="007C174B" w:rsidRPr="008633A1" w:rsidRDefault="008B3791" w:rsidP="00F91221">
      <w:pPr>
        <w:pStyle w:val="ModelNrmlSingle"/>
        <w:numPr>
          <w:ilvl w:val="0"/>
          <w:numId w:val="31"/>
        </w:numPr>
        <w:spacing w:after="0"/>
        <w:rPr>
          <w:sz w:val="23"/>
          <w:szCs w:val="23"/>
          <w:lang w:val="es-ES"/>
        </w:rPr>
      </w:pPr>
      <w:r w:rsidRPr="008633A1">
        <w:rPr>
          <w:b/>
          <w:sz w:val="23"/>
          <w:szCs w:val="23"/>
          <w:lang w:val="es-ES"/>
        </w:rPr>
        <w:t>Información</w:t>
      </w:r>
      <w:r w:rsidR="005C1C80">
        <w:rPr>
          <w:b/>
          <w:sz w:val="23"/>
          <w:szCs w:val="23"/>
          <w:lang w:val="es-ES"/>
        </w:rPr>
        <w:t xml:space="preserve"> </w:t>
      </w:r>
      <w:r w:rsidR="00FF357C" w:rsidRPr="008633A1">
        <w:rPr>
          <w:b/>
          <w:sz w:val="23"/>
          <w:szCs w:val="23"/>
          <w:lang w:val="es-ES"/>
        </w:rPr>
        <w:t>y</w:t>
      </w:r>
      <w:r w:rsidR="005C1C80">
        <w:rPr>
          <w:b/>
          <w:sz w:val="23"/>
          <w:szCs w:val="23"/>
          <w:lang w:val="es-ES"/>
        </w:rPr>
        <w:t xml:space="preserve"> </w:t>
      </w:r>
      <w:r w:rsidRPr="008633A1">
        <w:rPr>
          <w:b/>
          <w:sz w:val="23"/>
          <w:szCs w:val="23"/>
          <w:lang w:val="es-ES"/>
        </w:rPr>
        <w:t>Comunicación</w:t>
      </w:r>
      <w:r w:rsidR="007C174B" w:rsidRPr="008633A1">
        <w:rPr>
          <w:b/>
          <w:sz w:val="23"/>
          <w:szCs w:val="23"/>
          <w:lang w:val="es-ES"/>
        </w:rPr>
        <w:t>.</w:t>
      </w:r>
      <w:r w:rsidR="005C1C80">
        <w:rPr>
          <w:b/>
          <w:sz w:val="23"/>
          <w:szCs w:val="23"/>
          <w:lang w:val="es-ES"/>
        </w:rPr>
        <w:t xml:space="preserve"> </w:t>
      </w:r>
      <w:r w:rsidRPr="008633A1">
        <w:rPr>
          <w:sz w:val="23"/>
          <w:szCs w:val="23"/>
          <w:lang w:val="es-ES"/>
        </w:rPr>
        <w:t xml:space="preserve">La estrategia de comunicación servirá para apuntalar la </w:t>
      </w:r>
      <w:r w:rsidR="000D0E49" w:rsidRPr="008633A1">
        <w:rPr>
          <w:sz w:val="23"/>
          <w:szCs w:val="23"/>
          <w:lang w:val="es-ES"/>
        </w:rPr>
        <w:t>ejecución</w:t>
      </w:r>
      <w:r w:rsidR="005C1C80">
        <w:rPr>
          <w:sz w:val="23"/>
          <w:szCs w:val="23"/>
          <w:lang w:val="es-ES"/>
        </w:rPr>
        <w:t xml:space="preserve"> </w:t>
      </w:r>
      <w:r w:rsidRPr="008633A1">
        <w:rPr>
          <w:sz w:val="23"/>
          <w:szCs w:val="23"/>
          <w:lang w:val="es-ES"/>
        </w:rPr>
        <w:t>del Proyecto en sus diversas áreas de intervención</w:t>
      </w:r>
      <w:r w:rsidR="007C174B" w:rsidRPr="008633A1">
        <w:rPr>
          <w:sz w:val="23"/>
          <w:szCs w:val="23"/>
          <w:lang w:val="es-ES"/>
        </w:rPr>
        <w:t xml:space="preserve">. </w:t>
      </w:r>
      <w:r w:rsidR="007A3E9B" w:rsidRPr="008633A1">
        <w:rPr>
          <w:sz w:val="23"/>
          <w:szCs w:val="23"/>
          <w:lang w:val="es-ES"/>
        </w:rPr>
        <w:t>La estrategia</w:t>
      </w:r>
      <w:r w:rsidR="005C1C80">
        <w:rPr>
          <w:sz w:val="23"/>
          <w:szCs w:val="23"/>
          <w:lang w:val="es-ES"/>
        </w:rPr>
        <w:t xml:space="preserve"> </w:t>
      </w:r>
      <w:r w:rsidRPr="008633A1">
        <w:rPr>
          <w:sz w:val="23"/>
          <w:szCs w:val="23"/>
          <w:lang w:val="es-ES"/>
        </w:rPr>
        <w:t xml:space="preserve">también busca cómo apoyar la aplicación de procesos </w:t>
      </w:r>
      <w:r w:rsidR="008F3F38" w:rsidRPr="008633A1">
        <w:rPr>
          <w:sz w:val="23"/>
          <w:szCs w:val="23"/>
          <w:lang w:val="es-ES"/>
        </w:rPr>
        <w:t>de consultas y rendición de cuentas, entre ellos el mecanismo de atención y resolución de quejas y denuncias.</w:t>
      </w:r>
    </w:p>
    <w:p w:rsidR="007C174B" w:rsidRPr="008633A1" w:rsidRDefault="007C174B" w:rsidP="007C174B">
      <w:pPr>
        <w:pStyle w:val="ModelNrmlSingle"/>
        <w:spacing w:after="0"/>
        <w:ind w:left="720" w:right="720" w:firstLine="0"/>
        <w:rPr>
          <w:sz w:val="23"/>
          <w:szCs w:val="23"/>
          <w:lang w:val="es-ES"/>
        </w:rPr>
      </w:pPr>
    </w:p>
    <w:p w:rsidR="007C174B" w:rsidRPr="008633A1" w:rsidRDefault="007C174B" w:rsidP="00F91221">
      <w:pPr>
        <w:pStyle w:val="ListParagraph"/>
        <w:numPr>
          <w:ilvl w:val="0"/>
          <w:numId w:val="36"/>
        </w:numPr>
        <w:ind w:right="720"/>
        <w:jc w:val="both"/>
        <w:rPr>
          <w:b/>
          <w:sz w:val="23"/>
          <w:szCs w:val="23"/>
          <w:lang w:val="es-ES"/>
        </w:rPr>
      </w:pPr>
      <w:r w:rsidRPr="008633A1">
        <w:rPr>
          <w:b/>
          <w:sz w:val="23"/>
          <w:szCs w:val="23"/>
          <w:lang w:val="es-ES"/>
        </w:rPr>
        <w:t>Plan</w:t>
      </w:r>
      <w:r w:rsidR="008F3F38" w:rsidRPr="008633A1">
        <w:rPr>
          <w:b/>
          <w:sz w:val="23"/>
          <w:szCs w:val="23"/>
          <w:lang w:val="es-ES"/>
        </w:rPr>
        <w:t xml:space="preserve"> de Apoyo a la Ejecución</w:t>
      </w:r>
    </w:p>
    <w:p w:rsidR="00335648" w:rsidRPr="008633A1" w:rsidRDefault="00787BD4" w:rsidP="00F91221">
      <w:pPr>
        <w:numPr>
          <w:ilvl w:val="0"/>
          <w:numId w:val="32"/>
        </w:numPr>
        <w:jc w:val="both"/>
        <w:rPr>
          <w:sz w:val="23"/>
          <w:szCs w:val="23"/>
          <w:lang w:val="es-ES"/>
        </w:rPr>
      </w:pPr>
      <w:r w:rsidRPr="008633A1">
        <w:rPr>
          <w:sz w:val="23"/>
          <w:szCs w:val="23"/>
          <w:lang w:val="es-ES"/>
        </w:rPr>
        <w:t xml:space="preserve">La oficina del Banco Mundial en Washington asumirá el liderazgo del equipo de trabajo así como los aspectos técnicos y las salvaguardas, en colaboración con la oficina de país en Managua. El </w:t>
      </w:r>
      <w:r w:rsidRPr="008633A1">
        <w:rPr>
          <w:sz w:val="23"/>
          <w:szCs w:val="23"/>
          <w:lang w:val="es-ES"/>
        </w:rPr>
        <w:lastRenderedPageBreak/>
        <w:t xml:space="preserve">apoyo a favor de las operaciones de adquisición y gestión financiera se dará desde la oficina de Managua. Se procederá a contratar </w:t>
      </w:r>
      <w:r w:rsidR="00335648" w:rsidRPr="008633A1">
        <w:rPr>
          <w:sz w:val="23"/>
          <w:szCs w:val="23"/>
          <w:lang w:val="es-ES"/>
        </w:rPr>
        <w:t>consultores nacionales e internacionales</w:t>
      </w:r>
      <w:r w:rsidRPr="008633A1">
        <w:rPr>
          <w:sz w:val="23"/>
          <w:szCs w:val="23"/>
          <w:lang w:val="es-ES"/>
        </w:rPr>
        <w:t xml:space="preserve"> para brindar servicios de asesoría en temas especializados de ordenamiento de la propiedad</w:t>
      </w:r>
      <w:r w:rsidR="00335648" w:rsidRPr="008633A1">
        <w:rPr>
          <w:sz w:val="23"/>
          <w:szCs w:val="23"/>
          <w:lang w:val="es-ES"/>
        </w:rPr>
        <w:t>. La supervisión formal y las visitas de campo se darán con una frecuencia semestral o según lo exijan las circunstancias para promover la ejecución satisfactoria del Proyecto.</w:t>
      </w:r>
    </w:p>
    <w:p w:rsidR="007C174B" w:rsidRPr="008633A1" w:rsidRDefault="007C174B" w:rsidP="009E5994">
      <w:pPr>
        <w:ind w:left="5"/>
        <w:jc w:val="both"/>
        <w:rPr>
          <w:sz w:val="23"/>
          <w:szCs w:val="23"/>
          <w:lang w:val="es-ES"/>
        </w:rPr>
      </w:pPr>
    </w:p>
    <w:p w:rsidR="007C174B" w:rsidRPr="008633A1" w:rsidRDefault="00335648" w:rsidP="00F91221">
      <w:pPr>
        <w:numPr>
          <w:ilvl w:val="0"/>
          <w:numId w:val="32"/>
        </w:numPr>
        <w:jc w:val="both"/>
        <w:rPr>
          <w:sz w:val="23"/>
          <w:szCs w:val="23"/>
          <w:lang w:val="es-NI"/>
        </w:rPr>
      </w:pPr>
      <w:r w:rsidRPr="008633A1">
        <w:rPr>
          <w:sz w:val="23"/>
          <w:szCs w:val="23"/>
          <w:lang w:val="es-NI"/>
        </w:rPr>
        <w:t>El principal enfoque del apoyo a la ejecución aparece resumido en la siguiente tabla:</w:t>
      </w:r>
    </w:p>
    <w:p w:rsidR="00EA1B70" w:rsidRPr="009E5994" w:rsidRDefault="00EA1B70" w:rsidP="00EA1B70">
      <w:pPr>
        <w:jc w:val="both"/>
        <w:rPr>
          <w:sz w:val="23"/>
          <w:szCs w:val="23"/>
          <w:lang w:val="es-NI"/>
        </w:rPr>
      </w:pPr>
    </w:p>
    <w:tbl>
      <w:tblPr>
        <w:tblW w:w="9822" w:type="dxa"/>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2743"/>
        <w:gridCol w:w="4885"/>
        <w:gridCol w:w="878"/>
      </w:tblGrid>
      <w:tr w:rsidR="007C174B" w:rsidRPr="008633A1" w:rsidTr="00DA17AE">
        <w:trPr>
          <w:jc w:val="center"/>
        </w:trPr>
        <w:tc>
          <w:tcPr>
            <w:tcW w:w="1316" w:type="dxa"/>
            <w:tcBorders>
              <w:bottom w:val="single" w:sz="4" w:space="0" w:color="000000"/>
            </w:tcBorders>
            <w:vAlign w:val="center"/>
          </w:tcPr>
          <w:p w:rsidR="007C174B" w:rsidRPr="008633A1" w:rsidRDefault="007C174B" w:rsidP="00DA17AE">
            <w:pPr>
              <w:jc w:val="both"/>
              <w:rPr>
                <w:b/>
                <w:sz w:val="18"/>
                <w:szCs w:val="18"/>
                <w:lang w:val="es-ES"/>
              </w:rPr>
            </w:pPr>
            <w:r w:rsidRPr="008633A1">
              <w:rPr>
                <w:sz w:val="18"/>
                <w:szCs w:val="18"/>
                <w:lang w:val="es-ES"/>
              </w:rPr>
              <w:br w:type="page"/>
            </w:r>
            <w:r w:rsidR="00335648" w:rsidRPr="008633A1">
              <w:rPr>
                <w:b/>
                <w:sz w:val="18"/>
                <w:szCs w:val="18"/>
                <w:lang w:val="es-ES"/>
              </w:rPr>
              <w:t>Tiempo</w:t>
            </w:r>
          </w:p>
        </w:tc>
        <w:tc>
          <w:tcPr>
            <w:tcW w:w="2743" w:type="dxa"/>
            <w:tcBorders>
              <w:bottom w:val="single" w:sz="4" w:space="0" w:color="000000"/>
            </w:tcBorders>
            <w:vAlign w:val="center"/>
          </w:tcPr>
          <w:p w:rsidR="007C174B" w:rsidRPr="008633A1" w:rsidRDefault="00335648" w:rsidP="00DA17AE">
            <w:pPr>
              <w:jc w:val="both"/>
              <w:rPr>
                <w:b/>
                <w:sz w:val="18"/>
                <w:szCs w:val="18"/>
                <w:lang w:val="es-ES"/>
              </w:rPr>
            </w:pPr>
            <w:r w:rsidRPr="008633A1">
              <w:rPr>
                <w:b/>
                <w:sz w:val="18"/>
                <w:szCs w:val="18"/>
                <w:lang w:val="es-ES"/>
              </w:rPr>
              <w:t>Área de Atención</w:t>
            </w:r>
          </w:p>
        </w:tc>
        <w:tc>
          <w:tcPr>
            <w:tcW w:w="4885" w:type="dxa"/>
            <w:tcBorders>
              <w:bottom w:val="single" w:sz="4" w:space="0" w:color="000000"/>
            </w:tcBorders>
            <w:vAlign w:val="center"/>
          </w:tcPr>
          <w:p w:rsidR="007C174B" w:rsidRPr="008633A1" w:rsidRDefault="00335648" w:rsidP="00DA17AE">
            <w:pPr>
              <w:jc w:val="both"/>
              <w:rPr>
                <w:b/>
                <w:sz w:val="18"/>
                <w:szCs w:val="18"/>
                <w:lang w:val="es-ES"/>
              </w:rPr>
            </w:pPr>
            <w:r w:rsidRPr="008633A1">
              <w:rPr>
                <w:b/>
                <w:sz w:val="18"/>
                <w:szCs w:val="18"/>
                <w:lang w:val="es-ES"/>
              </w:rPr>
              <w:t>Habilidades y recursos necesarios</w:t>
            </w:r>
          </w:p>
        </w:tc>
        <w:tc>
          <w:tcPr>
            <w:tcW w:w="878" w:type="dxa"/>
            <w:tcBorders>
              <w:bottom w:val="single" w:sz="4" w:space="0" w:color="000000"/>
            </w:tcBorders>
            <w:vAlign w:val="center"/>
          </w:tcPr>
          <w:p w:rsidR="007C174B" w:rsidRPr="008633A1" w:rsidRDefault="00335648" w:rsidP="00DA17AE">
            <w:pPr>
              <w:jc w:val="both"/>
              <w:rPr>
                <w:b/>
                <w:sz w:val="18"/>
                <w:szCs w:val="18"/>
                <w:lang w:val="es-ES"/>
              </w:rPr>
            </w:pPr>
            <w:r w:rsidRPr="008633A1">
              <w:rPr>
                <w:b/>
                <w:sz w:val="18"/>
                <w:szCs w:val="18"/>
                <w:lang w:val="es-ES"/>
              </w:rPr>
              <w:t>Rol de Socios</w:t>
            </w:r>
          </w:p>
        </w:tc>
      </w:tr>
      <w:tr w:rsidR="0015148D" w:rsidRPr="008633A1" w:rsidTr="00A568E3">
        <w:trPr>
          <w:trHeight w:val="521"/>
          <w:jc w:val="center"/>
        </w:trPr>
        <w:tc>
          <w:tcPr>
            <w:tcW w:w="1316" w:type="dxa"/>
            <w:vMerge w:val="restart"/>
            <w:tcBorders>
              <w:right w:val="single" w:sz="4" w:space="0" w:color="000000"/>
            </w:tcBorders>
          </w:tcPr>
          <w:p w:rsidR="0015148D" w:rsidRPr="008633A1" w:rsidRDefault="0015148D" w:rsidP="00DA17AE">
            <w:pPr>
              <w:jc w:val="both"/>
              <w:rPr>
                <w:sz w:val="18"/>
                <w:szCs w:val="18"/>
                <w:lang w:val="es-ES"/>
              </w:rPr>
            </w:pPr>
            <w:r w:rsidRPr="008633A1">
              <w:rPr>
                <w:sz w:val="18"/>
                <w:szCs w:val="18"/>
                <w:lang w:val="es-ES"/>
              </w:rPr>
              <w:t>Primeros 12 meses</w:t>
            </w:r>
          </w:p>
          <w:p w:rsidR="0015148D" w:rsidRPr="008633A1" w:rsidRDefault="0015148D" w:rsidP="00DA17AE">
            <w:pPr>
              <w:jc w:val="both"/>
              <w:rPr>
                <w:sz w:val="18"/>
                <w:szCs w:val="18"/>
                <w:lang w:val="es-ES"/>
              </w:rPr>
            </w:pPr>
            <w:r w:rsidRPr="008633A1">
              <w:rPr>
                <w:sz w:val="18"/>
                <w:szCs w:val="18"/>
                <w:lang w:val="es-ES"/>
              </w:rPr>
              <w:t>(Semanas - hombres/año)</w:t>
            </w:r>
          </w:p>
          <w:p w:rsidR="0015148D" w:rsidRPr="008633A1" w:rsidRDefault="0015148D" w:rsidP="00DA17AE">
            <w:pPr>
              <w:jc w:val="both"/>
              <w:rPr>
                <w:sz w:val="18"/>
                <w:szCs w:val="18"/>
                <w:lang w:val="es-ES"/>
              </w:rPr>
            </w:pPr>
            <w:r w:rsidRPr="008633A1">
              <w:rPr>
                <w:sz w:val="18"/>
                <w:szCs w:val="18"/>
                <w:lang w:val="es-ES"/>
              </w:rPr>
              <w:t>(días/año)</w:t>
            </w:r>
          </w:p>
        </w:tc>
        <w:tc>
          <w:tcPr>
            <w:tcW w:w="2743" w:type="dxa"/>
            <w:tcBorders>
              <w:left w:val="single" w:sz="4" w:space="0" w:color="000000"/>
              <w:bottom w:val="nil"/>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Revisión de los aspectos técnicos y de adquisición de los pliegos de licitación </w:t>
            </w:r>
          </w:p>
        </w:tc>
        <w:tc>
          <w:tcPr>
            <w:tcW w:w="4885" w:type="dxa"/>
            <w:tcBorders>
              <w:left w:val="single" w:sz="4" w:space="0" w:color="000000"/>
              <w:bottom w:val="nil"/>
              <w:right w:val="single" w:sz="4" w:space="0" w:color="000000"/>
            </w:tcBorders>
          </w:tcPr>
          <w:p w:rsidR="0015148D" w:rsidRPr="008633A1" w:rsidRDefault="0015148D" w:rsidP="00DA17AE">
            <w:pPr>
              <w:rPr>
                <w:sz w:val="18"/>
                <w:szCs w:val="18"/>
                <w:lang w:val="es-ES"/>
              </w:rPr>
            </w:pPr>
            <w:r w:rsidRPr="008633A1">
              <w:rPr>
                <w:sz w:val="18"/>
                <w:szCs w:val="18"/>
                <w:lang w:val="es-ES"/>
              </w:rPr>
              <w:t>Especialistas en levantamiento catastral          30 días</w:t>
            </w:r>
          </w:p>
          <w:p w:rsidR="00441B9A" w:rsidRDefault="0015148D">
            <w:pPr>
              <w:rPr>
                <w:sz w:val="18"/>
                <w:szCs w:val="18"/>
                <w:lang w:val="es-ES"/>
              </w:rPr>
            </w:pPr>
            <w:r w:rsidRPr="008633A1">
              <w:rPr>
                <w:sz w:val="18"/>
                <w:szCs w:val="18"/>
                <w:lang w:val="es-ES"/>
              </w:rPr>
              <w:t xml:space="preserve">Especialista en adquisiciones    4 Semanas- </w:t>
            </w:r>
            <w:r w:rsidR="00E71AA2">
              <w:rPr>
                <w:sz w:val="18"/>
                <w:szCs w:val="18"/>
                <w:lang w:val="es-ES"/>
              </w:rPr>
              <w:t xml:space="preserve"> personal</w:t>
            </w:r>
          </w:p>
        </w:tc>
        <w:tc>
          <w:tcPr>
            <w:tcW w:w="878" w:type="dxa"/>
            <w:vMerge w:val="restart"/>
            <w:tcBorders>
              <w:left w:val="single" w:sz="4" w:space="0" w:color="000000"/>
            </w:tcBorders>
          </w:tcPr>
          <w:p w:rsidR="0015148D" w:rsidRPr="008633A1" w:rsidRDefault="0015148D" w:rsidP="00DA17AE">
            <w:pPr>
              <w:jc w:val="both"/>
              <w:rPr>
                <w:sz w:val="18"/>
                <w:szCs w:val="18"/>
                <w:lang w:val="es-ES"/>
              </w:rPr>
            </w:pPr>
            <w:r w:rsidRPr="008633A1">
              <w:rPr>
                <w:sz w:val="18"/>
                <w:szCs w:val="18"/>
                <w:lang w:val="es-ES"/>
              </w:rPr>
              <w:t>NA</w:t>
            </w:r>
          </w:p>
        </w:tc>
      </w:tr>
      <w:tr w:rsidR="0015148D" w:rsidRPr="008633A1" w:rsidTr="00A568E3">
        <w:trPr>
          <w:trHeight w:val="423"/>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nil"/>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p>
        </w:tc>
        <w:tc>
          <w:tcPr>
            <w:tcW w:w="4885" w:type="dxa"/>
            <w:tcBorders>
              <w:top w:val="nil"/>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p>
        </w:tc>
        <w:tc>
          <w:tcPr>
            <w:tcW w:w="878" w:type="dxa"/>
            <w:vMerge/>
            <w:tcBorders>
              <w:left w:val="single" w:sz="4" w:space="0" w:color="000000"/>
            </w:tcBorders>
          </w:tcPr>
          <w:p w:rsidR="0015148D" w:rsidRPr="008633A1" w:rsidRDefault="0015148D" w:rsidP="00DA17AE">
            <w:pPr>
              <w:jc w:val="both"/>
              <w:rPr>
                <w:sz w:val="18"/>
                <w:szCs w:val="18"/>
                <w:lang w:val="es-ES"/>
              </w:rPr>
            </w:pPr>
          </w:p>
        </w:tc>
      </w:tr>
      <w:tr w:rsidR="0015148D" w:rsidRPr="009F3769" w:rsidTr="00A568E3">
        <w:trPr>
          <w:trHeight w:val="368"/>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ind w:left="-18"/>
              <w:rPr>
                <w:sz w:val="18"/>
                <w:szCs w:val="18"/>
                <w:lang w:val="es-ES"/>
              </w:rPr>
            </w:pPr>
            <w:r w:rsidRPr="008633A1">
              <w:rPr>
                <w:sz w:val="18"/>
                <w:szCs w:val="18"/>
                <w:lang w:val="es-ES"/>
              </w:rPr>
              <w:t xml:space="preserve">supervisión gestión financiera </w:t>
            </w:r>
          </w:p>
        </w:tc>
        <w:tc>
          <w:tcPr>
            <w:tcW w:w="4885" w:type="dxa"/>
            <w:tcBorders>
              <w:top w:val="single" w:sz="4" w:space="0" w:color="auto"/>
              <w:left w:val="single" w:sz="4" w:space="0" w:color="000000"/>
              <w:bottom w:val="single" w:sz="4" w:space="0" w:color="auto"/>
              <w:right w:val="single" w:sz="4" w:space="0" w:color="000000"/>
            </w:tcBorders>
          </w:tcPr>
          <w:p w:rsidR="00441B9A" w:rsidRDefault="0015148D">
            <w:pPr>
              <w:rPr>
                <w:sz w:val="18"/>
                <w:szCs w:val="18"/>
                <w:lang w:val="es-ES"/>
              </w:rPr>
            </w:pPr>
            <w:r w:rsidRPr="008633A1">
              <w:rPr>
                <w:sz w:val="18"/>
                <w:szCs w:val="18"/>
                <w:lang w:val="es-ES"/>
              </w:rPr>
              <w:t xml:space="preserve">Especialista en gestión financiera  4 Semanas – </w:t>
            </w:r>
            <w:r w:rsidR="00E71AA2">
              <w:rPr>
                <w:sz w:val="18"/>
                <w:szCs w:val="18"/>
                <w:lang w:val="es-ES"/>
              </w:rPr>
              <w:t xml:space="preserve"> personal</w:t>
            </w:r>
          </w:p>
        </w:tc>
        <w:tc>
          <w:tcPr>
            <w:tcW w:w="878" w:type="dxa"/>
            <w:vMerge/>
            <w:tcBorders>
              <w:left w:val="single" w:sz="4" w:space="0" w:color="000000"/>
              <w:bottom w:val="nil"/>
            </w:tcBorders>
          </w:tcPr>
          <w:p w:rsidR="0015148D" w:rsidRPr="008633A1" w:rsidRDefault="0015148D" w:rsidP="00DA17AE">
            <w:pPr>
              <w:jc w:val="both"/>
              <w:rPr>
                <w:sz w:val="18"/>
                <w:szCs w:val="18"/>
                <w:lang w:val="es-ES"/>
              </w:rPr>
            </w:pPr>
          </w:p>
        </w:tc>
      </w:tr>
      <w:tr w:rsidR="0015148D" w:rsidRPr="009F3769" w:rsidTr="00A568E3">
        <w:trPr>
          <w:trHeight w:val="450"/>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ind w:left="-18"/>
              <w:rPr>
                <w:sz w:val="18"/>
                <w:szCs w:val="18"/>
                <w:lang w:val="es-ES"/>
              </w:rPr>
            </w:pPr>
            <w:r w:rsidRPr="008633A1">
              <w:rPr>
                <w:sz w:val="18"/>
                <w:szCs w:val="18"/>
                <w:lang w:val="es-ES"/>
              </w:rPr>
              <w:t>Desarrollo Social y Género –Supervisión y capacitación</w:t>
            </w:r>
          </w:p>
        </w:tc>
        <w:tc>
          <w:tcPr>
            <w:tcW w:w="4885"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Especialista social 5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441B9A" w:rsidRDefault="0015148D">
            <w:pPr>
              <w:rPr>
                <w:sz w:val="18"/>
                <w:szCs w:val="18"/>
                <w:lang w:val="es-ES"/>
              </w:rPr>
            </w:pPr>
            <w:r w:rsidRPr="008633A1">
              <w:rPr>
                <w:sz w:val="18"/>
                <w:szCs w:val="18"/>
                <w:lang w:val="es-ES"/>
              </w:rPr>
              <w:t xml:space="preserve">Especialista en género      2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nil"/>
            </w:tcBorders>
          </w:tcPr>
          <w:p w:rsidR="0015148D" w:rsidRPr="008633A1" w:rsidRDefault="0015148D" w:rsidP="00DA17AE">
            <w:pPr>
              <w:jc w:val="both"/>
              <w:rPr>
                <w:sz w:val="18"/>
                <w:szCs w:val="18"/>
                <w:lang w:val="es-ES"/>
              </w:rPr>
            </w:pPr>
          </w:p>
        </w:tc>
      </w:tr>
      <w:tr w:rsidR="0015148D" w:rsidRPr="008633A1" w:rsidTr="00A568E3">
        <w:trPr>
          <w:trHeight w:val="432"/>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ind w:left="-18"/>
              <w:rPr>
                <w:sz w:val="18"/>
                <w:szCs w:val="18"/>
                <w:lang w:val="es-ES"/>
              </w:rPr>
            </w:pPr>
            <w:r w:rsidRPr="008633A1">
              <w:rPr>
                <w:sz w:val="18"/>
                <w:szCs w:val="18"/>
                <w:lang w:val="es-ES"/>
              </w:rPr>
              <w:t>Sostenibilidad ambiental y salvaguardas - Supervisión y capacitación</w:t>
            </w:r>
          </w:p>
        </w:tc>
        <w:tc>
          <w:tcPr>
            <w:tcW w:w="4885" w:type="dxa"/>
            <w:tcBorders>
              <w:top w:val="single" w:sz="4" w:space="0" w:color="auto"/>
              <w:left w:val="single" w:sz="4" w:space="0" w:color="000000"/>
              <w:bottom w:val="single" w:sz="4" w:space="0" w:color="auto"/>
              <w:right w:val="single" w:sz="4" w:space="0" w:color="000000"/>
            </w:tcBorders>
          </w:tcPr>
          <w:p w:rsidR="00441B9A" w:rsidRDefault="0015148D">
            <w:pPr>
              <w:rPr>
                <w:sz w:val="18"/>
                <w:szCs w:val="18"/>
                <w:lang w:val="es-ES"/>
              </w:rPr>
            </w:pPr>
            <w:r w:rsidRPr="008633A1">
              <w:rPr>
                <w:sz w:val="18"/>
                <w:szCs w:val="18"/>
                <w:lang w:val="es-ES"/>
              </w:rPr>
              <w:t xml:space="preserve">Especialista ambiental    5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nil"/>
            </w:tcBorders>
          </w:tcPr>
          <w:p w:rsidR="0015148D" w:rsidRPr="008633A1" w:rsidRDefault="0015148D" w:rsidP="00DA17AE">
            <w:pPr>
              <w:jc w:val="both"/>
              <w:rPr>
                <w:sz w:val="18"/>
                <w:szCs w:val="18"/>
                <w:lang w:val="es-ES"/>
              </w:rPr>
            </w:pPr>
          </w:p>
        </w:tc>
      </w:tr>
      <w:tr w:rsidR="0015148D" w:rsidRPr="009F3769" w:rsidTr="00A568E3">
        <w:trPr>
          <w:trHeight w:val="540"/>
          <w:jc w:val="center"/>
        </w:trPr>
        <w:tc>
          <w:tcPr>
            <w:tcW w:w="1316" w:type="dxa"/>
            <w:vMerge/>
            <w:tcBorders>
              <w:bottom w:val="nil"/>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Administración del Proyecto y</w:t>
            </w:r>
          </w:p>
          <w:p w:rsidR="0015148D" w:rsidRPr="008633A1" w:rsidRDefault="0015148D" w:rsidP="00DA17AE">
            <w:pPr>
              <w:ind w:left="-18"/>
              <w:rPr>
                <w:sz w:val="18"/>
                <w:szCs w:val="18"/>
                <w:lang w:val="es-ES"/>
              </w:rPr>
            </w:pPr>
            <w:r w:rsidRPr="008633A1">
              <w:rPr>
                <w:sz w:val="18"/>
                <w:szCs w:val="18"/>
                <w:lang w:val="es-ES"/>
              </w:rPr>
              <w:t>Comunicación/Información</w:t>
            </w:r>
          </w:p>
        </w:tc>
        <w:tc>
          <w:tcPr>
            <w:tcW w:w="4885"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Líder del equipo de trabajo 8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15148D" w:rsidRPr="008633A1" w:rsidRDefault="0015148D" w:rsidP="00DA17AE">
            <w:pPr>
              <w:rPr>
                <w:sz w:val="18"/>
                <w:szCs w:val="18"/>
                <w:lang w:val="es-ES"/>
              </w:rPr>
            </w:pPr>
            <w:r w:rsidRPr="008633A1">
              <w:rPr>
                <w:sz w:val="18"/>
                <w:szCs w:val="18"/>
                <w:lang w:val="es-ES"/>
              </w:rPr>
              <w:t xml:space="preserve">Analista de operaciones           3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441B9A" w:rsidRDefault="0015148D">
            <w:pPr>
              <w:rPr>
                <w:sz w:val="18"/>
                <w:szCs w:val="18"/>
                <w:lang w:val="es-ES"/>
              </w:rPr>
            </w:pPr>
            <w:r w:rsidRPr="008633A1">
              <w:rPr>
                <w:sz w:val="18"/>
                <w:szCs w:val="18"/>
                <w:lang w:val="es-ES"/>
              </w:rPr>
              <w:t xml:space="preserve">Especialista en  comunicaciones      4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nil"/>
            </w:tcBorders>
          </w:tcPr>
          <w:p w:rsidR="0015148D" w:rsidRPr="008633A1" w:rsidRDefault="0015148D" w:rsidP="00DA17AE">
            <w:pPr>
              <w:jc w:val="both"/>
              <w:rPr>
                <w:sz w:val="18"/>
                <w:szCs w:val="18"/>
                <w:lang w:val="es-ES"/>
              </w:rPr>
            </w:pPr>
          </w:p>
        </w:tc>
      </w:tr>
      <w:tr w:rsidR="0015148D" w:rsidRPr="008633A1" w:rsidTr="00A568E3">
        <w:trPr>
          <w:trHeight w:val="530"/>
          <w:jc w:val="center"/>
        </w:trPr>
        <w:tc>
          <w:tcPr>
            <w:tcW w:w="1316" w:type="dxa"/>
            <w:vMerge w:val="restart"/>
            <w:tcBorders>
              <w:right w:val="single" w:sz="4" w:space="0" w:color="000000"/>
            </w:tcBorders>
          </w:tcPr>
          <w:p w:rsidR="0015148D" w:rsidRPr="008633A1" w:rsidRDefault="0015148D" w:rsidP="00DA17AE">
            <w:pPr>
              <w:jc w:val="both"/>
              <w:rPr>
                <w:sz w:val="18"/>
                <w:szCs w:val="18"/>
                <w:lang w:val="es-ES"/>
              </w:rPr>
            </w:pPr>
            <w:r w:rsidRPr="008633A1">
              <w:rPr>
                <w:sz w:val="18"/>
                <w:szCs w:val="18"/>
                <w:lang w:val="es-ES"/>
              </w:rPr>
              <w:t>Meses 13-48 (Semanas - hombres/año)</w:t>
            </w:r>
          </w:p>
          <w:p w:rsidR="0015148D" w:rsidRPr="008633A1" w:rsidRDefault="0015148D" w:rsidP="00DA17AE">
            <w:pPr>
              <w:jc w:val="both"/>
              <w:rPr>
                <w:sz w:val="18"/>
                <w:szCs w:val="18"/>
                <w:lang w:val="es-ES"/>
              </w:rPr>
            </w:pPr>
            <w:r w:rsidRPr="008633A1">
              <w:rPr>
                <w:sz w:val="18"/>
                <w:szCs w:val="18"/>
                <w:lang w:val="es-ES"/>
              </w:rPr>
              <w:t>(días/año)</w:t>
            </w:r>
          </w:p>
        </w:tc>
        <w:tc>
          <w:tcPr>
            <w:tcW w:w="2743" w:type="dxa"/>
            <w:tcBorders>
              <w:left w:val="single" w:sz="4" w:space="0" w:color="000000"/>
              <w:bottom w:val="single" w:sz="4" w:space="0" w:color="auto"/>
              <w:right w:val="single" w:sz="4" w:space="0" w:color="000000"/>
            </w:tcBorders>
          </w:tcPr>
          <w:p w:rsidR="0015148D" w:rsidRPr="008633A1" w:rsidRDefault="0015148D" w:rsidP="00DA17AE">
            <w:pPr>
              <w:ind w:left="-18"/>
              <w:rPr>
                <w:sz w:val="18"/>
                <w:szCs w:val="18"/>
                <w:lang w:val="es-ES"/>
              </w:rPr>
            </w:pPr>
            <w:r w:rsidRPr="008633A1">
              <w:rPr>
                <w:sz w:val="18"/>
                <w:szCs w:val="18"/>
                <w:lang w:val="es-ES"/>
              </w:rPr>
              <w:t>Levantamiento catastral y regularización de propiedades</w:t>
            </w:r>
          </w:p>
          <w:p w:rsidR="0015148D" w:rsidRPr="008633A1" w:rsidRDefault="0015148D" w:rsidP="00DA17AE">
            <w:pPr>
              <w:ind w:left="-18"/>
              <w:rPr>
                <w:sz w:val="18"/>
                <w:szCs w:val="18"/>
                <w:lang w:val="es-ES"/>
              </w:rPr>
            </w:pPr>
          </w:p>
        </w:tc>
        <w:tc>
          <w:tcPr>
            <w:tcW w:w="4885" w:type="dxa"/>
            <w:tcBorders>
              <w:left w:val="single" w:sz="4" w:space="0" w:color="000000"/>
              <w:bottom w:val="single" w:sz="4" w:space="0" w:color="auto"/>
              <w:right w:val="single" w:sz="4" w:space="0" w:color="000000"/>
            </w:tcBorders>
          </w:tcPr>
          <w:p w:rsidR="0015148D" w:rsidRPr="008633A1" w:rsidRDefault="0015148D" w:rsidP="009966F3">
            <w:pPr>
              <w:ind w:left="-18"/>
              <w:rPr>
                <w:sz w:val="18"/>
                <w:szCs w:val="18"/>
                <w:lang w:val="es-ES"/>
              </w:rPr>
            </w:pPr>
            <w:r w:rsidRPr="008633A1">
              <w:rPr>
                <w:sz w:val="18"/>
                <w:szCs w:val="18"/>
                <w:lang w:val="es-ES"/>
              </w:rPr>
              <w:t>Especialistas en levantamiento catastral             30 días</w:t>
            </w:r>
          </w:p>
          <w:p w:rsidR="0015148D" w:rsidRPr="008633A1" w:rsidRDefault="0015148D" w:rsidP="009966F3">
            <w:pPr>
              <w:rPr>
                <w:sz w:val="18"/>
                <w:szCs w:val="18"/>
                <w:lang w:val="es-NI"/>
              </w:rPr>
            </w:pPr>
            <w:r w:rsidRPr="008633A1">
              <w:rPr>
                <w:sz w:val="18"/>
                <w:szCs w:val="18"/>
                <w:lang w:val="es-ES"/>
              </w:rPr>
              <w:t>Especialista en Descentralización Municipal         30 días</w:t>
            </w:r>
          </w:p>
          <w:p w:rsidR="00441B9A" w:rsidRDefault="0015148D">
            <w:pPr>
              <w:rPr>
                <w:sz w:val="18"/>
                <w:szCs w:val="18"/>
                <w:lang w:val="es-ES"/>
              </w:rPr>
            </w:pPr>
            <w:r w:rsidRPr="008633A1">
              <w:rPr>
                <w:sz w:val="18"/>
                <w:szCs w:val="18"/>
                <w:lang w:val="es-ES"/>
              </w:rPr>
              <w:t xml:space="preserve">Especialista en Adquisiciones        3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left w:val="single" w:sz="4" w:space="0" w:color="000000"/>
              <w:bottom w:val="nil"/>
            </w:tcBorders>
          </w:tcPr>
          <w:p w:rsidR="0015148D" w:rsidRPr="008633A1" w:rsidRDefault="0015148D" w:rsidP="00DA17AE">
            <w:pPr>
              <w:jc w:val="both"/>
              <w:rPr>
                <w:sz w:val="18"/>
                <w:szCs w:val="18"/>
                <w:lang w:val="es-ES"/>
              </w:rPr>
            </w:pPr>
            <w:r w:rsidRPr="008633A1">
              <w:rPr>
                <w:sz w:val="18"/>
                <w:szCs w:val="18"/>
                <w:lang w:val="es-ES"/>
              </w:rPr>
              <w:t>NA</w:t>
            </w:r>
          </w:p>
        </w:tc>
      </w:tr>
      <w:tr w:rsidR="0015148D" w:rsidRPr="008633A1" w:rsidTr="00A568E3">
        <w:trPr>
          <w:trHeight w:val="558"/>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Sostenibilidad ambiental y Salvaguardas</w:t>
            </w:r>
          </w:p>
        </w:tc>
        <w:tc>
          <w:tcPr>
            <w:tcW w:w="4885" w:type="dxa"/>
            <w:tcBorders>
              <w:top w:val="single" w:sz="4" w:space="0" w:color="auto"/>
              <w:left w:val="single" w:sz="4" w:space="0" w:color="000000"/>
              <w:bottom w:val="single" w:sz="4" w:space="0" w:color="auto"/>
              <w:right w:val="single" w:sz="4" w:space="0" w:color="000000"/>
            </w:tcBorders>
          </w:tcPr>
          <w:p w:rsidR="00441B9A" w:rsidRDefault="0015148D">
            <w:pPr>
              <w:rPr>
                <w:sz w:val="18"/>
                <w:szCs w:val="18"/>
                <w:lang w:val="es-ES"/>
              </w:rPr>
            </w:pPr>
            <w:r w:rsidRPr="008633A1">
              <w:rPr>
                <w:sz w:val="18"/>
                <w:szCs w:val="18"/>
                <w:lang w:val="es-ES"/>
              </w:rPr>
              <w:t xml:space="preserve">Especialista ambiental  4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nil"/>
            </w:tcBorders>
          </w:tcPr>
          <w:p w:rsidR="0015148D" w:rsidRPr="008633A1" w:rsidRDefault="0015148D" w:rsidP="00DA17AE">
            <w:pPr>
              <w:jc w:val="both"/>
              <w:rPr>
                <w:sz w:val="18"/>
                <w:szCs w:val="18"/>
                <w:lang w:val="es-ES"/>
              </w:rPr>
            </w:pPr>
          </w:p>
        </w:tc>
      </w:tr>
      <w:tr w:rsidR="0015148D" w:rsidRPr="009F3769" w:rsidTr="00A568E3">
        <w:trPr>
          <w:trHeight w:val="558"/>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Desarrollo Social y Salvaguardas</w:t>
            </w:r>
          </w:p>
        </w:tc>
        <w:tc>
          <w:tcPr>
            <w:tcW w:w="4885"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Especialista Social 4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441B9A" w:rsidRDefault="0015148D">
            <w:pPr>
              <w:rPr>
                <w:sz w:val="18"/>
                <w:szCs w:val="18"/>
                <w:lang w:val="es-ES"/>
              </w:rPr>
            </w:pPr>
            <w:r w:rsidRPr="008633A1">
              <w:rPr>
                <w:sz w:val="18"/>
                <w:szCs w:val="18"/>
                <w:lang w:val="es-ES"/>
              </w:rPr>
              <w:t xml:space="preserve">Especialista en género                 2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nil"/>
            </w:tcBorders>
          </w:tcPr>
          <w:p w:rsidR="0015148D" w:rsidRPr="008633A1" w:rsidRDefault="0015148D" w:rsidP="00DA17AE">
            <w:pPr>
              <w:jc w:val="both"/>
              <w:rPr>
                <w:sz w:val="18"/>
                <w:szCs w:val="18"/>
                <w:lang w:val="es-ES"/>
              </w:rPr>
            </w:pPr>
          </w:p>
        </w:tc>
      </w:tr>
      <w:tr w:rsidR="0015148D" w:rsidRPr="009F3769" w:rsidTr="00A568E3">
        <w:trPr>
          <w:trHeight w:val="531"/>
          <w:jc w:val="center"/>
        </w:trPr>
        <w:tc>
          <w:tcPr>
            <w:tcW w:w="1316" w:type="dxa"/>
            <w:vMerge/>
            <w:tcBorders>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Gestión financiera, </w:t>
            </w:r>
          </w:p>
          <w:p w:rsidR="0015148D" w:rsidRPr="008633A1" w:rsidRDefault="0015148D" w:rsidP="00DA17AE">
            <w:pPr>
              <w:rPr>
                <w:sz w:val="18"/>
                <w:szCs w:val="18"/>
                <w:lang w:val="es-ES"/>
              </w:rPr>
            </w:pPr>
            <w:r w:rsidRPr="008633A1">
              <w:rPr>
                <w:sz w:val="18"/>
                <w:szCs w:val="18"/>
                <w:lang w:val="es-ES"/>
              </w:rPr>
              <w:t>Desembolsos y adquisiciones</w:t>
            </w:r>
          </w:p>
        </w:tc>
        <w:tc>
          <w:tcPr>
            <w:tcW w:w="4885"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FM Especialista en                          4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441B9A" w:rsidRDefault="0015148D">
            <w:pPr>
              <w:rPr>
                <w:sz w:val="18"/>
                <w:szCs w:val="18"/>
                <w:lang w:val="es-ES"/>
              </w:rPr>
            </w:pPr>
            <w:r w:rsidRPr="008633A1">
              <w:rPr>
                <w:sz w:val="18"/>
                <w:szCs w:val="18"/>
                <w:lang w:val="es-ES"/>
              </w:rPr>
              <w:t xml:space="preserve">Especialista en adquisiciones     4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nil"/>
            </w:tcBorders>
          </w:tcPr>
          <w:p w:rsidR="0015148D" w:rsidRPr="008633A1" w:rsidRDefault="0015148D" w:rsidP="00DA17AE">
            <w:pPr>
              <w:jc w:val="both"/>
              <w:rPr>
                <w:sz w:val="18"/>
                <w:szCs w:val="18"/>
                <w:lang w:val="es-ES"/>
              </w:rPr>
            </w:pPr>
          </w:p>
        </w:tc>
      </w:tr>
      <w:tr w:rsidR="0015148D" w:rsidRPr="009F3769" w:rsidTr="00A568E3">
        <w:trPr>
          <w:trHeight w:val="341"/>
          <w:jc w:val="center"/>
        </w:trPr>
        <w:tc>
          <w:tcPr>
            <w:tcW w:w="1316" w:type="dxa"/>
            <w:vMerge/>
            <w:tcBorders>
              <w:bottom w:val="single" w:sz="4" w:space="0" w:color="auto"/>
              <w:right w:val="single" w:sz="4" w:space="0" w:color="000000"/>
            </w:tcBorders>
          </w:tcPr>
          <w:p w:rsidR="0015148D" w:rsidRPr="008633A1" w:rsidRDefault="0015148D" w:rsidP="00DA17AE">
            <w:pPr>
              <w:jc w:val="both"/>
              <w:rPr>
                <w:sz w:val="18"/>
                <w:szCs w:val="18"/>
                <w:lang w:val="es-ES"/>
              </w:rPr>
            </w:pPr>
          </w:p>
        </w:tc>
        <w:tc>
          <w:tcPr>
            <w:tcW w:w="2743"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Administración del Proyecto y</w:t>
            </w:r>
          </w:p>
          <w:p w:rsidR="0015148D" w:rsidRPr="008633A1" w:rsidRDefault="0015148D" w:rsidP="00DA17AE">
            <w:pPr>
              <w:rPr>
                <w:sz w:val="18"/>
                <w:szCs w:val="18"/>
                <w:lang w:val="es-ES"/>
              </w:rPr>
            </w:pPr>
            <w:r w:rsidRPr="008633A1">
              <w:rPr>
                <w:sz w:val="18"/>
                <w:szCs w:val="18"/>
                <w:lang w:val="es-ES"/>
              </w:rPr>
              <w:t>Comunicación/Información</w:t>
            </w:r>
          </w:p>
        </w:tc>
        <w:tc>
          <w:tcPr>
            <w:tcW w:w="4885" w:type="dxa"/>
            <w:tcBorders>
              <w:top w:val="single" w:sz="4" w:space="0" w:color="auto"/>
              <w:left w:val="single" w:sz="4" w:space="0" w:color="000000"/>
              <w:bottom w:val="single" w:sz="4" w:space="0" w:color="auto"/>
              <w:right w:val="single" w:sz="4" w:space="0" w:color="000000"/>
            </w:tcBorders>
          </w:tcPr>
          <w:p w:rsidR="0015148D" w:rsidRPr="008633A1" w:rsidRDefault="0015148D" w:rsidP="00DA17AE">
            <w:pPr>
              <w:rPr>
                <w:sz w:val="18"/>
                <w:szCs w:val="18"/>
                <w:lang w:val="es-ES"/>
              </w:rPr>
            </w:pPr>
            <w:r w:rsidRPr="008633A1">
              <w:rPr>
                <w:sz w:val="18"/>
                <w:szCs w:val="18"/>
                <w:lang w:val="es-ES"/>
              </w:rPr>
              <w:t xml:space="preserve">Líder del equipo de trabajo  8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15148D" w:rsidRPr="008633A1" w:rsidRDefault="0015148D" w:rsidP="00DA17AE">
            <w:pPr>
              <w:rPr>
                <w:sz w:val="18"/>
                <w:szCs w:val="18"/>
                <w:lang w:val="es-ES"/>
              </w:rPr>
            </w:pPr>
            <w:r w:rsidRPr="008633A1">
              <w:rPr>
                <w:sz w:val="18"/>
                <w:szCs w:val="18"/>
                <w:lang w:val="es-ES"/>
              </w:rPr>
              <w:t xml:space="preserve">Analista de operaciones       5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p w:rsidR="00441B9A" w:rsidRDefault="0015148D">
            <w:pPr>
              <w:rPr>
                <w:sz w:val="18"/>
                <w:szCs w:val="18"/>
                <w:lang w:val="es-ES"/>
              </w:rPr>
            </w:pPr>
            <w:r w:rsidRPr="008633A1">
              <w:rPr>
                <w:sz w:val="18"/>
                <w:szCs w:val="18"/>
                <w:lang w:val="es-ES"/>
              </w:rPr>
              <w:t xml:space="preserve">Especialista en  comunicaciones    3 Semanas </w:t>
            </w:r>
            <w:r w:rsidR="00E71AA2">
              <w:rPr>
                <w:sz w:val="18"/>
                <w:szCs w:val="18"/>
                <w:lang w:val="es-ES"/>
              </w:rPr>
              <w:t>–</w:t>
            </w:r>
            <w:r w:rsidRPr="008633A1">
              <w:rPr>
                <w:sz w:val="18"/>
                <w:szCs w:val="18"/>
                <w:lang w:val="es-ES"/>
              </w:rPr>
              <w:t xml:space="preserve"> </w:t>
            </w:r>
            <w:r w:rsidR="00E71AA2">
              <w:rPr>
                <w:sz w:val="18"/>
                <w:szCs w:val="18"/>
                <w:lang w:val="es-ES"/>
              </w:rPr>
              <w:t xml:space="preserve"> personal</w:t>
            </w:r>
          </w:p>
        </w:tc>
        <w:tc>
          <w:tcPr>
            <w:tcW w:w="878" w:type="dxa"/>
            <w:tcBorders>
              <w:top w:val="nil"/>
              <w:left w:val="single" w:sz="4" w:space="0" w:color="000000"/>
              <w:bottom w:val="single" w:sz="4" w:space="0" w:color="auto"/>
            </w:tcBorders>
          </w:tcPr>
          <w:p w:rsidR="0015148D" w:rsidRPr="008633A1" w:rsidRDefault="0015148D" w:rsidP="00DA17AE">
            <w:pPr>
              <w:jc w:val="both"/>
              <w:rPr>
                <w:sz w:val="18"/>
                <w:szCs w:val="18"/>
                <w:lang w:val="es-ES"/>
              </w:rPr>
            </w:pPr>
          </w:p>
        </w:tc>
      </w:tr>
    </w:tbl>
    <w:p w:rsidR="007C174B" w:rsidRDefault="007C174B" w:rsidP="007C174B">
      <w:pPr>
        <w:spacing w:line="192" w:lineRule="auto"/>
        <w:ind w:left="720"/>
        <w:jc w:val="both"/>
        <w:rPr>
          <w:sz w:val="20"/>
          <w:szCs w:val="20"/>
          <w:lang w:val="es-ES"/>
        </w:rPr>
      </w:pPr>
      <w:r w:rsidRPr="00CA2EEF">
        <w:rPr>
          <w:sz w:val="20"/>
          <w:szCs w:val="20"/>
          <w:lang w:val="es-ES"/>
        </w:rPr>
        <w:t>Not</w:t>
      </w:r>
      <w:r w:rsidR="00CA2EEF" w:rsidRPr="00CA2EEF">
        <w:rPr>
          <w:sz w:val="20"/>
          <w:szCs w:val="20"/>
          <w:lang w:val="es-ES"/>
        </w:rPr>
        <w:t>a: Semanas – (personal)</w:t>
      </w:r>
    </w:p>
    <w:p w:rsidR="009F3769" w:rsidRPr="00CA2EEF" w:rsidRDefault="009F3769" w:rsidP="007C174B">
      <w:pPr>
        <w:spacing w:line="192" w:lineRule="auto"/>
        <w:ind w:left="720"/>
        <w:jc w:val="both"/>
        <w:rPr>
          <w:sz w:val="20"/>
          <w:szCs w:val="20"/>
          <w:lang w:val="es-ES"/>
        </w:rPr>
      </w:pPr>
    </w:p>
    <w:p w:rsidR="007C174B" w:rsidRPr="00CA2EEF" w:rsidRDefault="00CA2EEF" w:rsidP="00F91221">
      <w:pPr>
        <w:numPr>
          <w:ilvl w:val="0"/>
          <w:numId w:val="32"/>
        </w:numPr>
        <w:jc w:val="both"/>
        <w:rPr>
          <w:lang w:val="es-ES"/>
        </w:rPr>
      </w:pPr>
      <w:r w:rsidRPr="00CA2EEF">
        <w:rPr>
          <w:lang w:val="es-ES"/>
        </w:rPr>
        <w:t>Combinación de Destrezas Requeridas</w:t>
      </w:r>
    </w:p>
    <w:p w:rsidR="007C174B" w:rsidRPr="00CA2EEF" w:rsidRDefault="007C174B" w:rsidP="007C174B">
      <w:pPr>
        <w:ind w:left="5"/>
        <w:jc w:val="both"/>
        <w:rPr>
          <w:lang w:val="es-ES"/>
        </w:rPr>
      </w:pP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2844"/>
        <w:gridCol w:w="3245"/>
        <w:gridCol w:w="1246"/>
      </w:tblGrid>
      <w:tr w:rsidR="007C174B" w:rsidRPr="008633A1" w:rsidTr="008633A1">
        <w:trPr>
          <w:jc w:val="center"/>
        </w:trPr>
        <w:tc>
          <w:tcPr>
            <w:tcW w:w="2615" w:type="dxa"/>
          </w:tcPr>
          <w:p w:rsidR="007C174B" w:rsidRPr="008633A1" w:rsidRDefault="00CA2EEF" w:rsidP="00A053F2">
            <w:pPr>
              <w:jc w:val="both"/>
              <w:rPr>
                <w:b/>
                <w:sz w:val="18"/>
                <w:szCs w:val="18"/>
                <w:lang w:val="es-ES"/>
              </w:rPr>
            </w:pPr>
            <w:r w:rsidRPr="008633A1">
              <w:rPr>
                <w:b/>
                <w:sz w:val="18"/>
                <w:szCs w:val="18"/>
                <w:lang w:val="es-ES"/>
              </w:rPr>
              <w:t>Destrezas Requeridas</w:t>
            </w:r>
          </w:p>
        </w:tc>
        <w:tc>
          <w:tcPr>
            <w:tcW w:w="2844" w:type="dxa"/>
          </w:tcPr>
          <w:p w:rsidR="007C174B" w:rsidRPr="008633A1" w:rsidRDefault="00CA2EEF" w:rsidP="00A053F2">
            <w:pPr>
              <w:jc w:val="both"/>
              <w:rPr>
                <w:b/>
                <w:sz w:val="18"/>
                <w:szCs w:val="18"/>
                <w:lang w:val="es-ES"/>
              </w:rPr>
            </w:pPr>
            <w:r w:rsidRPr="008633A1">
              <w:rPr>
                <w:b/>
                <w:sz w:val="18"/>
                <w:szCs w:val="18"/>
                <w:lang w:val="es-ES"/>
              </w:rPr>
              <w:t>Semanas - Hombres</w:t>
            </w:r>
          </w:p>
        </w:tc>
        <w:tc>
          <w:tcPr>
            <w:tcW w:w="3245" w:type="dxa"/>
          </w:tcPr>
          <w:p w:rsidR="007C174B" w:rsidRPr="008633A1" w:rsidRDefault="00CA2EEF" w:rsidP="00A053F2">
            <w:pPr>
              <w:jc w:val="both"/>
              <w:rPr>
                <w:b/>
                <w:sz w:val="18"/>
                <w:szCs w:val="18"/>
                <w:lang w:val="es-ES"/>
              </w:rPr>
            </w:pPr>
            <w:r w:rsidRPr="008633A1">
              <w:rPr>
                <w:b/>
                <w:sz w:val="18"/>
                <w:szCs w:val="18"/>
                <w:lang w:val="es-ES"/>
              </w:rPr>
              <w:t>Cantidad de giras</w:t>
            </w:r>
          </w:p>
        </w:tc>
        <w:tc>
          <w:tcPr>
            <w:tcW w:w="1246" w:type="dxa"/>
          </w:tcPr>
          <w:p w:rsidR="007C174B" w:rsidRPr="008633A1" w:rsidRDefault="007C174B" w:rsidP="00CA2EEF">
            <w:pPr>
              <w:jc w:val="both"/>
              <w:rPr>
                <w:b/>
                <w:sz w:val="18"/>
                <w:szCs w:val="18"/>
                <w:lang w:val="es-ES"/>
              </w:rPr>
            </w:pPr>
            <w:r w:rsidRPr="008633A1">
              <w:rPr>
                <w:b/>
                <w:sz w:val="18"/>
                <w:szCs w:val="18"/>
                <w:lang w:val="es-ES"/>
              </w:rPr>
              <w:t>Com</w:t>
            </w:r>
            <w:r w:rsidR="00CA2EEF" w:rsidRPr="008633A1">
              <w:rPr>
                <w:b/>
                <w:sz w:val="18"/>
                <w:szCs w:val="18"/>
                <w:lang w:val="es-ES"/>
              </w:rPr>
              <w:t>entarios</w:t>
            </w:r>
          </w:p>
        </w:tc>
      </w:tr>
      <w:tr w:rsidR="007C174B" w:rsidRPr="009F3769" w:rsidDel="00E0017B" w:rsidTr="008633A1">
        <w:trPr>
          <w:jc w:val="center"/>
        </w:trPr>
        <w:tc>
          <w:tcPr>
            <w:tcW w:w="2615" w:type="dxa"/>
          </w:tcPr>
          <w:p w:rsidR="007C174B" w:rsidRPr="008633A1" w:rsidDel="00E0017B" w:rsidRDefault="00CA2EEF" w:rsidP="00CA2EEF">
            <w:pPr>
              <w:jc w:val="both"/>
              <w:rPr>
                <w:sz w:val="18"/>
                <w:szCs w:val="18"/>
                <w:lang w:val="es-ES"/>
              </w:rPr>
            </w:pPr>
            <w:r w:rsidRPr="008633A1">
              <w:rPr>
                <w:sz w:val="18"/>
                <w:szCs w:val="18"/>
                <w:lang w:val="es-ES"/>
              </w:rPr>
              <w:t>E</w:t>
            </w:r>
            <w:r w:rsidR="00335648" w:rsidRPr="008633A1">
              <w:rPr>
                <w:sz w:val="18"/>
                <w:szCs w:val="18"/>
                <w:lang w:val="es-ES"/>
              </w:rPr>
              <w:t>specialista</w:t>
            </w:r>
            <w:r w:rsidRPr="008633A1">
              <w:rPr>
                <w:sz w:val="18"/>
                <w:szCs w:val="18"/>
                <w:lang w:val="es-ES"/>
              </w:rPr>
              <w:t xml:space="preserve"> ambiental</w:t>
            </w:r>
          </w:p>
        </w:tc>
        <w:tc>
          <w:tcPr>
            <w:tcW w:w="2844" w:type="dxa"/>
          </w:tcPr>
          <w:p w:rsidR="00441B9A" w:rsidRDefault="007C174B">
            <w:pPr>
              <w:jc w:val="both"/>
              <w:rPr>
                <w:sz w:val="18"/>
                <w:szCs w:val="18"/>
                <w:lang w:val="es-ES"/>
              </w:rPr>
            </w:pPr>
            <w:r w:rsidRPr="008633A1">
              <w:rPr>
                <w:sz w:val="18"/>
                <w:szCs w:val="18"/>
                <w:lang w:val="es-ES"/>
              </w:rPr>
              <w:t xml:space="preserve">3 </w:t>
            </w:r>
            <w:r w:rsidR="008F3F38" w:rsidRPr="008633A1">
              <w:rPr>
                <w:sz w:val="18"/>
                <w:szCs w:val="18"/>
                <w:lang w:val="es-ES"/>
              </w:rPr>
              <w:t xml:space="preserve">Semanas - </w:t>
            </w:r>
            <w:r w:rsidR="00E71AA2">
              <w:rPr>
                <w:sz w:val="18"/>
                <w:szCs w:val="18"/>
                <w:lang w:val="es-ES"/>
              </w:rPr>
              <w:t xml:space="preserve"> personal </w:t>
            </w:r>
            <w:r w:rsidR="008F3F38" w:rsidRPr="008633A1">
              <w:rPr>
                <w:sz w:val="18"/>
                <w:szCs w:val="18"/>
                <w:lang w:val="es-ES"/>
              </w:rPr>
              <w:t>por año</w:t>
            </w:r>
          </w:p>
        </w:tc>
        <w:tc>
          <w:tcPr>
            <w:tcW w:w="3245" w:type="dxa"/>
          </w:tcPr>
          <w:p w:rsidR="007C174B" w:rsidRPr="008633A1" w:rsidDel="00E0017B" w:rsidRDefault="008F3F38" w:rsidP="00A053F2">
            <w:pPr>
              <w:jc w:val="both"/>
              <w:rPr>
                <w:sz w:val="18"/>
                <w:szCs w:val="18"/>
                <w:lang w:val="es-ES"/>
              </w:rPr>
            </w:pPr>
            <w:r w:rsidRPr="008633A1">
              <w:rPr>
                <w:sz w:val="18"/>
                <w:szCs w:val="18"/>
                <w:lang w:val="es-ES"/>
              </w:rPr>
              <w:t>Giras de campo</w:t>
            </w:r>
            <w:r w:rsidR="00E71AA2">
              <w:rPr>
                <w:sz w:val="18"/>
                <w:szCs w:val="18"/>
                <w:lang w:val="es-ES"/>
              </w:rPr>
              <w:t xml:space="preserve"> </w:t>
            </w:r>
            <w:r w:rsidRPr="008633A1">
              <w:rPr>
                <w:sz w:val="18"/>
                <w:szCs w:val="18"/>
                <w:lang w:val="es-ES"/>
              </w:rPr>
              <w:t>según sea necesario</w:t>
            </w:r>
          </w:p>
        </w:tc>
        <w:tc>
          <w:tcPr>
            <w:tcW w:w="1246" w:type="dxa"/>
          </w:tcPr>
          <w:p w:rsidR="007C174B" w:rsidRPr="008633A1" w:rsidDel="00E0017B" w:rsidRDefault="007C174B" w:rsidP="00A053F2">
            <w:pPr>
              <w:jc w:val="both"/>
              <w:rPr>
                <w:sz w:val="18"/>
                <w:szCs w:val="18"/>
                <w:lang w:val="es-ES"/>
              </w:rPr>
            </w:pPr>
          </w:p>
        </w:tc>
      </w:tr>
      <w:tr w:rsidR="007C174B" w:rsidRPr="009F3769" w:rsidTr="008633A1">
        <w:trPr>
          <w:jc w:val="center"/>
        </w:trPr>
        <w:tc>
          <w:tcPr>
            <w:tcW w:w="2615" w:type="dxa"/>
          </w:tcPr>
          <w:p w:rsidR="007C174B" w:rsidRPr="008633A1" w:rsidRDefault="00CA2EEF" w:rsidP="00CA2EEF">
            <w:pPr>
              <w:jc w:val="both"/>
              <w:rPr>
                <w:sz w:val="18"/>
                <w:szCs w:val="18"/>
                <w:lang w:val="es-ES"/>
              </w:rPr>
            </w:pPr>
            <w:r w:rsidRPr="008633A1">
              <w:rPr>
                <w:sz w:val="18"/>
                <w:szCs w:val="18"/>
                <w:lang w:val="es-ES"/>
              </w:rPr>
              <w:t>Especialista s</w:t>
            </w:r>
            <w:r w:rsidR="007C174B" w:rsidRPr="008633A1">
              <w:rPr>
                <w:sz w:val="18"/>
                <w:szCs w:val="18"/>
                <w:lang w:val="es-ES"/>
              </w:rPr>
              <w:t>ocial</w:t>
            </w:r>
          </w:p>
        </w:tc>
        <w:tc>
          <w:tcPr>
            <w:tcW w:w="2844" w:type="dxa"/>
          </w:tcPr>
          <w:p w:rsidR="00441B9A" w:rsidRDefault="007C174B">
            <w:pPr>
              <w:jc w:val="both"/>
              <w:rPr>
                <w:sz w:val="18"/>
                <w:szCs w:val="18"/>
                <w:lang w:val="es-ES"/>
              </w:rPr>
            </w:pPr>
            <w:r w:rsidRPr="008633A1">
              <w:rPr>
                <w:sz w:val="18"/>
                <w:szCs w:val="18"/>
                <w:lang w:val="es-ES"/>
              </w:rPr>
              <w:t xml:space="preserve">3 </w:t>
            </w:r>
            <w:r w:rsidR="008F3F38" w:rsidRPr="008633A1">
              <w:rPr>
                <w:sz w:val="18"/>
                <w:szCs w:val="18"/>
                <w:lang w:val="es-ES"/>
              </w:rPr>
              <w:t xml:space="preserve">Semanas - </w:t>
            </w:r>
            <w:r w:rsidR="00E71AA2">
              <w:rPr>
                <w:sz w:val="18"/>
                <w:szCs w:val="18"/>
                <w:lang w:val="es-ES"/>
              </w:rPr>
              <w:t xml:space="preserve">personal </w:t>
            </w:r>
            <w:r w:rsidR="008F3F38" w:rsidRPr="008633A1">
              <w:rPr>
                <w:sz w:val="18"/>
                <w:szCs w:val="18"/>
                <w:lang w:val="es-ES"/>
              </w:rPr>
              <w:t>por año</w:t>
            </w:r>
          </w:p>
        </w:tc>
        <w:tc>
          <w:tcPr>
            <w:tcW w:w="3245" w:type="dxa"/>
          </w:tcPr>
          <w:p w:rsidR="007C174B" w:rsidRPr="008633A1" w:rsidRDefault="008F3F38" w:rsidP="00A053F2">
            <w:pPr>
              <w:jc w:val="both"/>
              <w:rPr>
                <w:sz w:val="18"/>
                <w:szCs w:val="18"/>
                <w:lang w:val="es-ES"/>
              </w:rPr>
            </w:pPr>
            <w:r w:rsidRPr="008633A1">
              <w:rPr>
                <w:sz w:val="18"/>
                <w:szCs w:val="18"/>
                <w:lang w:val="es-ES"/>
              </w:rPr>
              <w:t>Giras de campo</w:t>
            </w:r>
            <w:r w:rsidR="00E71AA2">
              <w:rPr>
                <w:sz w:val="18"/>
                <w:szCs w:val="18"/>
                <w:lang w:val="es-ES"/>
              </w:rPr>
              <w:t xml:space="preserve"> </w:t>
            </w:r>
            <w:r w:rsidRPr="008633A1">
              <w:rPr>
                <w:sz w:val="18"/>
                <w:szCs w:val="18"/>
                <w:lang w:val="es-ES"/>
              </w:rPr>
              <w:t>según sea necesario</w:t>
            </w:r>
          </w:p>
        </w:tc>
        <w:tc>
          <w:tcPr>
            <w:tcW w:w="1246" w:type="dxa"/>
          </w:tcPr>
          <w:p w:rsidR="007C174B" w:rsidRPr="008633A1" w:rsidRDefault="007C174B" w:rsidP="00A053F2">
            <w:pPr>
              <w:jc w:val="both"/>
              <w:rPr>
                <w:sz w:val="18"/>
                <w:szCs w:val="18"/>
                <w:lang w:val="es-ES"/>
              </w:rPr>
            </w:pPr>
          </w:p>
        </w:tc>
      </w:tr>
      <w:tr w:rsidR="007C174B" w:rsidRPr="009F3769" w:rsidTr="008633A1">
        <w:trPr>
          <w:jc w:val="center"/>
        </w:trPr>
        <w:tc>
          <w:tcPr>
            <w:tcW w:w="2615" w:type="dxa"/>
          </w:tcPr>
          <w:p w:rsidR="007C174B" w:rsidRPr="008633A1" w:rsidRDefault="00CA2EEF" w:rsidP="00A053F2">
            <w:pPr>
              <w:jc w:val="both"/>
              <w:rPr>
                <w:sz w:val="18"/>
                <w:szCs w:val="18"/>
                <w:lang w:val="es-ES"/>
              </w:rPr>
            </w:pPr>
            <w:r w:rsidRPr="008633A1">
              <w:rPr>
                <w:sz w:val="18"/>
                <w:szCs w:val="18"/>
                <w:lang w:val="es-ES"/>
              </w:rPr>
              <w:t>E</w:t>
            </w:r>
            <w:r w:rsidR="00335648" w:rsidRPr="008633A1">
              <w:rPr>
                <w:sz w:val="18"/>
                <w:szCs w:val="18"/>
                <w:lang w:val="es-ES"/>
              </w:rPr>
              <w:t>specialista en</w:t>
            </w:r>
            <w:r w:rsidRPr="008633A1">
              <w:rPr>
                <w:sz w:val="18"/>
                <w:szCs w:val="18"/>
                <w:lang w:val="es-ES"/>
              </w:rPr>
              <w:t xml:space="preserve"> género</w:t>
            </w:r>
          </w:p>
        </w:tc>
        <w:tc>
          <w:tcPr>
            <w:tcW w:w="2844" w:type="dxa"/>
          </w:tcPr>
          <w:p w:rsidR="007C174B" w:rsidRPr="008633A1" w:rsidRDefault="00E94743" w:rsidP="00A053F2">
            <w:pPr>
              <w:jc w:val="both"/>
              <w:rPr>
                <w:sz w:val="18"/>
                <w:szCs w:val="18"/>
                <w:lang w:val="es-ES"/>
              </w:rPr>
            </w:pPr>
            <w:r w:rsidRPr="008633A1">
              <w:rPr>
                <w:sz w:val="18"/>
                <w:szCs w:val="18"/>
                <w:lang w:val="es-ES"/>
              </w:rPr>
              <w:t>15</w:t>
            </w:r>
            <w:r w:rsidR="00AD72A3" w:rsidRPr="008633A1">
              <w:rPr>
                <w:sz w:val="18"/>
                <w:szCs w:val="18"/>
                <w:lang w:val="es-ES"/>
              </w:rPr>
              <w:t>días</w:t>
            </w:r>
            <w:r w:rsidR="00E71AA2">
              <w:rPr>
                <w:sz w:val="18"/>
                <w:szCs w:val="18"/>
                <w:lang w:val="es-ES"/>
              </w:rPr>
              <w:t xml:space="preserve"> </w:t>
            </w:r>
            <w:r w:rsidR="008F3F38" w:rsidRPr="008633A1">
              <w:rPr>
                <w:sz w:val="18"/>
                <w:szCs w:val="18"/>
                <w:lang w:val="es-ES"/>
              </w:rPr>
              <w:t>al año</w:t>
            </w:r>
          </w:p>
        </w:tc>
        <w:tc>
          <w:tcPr>
            <w:tcW w:w="3245" w:type="dxa"/>
          </w:tcPr>
          <w:p w:rsidR="007C174B" w:rsidRPr="008633A1" w:rsidRDefault="008F3F38" w:rsidP="00A053F2">
            <w:pPr>
              <w:jc w:val="both"/>
              <w:rPr>
                <w:sz w:val="18"/>
                <w:szCs w:val="18"/>
                <w:lang w:val="es-ES"/>
              </w:rPr>
            </w:pPr>
            <w:r w:rsidRPr="008633A1">
              <w:rPr>
                <w:sz w:val="18"/>
                <w:szCs w:val="18"/>
                <w:lang w:val="es-ES"/>
              </w:rPr>
              <w:t>Giras de campo</w:t>
            </w:r>
            <w:r w:rsidR="00E71AA2">
              <w:rPr>
                <w:sz w:val="18"/>
                <w:szCs w:val="18"/>
                <w:lang w:val="es-ES"/>
              </w:rPr>
              <w:t xml:space="preserve"> </w:t>
            </w:r>
            <w:r w:rsidRPr="008633A1">
              <w:rPr>
                <w:sz w:val="18"/>
                <w:szCs w:val="18"/>
                <w:lang w:val="es-ES"/>
              </w:rPr>
              <w:t>según sea necesario</w:t>
            </w:r>
          </w:p>
        </w:tc>
        <w:tc>
          <w:tcPr>
            <w:tcW w:w="1246" w:type="dxa"/>
          </w:tcPr>
          <w:p w:rsidR="007C174B" w:rsidRPr="008633A1" w:rsidRDefault="007C174B" w:rsidP="00A053F2">
            <w:pPr>
              <w:jc w:val="both"/>
              <w:rPr>
                <w:sz w:val="18"/>
                <w:szCs w:val="18"/>
                <w:lang w:val="es-ES"/>
              </w:rPr>
            </w:pPr>
          </w:p>
        </w:tc>
      </w:tr>
      <w:tr w:rsidR="007C174B" w:rsidRPr="009F3769" w:rsidTr="008633A1">
        <w:trPr>
          <w:jc w:val="center"/>
        </w:trPr>
        <w:tc>
          <w:tcPr>
            <w:tcW w:w="2615" w:type="dxa"/>
          </w:tcPr>
          <w:p w:rsidR="007C174B" w:rsidRPr="008633A1" w:rsidRDefault="00CA2EEF" w:rsidP="00D329CE">
            <w:pPr>
              <w:jc w:val="both"/>
              <w:rPr>
                <w:sz w:val="18"/>
                <w:szCs w:val="18"/>
                <w:lang w:val="es-ES"/>
              </w:rPr>
            </w:pPr>
            <w:r w:rsidRPr="008633A1">
              <w:rPr>
                <w:sz w:val="18"/>
                <w:szCs w:val="18"/>
                <w:lang w:val="es-ES"/>
              </w:rPr>
              <w:t>E</w:t>
            </w:r>
            <w:r w:rsidR="00335648" w:rsidRPr="008633A1">
              <w:rPr>
                <w:sz w:val="18"/>
                <w:szCs w:val="18"/>
                <w:lang w:val="es-ES"/>
              </w:rPr>
              <w:t>specialista</w:t>
            </w:r>
            <w:r w:rsidRPr="008633A1">
              <w:rPr>
                <w:sz w:val="18"/>
                <w:szCs w:val="18"/>
                <w:lang w:val="es-ES"/>
              </w:rPr>
              <w:t xml:space="preserve"> en levantamiento catastral</w:t>
            </w:r>
          </w:p>
        </w:tc>
        <w:tc>
          <w:tcPr>
            <w:tcW w:w="2844" w:type="dxa"/>
          </w:tcPr>
          <w:p w:rsidR="007C174B" w:rsidRPr="008633A1" w:rsidRDefault="007C174B" w:rsidP="00A053F2">
            <w:pPr>
              <w:jc w:val="both"/>
              <w:rPr>
                <w:sz w:val="18"/>
                <w:szCs w:val="18"/>
                <w:lang w:val="es-ES"/>
              </w:rPr>
            </w:pPr>
            <w:r w:rsidRPr="008633A1">
              <w:rPr>
                <w:sz w:val="18"/>
                <w:szCs w:val="18"/>
                <w:lang w:val="es-ES"/>
              </w:rPr>
              <w:t xml:space="preserve">30 </w:t>
            </w:r>
            <w:r w:rsidR="00AD72A3" w:rsidRPr="008633A1">
              <w:rPr>
                <w:sz w:val="18"/>
                <w:szCs w:val="18"/>
                <w:lang w:val="es-ES"/>
              </w:rPr>
              <w:t>días</w:t>
            </w:r>
            <w:r w:rsidR="00E71AA2">
              <w:rPr>
                <w:sz w:val="18"/>
                <w:szCs w:val="18"/>
                <w:lang w:val="es-ES"/>
              </w:rPr>
              <w:t xml:space="preserve"> </w:t>
            </w:r>
            <w:r w:rsidR="008F3F38" w:rsidRPr="008633A1">
              <w:rPr>
                <w:sz w:val="18"/>
                <w:szCs w:val="18"/>
                <w:lang w:val="es-ES"/>
              </w:rPr>
              <w:t>al año</w:t>
            </w:r>
          </w:p>
        </w:tc>
        <w:tc>
          <w:tcPr>
            <w:tcW w:w="3245" w:type="dxa"/>
          </w:tcPr>
          <w:p w:rsidR="007C174B" w:rsidRPr="008633A1" w:rsidRDefault="008F3F38" w:rsidP="00A053F2">
            <w:pPr>
              <w:jc w:val="both"/>
              <w:rPr>
                <w:sz w:val="18"/>
                <w:szCs w:val="18"/>
                <w:lang w:val="es-ES"/>
              </w:rPr>
            </w:pPr>
            <w:r w:rsidRPr="008633A1">
              <w:rPr>
                <w:sz w:val="18"/>
                <w:szCs w:val="18"/>
                <w:lang w:val="es-ES"/>
              </w:rPr>
              <w:t>Giras de campo</w:t>
            </w:r>
            <w:r w:rsidR="00E71AA2">
              <w:rPr>
                <w:sz w:val="18"/>
                <w:szCs w:val="18"/>
                <w:lang w:val="es-ES"/>
              </w:rPr>
              <w:t xml:space="preserve"> </w:t>
            </w:r>
            <w:r w:rsidRPr="008633A1">
              <w:rPr>
                <w:sz w:val="18"/>
                <w:szCs w:val="18"/>
                <w:lang w:val="es-ES"/>
              </w:rPr>
              <w:t>según sea necesario</w:t>
            </w:r>
          </w:p>
        </w:tc>
        <w:tc>
          <w:tcPr>
            <w:tcW w:w="1246" w:type="dxa"/>
          </w:tcPr>
          <w:p w:rsidR="007C174B" w:rsidRPr="008633A1" w:rsidRDefault="007C174B" w:rsidP="00A053F2">
            <w:pPr>
              <w:jc w:val="both"/>
              <w:rPr>
                <w:sz w:val="18"/>
                <w:szCs w:val="18"/>
                <w:lang w:val="es-ES"/>
              </w:rPr>
            </w:pPr>
          </w:p>
        </w:tc>
      </w:tr>
      <w:tr w:rsidR="007C174B" w:rsidRPr="009F3769" w:rsidTr="008633A1">
        <w:trPr>
          <w:jc w:val="center"/>
        </w:trPr>
        <w:tc>
          <w:tcPr>
            <w:tcW w:w="2615" w:type="dxa"/>
          </w:tcPr>
          <w:p w:rsidR="007C174B" w:rsidRPr="008633A1" w:rsidRDefault="00D329CE" w:rsidP="00D329CE">
            <w:pPr>
              <w:rPr>
                <w:sz w:val="18"/>
                <w:szCs w:val="18"/>
                <w:lang w:val="es-ES"/>
              </w:rPr>
            </w:pPr>
            <w:r w:rsidRPr="008633A1">
              <w:rPr>
                <w:sz w:val="18"/>
                <w:szCs w:val="18"/>
                <w:lang w:val="es-ES"/>
              </w:rPr>
              <w:t>E</w:t>
            </w:r>
            <w:r w:rsidR="00335648" w:rsidRPr="008633A1">
              <w:rPr>
                <w:sz w:val="18"/>
                <w:szCs w:val="18"/>
                <w:lang w:val="es-ES"/>
              </w:rPr>
              <w:t>specialista en</w:t>
            </w:r>
            <w:r w:rsidRPr="008633A1">
              <w:rPr>
                <w:sz w:val="18"/>
                <w:szCs w:val="18"/>
                <w:lang w:val="es-ES"/>
              </w:rPr>
              <w:t xml:space="preserve"> descentralización municipal</w:t>
            </w:r>
          </w:p>
        </w:tc>
        <w:tc>
          <w:tcPr>
            <w:tcW w:w="2844" w:type="dxa"/>
          </w:tcPr>
          <w:p w:rsidR="007C174B" w:rsidRPr="008633A1" w:rsidRDefault="007C174B" w:rsidP="00A053F2">
            <w:pPr>
              <w:jc w:val="both"/>
              <w:rPr>
                <w:sz w:val="18"/>
                <w:szCs w:val="18"/>
                <w:lang w:val="es-ES"/>
              </w:rPr>
            </w:pPr>
            <w:r w:rsidRPr="008633A1">
              <w:rPr>
                <w:sz w:val="18"/>
                <w:szCs w:val="18"/>
                <w:lang w:val="es-ES"/>
              </w:rPr>
              <w:t xml:space="preserve">30 </w:t>
            </w:r>
            <w:r w:rsidR="00AD72A3" w:rsidRPr="008633A1">
              <w:rPr>
                <w:sz w:val="18"/>
                <w:szCs w:val="18"/>
                <w:lang w:val="es-ES"/>
              </w:rPr>
              <w:t>días</w:t>
            </w:r>
            <w:r w:rsidR="00E71AA2">
              <w:rPr>
                <w:sz w:val="18"/>
                <w:szCs w:val="18"/>
                <w:lang w:val="es-ES"/>
              </w:rPr>
              <w:t xml:space="preserve"> </w:t>
            </w:r>
            <w:r w:rsidR="008F3F38" w:rsidRPr="008633A1">
              <w:rPr>
                <w:sz w:val="18"/>
                <w:szCs w:val="18"/>
                <w:lang w:val="es-ES"/>
              </w:rPr>
              <w:t>al año</w:t>
            </w:r>
          </w:p>
        </w:tc>
        <w:tc>
          <w:tcPr>
            <w:tcW w:w="3245" w:type="dxa"/>
          </w:tcPr>
          <w:p w:rsidR="007C174B" w:rsidRPr="008633A1" w:rsidRDefault="008F3F38" w:rsidP="00A053F2">
            <w:pPr>
              <w:jc w:val="both"/>
              <w:rPr>
                <w:sz w:val="18"/>
                <w:szCs w:val="18"/>
                <w:lang w:val="es-ES"/>
              </w:rPr>
            </w:pPr>
            <w:r w:rsidRPr="008633A1">
              <w:rPr>
                <w:sz w:val="18"/>
                <w:szCs w:val="18"/>
                <w:lang w:val="es-ES"/>
              </w:rPr>
              <w:t>Giras de campo</w:t>
            </w:r>
            <w:r w:rsidR="00E71AA2">
              <w:rPr>
                <w:sz w:val="18"/>
                <w:szCs w:val="18"/>
                <w:lang w:val="es-ES"/>
              </w:rPr>
              <w:t xml:space="preserve"> </w:t>
            </w:r>
            <w:r w:rsidRPr="008633A1">
              <w:rPr>
                <w:sz w:val="18"/>
                <w:szCs w:val="18"/>
                <w:lang w:val="es-ES"/>
              </w:rPr>
              <w:t>según sea necesario</w:t>
            </w:r>
          </w:p>
        </w:tc>
        <w:tc>
          <w:tcPr>
            <w:tcW w:w="1246" w:type="dxa"/>
          </w:tcPr>
          <w:p w:rsidR="007C174B" w:rsidRPr="008633A1" w:rsidRDefault="007C174B" w:rsidP="00A053F2">
            <w:pPr>
              <w:jc w:val="both"/>
              <w:rPr>
                <w:sz w:val="18"/>
                <w:szCs w:val="18"/>
                <w:lang w:val="es-ES"/>
              </w:rPr>
            </w:pPr>
          </w:p>
        </w:tc>
      </w:tr>
      <w:tr w:rsidR="007C174B" w:rsidRPr="008633A1" w:rsidTr="008633A1">
        <w:trPr>
          <w:jc w:val="center"/>
        </w:trPr>
        <w:tc>
          <w:tcPr>
            <w:tcW w:w="2615" w:type="dxa"/>
          </w:tcPr>
          <w:p w:rsidR="007C174B" w:rsidRPr="008633A1" w:rsidRDefault="00D329CE" w:rsidP="00A053F2">
            <w:pPr>
              <w:jc w:val="both"/>
              <w:rPr>
                <w:sz w:val="18"/>
                <w:szCs w:val="18"/>
                <w:lang w:val="es-ES"/>
              </w:rPr>
            </w:pPr>
            <w:r w:rsidRPr="008633A1">
              <w:rPr>
                <w:sz w:val="18"/>
                <w:szCs w:val="18"/>
                <w:lang w:val="es-ES"/>
              </w:rPr>
              <w:t>E</w:t>
            </w:r>
            <w:r w:rsidR="00335648" w:rsidRPr="008633A1">
              <w:rPr>
                <w:sz w:val="18"/>
                <w:szCs w:val="18"/>
                <w:lang w:val="es-ES"/>
              </w:rPr>
              <w:t>specialista en</w:t>
            </w:r>
            <w:r w:rsidRPr="008633A1">
              <w:rPr>
                <w:sz w:val="18"/>
                <w:szCs w:val="18"/>
                <w:lang w:val="es-ES"/>
              </w:rPr>
              <w:t xml:space="preserve"> adquisiciones</w:t>
            </w:r>
          </w:p>
        </w:tc>
        <w:tc>
          <w:tcPr>
            <w:tcW w:w="2844" w:type="dxa"/>
          </w:tcPr>
          <w:p w:rsidR="00441B9A" w:rsidRDefault="007C174B">
            <w:pPr>
              <w:jc w:val="both"/>
              <w:rPr>
                <w:sz w:val="18"/>
                <w:szCs w:val="18"/>
                <w:lang w:val="es-ES"/>
              </w:rPr>
            </w:pPr>
            <w:r w:rsidRPr="008633A1">
              <w:rPr>
                <w:sz w:val="18"/>
                <w:szCs w:val="18"/>
                <w:lang w:val="es-ES"/>
              </w:rPr>
              <w:t xml:space="preserve">4 </w:t>
            </w:r>
            <w:r w:rsidR="008F3F38" w:rsidRPr="008633A1">
              <w:rPr>
                <w:sz w:val="18"/>
                <w:szCs w:val="18"/>
                <w:lang w:val="es-ES"/>
              </w:rPr>
              <w:t xml:space="preserve">Semanas </w:t>
            </w:r>
            <w:r w:rsidR="00E71AA2">
              <w:rPr>
                <w:sz w:val="18"/>
                <w:szCs w:val="18"/>
                <w:lang w:val="es-ES"/>
              </w:rPr>
              <w:t>–</w:t>
            </w:r>
            <w:r w:rsidR="008F3F38" w:rsidRPr="008633A1">
              <w:rPr>
                <w:sz w:val="18"/>
                <w:szCs w:val="18"/>
                <w:lang w:val="es-ES"/>
              </w:rPr>
              <w:t xml:space="preserve"> </w:t>
            </w:r>
            <w:r w:rsidR="00E71AA2">
              <w:rPr>
                <w:sz w:val="18"/>
                <w:szCs w:val="18"/>
                <w:lang w:val="es-ES"/>
              </w:rPr>
              <w:t xml:space="preserve"> personal </w:t>
            </w:r>
            <w:r w:rsidR="008F3F38" w:rsidRPr="008633A1">
              <w:rPr>
                <w:sz w:val="18"/>
                <w:szCs w:val="18"/>
                <w:lang w:val="es-ES"/>
              </w:rPr>
              <w:t>por año</w:t>
            </w:r>
          </w:p>
        </w:tc>
        <w:tc>
          <w:tcPr>
            <w:tcW w:w="3245" w:type="dxa"/>
          </w:tcPr>
          <w:p w:rsidR="007C174B" w:rsidRPr="008633A1" w:rsidRDefault="008F3F38" w:rsidP="00A053F2">
            <w:pPr>
              <w:jc w:val="both"/>
              <w:rPr>
                <w:sz w:val="18"/>
                <w:szCs w:val="18"/>
                <w:lang w:val="es-ES"/>
              </w:rPr>
            </w:pPr>
            <w:r w:rsidRPr="008633A1">
              <w:rPr>
                <w:sz w:val="18"/>
                <w:szCs w:val="18"/>
                <w:lang w:val="es-ES"/>
              </w:rPr>
              <w:t>Al menos dos</w:t>
            </w:r>
            <w:r w:rsidR="00E71AA2">
              <w:rPr>
                <w:sz w:val="18"/>
                <w:szCs w:val="18"/>
                <w:lang w:val="es-ES"/>
              </w:rPr>
              <w:t xml:space="preserve"> </w:t>
            </w:r>
            <w:r w:rsidRPr="008633A1">
              <w:rPr>
                <w:sz w:val="18"/>
                <w:szCs w:val="18"/>
                <w:lang w:val="es-ES"/>
              </w:rPr>
              <w:t>giras de campo</w:t>
            </w:r>
          </w:p>
        </w:tc>
        <w:tc>
          <w:tcPr>
            <w:tcW w:w="1246" w:type="dxa"/>
          </w:tcPr>
          <w:p w:rsidR="007C174B" w:rsidRPr="008633A1" w:rsidRDefault="00D329CE" w:rsidP="00A053F2">
            <w:pPr>
              <w:jc w:val="both"/>
              <w:rPr>
                <w:sz w:val="18"/>
                <w:szCs w:val="18"/>
                <w:lang w:val="es-ES"/>
              </w:rPr>
            </w:pPr>
            <w:r w:rsidRPr="008633A1">
              <w:rPr>
                <w:sz w:val="18"/>
                <w:szCs w:val="18"/>
                <w:lang w:val="es-ES"/>
              </w:rPr>
              <w:t>Oficina de país</w:t>
            </w:r>
          </w:p>
        </w:tc>
      </w:tr>
      <w:tr w:rsidR="007C174B" w:rsidRPr="008633A1" w:rsidTr="008633A1">
        <w:trPr>
          <w:jc w:val="center"/>
        </w:trPr>
        <w:tc>
          <w:tcPr>
            <w:tcW w:w="2615" w:type="dxa"/>
          </w:tcPr>
          <w:p w:rsidR="007C174B" w:rsidRPr="008633A1" w:rsidRDefault="00D329CE" w:rsidP="00E94743">
            <w:pPr>
              <w:rPr>
                <w:sz w:val="18"/>
                <w:szCs w:val="18"/>
                <w:lang w:val="es-ES"/>
              </w:rPr>
            </w:pPr>
            <w:r w:rsidRPr="008633A1">
              <w:rPr>
                <w:sz w:val="18"/>
                <w:szCs w:val="18"/>
                <w:lang w:val="es-ES"/>
              </w:rPr>
              <w:t>E</w:t>
            </w:r>
            <w:r w:rsidR="00335648" w:rsidRPr="008633A1">
              <w:rPr>
                <w:sz w:val="18"/>
                <w:szCs w:val="18"/>
                <w:lang w:val="es-ES"/>
              </w:rPr>
              <w:t>specialista en</w:t>
            </w:r>
            <w:r w:rsidRPr="008633A1">
              <w:rPr>
                <w:sz w:val="18"/>
                <w:szCs w:val="18"/>
                <w:lang w:val="es-ES"/>
              </w:rPr>
              <w:t xml:space="preserve"> gestión financiera</w:t>
            </w:r>
          </w:p>
        </w:tc>
        <w:tc>
          <w:tcPr>
            <w:tcW w:w="2844" w:type="dxa"/>
          </w:tcPr>
          <w:p w:rsidR="00441B9A" w:rsidRDefault="007C174B">
            <w:pPr>
              <w:jc w:val="both"/>
              <w:rPr>
                <w:sz w:val="18"/>
                <w:szCs w:val="18"/>
                <w:lang w:val="es-ES"/>
              </w:rPr>
            </w:pPr>
            <w:r w:rsidRPr="008633A1">
              <w:rPr>
                <w:sz w:val="18"/>
                <w:szCs w:val="18"/>
                <w:lang w:val="es-ES"/>
              </w:rPr>
              <w:t xml:space="preserve">4 </w:t>
            </w:r>
            <w:r w:rsidR="008F3F38" w:rsidRPr="008633A1">
              <w:rPr>
                <w:sz w:val="18"/>
                <w:szCs w:val="18"/>
                <w:lang w:val="es-ES"/>
              </w:rPr>
              <w:t>Semanas - por año</w:t>
            </w:r>
          </w:p>
        </w:tc>
        <w:tc>
          <w:tcPr>
            <w:tcW w:w="3245" w:type="dxa"/>
          </w:tcPr>
          <w:p w:rsidR="007C174B" w:rsidRPr="008633A1" w:rsidRDefault="008F3F38" w:rsidP="00A053F2">
            <w:pPr>
              <w:jc w:val="both"/>
              <w:rPr>
                <w:sz w:val="18"/>
                <w:szCs w:val="18"/>
                <w:lang w:val="es-ES"/>
              </w:rPr>
            </w:pPr>
            <w:r w:rsidRPr="008633A1">
              <w:rPr>
                <w:sz w:val="18"/>
                <w:szCs w:val="18"/>
                <w:lang w:val="es-ES"/>
              </w:rPr>
              <w:t>Al menos dos</w:t>
            </w:r>
            <w:r w:rsidR="00E71AA2">
              <w:rPr>
                <w:sz w:val="18"/>
                <w:szCs w:val="18"/>
                <w:lang w:val="es-ES"/>
              </w:rPr>
              <w:t xml:space="preserve"> </w:t>
            </w:r>
            <w:r w:rsidRPr="008633A1">
              <w:rPr>
                <w:sz w:val="18"/>
                <w:szCs w:val="18"/>
                <w:lang w:val="es-ES"/>
              </w:rPr>
              <w:t>giras de campo</w:t>
            </w:r>
          </w:p>
        </w:tc>
        <w:tc>
          <w:tcPr>
            <w:tcW w:w="1246" w:type="dxa"/>
          </w:tcPr>
          <w:p w:rsidR="007C174B" w:rsidRPr="008633A1" w:rsidRDefault="00D329CE" w:rsidP="00A053F2">
            <w:pPr>
              <w:jc w:val="both"/>
              <w:rPr>
                <w:sz w:val="18"/>
                <w:szCs w:val="18"/>
                <w:lang w:val="es-ES"/>
              </w:rPr>
            </w:pPr>
            <w:r w:rsidRPr="008633A1">
              <w:rPr>
                <w:sz w:val="18"/>
                <w:szCs w:val="18"/>
                <w:lang w:val="es-ES"/>
              </w:rPr>
              <w:t>Oficina de país</w:t>
            </w:r>
          </w:p>
        </w:tc>
      </w:tr>
      <w:tr w:rsidR="007C174B" w:rsidRPr="009F3769" w:rsidTr="008633A1">
        <w:trPr>
          <w:jc w:val="center"/>
        </w:trPr>
        <w:tc>
          <w:tcPr>
            <w:tcW w:w="2615" w:type="dxa"/>
          </w:tcPr>
          <w:p w:rsidR="007C174B" w:rsidRPr="008633A1" w:rsidRDefault="00D329CE" w:rsidP="00A053F2">
            <w:pPr>
              <w:jc w:val="both"/>
              <w:rPr>
                <w:sz w:val="18"/>
                <w:szCs w:val="18"/>
                <w:lang w:val="es-ES"/>
              </w:rPr>
            </w:pPr>
            <w:r w:rsidRPr="008633A1">
              <w:rPr>
                <w:sz w:val="18"/>
                <w:szCs w:val="18"/>
                <w:lang w:val="es-ES"/>
              </w:rPr>
              <w:t>Analista de operaciones</w:t>
            </w:r>
          </w:p>
        </w:tc>
        <w:tc>
          <w:tcPr>
            <w:tcW w:w="2844" w:type="dxa"/>
          </w:tcPr>
          <w:p w:rsidR="00441B9A" w:rsidRDefault="007C174B">
            <w:pPr>
              <w:jc w:val="both"/>
              <w:rPr>
                <w:sz w:val="18"/>
                <w:szCs w:val="18"/>
                <w:lang w:val="es-ES"/>
              </w:rPr>
            </w:pPr>
            <w:r w:rsidRPr="008633A1">
              <w:rPr>
                <w:sz w:val="18"/>
                <w:szCs w:val="18"/>
                <w:lang w:val="es-ES"/>
              </w:rPr>
              <w:t xml:space="preserve">5 </w:t>
            </w:r>
            <w:r w:rsidR="008F3F38" w:rsidRPr="008633A1">
              <w:rPr>
                <w:sz w:val="18"/>
                <w:szCs w:val="18"/>
                <w:lang w:val="es-ES"/>
              </w:rPr>
              <w:t>Semanas - por año</w:t>
            </w:r>
          </w:p>
        </w:tc>
        <w:tc>
          <w:tcPr>
            <w:tcW w:w="3245" w:type="dxa"/>
          </w:tcPr>
          <w:p w:rsidR="00E71AA2" w:rsidRDefault="008F3F38" w:rsidP="00A053F2">
            <w:pPr>
              <w:jc w:val="both"/>
              <w:rPr>
                <w:sz w:val="18"/>
                <w:szCs w:val="18"/>
                <w:lang w:val="es-ES"/>
              </w:rPr>
            </w:pPr>
            <w:r w:rsidRPr="008633A1">
              <w:rPr>
                <w:sz w:val="18"/>
                <w:szCs w:val="18"/>
                <w:lang w:val="es-ES"/>
              </w:rPr>
              <w:t>Giras de campo</w:t>
            </w:r>
          </w:p>
          <w:p w:rsidR="007C174B" w:rsidRPr="008633A1" w:rsidRDefault="008F3F38" w:rsidP="00A053F2">
            <w:pPr>
              <w:jc w:val="both"/>
              <w:rPr>
                <w:sz w:val="18"/>
                <w:szCs w:val="18"/>
                <w:lang w:val="es-ES"/>
              </w:rPr>
            </w:pPr>
            <w:r w:rsidRPr="008633A1">
              <w:rPr>
                <w:sz w:val="18"/>
                <w:szCs w:val="18"/>
                <w:lang w:val="es-ES"/>
              </w:rPr>
              <w:t>según sea necesario</w:t>
            </w:r>
          </w:p>
        </w:tc>
        <w:tc>
          <w:tcPr>
            <w:tcW w:w="1246" w:type="dxa"/>
          </w:tcPr>
          <w:p w:rsidR="007C174B" w:rsidRPr="008633A1" w:rsidRDefault="007C174B" w:rsidP="00A053F2">
            <w:pPr>
              <w:jc w:val="both"/>
              <w:rPr>
                <w:sz w:val="18"/>
                <w:szCs w:val="18"/>
                <w:lang w:val="es-ES"/>
              </w:rPr>
            </w:pPr>
          </w:p>
        </w:tc>
      </w:tr>
      <w:tr w:rsidR="007C174B" w:rsidRPr="009F3769" w:rsidTr="008633A1">
        <w:trPr>
          <w:jc w:val="center"/>
        </w:trPr>
        <w:tc>
          <w:tcPr>
            <w:tcW w:w="2615" w:type="dxa"/>
          </w:tcPr>
          <w:p w:rsidR="007C174B" w:rsidRPr="008633A1" w:rsidRDefault="00D329CE" w:rsidP="00D329CE">
            <w:pPr>
              <w:jc w:val="both"/>
              <w:rPr>
                <w:sz w:val="18"/>
                <w:szCs w:val="18"/>
                <w:lang w:val="es-ES"/>
              </w:rPr>
            </w:pPr>
            <w:r w:rsidRPr="008633A1">
              <w:rPr>
                <w:sz w:val="18"/>
                <w:szCs w:val="18"/>
                <w:lang w:val="es-ES"/>
              </w:rPr>
              <w:t>Líder de equipo de trabajo</w:t>
            </w:r>
          </w:p>
        </w:tc>
        <w:tc>
          <w:tcPr>
            <w:tcW w:w="2844" w:type="dxa"/>
          </w:tcPr>
          <w:p w:rsidR="00441B9A" w:rsidRDefault="007C174B">
            <w:pPr>
              <w:jc w:val="both"/>
              <w:rPr>
                <w:sz w:val="18"/>
                <w:szCs w:val="18"/>
                <w:lang w:val="es-ES"/>
              </w:rPr>
            </w:pPr>
            <w:r w:rsidRPr="008633A1">
              <w:rPr>
                <w:sz w:val="18"/>
                <w:szCs w:val="18"/>
                <w:lang w:val="es-ES"/>
              </w:rPr>
              <w:t xml:space="preserve">8 </w:t>
            </w:r>
            <w:r w:rsidR="008F3F38" w:rsidRPr="008633A1">
              <w:rPr>
                <w:sz w:val="18"/>
                <w:szCs w:val="18"/>
                <w:lang w:val="es-ES"/>
              </w:rPr>
              <w:t>Semanas - por año</w:t>
            </w:r>
          </w:p>
        </w:tc>
        <w:tc>
          <w:tcPr>
            <w:tcW w:w="3245" w:type="dxa"/>
          </w:tcPr>
          <w:p w:rsidR="00E71AA2" w:rsidRDefault="008F3F38" w:rsidP="00A053F2">
            <w:pPr>
              <w:jc w:val="both"/>
              <w:rPr>
                <w:sz w:val="18"/>
                <w:szCs w:val="18"/>
                <w:lang w:val="es-ES"/>
              </w:rPr>
            </w:pPr>
            <w:r w:rsidRPr="008633A1">
              <w:rPr>
                <w:sz w:val="18"/>
                <w:szCs w:val="18"/>
                <w:lang w:val="es-ES"/>
              </w:rPr>
              <w:t>Al menos dos</w:t>
            </w:r>
          </w:p>
          <w:p w:rsidR="007C174B" w:rsidRPr="008633A1" w:rsidRDefault="008F3F38" w:rsidP="00A053F2">
            <w:pPr>
              <w:jc w:val="both"/>
              <w:rPr>
                <w:sz w:val="18"/>
                <w:szCs w:val="18"/>
                <w:lang w:val="es-ES"/>
              </w:rPr>
            </w:pPr>
            <w:r w:rsidRPr="008633A1">
              <w:rPr>
                <w:sz w:val="18"/>
                <w:szCs w:val="18"/>
                <w:lang w:val="es-ES"/>
              </w:rPr>
              <w:lastRenderedPageBreak/>
              <w:t>giras de campo</w:t>
            </w:r>
          </w:p>
        </w:tc>
        <w:tc>
          <w:tcPr>
            <w:tcW w:w="1246" w:type="dxa"/>
          </w:tcPr>
          <w:p w:rsidR="007C174B" w:rsidRPr="008633A1" w:rsidRDefault="007C174B" w:rsidP="00A053F2">
            <w:pPr>
              <w:jc w:val="both"/>
              <w:rPr>
                <w:sz w:val="18"/>
                <w:szCs w:val="18"/>
                <w:lang w:val="es-ES"/>
              </w:rPr>
            </w:pPr>
          </w:p>
        </w:tc>
      </w:tr>
    </w:tbl>
    <w:p w:rsidR="00CA2EEF" w:rsidRDefault="00CA2EEF">
      <w:pPr>
        <w:rPr>
          <w:b/>
          <w:szCs w:val="20"/>
          <w:lang w:val="es-ES"/>
        </w:rPr>
      </w:pPr>
      <w:bookmarkStart w:id="135" w:name="_Toc342909555"/>
    </w:p>
    <w:p w:rsidR="00991C10" w:rsidRPr="0015148D" w:rsidRDefault="005B6CFA" w:rsidP="00161DCB">
      <w:pPr>
        <w:pStyle w:val="Heading4"/>
        <w:rPr>
          <w:lang w:val="pt-BR"/>
        </w:rPr>
      </w:pPr>
      <w:bookmarkStart w:id="136" w:name="_Toc357981088"/>
      <w:r w:rsidRPr="0015148D">
        <w:rPr>
          <w:lang w:val="pt-BR"/>
        </w:rPr>
        <w:t>Anexo</w:t>
      </w:r>
      <w:r w:rsidR="00E71AA2">
        <w:rPr>
          <w:lang w:val="pt-BR"/>
        </w:rPr>
        <w:t xml:space="preserve"> </w:t>
      </w:r>
      <w:r w:rsidR="00991C10" w:rsidRPr="0015148D">
        <w:rPr>
          <w:lang w:val="pt-BR"/>
        </w:rPr>
        <w:t xml:space="preserve">6: </w:t>
      </w:r>
      <w:r w:rsidR="000F113D" w:rsidRPr="0015148D">
        <w:rPr>
          <w:lang w:val="pt-BR"/>
        </w:rPr>
        <w:t>Context</w:t>
      </w:r>
      <w:bookmarkEnd w:id="135"/>
      <w:r w:rsidR="00A76E41" w:rsidRPr="0015148D">
        <w:rPr>
          <w:lang w:val="pt-BR"/>
        </w:rPr>
        <w:t xml:space="preserve">o Sectorial e </w:t>
      </w:r>
      <w:r w:rsidR="0090409B" w:rsidRPr="0015148D">
        <w:rPr>
          <w:lang w:val="pt-BR"/>
        </w:rPr>
        <w:t>Institucional</w:t>
      </w:r>
      <w:bookmarkEnd w:id="136"/>
    </w:p>
    <w:p w:rsidR="00991C10" w:rsidRPr="00A76E41" w:rsidRDefault="00991C10" w:rsidP="00991C10">
      <w:pPr>
        <w:pStyle w:val="PDSAnnexHeading"/>
        <w:rPr>
          <w:lang w:val="es-ES"/>
        </w:rPr>
      </w:pPr>
      <w:bookmarkStart w:id="137" w:name="_Toc342563098"/>
      <w:bookmarkStart w:id="138" w:name="_Toc342732229"/>
      <w:bookmarkStart w:id="139" w:name="_Toc342909556"/>
      <w:r w:rsidRPr="00A76E41">
        <w:rPr>
          <w:lang w:val="es-ES"/>
        </w:rPr>
        <w:t>NICARAGUA</w:t>
      </w:r>
      <w:r w:rsidRPr="00A76E41">
        <w:rPr>
          <w:bCs/>
          <w:caps/>
          <w:lang w:val="es-ES"/>
        </w:rPr>
        <w:t xml:space="preserve">: </w:t>
      </w:r>
      <w:r w:rsidR="001209FA" w:rsidRPr="00A76E41">
        <w:rPr>
          <w:lang w:val="es-ES"/>
        </w:rPr>
        <w:t>Segundo Proyecto de Ordenamiento de la Propiedad</w:t>
      </w:r>
      <w:bookmarkEnd w:id="137"/>
      <w:bookmarkEnd w:id="138"/>
      <w:bookmarkEnd w:id="139"/>
    </w:p>
    <w:p w:rsidR="00991C10" w:rsidRPr="00A76E41" w:rsidRDefault="00991C10">
      <w:pPr>
        <w:rPr>
          <w:lang w:val="es-ES"/>
        </w:rPr>
      </w:pPr>
    </w:p>
    <w:p w:rsidR="005F2C5C" w:rsidRPr="00A76E41" w:rsidRDefault="0090409B" w:rsidP="00F91221">
      <w:pPr>
        <w:pStyle w:val="ListParagraph"/>
        <w:numPr>
          <w:ilvl w:val="0"/>
          <w:numId w:val="35"/>
        </w:numPr>
        <w:rPr>
          <w:b/>
          <w:lang w:val="es-ES"/>
        </w:rPr>
      </w:pPr>
      <w:r w:rsidRPr="00A76E41">
        <w:rPr>
          <w:b/>
          <w:lang w:val="es-ES"/>
        </w:rPr>
        <w:t>Contexto</w:t>
      </w:r>
      <w:r w:rsidR="00E71AA2">
        <w:rPr>
          <w:b/>
          <w:lang w:val="es-ES"/>
        </w:rPr>
        <w:t xml:space="preserve"> </w:t>
      </w:r>
      <w:r w:rsidR="005F2C5C" w:rsidRPr="00A76E41">
        <w:rPr>
          <w:b/>
          <w:lang w:val="es-ES"/>
        </w:rPr>
        <w:t>Sector</w:t>
      </w:r>
      <w:r w:rsidR="00A76E41" w:rsidRPr="00A76E41">
        <w:rPr>
          <w:b/>
          <w:lang w:val="es-ES"/>
        </w:rPr>
        <w:t>i</w:t>
      </w:r>
      <w:r w:rsidR="005F2C5C" w:rsidRPr="00A76E41">
        <w:rPr>
          <w:b/>
          <w:lang w:val="es-ES"/>
        </w:rPr>
        <w:t xml:space="preserve">al </w:t>
      </w:r>
    </w:p>
    <w:p w:rsidR="005F2C5C" w:rsidRPr="00A76E41" w:rsidRDefault="005F2C5C">
      <w:pPr>
        <w:rPr>
          <w:lang w:val="es-ES"/>
        </w:rPr>
      </w:pPr>
    </w:p>
    <w:p w:rsidR="005121DF" w:rsidRPr="0015148D" w:rsidRDefault="005121DF" w:rsidP="00F91221">
      <w:pPr>
        <w:numPr>
          <w:ilvl w:val="0"/>
          <w:numId w:val="34"/>
        </w:numPr>
        <w:tabs>
          <w:tab w:val="clear" w:pos="360"/>
          <w:tab w:val="num" w:pos="720"/>
        </w:tabs>
        <w:jc w:val="both"/>
        <w:rPr>
          <w:sz w:val="23"/>
          <w:szCs w:val="23"/>
          <w:lang w:val="es-ES"/>
        </w:rPr>
      </w:pPr>
      <w:r w:rsidRPr="0015148D">
        <w:rPr>
          <w:sz w:val="23"/>
          <w:szCs w:val="23"/>
          <w:lang w:val="es-NI"/>
        </w:rPr>
        <w:t xml:space="preserve">El reconocimiento de la importancia del tema de la tenencia de la tierra en la agenda de desarrollo de Nicaragua ha permitido que el </w:t>
      </w:r>
      <w:r w:rsidR="00E71AA2">
        <w:rPr>
          <w:sz w:val="23"/>
          <w:szCs w:val="23"/>
          <w:lang w:val="es-NI"/>
        </w:rPr>
        <w:t>G</w:t>
      </w:r>
      <w:r w:rsidRPr="0015148D">
        <w:rPr>
          <w:sz w:val="23"/>
          <w:szCs w:val="23"/>
          <w:lang w:val="es-NI"/>
        </w:rPr>
        <w:t xml:space="preserve">obierno y el Banco Mundial hayan forjado una sólida alianza con el paso del tiempo. Entre 1993 y el 2000, el Programa de </w:t>
      </w:r>
      <w:r w:rsidR="00363CAD" w:rsidRPr="0015148D">
        <w:rPr>
          <w:sz w:val="23"/>
          <w:szCs w:val="23"/>
          <w:lang w:val="es-NI"/>
        </w:rPr>
        <w:t>Tecnología Agropecuaria  (</w:t>
      </w:r>
      <w:r w:rsidR="00363CAD" w:rsidRPr="0015148D">
        <w:rPr>
          <w:sz w:val="23"/>
          <w:szCs w:val="23"/>
          <w:lang w:val="es-ES"/>
        </w:rPr>
        <w:t>ATLMP, P007780) apuntaló los esfuerzos iniciales del gobierno de modernizar el sistema de ordenamiento de la propiedad</w:t>
      </w:r>
      <w:r w:rsidR="00574FB3" w:rsidRPr="0015148D">
        <w:rPr>
          <w:sz w:val="23"/>
          <w:szCs w:val="23"/>
          <w:lang w:val="es-ES"/>
        </w:rPr>
        <w:t xml:space="preserve">, planteando como prioridad resolver la situación legal de parcelas afectadas por la reforma agraria de los años 80. El entorno posterior al conflicto armado y a la reforma agraria de los años 80 se caracterizó por confiscaciones/nacionalizaciones masivas de propiedades urbanas y rurales, problemas de tenencia no resueltos del sector reformado, destrucción de los registros de propiedad, reclamos y conflictos que contribuyeron todos a crear una inestabilidad social y a obstaculizar la recuperación económica. </w:t>
      </w:r>
      <w:r w:rsidR="00BB09CB" w:rsidRPr="0015148D">
        <w:rPr>
          <w:sz w:val="23"/>
          <w:szCs w:val="23"/>
          <w:lang w:val="es-ES"/>
        </w:rPr>
        <w:t>Estos esfuerzos iniciales se vieron obstaculizados por políticas contradictorias que intentaron de manera simultánea proteger los derechos de los beneficiarios de la reforma agraria y los derechos de los dueños anteriores. En cambio, se hizo evidente que el país necesitaba establecer un marco de ordenamiento de la propiedad adecuado antes de lanzar a nivel nacional un programa de ordenamiento</w:t>
      </w:r>
    </w:p>
    <w:p w:rsidR="00C175B8" w:rsidRDefault="00BB09CB" w:rsidP="00F91221">
      <w:pPr>
        <w:numPr>
          <w:ilvl w:val="0"/>
          <w:numId w:val="34"/>
        </w:numPr>
        <w:tabs>
          <w:tab w:val="clear" w:pos="360"/>
        </w:tabs>
        <w:jc w:val="both"/>
        <w:rPr>
          <w:sz w:val="23"/>
          <w:szCs w:val="23"/>
          <w:lang w:val="es-ES"/>
        </w:rPr>
      </w:pPr>
      <w:r w:rsidRPr="0015148D">
        <w:rPr>
          <w:sz w:val="23"/>
          <w:szCs w:val="23"/>
          <w:lang w:val="es-ES"/>
        </w:rPr>
        <w:t xml:space="preserve">En este contexto, el Proyecto de Ordenamiento de la Propiedad </w:t>
      </w:r>
      <w:r w:rsidRPr="0015148D">
        <w:rPr>
          <w:sz w:val="23"/>
          <w:szCs w:val="23"/>
          <w:lang w:val="es-NI"/>
        </w:rPr>
        <w:t>(PRODEP, P056018),</w:t>
      </w:r>
      <w:r w:rsidR="00723788" w:rsidRPr="0015148D">
        <w:rPr>
          <w:sz w:val="23"/>
          <w:szCs w:val="23"/>
          <w:lang w:val="es-NI"/>
        </w:rPr>
        <w:t xml:space="preserve"> aprobado por el directorio en junio del 2002 fue diseñado como un esfuerzo piloto de gran escala para los municipios de </w:t>
      </w:r>
      <w:r w:rsidR="00C175B8" w:rsidRPr="0015148D">
        <w:rPr>
          <w:sz w:val="23"/>
          <w:szCs w:val="23"/>
          <w:lang w:val="es-NI"/>
        </w:rPr>
        <w:t xml:space="preserve">Chinandega, Estelí, Madriz, </w:t>
      </w:r>
      <w:r w:rsidR="00723788" w:rsidRPr="0015148D">
        <w:rPr>
          <w:sz w:val="23"/>
          <w:szCs w:val="23"/>
          <w:lang w:val="es-NI"/>
        </w:rPr>
        <w:t>y posteriormente</w:t>
      </w:r>
      <w:r w:rsidR="00E31CB8">
        <w:rPr>
          <w:sz w:val="23"/>
          <w:szCs w:val="23"/>
          <w:lang w:val="es-NI"/>
        </w:rPr>
        <w:t xml:space="preserve"> </w:t>
      </w:r>
      <w:r w:rsidR="00C64CD0" w:rsidRPr="0015148D">
        <w:rPr>
          <w:sz w:val="23"/>
          <w:szCs w:val="23"/>
          <w:lang w:val="es-NI"/>
        </w:rPr>
        <w:t>León</w:t>
      </w:r>
      <w:r w:rsidR="00C175B8" w:rsidRPr="0015148D">
        <w:rPr>
          <w:sz w:val="23"/>
          <w:szCs w:val="23"/>
          <w:lang w:val="es-NI"/>
        </w:rPr>
        <w:t xml:space="preserve">, </w:t>
      </w:r>
      <w:r w:rsidR="00723788" w:rsidRPr="0015148D">
        <w:rPr>
          <w:sz w:val="23"/>
          <w:szCs w:val="23"/>
          <w:lang w:val="es-NI"/>
        </w:rPr>
        <w:t>en vista de los</w:t>
      </w:r>
      <w:r w:rsidR="00E31CB8">
        <w:rPr>
          <w:sz w:val="23"/>
          <w:szCs w:val="23"/>
          <w:lang w:val="es-NI"/>
        </w:rPr>
        <w:t xml:space="preserve"> altos</w:t>
      </w:r>
      <w:r w:rsidR="00723788" w:rsidRPr="0015148D">
        <w:rPr>
          <w:sz w:val="23"/>
          <w:szCs w:val="23"/>
          <w:lang w:val="es-ES"/>
        </w:rPr>
        <w:t xml:space="preserve"> niveles de pobreza, inseguridad jurídica y conflictos por la tenencia de la tierra. En consecuencia, los Objetivos de Desarrollo del Proyecto (ODP) </w:t>
      </w:r>
      <w:r w:rsidR="00B14F16" w:rsidRPr="0015148D">
        <w:rPr>
          <w:sz w:val="23"/>
          <w:szCs w:val="23"/>
          <w:lang w:val="es-ES"/>
        </w:rPr>
        <w:t xml:space="preserve">de </w:t>
      </w:r>
      <w:r w:rsidR="00435D81" w:rsidRPr="0015148D">
        <w:rPr>
          <w:sz w:val="23"/>
          <w:szCs w:val="23"/>
          <w:lang w:val="es-ES"/>
        </w:rPr>
        <w:t>PROD</w:t>
      </w:r>
      <w:r w:rsidR="00B14F16" w:rsidRPr="0015148D">
        <w:rPr>
          <w:sz w:val="23"/>
          <w:szCs w:val="23"/>
          <w:lang w:val="es-ES"/>
        </w:rPr>
        <w:t>EP</w:t>
      </w:r>
      <w:r w:rsidR="00E31CB8">
        <w:rPr>
          <w:sz w:val="23"/>
          <w:szCs w:val="23"/>
          <w:lang w:val="es-ES"/>
        </w:rPr>
        <w:t xml:space="preserve"> </w:t>
      </w:r>
      <w:r w:rsidR="00BA2B15" w:rsidRPr="0015148D">
        <w:rPr>
          <w:sz w:val="23"/>
          <w:szCs w:val="23"/>
          <w:lang w:val="es-ES"/>
        </w:rPr>
        <w:t>son</w:t>
      </w:r>
      <w:r w:rsidR="00901F85" w:rsidRPr="0015148D">
        <w:rPr>
          <w:sz w:val="23"/>
          <w:szCs w:val="23"/>
          <w:lang w:val="es-ES"/>
        </w:rPr>
        <w:t xml:space="preserve">: (a) </w:t>
      </w:r>
      <w:r w:rsidR="00247A6A" w:rsidRPr="0015148D">
        <w:rPr>
          <w:sz w:val="23"/>
          <w:szCs w:val="23"/>
          <w:lang w:val="es-ES"/>
        </w:rPr>
        <w:t>Desarrollar el marco legal</w:t>
      </w:r>
      <w:r w:rsidR="00901F85" w:rsidRPr="0015148D">
        <w:rPr>
          <w:sz w:val="23"/>
          <w:szCs w:val="23"/>
          <w:lang w:val="es-ES"/>
        </w:rPr>
        <w:t xml:space="preserve">, </w:t>
      </w:r>
      <w:r w:rsidR="00247A6A" w:rsidRPr="0015148D">
        <w:rPr>
          <w:sz w:val="23"/>
          <w:szCs w:val="23"/>
          <w:lang w:val="es-ES"/>
        </w:rPr>
        <w:t>institucional</w:t>
      </w:r>
      <w:r w:rsidR="00901F85" w:rsidRPr="0015148D">
        <w:rPr>
          <w:sz w:val="23"/>
          <w:szCs w:val="23"/>
          <w:lang w:val="es-ES"/>
        </w:rPr>
        <w:t xml:space="preserve">, </w:t>
      </w:r>
      <w:r w:rsidR="00247A6A" w:rsidRPr="0015148D">
        <w:rPr>
          <w:sz w:val="23"/>
          <w:szCs w:val="23"/>
          <w:lang w:val="es-ES"/>
        </w:rPr>
        <w:t>técnico</w:t>
      </w:r>
      <w:r w:rsidR="00E31CB8">
        <w:rPr>
          <w:sz w:val="23"/>
          <w:szCs w:val="23"/>
          <w:lang w:val="es-ES"/>
        </w:rPr>
        <w:t xml:space="preserve"> </w:t>
      </w:r>
      <w:r w:rsidR="00FF357C" w:rsidRPr="0015148D">
        <w:rPr>
          <w:sz w:val="23"/>
          <w:szCs w:val="23"/>
          <w:lang w:val="es-ES"/>
        </w:rPr>
        <w:t>y</w:t>
      </w:r>
      <w:r w:rsidR="00901F85" w:rsidRPr="0015148D">
        <w:rPr>
          <w:sz w:val="23"/>
          <w:szCs w:val="23"/>
          <w:lang w:val="es-ES"/>
        </w:rPr>
        <w:t xml:space="preserve"> particip</w:t>
      </w:r>
      <w:r w:rsidR="00247A6A" w:rsidRPr="0015148D">
        <w:rPr>
          <w:sz w:val="23"/>
          <w:szCs w:val="23"/>
          <w:lang w:val="es-ES"/>
        </w:rPr>
        <w:t>ativo de los derechos de propiedad en el territorio nicaragüense</w:t>
      </w:r>
      <w:r w:rsidR="00901F85" w:rsidRPr="0015148D">
        <w:rPr>
          <w:sz w:val="23"/>
          <w:szCs w:val="23"/>
          <w:lang w:val="es-ES"/>
        </w:rPr>
        <w:t xml:space="preserve">; </w:t>
      </w:r>
      <w:r w:rsidR="00FF357C" w:rsidRPr="0015148D">
        <w:rPr>
          <w:sz w:val="23"/>
          <w:szCs w:val="23"/>
          <w:lang w:val="es-ES"/>
        </w:rPr>
        <w:t>y</w:t>
      </w:r>
      <w:r w:rsidR="00901F85" w:rsidRPr="0015148D">
        <w:rPr>
          <w:sz w:val="23"/>
          <w:szCs w:val="23"/>
          <w:lang w:val="es-ES"/>
        </w:rPr>
        <w:t xml:space="preserve"> (b) </w:t>
      </w:r>
      <w:r w:rsidR="00247A6A" w:rsidRPr="0015148D">
        <w:rPr>
          <w:sz w:val="23"/>
          <w:szCs w:val="23"/>
          <w:lang w:val="es-ES"/>
        </w:rPr>
        <w:t>Demo</w:t>
      </w:r>
      <w:r w:rsidR="00901F85" w:rsidRPr="0015148D">
        <w:rPr>
          <w:sz w:val="23"/>
          <w:szCs w:val="23"/>
          <w:lang w:val="es-ES"/>
        </w:rPr>
        <w:t>stra</w:t>
      </w:r>
      <w:r w:rsidR="00247A6A" w:rsidRPr="0015148D">
        <w:rPr>
          <w:sz w:val="23"/>
          <w:szCs w:val="23"/>
          <w:lang w:val="es-ES"/>
        </w:rPr>
        <w:t>r la factibilidad de un programa de regularización sistemática de los derechos de la tierra. El proyecto fue financiado</w:t>
      </w:r>
      <w:r w:rsidR="00306B70" w:rsidRPr="0015148D">
        <w:rPr>
          <w:sz w:val="23"/>
          <w:szCs w:val="23"/>
          <w:lang w:val="es-ES"/>
        </w:rPr>
        <w:t xml:space="preserve"> a través de dos créditos de la AIF: el crédito original de </w:t>
      </w:r>
      <w:r w:rsidR="00BA2B15" w:rsidRPr="0015148D">
        <w:rPr>
          <w:sz w:val="23"/>
          <w:szCs w:val="23"/>
          <w:lang w:val="es-ES"/>
        </w:rPr>
        <w:t>26.2 millones de DEG (equivalentes a US$ 32.6 millones de dólares) y un Financiamiento Adicional de 6.3 millones de DEG (equivalentes a US$ 10 millones de dólares) aprobado en febrero del 2010.</w:t>
      </w:r>
      <w:r w:rsidR="00BA2B15" w:rsidRPr="0015148D">
        <w:rPr>
          <w:sz w:val="23"/>
          <w:szCs w:val="23"/>
          <w:vertAlign w:val="superscript"/>
          <w:lang w:val="es-ES"/>
        </w:rPr>
        <w:footnoteReference w:id="36"/>
      </w:r>
      <w:r w:rsidR="00BA2B15" w:rsidRPr="0015148D">
        <w:rPr>
          <w:sz w:val="23"/>
          <w:szCs w:val="23"/>
          <w:lang w:val="es-ES"/>
        </w:rPr>
        <w:t xml:space="preserve"> Después de experimentar retrasos iniciales, PRODEP se ha desarrollado bien y el grado de cumplimiento de los ODP y el avance en general se catalogan como satisfactorios.  Aunque la fecha de cierre es el 30 de abril del 2013, casi todos los fondos del crédito ya se habían desembolsado para agosto del 2012. Esta ejecución satisfactoria está apuntalada por el fuerte compromiso del gobierno y por la robusta coordinación interinstitucional.</w:t>
      </w:r>
    </w:p>
    <w:p w:rsidR="00B9045A" w:rsidRPr="0015148D" w:rsidRDefault="00B9045A" w:rsidP="00B9045A">
      <w:pPr>
        <w:jc w:val="both"/>
        <w:rPr>
          <w:sz w:val="23"/>
          <w:szCs w:val="23"/>
          <w:lang w:val="es-ES"/>
        </w:rPr>
      </w:pPr>
    </w:p>
    <w:p w:rsidR="000D66EB" w:rsidRPr="0015148D" w:rsidRDefault="002552D0" w:rsidP="00F91221">
      <w:pPr>
        <w:numPr>
          <w:ilvl w:val="0"/>
          <w:numId w:val="34"/>
        </w:numPr>
        <w:jc w:val="both"/>
        <w:rPr>
          <w:sz w:val="23"/>
          <w:szCs w:val="23"/>
          <w:lang w:val="es-ES"/>
        </w:rPr>
      </w:pPr>
      <w:r w:rsidRPr="0015148D">
        <w:rPr>
          <w:sz w:val="23"/>
          <w:szCs w:val="23"/>
          <w:lang w:val="es-ES"/>
        </w:rPr>
        <w:t>Además de ayudar a cimentar la alianza entre el gobierno y el Banco Mundial con relación a la modernización</w:t>
      </w:r>
      <w:r w:rsidR="00901F85" w:rsidRPr="0015148D">
        <w:rPr>
          <w:sz w:val="23"/>
          <w:szCs w:val="23"/>
          <w:lang w:val="es-ES"/>
        </w:rPr>
        <w:t xml:space="preserve">, </w:t>
      </w:r>
      <w:r w:rsidR="00F96FF0" w:rsidRPr="0015148D">
        <w:rPr>
          <w:sz w:val="23"/>
          <w:szCs w:val="23"/>
          <w:lang w:val="es-ES"/>
        </w:rPr>
        <w:t>PRODEP le ha ayudado a Nicaragua a alcanzar dos grandes logros: un marco de ordenamiento de la propiedad más sólido y transparente y una metodología comprobada para llevar a cabo la regularización sistemática de la propiedad. Por ende, los principales logros de PRODEP son</w:t>
      </w:r>
      <w:r w:rsidR="00901F85" w:rsidRPr="0015148D">
        <w:rPr>
          <w:sz w:val="23"/>
          <w:szCs w:val="23"/>
          <w:lang w:val="es-ES"/>
        </w:rPr>
        <w:t>:</w:t>
      </w:r>
      <w:r w:rsidR="006A59BE" w:rsidRPr="0015148D">
        <w:rPr>
          <w:rStyle w:val="FootnoteReference"/>
          <w:sz w:val="23"/>
          <w:szCs w:val="23"/>
          <w:lang w:val="es-ES"/>
        </w:rPr>
        <w:footnoteReference w:id="37"/>
      </w:r>
    </w:p>
    <w:p w:rsidR="003012D4" w:rsidRPr="00B9045A" w:rsidRDefault="00F96FF0" w:rsidP="00F91221">
      <w:pPr>
        <w:numPr>
          <w:ilvl w:val="0"/>
          <w:numId w:val="34"/>
        </w:numPr>
        <w:tabs>
          <w:tab w:val="clear" w:pos="360"/>
          <w:tab w:val="num" w:pos="720"/>
        </w:tabs>
        <w:jc w:val="both"/>
        <w:rPr>
          <w:sz w:val="23"/>
          <w:szCs w:val="23"/>
          <w:lang w:val="es-ES"/>
        </w:rPr>
      </w:pPr>
      <w:r w:rsidRPr="0015148D">
        <w:rPr>
          <w:i/>
          <w:sz w:val="23"/>
          <w:szCs w:val="23"/>
          <w:lang w:val="es-ES"/>
        </w:rPr>
        <w:lastRenderedPageBreak/>
        <w:t xml:space="preserve">Fortalecimiento del marco legal e institucional </w:t>
      </w:r>
      <w:r w:rsidR="00B6706A" w:rsidRPr="0015148D">
        <w:rPr>
          <w:i/>
          <w:sz w:val="23"/>
          <w:szCs w:val="23"/>
          <w:lang w:val="es-ES"/>
        </w:rPr>
        <w:t>y mejoramiento de la coordinación interinstitucional</w:t>
      </w:r>
      <w:r w:rsidR="000F113D" w:rsidRPr="0015148D">
        <w:rPr>
          <w:i/>
          <w:sz w:val="23"/>
          <w:szCs w:val="23"/>
          <w:lang w:val="es-ES"/>
        </w:rPr>
        <w:t>.</w:t>
      </w:r>
      <w:r w:rsidR="009259B8">
        <w:rPr>
          <w:i/>
          <w:sz w:val="23"/>
          <w:szCs w:val="23"/>
          <w:lang w:val="es-ES"/>
        </w:rPr>
        <w:t xml:space="preserve"> </w:t>
      </w:r>
      <w:r w:rsidR="003012D4" w:rsidRPr="0015148D">
        <w:rPr>
          <w:sz w:val="23"/>
          <w:szCs w:val="23"/>
          <w:lang w:val="es-ES"/>
        </w:rPr>
        <w:t>El marco jurídico y de políticas se ha visto transformado de forma positiva; la capacidad de las instituciones claves, fortalecida y dentro de las áreas de influencia del Proyecto, se han descentralizado los servicios. En términos específicos,</w:t>
      </w:r>
      <w:r w:rsidR="00B944AE" w:rsidRPr="0015148D">
        <w:rPr>
          <w:sz w:val="23"/>
          <w:szCs w:val="23"/>
          <w:lang w:val="es-ES"/>
        </w:rPr>
        <w:t xml:space="preserve"> el PRODEP apoyó la preparación del Marco Nacional de Políticas de Tierra, la aprobación y aplicación de legislación relevante como la </w:t>
      </w:r>
      <w:r w:rsidR="00B06FD7" w:rsidRPr="0015148D">
        <w:rPr>
          <w:sz w:val="23"/>
          <w:szCs w:val="23"/>
          <w:lang w:val="es-ES"/>
        </w:rPr>
        <w:t xml:space="preserve">Ley del </w:t>
      </w:r>
      <w:r w:rsidR="00B06FD7" w:rsidRPr="0015148D">
        <w:rPr>
          <w:sz w:val="23"/>
          <w:szCs w:val="23"/>
          <w:lang w:val="es-NI"/>
        </w:rPr>
        <w:t xml:space="preserve">Régimen de la Propiedad Comunal de las Comunidades Indígena (2003), la Ley </w:t>
      </w:r>
      <w:r w:rsidR="002D33B5" w:rsidRPr="0015148D">
        <w:rPr>
          <w:sz w:val="23"/>
          <w:szCs w:val="23"/>
          <w:lang w:val="es-NI"/>
        </w:rPr>
        <w:t xml:space="preserve">General </w:t>
      </w:r>
      <w:r w:rsidR="00B06FD7" w:rsidRPr="0015148D">
        <w:rPr>
          <w:sz w:val="23"/>
          <w:szCs w:val="23"/>
          <w:lang w:val="es-NI"/>
        </w:rPr>
        <w:t xml:space="preserve">de </w:t>
      </w:r>
      <w:r w:rsidR="002D33B5" w:rsidRPr="0015148D">
        <w:rPr>
          <w:sz w:val="23"/>
          <w:szCs w:val="23"/>
          <w:lang w:val="es-NI"/>
        </w:rPr>
        <w:t>Catastro</w:t>
      </w:r>
      <w:r w:rsidR="00B06FD7" w:rsidRPr="0015148D">
        <w:rPr>
          <w:sz w:val="23"/>
          <w:szCs w:val="23"/>
          <w:lang w:val="es-NI"/>
        </w:rPr>
        <w:t xml:space="preserve"> Nacional</w:t>
      </w:r>
      <w:r w:rsidR="009259B8">
        <w:rPr>
          <w:sz w:val="23"/>
          <w:szCs w:val="23"/>
          <w:lang w:val="es-NI"/>
        </w:rPr>
        <w:t xml:space="preserve"> </w:t>
      </w:r>
      <w:r w:rsidR="00A97B42" w:rsidRPr="0015148D">
        <w:rPr>
          <w:sz w:val="23"/>
          <w:szCs w:val="23"/>
          <w:lang w:val="es-ES"/>
        </w:rPr>
        <w:t xml:space="preserve">(2005) y la Ley General de Registros Públicos (2009).  La última facilitó la aplicación del </w:t>
      </w:r>
      <w:r w:rsidR="00D65A45" w:rsidRPr="0015148D">
        <w:rPr>
          <w:sz w:val="23"/>
          <w:szCs w:val="23"/>
          <w:lang w:val="es-ES"/>
        </w:rPr>
        <w:t xml:space="preserve">Sistema Integrado de Información de Catastro y Registro </w:t>
      </w:r>
      <w:r w:rsidR="00D65A45" w:rsidRPr="0015148D">
        <w:rPr>
          <w:sz w:val="23"/>
          <w:szCs w:val="23"/>
          <w:lang w:val="es-NI"/>
        </w:rPr>
        <w:t xml:space="preserve">(SIICAR) en Chinandega. En consecuencia, el actual marco legal e institucional es apropiado para soportar la regularización sistemática de los derechos de propiedad tal como se </w:t>
      </w:r>
      <w:r w:rsidR="00AA136C" w:rsidRPr="0015148D">
        <w:rPr>
          <w:sz w:val="23"/>
          <w:szCs w:val="23"/>
          <w:lang w:val="es-NI"/>
        </w:rPr>
        <w:t>prevé en el Programa Nacional de Tierras</w:t>
      </w:r>
      <w:r w:rsidR="00480AAE" w:rsidRPr="0015148D">
        <w:rPr>
          <w:sz w:val="23"/>
          <w:szCs w:val="23"/>
          <w:lang w:val="es-NI"/>
        </w:rPr>
        <w:t xml:space="preserve"> que impulsa el gobierno. </w:t>
      </w:r>
      <w:r w:rsidR="00480AAE" w:rsidRPr="0015148D">
        <w:rPr>
          <w:rStyle w:val="FootnoteReference"/>
          <w:sz w:val="23"/>
          <w:szCs w:val="23"/>
          <w:lang w:val="es-ES"/>
        </w:rPr>
        <w:footnoteReference w:id="38"/>
      </w:r>
      <w:r w:rsidR="00480AAE" w:rsidRPr="0015148D">
        <w:rPr>
          <w:sz w:val="23"/>
          <w:szCs w:val="23"/>
          <w:lang w:val="es-NI"/>
        </w:rPr>
        <w:t xml:space="preserve"> Asimismo, a la PGR se le ha conferido el mandato de coordinar la agenda del ordenamiento de la propiedad en el país. En la vida de PRODEP, se ha dado un proceso de consolidación de instituciones y responsabilidades que han mejorado el marco institucional. </w:t>
      </w:r>
      <w:r w:rsidR="00A2316A" w:rsidRPr="0015148D">
        <w:rPr>
          <w:sz w:val="23"/>
          <w:szCs w:val="23"/>
          <w:lang w:val="es-NI"/>
        </w:rPr>
        <w:t xml:space="preserve"> La aplicación del SIICAR ha fomentado una relación más estrecha entre la Corte Suprema (CSJ), responsable del registro de la propiedad y las instituciones del poder ejecutivo asociadas con el catastro y la regularización, en especial INETER y el IP (adscrito a la PGR).</w:t>
      </w:r>
    </w:p>
    <w:p w:rsidR="00B9045A" w:rsidRPr="0015148D" w:rsidRDefault="00B9045A" w:rsidP="00B9045A">
      <w:pPr>
        <w:jc w:val="both"/>
        <w:rPr>
          <w:sz w:val="23"/>
          <w:szCs w:val="23"/>
          <w:lang w:val="es-ES"/>
        </w:rPr>
      </w:pPr>
    </w:p>
    <w:p w:rsidR="00EB07D8" w:rsidRPr="0015148D" w:rsidRDefault="000F1E0F" w:rsidP="00F91221">
      <w:pPr>
        <w:numPr>
          <w:ilvl w:val="0"/>
          <w:numId w:val="34"/>
        </w:numPr>
        <w:tabs>
          <w:tab w:val="clear" w:pos="360"/>
          <w:tab w:val="num" w:pos="720"/>
        </w:tabs>
        <w:jc w:val="both"/>
        <w:rPr>
          <w:sz w:val="23"/>
          <w:szCs w:val="23"/>
          <w:lang w:val="es-ES"/>
        </w:rPr>
      </w:pPr>
      <w:r w:rsidRPr="0015148D">
        <w:rPr>
          <w:i/>
          <w:sz w:val="23"/>
          <w:szCs w:val="23"/>
          <w:lang w:val="es-ES"/>
        </w:rPr>
        <w:t xml:space="preserve">Desarrollo, </w:t>
      </w:r>
      <w:r w:rsidR="00C7570F" w:rsidRPr="0015148D">
        <w:rPr>
          <w:i/>
          <w:sz w:val="23"/>
          <w:szCs w:val="23"/>
          <w:lang w:val="es-ES"/>
        </w:rPr>
        <w:t xml:space="preserve">experimento y consolidación </w:t>
      </w:r>
      <w:r w:rsidRPr="0015148D">
        <w:rPr>
          <w:i/>
          <w:sz w:val="23"/>
          <w:szCs w:val="23"/>
          <w:lang w:val="es-ES"/>
        </w:rPr>
        <w:t xml:space="preserve">de un programa de regularización </w:t>
      </w:r>
      <w:r w:rsidR="00C7570F" w:rsidRPr="0015148D">
        <w:rPr>
          <w:i/>
          <w:sz w:val="23"/>
          <w:szCs w:val="23"/>
          <w:lang w:val="es-ES"/>
        </w:rPr>
        <w:t>sistemática de los derechos de propiedad en departamentos pilotos</w:t>
      </w:r>
      <w:r w:rsidR="00C7570F" w:rsidRPr="0015148D">
        <w:rPr>
          <w:sz w:val="23"/>
          <w:szCs w:val="23"/>
          <w:lang w:val="es-ES"/>
        </w:rPr>
        <w:t xml:space="preserve">. La modernización catastral se ha completado en los municipios de los departamentos de Chinandega, Estelí, Madriz y León. La aplicación de la metodología de regularización sistemática ha </w:t>
      </w:r>
      <w:r w:rsidR="00F25582" w:rsidRPr="0015148D">
        <w:rPr>
          <w:sz w:val="23"/>
          <w:szCs w:val="23"/>
          <w:lang w:val="es-ES"/>
        </w:rPr>
        <w:t>titulado</w:t>
      </w:r>
      <w:r w:rsidR="00C7570F" w:rsidRPr="0015148D">
        <w:rPr>
          <w:sz w:val="23"/>
          <w:szCs w:val="23"/>
          <w:lang w:val="es-ES"/>
        </w:rPr>
        <w:t xml:space="preserve"> a más de </w:t>
      </w:r>
      <w:r w:rsidR="00C7570F" w:rsidRPr="0015148D">
        <w:rPr>
          <w:sz w:val="23"/>
          <w:szCs w:val="23"/>
          <w:lang w:val="es-NI"/>
        </w:rPr>
        <w:t>110,000 hogares urbanos y rurales</w:t>
      </w:r>
      <w:r w:rsidR="00F25582" w:rsidRPr="0015148D">
        <w:rPr>
          <w:sz w:val="23"/>
          <w:szCs w:val="23"/>
          <w:lang w:val="es-NI"/>
        </w:rPr>
        <w:t>; 51% se ha emitido a favor de</w:t>
      </w:r>
      <w:r w:rsidR="00DF253C" w:rsidRPr="0015148D">
        <w:rPr>
          <w:sz w:val="23"/>
          <w:szCs w:val="23"/>
          <w:lang w:val="es-NI"/>
        </w:rPr>
        <w:t xml:space="preserve"> parejas o mujeres y se ha hecho el barrido catastral de más de 200,000 parcelas. A través de estos procesos, aunque el número de conflictos resueltos directamente por la </w:t>
      </w:r>
      <w:r w:rsidR="00DF253C" w:rsidRPr="0015148D">
        <w:rPr>
          <w:sz w:val="23"/>
          <w:szCs w:val="23"/>
          <w:lang w:val="es-ES"/>
        </w:rPr>
        <w:t>DIRAC-CSJ pareciera ser relativamente pequeño (</w:t>
      </w:r>
      <w:r w:rsidR="00DF253C" w:rsidRPr="0015148D">
        <w:rPr>
          <w:sz w:val="23"/>
          <w:szCs w:val="23"/>
          <w:lang w:val="es-NI"/>
        </w:rPr>
        <w:t>912 de 2,667 cas</w:t>
      </w:r>
      <w:r w:rsidR="00CE500A" w:rsidRPr="0015148D">
        <w:rPr>
          <w:sz w:val="23"/>
          <w:szCs w:val="23"/>
          <w:lang w:val="es-NI"/>
        </w:rPr>
        <w:t>o</w:t>
      </w:r>
      <w:r w:rsidR="00DF253C" w:rsidRPr="0015148D">
        <w:rPr>
          <w:sz w:val="23"/>
          <w:szCs w:val="23"/>
          <w:lang w:val="es-NI"/>
        </w:rPr>
        <w:t>s</w:t>
      </w:r>
      <w:r w:rsidR="005B2483" w:rsidRPr="0015148D">
        <w:rPr>
          <w:sz w:val="23"/>
          <w:szCs w:val="23"/>
          <w:lang w:val="es-NI"/>
        </w:rPr>
        <w:t xml:space="preserve"> archivados), la mediación de resolución alterna de conflictos</w:t>
      </w:r>
      <w:r w:rsidR="000B284D" w:rsidRPr="0015148D">
        <w:rPr>
          <w:sz w:val="23"/>
          <w:szCs w:val="23"/>
          <w:lang w:val="es-NI"/>
        </w:rPr>
        <w:t xml:space="preserve"> ha demostrado ser una herramienta vital y efectiva que contribuye a fomentar una cultura de paz y de negociación en el país.</w:t>
      </w:r>
      <w:r w:rsidR="000B284D" w:rsidRPr="0015148D">
        <w:rPr>
          <w:rStyle w:val="FootnoteReference"/>
          <w:sz w:val="23"/>
          <w:szCs w:val="23"/>
          <w:lang w:val="es-ES"/>
        </w:rPr>
        <w:footnoteReference w:id="39"/>
      </w:r>
      <w:r w:rsidR="00EB07D8" w:rsidRPr="0015148D">
        <w:rPr>
          <w:sz w:val="23"/>
          <w:szCs w:val="23"/>
          <w:lang w:val="es-ES"/>
        </w:rPr>
        <w:t xml:space="preserve"> En paralelo, 15 </w:t>
      </w:r>
      <w:r w:rsidR="00EB07D8" w:rsidRPr="0015148D">
        <w:rPr>
          <w:sz w:val="23"/>
          <w:szCs w:val="23"/>
          <w:lang w:val="es-NI"/>
        </w:rPr>
        <w:t xml:space="preserve">comunidades indígenas de Caribe han recibido los títulos colectivos de sus </w:t>
      </w:r>
      <w:r w:rsidR="00020E27" w:rsidRPr="0015148D">
        <w:rPr>
          <w:sz w:val="23"/>
          <w:szCs w:val="23"/>
          <w:lang w:val="es-NI"/>
        </w:rPr>
        <w:t>territorios ancestrales, con un</w:t>
      </w:r>
      <w:r w:rsidR="00EB07D8" w:rsidRPr="0015148D">
        <w:rPr>
          <w:sz w:val="23"/>
          <w:szCs w:val="23"/>
          <w:lang w:val="es-NI"/>
        </w:rPr>
        <w:t xml:space="preserve"> área superior a los 22,000 </w:t>
      </w:r>
      <w:r w:rsidR="00EB07D8" w:rsidRPr="0015148D">
        <w:rPr>
          <w:sz w:val="23"/>
          <w:szCs w:val="23"/>
          <w:lang w:val="es-ES"/>
        </w:rPr>
        <w:t>km</w:t>
      </w:r>
      <w:r w:rsidR="00EB07D8" w:rsidRPr="0015148D">
        <w:rPr>
          <w:sz w:val="23"/>
          <w:szCs w:val="23"/>
          <w:vertAlign w:val="superscript"/>
          <w:lang w:val="es-ES"/>
        </w:rPr>
        <w:t>2</w:t>
      </w:r>
      <w:r w:rsidR="00EB07D8" w:rsidRPr="0015148D">
        <w:rPr>
          <w:sz w:val="23"/>
          <w:szCs w:val="23"/>
          <w:lang w:val="es-NI"/>
        </w:rPr>
        <w:t xml:space="preserve"> (casi el 19% del territorio nacional), lo cual representa un avance histórico y sin precedentes en el reconocimiento de los derechos de propiedad de los pueblos indígenas en Nicaragua </w:t>
      </w:r>
      <w:r w:rsidR="00020E27" w:rsidRPr="0015148D">
        <w:rPr>
          <w:sz w:val="23"/>
          <w:szCs w:val="23"/>
          <w:lang w:val="es-NI"/>
        </w:rPr>
        <w:t xml:space="preserve">y en América Latina en general. La gestión </w:t>
      </w:r>
      <w:r w:rsidR="00020E27" w:rsidRPr="0015148D">
        <w:rPr>
          <w:sz w:val="23"/>
          <w:szCs w:val="23"/>
          <w:lang w:val="es-ES"/>
        </w:rPr>
        <w:t>ambiental de 14 áreas protegidas ha mejorado gracias a la finalización de las actividades de demarcación, participación comunitaria y promoción de las campañas educativas.</w:t>
      </w:r>
    </w:p>
    <w:p w:rsidR="0068151A" w:rsidRDefault="0068151A" w:rsidP="005B59EB">
      <w:pPr>
        <w:spacing w:after="240"/>
        <w:jc w:val="both"/>
        <w:rPr>
          <w:b/>
          <w:lang w:val="es-ES"/>
        </w:rPr>
      </w:pPr>
    </w:p>
    <w:p w:rsidR="00655090" w:rsidRPr="00167C1B" w:rsidRDefault="00655090" w:rsidP="005B59EB">
      <w:pPr>
        <w:spacing w:after="240"/>
        <w:jc w:val="both"/>
        <w:rPr>
          <w:b/>
          <w:lang w:val="es-ES"/>
        </w:rPr>
      </w:pPr>
      <w:r w:rsidRPr="00167C1B">
        <w:rPr>
          <w:b/>
          <w:lang w:val="es-ES"/>
        </w:rPr>
        <w:t>Program</w:t>
      </w:r>
      <w:r w:rsidR="00BA063C" w:rsidRPr="00167C1B">
        <w:rPr>
          <w:b/>
          <w:lang w:val="es-ES"/>
        </w:rPr>
        <w:t>a Nacional de Tierras (a largo plazo)</w:t>
      </w:r>
    </w:p>
    <w:p w:rsidR="00D62F0E" w:rsidRPr="00EE5EB6" w:rsidRDefault="00514B4E" w:rsidP="00F91221">
      <w:pPr>
        <w:numPr>
          <w:ilvl w:val="0"/>
          <w:numId w:val="34"/>
        </w:numPr>
        <w:tabs>
          <w:tab w:val="clear" w:pos="360"/>
          <w:tab w:val="num" w:pos="720"/>
        </w:tabs>
        <w:spacing w:after="240"/>
        <w:jc w:val="both"/>
        <w:rPr>
          <w:lang w:val="es-NI"/>
        </w:rPr>
      </w:pPr>
      <w:r w:rsidRPr="007A034E">
        <w:rPr>
          <w:lang w:val="es-ES"/>
        </w:rPr>
        <w:t xml:space="preserve">PRODEP le ha dado al gobierno los fundamentos para lanzar un programa nacional a largo plazo que el Proyecto propuesto financiará. </w:t>
      </w:r>
      <w:r w:rsidR="007A034E">
        <w:rPr>
          <w:lang w:val="es-ES"/>
        </w:rPr>
        <w:t xml:space="preserve">Como reflejo de la visión que tiene el </w:t>
      </w:r>
      <w:r w:rsidR="00805AED">
        <w:rPr>
          <w:lang w:val="es-ES"/>
        </w:rPr>
        <w:t>G</w:t>
      </w:r>
      <w:r w:rsidR="007A034E">
        <w:rPr>
          <w:lang w:val="es-ES"/>
        </w:rPr>
        <w:t xml:space="preserve">obierno para los próximos 15 años, el Programa tiene el objetivo general de promover la gobernabilidad en el tema de la propiedad.  Lo conseguirá a través del continuo desarrollo de un marco político e institucional que sea </w:t>
      </w:r>
      <w:r w:rsidR="000A403A">
        <w:rPr>
          <w:lang w:val="es-ES"/>
        </w:rPr>
        <w:t xml:space="preserve">integral, </w:t>
      </w:r>
      <w:r w:rsidR="007A034E">
        <w:rPr>
          <w:lang w:val="es-ES"/>
        </w:rPr>
        <w:t xml:space="preserve">habilitante </w:t>
      </w:r>
      <w:r w:rsidR="000A403A">
        <w:rPr>
          <w:lang w:val="es-ES"/>
        </w:rPr>
        <w:t xml:space="preserve">y que apoye los derechos de propiedad mientras se avanza en los procesos de catastro y regularización y se mejoran los servicios de ordenamiento de la propiedad. Se espera que todos (excepto uno) los departamentos del Pacifico y Centro </w:t>
      </w:r>
      <w:r w:rsidR="000A403A">
        <w:rPr>
          <w:lang w:val="es-ES"/>
        </w:rPr>
        <w:lastRenderedPageBreak/>
        <w:t xml:space="preserve">tengan su información catastral actualizada. </w:t>
      </w:r>
      <w:r w:rsidR="00CF132B">
        <w:rPr>
          <w:lang w:val="es-ES"/>
        </w:rPr>
        <w:t>Cerca del 90%</w:t>
      </w:r>
      <w:r w:rsidR="008C5115">
        <w:rPr>
          <w:lang w:val="es-ES"/>
        </w:rPr>
        <w:t xml:space="preserve"> de las parcelas ya </w:t>
      </w:r>
      <w:r w:rsidR="00971354">
        <w:rPr>
          <w:lang w:val="es-ES"/>
        </w:rPr>
        <w:t xml:space="preserve">tienen su levantamiento topográfico, lo cual representa la mitad del territorio </w:t>
      </w:r>
      <w:r w:rsidR="007F1D6F">
        <w:rPr>
          <w:lang w:val="es-ES"/>
        </w:rPr>
        <w:t xml:space="preserve">nacional; se han regularizado más de 220,000 parcelas; un tercio de todos los municipios del país ya cuentan con mayor capacidad para brindar </w:t>
      </w:r>
      <w:r w:rsidR="007B6D6F">
        <w:rPr>
          <w:lang w:val="es-ES"/>
        </w:rPr>
        <w:t>servicios catastrales y 7 de los 17 registros de la propiedad que existen en todo el país se han modernizado gracias a la ampliación del SIICAR. Asimismo, el 51% de las zonas de amortiguamiento de las áreas protegidas serán demarcadas y georreferenciadas mientras se proc</w:t>
      </w:r>
      <w:r w:rsidR="007B6D6F" w:rsidRPr="001E5453">
        <w:rPr>
          <w:lang w:val="es-ES"/>
        </w:rPr>
        <w:t xml:space="preserve">ede a completar el programa de delimitación y titulación de las comunidades indígenas del Caribe. Tal como lo indica la </w:t>
      </w:r>
      <w:r w:rsidR="00FF52DD" w:rsidRPr="001E5453">
        <w:rPr>
          <w:lang w:val="es-ES"/>
        </w:rPr>
        <w:t>Tabla</w:t>
      </w:r>
      <w:r w:rsidR="00FF50DE" w:rsidRPr="001E5453">
        <w:rPr>
          <w:lang w:val="es-ES"/>
        </w:rPr>
        <w:t xml:space="preserve"> 1, </w:t>
      </w:r>
      <w:r w:rsidR="0052247C" w:rsidRPr="001E5453">
        <w:rPr>
          <w:lang w:val="es-ES"/>
        </w:rPr>
        <w:t>el</w:t>
      </w:r>
      <w:r w:rsidR="00805AED">
        <w:rPr>
          <w:lang w:val="es-ES"/>
        </w:rPr>
        <w:t xml:space="preserve"> </w:t>
      </w:r>
      <w:r w:rsidR="001E5453">
        <w:rPr>
          <w:lang w:val="es-ES"/>
        </w:rPr>
        <w:t>Proyecto contribuirá en gran manera a fortalecer dicho p</w:t>
      </w:r>
      <w:r w:rsidR="00EE5EB6">
        <w:rPr>
          <w:lang w:val="es-ES"/>
        </w:rPr>
        <w:t xml:space="preserve">rograma y a la consecución de sus </w:t>
      </w:r>
      <w:r w:rsidR="0068151A">
        <w:rPr>
          <w:lang w:val="es-ES"/>
        </w:rPr>
        <w:t>resultados.</w:t>
      </w:r>
    </w:p>
    <w:p w:rsidR="00A053F2" w:rsidRPr="0052247C" w:rsidRDefault="00FF52DD" w:rsidP="00A053F2">
      <w:pPr>
        <w:jc w:val="center"/>
        <w:rPr>
          <w:b/>
          <w:sz w:val="20"/>
          <w:szCs w:val="20"/>
          <w:lang w:val="es-ES"/>
        </w:rPr>
      </w:pPr>
      <w:r w:rsidRPr="0052247C">
        <w:rPr>
          <w:b/>
          <w:sz w:val="20"/>
          <w:szCs w:val="20"/>
          <w:lang w:val="es-ES"/>
        </w:rPr>
        <w:t>Tabla</w:t>
      </w:r>
      <w:r w:rsidR="00A24B87" w:rsidRPr="0052247C">
        <w:rPr>
          <w:b/>
          <w:sz w:val="20"/>
          <w:szCs w:val="20"/>
          <w:lang w:val="es-ES"/>
        </w:rPr>
        <w:t xml:space="preserve"> 1 - </w:t>
      </w:r>
      <w:r w:rsidR="00A053F2" w:rsidRPr="0052247C">
        <w:rPr>
          <w:b/>
          <w:sz w:val="20"/>
          <w:szCs w:val="20"/>
          <w:lang w:val="es-ES"/>
        </w:rPr>
        <w:t>Program</w:t>
      </w:r>
      <w:r w:rsidR="00EE5EB6">
        <w:rPr>
          <w:b/>
          <w:sz w:val="20"/>
          <w:szCs w:val="20"/>
          <w:lang w:val="es-ES"/>
        </w:rPr>
        <w:t xml:space="preserve">a Nacional de </w:t>
      </w:r>
      <w:r w:rsidR="00690023">
        <w:rPr>
          <w:b/>
          <w:sz w:val="20"/>
          <w:szCs w:val="20"/>
          <w:lang w:val="es-ES"/>
        </w:rPr>
        <w:t>Tierras</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440"/>
        <w:gridCol w:w="1630"/>
        <w:gridCol w:w="1790"/>
        <w:gridCol w:w="2070"/>
      </w:tblGrid>
      <w:tr w:rsidR="00A053F2" w:rsidRPr="00690023" w:rsidTr="00CE645C">
        <w:trPr>
          <w:trHeight w:val="602"/>
          <w:jc w:val="center"/>
        </w:trPr>
        <w:tc>
          <w:tcPr>
            <w:tcW w:w="2410" w:type="dxa"/>
            <w:shd w:val="clear" w:color="auto" w:fill="auto"/>
            <w:noWrap/>
            <w:vAlign w:val="center"/>
            <w:hideMark/>
          </w:tcPr>
          <w:p w:rsidR="00A053F2" w:rsidRPr="00690023" w:rsidRDefault="00690023" w:rsidP="00A053F2">
            <w:pPr>
              <w:rPr>
                <w:b/>
                <w:sz w:val="18"/>
                <w:szCs w:val="18"/>
                <w:lang w:val="es-ES"/>
              </w:rPr>
            </w:pPr>
            <w:r w:rsidRPr="00690023">
              <w:rPr>
                <w:b/>
                <w:sz w:val="18"/>
                <w:szCs w:val="18"/>
                <w:lang w:val="es-ES"/>
              </w:rPr>
              <w:t>Indicador</w:t>
            </w:r>
          </w:p>
        </w:tc>
        <w:tc>
          <w:tcPr>
            <w:tcW w:w="1440" w:type="dxa"/>
            <w:shd w:val="clear" w:color="auto" w:fill="auto"/>
            <w:vAlign w:val="center"/>
          </w:tcPr>
          <w:p w:rsidR="00A053F2" w:rsidRPr="00690023" w:rsidRDefault="00690023" w:rsidP="00A053F2">
            <w:pPr>
              <w:rPr>
                <w:b/>
                <w:sz w:val="18"/>
                <w:szCs w:val="18"/>
                <w:lang w:val="es-ES"/>
              </w:rPr>
            </w:pPr>
            <w:r w:rsidRPr="00690023">
              <w:rPr>
                <w:b/>
                <w:sz w:val="18"/>
                <w:szCs w:val="18"/>
                <w:lang w:val="es-ES"/>
              </w:rPr>
              <w:t>Total a nivel de país</w:t>
            </w:r>
          </w:p>
        </w:tc>
        <w:tc>
          <w:tcPr>
            <w:tcW w:w="1630" w:type="dxa"/>
            <w:shd w:val="clear" w:color="auto" w:fill="auto"/>
            <w:vAlign w:val="center"/>
            <w:hideMark/>
          </w:tcPr>
          <w:p w:rsidR="00A053F2" w:rsidRPr="00690023" w:rsidRDefault="002645AF" w:rsidP="00690023">
            <w:pPr>
              <w:rPr>
                <w:b/>
                <w:sz w:val="18"/>
                <w:szCs w:val="18"/>
                <w:lang w:val="es-ES"/>
              </w:rPr>
            </w:pPr>
            <w:r w:rsidRPr="00690023">
              <w:rPr>
                <w:b/>
                <w:sz w:val="18"/>
                <w:szCs w:val="18"/>
                <w:lang w:val="es-ES"/>
              </w:rPr>
              <w:t xml:space="preserve">2003 </w:t>
            </w:r>
            <w:r w:rsidR="00690023" w:rsidRPr="00690023">
              <w:rPr>
                <w:b/>
                <w:sz w:val="18"/>
                <w:szCs w:val="18"/>
                <w:lang w:val="es-ES"/>
              </w:rPr>
              <w:t>–</w:t>
            </w:r>
            <w:r w:rsidRPr="00690023">
              <w:rPr>
                <w:b/>
                <w:sz w:val="18"/>
                <w:szCs w:val="18"/>
                <w:lang w:val="es-ES"/>
              </w:rPr>
              <w:t xml:space="preserve"> Jul</w:t>
            </w:r>
            <w:r w:rsidR="00690023" w:rsidRPr="00690023">
              <w:rPr>
                <w:b/>
                <w:sz w:val="18"/>
                <w:szCs w:val="18"/>
                <w:lang w:val="es-ES"/>
              </w:rPr>
              <w:t xml:space="preserve">io </w:t>
            </w:r>
            <w:r w:rsidR="00A053F2" w:rsidRPr="00690023">
              <w:rPr>
                <w:b/>
                <w:sz w:val="18"/>
                <w:szCs w:val="18"/>
                <w:lang w:val="es-ES"/>
              </w:rPr>
              <w:t>2012</w:t>
            </w:r>
          </w:p>
        </w:tc>
        <w:tc>
          <w:tcPr>
            <w:tcW w:w="1790" w:type="dxa"/>
            <w:shd w:val="clear" w:color="auto" w:fill="auto"/>
            <w:noWrap/>
            <w:vAlign w:val="center"/>
            <w:hideMark/>
          </w:tcPr>
          <w:p w:rsidR="00A053F2" w:rsidRPr="00690023" w:rsidRDefault="00690023" w:rsidP="00556B98">
            <w:pPr>
              <w:rPr>
                <w:b/>
                <w:sz w:val="18"/>
                <w:szCs w:val="18"/>
                <w:lang w:val="es-ES"/>
              </w:rPr>
            </w:pPr>
            <w:r w:rsidRPr="00690023">
              <w:rPr>
                <w:b/>
                <w:sz w:val="18"/>
                <w:szCs w:val="18"/>
                <w:lang w:val="es-ES"/>
              </w:rPr>
              <w:t>Agosto</w:t>
            </w:r>
            <w:r w:rsidR="00A053F2" w:rsidRPr="00690023">
              <w:rPr>
                <w:b/>
                <w:sz w:val="18"/>
                <w:szCs w:val="18"/>
                <w:lang w:val="es-ES"/>
              </w:rPr>
              <w:t xml:space="preserve"> 2012-2017</w:t>
            </w:r>
          </w:p>
        </w:tc>
        <w:tc>
          <w:tcPr>
            <w:tcW w:w="2070" w:type="dxa"/>
            <w:shd w:val="clear" w:color="auto" w:fill="auto"/>
            <w:noWrap/>
            <w:vAlign w:val="center"/>
            <w:hideMark/>
          </w:tcPr>
          <w:p w:rsidR="00A053F2" w:rsidRPr="00690023" w:rsidRDefault="00A053F2" w:rsidP="00A053F2">
            <w:pPr>
              <w:rPr>
                <w:b/>
                <w:sz w:val="18"/>
                <w:szCs w:val="18"/>
                <w:lang w:val="es-ES"/>
              </w:rPr>
            </w:pPr>
            <w:r w:rsidRPr="00690023">
              <w:rPr>
                <w:b/>
                <w:sz w:val="18"/>
                <w:szCs w:val="18"/>
                <w:lang w:val="es-ES"/>
              </w:rPr>
              <w:t>2018-2027</w:t>
            </w:r>
          </w:p>
        </w:tc>
      </w:tr>
      <w:tr w:rsidR="00A053F2" w:rsidRPr="009F3769" w:rsidTr="00CE645C">
        <w:trPr>
          <w:trHeight w:val="826"/>
          <w:jc w:val="center"/>
        </w:trPr>
        <w:tc>
          <w:tcPr>
            <w:tcW w:w="2410" w:type="dxa"/>
            <w:shd w:val="clear" w:color="auto" w:fill="auto"/>
            <w:hideMark/>
          </w:tcPr>
          <w:p w:rsidR="00D62F0E" w:rsidRPr="00690023" w:rsidRDefault="00B07E7F" w:rsidP="00A053F2">
            <w:pPr>
              <w:rPr>
                <w:sz w:val="18"/>
                <w:szCs w:val="18"/>
                <w:vertAlign w:val="superscript"/>
                <w:lang w:val="es-ES"/>
              </w:rPr>
            </w:pPr>
            <w:r w:rsidRPr="00690023">
              <w:rPr>
                <w:sz w:val="18"/>
                <w:szCs w:val="18"/>
                <w:lang w:val="es-ES"/>
              </w:rPr>
              <w:t>Departamento</w:t>
            </w:r>
            <w:r w:rsidR="00A053F2" w:rsidRPr="00690023">
              <w:rPr>
                <w:sz w:val="18"/>
                <w:szCs w:val="18"/>
                <w:lang w:val="es-ES"/>
              </w:rPr>
              <w:t xml:space="preserve">s </w:t>
            </w:r>
            <w:r w:rsidR="00EF4A26">
              <w:rPr>
                <w:sz w:val="18"/>
                <w:szCs w:val="18"/>
                <w:lang w:val="es-ES"/>
              </w:rPr>
              <w:t>beneficiados por actividades sistemáticas de titulación y</w:t>
            </w:r>
            <w:r w:rsidR="00805AED">
              <w:rPr>
                <w:sz w:val="18"/>
                <w:szCs w:val="18"/>
                <w:lang w:val="es-ES"/>
              </w:rPr>
              <w:t xml:space="preserve"> </w:t>
            </w:r>
            <w:r w:rsidR="00FF52DD" w:rsidRPr="00690023">
              <w:rPr>
                <w:sz w:val="18"/>
                <w:szCs w:val="18"/>
                <w:lang w:val="es-ES"/>
              </w:rPr>
              <w:t>regularización</w:t>
            </w:r>
            <w:r w:rsidR="00556B98" w:rsidRPr="00690023">
              <w:rPr>
                <w:sz w:val="18"/>
                <w:szCs w:val="18"/>
                <w:vertAlign w:val="superscript"/>
                <w:lang w:val="es-ES"/>
              </w:rPr>
              <w:t>1</w:t>
            </w:r>
          </w:p>
          <w:p w:rsidR="00D62F0E" w:rsidRPr="00690023" w:rsidRDefault="00D62F0E" w:rsidP="00A053F2">
            <w:pPr>
              <w:rPr>
                <w:sz w:val="18"/>
                <w:szCs w:val="18"/>
                <w:lang w:val="es-ES"/>
              </w:rPr>
            </w:pPr>
            <w:r w:rsidRPr="00690023">
              <w:rPr>
                <w:sz w:val="18"/>
                <w:szCs w:val="18"/>
                <w:lang w:val="es-ES"/>
              </w:rPr>
              <w:t>(</w:t>
            </w:r>
            <w:r w:rsidR="00F36814">
              <w:rPr>
                <w:sz w:val="18"/>
                <w:szCs w:val="18"/>
                <w:lang w:val="es-ES"/>
              </w:rPr>
              <w:t>% acumulado</w:t>
            </w:r>
            <w:r w:rsidRPr="00690023">
              <w:rPr>
                <w:sz w:val="18"/>
                <w:szCs w:val="18"/>
                <w:lang w:val="es-ES"/>
              </w:rPr>
              <w:t>)</w:t>
            </w:r>
          </w:p>
        </w:tc>
        <w:tc>
          <w:tcPr>
            <w:tcW w:w="1440" w:type="dxa"/>
            <w:shd w:val="clear" w:color="auto" w:fill="auto"/>
          </w:tcPr>
          <w:p w:rsidR="00A053F2" w:rsidRPr="00690023" w:rsidRDefault="00A053F2" w:rsidP="00A053F2">
            <w:pPr>
              <w:rPr>
                <w:sz w:val="18"/>
                <w:szCs w:val="18"/>
                <w:lang w:val="es-ES"/>
              </w:rPr>
            </w:pPr>
            <w:r w:rsidRPr="00690023">
              <w:rPr>
                <w:sz w:val="18"/>
                <w:szCs w:val="18"/>
                <w:lang w:val="es-ES"/>
              </w:rPr>
              <w:t xml:space="preserve">15 </w:t>
            </w:r>
            <w:r w:rsidR="00B07E7F" w:rsidRPr="00690023">
              <w:rPr>
                <w:sz w:val="18"/>
                <w:szCs w:val="18"/>
                <w:lang w:val="es-ES"/>
              </w:rPr>
              <w:t>departamento</w:t>
            </w:r>
            <w:r w:rsidRPr="00690023">
              <w:rPr>
                <w:sz w:val="18"/>
                <w:szCs w:val="18"/>
                <w:lang w:val="es-ES"/>
              </w:rPr>
              <w:t xml:space="preserve">s </w:t>
            </w:r>
          </w:p>
        </w:tc>
        <w:tc>
          <w:tcPr>
            <w:tcW w:w="1630" w:type="dxa"/>
            <w:shd w:val="clear" w:color="auto" w:fill="auto"/>
            <w:hideMark/>
          </w:tcPr>
          <w:p w:rsidR="00A053F2" w:rsidRPr="00690023" w:rsidRDefault="00A053F2" w:rsidP="00A053F2">
            <w:pPr>
              <w:rPr>
                <w:iCs/>
                <w:sz w:val="18"/>
                <w:szCs w:val="18"/>
                <w:lang w:val="es-ES"/>
              </w:rPr>
            </w:pPr>
            <w:r w:rsidRPr="00690023">
              <w:rPr>
                <w:iCs/>
                <w:sz w:val="18"/>
                <w:szCs w:val="18"/>
                <w:lang w:val="es-ES"/>
              </w:rPr>
              <w:t>Chinandega</w:t>
            </w:r>
            <w:r w:rsidR="00D62F0E" w:rsidRPr="00690023">
              <w:rPr>
                <w:iCs/>
                <w:sz w:val="18"/>
                <w:szCs w:val="18"/>
                <w:lang w:val="es-ES"/>
              </w:rPr>
              <w:t xml:space="preserve">, Estelí, Madriz, León </w:t>
            </w:r>
          </w:p>
          <w:p w:rsidR="00D62F0E" w:rsidRPr="00690023" w:rsidRDefault="00D62F0E" w:rsidP="00A053F2">
            <w:pPr>
              <w:rPr>
                <w:iCs/>
                <w:sz w:val="18"/>
                <w:szCs w:val="18"/>
                <w:lang w:val="es-ES"/>
              </w:rPr>
            </w:pPr>
            <w:r w:rsidRPr="00690023">
              <w:rPr>
                <w:iCs/>
                <w:sz w:val="18"/>
                <w:szCs w:val="18"/>
                <w:lang w:val="es-ES"/>
              </w:rPr>
              <w:t>(26.7%)</w:t>
            </w:r>
          </w:p>
          <w:p w:rsidR="00D62F0E" w:rsidRPr="00690023" w:rsidRDefault="00D62F0E" w:rsidP="00A053F2">
            <w:pPr>
              <w:rPr>
                <w:iCs/>
                <w:sz w:val="18"/>
                <w:szCs w:val="18"/>
                <w:lang w:val="es-ES"/>
              </w:rPr>
            </w:pPr>
          </w:p>
        </w:tc>
        <w:tc>
          <w:tcPr>
            <w:tcW w:w="1790" w:type="dxa"/>
            <w:shd w:val="clear" w:color="auto" w:fill="auto"/>
            <w:hideMark/>
          </w:tcPr>
          <w:p w:rsidR="00A053F2" w:rsidRPr="00690023" w:rsidRDefault="00556B98" w:rsidP="00A053F2">
            <w:pPr>
              <w:rPr>
                <w:iCs/>
                <w:sz w:val="18"/>
                <w:szCs w:val="18"/>
                <w:lang w:val="es-ES"/>
              </w:rPr>
            </w:pPr>
            <w:r w:rsidRPr="00690023">
              <w:rPr>
                <w:iCs/>
                <w:sz w:val="18"/>
                <w:szCs w:val="18"/>
                <w:lang w:val="es-ES"/>
              </w:rPr>
              <w:t>Jinotega, Nueva Segovia</w:t>
            </w:r>
            <w:r w:rsidR="00D62F0E" w:rsidRPr="00690023">
              <w:rPr>
                <w:iCs/>
                <w:sz w:val="18"/>
                <w:szCs w:val="18"/>
                <w:lang w:val="es-ES"/>
              </w:rPr>
              <w:t>, Managua, Granada (60%)</w:t>
            </w:r>
          </w:p>
        </w:tc>
        <w:tc>
          <w:tcPr>
            <w:tcW w:w="2070" w:type="dxa"/>
            <w:shd w:val="clear" w:color="auto" w:fill="auto"/>
            <w:hideMark/>
          </w:tcPr>
          <w:p w:rsidR="00A053F2" w:rsidRPr="00690023" w:rsidRDefault="00A053F2" w:rsidP="00A053F2">
            <w:pPr>
              <w:rPr>
                <w:iCs/>
                <w:sz w:val="18"/>
                <w:szCs w:val="18"/>
                <w:lang w:val="es-ES"/>
              </w:rPr>
            </w:pPr>
            <w:r w:rsidRPr="00690023">
              <w:rPr>
                <w:iCs/>
                <w:sz w:val="18"/>
                <w:szCs w:val="18"/>
                <w:lang w:val="es-ES"/>
              </w:rPr>
              <w:t>Matagalpa, Chontales, Boaco, Carazo, Masaya y Rio San Juan</w:t>
            </w:r>
            <w:r w:rsidR="00D62F0E" w:rsidRPr="00690023">
              <w:rPr>
                <w:iCs/>
                <w:sz w:val="18"/>
                <w:szCs w:val="18"/>
                <w:lang w:val="es-ES"/>
              </w:rPr>
              <w:t xml:space="preserve"> (93.3%)</w:t>
            </w:r>
          </w:p>
        </w:tc>
      </w:tr>
      <w:tr w:rsidR="00A053F2" w:rsidRPr="00690023" w:rsidTr="00CE645C">
        <w:trPr>
          <w:trHeight w:val="338"/>
          <w:jc w:val="center"/>
        </w:trPr>
        <w:tc>
          <w:tcPr>
            <w:tcW w:w="2410" w:type="dxa"/>
            <w:shd w:val="clear" w:color="auto" w:fill="auto"/>
            <w:hideMark/>
          </w:tcPr>
          <w:p w:rsidR="00A053F2" w:rsidRPr="00690023" w:rsidRDefault="00815CFB" w:rsidP="00815CFB">
            <w:pPr>
              <w:rPr>
                <w:iCs/>
                <w:sz w:val="18"/>
                <w:szCs w:val="18"/>
                <w:lang w:val="es-ES"/>
              </w:rPr>
            </w:pPr>
            <w:r w:rsidRPr="00690023">
              <w:rPr>
                <w:iCs/>
                <w:sz w:val="18"/>
                <w:szCs w:val="18"/>
                <w:lang w:val="es-ES"/>
              </w:rPr>
              <w:t>P</w:t>
            </w:r>
            <w:r w:rsidR="00A053F2" w:rsidRPr="00690023">
              <w:rPr>
                <w:iCs/>
                <w:sz w:val="18"/>
                <w:szCs w:val="18"/>
                <w:lang w:val="es-ES"/>
              </w:rPr>
              <w:t>arcel</w:t>
            </w:r>
            <w:r>
              <w:rPr>
                <w:iCs/>
                <w:sz w:val="18"/>
                <w:szCs w:val="18"/>
                <w:lang w:val="es-ES"/>
              </w:rPr>
              <w:t>as con levantamiento topográfico</w:t>
            </w:r>
            <w:r w:rsidR="00A053F2" w:rsidRPr="00690023">
              <w:rPr>
                <w:iCs/>
                <w:sz w:val="18"/>
                <w:szCs w:val="18"/>
                <w:lang w:val="es-ES"/>
              </w:rPr>
              <w:t xml:space="preserve"> (</w:t>
            </w:r>
            <w:r w:rsidR="00F36814">
              <w:rPr>
                <w:iCs/>
                <w:sz w:val="18"/>
                <w:szCs w:val="18"/>
                <w:lang w:val="es-ES"/>
              </w:rPr>
              <w:t>% acumulado</w:t>
            </w:r>
            <w:r w:rsidR="00A053F2" w:rsidRPr="00690023">
              <w:rPr>
                <w:iCs/>
                <w:sz w:val="18"/>
                <w:szCs w:val="18"/>
                <w:lang w:val="es-ES"/>
              </w:rPr>
              <w:t>)</w:t>
            </w:r>
          </w:p>
        </w:tc>
        <w:tc>
          <w:tcPr>
            <w:tcW w:w="1440" w:type="dxa"/>
            <w:shd w:val="clear" w:color="auto" w:fill="auto"/>
          </w:tcPr>
          <w:p w:rsidR="00A053F2" w:rsidRPr="00690023" w:rsidRDefault="00A053F2" w:rsidP="00A053F2">
            <w:pPr>
              <w:jc w:val="right"/>
              <w:rPr>
                <w:iCs/>
                <w:sz w:val="18"/>
                <w:szCs w:val="18"/>
                <w:lang w:val="es-ES"/>
              </w:rPr>
            </w:pPr>
            <w:r w:rsidRPr="00690023">
              <w:rPr>
                <w:iCs/>
                <w:sz w:val="18"/>
                <w:szCs w:val="18"/>
                <w:lang w:val="es-ES"/>
              </w:rPr>
              <w:t xml:space="preserve">1,470,000 </w:t>
            </w:r>
          </w:p>
        </w:tc>
        <w:tc>
          <w:tcPr>
            <w:tcW w:w="1630" w:type="dxa"/>
            <w:shd w:val="clear" w:color="auto" w:fill="auto"/>
            <w:hideMark/>
          </w:tcPr>
          <w:p w:rsidR="00A053F2" w:rsidRPr="00690023" w:rsidRDefault="00A053F2" w:rsidP="00A053F2">
            <w:pPr>
              <w:jc w:val="right"/>
              <w:rPr>
                <w:iCs/>
                <w:sz w:val="18"/>
                <w:szCs w:val="18"/>
                <w:lang w:val="es-ES"/>
              </w:rPr>
            </w:pPr>
            <w:r w:rsidRPr="00690023">
              <w:rPr>
                <w:iCs/>
                <w:sz w:val="18"/>
                <w:szCs w:val="18"/>
                <w:lang w:val="es-ES"/>
              </w:rPr>
              <w:t>367,500 (25%)</w:t>
            </w:r>
          </w:p>
        </w:tc>
        <w:tc>
          <w:tcPr>
            <w:tcW w:w="1790" w:type="dxa"/>
            <w:shd w:val="clear" w:color="auto" w:fill="auto"/>
            <w:hideMark/>
          </w:tcPr>
          <w:p w:rsidR="00A053F2" w:rsidRPr="00690023" w:rsidRDefault="00A053F2" w:rsidP="00A053F2">
            <w:pPr>
              <w:jc w:val="right"/>
              <w:rPr>
                <w:iCs/>
                <w:sz w:val="18"/>
                <w:szCs w:val="18"/>
                <w:lang w:val="es-ES"/>
              </w:rPr>
            </w:pPr>
            <w:r w:rsidRPr="00690023">
              <w:rPr>
                <w:iCs/>
                <w:sz w:val="18"/>
                <w:szCs w:val="18"/>
                <w:lang w:val="es-ES"/>
              </w:rPr>
              <w:t>543,900 (62%)</w:t>
            </w:r>
          </w:p>
        </w:tc>
        <w:tc>
          <w:tcPr>
            <w:tcW w:w="2070" w:type="dxa"/>
            <w:shd w:val="clear" w:color="auto" w:fill="auto"/>
            <w:noWrap/>
            <w:hideMark/>
          </w:tcPr>
          <w:p w:rsidR="00A053F2" w:rsidRPr="00690023" w:rsidRDefault="00A053F2" w:rsidP="00A053F2">
            <w:pPr>
              <w:jc w:val="right"/>
              <w:rPr>
                <w:iCs/>
                <w:sz w:val="18"/>
                <w:szCs w:val="18"/>
                <w:lang w:val="es-ES"/>
              </w:rPr>
            </w:pPr>
            <w:r w:rsidRPr="00690023">
              <w:rPr>
                <w:iCs/>
                <w:sz w:val="18"/>
                <w:szCs w:val="18"/>
                <w:lang w:val="es-ES"/>
              </w:rPr>
              <w:t>396,900 (89%)</w:t>
            </w:r>
          </w:p>
        </w:tc>
      </w:tr>
      <w:tr w:rsidR="001B18CA" w:rsidRPr="00690023" w:rsidTr="000D66EB">
        <w:trPr>
          <w:trHeight w:val="476"/>
          <w:jc w:val="center"/>
        </w:trPr>
        <w:tc>
          <w:tcPr>
            <w:tcW w:w="2410" w:type="dxa"/>
            <w:shd w:val="clear" w:color="auto" w:fill="auto"/>
            <w:hideMark/>
          </w:tcPr>
          <w:p w:rsidR="001B18CA" w:rsidRPr="00690023" w:rsidRDefault="00815CFB" w:rsidP="00A053F2">
            <w:pPr>
              <w:rPr>
                <w:iCs/>
                <w:sz w:val="18"/>
                <w:szCs w:val="18"/>
                <w:lang w:val="es-ES"/>
              </w:rPr>
            </w:pPr>
            <w:r>
              <w:rPr>
                <w:iCs/>
                <w:sz w:val="18"/>
                <w:szCs w:val="18"/>
                <w:lang w:val="es-ES"/>
              </w:rPr>
              <w:t>Cantidad de</w:t>
            </w:r>
            <w:r w:rsidR="00B9759D">
              <w:rPr>
                <w:iCs/>
                <w:sz w:val="18"/>
                <w:szCs w:val="18"/>
                <w:lang w:val="es-ES"/>
              </w:rPr>
              <w:t xml:space="preserve"> </w:t>
            </w:r>
            <w:r w:rsidR="00FF52DD" w:rsidRPr="00690023">
              <w:rPr>
                <w:iCs/>
                <w:sz w:val="18"/>
                <w:szCs w:val="18"/>
                <w:lang w:val="es-ES"/>
              </w:rPr>
              <w:t>municipios</w:t>
            </w:r>
            <w:r w:rsidR="001B18CA" w:rsidRPr="00690023">
              <w:rPr>
                <w:iCs/>
                <w:sz w:val="18"/>
                <w:szCs w:val="18"/>
                <w:lang w:val="es-ES"/>
              </w:rPr>
              <w:t xml:space="preserve"> (</w:t>
            </w:r>
            <w:r w:rsidR="00F36814">
              <w:rPr>
                <w:iCs/>
                <w:sz w:val="18"/>
                <w:szCs w:val="18"/>
                <w:lang w:val="es-ES"/>
              </w:rPr>
              <w:t>% acumulado</w:t>
            </w:r>
            <w:r w:rsidR="001B18CA" w:rsidRPr="00690023">
              <w:rPr>
                <w:iCs/>
                <w:sz w:val="18"/>
                <w:szCs w:val="18"/>
                <w:lang w:val="es-ES"/>
              </w:rPr>
              <w:t>)</w:t>
            </w:r>
          </w:p>
        </w:tc>
        <w:tc>
          <w:tcPr>
            <w:tcW w:w="1440" w:type="dxa"/>
            <w:shd w:val="clear" w:color="auto" w:fill="auto"/>
          </w:tcPr>
          <w:p w:rsidR="001B18CA" w:rsidRPr="00690023" w:rsidRDefault="001B18CA" w:rsidP="00A053F2">
            <w:pPr>
              <w:jc w:val="right"/>
              <w:rPr>
                <w:iCs/>
                <w:sz w:val="18"/>
                <w:szCs w:val="18"/>
                <w:lang w:val="es-ES"/>
              </w:rPr>
            </w:pPr>
            <w:r w:rsidRPr="00690023">
              <w:rPr>
                <w:iCs/>
                <w:sz w:val="18"/>
                <w:szCs w:val="18"/>
                <w:lang w:val="es-ES"/>
              </w:rPr>
              <w:t xml:space="preserve">153 </w:t>
            </w:r>
          </w:p>
        </w:tc>
        <w:tc>
          <w:tcPr>
            <w:tcW w:w="1630" w:type="dxa"/>
            <w:shd w:val="clear" w:color="auto" w:fill="auto"/>
            <w:hideMark/>
          </w:tcPr>
          <w:p w:rsidR="001B18CA" w:rsidRPr="00690023" w:rsidRDefault="001B18CA" w:rsidP="00A053F2">
            <w:pPr>
              <w:jc w:val="right"/>
              <w:rPr>
                <w:iCs/>
                <w:sz w:val="18"/>
                <w:szCs w:val="18"/>
                <w:lang w:val="es-ES"/>
              </w:rPr>
            </w:pPr>
            <w:r w:rsidRPr="00690023">
              <w:rPr>
                <w:iCs/>
                <w:sz w:val="18"/>
                <w:szCs w:val="18"/>
                <w:lang w:val="es-ES"/>
              </w:rPr>
              <w:t>35 (23%)</w:t>
            </w:r>
          </w:p>
        </w:tc>
        <w:tc>
          <w:tcPr>
            <w:tcW w:w="1790" w:type="dxa"/>
            <w:shd w:val="clear" w:color="auto" w:fill="auto"/>
            <w:hideMark/>
          </w:tcPr>
          <w:p w:rsidR="001B18CA" w:rsidRPr="00690023" w:rsidRDefault="001B18CA" w:rsidP="00A053F2">
            <w:pPr>
              <w:jc w:val="right"/>
              <w:rPr>
                <w:iCs/>
                <w:sz w:val="18"/>
                <w:szCs w:val="18"/>
                <w:lang w:val="es-ES"/>
              </w:rPr>
            </w:pPr>
            <w:r w:rsidRPr="00690023">
              <w:rPr>
                <w:iCs/>
                <w:sz w:val="18"/>
                <w:szCs w:val="18"/>
                <w:lang w:val="es-ES"/>
              </w:rPr>
              <w:t>36 (52%)</w:t>
            </w:r>
          </w:p>
        </w:tc>
        <w:tc>
          <w:tcPr>
            <w:tcW w:w="2070" w:type="dxa"/>
            <w:shd w:val="clear" w:color="auto" w:fill="auto"/>
            <w:noWrap/>
            <w:hideMark/>
          </w:tcPr>
          <w:p w:rsidR="001B18CA" w:rsidRPr="00690023" w:rsidRDefault="001B18CA" w:rsidP="00A053F2">
            <w:pPr>
              <w:jc w:val="right"/>
              <w:rPr>
                <w:iCs/>
                <w:sz w:val="18"/>
                <w:szCs w:val="18"/>
                <w:lang w:val="es-ES"/>
              </w:rPr>
            </w:pPr>
            <w:r w:rsidRPr="00690023">
              <w:rPr>
                <w:iCs/>
                <w:sz w:val="18"/>
                <w:szCs w:val="18"/>
                <w:lang w:val="es-ES"/>
              </w:rPr>
              <w:t>55 (88%)</w:t>
            </w:r>
          </w:p>
        </w:tc>
      </w:tr>
      <w:tr w:rsidR="001B18CA" w:rsidRPr="00690023" w:rsidTr="00CE645C">
        <w:trPr>
          <w:trHeight w:val="541"/>
          <w:jc w:val="center"/>
        </w:trPr>
        <w:tc>
          <w:tcPr>
            <w:tcW w:w="2410" w:type="dxa"/>
            <w:shd w:val="clear" w:color="auto" w:fill="auto"/>
            <w:hideMark/>
          </w:tcPr>
          <w:p w:rsidR="001B18CA" w:rsidRPr="00690023" w:rsidRDefault="00815CFB" w:rsidP="00815CFB">
            <w:pPr>
              <w:rPr>
                <w:iCs/>
                <w:sz w:val="18"/>
                <w:szCs w:val="18"/>
                <w:lang w:val="es-ES"/>
              </w:rPr>
            </w:pPr>
            <w:r>
              <w:rPr>
                <w:iCs/>
                <w:sz w:val="18"/>
                <w:szCs w:val="18"/>
                <w:lang w:val="es-ES"/>
              </w:rPr>
              <w:t>Área en kilómetros cuadrados</w:t>
            </w:r>
            <w:r w:rsidR="001B18CA" w:rsidRPr="00690023">
              <w:rPr>
                <w:iCs/>
                <w:sz w:val="18"/>
                <w:szCs w:val="18"/>
                <w:lang w:val="es-ES"/>
              </w:rPr>
              <w:t xml:space="preserve"> (</w:t>
            </w:r>
            <w:r w:rsidR="00F36814">
              <w:rPr>
                <w:iCs/>
                <w:sz w:val="18"/>
                <w:szCs w:val="18"/>
                <w:lang w:val="es-ES"/>
              </w:rPr>
              <w:t>% acumulado</w:t>
            </w:r>
            <w:r w:rsidR="001B18CA" w:rsidRPr="00690023">
              <w:rPr>
                <w:iCs/>
                <w:sz w:val="18"/>
                <w:szCs w:val="18"/>
                <w:lang w:val="es-ES"/>
              </w:rPr>
              <w:t>)</w:t>
            </w:r>
          </w:p>
        </w:tc>
        <w:tc>
          <w:tcPr>
            <w:tcW w:w="1440" w:type="dxa"/>
            <w:shd w:val="clear" w:color="auto" w:fill="auto"/>
          </w:tcPr>
          <w:p w:rsidR="001B18CA" w:rsidRPr="00690023" w:rsidRDefault="001B18CA" w:rsidP="00A053F2">
            <w:pPr>
              <w:jc w:val="right"/>
              <w:rPr>
                <w:iCs/>
                <w:sz w:val="18"/>
                <w:szCs w:val="18"/>
                <w:lang w:val="es-ES"/>
              </w:rPr>
            </w:pPr>
            <w:r w:rsidRPr="00690023">
              <w:rPr>
                <w:iCs/>
                <w:sz w:val="18"/>
                <w:szCs w:val="18"/>
                <w:lang w:val="es-ES"/>
              </w:rPr>
              <w:t>130,000</w:t>
            </w:r>
          </w:p>
        </w:tc>
        <w:tc>
          <w:tcPr>
            <w:tcW w:w="1630" w:type="dxa"/>
            <w:shd w:val="clear" w:color="auto" w:fill="auto"/>
            <w:hideMark/>
          </w:tcPr>
          <w:p w:rsidR="001B18CA" w:rsidRPr="00690023" w:rsidRDefault="001B18CA" w:rsidP="00A053F2">
            <w:pPr>
              <w:jc w:val="right"/>
              <w:rPr>
                <w:iCs/>
                <w:sz w:val="18"/>
                <w:szCs w:val="18"/>
                <w:lang w:val="es-ES"/>
              </w:rPr>
            </w:pPr>
            <w:r w:rsidRPr="00690023">
              <w:rPr>
                <w:iCs/>
                <w:sz w:val="18"/>
                <w:szCs w:val="18"/>
                <w:lang w:val="es-ES"/>
              </w:rPr>
              <w:t>7,800 (6%)</w:t>
            </w:r>
          </w:p>
        </w:tc>
        <w:tc>
          <w:tcPr>
            <w:tcW w:w="1790" w:type="dxa"/>
            <w:shd w:val="clear" w:color="auto" w:fill="auto"/>
            <w:hideMark/>
          </w:tcPr>
          <w:p w:rsidR="001B18CA" w:rsidRPr="00690023" w:rsidRDefault="001B18CA" w:rsidP="00A053F2">
            <w:pPr>
              <w:jc w:val="right"/>
              <w:rPr>
                <w:iCs/>
                <w:sz w:val="18"/>
                <w:szCs w:val="18"/>
                <w:lang w:val="es-ES"/>
              </w:rPr>
            </w:pPr>
            <w:r w:rsidRPr="00690023">
              <w:rPr>
                <w:iCs/>
                <w:sz w:val="18"/>
                <w:szCs w:val="18"/>
                <w:lang w:val="es-ES"/>
              </w:rPr>
              <w:t>19,500 (21%)</w:t>
            </w:r>
          </w:p>
        </w:tc>
        <w:tc>
          <w:tcPr>
            <w:tcW w:w="2070" w:type="dxa"/>
            <w:shd w:val="clear" w:color="auto" w:fill="auto"/>
            <w:noWrap/>
            <w:hideMark/>
          </w:tcPr>
          <w:p w:rsidR="001B18CA" w:rsidRPr="00690023" w:rsidRDefault="001B18CA" w:rsidP="00A053F2">
            <w:pPr>
              <w:jc w:val="right"/>
              <w:rPr>
                <w:iCs/>
                <w:sz w:val="18"/>
                <w:szCs w:val="18"/>
                <w:lang w:val="es-ES"/>
              </w:rPr>
            </w:pPr>
            <w:r w:rsidRPr="00690023">
              <w:rPr>
                <w:iCs/>
                <w:sz w:val="18"/>
                <w:szCs w:val="18"/>
                <w:lang w:val="es-ES"/>
              </w:rPr>
              <w:t>40,300 (52%)</w:t>
            </w:r>
          </w:p>
        </w:tc>
      </w:tr>
      <w:tr w:rsidR="001B18CA" w:rsidRPr="00690023" w:rsidTr="00CE645C">
        <w:trPr>
          <w:trHeight w:val="379"/>
          <w:jc w:val="center"/>
        </w:trPr>
        <w:tc>
          <w:tcPr>
            <w:tcW w:w="2410" w:type="dxa"/>
            <w:shd w:val="clear" w:color="auto" w:fill="auto"/>
          </w:tcPr>
          <w:p w:rsidR="001B18CA" w:rsidRPr="00690023" w:rsidRDefault="00815CFB" w:rsidP="00815CFB">
            <w:pPr>
              <w:rPr>
                <w:sz w:val="18"/>
                <w:szCs w:val="18"/>
                <w:lang w:val="es-ES"/>
              </w:rPr>
            </w:pPr>
            <w:r>
              <w:rPr>
                <w:sz w:val="18"/>
                <w:szCs w:val="18"/>
                <w:lang w:val="es-ES"/>
              </w:rPr>
              <w:t>Cantidad de parcelas</w:t>
            </w:r>
            <w:r w:rsidR="001B18CA" w:rsidRPr="00690023">
              <w:rPr>
                <w:sz w:val="18"/>
                <w:szCs w:val="18"/>
                <w:lang w:val="es-ES"/>
              </w:rPr>
              <w:t xml:space="preserve"> regulariz</w:t>
            </w:r>
            <w:r>
              <w:rPr>
                <w:sz w:val="18"/>
                <w:szCs w:val="18"/>
                <w:lang w:val="es-ES"/>
              </w:rPr>
              <w:t xml:space="preserve">adas </w:t>
            </w:r>
          </w:p>
        </w:tc>
        <w:tc>
          <w:tcPr>
            <w:tcW w:w="1440" w:type="dxa"/>
            <w:shd w:val="clear" w:color="auto" w:fill="auto"/>
          </w:tcPr>
          <w:p w:rsidR="001B18CA" w:rsidRPr="00690023" w:rsidRDefault="00815CFB" w:rsidP="0007288C">
            <w:pPr>
              <w:rPr>
                <w:sz w:val="18"/>
                <w:szCs w:val="18"/>
                <w:lang w:val="es-ES"/>
              </w:rPr>
            </w:pPr>
            <w:r>
              <w:rPr>
                <w:sz w:val="18"/>
                <w:szCs w:val="18"/>
                <w:lang w:val="es-ES"/>
              </w:rPr>
              <w:t>Se desconoce</w:t>
            </w:r>
          </w:p>
        </w:tc>
        <w:tc>
          <w:tcPr>
            <w:tcW w:w="1630" w:type="dxa"/>
            <w:shd w:val="clear" w:color="auto" w:fill="auto"/>
            <w:noWrap/>
          </w:tcPr>
          <w:p w:rsidR="001B18CA" w:rsidRPr="00690023" w:rsidRDefault="001B18CA" w:rsidP="0007288C">
            <w:pPr>
              <w:jc w:val="right"/>
              <w:rPr>
                <w:iCs/>
                <w:sz w:val="18"/>
                <w:szCs w:val="18"/>
                <w:lang w:val="es-ES"/>
              </w:rPr>
            </w:pPr>
            <w:r w:rsidRPr="00690023">
              <w:rPr>
                <w:iCs/>
                <w:sz w:val="18"/>
                <w:szCs w:val="18"/>
                <w:lang w:val="es-ES"/>
              </w:rPr>
              <w:t>186,109</w:t>
            </w:r>
          </w:p>
        </w:tc>
        <w:tc>
          <w:tcPr>
            <w:tcW w:w="1790" w:type="dxa"/>
            <w:shd w:val="clear" w:color="auto" w:fill="auto"/>
            <w:noWrap/>
          </w:tcPr>
          <w:p w:rsidR="001B18CA" w:rsidRPr="00690023" w:rsidRDefault="001B18CA" w:rsidP="0007288C">
            <w:pPr>
              <w:jc w:val="right"/>
              <w:rPr>
                <w:iCs/>
                <w:sz w:val="18"/>
                <w:szCs w:val="18"/>
                <w:lang w:val="es-ES"/>
              </w:rPr>
            </w:pPr>
            <w:r w:rsidRPr="00690023">
              <w:rPr>
                <w:iCs/>
                <w:sz w:val="18"/>
                <w:szCs w:val="18"/>
                <w:lang w:val="es-ES"/>
              </w:rPr>
              <w:t>122,400</w:t>
            </w:r>
          </w:p>
        </w:tc>
        <w:tc>
          <w:tcPr>
            <w:tcW w:w="2070" w:type="dxa"/>
            <w:shd w:val="clear" w:color="auto" w:fill="auto"/>
            <w:noWrap/>
          </w:tcPr>
          <w:p w:rsidR="001B18CA" w:rsidRPr="00690023" w:rsidRDefault="001B18CA" w:rsidP="0007288C">
            <w:pPr>
              <w:jc w:val="right"/>
              <w:rPr>
                <w:iCs/>
                <w:sz w:val="18"/>
                <w:szCs w:val="18"/>
                <w:lang w:val="es-ES"/>
              </w:rPr>
            </w:pPr>
            <w:r w:rsidRPr="00690023">
              <w:rPr>
                <w:iCs/>
                <w:sz w:val="18"/>
                <w:szCs w:val="18"/>
                <w:lang w:val="es-ES"/>
              </w:rPr>
              <w:t>244,800</w:t>
            </w:r>
          </w:p>
        </w:tc>
      </w:tr>
      <w:tr w:rsidR="001B18CA" w:rsidRPr="00815CFB" w:rsidTr="00CE645C">
        <w:trPr>
          <w:trHeight w:val="379"/>
          <w:jc w:val="center"/>
        </w:trPr>
        <w:tc>
          <w:tcPr>
            <w:tcW w:w="2410" w:type="dxa"/>
            <w:shd w:val="clear" w:color="auto" w:fill="auto"/>
            <w:hideMark/>
          </w:tcPr>
          <w:p w:rsidR="001B18CA" w:rsidRPr="00815CFB" w:rsidRDefault="00815CFB" w:rsidP="00815CFB">
            <w:pPr>
              <w:rPr>
                <w:sz w:val="18"/>
                <w:szCs w:val="18"/>
                <w:lang w:val="es-ES"/>
              </w:rPr>
            </w:pPr>
            <w:r w:rsidRPr="00815CFB">
              <w:rPr>
                <w:iCs/>
                <w:sz w:val="18"/>
                <w:szCs w:val="18"/>
                <w:lang w:val="es-ES"/>
              </w:rPr>
              <w:t>Cantidad de</w:t>
            </w:r>
            <w:r w:rsidR="00805AED">
              <w:rPr>
                <w:iCs/>
                <w:sz w:val="18"/>
                <w:szCs w:val="18"/>
                <w:lang w:val="es-ES"/>
              </w:rPr>
              <w:t xml:space="preserve"> </w:t>
            </w:r>
            <w:r>
              <w:rPr>
                <w:iCs/>
                <w:sz w:val="18"/>
                <w:szCs w:val="18"/>
                <w:lang w:val="es-ES"/>
              </w:rPr>
              <w:t xml:space="preserve">áreas protegidas </w:t>
            </w:r>
            <w:r w:rsidR="001B18CA" w:rsidRPr="00815CFB">
              <w:rPr>
                <w:iCs/>
                <w:sz w:val="18"/>
                <w:szCs w:val="18"/>
                <w:lang w:val="es-ES"/>
              </w:rPr>
              <w:t>(</w:t>
            </w:r>
            <w:r w:rsidR="00F36814" w:rsidRPr="00815CFB">
              <w:rPr>
                <w:iCs/>
                <w:sz w:val="18"/>
                <w:szCs w:val="18"/>
                <w:lang w:val="es-ES"/>
              </w:rPr>
              <w:t>% acumulado</w:t>
            </w:r>
            <w:r w:rsidR="001B18CA" w:rsidRPr="00815CFB">
              <w:rPr>
                <w:iCs/>
                <w:sz w:val="18"/>
                <w:szCs w:val="18"/>
                <w:lang w:val="es-ES"/>
              </w:rPr>
              <w:t>)</w:t>
            </w:r>
          </w:p>
        </w:tc>
        <w:tc>
          <w:tcPr>
            <w:tcW w:w="1440" w:type="dxa"/>
            <w:shd w:val="clear" w:color="auto" w:fill="auto"/>
          </w:tcPr>
          <w:p w:rsidR="001B18CA" w:rsidRPr="00815CFB" w:rsidRDefault="001B18CA" w:rsidP="00A053F2">
            <w:pPr>
              <w:jc w:val="right"/>
              <w:rPr>
                <w:iCs/>
                <w:sz w:val="18"/>
                <w:szCs w:val="18"/>
                <w:lang w:val="es-ES"/>
              </w:rPr>
            </w:pPr>
            <w:r w:rsidRPr="00815CFB">
              <w:rPr>
                <w:iCs/>
                <w:sz w:val="18"/>
                <w:szCs w:val="18"/>
                <w:lang w:val="es-ES"/>
              </w:rPr>
              <w:t xml:space="preserve">72 </w:t>
            </w:r>
          </w:p>
        </w:tc>
        <w:tc>
          <w:tcPr>
            <w:tcW w:w="1630" w:type="dxa"/>
            <w:shd w:val="clear" w:color="auto" w:fill="auto"/>
            <w:noWrap/>
            <w:hideMark/>
          </w:tcPr>
          <w:p w:rsidR="001B18CA" w:rsidRPr="00815CFB" w:rsidRDefault="001B18CA" w:rsidP="00A053F2">
            <w:pPr>
              <w:jc w:val="right"/>
              <w:rPr>
                <w:iCs/>
                <w:sz w:val="18"/>
                <w:szCs w:val="18"/>
                <w:lang w:val="es-ES"/>
              </w:rPr>
            </w:pPr>
            <w:r w:rsidRPr="00815CFB">
              <w:rPr>
                <w:iCs/>
                <w:sz w:val="18"/>
                <w:szCs w:val="18"/>
                <w:lang w:val="es-ES"/>
              </w:rPr>
              <w:t>19.50%</w:t>
            </w:r>
          </w:p>
        </w:tc>
        <w:tc>
          <w:tcPr>
            <w:tcW w:w="1790" w:type="dxa"/>
            <w:shd w:val="clear" w:color="auto" w:fill="auto"/>
            <w:noWrap/>
            <w:hideMark/>
          </w:tcPr>
          <w:p w:rsidR="001B18CA" w:rsidRPr="00815CFB" w:rsidRDefault="001B18CA" w:rsidP="00A053F2">
            <w:pPr>
              <w:jc w:val="right"/>
              <w:rPr>
                <w:iCs/>
                <w:sz w:val="18"/>
                <w:szCs w:val="18"/>
                <w:lang w:val="es-ES"/>
              </w:rPr>
            </w:pPr>
            <w:r w:rsidRPr="00815CFB">
              <w:rPr>
                <w:iCs/>
                <w:sz w:val="18"/>
                <w:szCs w:val="18"/>
                <w:lang w:val="es-ES"/>
              </w:rPr>
              <w:t>26%</w:t>
            </w:r>
          </w:p>
        </w:tc>
        <w:tc>
          <w:tcPr>
            <w:tcW w:w="2070" w:type="dxa"/>
            <w:shd w:val="clear" w:color="auto" w:fill="auto"/>
            <w:noWrap/>
            <w:hideMark/>
          </w:tcPr>
          <w:p w:rsidR="001B18CA" w:rsidRPr="00815CFB" w:rsidRDefault="001B18CA" w:rsidP="00A053F2">
            <w:pPr>
              <w:jc w:val="right"/>
              <w:rPr>
                <w:iCs/>
                <w:sz w:val="18"/>
                <w:szCs w:val="18"/>
                <w:lang w:val="es-ES"/>
              </w:rPr>
            </w:pPr>
            <w:r w:rsidRPr="00815CFB">
              <w:rPr>
                <w:iCs/>
                <w:sz w:val="18"/>
                <w:szCs w:val="18"/>
                <w:lang w:val="es-ES"/>
              </w:rPr>
              <w:t>51%</w:t>
            </w:r>
          </w:p>
        </w:tc>
      </w:tr>
      <w:tr w:rsidR="001B18CA" w:rsidRPr="00815CFB" w:rsidTr="000D66EB">
        <w:trPr>
          <w:trHeight w:val="575"/>
          <w:jc w:val="center"/>
        </w:trPr>
        <w:tc>
          <w:tcPr>
            <w:tcW w:w="2410" w:type="dxa"/>
            <w:shd w:val="clear" w:color="auto" w:fill="auto"/>
            <w:hideMark/>
          </w:tcPr>
          <w:p w:rsidR="001B18CA" w:rsidRPr="00815CFB" w:rsidRDefault="00815CFB" w:rsidP="000E31D7">
            <w:pPr>
              <w:rPr>
                <w:sz w:val="18"/>
                <w:szCs w:val="18"/>
                <w:lang w:val="es-ES"/>
              </w:rPr>
            </w:pPr>
            <w:r w:rsidRPr="00815CFB">
              <w:rPr>
                <w:sz w:val="18"/>
                <w:szCs w:val="18"/>
                <w:lang w:val="es-ES"/>
              </w:rPr>
              <w:t>Cantidad de</w:t>
            </w:r>
            <w:r w:rsidR="00805AED">
              <w:rPr>
                <w:sz w:val="18"/>
                <w:szCs w:val="18"/>
                <w:lang w:val="es-ES"/>
              </w:rPr>
              <w:t xml:space="preserve"> </w:t>
            </w:r>
            <w:r w:rsidR="00FF52DD" w:rsidRPr="00815CFB">
              <w:rPr>
                <w:sz w:val="18"/>
                <w:szCs w:val="18"/>
                <w:lang w:val="es-ES"/>
              </w:rPr>
              <w:t>municipios</w:t>
            </w:r>
            <w:r w:rsidR="00805AED">
              <w:rPr>
                <w:sz w:val="18"/>
                <w:szCs w:val="18"/>
                <w:lang w:val="es-ES"/>
              </w:rPr>
              <w:t xml:space="preserve"> </w:t>
            </w:r>
            <w:r w:rsidR="000E31D7">
              <w:rPr>
                <w:sz w:val="18"/>
                <w:szCs w:val="18"/>
                <w:lang w:val="es-ES"/>
              </w:rPr>
              <w:t>fortalecidos que dan mantenimiento a información catastral</w:t>
            </w:r>
          </w:p>
        </w:tc>
        <w:tc>
          <w:tcPr>
            <w:tcW w:w="1440" w:type="dxa"/>
            <w:shd w:val="clear" w:color="auto" w:fill="auto"/>
          </w:tcPr>
          <w:p w:rsidR="001B18CA" w:rsidRPr="00815CFB" w:rsidRDefault="001B18CA" w:rsidP="00A053F2">
            <w:pPr>
              <w:jc w:val="right"/>
              <w:rPr>
                <w:sz w:val="18"/>
                <w:szCs w:val="18"/>
                <w:lang w:val="es-ES"/>
              </w:rPr>
            </w:pPr>
            <w:r w:rsidRPr="00815CFB">
              <w:rPr>
                <w:sz w:val="18"/>
                <w:szCs w:val="18"/>
                <w:lang w:val="es-ES"/>
              </w:rPr>
              <w:t>153</w:t>
            </w:r>
          </w:p>
        </w:tc>
        <w:tc>
          <w:tcPr>
            <w:tcW w:w="1630" w:type="dxa"/>
            <w:shd w:val="clear" w:color="auto" w:fill="auto"/>
            <w:noWrap/>
            <w:hideMark/>
          </w:tcPr>
          <w:p w:rsidR="001B18CA" w:rsidRPr="00815CFB" w:rsidRDefault="001B18CA" w:rsidP="00A053F2">
            <w:pPr>
              <w:jc w:val="right"/>
              <w:rPr>
                <w:iCs/>
                <w:sz w:val="18"/>
                <w:szCs w:val="18"/>
                <w:lang w:val="es-ES"/>
              </w:rPr>
            </w:pPr>
            <w:r w:rsidRPr="00815CFB">
              <w:rPr>
                <w:iCs/>
                <w:sz w:val="18"/>
                <w:szCs w:val="18"/>
                <w:lang w:val="es-ES"/>
              </w:rPr>
              <w:t>1</w:t>
            </w:r>
          </w:p>
        </w:tc>
        <w:tc>
          <w:tcPr>
            <w:tcW w:w="1790" w:type="dxa"/>
            <w:shd w:val="clear" w:color="auto" w:fill="auto"/>
            <w:noWrap/>
            <w:hideMark/>
          </w:tcPr>
          <w:p w:rsidR="001B18CA" w:rsidRPr="00815CFB" w:rsidRDefault="001B18CA" w:rsidP="00A053F2">
            <w:pPr>
              <w:jc w:val="right"/>
              <w:rPr>
                <w:iCs/>
                <w:sz w:val="18"/>
                <w:szCs w:val="18"/>
                <w:lang w:val="es-ES"/>
              </w:rPr>
            </w:pPr>
            <w:r w:rsidRPr="00815CFB">
              <w:rPr>
                <w:iCs/>
                <w:sz w:val="18"/>
                <w:szCs w:val="18"/>
                <w:lang w:val="es-ES"/>
              </w:rPr>
              <w:t>30</w:t>
            </w:r>
          </w:p>
        </w:tc>
        <w:tc>
          <w:tcPr>
            <w:tcW w:w="2070" w:type="dxa"/>
            <w:shd w:val="clear" w:color="auto" w:fill="auto"/>
            <w:noWrap/>
            <w:hideMark/>
          </w:tcPr>
          <w:p w:rsidR="001B18CA" w:rsidRPr="00815CFB" w:rsidRDefault="001B18CA" w:rsidP="00A053F2">
            <w:pPr>
              <w:jc w:val="right"/>
              <w:rPr>
                <w:iCs/>
                <w:sz w:val="18"/>
                <w:szCs w:val="18"/>
                <w:lang w:val="es-ES"/>
              </w:rPr>
            </w:pPr>
            <w:r w:rsidRPr="00815CFB">
              <w:rPr>
                <w:iCs/>
                <w:sz w:val="18"/>
                <w:szCs w:val="18"/>
                <w:lang w:val="es-ES"/>
              </w:rPr>
              <w:t>45</w:t>
            </w:r>
          </w:p>
        </w:tc>
      </w:tr>
      <w:tr w:rsidR="001B18CA" w:rsidRPr="009F3769" w:rsidTr="000D66EB">
        <w:trPr>
          <w:trHeight w:val="836"/>
          <w:jc w:val="center"/>
        </w:trPr>
        <w:tc>
          <w:tcPr>
            <w:tcW w:w="2410" w:type="dxa"/>
            <w:tcBorders>
              <w:bottom w:val="single" w:sz="4" w:space="0" w:color="auto"/>
            </w:tcBorders>
            <w:shd w:val="clear" w:color="auto" w:fill="auto"/>
            <w:hideMark/>
          </w:tcPr>
          <w:p w:rsidR="001B18CA" w:rsidRPr="00815CFB" w:rsidRDefault="00815CFB" w:rsidP="000E31D7">
            <w:pPr>
              <w:rPr>
                <w:sz w:val="18"/>
                <w:szCs w:val="18"/>
                <w:lang w:val="es-ES"/>
              </w:rPr>
            </w:pPr>
            <w:r w:rsidRPr="00815CFB">
              <w:rPr>
                <w:sz w:val="18"/>
                <w:szCs w:val="18"/>
                <w:lang w:val="es-ES"/>
              </w:rPr>
              <w:t>Cantidad de</w:t>
            </w:r>
            <w:r w:rsidR="00B9759D">
              <w:rPr>
                <w:sz w:val="18"/>
                <w:szCs w:val="18"/>
                <w:lang w:val="es-ES"/>
              </w:rPr>
              <w:t xml:space="preserve"> </w:t>
            </w:r>
            <w:r w:rsidR="000E31D7">
              <w:rPr>
                <w:sz w:val="18"/>
                <w:szCs w:val="18"/>
                <w:lang w:val="es-ES"/>
              </w:rPr>
              <w:t>registros de propiedad modernizados que trabajan con</w:t>
            </w:r>
            <w:r w:rsidR="00B9759D">
              <w:rPr>
                <w:sz w:val="18"/>
                <w:szCs w:val="18"/>
                <w:lang w:val="es-ES"/>
              </w:rPr>
              <w:t xml:space="preserve"> </w:t>
            </w:r>
            <w:r w:rsidR="001B18CA" w:rsidRPr="00815CFB">
              <w:rPr>
                <w:sz w:val="18"/>
                <w:szCs w:val="18"/>
                <w:lang w:val="es-ES"/>
              </w:rPr>
              <w:t>SIICAR</w:t>
            </w:r>
          </w:p>
        </w:tc>
        <w:tc>
          <w:tcPr>
            <w:tcW w:w="1440" w:type="dxa"/>
            <w:tcBorders>
              <w:bottom w:val="single" w:sz="4" w:space="0" w:color="auto"/>
            </w:tcBorders>
            <w:shd w:val="clear" w:color="auto" w:fill="auto"/>
          </w:tcPr>
          <w:p w:rsidR="001B18CA" w:rsidRPr="00815CFB" w:rsidRDefault="001B18CA" w:rsidP="00A053F2">
            <w:pPr>
              <w:jc w:val="right"/>
              <w:rPr>
                <w:sz w:val="18"/>
                <w:szCs w:val="18"/>
                <w:lang w:val="es-ES"/>
              </w:rPr>
            </w:pPr>
            <w:r w:rsidRPr="00815CFB">
              <w:rPr>
                <w:iCs/>
                <w:sz w:val="18"/>
                <w:szCs w:val="18"/>
                <w:lang w:val="es-ES"/>
              </w:rPr>
              <w:t xml:space="preserve">17 </w:t>
            </w:r>
          </w:p>
        </w:tc>
        <w:tc>
          <w:tcPr>
            <w:tcW w:w="1630" w:type="dxa"/>
            <w:tcBorders>
              <w:bottom w:val="single" w:sz="4" w:space="0" w:color="auto"/>
            </w:tcBorders>
            <w:shd w:val="clear" w:color="auto" w:fill="auto"/>
            <w:noWrap/>
            <w:hideMark/>
          </w:tcPr>
          <w:p w:rsidR="001B18CA" w:rsidRPr="00815CFB" w:rsidRDefault="001B18CA" w:rsidP="00A053F2">
            <w:pPr>
              <w:rPr>
                <w:iCs/>
                <w:sz w:val="18"/>
                <w:szCs w:val="18"/>
                <w:lang w:val="es-ES"/>
              </w:rPr>
            </w:pPr>
            <w:r w:rsidRPr="00815CFB">
              <w:rPr>
                <w:iCs/>
                <w:sz w:val="18"/>
                <w:szCs w:val="18"/>
                <w:lang w:val="es-ES"/>
              </w:rPr>
              <w:t>1 (Chinandega)</w:t>
            </w:r>
          </w:p>
        </w:tc>
        <w:tc>
          <w:tcPr>
            <w:tcW w:w="1790" w:type="dxa"/>
            <w:tcBorders>
              <w:bottom w:val="single" w:sz="4" w:space="0" w:color="auto"/>
            </w:tcBorders>
            <w:shd w:val="clear" w:color="auto" w:fill="auto"/>
            <w:noWrap/>
            <w:hideMark/>
          </w:tcPr>
          <w:p w:rsidR="001B18CA" w:rsidRPr="00815CFB" w:rsidRDefault="001B18CA" w:rsidP="00A053F2">
            <w:pPr>
              <w:rPr>
                <w:iCs/>
                <w:sz w:val="18"/>
                <w:szCs w:val="18"/>
                <w:lang w:val="es-ES"/>
              </w:rPr>
            </w:pPr>
            <w:r w:rsidRPr="00815CFB">
              <w:rPr>
                <w:iCs/>
                <w:sz w:val="18"/>
                <w:szCs w:val="18"/>
                <w:lang w:val="es-ES"/>
              </w:rPr>
              <w:t>3</w:t>
            </w:r>
            <w:r w:rsidR="00805AED">
              <w:rPr>
                <w:iCs/>
                <w:sz w:val="18"/>
                <w:szCs w:val="18"/>
                <w:lang w:val="es-ES"/>
              </w:rPr>
              <w:t xml:space="preserve"> </w:t>
            </w:r>
            <w:r w:rsidRPr="00815CFB">
              <w:rPr>
                <w:iCs/>
                <w:sz w:val="18"/>
                <w:szCs w:val="18"/>
                <w:lang w:val="es-ES"/>
              </w:rPr>
              <w:t xml:space="preserve">(Estelí, León </w:t>
            </w:r>
            <w:r w:rsidR="00FF357C" w:rsidRPr="00815CFB">
              <w:rPr>
                <w:iCs/>
                <w:sz w:val="18"/>
                <w:szCs w:val="18"/>
                <w:lang w:val="es-ES"/>
              </w:rPr>
              <w:t>y</w:t>
            </w:r>
            <w:r w:rsidRPr="00815CFB">
              <w:rPr>
                <w:iCs/>
                <w:sz w:val="18"/>
                <w:szCs w:val="18"/>
                <w:lang w:val="es-ES"/>
              </w:rPr>
              <w:t xml:space="preserve"> Madriz)</w:t>
            </w:r>
          </w:p>
        </w:tc>
        <w:tc>
          <w:tcPr>
            <w:tcW w:w="2070" w:type="dxa"/>
            <w:tcBorders>
              <w:bottom w:val="single" w:sz="4" w:space="0" w:color="auto"/>
            </w:tcBorders>
            <w:shd w:val="clear" w:color="auto" w:fill="auto"/>
            <w:noWrap/>
            <w:hideMark/>
          </w:tcPr>
          <w:p w:rsidR="001B18CA" w:rsidRPr="00815CFB" w:rsidRDefault="001B18CA" w:rsidP="00A053F2">
            <w:pPr>
              <w:rPr>
                <w:iCs/>
                <w:sz w:val="18"/>
                <w:szCs w:val="18"/>
                <w:lang w:val="es-ES"/>
              </w:rPr>
            </w:pPr>
            <w:r w:rsidRPr="00815CFB">
              <w:rPr>
                <w:iCs/>
                <w:sz w:val="18"/>
                <w:szCs w:val="18"/>
                <w:lang w:val="es-ES"/>
              </w:rPr>
              <w:t xml:space="preserve">7 (Nueva Segovia, Jinotega, Granada, Rivas, Chontales, Matagalpa </w:t>
            </w:r>
            <w:r w:rsidR="00FF357C" w:rsidRPr="00815CFB">
              <w:rPr>
                <w:iCs/>
                <w:sz w:val="18"/>
                <w:szCs w:val="18"/>
                <w:lang w:val="es-ES"/>
              </w:rPr>
              <w:t>y</w:t>
            </w:r>
            <w:r w:rsidRPr="00815CFB">
              <w:rPr>
                <w:iCs/>
                <w:sz w:val="18"/>
                <w:szCs w:val="18"/>
                <w:lang w:val="es-ES"/>
              </w:rPr>
              <w:t xml:space="preserve"> Boaco)</w:t>
            </w:r>
          </w:p>
        </w:tc>
      </w:tr>
      <w:tr w:rsidR="001B18CA" w:rsidRPr="009F3769" w:rsidTr="00CE645C">
        <w:trPr>
          <w:trHeight w:val="98"/>
          <w:jc w:val="center"/>
        </w:trPr>
        <w:tc>
          <w:tcPr>
            <w:tcW w:w="9340" w:type="dxa"/>
            <w:gridSpan w:val="5"/>
            <w:shd w:val="clear" w:color="auto" w:fill="auto"/>
            <w:hideMark/>
          </w:tcPr>
          <w:p w:rsidR="001B18CA" w:rsidRPr="00815CFB" w:rsidRDefault="00FE4705" w:rsidP="000E31D7">
            <w:pPr>
              <w:rPr>
                <w:b/>
                <w:iCs/>
                <w:sz w:val="18"/>
                <w:szCs w:val="18"/>
                <w:lang w:val="es-ES"/>
              </w:rPr>
            </w:pPr>
            <w:r w:rsidRPr="00815CFB">
              <w:rPr>
                <w:b/>
                <w:iCs/>
                <w:sz w:val="18"/>
                <w:szCs w:val="18"/>
                <w:lang w:val="es-ES"/>
              </w:rPr>
              <w:t>Demarcación</w:t>
            </w:r>
            <w:r w:rsidR="00805AED">
              <w:rPr>
                <w:b/>
                <w:iCs/>
                <w:sz w:val="18"/>
                <w:szCs w:val="18"/>
                <w:lang w:val="es-ES"/>
              </w:rPr>
              <w:t xml:space="preserve"> </w:t>
            </w:r>
            <w:r w:rsidR="00FF357C" w:rsidRPr="00815CFB">
              <w:rPr>
                <w:b/>
                <w:iCs/>
                <w:sz w:val="18"/>
                <w:szCs w:val="18"/>
                <w:lang w:val="es-ES"/>
              </w:rPr>
              <w:t>y</w:t>
            </w:r>
            <w:r w:rsidR="00805AED">
              <w:rPr>
                <w:b/>
                <w:iCs/>
                <w:sz w:val="18"/>
                <w:szCs w:val="18"/>
                <w:lang w:val="es-ES"/>
              </w:rPr>
              <w:t xml:space="preserve"> </w:t>
            </w:r>
            <w:r w:rsidR="00FF52DD" w:rsidRPr="00815CFB">
              <w:rPr>
                <w:b/>
                <w:iCs/>
                <w:sz w:val="18"/>
                <w:szCs w:val="18"/>
                <w:lang w:val="es-ES"/>
              </w:rPr>
              <w:t>Titulación</w:t>
            </w:r>
            <w:r w:rsidR="00805AED">
              <w:rPr>
                <w:b/>
                <w:iCs/>
                <w:sz w:val="18"/>
                <w:szCs w:val="18"/>
                <w:lang w:val="es-ES"/>
              </w:rPr>
              <w:t xml:space="preserve"> </w:t>
            </w:r>
            <w:r w:rsidR="000E31D7">
              <w:rPr>
                <w:b/>
                <w:iCs/>
                <w:sz w:val="18"/>
                <w:szCs w:val="18"/>
                <w:lang w:val="es-ES"/>
              </w:rPr>
              <w:t>de</w:t>
            </w:r>
            <w:r w:rsidR="00B9759D">
              <w:rPr>
                <w:b/>
                <w:iCs/>
                <w:sz w:val="18"/>
                <w:szCs w:val="18"/>
                <w:lang w:val="es-ES"/>
              </w:rPr>
              <w:t xml:space="preserve"> </w:t>
            </w:r>
            <w:r w:rsidR="000E31D7">
              <w:rPr>
                <w:b/>
                <w:iCs/>
                <w:sz w:val="18"/>
                <w:szCs w:val="18"/>
                <w:lang w:val="es-ES"/>
              </w:rPr>
              <w:t>T</w:t>
            </w:r>
            <w:r w:rsidRPr="00815CFB">
              <w:rPr>
                <w:b/>
                <w:iCs/>
                <w:sz w:val="18"/>
                <w:szCs w:val="18"/>
                <w:lang w:val="es-ES"/>
              </w:rPr>
              <w:t xml:space="preserve">erritorios </w:t>
            </w:r>
            <w:r w:rsidR="000E31D7">
              <w:rPr>
                <w:b/>
                <w:iCs/>
                <w:sz w:val="18"/>
                <w:szCs w:val="18"/>
                <w:lang w:val="es-ES"/>
              </w:rPr>
              <w:t>I</w:t>
            </w:r>
            <w:r w:rsidRPr="00815CFB">
              <w:rPr>
                <w:b/>
                <w:iCs/>
                <w:sz w:val="18"/>
                <w:szCs w:val="18"/>
                <w:lang w:val="es-ES"/>
              </w:rPr>
              <w:t>ndígenas</w:t>
            </w:r>
          </w:p>
        </w:tc>
      </w:tr>
      <w:tr w:rsidR="001B18CA" w:rsidRPr="00135465" w:rsidTr="00CE645C">
        <w:trPr>
          <w:trHeight w:val="711"/>
          <w:jc w:val="center"/>
        </w:trPr>
        <w:tc>
          <w:tcPr>
            <w:tcW w:w="2410" w:type="dxa"/>
            <w:tcBorders>
              <w:bottom w:val="single" w:sz="4" w:space="0" w:color="auto"/>
            </w:tcBorders>
            <w:shd w:val="clear" w:color="auto" w:fill="auto"/>
            <w:hideMark/>
          </w:tcPr>
          <w:p w:rsidR="001B18CA" w:rsidRPr="00135465" w:rsidRDefault="00815CFB" w:rsidP="000E31D7">
            <w:pPr>
              <w:rPr>
                <w:sz w:val="18"/>
                <w:szCs w:val="18"/>
                <w:lang w:val="es-ES"/>
              </w:rPr>
            </w:pPr>
            <w:r w:rsidRPr="00135465">
              <w:rPr>
                <w:sz w:val="18"/>
                <w:szCs w:val="18"/>
                <w:lang w:val="es-ES"/>
              </w:rPr>
              <w:t>Cantidad de</w:t>
            </w:r>
            <w:r w:rsidR="00805AED">
              <w:rPr>
                <w:sz w:val="18"/>
                <w:szCs w:val="18"/>
                <w:lang w:val="es-ES"/>
              </w:rPr>
              <w:t xml:space="preserve"> </w:t>
            </w:r>
            <w:r w:rsidR="00FE4705" w:rsidRPr="00135465">
              <w:rPr>
                <w:sz w:val="18"/>
                <w:szCs w:val="18"/>
                <w:lang w:val="es-ES"/>
              </w:rPr>
              <w:t>territorios indígenas</w:t>
            </w:r>
            <w:r w:rsidR="00805AED">
              <w:rPr>
                <w:sz w:val="18"/>
                <w:szCs w:val="18"/>
                <w:lang w:val="es-ES"/>
              </w:rPr>
              <w:t xml:space="preserve"> </w:t>
            </w:r>
            <w:r w:rsidR="000E31D7" w:rsidRPr="00135465">
              <w:rPr>
                <w:sz w:val="18"/>
                <w:szCs w:val="18"/>
                <w:lang w:val="es-ES"/>
              </w:rPr>
              <w:t>titulados en el Caribe</w:t>
            </w:r>
            <w:r w:rsidR="001B18CA" w:rsidRPr="00135465">
              <w:rPr>
                <w:iCs/>
                <w:sz w:val="18"/>
                <w:szCs w:val="18"/>
                <w:lang w:val="es-ES"/>
              </w:rPr>
              <w:t>(</w:t>
            </w:r>
            <w:r w:rsidR="00F36814" w:rsidRPr="00135465">
              <w:rPr>
                <w:iCs/>
                <w:sz w:val="18"/>
                <w:szCs w:val="18"/>
                <w:lang w:val="es-ES"/>
              </w:rPr>
              <w:t>% acumulado</w:t>
            </w:r>
            <w:r w:rsidR="001B18CA" w:rsidRPr="00135465">
              <w:rPr>
                <w:iCs/>
                <w:sz w:val="18"/>
                <w:szCs w:val="18"/>
                <w:lang w:val="es-ES"/>
              </w:rPr>
              <w:t>)</w:t>
            </w:r>
          </w:p>
        </w:tc>
        <w:tc>
          <w:tcPr>
            <w:tcW w:w="1440" w:type="dxa"/>
            <w:tcBorders>
              <w:bottom w:val="single" w:sz="4" w:space="0" w:color="auto"/>
            </w:tcBorders>
            <w:shd w:val="clear" w:color="auto" w:fill="auto"/>
          </w:tcPr>
          <w:p w:rsidR="001B18CA" w:rsidRPr="00135465" w:rsidRDefault="001B18CA" w:rsidP="00135465">
            <w:pPr>
              <w:rPr>
                <w:sz w:val="18"/>
                <w:szCs w:val="18"/>
                <w:lang w:val="es-ES"/>
              </w:rPr>
            </w:pPr>
            <w:r w:rsidRPr="00135465">
              <w:rPr>
                <w:sz w:val="18"/>
                <w:szCs w:val="18"/>
                <w:lang w:val="es-ES"/>
              </w:rPr>
              <w:t xml:space="preserve">23 </w:t>
            </w:r>
            <w:r w:rsidR="00135465" w:rsidRPr="00135465">
              <w:rPr>
                <w:sz w:val="18"/>
                <w:szCs w:val="18"/>
                <w:lang w:val="es-ES"/>
              </w:rPr>
              <w:t>territorios</w:t>
            </w:r>
            <w:r w:rsidR="00805AED">
              <w:rPr>
                <w:sz w:val="18"/>
                <w:szCs w:val="18"/>
                <w:lang w:val="es-ES"/>
              </w:rPr>
              <w:t xml:space="preserve"> </w:t>
            </w:r>
            <w:r w:rsidR="00FF357C" w:rsidRPr="00135465">
              <w:rPr>
                <w:sz w:val="18"/>
                <w:szCs w:val="18"/>
                <w:lang w:val="es-ES"/>
              </w:rPr>
              <w:t>y</w:t>
            </w:r>
            <w:r w:rsidRPr="00135465">
              <w:rPr>
                <w:sz w:val="18"/>
                <w:szCs w:val="18"/>
                <w:lang w:val="es-ES"/>
              </w:rPr>
              <w:t xml:space="preserve"> 2 </w:t>
            </w:r>
            <w:r w:rsidR="00135465">
              <w:rPr>
                <w:sz w:val="18"/>
                <w:szCs w:val="18"/>
                <w:lang w:val="es-ES"/>
              </w:rPr>
              <w:t>áreas</w:t>
            </w:r>
            <w:r w:rsidR="00135465" w:rsidRPr="00135465">
              <w:rPr>
                <w:sz w:val="18"/>
                <w:szCs w:val="18"/>
                <w:lang w:val="es-ES"/>
              </w:rPr>
              <w:t xml:space="preserve"> complementar</w:t>
            </w:r>
            <w:r w:rsidR="00135465">
              <w:rPr>
                <w:sz w:val="18"/>
                <w:szCs w:val="18"/>
                <w:lang w:val="es-ES"/>
              </w:rPr>
              <w:t>ias</w:t>
            </w:r>
          </w:p>
        </w:tc>
        <w:tc>
          <w:tcPr>
            <w:tcW w:w="1630" w:type="dxa"/>
            <w:tcBorders>
              <w:bottom w:val="single" w:sz="4" w:space="0" w:color="auto"/>
            </w:tcBorders>
            <w:shd w:val="clear" w:color="auto" w:fill="auto"/>
            <w:noWrap/>
            <w:hideMark/>
          </w:tcPr>
          <w:p w:rsidR="001B18CA" w:rsidRPr="00135465" w:rsidRDefault="001B18CA" w:rsidP="00A053F2">
            <w:pPr>
              <w:jc w:val="right"/>
              <w:rPr>
                <w:iCs/>
                <w:sz w:val="18"/>
                <w:szCs w:val="18"/>
                <w:lang w:val="es-ES"/>
              </w:rPr>
            </w:pPr>
            <w:r w:rsidRPr="00135465">
              <w:rPr>
                <w:iCs/>
                <w:sz w:val="18"/>
                <w:szCs w:val="18"/>
                <w:lang w:val="es-ES"/>
              </w:rPr>
              <w:t>17 (74%)</w:t>
            </w:r>
          </w:p>
        </w:tc>
        <w:tc>
          <w:tcPr>
            <w:tcW w:w="1790" w:type="dxa"/>
            <w:tcBorders>
              <w:bottom w:val="single" w:sz="4" w:space="0" w:color="auto"/>
            </w:tcBorders>
            <w:shd w:val="clear" w:color="auto" w:fill="auto"/>
            <w:noWrap/>
            <w:hideMark/>
          </w:tcPr>
          <w:p w:rsidR="001B18CA" w:rsidRPr="00135465" w:rsidRDefault="001B18CA" w:rsidP="00A053F2">
            <w:pPr>
              <w:jc w:val="right"/>
              <w:rPr>
                <w:iCs/>
                <w:sz w:val="18"/>
                <w:szCs w:val="18"/>
                <w:lang w:val="es-ES"/>
              </w:rPr>
            </w:pPr>
            <w:r w:rsidRPr="00135465">
              <w:rPr>
                <w:iCs/>
                <w:sz w:val="18"/>
                <w:szCs w:val="18"/>
                <w:lang w:val="es-ES"/>
              </w:rPr>
              <w:t>8 (100%)</w:t>
            </w:r>
          </w:p>
        </w:tc>
        <w:tc>
          <w:tcPr>
            <w:tcW w:w="2070" w:type="dxa"/>
            <w:tcBorders>
              <w:bottom w:val="single" w:sz="4" w:space="0" w:color="auto"/>
            </w:tcBorders>
            <w:shd w:val="clear" w:color="auto" w:fill="auto"/>
            <w:noWrap/>
            <w:hideMark/>
          </w:tcPr>
          <w:p w:rsidR="001B18CA" w:rsidRPr="00135465" w:rsidRDefault="001B18CA" w:rsidP="00A053F2">
            <w:pPr>
              <w:jc w:val="right"/>
              <w:rPr>
                <w:iCs/>
                <w:sz w:val="18"/>
                <w:szCs w:val="18"/>
                <w:lang w:val="es-ES"/>
              </w:rPr>
            </w:pPr>
            <w:r w:rsidRPr="00135465">
              <w:rPr>
                <w:iCs/>
                <w:sz w:val="18"/>
                <w:szCs w:val="18"/>
                <w:lang w:val="es-ES"/>
              </w:rPr>
              <w:t>(100%)</w:t>
            </w:r>
          </w:p>
        </w:tc>
      </w:tr>
      <w:tr w:rsidR="001B18CA" w:rsidRPr="009F3769" w:rsidTr="00CE645C">
        <w:trPr>
          <w:trHeight w:val="711"/>
          <w:jc w:val="center"/>
        </w:trPr>
        <w:tc>
          <w:tcPr>
            <w:tcW w:w="9340" w:type="dxa"/>
            <w:gridSpan w:val="5"/>
            <w:tcBorders>
              <w:left w:val="nil"/>
              <w:bottom w:val="nil"/>
              <w:right w:val="nil"/>
            </w:tcBorders>
            <w:shd w:val="clear" w:color="auto" w:fill="auto"/>
          </w:tcPr>
          <w:p w:rsidR="001B18CA" w:rsidRPr="00815CFB" w:rsidRDefault="001B18CA" w:rsidP="00135465">
            <w:pPr>
              <w:rPr>
                <w:iCs/>
                <w:sz w:val="18"/>
                <w:szCs w:val="18"/>
                <w:lang w:val="es-ES"/>
              </w:rPr>
            </w:pPr>
            <w:r w:rsidRPr="00815CFB">
              <w:rPr>
                <w:iCs/>
                <w:sz w:val="18"/>
                <w:szCs w:val="18"/>
                <w:vertAlign w:val="superscript"/>
                <w:lang w:val="es-ES"/>
              </w:rPr>
              <w:t xml:space="preserve">1 </w:t>
            </w:r>
            <w:r w:rsidRPr="00815CFB">
              <w:rPr>
                <w:iCs/>
                <w:sz w:val="18"/>
                <w:szCs w:val="18"/>
                <w:lang w:val="es-ES"/>
              </w:rPr>
              <w:t>S</w:t>
            </w:r>
            <w:r w:rsidR="00135465">
              <w:rPr>
                <w:iCs/>
                <w:sz w:val="18"/>
                <w:szCs w:val="18"/>
                <w:lang w:val="es-ES"/>
              </w:rPr>
              <w:t>ervicios de</w:t>
            </w:r>
            <w:r w:rsidR="00805AED">
              <w:rPr>
                <w:iCs/>
                <w:sz w:val="18"/>
                <w:szCs w:val="18"/>
                <w:lang w:val="es-ES"/>
              </w:rPr>
              <w:t xml:space="preserve"> </w:t>
            </w:r>
            <w:r w:rsidR="00FF52DD" w:rsidRPr="00815CFB">
              <w:rPr>
                <w:iCs/>
                <w:sz w:val="18"/>
                <w:szCs w:val="18"/>
                <w:lang w:val="es-ES"/>
              </w:rPr>
              <w:t>titulación</w:t>
            </w:r>
            <w:r w:rsidR="00805AED">
              <w:rPr>
                <w:iCs/>
                <w:sz w:val="18"/>
                <w:szCs w:val="18"/>
                <w:lang w:val="es-ES"/>
              </w:rPr>
              <w:t xml:space="preserve"> </w:t>
            </w:r>
            <w:r w:rsidR="00FF357C" w:rsidRPr="00815CFB">
              <w:rPr>
                <w:iCs/>
                <w:sz w:val="18"/>
                <w:szCs w:val="18"/>
                <w:lang w:val="es-ES"/>
              </w:rPr>
              <w:t>y</w:t>
            </w:r>
            <w:r w:rsidR="00805AED">
              <w:rPr>
                <w:iCs/>
                <w:sz w:val="18"/>
                <w:szCs w:val="18"/>
                <w:lang w:val="es-ES"/>
              </w:rPr>
              <w:t xml:space="preserve"> </w:t>
            </w:r>
            <w:r w:rsidR="00FF52DD" w:rsidRPr="00815CFB">
              <w:rPr>
                <w:iCs/>
                <w:sz w:val="18"/>
                <w:szCs w:val="18"/>
                <w:lang w:val="es-ES"/>
              </w:rPr>
              <w:t>regularización</w:t>
            </w:r>
            <w:r w:rsidRPr="00815CFB">
              <w:rPr>
                <w:iCs/>
                <w:sz w:val="18"/>
                <w:szCs w:val="18"/>
                <w:lang w:val="es-ES"/>
              </w:rPr>
              <w:t xml:space="preserve"> s</w:t>
            </w:r>
            <w:r w:rsidR="00135465">
              <w:rPr>
                <w:iCs/>
                <w:sz w:val="18"/>
                <w:szCs w:val="18"/>
                <w:lang w:val="es-ES"/>
              </w:rPr>
              <w:t>istemáticos no incluyen la Región Autónoma del Atlántico Norte ni la el Sur en la Región del Caribe</w:t>
            </w:r>
          </w:p>
        </w:tc>
      </w:tr>
    </w:tbl>
    <w:p w:rsidR="00DE70CF" w:rsidRPr="00815CFB" w:rsidRDefault="00135465" w:rsidP="00F91221">
      <w:pPr>
        <w:pStyle w:val="ListParagraph"/>
        <w:numPr>
          <w:ilvl w:val="0"/>
          <w:numId w:val="35"/>
        </w:numPr>
        <w:rPr>
          <w:b/>
          <w:lang w:val="es-ES"/>
        </w:rPr>
      </w:pPr>
      <w:r>
        <w:rPr>
          <w:b/>
          <w:lang w:val="es-ES"/>
        </w:rPr>
        <w:t xml:space="preserve">Marco </w:t>
      </w:r>
      <w:r w:rsidR="00FA5E60" w:rsidRPr="00815CFB">
        <w:rPr>
          <w:b/>
          <w:lang w:val="es-ES"/>
        </w:rPr>
        <w:t>Institu</w:t>
      </w:r>
      <w:r>
        <w:rPr>
          <w:b/>
          <w:lang w:val="es-ES"/>
        </w:rPr>
        <w:t>c</w:t>
      </w:r>
      <w:r w:rsidR="00FA5E60" w:rsidRPr="00815CFB">
        <w:rPr>
          <w:b/>
          <w:lang w:val="es-ES"/>
        </w:rPr>
        <w:t>iona</w:t>
      </w:r>
      <w:r w:rsidR="00584A20" w:rsidRPr="00815CFB">
        <w:rPr>
          <w:b/>
          <w:lang w:val="es-ES"/>
        </w:rPr>
        <w:t xml:space="preserve">l </w:t>
      </w:r>
      <w:r w:rsidR="00FF357C" w:rsidRPr="00815CFB">
        <w:rPr>
          <w:b/>
          <w:lang w:val="es-ES"/>
        </w:rPr>
        <w:t>y</w:t>
      </w:r>
      <w:r w:rsidR="00584A20" w:rsidRPr="00815CFB">
        <w:rPr>
          <w:b/>
          <w:lang w:val="es-ES"/>
        </w:rPr>
        <w:t xml:space="preserve"> Legal </w:t>
      </w:r>
    </w:p>
    <w:p w:rsidR="00DE70CF" w:rsidRPr="00815CFB" w:rsidRDefault="00DE70CF" w:rsidP="00A053F2">
      <w:pPr>
        <w:rPr>
          <w:lang w:val="es-ES"/>
        </w:rPr>
      </w:pPr>
    </w:p>
    <w:p w:rsidR="00921C47" w:rsidRPr="0068151A" w:rsidRDefault="0032102B" w:rsidP="00F91221">
      <w:pPr>
        <w:numPr>
          <w:ilvl w:val="0"/>
          <w:numId w:val="34"/>
        </w:numPr>
        <w:tabs>
          <w:tab w:val="clear" w:pos="360"/>
          <w:tab w:val="num" w:pos="720"/>
        </w:tabs>
        <w:spacing w:after="240"/>
        <w:jc w:val="both"/>
        <w:rPr>
          <w:sz w:val="23"/>
          <w:szCs w:val="23"/>
          <w:lang w:val="es-NI"/>
        </w:rPr>
      </w:pPr>
      <w:r w:rsidRPr="0068151A">
        <w:rPr>
          <w:sz w:val="23"/>
          <w:szCs w:val="23"/>
          <w:lang w:val="es-ES"/>
        </w:rPr>
        <w:t xml:space="preserve">El sistema de ordenamiento de la propiedad de </w:t>
      </w:r>
      <w:r w:rsidR="00AF6978" w:rsidRPr="0068151A">
        <w:rPr>
          <w:sz w:val="23"/>
          <w:szCs w:val="23"/>
          <w:lang w:val="es-ES"/>
        </w:rPr>
        <w:t>Nicaragua</w:t>
      </w:r>
      <w:r w:rsidRPr="0068151A">
        <w:rPr>
          <w:sz w:val="23"/>
          <w:szCs w:val="23"/>
          <w:lang w:val="es-ES"/>
        </w:rPr>
        <w:t xml:space="preserve"> ha avanzado en gran medida en su marco legal e </w:t>
      </w:r>
      <w:r w:rsidR="00921C47" w:rsidRPr="0068151A">
        <w:rPr>
          <w:sz w:val="23"/>
          <w:szCs w:val="23"/>
          <w:lang w:val="es-ES"/>
        </w:rPr>
        <w:t>institucional</w:t>
      </w:r>
      <w:r w:rsidRPr="0068151A">
        <w:rPr>
          <w:sz w:val="23"/>
          <w:szCs w:val="23"/>
          <w:lang w:val="es-ES"/>
        </w:rPr>
        <w:t>, el cual facilitará la ejecución del</w:t>
      </w:r>
      <w:r w:rsidR="00F81753" w:rsidRPr="0068151A">
        <w:rPr>
          <w:sz w:val="23"/>
          <w:szCs w:val="23"/>
          <w:lang w:val="es-ES"/>
        </w:rPr>
        <w:t xml:space="preserve"> proyecto propuesto</w:t>
      </w:r>
      <w:r w:rsidR="002440DB" w:rsidRPr="0068151A">
        <w:rPr>
          <w:sz w:val="23"/>
          <w:szCs w:val="23"/>
          <w:lang w:val="es-ES"/>
        </w:rPr>
        <w:t xml:space="preserve">.  </w:t>
      </w:r>
      <w:r w:rsidRPr="0068151A">
        <w:rPr>
          <w:sz w:val="23"/>
          <w:szCs w:val="23"/>
          <w:lang w:val="es-ES"/>
        </w:rPr>
        <w:t xml:space="preserve">Tal como lo </w:t>
      </w:r>
      <w:r w:rsidR="00921C47" w:rsidRPr="0068151A">
        <w:rPr>
          <w:sz w:val="23"/>
          <w:szCs w:val="23"/>
          <w:lang w:val="es-ES"/>
        </w:rPr>
        <w:t xml:space="preserve">corroboran los estudios </w:t>
      </w:r>
      <w:r w:rsidR="002440DB" w:rsidRPr="0068151A">
        <w:rPr>
          <w:sz w:val="23"/>
          <w:szCs w:val="23"/>
          <w:lang w:val="es-ES"/>
        </w:rPr>
        <w:t>legal</w:t>
      </w:r>
      <w:r w:rsidR="00921C47" w:rsidRPr="0068151A">
        <w:rPr>
          <w:sz w:val="23"/>
          <w:szCs w:val="23"/>
          <w:lang w:val="es-ES"/>
        </w:rPr>
        <w:t>es</w:t>
      </w:r>
      <w:r w:rsidR="002440DB" w:rsidRPr="0068151A">
        <w:rPr>
          <w:sz w:val="23"/>
          <w:szCs w:val="23"/>
          <w:lang w:val="es-ES"/>
        </w:rPr>
        <w:t xml:space="preserve">, </w:t>
      </w:r>
      <w:r w:rsidR="003912A1" w:rsidRPr="0068151A">
        <w:rPr>
          <w:sz w:val="23"/>
          <w:szCs w:val="23"/>
          <w:lang w:val="es-ES"/>
        </w:rPr>
        <w:t>políticos</w:t>
      </w:r>
      <w:r w:rsidR="00921C47" w:rsidRPr="0068151A">
        <w:rPr>
          <w:sz w:val="23"/>
          <w:szCs w:val="23"/>
          <w:lang w:val="es-ES"/>
        </w:rPr>
        <w:t xml:space="preserve"> e i</w:t>
      </w:r>
      <w:r w:rsidR="002440DB" w:rsidRPr="0068151A">
        <w:rPr>
          <w:sz w:val="23"/>
          <w:szCs w:val="23"/>
          <w:lang w:val="es-ES"/>
        </w:rPr>
        <w:t>nstitu</w:t>
      </w:r>
      <w:r w:rsidR="00921C47" w:rsidRPr="0068151A">
        <w:rPr>
          <w:sz w:val="23"/>
          <w:szCs w:val="23"/>
          <w:lang w:val="es-ES"/>
        </w:rPr>
        <w:t>c</w:t>
      </w:r>
      <w:r w:rsidR="002440DB" w:rsidRPr="0068151A">
        <w:rPr>
          <w:sz w:val="23"/>
          <w:szCs w:val="23"/>
          <w:lang w:val="es-ES"/>
        </w:rPr>
        <w:t>ional</w:t>
      </w:r>
      <w:r w:rsidR="00921C47" w:rsidRPr="0068151A">
        <w:rPr>
          <w:sz w:val="23"/>
          <w:szCs w:val="23"/>
          <w:lang w:val="es-ES"/>
        </w:rPr>
        <w:t>es realizados como parte de los preparativos del proyecto, existe un terreno legal adecuado para</w:t>
      </w:r>
      <w:r w:rsidR="003912A1" w:rsidRPr="0068151A">
        <w:rPr>
          <w:sz w:val="23"/>
          <w:szCs w:val="23"/>
          <w:lang w:val="es-ES"/>
        </w:rPr>
        <w:t xml:space="preserve"> llevar a cabo todos los procesos generales (catastro, titulación y registro). A cambio, las instituciones responsables del ordenamiento de la propiedad </w:t>
      </w:r>
      <w:r w:rsidR="00095472" w:rsidRPr="0068151A">
        <w:rPr>
          <w:sz w:val="23"/>
          <w:szCs w:val="23"/>
          <w:lang w:val="es-ES"/>
        </w:rPr>
        <w:t>han establecido progresivamente mandatos bien definidos durante el periodo de ejecución del Proyecto.</w:t>
      </w:r>
    </w:p>
    <w:p w:rsidR="00A121F0" w:rsidRPr="0068151A" w:rsidRDefault="00095472" w:rsidP="00F91221">
      <w:pPr>
        <w:numPr>
          <w:ilvl w:val="0"/>
          <w:numId w:val="34"/>
        </w:numPr>
        <w:spacing w:after="240"/>
        <w:jc w:val="both"/>
        <w:rPr>
          <w:sz w:val="23"/>
          <w:szCs w:val="23"/>
          <w:lang w:val="es-ES"/>
        </w:rPr>
      </w:pPr>
      <w:r w:rsidRPr="0068151A">
        <w:rPr>
          <w:sz w:val="23"/>
          <w:szCs w:val="23"/>
          <w:lang w:val="es-NI"/>
        </w:rPr>
        <w:lastRenderedPageBreak/>
        <w:t>Un conjunto de leyes aprobadas en los últimos años estableció</w:t>
      </w:r>
      <w:r w:rsidR="0088173B" w:rsidRPr="0068151A">
        <w:rPr>
          <w:sz w:val="23"/>
          <w:szCs w:val="23"/>
          <w:lang w:val="es-NI"/>
        </w:rPr>
        <w:t xml:space="preserve"> las fundaciones para crear un marco más robusto de los derechos de propiedad y su propiedad. Algunas de las leyes más  importantes</w:t>
      </w:r>
      <w:r w:rsidR="00EB02AE" w:rsidRPr="0068151A">
        <w:rPr>
          <w:sz w:val="23"/>
          <w:szCs w:val="23"/>
          <w:lang w:val="es-NI"/>
        </w:rPr>
        <w:t xml:space="preserve"> comprende </w:t>
      </w:r>
      <w:r w:rsidR="00323EAC" w:rsidRPr="0068151A">
        <w:rPr>
          <w:sz w:val="23"/>
          <w:szCs w:val="23"/>
          <w:lang w:val="es-NI"/>
        </w:rPr>
        <w:t xml:space="preserve">la Ley General de Catastro Nacional </w:t>
      </w:r>
      <w:r w:rsidR="00EB02AE" w:rsidRPr="0068151A">
        <w:rPr>
          <w:sz w:val="23"/>
          <w:szCs w:val="23"/>
          <w:lang w:val="es-NI"/>
        </w:rPr>
        <w:t>(2004)</w:t>
      </w:r>
      <w:r w:rsidR="00292524" w:rsidRPr="0068151A">
        <w:rPr>
          <w:sz w:val="23"/>
          <w:szCs w:val="23"/>
          <w:lang w:val="es-NI"/>
        </w:rPr>
        <w:t xml:space="preserve">, la cual establece normas y regulaciones claras para el establecimiento, desarrollo, mantenimiento y actualización del catastro nacional. En cuanto a la regularización y titulación, la Ley de Organización, Competencia y Procedimientos del Poder Ejecutivo (290 de 1998) concentra </w:t>
      </w:r>
      <w:r w:rsidR="00B55867" w:rsidRPr="0068151A">
        <w:rPr>
          <w:sz w:val="23"/>
          <w:szCs w:val="23"/>
          <w:lang w:val="es-NI"/>
        </w:rPr>
        <w:t xml:space="preserve">las </w:t>
      </w:r>
      <w:r w:rsidR="00292524" w:rsidRPr="0068151A">
        <w:rPr>
          <w:sz w:val="23"/>
          <w:szCs w:val="23"/>
          <w:lang w:val="es-NI"/>
        </w:rPr>
        <w:t xml:space="preserve">competencias </w:t>
      </w:r>
      <w:r w:rsidR="00B55867" w:rsidRPr="0068151A">
        <w:rPr>
          <w:sz w:val="23"/>
          <w:szCs w:val="23"/>
          <w:lang w:val="es-NI"/>
        </w:rPr>
        <w:t>de</w:t>
      </w:r>
      <w:r w:rsidR="00292524" w:rsidRPr="0068151A">
        <w:rPr>
          <w:sz w:val="23"/>
          <w:szCs w:val="23"/>
          <w:lang w:val="es-NI"/>
        </w:rPr>
        <w:t xml:space="preserve"> la materia </w:t>
      </w:r>
      <w:r w:rsidR="00B55867" w:rsidRPr="0068151A">
        <w:rPr>
          <w:sz w:val="23"/>
          <w:szCs w:val="23"/>
          <w:lang w:val="es-NI"/>
        </w:rPr>
        <w:t xml:space="preserve">en la Intendencia de la Propiedad (IP) de la PGR. La Ley General de Registros Públicos (2009) establece la base legal e institucional para modernizar el servicio del registro de la propiedad y mandata la integración de la información de propiedades y del catastro para poder contar con registros actualizados y precisos sobre los derechos de propiedad. El marco jurídico ofrece procedimientos específicos </w:t>
      </w:r>
      <w:r w:rsidR="004346A2" w:rsidRPr="0068151A">
        <w:rPr>
          <w:sz w:val="23"/>
          <w:szCs w:val="23"/>
          <w:lang w:val="es-NI"/>
        </w:rPr>
        <w:t>al establecer y fortalecer los derechos de propiedad en áreas especiales</w:t>
      </w:r>
      <w:r w:rsidR="00980C61" w:rsidRPr="0068151A">
        <w:rPr>
          <w:sz w:val="23"/>
          <w:szCs w:val="23"/>
          <w:lang w:val="es-NI"/>
        </w:rPr>
        <w:t xml:space="preserve"> (Ley del Régimen Jurídico de Fronteras N° 749 del 2010),  la Ley para el Desarrollo de las Zonas Costeras</w:t>
      </w:r>
      <w:r w:rsidR="00A70022" w:rsidRPr="0068151A">
        <w:rPr>
          <w:sz w:val="23"/>
          <w:szCs w:val="23"/>
          <w:lang w:val="es-NI"/>
        </w:rPr>
        <w:t xml:space="preserve"> N° 69</w:t>
      </w:r>
      <w:r w:rsidR="00A70022" w:rsidRPr="0068151A">
        <w:rPr>
          <w:sz w:val="23"/>
          <w:szCs w:val="23"/>
          <w:lang w:val="es-ES"/>
        </w:rPr>
        <w:t xml:space="preserve">0 del 2009, Ley General del Medio Ambiente </w:t>
      </w:r>
      <w:r w:rsidR="00EF408D" w:rsidRPr="0068151A">
        <w:rPr>
          <w:sz w:val="23"/>
          <w:szCs w:val="23"/>
          <w:lang w:val="es-ES"/>
        </w:rPr>
        <w:t xml:space="preserve">y los Recursos Naturales  </w:t>
      </w:r>
      <w:r w:rsidR="00A70022" w:rsidRPr="0068151A">
        <w:rPr>
          <w:sz w:val="23"/>
          <w:szCs w:val="23"/>
          <w:lang w:val="es-ES"/>
        </w:rPr>
        <w:t>(Áreas Protegidas N° 217 de 1996 y 647 del 2008 respectivamente</w:t>
      </w:r>
      <w:r w:rsidR="00805AED">
        <w:rPr>
          <w:sz w:val="23"/>
          <w:szCs w:val="23"/>
          <w:lang w:val="es-ES"/>
        </w:rPr>
        <w:t xml:space="preserve"> </w:t>
      </w:r>
      <w:r w:rsidR="00DF5F0D" w:rsidRPr="0068151A">
        <w:rPr>
          <w:sz w:val="23"/>
          <w:szCs w:val="23"/>
          <w:lang w:val="es-ES"/>
        </w:rPr>
        <w:t xml:space="preserve">y la Ley </w:t>
      </w:r>
      <w:r w:rsidR="00A121F0" w:rsidRPr="0068151A">
        <w:rPr>
          <w:sz w:val="23"/>
          <w:szCs w:val="23"/>
          <w:lang w:val="es-ES"/>
        </w:rPr>
        <w:t>del Régimen de Propiedad Comunal de los Pueblos </w:t>
      </w:r>
      <w:r w:rsidR="00A121F0" w:rsidRPr="0068151A">
        <w:rPr>
          <w:bCs/>
          <w:sz w:val="23"/>
          <w:szCs w:val="23"/>
          <w:lang w:val="es-ES"/>
        </w:rPr>
        <w:t xml:space="preserve">Indígenas </w:t>
      </w:r>
      <w:r w:rsidR="00A121F0" w:rsidRPr="0068151A">
        <w:rPr>
          <w:sz w:val="23"/>
          <w:szCs w:val="23"/>
          <w:lang w:val="es-ES"/>
        </w:rPr>
        <w:t>y Comunidades Étnicas de Las Regiones Autónomas de la Costa Caribe (ley 445 del 2003)</w:t>
      </w:r>
    </w:p>
    <w:p w:rsidR="00C23BA4" w:rsidRPr="0068151A" w:rsidRDefault="002A3189" w:rsidP="00F91221">
      <w:pPr>
        <w:numPr>
          <w:ilvl w:val="0"/>
          <w:numId w:val="34"/>
        </w:numPr>
        <w:tabs>
          <w:tab w:val="clear" w:pos="360"/>
          <w:tab w:val="num" w:pos="720"/>
        </w:tabs>
        <w:spacing w:after="240"/>
        <w:jc w:val="both"/>
        <w:rPr>
          <w:sz w:val="23"/>
          <w:szCs w:val="23"/>
          <w:lang w:val="es-NI"/>
        </w:rPr>
      </w:pPr>
      <w:r w:rsidRPr="0068151A">
        <w:rPr>
          <w:sz w:val="23"/>
          <w:szCs w:val="23"/>
          <w:lang w:val="es-ES"/>
        </w:rPr>
        <w:t>Con respecto de los derechos de propiedad</w:t>
      </w:r>
      <w:r w:rsidR="00353785" w:rsidRPr="0068151A">
        <w:rPr>
          <w:sz w:val="23"/>
          <w:szCs w:val="23"/>
          <w:lang w:val="es-ES"/>
        </w:rPr>
        <w:t xml:space="preserve"> de los </w:t>
      </w:r>
      <w:r w:rsidR="00805AED">
        <w:rPr>
          <w:sz w:val="23"/>
          <w:szCs w:val="23"/>
          <w:lang w:val="es-ES"/>
        </w:rPr>
        <w:t>P</w:t>
      </w:r>
      <w:r w:rsidR="00353785" w:rsidRPr="0068151A">
        <w:rPr>
          <w:sz w:val="23"/>
          <w:szCs w:val="23"/>
          <w:lang w:val="es-ES"/>
        </w:rPr>
        <w:t xml:space="preserve">ueblos </w:t>
      </w:r>
      <w:r w:rsidR="00805AED">
        <w:rPr>
          <w:sz w:val="23"/>
          <w:szCs w:val="23"/>
          <w:lang w:val="es-ES"/>
        </w:rPr>
        <w:t>I</w:t>
      </w:r>
      <w:r w:rsidR="00353785" w:rsidRPr="0068151A">
        <w:rPr>
          <w:sz w:val="23"/>
          <w:szCs w:val="23"/>
          <w:lang w:val="es-ES"/>
        </w:rPr>
        <w:t>ndígenas, es importante recalcar que la Constitución Política de Nicaragua reconocer sus derechos de propiedad colectiva y el gobierno ratificó la convención 169 de la Organización Internacional del Trabajo (OIT)</w:t>
      </w:r>
      <w:r w:rsidR="00353785" w:rsidRPr="0068151A">
        <w:rPr>
          <w:sz w:val="23"/>
          <w:szCs w:val="23"/>
          <w:lang w:val="es-NI"/>
        </w:rPr>
        <w:t>.</w:t>
      </w:r>
      <w:r w:rsidR="007F6B79" w:rsidRPr="0068151A">
        <w:rPr>
          <w:rStyle w:val="FootnoteReference"/>
          <w:sz w:val="23"/>
          <w:szCs w:val="23"/>
          <w:lang w:val="es-ES"/>
        </w:rPr>
        <w:footnoteReference w:id="40"/>
      </w:r>
      <w:r w:rsidR="00353785" w:rsidRPr="0068151A">
        <w:rPr>
          <w:sz w:val="23"/>
          <w:szCs w:val="23"/>
          <w:lang w:val="es-NI"/>
        </w:rPr>
        <w:t>Sin embargo, por razones sociopolíticas e históricas, existen diferencias entre las regiones Pacifico y Central, por un lado y la región</w:t>
      </w:r>
      <w:r w:rsidR="00CF15FA" w:rsidRPr="0068151A">
        <w:rPr>
          <w:sz w:val="23"/>
          <w:szCs w:val="23"/>
          <w:lang w:val="es-NI"/>
        </w:rPr>
        <w:t xml:space="preserve"> del Caribe por el otro, en la manera y </w:t>
      </w:r>
      <w:r w:rsidR="00413F53" w:rsidRPr="0068151A">
        <w:rPr>
          <w:sz w:val="23"/>
          <w:szCs w:val="23"/>
          <w:lang w:val="es-NI"/>
        </w:rPr>
        <w:t xml:space="preserve">medida  en que se pueda abordar el reconocimiento de dichos derechos. La región del Caribe, colonizada por los británicos, abarca casi la mitad del territorio nacional, cuenta con una escasa población de comunidades indígenas que han preservado sus culturas y organizaciones tradicionales. En el Pacifico, el corazón económico y demográfico del país, </w:t>
      </w:r>
      <w:r w:rsidR="00D65EE1" w:rsidRPr="0068151A">
        <w:rPr>
          <w:sz w:val="23"/>
          <w:szCs w:val="23"/>
          <w:lang w:val="es-NI"/>
        </w:rPr>
        <w:t>los derechos de propiedad se originaron de los títulos reales (decretos reales) otorgados por la corona española</w:t>
      </w:r>
      <w:r w:rsidR="00C23BA4" w:rsidRPr="0068151A">
        <w:rPr>
          <w:sz w:val="23"/>
          <w:szCs w:val="23"/>
          <w:lang w:val="es-NI"/>
        </w:rPr>
        <w:t>.  En la región Central, los derechos de propiedad se adquirieron por posesión durante la colonización y asentamiento como reflejo del avance de la frontera agrícola. La mayor parte de las poblaciones indígenas en estas regiones perdieron sus culturas y tradiciones y se integraron a la prevaleciente cultura mestiza.</w:t>
      </w:r>
    </w:p>
    <w:p w:rsidR="007F6B79" w:rsidRPr="0068151A" w:rsidRDefault="006F21FC" w:rsidP="00F91221">
      <w:pPr>
        <w:numPr>
          <w:ilvl w:val="0"/>
          <w:numId w:val="34"/>
        </w:numPr>
        <w:tabs>
          <w:tab w:val="clear" w:pos="360"/>
          <w:tab w:val="num" w:pos="720"/>
        </w:tabs>
        <w:spacing w:after="240"/>
        <w:jc w:val="both"/>
        <w:rPr>
          <w:sz w:val="23"/>
          <w:szCs w:val="23"/>
          <w:lang w:val="es-ES"/>
        </w:rPr>
      </w:pPr>
      <w:r w:rsidRPr="0068151A">
        <w:rPr>
          <w:sz w:val="23"/>
          <w:szCs w:val="23"/>
          <w:lang w:val="es-NI"/>
        </w:rPr>
        <w:t>Como reflejo de las circunstancias históricas y políticas arriba descritas, la región del Caribe</w:t>
      </w:r>
      <w:r w:rsidR="002D5586">
        <w:rPr>
          <w:sz w:val="23"/>
          <w:szCs w:val="23"/>
          <w:lang w:val="es-NI"/>
        </w:rPr>
        <w:t xml:space="preserve"> </w:t>
      </w:r>
      <w:r w:rsidRPr="0068151A">
        <w:rPr>
          <w:sz w:val="23"/>
          <w:szCs w:val="23"/>
          <w:lang w:val="es-NI"/>
        </w:rPr>
        <w:t xml:space="preserve">goza de una autonomía relativa, mientras que la ley 445 les otorga a las comunidades indígenas un marco jurídico e institucional para el reconocimiento formal de los derechos de propiedad colectivos en forma de territorios con cierto nivel de autodeterminación (con base en la tradicional organización y toma de decisiones). Aunque en el Pacifico y </w:t>
      </w:r>
      <w:r w:rsidR="0001589A" w:rsidRPr="0068151A">
        <w:rPr>
          <w:sz w:val="23"/>
          <w:szCs w:val="23"/>
          <w:lang w:val="es-NI"/>
        </w:rPr>
        <w:t>Centro, el reconocimiento de los</w:t>
      </w:r>
      <w:r w:rsidR="002D5586">
        <w:rPr>
          <w:sz w:val="23"/>
          <w:szCs w:val="23"/>
          <w:lang w:val="es-NI"/>
        </w:rPr>
        <w:t xml:space="preserve"> </w:t>
      </w:r>
      <w:r w:rsidR="00FE4705" w:rsidRPr="0068151A">
        <w:rPr>
          <w:sz w:val="23"/>
          <w:szCs w:val="23"/>
          <w:lang w:val="es-NI"/>
        </w:rPr>
        <w:t>territorios indígenas</w:t>
      </w:r>
      <w:r w:rsidR="0001589A" w:rsidRPr="0068151A">
        <w:rPr>
          <w:sz w:val="23"/>
          <w:szCs w:val="23"/>
          <w:lang w:val="es-NI"/>
        </w:rPr>
        <w:t xml:space="preserve"> no es posible todavía, el </w:t>
      </w:r>
      <w:r w:rsidR="002D5586">
        <w:rPr>
          <w:sz w:val="23"/>
          <w:szCs w:val="23"/>
          <w:lang w:val="es-NI"/>
        </w:rPr>
        <w:t>G</w:t>
      </w:r>
      <w:r w:rsidR="0001589A" w:rsidRPr="0068151A">
        <w:rPr>
          <w:sz w:val="23"/>
          <w:szCs w:val="23"/>
          <w:lang w:val="es-NI"/>
        </w:rPr>
        <w:t xml:space="preserve">obierno </w:t>
      </w:r>
      <w:r w:rsidR="0001589A" w:rsidRPr="0068151A">
        <w:rPr>
          <w:sz w:val="23"/>
          <w:szCs w:val="23"/>
          <w:lang w:val="es-ES"/>
        </w:rPr>
        <w:t xml:space="preserve">en general ha respetado los derechos de propiedad de los </w:t>
      </w:r>
      <w:r w:rsidR="002D5586">
        <w:rPr>
          <w:sz w:val="23"/>
          <w:szCs w:val="23"/>
          <w:lang w:val="es-ES"/>
        </w:rPr>
        <w:t>P</w:t>
      </w:r>
      <w:r w:rsidR="0001589A" w:rsidRPr="0068151A">
        <w:rPr>
          <w:sz w:val="23"/>
          <w:szCs w:val="23"/>
          <w:lang w:val="es-ES"/>
        </w:rPr>
        <w:t xml:space="preserve">ueblos </w:t>
      </w:r>
      <w:r w:rsidR="002D5586">
        <w:rPr>
          <w:sz w:val="23"/>
          <w:szCs w:val="23"/>
          <w:lang w:val="es-ES"/>
        </w:rPr>
        <w:t>I</w:t>
      </w:r>
      <w:r w:rsidR="0001589A" w:rsidRPr="0068151A">
        <w:rPr>
          <w:sz w:val="23"/>
          <w:szCs w:val="23"/>
          <w:lang w:val="es-ES"/>
        </w:rPr>
        <w:t>ndígenas y ha ejecutado el l</w:t>
      </w:r>
      <w:r w:rsidR="00FF52DD" w:rsidRPr="0068151A">
        <w:rPr>
          <w:sz w:val="23"/>
          <w:szCs w:val="23"/>
          <w:lang w:val="es-ES"/>
        </w:rPr>
        <w:t>evantamiento catastral</w:t>
      </w:r>
      <w:r w:rsidR="002D5586">
        <w:rPr>
          <w:sz w:val="23"/>
          <w:szCs w:val="23"/>
          <w:lang w:val="es-ES"/>
        </w:rPr>
        <w:t xml:space="preserve"> </w:t>
      </w:r>
      <w:r w:rsidR="00FF357C" w:rsidRPr="0068151A">
        <w:rPr>
          <w:sz w:val="23"/>
          <w:szCs w:val="23"/>
          <w:lang w:val="es-ES"/>
        </w:rPr>
        <w:t>y</w:t>
      </w:r>
      <w:r w:rsidR="002D5586">
        <w:rPr>
          <w:sz w:val="23"/>
          <w:szCs w:val="23"/>
          <w:lang w:val="es-ES"/>
        </w:rPr>
        <w:t xml:space="preserve"> </w:t>
      </w:r>
      <w:r w:rsidR="00FF52DD" w:rsidRPr="0068151A">
        <w:rPr>
          <w:sz w:val="23"/>
          <w:szCs w:val="23"/>
          <w:lang w:val="es-ES"/>
        </w:rPr>
        <w:t>regularización</w:t>
      </w:r>
      <w:r w:rsidR="002D5586">
        <w:rPr>
          <w:sz w:val="23"/>
          <w:szCs w:val="23"/>
          <w:lang w:val="es-ES"/>
        </w:rPr>
        <w:t xml:space="preserve"> </w:t>
      </w:r>
      <w:r w:rsidR="0001589A" w:rsidRPr="0068151A">
        <w:rPr>
          <w:sz w:val="23"/>
          <w:szCs w:val="23"/>
          <w:lang w:val="es-ES"/>
        </w:rPr>
        <w:t xml:space="preserve">de sus tierras sólo cuando la comunidad en </w:t>
      </w:r>
      <w:r w:rsidR="00835EEB" w:rsidRPr="0068151A">
        <w:rPr>
          <w:sz w:val="23"/>
          <w:szCs w:val="23"/>
          <w:lang w:val="es-ES"/>
        </w:rPr>
        <w:t>cuestión acuerda participar en el proceso a través de sus organizaciones decisorias tradicionales, con base en consultas libres, previas e informativas</w:t>
      </w:r>
      <w:r w:rsidR="007F6B79" w:rsidRPr="0068151A">
        <w:rPr>
          <w:sz w:val="23"/>
          <w:szCs w:val="23"/>
          <w:lang w:val="es-ES"/>
        </w:rPr>
        <w:t xml:space="preserve">. </w:t>
      </w:r>
    </w:p>
    <w:p w:rsidR="00363AEE" w:rsidRPr="0068151A" w:rsidRDefault="008F5673" w:rsidP="00F91221">
      <w:pPr>
        <w:numPr>
          <w:ilvl w:val="0"/>
          <w:numId w:val="34"/>
        </w:numPr>
        <w:tabs>
          <w:tab w:val="clear" w:pos="360"/>
          <w:tab w:val="num" w:pos="720"/>
        </w:tabs>
        <w:spacing w:after="240"/>
        <w:jc w:val="both"/>
        <w:rPr>
          <w:sz w:val="23"/>
          <w:szCs w:val="23"/>
          <w:lang w:val="es-ES"/>
        </w:rPr>
      </w:pPr>
      <w:r w:rsidRPr="0068151A">
        <w:rPr>
          <w:sz w:val="23"/>
          <w:szCs w:val="23"/>
          <w:lang w:val="es-NI"/>
        </w:rPr>
        <w:t xml:space="preserve">La </w:t>
      </w:r>
      <w:r w:rsidR="00FF52DD" w:rsidRPr="0068151A">
        <w:rPr>
          <w:sz w:val="23"/>
          <w:szCs w:val="23"/>
          <w:lang w:val="es-NI"/>
        </w:rPr>
        <w:t>Tabla</w:t>
      </w:r>
      <w:r w:rsidR="005968A3" w:rsidRPr="0068151A">
        <w:rPr>
          <w:sz w:val="23"/>
          <w:szCs w:val="23"/>
          <w:lang w:val="es-NI"/>
        </w:rPr>
        <w:t xml:space="preserve">2 </w:t>
      </w:r>
      <w:r w:rsidRPr="0068151A">
        <w:rPr>
          <w:sz w:val="23"/>
          <w:szCs w:val="23"/>
          <w:lang w:val="es-NI"/>
        </w:rPr>
        <w:t>detalla las principales entidades/instituciones involucradas en el tema de la propiedad y sus respectivos mandatos. En resumen, son: (i) PGR, la principal institución responsable del ordenamiento de la propiedad en el país; (</w:t>
      </w:r>
      <w:r w:rsidR="003B4899" w:rsidRPr="0068151A">
        <w:rPr>
          <w:sz w:val="23"/>
          <w:szCs w:val="23"/>
          <w:lang w:val="es-NI"/>
        </w:rPr>
        <w:t xml:space="preserve">ii) Intendencia de la Propiedad (IP) adscrita a la PGR, además de encargarse de los procesos de titulación, juega un papel coordinador en la regularización </w:t>
      </w:r>
      <w:r w:rsidR="00C17F0B" w:rsidRPr="0068151A">
        <w:rPr>
          <w:sz w:val="23"/>
          <w:szCs w:val="23"/>
          <w:lang w:val="es-NI"/>
        </w:rPr>
        <w:t>de la propiedad; (iii) CSJ es</w:t>
      </w:r>
      <w:r w:rsidR="003B4899" w:rsidRPr="0068151A">
        <w:rPr>
          <w:sz w:val="23"/>
          <w:szCs w:val="23"/>
          <w:lang w:val="es-NI"/>
        </w:rPr>
        <w:t xml:space="preserve"> responsable del proceso de registro y</w:t>
      </w:r>
      <w:r w:rsidR="00FF52DD" w:rsidRPr="0068151A">
        <w:rPr>
          <w:sz w:val="23"/>
          <w:szCs w:val="23"/>
          <w:lang w:val="es-ES"/>
        </w:rPr>
        <w:t>resolución de conflictos</w:t>
      </w:r>
      <w:r w:rsidR="00764254" w:rsidRPr="0068151A">
        <w:rPr>
          <w:sz w:val="23"/>
          <w:szCs w:val="23"/>
          <w:lang w:val="es-ES"/>
        </w:rPr>
        <w:t xml:space="preserve">; </w:t>
      </w:r>
      <w:r w:rsidR="00612FB0" w:rsidRPr="0068151A">
        <w:rPr>
          <w:sz w:val="23"/>
          <w:szCs w:val="23"/>
          <w:lang w:val="es-ES"/>
        </w:rPr>
        <w:t xml:space="preserve">(iv) </w:t>
      </w:r>
      <w:r w:rsidR="00C17F0B" w:rsidRPr="0068151A">
        <w:rPr>
          <w:sz w:val="23"/>
          <w:szCs w:val="23"/>
          <w:lang w:val="es-ES"/>
        </w:rPr>
        <w:lastRenderedPageBreak/>
        <w:t>INETER</w:t>
      </w:r>
      <w:r w:rsidR="00B9759D">
        <w:rPr>
          <w:sz w:val="23"/>
          <w:szCs w:val="23"/>
          <w:lang w:val="es-ES"/>
        </w:rPr>
        <w:t xml:space="preserve"> </w:t>
      </w:r>
      <w:r w:rsidR="003B4899" w:rsidRPr="0068151A">
        <w:rPr>
          <w:sz w:val="23"/>
          <w:szCs w:val="23"/>
          <w:lang w:val="es-ES"/>
        </w:rPr>
        <w:t xml:space="preserve">tiene competencia en general sobre los procesos catastrales a nivel nacional: </w:t>
      </w:r>
      <w:r w:rsidR="00612FB0" w:rsidRPr="0068151A">
        <w:rPr>
          <w:sz w:val="23"/>
          <w:szCs w:val="23"/>
          <w:lang w:val="es-ES"/>
        </w:rPr>
        <w:t xml:space="preserve">(iv) </w:t>
      </w:r>
      <w:r w:rsidR="006D46D4" w:rsidRPr="0068151A">
        <w:rPr>
          <w:sz w:val="23"/>
          <w:szCs w:val="23"/>
          <w:lang w:val="es-ES"/>
        </w:rPr>
        <w:t>MARENA juega un papel fundamental en la</w:t>
      </w:r>
      <w:r w:rsidR="002D5586">
        <w:rPr>
          <w:sz w:val="23"/>
          <w:szCs w:val="23"/>
          <w:lang w:val="es-ES"/>
        </w:rPr>
        <w:t xml:space="preserve"> </w:t>
      </w:r>
      <w:r w:rsidR="00FE4705" w:rsidRPr="0068151A">
        <w:rPr>
          <w:sz w:val="23"/>
          <w:szCs w:val="23"/>
          <w:lang w:val="es-ES"/>
        </w:rPr>
        <w:t>demarcación</w:t>
      </w:r>
      <w:r w:rsidR="002D5586">
        <w:rPr>
          <w:sz w:val="23"/>
          <w:szCs w:val="23"/>
          <w:lang w:val="es-ES"/>
        </w:rPr>
        <w:t xml:space="preserve"> </w:t>
      </w:r>
      <w:r w:rsidR="006D46D4" w:rsidRPr="0068151A">
        <w:rPr>
          <w:sz w:val="23"/>
          <w:szCs w:val="23"/>
          <w:lang w:val="es-ES"/>
        </w:rPr>
        <w:t xml:space="preserve">de las áreas protegidas y colabora en el reconocimiento de los derechos de propiedad de los pueblos indígenas; </w:t>
      </w:r>
      <w:r w:rsidR="00612FB0" w:rsidRPr="0068151A">
        <w:rPr>
          <w:sz w:val="23"/>
          <w:szCs w:val="23"/>
          <w:lang w:val="es-ES"/>
        </w:rPr>
        <w:t xml:space="preserve">(v) </w:t>
      </w:r>
      <w:r w:rsidR="00C17F0B" w:rsidRPr="0068151A">
        <w:rPr>
          <w:sz w:val="23"/>
          <w:szCs w:val="23"/>
          <w:lang w:val="es-ES"/>
        </w:rPr>
        <w:t>INIFOM encabeza el apoyo al desarrollo institucional</w:t>
      </w:r>
      <w:r w:rsidR="00994056" w:rsidRPr="0068151A">
        <w:rPr>
          <w:sz w:val="23"/>
          <w:szCs w:val="23"/>
          <w:lang w:val="es-ES"/>
        </w:rPr>
        <w:t xml:space="preserve"> de los gobiernos municipales y de sus catastros;</w:t>
      </w:r>
      <w:r w:rsidR="00612FB0" w:rsidRPr="0068151A">
        <w:rPr>
          <w:sz w:val="23"/>
          <w:szCs w:val="23"/>
          <w:lang w:val="es-ES"/>
        </w:rPr>
        <w:t xml:space="preserve">(vi) </w:t>
      </w:r>
      <w:r w:rsidR="00994056" w:rsidRPr="0068151A">
        <w:rPr>
          <w:sz w:val="23"/>
          <w:szCs w:val="23"/>
          <w:lang w:val="es-ES"/>
        </w:rPr>
        <w:t>Los</w:t>
      </w:r>
      <w:r w:rsidR="002D5586">
        <w:rPr>
          <w:sz w:val="23"/>
          <w:szCs w:val="23"/>
          <w:lang w:val="es-ES"/>
        </w:rPr>
        <w:t xml:space="preserve"> </w:t>
      </w:r>
      <w:r w:rsidR="00FF52DD" w:rsidRPr="0068151A">
        <w:rPr>
          <w:sz w:val="23"/>
          <w:szCs w:val="23"/>
          <w:lang w:val="es-ES"/>
        </w:rPr>
        <w:t>municipios</w:t>
      </w:r>
      <w:r w:rsidR="00030E7B" w:rsidRPr="0068151A">
        <w:rPr>
          <w:sz w:val="23"/>
          <w:szCs w:val="23"/>
          <w:lang w:val="es-ES"/>
        </w:rPr>
        <w:t xml:space="preserve">, </w:t>
      </w:r>
      <w:r w:rsidR="00994056" w:rsidRPr="0068151A">
        <w:rPr>
          <w:sz w:val="23"/>
          <w:szCs w:val="23"/>
          <w:lang w:val="es-ES"/>
        </w:rPr>
        <w:t>además de constituir el contexto institucional donde se dan todos los procesos de</w:t>
      </w:r>
      <w:r w:rsidR="002D5586">
        <w:rPr>
          <w:sz w:val="23"/>
          <w:szCs w:val="23"/>
          <w:lang w:val="es-ES"/>
        </w:rPr>
        <w:t xml:space="preserve"> </w:t>
      </w:r>
      <w:r w:rsidR="00FF52DD" w:rsidRPr="0068151A">
        <w:rPr>
          <w:sz w:val="23"/>
          <w:szCs w:val="23"/>
          <w:lang w:val="es-ES"/>
        </w:rPr>
        <w:t>regularización</w:t>
      </w:r>
      <w:r w:rsidR="00903C43" w:rsidRPr="0068151A">
        <w:rPr>
          <w:sz w:val="23"/>
          <w:szCs w:val="23"/>
          <w:lang w:val="es-ES"/>
        </w:rPr>
        <w:t>, son responsables de desarrollar y manejar sus catastros y sus procesos de ordenamiento territorial</w:t>
      </w:r>
      <w:r w:rsidR="00764254" w:rsidRPr="0068151A">
        <w:rPr>
          <w:sz w:val="23"/>
          <w:szCs w:val="23"/>
          <w:lang w:val="es-ES"/>
        </w:rPr>
        <w:t>.</w:t>
      </w:r>
    </w:p>
    <w:p w:rsidR="0007288C" w:rsidRPr="001D3C44" w:rsidRDefault="00FF52DD" w:rsidP="005968A3">
      <w:pPr>
        <w:spacing w:after="60"/>
        <w:jc w:val="center"/>
        <w:rPr>
          <w:b/>
          <w:sz w:val="20"/>
          <w:szCs w:val="20"/>
          <w:lang w:val="es-ES"/>
        </w:rPr>
      </w:pPr>
      <w:r w:rsidRPr="001D3C44">
        <w:rPr>
          <w:b/>
          <w:sz w:val="20"/>
          <w:szCs w:val="20"/>
          <w:lang w:val="es-ES"/>
        </w:rPr>
        <w:t>Tabla</w:t>
      </w:r>
      <w:r w:rsidR="005968A3" w:rsidRPr="001D3C44">
        <w:rPr>
          <w:b/>
          <w:sz w:val="20"/>
          <w:szCs w:val="20"/>
          <w:lang w:val="es-ES"/>
        </w:rPr>
        <w:t xml:space="preserve"> 2 </w:t>
      </w:r>
      <w:r w:rsidR="00976FAB" w:rsidRPr="001D3C44">
        <w:rPr>
          <w:b/>
          <w:sz w:val="20"/>
          <w:szCs w:val="20"/>
          <w:lang w:val="es-ES"/>
        </w:rPr>
        <w:t>–Marco</w:t>
      </w:r>
      <w:r w:rsidR="0007288C" w:rsidRPr="001D3C44">
        <w:rPr>
          <w:b/>
          <w:sz w:val="20"/>
          <w:szCs w:val="20"/>
          <w:lang w:val="es-ES"/>
        </w:rPr>
        <w:t xml:space="preserve"> In</w:t>
      </w:r>
      <w:r w:rsidR="00976FAB" w:rsidRPr="001D3C44">
        <w:rPr>
          <w:b/>
          <w:sz w:val="20"/>
          <w:szCs w:val="20"/>
          <w:lang w:val="es-ES"/>
        </w:rPr>
        <w:t>stituc</w:t>
      </w:r>
      <w:r w:rsidR="0007288C" w:rsidRPr="001D3C44">
        <w:rPr>
          <w:b/>
          <w:sz w:val="20"/>
          <w:szCs w:val="20"/>
          <w:lang w:val="es-ES"/>
        </w:rPr>
        <w:t xml:space="preserve">ional Framework </w:t>
      </w:r>
      <w:r w:rsidR="00BC580D" w:rsidRPr="001D3C44">
        <w:rPr>
          <w:b/>
          <w:sz w:val="20"/>
          <w:szCs w:val="20"/>
          <w:lang w:val="es-ES"/>
        </w:rPr>
        <w:t xml:space="preserve">del Ordenamiento de la Propiedad en Nicaragua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4111"/>
        <w:gridCol w:w="3460"/>
      </w:tblGrid>
      <w:tr w:rsidR="0007288C" w:rsidRPr="009F3769" w:rsidTr="00665F61">
        <w:trPr>
          <w:jc w:val="center"/>
        </w:trPr>
        <w:tc>
          <w:tcPr>
            <w:tcW w:w="1897" w:type="dxa"/>
            <w:shd w:val="clear" w:color="auto" w:fill="auto"/>
            <w:vAlign w:val="center"/>
          </w:tcPr>
          <w:p w:rsidR="0007288C" w:rsidRPr="001D3C44" w:rsidRDefault="0007288C" w:rsidP="0007288C">
            <w:pPr>
              <w:rPr>
                <w:sz w:val="18"/>
                <w:szCs w:val="18"/>
                <w:lang w:val="es-ES"/>
              </w:rPr>
            </w:pPr>
            <w:r w:rsidRPr="001D3C44">
              <w:rPr>
                <w:sz w:val="18"/>
                <w:szCs w:val="18"/>
                <w:lang w:val="es-ES"/>
              </w:rPr>
              <w:t>Agenc</w:t>
            </w:r>
            <w:r w:rsidR="00B9759D">
              <w:rPr>
                <w:sz w:val="18"/>
                <w:szCs w:val="18"/>
                <w:lang w:val="es-ES"/>
              </w:rPr>
              <w:t>ia</w:t>
            </w:r>
          </w:p>
        </w:tc>
        <w:tc>
          <w:tcPr>
            <w:tcW w:w="4111" w:type="dxa"/>
            <w:shd w:val="clear" w:color="auto" w:fill="auto"/>
            <w:vAlign w:val="center"/>
          </w:tcPr>
          <w:p w:rsidR="0007288C" w:rsidRPr="001D3C44" w:rsidRDefault="00903C43" w:rsidP="0007288C">
            <w:pPr>
              <w:jc w:val="center"/>
              <w:rPr>
                <w:sz w:val="18"/>
                <w:szCs w:val="18"/>
                <w:lang w:val="es-ES"/>
              </w:rPr>
            </w:pPr>
            <w:r w:rsidRPr="001D3C44">
              <w:rPr>
                <w:sz w:val="18"/>
                <w:szCs w:val="18"/>
                <w:lang w:val="es-ES"/>
              </w:rPr>
              <w:t>Ley</w:t>
            </w:r>
            <w:r w:rsidR="00BC580D" w:rsidRPr="001D3C44">
              <w:rPr>
                <w:sz w:val="18"/>
                <w:szCs w:val="18"/>
                <w:lang w:val="es-ES"/>
              </w:rPr>
              <w:t>e</w:t>
            </w:r>
            <w:r w:rsidR="0007288C" w:rsidRPr="001D3C44">
              <w:rPr>
                <w:sz w:val="18"/>
                <w:szCs w:val="18"/>
                <w:lang w:val="es-ES"/>
              </w:rPr>
              <w:t xml:space="preserve">s </w:t>
            </w:r>
            <w:r w:rsidR="00FF357C" w:rsidRPr="001D3C44">
              <w:rPr>
                <w:sz w:val="18"/>
                <w:szCs w:val="18"/>
                <w:lang w:val="es-ES"/>
              </w:rPr>
              <w:t>y</w:t>
            </w:r>
            <w:r w:rsidR="002D5586">
              <w:rPr>
                <w:sz w:val="18"/>
                <w:szCs w:val="18"/>
                <w:lang w:val="es-ES"/>
              </w:rPr>
              <w:t xml:space="preserve"> </w:t>
            </w:r>
            <w:r w:rsidR="00BC580D" w:rsidRPr="001D3C44">
              <w:rPr>
                <w:sz w:val="18"/>
                <w:szCs w:val="18"/>
                <w:lang w:val="es-ES"/>
              </w:rPr>
              <w:t>Regulaciones Pertinentes</w:t>
            </w:r>
          </w:p>
        </w:tc>
        <w:tc>
          <w:tcPr>
            <w:tcW w:w="3460" w:type="dxa"/>
            <w:shd w:val="clear" w:color="auto" w:fill="auto"/>
            <w:vAlign w:val="center"/>
          </w:tcPr>
          <w:p w:rsidR="0007288C" w:rsidRPr="001D3C44" w:rsidRDefault="0007288C" w:rsidP="00BC580D">
            <w:pPr>
              <w:jc w:val="center"/>
              <w:rPr>
                <w:sz w:val="18"/>
                <w:szCs w:val="18"/>
                <w:lang w:val="es-ES"/>
              </w:rPr>
            </w:pPr>
            <w:r w:rsidRPr="001D3C44">
              <w:rPr>
                <w:sz w:val="18"/>
                <w:szCs w:val="18"/>
                <w:lang w:val="es-ES"/>
              </w:rPr>
              <w:t>Respons</w:t>
            </w:r>
            <w:r w:rsidR="00BC580D" w:rsidRPr="001D3C44">
              <w:rPr>
                <w:sz w:val="18"/>
                <w:szCs w:val="18"/>
                <w:lang w:val="es-ES"/>
              </w:rPr>
              <w:t>a</w:t>
            </w:r>
            <w:r w:rsidRPr="001D3C44">
              <w:rPr>
                <w:sz w:val="18"/>
                <w:szCs w:val="18"/>
                <w:lang w:val="es-ES"/>
              </w:rPr>
              <w:t>bil</w:t>
            </w:r>
            <w:r w:rsidR="00BC580D" w:rsidRPr="001D3C44">
              <w:rPr>
                <w:sz w:val="18"/>
                <w:szCs w:val="18"/>
                <w:lang w:val="es-ES"/>
              </w:rPr>
              <w:t xml:space="preserve">idades en el tema de la propiedad </w:t>
            </w:r>
          </w:p>
        </w:tc>
      </w:tr>
      <w:tr w:rsidR="0007288C" w:rsidRPr="009F3769" w:rsidTr="00665F61">
        <w:trPr>
          <w:jc w:val="center"/>
        </w:trPr>
        <w:tc>
          <w:tcPr>
            <w:tcW w:w="1897" w:type="dxa"/>
            <w:shd w:val="clear" w:color="auto" w:fill="auto"/>
          </w:tcPr>
          <w:p w:rsidR="0007288C" w:rsidRPr="001D3C44" w:rsidRDefault="00903C43" w:rsidP="0007288C">
            <w:pPr>
              <w:rPr>
                <w:sz w:val="18"/>
                <w:szCs w:val="18"/>
                <w:lang w:val="es-ES"/>
              </w:rPr>
            </w:pPr>
            <w:r w:rsidRPr="001D3C44">
              <w:rPr>
                <w:sz w:val="18"/>
                <w:szCs w:val="18"/>
                <w:lang w:val="es-ES"/>
              </w:rPr>
              <w:t xml:space="preserve">Procuraduría General de la </w:t>
            </w:r>
            <w:r w:rsidR="00976FAB" w:rsidRPr="001D3C44">
              <w:rPr>
                <w:sz w:val="18"/>
                <w:szCs w:val="18"/>
                <w:lang w:val="es-ES"/>
              </w:rPr>
              <w:t xml:space="preserve">República </w:t>
            </w:r>
            <w:r w:rsidR="0007288C" w:rsidRPr="001D3C44">
              <w:rPr>
                <w:sz w:val="18"/>
                <w:szCs w:val="18"/>
                <w:lang w:val="es-ES"/>
              </w:rPr>
              <w:t>(PGR)</w:t>
            </w:r>
          </w:p>
          <w:p w:rsidR="007B200A" w:rsidRPr="001D3C44" w:rsidRDefault="002B4322" w:rsidP="00344A1B">
            <w:pPr>
              <w:rPr>
                <w:sz w:val="18"/>
                <w:szCs w:val="18"/>
                <w:lang w:val="es-ES"/>
              </w:rPr>
            </w:pPr>
            <w:r w:rsidRPr="001D3C44">
              <w:rPr>
                <w:sz w:val="18"/>
                <w:szCs w:val="18"/>
                <w:lang w:val="es-ES"/>
              </w:rPr>
              <w:t>[</w:t>
            </w:r>
            <w:r w:rsidR="00976FAB" w:rsidRPr="001D3C44">
              <w:rPr>
                <w:sz w:val="18"/>
                <w:szCs w:val="18"/>
                <w:lang w:val="es-ES"/>
              </w:rPr>
              <w:t xml:space="preserve">ente descentralizado </w:t>
            </w:r>
            <w:r w:rsidR="00344A1B">
              <w:rPr>
                <w:sz w:val="18"/>
                <w:szCs w:val="18"/>
                <w:lang w:val="es-ES"/>
              </w:rPr>
              <w:t>dependiente</w:t>
            </w:r>
            <w:r w:rsidR="00976FAB" w:rsidRPr="001D3C44">
              <w:rPr>
                <w:sz w:val="18"/>
                <w:szCs w:val="18"/>
                <w:lang w:val="es-ES"/>
              </w:rPr>
              <w:t xml:space="preserve"> a la Presidencia</w:t>
            </w:r>
            <w:r w:rsidRPr="001D3C44">
              <w:rPr>
                <w:sz w:val="18"/>
                <w:szCs w:val="18"/>
                <w:lang w:val="es-ES"/>
              </w:rPr>
              <w:t>]</w:t>
            </w:r>
          </w:p>
        </w:tc>
        <w:tc>
          <w:tcPr>
            <w:tcW w:w="4111" w:type="dxa"/>
            <w:shd w:val="clear" w:color="auto" w:fill="auto"/>
          </w:tcPr>
          <w:p w:rsidR="0007288C" w:rsidRPr="001D3C44" w:rsidRDefault="00903C43" w:rsidP="00F91221">
            <w:pPr>
              <w:numPr>
                <w:ilvl w:val="0"/>
                <w:numId w:val="38"/>
              </w:numPr>
              <w:ind w:left="176"/>
              <w:contextualSpacing/>
              <w:rPr>
                <w:sz w:val="18"/>
                <w:szCs w:val="18"/>
                <w:lang w:val="es-ES"/>
              </w:rPr>
            </w:pPr>
            <w:r w:rsidRPr="001D3C44">
              <w:rPr>
                <w:sz w:val="18"/>
                <w:szCs w:val="18"/>
                <w:lang w:val="es-ES"/>
              </w:rPr>
              <w:t>Ley</w:t>
            </w:r>
            <w:r w:rsidR="0007288C" w:rsidRPr="001D3C44">
              <w:rPr>
                <w:sz w:val="18"/>
                <w:szCs w:val="18"/>
                <w:lang w:val="es-ES"/>
              </w:rPr>
              <w:t xml:space="preserve"> 290 </w:t>
            </w:r>
            <w:r w:rsidRPr="001D3C44">
              <w:rPr>
                <w:sz w:val="18"/>
                <w:szCs w:val="18"/>
                <w:lang w:val="es-ES"/>
              </w:rPr>
              <w:t>de</w:t>
            </w:r>
            <w:r w:rsidR="0007288C" w:rsidRPr="001D3C44">
              <w:rPr>
                <w:sz w:val="18"/>
                <w:szCs w:val="18"/>
                <w:lang w:val="es-ES"/>
              </w:rPr>
              <w:t xml:space="preserve"> 1998 “</w:t>
            </w:r>
            <w:r w:rsidR="00E56422" w:rsidRPr="001D3C44">
              <w:rPr>
                <w:sz w:val="18"/>
                <w:szCs w:val="18"/>
                <w:lang w:val="es-ES"/>
              </w:rPr>
              <w:t>Organización, Competencia</w:t>
            </w:r>
            <w:r w:rsidR="0007288C" w:rsidRPr="001D3C44">
              <w:rPr>
                <w:sz w:val="18"/>
                <w:szCs w:val="18"/>
                <w:lang w:val="es-ES"/>
              </w:rPr>
              <w:t>&amp; Pro</w:t>
            </w:r>
            <w:r w:rsidR="001D3C44">
              <w:rPr>
                <w:sz w:val="18"/>
                <w:szCs w:val="18"/>
                <w:lang w:val="es-ES"/>
              </w:rPr>
              <w:t>cedimientos del Poder Ejecutivo</w:t>
            </w:r>
            <w:r w:rsidR="0007288C" w:rsidRPr="001D3C44">
              <w:rPr>
                <w:sz w:val="18"/>
                <w:szCs w:val="18"/>
                <w:lang w:val="es-ES"/>
              </w:rPr>
              <w:t>”.</w:t>
            </w:r>
          </w:p>
          <w:p w:rsidR="0007288C" w:rsidRPr="001D3C44" w:rsidRDefault="00903C43" w:rsidP="00F91221">
            <w:pPr>
              <w:numPr>
                <w:ilvl w:val="0"/>
                <w:numId w:val="38"/>
              </w:numPr>
              <w:ind w:left="176"/>
              <w:contextualSpacing/>
              <w:rPr>
                <w:sz w:val="18"/>
                <w:szCs w:val="18"/>
                <w:lang w:val="es-ES"/>
              </w:rPr>
            </w:pPr>
            <w:r w:rsidRPr="001D3C44">
              <w:rPr>
                <w:sz w:val="18"/>
                <w:szCs w:val="18"/>
                <w:lang w:val="es-ES"/>
              </w:rPr>
              <w:t>Ley</w:t>
            </w:r>
            <w:r w:rsidR="0007288C" w:rsidRPr="001D3C44">
              <w:rPr>
                <w:sz w:val="18"/>
                <w:szCs w:val="18"/>
                <w:lang w:val="es-ES"/>
              </w:rPr>
              <w:t xml:space="preserve"> 411 </w:t>
            </w:r>
            <w:r w:rsidRPr="001D3C44">
              <w:rPr>
                <w:sz w:val="18"/>
                <w:szCs w:val="18"/>
                <w:lang w:val="es-ES"/>
              </w:rPr>
              <w:t>de</w:t>
            </w:r>
            <w:r w:rsidR="0007288C" w:rsidRPr="001D3C44">
              <w:rPr>
                <w:sz w:val="18"/>
                <w:szCs w:val="18"/>
                <w:lang w:val="es-ES"/>
              </w:rPr>
              <w:t xml:space="preserve"> 2001 “</w:t>
            </w:r>
            <w:r w:rsidRPr="001D3C44">
              <w:rPr>
                <w:sz w:val="18"/>
                <w:szCs w:val="18"/>
                <w:lang w:val="es-ES"/>
              </w:rPr>
              <w:t>Ley</w:t>
            </w:r>
            <w:r w:rsidR="002D5586">
              <w:rPr>
                <w:sz w:val="18"/>
                <w:szCs w:val="18"/>
                <w:lang w:val="es-ES"/>
              </w:rPr>
              <w:t xml:space="preserve"> </w:t>
            </w:r>
            <w:r w:rsidR="001D3C44">
              <w:rPr>
                <w:sz w:val="18"/>
                <w:szCs w:val="18"/>
                <w:lang w:val="es-ES"/>
              </w:rPr>
              <w:t>Orgánica del</w:t>
            </w:r>
            <w:r w:rsidR="001D3C44" w:rsidRPr="001D3C44">
              <w:rPr>
                <w:sz w:val="18"/>
                <w:szCs w:val="18"/>
                <w:lang w:val="es-ES"/>
              </w:rPr>
              <w:t xml:space="preserve"> PGR</w:t>
            </w:r>
            <w:r w:rsidR="0007288C" w:rsidRPr="001D3C44">
              <w:rPr>
                <w:sz w:val="18"/>
                <w:szCs w:val="18"/>
                <w:lang w:val="es-ES"/>
              </w:rPr>
              <w:t>”</w:t>
            </w:r>
          </w:p>
          <w:p w:rsidR="0007288C" w:rsidRPr="001D3C44" w:rsidRDefault="00903C43" w:rsidP="00F91221">
            <w:pPr>
              <w:numPr>
                <w:ilvl w:val="0"/>
                <w:numId w:val="38"/>
              </w:numPr>
              <w:ind w:left="176"/>
              <w:contextualSpacing/>
              <w:rPr>
                <w:sz w:val="18"/>
                <w:szCs w:val="18"/>
                <w:lang w:val="es-ES"/>
              </w:rPr>
            </w:pPr>
            <w:r w:rsidRPr="001D3C44">
              <w:rPr>
                <w:sz w:val="18"/>
                <w:szCs w:val="18"/>
                <w:lang w:val="es-ES"/>
              </w:rPr>
              <w:t>Decreto</w:t>
            </w:r>
            <w:r w:rsidR="0007288C" w:rsidRPr="001D3C44">
              <w:rPr>
                <w:sz w:val="18"/>
                <w:szCs w:val="18"/>
                <w:lang w:val="es-ES"/>
              </w:rPr>
              <w:t xml:space="preserve"> 19 </w:t>
            </w:r>
            <w:r w:rsidRPr="001D3C44">
              <w:rPr>
                <w:sz w:val="18"/>
                <w:szCs w:val="18"/>
                <w:lang w:val="es-ES"/>
              </w:rPr>
              <w:t>de</w:t>
            </w:r>
            <w:r w:rsidR="0007288C" w:rsidRPr="001D3C44">
              <w:rPr>
                <w:sz w:val="18"/>
                <w:szCs w:val="18"/>
                <w:lang w:val="es-ES"/>
              </w:rPr>
              <w:t xml:space="preserve"> 2009 “</w:t>
            </w:r>
            <w:r w:rsidR="001D3C44">
              <w:rPr>
                <w:sz w:val="18"/>
                <w:szCs w:val="18"/>
                <w:lang w:val="es-ES"/>
              </w:rPr>
              <w:t>Regulación</w:t>
            </w:r>
            <w:r w:rsidR="002D5586">
              <w:rPr>
                <w:sz w:val="18"/>
                <w:szCs w:val="18"/>
                <w:lang w:val="es-ES"/>
              </w:rPr>
              <w:t xml:space="preserve"> </w:t>
            </w:r>
            <w:r w:rsidRPr="001D3C44">
              <w:rPr>
                <w:sz w:val="18"/>
                <w:szCs w:val="18"/>
                <w:lang w:val="es-ES"/>
              </w:rPr>
              <w:t>de</w:t>
            </w:r>
            <w:r w:rsidR="002D5586">
              <w:rPr>
                <w:sz w:val="18"/>
                <w:szCs w:val="18"/>
                <w:lang w:val="es-ES"/>
              </w:rPr>
              <w:t xml:space="preserve"> </w:t>
            </w:r>
            <w:r w:rsidR="001D3C44">
              <w:rPr>
                <w:sz w:val="18"/>
                <w:szCs w:val="18"/>
                <w:lang w:val="es-ES"/>
              </w:rPr>
              <w:t xml:space="preserve">la </w:t>
            </w:r>
            <w:r w:rsidRPr="001D3C44">
              <w:rPr>
                <w:sz w:val="18"/>
                <w:szCs w:val="18"/>
                <w:lang w:val="es-ES"/>
              </w:rPr>
              <w:t>Ley</w:t>
            </w:r>
            <w:r w:rsidR="0007288C" w:rsidRPr="001D3C44">
              <w:rPr>
                <w:sz w:val="18"/>
                <w:szCs w:val="18"/>
                <w:lang w:val="es-ES"/>
              </w:rPr>
              <w:t xml:space="preserve"> 411 </w:t>
            </w:r>
            <w:r w:rsidRPr="001D3C44">
              <w:rPr>
                <w:sz w:val="18"/>
                <w:szCs w:val="18"/>
                <w:lang w:val="es-ES"/>
              </w:rPr>
              <w:t>de</w:t>
            </w:r>
            <w:r w:rsidR="0007288C" w:rsidRPr="001D3C44">
              <w:rPr>
                <w:sz w:val="18"/>
                <w:szCs w:val="18"/>
                <w:lang w:val="es-ES"/>
              </w:rPr>
              <w:t xml:space="preserve"> 2001”</w:t>
            </w:r>
          </w:p>
        </w:tc>
        <w:tc>
          <w:tcPr>
            <w:tcW w:w="3460" w:type="dxa"/>
            <w:shd w:val="clear" w:color="auto" w:fill="auto"/>
          </w:tcPr>
          <w:p w:rsidR="001D3C44" w:rsidRPr="001D3C44" w:rsidRDefault="001D3C44" w:rsidP="00F91221">
            <w:pPr>
              <w:numPr>
                <w:ilvl w:val="0"/>
                <w:numId w:val="38"/>
              </w:numPr>
              <w:ind w:left="176"/>
              <w:contextualSpacing/>
              <w:rPr>
                <w:sz w:val="18"/>
                <w:szCs w:val="18"/>
                <w:lang w:val="es-ES"/>
              </w:rPr>
            </w:pPr>
            <w:r w:rsidRPr="001D3C44">
              <w:rPr>
                <w:sz w:val="18"/>
                <w:szCs w:val="18"/>
                <w:lang w:val="es-NI"/>
              </w:rPr>
              <w:t xml:space="preserve">Encabeza la </w:t>
            </w:r>
            <w:r w:rsidR="0007288C" w:rsidRPr="001D3C44">
              <w:rPr>
                <w:sz w:val="18"/>
                <w:szCs w:val="18"/>
                <w:lang w:val="es-NI"/>
              </w:rPr>
              <w:t xml:space="preserve">agenda </w:t>
            </w:r>
            <w:r>
              <w:rPr>
                <w:sz w:val="18"/>
                <w:szCs w:val="18"/>
                <w:lang w:val="es-NI"/>
              </w:rPr>
              <w:t xml:space="preserve">de la propiedad en Nicaragua </w:t>
            </w:r>
          </w:p>
          <w:p w:rsidR="0007288C" w:rsidRPr="001D3C44" w:rsidRDefault="001D3C44" w:rsidP="00F91221">
            <w:pPr>
              <w:numPr>
                <w:ilvl w:val="0"/>
                <w:numId w:val="38"/>
              </w:numPr>
              <w:ind w:left="176"/>
              <w:contextualSpacing/>
              <w:rPr>
                <w:sz w:val="18"/>
                <w:szCs w:val="18"/>
                <w:lang w:val="es-ES"/>
              </w:rPr>
            </w:pPr>
            <w:r>
              <w:rPr>
                <w:sz w:val="18"/>
                <w:szCs w:val="18"/>
                <w:lang w:val="es-ES"/>
              </w:rPr>
              <w:t xml:space="preserve">Es el representante legal de la República de Nicaragua </w:t>
            </w:r>
          </w:p>
          <w:p w:rsidR="0007288C" w:rsidRPr="001D3C44" w:rsidRDefault="001D3C44" w:rsidP="00F91221">
            <w:pPr>
              <w:numPr>
                <w:ilvl w:val="0"/>
                <w:numId w:val="38"/>
              </w:numPr>
              <w:ind w:left="176"/>
              <w:contextualSpacing/>
              <w:rPr>
                <w:sz w:val="18"/>
                <w:szCs w:val="18"/>
                <w:lang w:val="es-ES"/>
              </w:rPr>
            </w:pPr>
            <w:r>
              <w:rPr>
                <w:sz w:val="18"/>
                <w:szCs w:val="18"/>
                <w:lang w:val="es-ES"/>
              </w:rPr>
              <w:t>Diseña y aplica la estrategia de comunicación</w:t>
            </w:r>
          </w:p>
        </w:tc>
      </w:tr>
      <w:tr w:rsidR="0007288C" w:rsidRPr="009F3769" w:rsidTr="00665F61">
        <w:trPr>
          <w:jc w:val="center"/>
        </w:trPr>
        <w:tc>
          <w:tcPr>
            <w:tcW w:w="1897" w:type="dxa"/>
            <w:shd w:val="clear" w:color="auto" w:fill="auto"/>
          </w:tcPr>
          <w:p w:rsidR="0007288C" w:rsidRPr="001D3C44" w:rsidRDefault="0007288C" w:rsidP="0007288C">
            <w:pPr>
              <w:rPr>
                <w:sz w:val="18"/>
                <w:szCs w:val="18"/>
                <w:lang w:val="es-ES"/>
              </w:rPr>
            </w:pPr>
            <w:r w:rsidRPr="001D3C44">
              <w:rPr>
                <w:sz w:val="18"/>
                <w:szCs w:val="18"/>
                <w:lang w:val="es-ES"/>
              </w:rPr>
              <w:t>Intend</w:t>
            </w:r>
            <w:r w:rsidR="001D3C44">
              <w:rPr>
                <w:sz w:val="18"/>
                <w:szCs w:val="18"/>
                <w:lang w:val="es-ES"/>
              </w:rPr>
              <w:t xml:space="preserve">encia de la Propiedad </w:t>
            </w:r>
            <w:r w:rsidRPr="001D3C44">
              <w:rPr>
                <w:sz w:val="18"/>
                <w:szCs w:val="18"/>
                <w:lang w:val="es-ES"/>
              </w:rPr>
              <w:t xml:space="preserve">(IP) </w:t>
            </w:r>
            <w:r w:rsidR="001D3C44">
              <w:rPr>
                <w:sz w:val="18"/>
                <w:szCs w:val="18"/>
                <w:lang w:val="es-ES"/>
              </w:rPr>
              <w:t>adscrito a la</w:t>
            </w:r>
            <w:r w:rsidRPr="001D3C44">
              <w:rPr>
                <w:sz w:val="18"/>
                <w:szCs w:val="18"/>
                <w:lang w:val="es-ES"/>
              </w:rPr>
              <w:t xml:space="preserve"> PGR</w:t>
            </w:r>
          </w:p>
          <w:p w:rsidR="0007288C" w:rsidRPr="001D3C44" w:rsidRDefault="0007288C" w:rsidP="0007288C">
            <w:pPr>
              <w:rPr>
                <w:sz w:val="18"/>
                <w:szCs w:val="18"/>
                <w:lang w:val="es-ES"/>
              </w:rPr>
            </w:pPr>
          </w:p>
        </w:tc>
        <w:tc>
          <w:tcPr>
            <w:tcW w:w="4111" w:type="dxa"/>
            <w:shd w:val="clear" w:color="auto" w:fill="auto"/>
          </w:tcPr>
          <w:p w:rsidR="0007288C" w:rsidRPr="001D3C44" w:rsidRDefault="00903C43" w:rsidP="00F91221">
            <w:pPr>
              <w:numPr>
                <w:ilvl w:val="0"/>
                <w:numId w:val="38"/>
              </w:numPr>
              <w:ind w:left="121"/>
              <w:contextualSpacing/>
              <w:rPr>
                <w:sz w:val="18"/>
                <w:szCs w:val="18"/>
                <w:lang w:val="es-ES"/>
              </w:rPr>
            </w:pPr>
            <w:r w:rsidRPr="001D3C44">
              <w:rPr>
                <w:sz w:val="18"/>
                <w:szCs w:val="18"/>
                <w:lang w:val="es-ES"/>
              </w:rPr>
              <w:t>Ley</w:t>
            </w:r>
            <w:r w:rsidR="0007288C" w:rsidRPr="001D3C44">
              <w:rPr>
                <w:sz w:val="18"/>
                <w:szCs w:val="18"/>
                <w:lang w:val="es-ES"/>
              </w:rPr>
              <w:t xml:space="preserve"> 290 </w:t>
            </w:r>
            <w:r w:rsidRPr="001D3C44">
              <w:rPr>
                <w:sz w:val="18"/>
                <w:szCs w:val="18"/>
                <w:lang w:val="es-ES"/>
              </w:rPr>
              <w:t>de</w:t>
            </w:r>
            <w:r w:rsidR="0007288C" w:rsidRPr="001D3C44">
              <w:rPr>
                <w:sz w:val="18"/>
                <w:szCs w:val="18"/>
                <w:lang w:val="es-ES"/>
              </w:rPr>
              <w:t xml:space="preserve"> 1998 “</w:t>
            </w:r>
            <w:r w:rsidR="002B16B0" w:rsidRPr="002B16B0">
              <w:rPr>
                <w:sz w:val="18"/>
                <w:szCs w:val="18"/>
                <w:lang w:val="es-ES"/>
              </w:rPr>
              <w:t>Organización, Competencia &amp; Procedimientos del Poder Ejecutivo”</w:t>
            </w:r>
            <w:r w:rsidR="0007288C" w:rsidRPr="001D3C44">
              <w:rPr>
                <w:sz w:val="18"/>
                <w:szCs w:val="18"/>
                <w:lang w:val="es-ES"/>
              </w:rPr>
              <w:t>”.</w:t>
            </w:r>
          </w:p>
          <w:p w:rsidR="0007288C" w:rsidRPr="001D3C44" w:rsidRDefault="00903C43" w:rsidP="00F91221">
            <w:pPr>
              <w:numPr>
                <w:ilvl w:val="0"/>
                <w:numId w:val="38"/>
              </w:numPr>
              <w:ind w:left="121"/>
              <w:contextualSpacing/>
              <w:rPr>
                <w:sz w:val="18"/>
                <w:szCs w:val="18"/>
                <w:lang w:val="es-ES"/>
              </w:rPr>
            </w:pPr>
            <w:r w:rsidRPr="001D3C44">
              <w:rPr>
                <w:sz w:val="18"/>
                <w:szCs w:val="18"/>
                <w:lang w:val="es-ES"/>
              </w:rPr>
              <w:t>Decreto</w:t>
            </w:r>
            <w:r w:rsidR="0007288C" w:rsidRPr="001D3C44">
              <w:rPr>
                <w:sz w:val="18"/>
                <w:szCs w:val="18"/>
                <w:lang w:val="es-ES"/>
              </w:rPr>
              <w:t xml:space="preserve"> 56 </w:t>
            </w:r>
            <w:r w:rsidRPr="001D3C44">
              <w:rPr>
                <w:sz w:val="18"/>
                <w:szCs w:val="18"/>
                <w:lang w:val="es-ES"/>
              </w:rPr>
              <w:t>de</w:t>
            </w:r>
            <w:r w:rsidR="0007288C" w:rsidRPr="001D3C44">
              <w:rPr>
                <w:sz w:val="18"/>
                <w:szCs w:val="18"/>
                <w:lang w:val="es-ES"/>
              </w:rPr>
              <w:t xml:space="preserve"> 1998 “Crea</w:t>
            </w:r>
            <w:r w:rsidR="002B16B0">
              <w:rPr>
                <w:sz w:val="18"/>
                <w:szCs w:val="18"/>
                <w:lang w:val="es-ES"/>
              </w:rPr>
              <w:t xml:space="preserve">ción de la </w:t>
            </w:r>
            <w:r w:rsidR="0007288C" w:rsidRPr="001D3C44">
              <w:rPr>
                <w:sz w:val="18"/>
                <w:szCs w:val="18"/>
                <w:lang w:val="es-ES"/>
              </w:rPr>
              <w:t>IP”</w:t>
            </w:r>
          </w:p>
          <w:p w:rsidR="0007288C" w:rsidRPr="001D3C44" w:rsidRDefault="00903C43" w:rsidP="00F91221">
            <w:pPr>
              <w:numPr>
                <w:ilvl w:val="0"/>
                <w:numId w:val="38"/>
              </w:numPr>
              <w:ind w:left="121"/>
              <w:contextualSpacing/>
              <w:rPr>
                <w:sz w:val="18"/>
                <w:szCs w:val="18"/>
                <w:lang w:val="es-ES"/>
              </w:rPr>
            </w:pPr>
            <w:r w:rsidRPr="001D3C44">
              <w:rPr>
                <w:sz w:val="18"/>
                <w:szCs w:val="18"/>
                <w:lang w:val="es-ES"/>
              </w:rPr>
              <w:t>Decreto</w:t>
            </w:r>
            <w:r w:rsidR="0007288C" w:rsidRPr="001D3C44">
              <w:rPr>
                <w:sz w:val="18"/>
                <w:szCs w:val="18"/>
                <w:lang w:val="es-ES"/>
              </w:rPr>
              <w:t xml:space="preserve"> 71 </w:t>
            </w:r>
            <w:r w:rsidRPr="001D3C44">
              <w:rPr>
                <w:sz w:val="18"/>
                <w:szCs w:val="18"/>
                <w:lang w:val="es-ES"/>
              </w:rPr>
              <w:t>de</w:t>
            </w:r>
            <w:r w:rsidR="0007288C" w:rsidRPr="001D3C44">
              <w:rPr>
                <w:sz w:val="18"/>
                <w:szCs w:val="18"/>
                <w:lang w:val="es-ES"/>
              </w:rPr>
              <w:t xml:space="preserve"> 1998 “</w:t>
            </w:r>
            <w:r w:rsidR="002B16B0" w:rsidRPr="001D3C44">
              <w:rPr>
                <w:sz w:val="18"/>
                <w:szCs w:val="18"/>
                <w:lang w:val="es-ES"/>
              </w:rPr>
              <w:t>Reg</w:t>
            </w:r>
            <w:r w:rsidR="002B16B0">
              <w:rPr>
                <w:sz w:val="18"/>
                <w:szCs w:val="18"/>
                <w:lang w:val="es-ES"/>
              </w:rPr>
              <w:t xml:space="preserve">lamento de la </w:t>
            </w:r>
            <w:r w:rsidRPr="001D3C44">
              <w:rPr>
                <w:sz w:val="18"/>
                <w:szCs w:val="18"/>
                <w:lang w:val="es-ES"/>
              </w:rPr>
              <w:t>Ley</w:t>
            </w:r>
            <w:r w:rsidR="0007288C" w:rsidRPr="001D3C44">
              <w:rPr>
                <w:sz w:val="18"/>
                <w:szCs w:val="18"/>
                <w:lang w:val="es-ES"/>
              </w:rPr>
              <w:t xml:space="preserve"> 290 </w:t>
            </w:r>
            <w:r w:rsidRPr="001D3C44">
              <w:rPr>
                <w:sz w:val="18"/>
                <w:szCs w:val="18"/>
                <w:lang w:val="es-ES"/>
              </w:rPr>
              <w:t>de</w:t>
            </w:r>
            <w:r w:rsidR="0007288C" w:rsidRPr="001D3C44">
              <w:rPr>
                <w:sz w:val="18"/>
                <w:szCs w:val="18"/>
                <w:lang w:val="es-ES"/>
              </w:rPr>
              <w:t xml:space="preserve"> 1998”</w:t>
            </w:r>
          </w:p>
          <w:p w:rsidR="0007288C" w:rsidRPr="001D3C44" w:rsidRDefault="00903C43" w:rsidP="00F91221">
            <w:pPr>
              <w:numPr>
                <w:ilvl w:val="0"/>
                <w:numId w:val="38"/>
              </w:numPr>
              <w:ind w:left="121"/>
              <w:contextualSpacing/>
              <w:rPr>
                <w:sz w:val="18"/>
                <w:szCs w:val="18"/>
                <w:lang w:val="es-ES"/>
              </w:rPr>
            </w:pPr>
            <w:r w:rsidRPr="001D3C44">
              <w:rPr>
                <w:sz w:val="18"/>
                <w:szCs w:val="18"/>
                <w:lang w:val="es-ES"/>
              </w:rPr>
              <w:t>Decreto</w:t>
            </w:r>
            <w:r w:rsidR="0007288C" w:rsidRPr="001D3C44">
              <w:rPr>
                <w:sz w:val="18"/>
                <w:szCs w:val="18"/>
                <w:lang w:val="es-ES"/>
              </w:rPr>
              <w:t xml:space="preserve"> 45 </w:t>
            </w:r>
            <w:r w:rsidRPr="001D3C44">
              <w:rPr>
                <w:sz w:val="18"/>
                <w:szCs w:val="18"/>
                <w:lang w:val="es-ES"/>
              </w:rPr>
              <w:t>de</w:t>
            </w:r>
            <w:r w:rsidR="0007288C" w:rsidRPr="001D3C44">
              <w:rPr>
                <w:sz w:val="18"/>
                <w:szCs w:val="18"/>
                <w:lang w:val="es-ES"/>
              </w:rPr>
              <w:t xml:space="preserve"> 2002 “De</w:t>
            </w:r>
            <w:r w:rsidR="002B16B0">
              <w:rPr>
                <w:sz w:val="18"/>
                <w:szCs w:val="18"/>
                <w:lang w:val="es-ES"/>
              </w:rPr>
              <w:t>scentralización de la</w:t>
            </w:r>
            <w:r w:rsidR="0007288C" w:rsidRPr="001D3C44">
              <w:rPr>
                <w:sz w:val="18"/>
                <w:szCs w:val="18"/>
                <w:lang w:val="es-ES"/>
              </w:rPr>
              <w:t xml:space="preserve"> IP”</w:t>
            </w:r>
          </w:p>
          <w:p w:rsidR="0007288C" w:rsidRPr="001D3C44" w:rsidRDefault="00903C43" w:rsidP="00F91221">
            <w:pPr>
              <w:numPr>
                <w:ilvl w:val="0"/>
                <w:numId w:val="38"/>
              </w:numPr>
              <w:ind w:left="121"/>
              <w:contextualSpacing/>
              <w:rPr>
                <w:sz w:val="18"/>
                <w:szCs w:val="18"/>
                <w:lang w:val="es-ES"/>
              </w:rPr>
            </w:pPr>
            <w:r w:rsidRPr="001D3C44">
              <w:rPr>
                <w:sz w:val="18"/>
                <w:szCs w:val="18"/>
                <w:lang w:val="es-ES"/>
              </w:rPr>
              <w:t>Decreto</w:t>
            </w:r>
            <w:r w:rsidR="0007288C" w:rsidRPr="001D3C44">
              <w:rPr>
                <w:sz w:val="18"/>
                <w:szCs w:val="18"/>
                <w:lang w:val="es-ES"/>
              </w:rPr>
              <w:t xml:space="preserve"> 130 </w:t>
            </w:r>
            <w:r w:rsidRPr="001D3C44">
              <w:rPr>
                <w:sz w:val="18"/>
                <w:szCs w:val="18"/>
                <w:lang w:val="es-ES"/>
              </w:rPr>
              <w:t>de</w:t>
            </w:r>
            <w:r w:rsidR="0007288C" w:rsidRPr="001D3C44">
              <w:rPr>
                <w:sz w:val="18"/>
                <w:szCs w:val="18"/>
                <w:lang w:val="es-ES"/>
              </w:rPr>
              <w:t xml:space="preserve"> 2004 “</w:t>
            </w:r>
            <w:r w:rsidR="002B16B0" w:rsidRPr="001D3C44">
              <w:rPr>
                <w:sz w:val="18"/>
                <w:szCs w:val="18"/>
                <w:lang w:val="es-ES"/>
              </w:rPr>
              <w:t>Restable</w:t>
            </w:r>
            <w:r w:rsidR="002B16B0">
              <w:rPr>
                <w:sz w:val="18"/>
                <w:szCs w:val="18"/>
                <w:lang w:val="es-ES"/>
              </w:rPr>
              <w:t xml:space="preserve">cimiento de la </w:t>
            </w:r>
            <w:r w:rsidR="0007288C" w:rsidRPr="001D3C44">
              <w:rPr>
                <w:sz w:val="18"/>
                <w:szCs w:val="18"/>
                <w:lang w:val="es-ES"/>
              </w:rPr>
              <w:t>IP”</w:t>
            </w:r>
          </w:p>
          <w:p w:rsidR="0007288C" w:rsidRPr="001D3C44" w:rsidRDefault="00903C43" w:rsidP="00F91221">
            <w:pPr>
              <w:numPr>
                <w:ilvl w:val="0"/>
                <w:numId w:val="38"/>
              </w:numPr>
              <w:ind w:left="121"/>
              <w:contextualSpacing/>
              <w:rPr>
                <w:sz w:val="18"/>
                <w:szCs w:val="18"/>
                <w:lang w:val="es-ES"/>
              </w:rPr>
            </w:pPr>
            <w:r w:rsidRPr="001D3C44">
              <w:rPr>
                <w:sz w:val="18"/>
                <w:szCs w:val="18"/>
                <w:lang w:val="es-ES"/>
              </w:rPr>
              <w:t>Decreto</w:t>
            </w:r>
            <w:r w:rsidR="0007288C" w:rsidRPr="001D3C44">
              <w:rPr>
                <w:sz w:val="18"/>
                <w:szCs w:val="18"/>
                <w:lang w:val="es-ES"/>
              </w:rPr>
              <w:t xml:space="preserve"> 25 </w:t>
            </w:r>
            <w:r w:rsidRPr="001D3C44">
              <w:rPr>
                <w:sz w:val="18"/>
                <w:szCs w:val="18"/>
                <w:lang w:val="es-ES"/>
              </w:rPr>
              <w:t>de</w:t>
            </w:r>
            <w:r w:rsidR="0007288C" w:rsidRPr="001D3C44">
              <w:rPr>
                <w:sz w:val="18"/>
                <w:szCs w:val="18"/>
                <w:lang w:val="es-ES"/>
              </w:rPr>
              <w:t xml:space="preserve"> 2006 “Reform</w:t>
            </w:r>
            <w:r w:rsidR="002B16B0">
              <w:rPr>
                <w:sz w:val="18"/>
                <w:szCs w:val="18"/>
                <w:lang w:val="es-ES"/>
              </w:rPr>
              <w:t>a</w:t>
            </w:r>
            <w:r w:rsidR="0007288C" w:rsidRPr="001D3C44">
              <w:rPr>
                <w:sz w:val="18"/>
                <w:szCs w:val="18"/>
                <w:lang w:val="es-ES"/>
              </w:rPr>
              <w:t>s &amp; Ad</w:t>
            </w:r>
            <w:r w:rsidR="002B16B0">
              <w:rPr>
                <w:sz w:val="18"/>
                <w:szCs w:val="18"/>
                <w:lang w:val="es-ES"/>
              </w:rPr>
              <w:t xml:space="preserve">iciones al </w:t>
            </w:r>
            <w:r w:rsidRPr="001D3C44">
              <w:rPr>
                <w:sz w:val="18"/>
                <w:szCs w:val="18"/>
                <w:lang w:val="es-ES"/>
              </w:rPr>
              <w:t>Decreto</w:t>
            </w:r>
            <w:r w:rsidR="0007288C" w:rsidRPr="001D3C44">
              <w:rPr>
                <w:sz w:val="18"/>
                <w:szCs w:val="18"/>
                <w:lang w:val="es-ES"/>
              </w:rPr>
              <w:t xml:space="preserve"> 71 </w:t>
            </w:r>
            <w:r w:rsidRPr="001D3C44">
              <w:rPr>
                <w:sz w:val="18"/>
                <w:szCs w:val="18"/>
                <w:lang w:val="es-ES"/>
              </w:rPr>
              <w:t>de</w:t>
            </w:r>
            <w:r w:rsidR="0007288C" w:rsidRPr="001D3C44">
              <w:rPr>
                <w:sz w:val="18"/>
                <w:szCs w:val="18"/>
                <w:lang w:val="es-ES"/>
              </w:rPr>
              <w:t xml:space="preserve"> 1998”</w:t>
            </w:r>
          </w:p>
          <w:p w:rsidR="0007288C" w:rsidRPr="001D3C44" w:rsidRDefault="00903C43" w:rsidP="00F91221">
            <w:pPr>
              <w:numPr>
                <w:ilvl w:val="0"/>
                <w:numId w:val="38"/>
              </w:numPr>
              <w:ind w:left="121"/>
              <w:contextualSpacing/>
              <w:rPr>
                <w:sz w:val="18"/>
                <w:szCs w:val="18"/>
                <w:lang w:val="es-ES"/>
              </w:rPr>
            </w:pPr>
            <w:r w:rsidRPr="001D3C44">
              <w:rPr>
                <w:sz w:val="18"/>
                <w:szCs w:val="18"/>
                <w:lang w:val="es-ES"/>
              </w:rPr>
              <w:t>Decreto</w:t>
            </w:r>
            <w:r w:rsidR="0007288C" w:rsidRPr="001D3C44">
              <w:rPr>
                <w:sz w:val="18"/>
                <w:szCs w:val="18"/>
                <w:lang w:val="es-ES"/>
              </w:rPr>
              <w:t xml:space="preserve"> 33 </w:t>
            </w:r>
            <w:r w:rsidRPr="001D3C44">
              <w:rPr>
                <w:sz w:val="18"/>
                <w:szCs w:val="18"/>
                <w:lang w:val="es-ES"/>
              </w:rPr>
              <w:t>de</w:t>
            </w:r>
            <w:r w:rsidR="0007288C" w:rsidRPr="001D3C44">
              <w:rPr>
                <w:sz w:val="18"/>
                <w:szCs w:val="18"/>
                <w:lang w:val="es-ES"/>
              </w:rPr>
              <w:t xml:space="preserve"> 2009 “</w:t>
            </w:r>
            <w:r w:rsidR="00753705">
              <w:rPr>
                <w:sz w:val="18"/>
                <w:szCs w:val="18"/>
                <w:lang w:val="es-ES"/>
              </w:rPr>
              <w:t>Adscripción de la Dirección General de la</w:t>
            </w:r>
            <w:r w:rsidR="0007288C" w:rsidRPr="001D3C44">
              <w:rPr>
                <w:sz w:val="18"/>
                <w:szCs w:val="18"/>
                <w:lang w:val="es-ES"/>
              </w:rPr>
              <w:t xml:space="preserve"> IP </w:t>
            </w:r>
            <w:r w:rsidR="00753705">
              <w:rPr>
                <w:sz w:val="18"/>
                <w:szCs w:val="18"/>
                <w:lang w:val="es-ES"/>
              </w:rPr>
              <w:t>a la</w:t>
            </w:r>
            <w:r w:rsidR="0007288C" w:rsidRPr="001D3C44">
              <w:rPr>
                <w:sz w:val="18"/>
                <w:szCs w:val="18"/>
                <w:lang w:val="es-ES"/>
              </w:rPr>
              <w:t xml:space="preserve"> PGR”</w:t>
            </w:r>
          </w:p>
        </w:tc>
        <w:tc>
          <w:tcPr>
            <w:tcW w:w="3460" w:type="dxa"/>
            <w:shd w:val="clear" w:color="auto" w:fill="auto"/>
          </w:tcPr>
          <w:p w:rsidR="00602EA6" w:rsidRDefault="0007288C" w:rsidP="00F91221">
            <w:pPr>
              <w:numPr>
                <w:ilvl w:val="0"/>
                <w:numId w:val="38"/>
              </w:numPr>
              <w:ind w:left="176"/>
              <w:contextualSpacing/>
              <w:rPr>
                <w:sz w:val="18"/>
                <w:szCs w:val="18"/>
                <w:lang w:val="es-NI"/>
              </w:rPr>
            </w:pPr>
            <w:r w:rsidRPr="00602EA6">
              <w:rPr>
                <w:sz w:val="18"/>
                <w:szCs w:val="18"/>
                <w:lang w:val="es-NI"/>
              </w:rPr>
              <w:t>Coordina</w:t>
            </w:r>
            <w:r w:rsidR="00602EA6" w:rsidRPr="00602EA6">
              <w:rPr>
                <w:sz w:val="18"/>
                <w:szCs w:val="18"/>
                <w:lang w:val="es-NI"/>
              </w:rPr>
              <w:t xml:space="preserve"> el diseño y ejecuci</w:t>
            </w:r>
            <w:r w:rsidR="00602EA6">
              <w:rPr>
                <w:sz w:val="18"/>
                <w:szCs w:val="18"/>
                <w:lang w:val="es-NI"/>
              </w:rPr>
              <w:t>ón de las políticas nacionales relacionadas con las propiedades estatales</w:t>
            </w:r>
          </w:p>
          <w:p w:rsidR="0007288C" w:rsidRPr="001D3C44" w:rsidRDefault="00602EA6" w:rsidP="00F91221">
            <w:pPr>
              <w:numPr>
                <w:ilvl w:val="0"/>
                <w:numId w:val="38"/>
              </w:numPr>
              <w:ind w:left="176"/>
              <w:contextualSpacing/>
              <w:rPr>
                <w:sz w:val="18"/>
                <w:szCs w:val="18"/>
                <w:lang w:val="es-ES"/>
              </w:rPr>
            </w:pPr>
            <w:r>
              <w:rPr>
                <w:sz w:val="18"/>
                <w:szCs w:val="18"/>
                <w:lang w:val="es-ES"/>
              </w:rPr>
              <w:t>Ejecuta la</w:t>
            </w:r>
            <w:r w:rsidR="002D5586">
              <w:rPr>
                <w:sz w:val="18"/>
                <w:szCs w:val="18"/>
                <w:lang w:val="es-ES"/>
              </w:rPr>
              <w:t xml:space="preserve"> </w:t>
            </w:r>
            <w:r w:rsidRPr="001D3C44">
              <w:rPr>
                <w:sz w:val="18"/>
                <w:szCs w:val="18"/>
                <w:lang w:val="es-ES"/>
              </w:rPr>
              <w:t>reform</w:t>
            </w:r>
            <w:r>
              <w:rPr>
                <w:sz w:val="18"/>
                <w:szCs w:val="18"/>
                <w:lang w:val="es-ES"/>
              </w:rPr>
              <w:t>a</w:t>
            </w:r>
            <w:r w:rsidR="002D5586">
              <w:rPr>
                <w:sz w:val="18"/>
                <w:szCs w:val="18"/>
                <w:lang w:val="es-ES"/>
              </w:rPr>
              <w:t xml:space="preserve"> </w:t>
            </w:r>
            <w:r w:rsidR="0007288C" w:rsidRPr="001D3C44">
              <w:rPr>
                <w:sz w:val="18"/>
                <w:szCs w:val="18"/>
                <w:lang w:val="es-ES"/>
              </w:rPr>
              <w:t>agraria.</w:t>
            </w:r>
          </w:p>
          <w:p w:rsidR="0007288C" w:rsidRPr="00774F42" w:rsidRDefault="00774F42" w:rsidP="00F91221">
            <w:pPr>
              <w:numPr>
                <w:ilvl w:val="0"/>
                <w:numId w:val="38"/>
              </w:numPr>
              <w:ind w:left="176"/>
              <w:contextualSpacing/>
              <w:rPr>
                <w:sz w:val="18"/>
                <w:szCs w:val="18"/>
                <w:lang w:val="es-NI"/>
              </w:rPr>
            </w:pPr>
            <w:r w:rsidRPr="00774F42">
              <w:rPr>
                <w:sz w:val="18"/>
                <w:szCs w:val="18"/>
                <w:lang w:val="es-NI"/>
              </w:rPr>
              <w:t>Avalúa propiedades confiscadas para pagar la indemnización correspondiente</w:t>
            </w:r>
            <w:r w:rsidR="0007288C" w:rsidRPr="00774F42">
              <w:rPr>
                <w:sz w:val="18"/>
                <w:szCs w:val="18"/>
                <w:lang w:val="es-NI"/>
              </w:rPr>
              <w:t>.</w:t>
            </w:r>
          </w:p>
          <w:p w:rsidR="0007288C" w:rsidRPr="001D3C44" w:rsidRDefault="00FF52DD" w:rsidP="00F91221">
            <w:pPr>
              <w:numPr>
                <w:ilvl w:val="0"/>
                <w:numId w:val="38"/>
              </w:numPr>
              <w:ind w:left="176"/>
              <w:contextualSpacing/>
              <w:rPr>
                <w:sz w:val="18"/>
                <w:szCs w:val="18"/>
                <w:lang w:val="es-ES"/>
              </w:rPr>
            </w:pPr>
            <w:r w:rsidRPr="001D3C44">
              <w:rPr>
                <w:sz w:val="18"/>
                <w:szCs w:val="18"/>
                <w:lang w:val="es-ES"/>
              </w:rPr>
              <w:t>Titulación</w:t>
            </w:r>
            <w:r w:rsidR="002D5586">
              <w:rPr>
                <w:sz w:val="18"/>
                <w:szCs w:val="18"/>
                <w:lang w:val="es-ES"/>
              </w:rPr>
              <w:t xml:space="preserve"> </w:t>
            </w:r>
            <w:r w:rsidR="00903C43" w:rsidRPr="001D3C44">
              <w:rPr>
                <w:sz w:val="18"/>
                <w:szCs w:val="18"/>
                <w:lang w:val="es-ES"/>
              </w:rPr>
              <w:t>de</w:t>
            </w:r>
            <w:r w:rsidR="00774F42">
              <w:rPr>
                <w:sz w:val="18"/>
                <w:szCs w:val="18"/>
                <w:lang w:val="es-ES"/>
              </w:rPr>
              <w:t xml:space="preserve"> beneficiario</w:t>
            </w:r>
            <w:r w:rsidR="0007288C" w:rsidRPr="001D3C44">
              <w:rPr>
                <w:sz w:val="18"/>
                <w:szCs w:val="18"/>
                <w:lang w:val="es-ES"/>
              </w:rPr>
              <w:t xml:space="preserve">s </w:t>
            </w:r>
            <w:r w:rsidR="00903C43" w:rsidRPr="001D3C44">
              <w:rPr>
                <w:sz w:val="18"/>
                <w:szCs w:val="18"/>
                <w:lang w:val="es-ES"/>
              </w:rPr>
              <w:t>de</w:t>
            </w:r>
            <w:r w:rsidR="00774F42">
              <w:rPr>
                <w:sz w:val="18"/>
                <w:szCs w:val="18"/>
                <w:lang w:val="es-ES"/>
              </w:rPr>
              <w:t xml:space="preserve"> la reforma </w:t>
            </w:r>
            <w:r w:rsidR="00062185">
              <w:rPr>
                <w:sz w:val="18"/>
                <w:szCs w:val="18"/>
                <w:lang w:val="es-ES"/>
              </w:rPr>
              <w:t>agraria</w:t>
            </w:r>
          </w:p>
          <w:p w:rsidR="0007288C" w:rsidRPr="001D3C44" w:rsidRDefault="0007288C" w:rsidP="00F91221">
            <w:pPr>
              <w:numPr>
                <w:ilvl w:val="0"/>
                <w:numId w:val="38"/>
              </w:numPr>
              <w:ind w:left="176"/>
              <w:contextualSpacing/>
              <w:rPr>
                <w:sz w:val="18"/>
                <w:szCs w:val="18"/>
                <w:lang w:val="es-ES"/>
              </w:rPr>
            </w:pPr>
            <w:r w:rsidRPr="001D3C44">
              <w:rPr>
                <w:sz w:val="18"/>
                <w:szCs w:val="18"/>
                <w:lang w:val="es-ES"/>
              </w:rPr>
              <w:t>Regulariz</w:t>
            </w:r>
            <w:r w:rsidR="00062185">
              <w:rPr>
                <w:sz w:val="18"/>
                <w:szCs w:val="18"/>
                <w:lang w:val="es-ES"/>
              </w:rPr>
              <w:t xml:space="preserve">a la tierra para llevar a cabo la reforma agraria </w:t>
            </w:r>
          </w:p>
          <w:p w:rsidR="0007288C" w:rsidRPr="001D3C44" w:rsidRDefault="00062185" w:rsidP="00F91221">
            <w:pPr>
              <w:numPr>
                <w:ilvl w:val="0"/>
                <w:numId w:val="38"/>
              </w:numPr>
              <w:ind w:left="176"/>
              <w:contextualSpacing/>
              <w:rPr>
                <w:sz w:val="18"/>
                <w:szCs w:val="18"/>
                <w:lang w:val="es-ES"/>
              </w:rPr>
            </w:pPr>
            <w:r>
              <w:rPr>
                <w:sz w:val="18"/>
                <w:szCs w:val="18"/>
                <w:lang w:val="es-ES"/>
              </w:rPr>
              <w:t xml:space="preserve">Coordina la </w:t>
            </w:r>
            <w:r w:rsidR="00FE4705" w:rsidRPr="001D3C44">
              <w:rPr>
                <w:sz w:val="18"/>
                <w:szCs w:val="18"/>
                <w:lang w:val="es-ES"/>
              </w:rPr>
              <w:t>demarcación</w:t>
            </w:r>
            <w:r w:rsidR="002D5586">
              <w:rPr>
                <w:sz w:val="18"/>
                <w:szCs w:val="18"/>
                <w:lang w:val="es-ES"/>
              </w:rPr>
              <w:t xml:space="preserve"> </w:t>
            </w:r>
            <w:r w:rsidR="00FF357C" w:rsidRPr="001D3C44">
              <w:rPr>
                <w:sz w:val="18"/>
                <w:szCs w:val="18"/>
                <w:lang w:val="es-ES"/>
              </w:rPr>
              <w:t>y</w:t>
            </w:r>
            <w:r w:rsidR="002D5586">
              <w:rPr>
                <w:sz w:val="18"/>
                <w:szCs w:val="18"/>
                <w:lang w:val="es-ES"/>
              </w:rPr>
              <w:t xml:space="preserve"> </w:t>
            </w:r>
            <w:r w:rsidR="00FF52DD" w:rsidRPr="001D3C44">
              <w:rPr>
                <w:sz w:val="18"/>
                <w:szCs w:val="18"/>
                <w:lang w:val="es-ES"/>
              </w:rPr>
              <w:t>titulación</w:t>
            </w:r>
            <w:r>
              <w:rPr>
                <w:sz w:val="18"/>
                <w:szCs w:val="18"/>
                <w:lang w:val="es-ES"/>
              </w:rPr>
              <w:t xml:space="preserve"> de tierras indígenas</w:t>
            </w:r>
          </w:p>
        </w:tc>
      </w:tr>
      <w:tr w:rsidR="0007288C" w:rsidRPr="009F3769" w:rsidTr="00665F61">
        <w:trPr>
          <w:trHeight w:val="1727"/>
          <w:jc w:val="center"/>
        </w:trPr>
        <w:tc>
          <w:tcPr>
            <w:tcW w:w="1897" w:type="dxa"/>
            <w:shd w:val="clear" w:color="auto" w:fill="auto"/>
          </w:tcPr>
          <w:p w:rsidR="0007288C" w:rsidRPr="007F11E0" w:rsidRDefault="00753705" w:rsidP="0007288C">
            <w:pPr>
              <w:rPr>
                <w:sz w:val="18"/>
                <w:szCs w:val="18"/>
                <w:lang w:val="pt-BR"/>
              </w:rPr>
            </w:pPr>
            <w:r w:rsidRPr="007F11E0">
              <w:rPr>
                <w:sz w:val="18"/>
                <w:szCs w:val="18"/>
                <w:lang w:val="pt-BR"/>
              </w:rPr>
              <w:t>Corte Suprema</w:t>
            </w:r>
            <w:r w:rsidR="002D5586">
              <w:rPr>
                <w:sz w:val="18"/>
                <w:szCs w:val="18"/>
                <w:lang w:val="pt-BR"/>
              </w:rPr>
              <w:t xml:space="preserve"> </w:t>
            </w:r>
            <w:r w:rsidR="00903C43" w:rsidRPr="007F11E0">
              <w:rPr>
                <w:sz w:val="18"/>
                <w:szCs w:val="18"/>
                <w:lang w:val="pt-BR"/>
              </w:rPr>
              <w:t>de</w:t>
            </w:r>
            <w:r w:rsidR="002D5586">
              <w:rPr>
                <w:sz w:val="18"/>
                <w:szCs w:val="18"/>
                <w:lang w:val="pt-BR"/>
              </w:rPr>
              <w:t xml:space="preserve"> </w:t>
            </w:r>
            <w:r w:rsidRPr="007F11E0">
              <w:rPr>
                <w:sz w:val="18"/>
                <w:szCs w:val="18"/>
                <w:lang w:val="pt-BR"/>
              </w:rPr>
              <w:t>Justicia</w:t>
            </w:r>
            <w:r w:rsidR="0007288C" w:rsidRPr="007F11E0">
              <w:rPr>
                <w:sz w:val="18"/>
                <w:szCs w:val="18"/>
                <w:lang w:val="pt-BR"/>
              </w:rPr>
              <w:t xml:space="preserve"> (CSJ)</w:t>
            </w:r>
          </w:p>
          <w:p w:rsidR="007B200A" w:rsidRPr="007F11E0" w:rsidRDefault="007B200A" w:rsidP="0007288C">
            <w:pPr>
              <w:rPr>
                <w:sz w:val="18"/>
                <w:szCs w:val="18"/>
                <w:lang w:val="pt-BR"/>
              </w:rPr>
            </w:pPr>
          </w:p>
          <w:p w:rsidR="007B200A" w:rsidRPr="00753705" w:rsidRDefault="002B4322" w:rsidP="00753705">
            <w:pPr>
              <w:rPr>
                <w:sz w:val="18"/>
                <w:szCs w:val="18"/>
                <w:lang w:val="es-ES"/>
              </w:rPr>
            </w:pPr>
            <w:r w:rsidRPr="00753705">
              <w:rPr>
                <w:sz w:val="18"/>
                <w:szCs w:val="18"/>
                <w:lang w:val="es-ES"/>
              </w:rPr>
              <w:t>[</w:t>
            </w:r>
            <w:r w:rsidR="00753705" w:rsidRPr="00753705">
              <w:rPr>
                <w:sz w:val="18"/>
                <w:szCs w:val="18"/>
                <w:lang w:val="es-ES"/>
              </w:rPr>
              <w:t>Poder Judicial</w:t>
            </w:r>
            <w:r w:rsidRPr="00753705">
              <w:rPr>
                <w:sz w:val="18"/>
                <w:szCs w:val="18"/>
                <w:lang w:val="es-ES"/>
              </w:rPr>
              <w:t>]</w:t>
            </w:r>
          </w:p>
        </w:tc>
        <w:tc>
          <w:tcPr>
            <w:tcW w:w="4111" w:type="dxa"/>
            <w:shd w:val="clear" w:color="auto" w:fill="auto"/>
          </w:tcPr>
          <w:p w:rsidR="0007288C" w:rsidRPr="0068151A" w:rsidRDefault="00903C43" w:rsidP="00F91221">
            <w:pPr>
              <w:numPr>
                <w:ilvl w:val="0"/>
                <w:numId w:val="38"/>
              </w:numPr>
              <w:ind w:left="121"/>
              <w:contextualSpacing/>
              <w:rPr>
                <w:sz w:val="18"/>
                <w:szCs w:val="18"/>
                <w:lang w:val="es-ES"/>
              </w:rPr>
            </w:pPr>
            <w:r w:rsidRPr="0068151A">
              <w:rPr>
                <w:sz w:val="18"/>
                <w:szCs w:val="18"/>
                <w:lang w:val="es-ES"/>
              </w:rPr>
              <w:t>Ley</w:t>
            </w:r>
            <w:r w:rsidR="0007288C" w:rsidRPr="0068151A">
              <w:rPr>
                <w:sz w:val="18"/>
                <w:szCs w:val="18"/>
                <w:lang w:val="es-ES"/>
              </w:rPr>
              <w:t xml:space="preserve"> 968 </w:t>
            </w:r>
            <w:r w:rsidRPr="0068151A">
              <w:rPr>
                <w:sz w:val="18"/>
                <w:szCs w:val="18"/>
                <w:lang w:val="es-ES"/>
              </w:rPr>
              <w:t>de</w:t>
            </w:r>
            <w:r w:rsidR="0007288C" w:rsidRPr="0068151A">
              <w:rPr>
                <w:sz w:val="18"/>
                <w:szCs w:val="18"/>
                <w:lang w:val="es-ES"/>
              </w:rPr>
              <w:t xml:space="preserve"> 2009 “</w:t>
            </w:r>
            <w:r w:rsidRPr="0068151A">
              <w:rPr>
                <w:sz w:val="18"/>
                <w:szCs w:val="18"/>
                <w:lang w:val="es-ES"/>
              </w:rPr>
              <w:t>Ley</w:t>
            </w:r>
            <w:r w:rsidR="00753705" w:rsidRPr="0068151A">
              <w:rPr>
                <w:sz w:val="18"/>
                <w:szCs w:val="18"/>
                <w:lang w:val="es-ES"/>
              </w:rPr>
              <w:t xml:space="preserve"> General del Registro Público</w:t>
            </w:r>
            <w:r w:rsidR="0007288C" w:rsidRPr="0068151A">
              <w:rPr>
                <w:sz w:val="18"/>
                <w:szCs w:val="18"/>
                <w:lang w:val="es-ES"/>
              </w:rPr>
              <w:t>”</w:t>
            </w:r>
          </w:p>
          <w:p w:rsidR="0007288C" w:rsidRPr="0068151A" w:rsidRDefault="00903C43" w:rsidP="00F91221">
            <w:pPr>
              <w:numPr>
                <w:ilvl w:val="0"/>
                <w:numId w:val="38"/>
              </w:numPr>
              <w:ind w:left="121"/>
              <w:contextualSpacing/>
              <w:rPr>
                <w:sz w:val="18"/>
                <w:szCs w:val="18"/>
                <w:lang w:val="es-ES"/>
              </w:rPr>
            </w:pPr>
            <w:r w:rsidRPr="0068151A">
              <w:rPr>
                <w:sz w:val="18"/>
                <w:szCs w:val="18"/>
                <w:lang w:val="es-ES"/>
              </w:rPr>
              <w:t>Ley</w:t>
            </w:r>
            <w:r w:rsidR="0007288C" w:rsidRPr="0068151A">
              <w:rPr>
                <w:sz w:val="18"/>
                <w:szCs w:val="18"/>
                <w:lang w:val="es-ES"/>
              </w:rPr>
              <w:t xml:space="preserve"> 260 </w:t>
            </w:r>
            <w:r w:rsidRPr="0068151A">
              <w:rPr>
                <w:sz w:val="18"/>
                <w:szCs w:val="18"/>
                <w:lang w:val="es-ES"/>
              </w:rPr>
              <w:t>de</w:t>
            </w:r>
            <w:r w:rsidR="00FD5BF7" w:rsidRPr="0068151A">
              <w:rPr>
                <w:sz w:val="18"/>
                <w:szCs w:val="18"/>
                <w:lang w:val="es-ES"/>
              </w:rPr>
              <w:t xml:space="preserve"> 1998 “</w:t>
            </w:r>
            <w:r w:rsidRPr="0068151A">
              <w:rPr>
                <w:sz w:val="18"/>
                <w:szCs w:val="18"/>
                <w:lang w:val="es-ES"/>
              </w:rPr>
              <w:t>Ley</w:t>
            </w:r>
            <w:r w:rsidR="00753705" w:rsidRPr="0068151A">
              <w:rPr>
                <w:sz w:val="18"/>
                <w:szCs w:val="18"/>
                <w:lang w:val="es-ES"/>
              </w:rPr>
              <w:t xml:space="preserve"> Orgánica del Poder Judicial</w:t>
            </w:r>
            <w:r w:rsidR="0007288C" w:rsidRPr="0068151A">
              <w:rPr>
                <w:sz w:val="18"/>
                <w:szCs w:val="18"/>
                <w:lang w:val="es-ES"/>
              </w:rPr>
              <w:t>”</w:t>
            </w:r>
          </w:p>
          <w:p w:rsidR="0007288C" w:rsidRPr="0068151A" w:rsidRDefault="00903C43" w:rsidP="00F91221">
            <w:pPr>
              <w:numPr>
                <w:ilvl w:val="0"/>
                <w:numId w:val="38"/>
              </w:numPr>
              <w:ind w:left="121"/>
              <w:contextualSpacing/>
              <w:rPr>
                <w:sz w:val="18"/>
                <w:szCs w:val="18"/>
                <w:lang w:val="es-ES"/>
              </w:rPr>
            </w:pPr>
            <w:r w:rsidRPr="0068151A">
              <w:rPr>
                <w:sz w:val="18"/>
                <w:szCs w:val="18"/>
                <w:lang w:val="es-ES"/>
              </w:rPr>
              <w:t>Decreto</w:t>
            </w:r>
            <w:r w:rsidR="0007288C" w:rsidRPr="0068151A">
              <w:rPr>
                <w:sz w:val="18"/>
                <w:szCs w:val="18"/>
                <w:lang w:val="es-ES"/>
              </w:rPr>
              <w:t xml:space="preserve"> 71 </w:t>
            </w:r>
            <w:r w:rsidRPr="0068151A">
              <w:rPr>
                <w:sz w:val="18"/>
                <w:szCs w:val="18"/>
                <w:lang w:val="es-ES"/>
              </w:rPr>
              <w:t>de</w:t>
            </w:r>
            <w:r w:rsidR="0007288C" w:rsidRPr="0068151A">
              <w:rPr>
                <w:sz w:val="18"/>
                <w:szCs w:val="18"/>
                <w:lang w:val="es-ES"/>
              </w:rPr>
              <w:t xml:space="preserve"> 1998 “Reg</w:t>
            </w:r>
            <w:r w:rsidR="00FD5BF7" w:rsidRPr="0068151A">
              <w:rPr>
                <w:sz w:val="18"/>
                <w:szCs w:val="18"/>
                <w:lang w:val="es-ES"/>
              </w:rPr>
              <w:t xml:space="preserve">lamento de la </w:t>
            </w:r>
            <w:r w:rsidRPr="0068151A">
              <w:rPr>
                <w:sz w:val="18"/>
                <w:szCs w:val="18"/>
                <w:lang w:val="es-ES"/>
              </w:rPr>
              <w:t>Ley</w:t>
            </w:r>
            <w:r w:rsidR="0007288C" w:rsidRPr="0068151A">
              <w:rPr>
                <w:sz w:val="18"/>
                <w:szCs w:val="18"/>
                <w:lang w:val="es-ES"/>
              </w:rPr>
              <w:t xml:space="preserve"> 290 </w:t>
            </w:r>
            <w:r w:rsidRPr="0068151A">
              <w:rPr>
                <w:sz w:val="18"/>
                <w:szCs w:val="18"/>
                <w:lang w:val="es-ES"/>
              </w:rPr>
              <w:t>de</w:t>
            </w:r>
            <w:r w:rsidR="0007288C" w:rsidRPr="0068151A">
              <w:rPr>
                <w:sz w:val="18"/>
                <w:szCs w:val="18"/>
                <w:lang w:val="es-ES"/>
              </w:rPr>
              <w:t xml:space="preserve"> 1998”</w:t>
            </w:r>
          </w:p>
          <w:p w:rsidR="0007288C" w:rsidRPr="0068151A" w:rsidRDefault="00903C43" w:rsidP="00F91221">
            <w:pPr>
              <w:numPr>
                <w:ilvl w:val="0"/>
                <w:numId w:val="38"/>
              </w:numPr>
              <w:ind w:left="121"/>
              <w:contextualSpacing/>
              <w:rPr>
                <w:sz w:val="18"/>
                <w:szCs w:val="18"/>
                <w:lang w:val="es-ES"/>
              </w:rPr>
            </w:pPr>
            <w:r w:rsidRPr="0068151A">
              <w:rPr>
                <w:sz w:val="18"/>
                <w:szCs w:val="18"/>
                <w:lang w:val="es-ES"/>
              </w:rPr>
              <w:t>Decreto</w:t>
            </w:r>
            <w:r w:rsidR="0007288C" w:rsidRPr="0068151A">
              <w:rPr>
                <w:sz w:val="18"/>
                <w:szCs w:val="18"/>
                <w:lang w:val="es-ES"/>
              </w:rPr>
              <w:t xml:space="preserve"> 77 </w:t>
            </w:r>
            <w:r w:rsidRPr="0068151A">
              <w:rPr>
                <w:sz w:val="18"/>
                <w:szCs w:val="18"/>
                <w:lang w:val="es-ES"/>
              </w:rPr>
              <w:t>de</w:t>
            </w:r>
            <w:r w:rsidR="0007288C" w:rsidRPr="0068151A">
              <w:rPr>
                <w:sz w:val="18"/>
                <w:szCs w:val="18"/>
                <w:lang w:val="es-ES"/>
              </w:rPr>
              <w:t xml:space="preserve"> 2000 “</w:t>
            </w:r>
            <w:r w:rsidR="00BE2219" w:rsidRPr="0068151A">
              <w:rPr>
                <w:sz w:val="18"/>
                <w:szCs w:val="18"/>
                <w:lang w:val="es-ES"/>
              </w:rPr>
              <w:t xml:space="preserve">Reglamento </w:t>
            </w:r>
            <w:r w:rsidR="0007288C" w:rsidRPr="0068151A">
              <w:rPr>
                <w:sz w:val="18"/>
                <w:szCs w:val="18"/>
                <w:lang w:val="es-ES"/>
              </w:rPr>
              <w:t>Operativ</w:t>
            </w:r>
            <w:r w:rsidR="00BE2219" w:rsidRPr="0068151A">
              <w:rPr>
                <w:sz w:val="18"/>
                <w:szCs w:val="18"/>
                <w:lang w:val="es-ES"/>
              </w:rPr>
              <w:t xml:space="preserve">o de la Dirección de </w:t>
            </w:r>
            <w:r w:rsidR="00FF52DD" w:rsidRPr="0068151A">
              <w:rPr>
                <w:sz w:val="18"/>
                <w:szCs w:val="18"/>
                <w:lang w:val="es-ES"/>
              </w:rPr>
              <w:t xml:space="preserve">Resolución </w:t>
            </w:r>
            <w:r w:rsidR="00BE2219" w:rsidRPr="0068151A">
              <w:rPr>
                <w:sz w:val="18"/>
                <w:szCs w:val="18"/>
                <w:lang w:val="es-ES"/>
              </w:rPr>
              <w:t xml:space="preserve">Alterna </w:t>
            </w:r>
            <w:r w:rsidR="00FF52DD" w:rsidRPr="0068151A">
              <w:rPr>
                <w:sz w:val="18"/>
                <w:szCs w:val="18"/>
                <w:lang w:val="es-ES"/>
              </w:rPr>
              <w:t xml:space="preserve">de </w:t>
            </w:r>
            <w:r w:rsidR="00BE2219" w:rsidRPr="0068151A">
              <w:rPr>
                <w:sz w:val="18"/>
                <w:szCs w:val="18"/>
                <w:lang w:val="es-ES"/>
              </w:rPr>
              <w:t>C</w:t>
            </w:r>
            <w:r w:rsidR="00FF52DD" w:rsidRPr="0068151A">
              <w:rPr>
                <w:sz w:val="18"/>
                <w:szCs w:val="18"/>
                <w:lang w:val="es-ES"/>
              </w:rPr>
              <w:t>onflictos</w:t>
            </w:r>
            <w:r w:rsidR="0007288C" w:rsidRPr="0068151A">
              <w:rPr>
                <w:sz w:val="18"/>
                <w:szCs w:val="18"/>
                <w:lang w:val="es-ES"/>
              </w:rPr>
              <w:t xml:space="preserve"> (DIRAC)”</w:t>
            </w:r>
          </w:p>
        </w:tc>
        <w:tc>
          <w:tcPr>
            <w:tcW w:w="3460" w:type="dxa"/>
            <w:shd w:val="clear" w:color="auto" w:fill="auto"/>
          </w:tcPr>
          <w:p w:rsidR="0007288C" w:rsidRPr="0068151A" w:rsidRDefault="0007288C" w:rsidP="00F91221">
            <w:pPr>
              <w:numPr>
                <w:ilvl w:val="0"/>
                <w:numId w:val="38"/>
              </w:numPr>
              <w:ind w:left="176"/>
              <w:contextualSpacing/>
              <w:rPr>
                <w:sz w:val="18"/>
                <w:szCs w:val="18"/>
                <w:lang w:val="es-ES"/>
              </w:rPr>
            </w:pPr>
            <w:r w:rsidRPr="0068151A">
              <w:rPr>
                <w:sz w:val="18"/>
                <w:szCs w:val="18"/>
                <w:lang w:val="es-ES"/>
              </w:rPr>
              <w:t>Coordina</w:t>
            </w:r>
            <w:r w:rsidR="00062185" w:rsidRPr="0068151A">
              <w:rPr>
                <w:sz w:val="18"/>
                <w:szCs w:val="18"/>
                <w:lang w:val="es-ES"/>
              </w:rPr>
              <w:t xml:space="preserve"> y maneja el Sistema Nacional de Registros</w:t>
            </w:r>
            <w:r w:rsidRPr="0068151A">
              <w:rPr>
                <w:sz w:val="18"/>
                <w:szCs w:val="18"/>
                <w:lang w:val="es-ES"/>
              </w:rPr>
              <w:t>.</w:t>
            </w:r>
          </w:p>
          <w:p w:rsidR="00062185" w:rsidRPr="0068151A" w:rsidRDefault="00062185" w:rsidP="00F91221">
            <w:pPr>
              <w:numPr>
                <w:ilvl w:val="0"/>
                <w:numId w:val="38"/>
              </w:numPr>
              <w:ind w:left="176"/>
              <w:contextualSpacing/>
              <w:rPr>
                <w:sz w:val="18"/>
                <w:szCs w:val="18"/>
                <w:lang w:val="es-ES"/>
              </w:rPr>
            </w:pPr>
            <w:r w:rsidRPr="0068151A">
              <w:rPr>
                <w:sz w:val="18"/>
                <w:szCs w:val="18"/>
                <w:lang w:val="es-ES"/>
              </w:rPr>
              <w:t xml:space="preserve">Maneja y supervisa el funcionamiento del registro de la propiedad, descentralizado a través de las </w:t>
            </w:r>
            <w:r w:rsidR="00F93B4B" w:rsidRPr="0068151A">
              <w:rPr>
                <w:sz w:val="18"/>
                <w:szCs w:val="18"/>
                <w:lang w:val="es-ES"/>
              </w:rPr>
              <w:t>oficinas</w:t>
            </w:r>
            <w:r w:rsidRPr="0068151A">
              <w:rPr>
                <w:sz w:val="18"/>
                <w:szCs w:val="18"/>
                <w:lang w:val="es-ES"/>
              </w:rPr>
              <w:t xml:space="preserve"> regionales</w:t>
            </w:r>
          </w:p>
          <w:p w:rsidR="0007288C" w:rsidRPr="0068151A" w:rsidRDefault="00F93B4B" w:rsidP="00F91221">
            <w:pPr>
              <w:numPr>
                <w:ilvl w:val="0"/>
                <w:numId w:val="38"/>
              </w:numPr>
              <w:ind w:left="176"/>
              <w:contextualSpacing/>
              <w:rPr>
                <w:sz w:val="18"/>
                <w:szCs w:val="18"/>
                <w:lang w:val="es-ES"/>
              </w:rPr>
            </w:pPr>
            <w:r w:rsidRPr="0068151A">
              <w:rPr>
                <w:sz w:val="18"/>
                <w:szCs w:val="18"/>
                <w:lang w:val="es-ES"/>
              </w:rPr>
              <w:t xml:space="preserve">Desarrollo y aplicación de la resolución alterna de conflictos a través de la </w:t>
            </w:r>
            <w:r w:rsidR="0007288C" w:rsidRPr="0068151A">
              <w:rPr>
                <w:sz w:val="18"/>
                <w:szCs w:val="18"/>
                <w:lang w:val="es-ES"/>
              </w:rPr>
              <w:t>DIRAC</w:t>
            </w:r>
          </w:p>
          <w:p w:rsidR="0007288C" w:rsidRPr="0068151A" w:rsidRDefault="0007288C" w:rsidP="00E73AE9">
            <w:pPr>
              <w:jc w:val="both"/>
              <w:rPr>
                <w:sz w:val="18"/>
                <w:szCs w:val="18"/>
                <w:lang w:val="es-ES"/>
              </w:rPr>
            </w:pPr>
          </w:p>
        </w:tc>
      </w:tr>
      <w:tr w:rsidR="0007288C" w:rsidRPr="009F3769" w:rsidTr="00665F61">
        <w:trPr>
          <w:jc w:val="center"/>
        </w:trPr>
        <w:tc>
          <w:tcPr>
            <w:tcW w:w="1897" w:type="dxa"/>
            <w:shd w:val="clear" w:color="auto" w:fill="auto"/>
          </w:tcPr>
          <w:p w:rsidR="0007288C" w:rsidRPr="00602EA6" w:rsidRDefault="009335AA" w:rsidP="0007288C">
            <w:pPr>
              <w:rPr>
                <w:sz w:val="18"/>
                <w:szCs w:val="18"/>
                <w:lang w:val="es-ES"/>
              </w:rPr>
            </w:pPr>
            <w:r w:rsidRPr="00602EA6">
              <w:rPr>
                <w:sz w:val="18"/>
                <w:szCs w:val="18"/>
                <w:lang w:val="es-ES"/>
              </w:rPr>
              <w:t xml:space="preserve">Instituto Nicaragüense de Estudios </w:t>
            </w:r>
            <w:r w:rsidR="0007288C" w:rsidRPr="00602EA6">
              <w:rPr>
                <w:sz w:val="18"/>
                <w:szCs w:val="18"/>
                <w:lang w:val="es-ES"/>
              </w:rPr>
              <w:t>Territorial              (INETER)</w:t>
            </w:r>
          </w:p>
          <w:p w:rsidR="0007288C" w:rsidRPr="00602EA6" w:rsidRDefault="0007288C" w:rsidP="0007288C">
            <w:pPr>
              <w:rPr>
                <w:sz w:val="18"/>
                <w:szCs w:val="18"/>
                <w:lang w:val="es-ES"/>
              </w:rPr>
            </w:pPr>
          </w:p>
          <w:p w:rsidR="007B200A" w:rsidRPr="00602EA6" w:rsidRDefault="007B200A" w:rsidP="0007288C">
            <w:pPr>
              <w:rPr>
                <w:sz w:val="18"/>
                <w:szCs w:val="18"/>
                <w:lang w:val="es-ES"/>
              </w:rPr>
            </w:pPr>
          </w:p>
          <w:p w:rsidR="007B200A" w:rsidRPr="00602EA6" w:rsidRDefault="002B4322" w:rsidP="00344A1B">
            <w:pPr>
              <w:rPr>
                <w:sz w:val="18"/>
                <w:szCs w:val="18"/>
                <w:lang w:val="es-ES"/>
              </w:rPr>
            </w:pPr>
            <w:r w:rsidRPr="00602EA6">
              <w:rPr>
                <w:sz w:val="18"/>
                <w:szCs w:val="18"/>
                <w:lang w:val="es-ES"/>
              </w:rPr>
              <w:t>[</w:t>
            </w:r>
            <w:r w:rsidR="009335AA" w:rsidRPr="00602EA6">
              <w:rPr>
                <w:sz w:val="18"/>
                <w:szCs w:val="18"/>
                <w:lang w:val="es-ES"/>
              </w:rPr>
              <w:t>Ente d</w:t>
            </w:r>
            <w:r w:rsidR="007B200A" w:rsidRPr="00602EA6">
              <w:rPr>
                <w:sz w:val="18"/>
                <w:szCs w:val="18"/>
                <w:lang w:val="es-ES"/>
              </w:rPr>
              <w:t>e</w:t>
            </w:r>
            <w:r w:rsidR="009335AA" w:rsidRPr="00602EA6">
              <w:rPr>
                <w:sz w:val="18"/>
                <w:szCs w:val="18"/>
                <w:lang w:val="es-ES"/>
              </w:rPr>
              <w:t>s</w:t>
            </w:r>
            <w:r w:rsidR="007B200A" w:rsidRPr="00602EA6">
              <w:rPr>
                <w:sz w:val="18"/>
                <w:szCs w:val="18"/>
                <w:lang w:val="es-ES"/>
              </w:rPr>
              <w:t>centraliz</w:t>
            </w:r>
            <w:r w:rsidR="009335AA" w:rsidRPr="00602EA6">
              <w:rPr>
                <w:sz w:val="18"/>
                <w:szCs w:val="18"/>
                <w:lang w:val="es-ES"/>
              </w:rPr>
              <w:t xml:space="preserve">ado </w:t>
            </w:r>
            <w:r w:rsidR="00344A1B">
              <w:rPr>
                <w:sz w:val="18"/>
                <w:szCs w:val="18"/>
                <w:lang w:val="es-ES"/>
              </w:rPr>
              <w:t>dependiente</w:t>
            </w:r>
            <w:r w:rsidR="00602EA6" w:rsidRPr="00602EA6">
              <w:rPr>
                <w:sz w:val="18"/>
                <w:szCs w:val="18"/>
                <w:lang w:val="es-ES"/>
              </w:rPr>
              <w:t xml:space="preserve"> a la </w:t>
            </w:r>
            <w:r w:rsidR="007B200A" w:rsidRPr="00602EA6">
              <w:rPr>
                <w:sz w:val="18"/>
                <w:szCs w:val="18"/>
                <w:lang w:val="es-ES"/>
              </w:rPr>
              <w:t>Presidenc</w:t>
            </w:r>
            <w:r w:rsidR="00602EA6" w:rsidRPr="00602EA6">
              <w:rPr>
                <w:sz w:val="18"/>
                <w:szCs w:val="18"/>
                <w:lang w:val="es-ES"/>
              </w:rPr>
              <w:t>ia</w:t>
            </w:r>
            <w:r w:rsidRPr="00602EA6">
              <w:rPr>
                <w:sz w:val="18"/>
                <w:szCs w:val="18"/>
                <w:lang w:val="es-ES"/>
              </w:rPr>
              <w:t>]</w:t>
            </w:r>
          </w:p>
        </w:tc>
        <w:tc>
          <w:tcPr>
            <w:tcW w:w="4111" w:type="dxa"/>
            <w:shd w:val="clear" w:color="auto" w:fill="auto"/>
          </w:tcPr>
          <w:p w:rsidR="001155F0" w:rsidRPr="0068151A" w:rsidRDefault="00903C43" w:rsidP="00F91221">
            <w:pPr>
              <w:numPr>
                <w:ilvl w:val="0"/>
                <w:numId w:val="38"/>
              </w:numPr>
              <w:ind w:left="176"/>
              <w:contextualSpacing/>
              <w:rPr>
                <w:sz w:val="18"/>
                <w:szCs w:val="18"/>
                <w:lang w:val="es-ES"/>
              </w:rPr>
            </w:pPr>
            <w:r w:rsidRPr="0068151A">
              <w:rPr>
                <w:sz w:val="18"/>
                <w:szCs w:val="18"/>
                <w:lang w:val="es-ES"/>
              </w:rPr>
              <w:t>Ley</w:t>
            </w:r>
            <w:r w:rsidR="001155F0" w:rsidRPr="0068151A">
              <w:rPr>
                <w:sz w:val="18"/>
                <w:szCs w:val="18"/>
                <w:lang w:val="es-ES"/>
              </w:rPr>
              <w:t xml:space="preserve"> 825 </w:t>
            </w:r>
            <w:r w:rsidRPr="0068151A">
              <w:rPr>
                <w:sz w:val="18"/>
                <w:szCs w:val="18"/>
                <w:lang w:val="es-ES"/>
              </w:rPr>
              <w:t>de</w:t>
            </w:r>
            <w:r w:rsidR="001155F0" w:rsidRPr="0068151A">
              <w:rPr>
                <w:sz w:val="18"/>
                <w:szCs w:val="18"/>
                <w:lang w:val="es-ES"/>
              </w:rPr>
              <w:t xml:space="preserve"> 2013 “Reform</w:t>
            </w:r>
            <w:r w:rsidR="00BE2219" w:rsidRPr="0068151A">
              <w:rPr>
                <w:sz w:val="18"/>
                <w:szCs w:val="18"/>
                <w:lang w:val="es-ES"/>
              </w:rPr>
              <w:t>a</w:t>
            </w:r>
            <w:r w:rsidR="002D5586">
              <w:rPr>
                <w:sz w:val="18"/>
                <w:szCs w:val="18"/>
                <w:lang w:val="es-ES"/>
              </w:rPr>
              <w:t xml:space="preserve"> </w:t>
            </w:r>
            <w:r w:rsidR="00BE2219" w:rsidRPr="0068151A">
              <w:rPr>
                <w:sz w:val="18"/>
                <w:szCs w:val="18"/>
                <w:lang w:val="es-ES"/>
              </w:rPr>
              <w:t>de la</w:t>
            </w:r>
            <w:r w:rsidR="002D5586">
              <w:rPr>
                <w:sz w:val="18"/>
                <w:szCs w:val="18"/>
                <w:lang w:val="es-ES"/>
              </w:rPr>
              <w:t xml:space="preserve"> </w:t>
            </w:r>
            <w:r w:rsidRPr="0068151A">
              <w:rPr>
                <w:sz w:val="18"/>
                <w:szCs w:val="18"/>
                <w:lang w:val="es-ES"/>
              </w:rPr>
              <w:t>Ley</w:t>
            </w:r>
            <w:r w:rsidR="001155F0" w:rsidRPr="0068151A">
              <w:rPr>
                <w:sz w:val="18"/>
                <w:szCs w:val="18"/>
                <w:lang w:val="es-ES"/>
              </w:rPr>
              <w:t xml:space="preserve"> 311”</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509 </w:t>
            </w:r>
            <w:r w:rsidRPr="0068151A">
              <w:rPr>
                <w:sz w:val="18"/>
                <w:szCs w:val="18"/>
                <w:lang w:val="es-ES"/>
              </w:rPr>
              <w:t>de</w:t>
            </w:r>
            <w:r w:rsidR="0007288C" w:rsidRPr="0068151A">
              <w:rPr>
                <w:sz w:val="18"/>
                <w:szCs w:val="18"/>
                <w:lang w:val="es-ES"/>
              </w:rPr>
              <w:t xml:space="preserve"> 2004 “</w:t>
            </w:r>
            <w:r w:rsidR="00BE2219" w:rsidRPr="0068151A">
              <w:rPr>
                <w:sz w:val="18"/>
                <w:szCs w:val="18"/>
                <w:lang w:val="es-ES"/>
              </w:rPr>
              <w:t xml:space="preserve">Ley </w:t>
            </w:r>
            <w:r w:rsidR="005F76D7" w:rsidRPr="0068151A">
              <w:rPr>
                <w:sz w:val="18"/>
                <w:szCs w:val="18"/>
                <w:lang w:val="es-ES"/>
              </w:rPr>
              <w:t xml:space="preserve">General </w:t>
            </w:r>
            <w:r w:rsidR="00BE2219" w:rsidRPr="0068151A">
              <w:rPr>
                <w:sz w:val="18"/>
                <w:szCs w:val="18"/>
                <w:lang w:val="es-ES"/>
              </w:rPr>
              <w:t>del Catastro</w:t>
            </w:r>
            <w:r w:rsidR="005F76D7" w:rsidRPr="0068151A">
              <w:rPr>
                <w:sz w:val="18"/>
                <w:szCs w:val="18"/>
                <w:lang w:val="es-ES"/>
              </w:rPr>
              <w:t xml:space="preserve"> Na</w:t>
            </w:r>
            <w:r w:rsidR="00BE2219" w:rsidRPr="0068151A">
              <w:rPr>
                <w:sz w:val="18"/>
                <w:szCs w:val="18"/>
                <w:lang w:val="es-ES"/>
              </w:rPr>
              <w:t>c</w:t>
            </w:r>
            <w:r w:rsidR="005F76D7" w:rsidRPr="0068151A">
              <w:rPr>
                <w:sz w:val="18"/>
                <w:szCs w:val="18"/>
                <w:lang w:val="es-ES"/>
              </w:rPr>
              <w:t>ional</w:t>
            </w:r>
            <w:r w:rsidR="0007288C" w:rsidRPr="0068151A">
              <w:rPr>
                <w:sz w:val="18"/>
                <w:szCs w:val="18"/>
                <w:lang w:val="es-ES"/>
              </w:rPr>
              <w:t>”</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62 </w:t>
            </w:r>
            <w:r w:rsidRPr="0068151A">
              <w:rPr>
                <w:sz w:val="18"/>
                <w:szCs w:val="18"/>
                <w:lang w:val="es-ES"/>
              </w:rPr>
              <w:t>de</w:t>
            </w:r>
            <w:r w:rsidR="0007288C" w:rsidRPr="0068151A">
              <w:rPr>
                <w:sz w:val="18"/>
                <w:szCs w:val="18"/>
                <w:lang w:val="es-ES"/>
              </w:rPr>
              <w:t xml:space="preserve"> 2005 “</w:t>
            </w:r>
            <w:r w:rsidR="009C4838" w:rsidRPr="0068151A">
              <w:rPr>
                <w:sz w:val="18"/>
                <w:szCs w:val="18"/>
                <w:lang w:val="es-ES"/>
              </w:rPr>
              <w:t>Reglamento</w:t>
            </w:r>
            <w:r w:rsidR="002D5586">
              <w:rPr>
                <w:sz w:val="18"/>
                <w:szCs w:val="18"/>
                <w:lang w:val="es-ES"/>
              </w:rPr>
              <w:t xml:space="preserve"> </w:t>
            </w:r>
            <w:r w:rsidRPr="0068151A">
              <w:rPr>
                <w:sz w:val="18"/>
                <w:szCs w:val="18"/>
                <w:lang w:val="es-ES"/>
              </w:rPr>
              <w:t>de</w:t>
            </w:r>
            <w:r w:rsidR="002D5586">
              <w:rPr>
                <w:sz w:val="18"/>
                <w:szCs w:val="18"/>
                <w:lang w:val="es-ES"/>
              </w:rPr>
              <w:t xml:space="preserve"> </w:t>
            </w:r>
            <w:r w:rsidRPr="0068151A">
              <w:rPr>
                <w:sz w:val="18"/>
                <w:szCs w:val="18"/>
                <w:lang w:val="es-ES"/>
              </w:rPr>
              <w:t>ley</w:t>
            </w:r>
            <w:r w:rsidR="0007288C" w:rsidRPr="0068151A">
              <w:rPr>
                <w:sz w:val="18"/>
                <w:szCs w:val="18"/>
                <w:lang w:val="es-ES"/>
              </w:rPr>
              <w:t xml:space="preserve"> 509”</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311 </w:t>
            </w:r>
            <w:r w:rsidRPr="0068151A">
              <w:rPr>
                <w:sz w:val="18"/>
                <w:szCs w:val="18"/>
                <w:lang w:val="es-ES"/>
              </w:rPr>
              <w:t>de</w:t>
            </w:r>
            <w:r w:rsidR="0007288C" w:rsidRPr="0068151A">
              <w:rPr>
                <w:sz w:val="18"/>
                <w:szCs w:val="18"/>
                <w:lang w:val="es-ES"/>
              </w:rPr>
              <w:t xml:space="preserve"> 1999 “</w:t>
            </w:r>
            <w:r w:rsidR="009C4838" w:rsidRPr="0068151A">
              <w:rPr>
                <w:sz w:val="18"/>
                <w:szCs w:val="18"/>
                <w:lang w:val="es-ES"/>
              </w:rPr>
              <w:t>Ley orgánica de INETER</w:t>
            </w:r>
            <w:r w:rsidR="0007288C" w:rsidRPr="0068151A">
              <w:rPr>
                <w:sz w:val="18"/>
                <w:szCs w:val="18"/>
                <w:lang w:val="es-ES"/>
              </w:rPr>
              <w:t>”</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120 </w:t>
            </w:r>
            <w:r w:rsidRPr="0068151A">
              <w:rPr>
                <w:sz w:val="18"/>
                <w:szCs w:val="18"/>
                <w:lang w:val="es-ES"/>
              </w:rPr>
              <w:t>de</w:t>
            </w:r>
            <w:r w:rsidR="0007288C" w:rsidRPr="0068151A">
              <w:rPr>
                <w:sz w:val="18"/>
                <w:szCs w:val="18"/>
                <w:lang w:val="es-ES"/>
              </w:rPr>
              <w:t xml:space="preserve"> 1999 “</w:t>
            </w:r>
            <w:r w:rsidR="009C4838" w:rsidRPr="0068151A">
              <w:rPr>
                <w:sz w:val="18"/>
                <w:szCs w:val="18"/>
                <w:lang w:val="es-ES"/>
              </w:rPr>
              <w:t>Reglamento</w:t>
            </w:r>
            <w:r w:rsidR="002D5586">
              <w:rPr>
                <w:sz w:val="18"/>
                <w:szCs w:val="18"/>
                <w:lang w:val="es-ES"/>
              </w:rPr>
              <w:t xml:space="preserve"> </w:t>
            </w:r>
            <w:r w:rsidRPr="0068151A">
              <w:rPr>
                <w:sz w:val="18"/>
                <w:szCs w:val="18"/>
                <w:lang w:val="es-ES"/>
              </w:rPr>
              <w:t>de</w:t>
            </w:r>
            <w:r w:rsidR="002D5586">
              <w:rPr>
                <w:sz w:val="18"/>
                <w:szCs w:val="18"/>
                <w:lang w:val="es-ES"/>
              </w:rPr>
              <w:t xml:space="preserve"> </w:t>
            </w:r>
            <w:r w:rsidRPr="0068151A">
              <w:rPr>
                <w:sz w:val="18"/>
                <w:szCs w:val="18"/>
                <w:lang w:val="es-ES"/>
              </w:rPr>
              <w:t>Ley</w:t>
            </w:r>
            <w:r w:rsidR="0007288C" w:rsidRPr="0068151A">
              <w:rPr>
                <w:sz w:val="18"/>
                <w:szCs w:val="18"/>
                <w:lang w:val="es-ES"/>
              </w:rPr>
              <w:t xml:space="preserve"> 311 </w:t>
            </w:r>
            <w:r w:rsidRPr="0068151A">
              <w:rPr>
                <w:sz w:val="18"/>
                <w:szCs w:val="18"/>
                <w:lang w:val="es-ES"/>
              </w:rPr>
              <w:t>de</w:t>
            </w:r>
            <w:r w:rsidR="0007288C" w:rsidRPr="0068151A">
              <w:rPr>
                <w:sz w:val="18"/>
                <w:szCs w:val="18"/>
                <w:lang w:val="es-ES"/>
              </w:rPr>
              <w:t xml:space="preserve"> 1999”</w:t>
            </w:r>
          </w:p>
          <w:p w:rsidR="009335AA"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690 </w:t>
            </w:r>
            <w:r w:rsidRPr="0068151A">
              <w:rPr>
                <w:sz w:val="18"/>
                <w:szCs w:val="18"/>
                <w:lang w:val="es-ES"/>
              </w:rPr>
              <w:t>de</w:t>
            </w:r>
            <w:r w:rsidR="0007288C" w:rsidRPr="0068151A">
              <w:rPr>
                <w:sz w:val="18"/>
                <w:szCs w:val="18"/>
                <w:lang w:val="es-ES"/>
              </w:rPr>
              <w:t xml:space="preserve"> 2009 “</w:t>
            </w:r>
            <w:r w:rsidR="009335AA" w:rsidRPr="0068151A">
              <w:rPr>
                <w:sz w:val="18"/>
                <w:szCs w:val="18"/>
                <w:lang w:val="es-ES"/>
              </w:rPr>
              <w:t>Ley para el Desarrollo de las Zonas Costeras”</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445 </w:t>
            </w:r>
            <w:r w:rsidRPr="0068151A">
              <w:rPr>
                <w:sz w:val="18"/>
                <w:szCs w:val="18"/>
                <w:lang w:val="es-ES"/>
              </w:rPr>
              <w:t>de</w:t>
            </w:r>
            <w:r w:rsidR="0007288C" w:rsidRPr="0068151A">
              <w:rPr>
                <w:sz w:val="18"/>
                <w:szCs w:val="18"/>
                <w:lang w:val="es-ES"/>
              </w:rPr>
              <w:t xml:space="preserve"> 2002 “</w:t>
            </w:r>
            <w:r w:rsidR="009335AA" w:rsidRPr="0068151A">
              <w:rPr>
                <w:sz w:val="18"/>
                <w:szCs w:val="18"/>
                <w:lang w:val="es-ES"/>
              </w:rPr>
              <w:t>Ley del Régimen de la Propiedad Comunal de las Comunidades Indígena</w:t>
            </w:r>
            <w:r w:rsidR="0007288C" w:rsidRPr="0068151A">
              <w:rPr>
                <w:sz w:val="18"/>
                <w:szCs w:val="18"/>
                <w:lang w:val="es-ES"/>
              </w:rPr>
              <w:t>”</w:t>
            </w:r>
          </w:p>
        </w:tc>
        <w:tc>
          <w:tcPr>
            <w:tcW w:w="3460" w:type="dxa"/>
            <w:shd w:val="clear" w:color="auto" w:fill="auto"/>
          </w:tcPr>
          <w:p w:rsidR="00F93B4B" w:rsidRPr="0068151A" w:rsidRDefault="005F76D7" w:rsidP="00F91221">
            <w:pPr>
              <w:numPr>
                <w:ilvl w:val="0"/>
                <w:numId w:val="38"/>
              </w:numPr>
              <w:ind w:left="176"/>
              <w:contextualSpacing/>
              <w:rPr>
                <w:sz w:val="18"/>
                <w:szCs w:val="18"/>
                <w:lang w:val="es-ES"/>
              </w:rPr>
            </w:pPr>
            <w:r w:rsidRPr="0068151A">
              <w:rPr>
                <w:sz w:val="18"/>
                <w:szCs w:val="18"/>
                <w:lang w:val="es-ES"/>
              </w:rPr>
              <w:t>Ma</w:t>
            </w:r>
            <w:r w:rsidR="00F93B4B" w:rsidRPr="0068151A">
              <w:rPr>
                <w:sz w:val="18"/>
                <w:szCs w:val="18"/>
                <w:lang w:val="es-ES"/>
              </w:rPr>
              <w:t xml:space="preserve">neja el catastro nacional </w:t>
            </w:r>
          </w:p>
          <w:p w:rsidR="00F93B4B" w:rsidRPr="0068151A" w:rsidRDefault="00F93B4B" w:rsidP="00F91221">
            <w:pPr>
              <w:numPr>
                <w:ilvl w:val="0"/>
                <w:numId w:val="38"/>
              </w:numPr>
              <w:ind w:left="176"/>
              <w:contextualSpacing/>
              <w:rPr>
                <w:sz w:val="18"/>
                <w:szCs w:val="18"/>
                <w:lang w:val="es-ES"/>
              </w:rPr>
            </w:pPr>
            <w:r w:rsidRPr="0068151A">
              <w:rPr>
                <w:sz w:val="18"/>
                <w:szCs w:val="18"/>
                <w:lang w:val="es-ES"/>
              </w:rPr>
              <w:t>Diseña las políticas catastrales</w:t>
            </w:r>
          </w:p>
          <w:p w:rsidR="00F93B4B" w:rsidRPr="0068151A" w:rsidRDefault="00F93B4B" w:rsidP="00F91221">
            <w:pPr>
              <w:numPr>
                <w:ilvl w:val="0"/>
                <w:numId w:val="38"/>
              </w:numPr>
              <w:ind w:left="176"/>
              <w:contextualSpacing/>
              <w:rPr>
                <w:sz w:val="18"/>
                <w:szCs w:val="18"/>
                <w:lang w:val="es-ES"/>
              </w:rPr>
            </w:pPr>
            <w:r w:rsidRPr="0068151A">
              <w:rPr>
                <w:sz w:val="18"/>
                <w:szCs w:val="18"/>
                <w:lang w:val="es-ES"/>
              </w:rPr>
              <w:t>Consensua procedimientos para integrar la información catastral y registral</w:t>
            </w:r>
          </w:p>
          <w:p w:rsidR="00F93B4B" w:rsidRPr="0068151A" w:rsidRDefault="00F93B4B" w:rsidP="00F91221">
            <w:pPr>
              <w:numPr>
                <w:ilvl w:val="0"/>
                <w:numId w:val="38"/>
              </w:numPr>
              <w:ind w:left="176"/>
              <w:contextualSpacing/>
              <w:rPr>
                <w:sz w:val="18"/>
                <w:szCs w:val="18"/>
                <w:lang w:val="es-ES"/>
              </w:rPr>
            </w:pPr>
            <w:r w:rsidRPr="0068151A">
              <w:rPr>
                <w:sz w:val="18"/>
                <w:szCs w:val="18"/>
                <w:lang w:val="es-ES"/>
              </w:rPr>
              <w:t xml:space="preserve">Brinda asistencia técnica </w:t>
            </w:r>
          </w:p>
          <w:p w:rsidR="0007288C" w:rsidRPr="0068151A" w:rsidRDefault="00F93B4B" w:rsidP="00F91221">
            <w:pPr>
              <w:numPr>
                <w:ilvl w:val="0"/>
                <w:numId w:val="38"/>
              </w:numPr>
              <w:ind w:left="176"/>
              <w:contextualSpacing/>
              <w:rPr>
                <w:sz w:val="18"/>
                <w:szCs w:val="18"/>
                <w:lang w:val="es-ES"/>
              </w:rPr>
            </w:pPr>
            <w:r w:rsidRPr="0068151A">
              <w:rPr>
                <w:sz w:val="18"/>
                <w:szCs w:val="18"/>
                <w:lang w:val="es-ES"/>
              </w:rPr>
              <w:t>Demarca las áreas protegidas</w:t>
            </w:r>
            <w:r w:rsidR="00AC30D6" w:rsidRPr="0068151A">
              <w:rPr>
                <w:sz w:val="18"/>
                <w:szCs w:val="18"/>
                <w:lang w:val="es-ES"/>
              </w:rPr>
              <w:t>, las c</w:t>
            </w:r>
            <w:r w:rsidR="005709E1" w:rsidRPr="0068151A">
              <w:rPr>
                <w:sz w:val="18"/>
                <w:szCs w:val="18"/>
                <w:lang w:val="es-ES"/>
              </w:rPr>
              <w:t>omunidades indígenas</w:t>
            </w:r>
            <w:r w:rsidR="00AC30D6" w:rsidRPr="0068151A">
              <w:rPr>
                <w:sz w:val="18"/>
                <w:szCs w:val="18"/>
                <w:lang w:val="es-ES"/>
              </w:rPr>
              <w:t>, las zonas costeras y fronterizas nacionales</w:t>
            </w:r>
          </w:p>
        </w:tc>
      </w:tr>
      <w:tr w:rsidR="0007288C" w:rsidRPr="009F3769" w:rsidTr="00665F61">
        <w:trPr>
          <w:trHeight w:val="1736"/>
          <w:jc w:val="center"/>
        </w:trPr>
        <w:tc>
          <w:tcPr>
            <w:tcW w:w="1897" w:type="dxa"/>
            <w:shd w:val="clear" w:color="auto" w:fill="auto"/>
          </w:tcPr>
          <w:p w:rsidR="0007288C" w:rsidRPr="001D3C44" w:rsidRDefault="002D2A6D" w:rsidP="0007288C">
            <w:pPr>
              <w:rPr>
                <w:sz w:val="18"/>
                <w:szCs w:val="18"/>
                <w:lang w:val="es-ES"/>
              </w:rPr>
            </w:pPr>
            <w:r>
              <w:rPr>
                <w:sz w:val="18"/>
                <w:szCs w:val="18"/>
                <w:lang w:val="es-ES"/>
              </w:rPr>
              <w:t>Ministerio de Recursos Naturales y del Ambiente</w:t>
            </w:r>
            <w:r w:rsidR="0007288C" w:rsidRPr="001D3C44">
              <w:rPr>
                <w:sz w:val="18"/>
                <w:szCs w:val="18"/>
                <w:lang w:val="es-ES"/>
              </w:rPr>
              <w:t xml:space="preserve"> (MARENA)</w:t>
            </w:r>
          </w:p>
          <w:p w:rsidR="0007288C" w:rsidRPr="001D3C44" w:rsidRDefault="0007288C" w:rsidP="0007288C">
            <w:pPr>
              <w:rPr>
                <w:sz w:val="18"/>
                <w:szCs w:val="18"/>
                <w:lang w:val="es-ES"/>
              </w:rPr>
            </w:pPr>
          </w:p>
          <w:p w:rsidR="007B200A" w:rsidRPr="001D3C44" w:rsidRDefault="007B200A" w:rsidP="0007288C">
            <w:pPr>
              <w:rPr>
                <w:sz w:val="18"/>
                <w:szCs w:val="18"/>
                <w:lang w:val="es-ES"/>
              </w:rPr>
            </w:pPr>
          </w:p>
          <w:p w:rsidR="007B200A" w:rsidRPr="001D3C44" w:rsidRDefault="002B4322" w:rsidP="002D2A6D">
            <w:pPr>
              <w:rPr>
                <w:sz w:val="18"/>
                <w:szCs w:val="18"/>
                <w:lang w:val="es-ES"/>
              </w:rPr>
            </w:pPr>
            <w:r w:rsidRPr="001D3C44">
              <w:rPr>
                <w:sz w:val="18"/>
                <w:szCs w:val="18"/>
                <w:lang w:val="es-ES"/>
              </w:rPr>
              <w:t>[</w:t>
            </w:r>
            <w:r w:rsidR="002D2A6D">
              <w:rPr>
                <w:sz w:val="18"/>
                <w:szCs w:val="18"/>
                <w:lang w:val="es-ES"/>
              </w:rPr>
              <w:t>Ministerio dependiente del Poder Ejecutivo</w:t>
            </w:r>
            <w:r w:rsidRPr="001D3C44">
              <w:rPr>
                <w:sz w:val="18"/>
                <w:szCs w:val="18"/>
                <w:lang w:val="es-ES"/>
              </w:rPr>
              <w:t>]</w:t>
            </w:r>
          </w:p>
        </w:tc>
        <w:tc>
          <w:tcPr>
            <w:tcW w:w="4111" w:type="dxa"/>
            <w:shd w:val="clear" w:color="auto" w:fill="auto"/>
          </w:tcPr>
          <w:p w:rsidR="0007288C" w:rsidRPr="0068151A" w:rsidRDefault="00903C43" w:rsidP="00F91221">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1 </w:t>
            </w:r>
            <w:r w:rsidRPr="0068151A">
              <w:rPr>
                <w:sz w:val="18"/>
                <w:szCs w:val="18"/>
                <w:lang w:val="es-ES"/>
              </w:rPr>
              <w:t>de</w:t>
            </w:r>
            <w:r w:rsidR="0007288C" w:rsidRPr="0068151A">
              <w:rPr>
                <w:sz w:val="18"/>
                <w:szCs w:val="18"/>
                <w:lang w:val="es-ES"/>
              </w:rPr>
              <w:t xml:space="preserve"> 1994 “</w:t>
            </w:r>
            <w:r w:rsidR="00B0160C" w:rsidRPr="0068151A">
              <w:rPr>
                <w:sz w:val="18"/>
                <w:szCs w:val="18"/>
                <w:lang w:val="es-ES"/>
              </w:rPr>
              <w:t>Creación</w:t>
            </w:r>
            <w:r w:rsidR="002D5586">
              <w:rPr>
                <w:sz w:val="18"/>
                <w:szCs w:val="18"/>
                <w:lang w:val="es-ES"/>
              </w:rPr>
              <w:t xml:space="preserve"> </w:t>
            </w:r>
            <w:r w:rsidRPr="0068151A">
              <w:rPr>
                <w:sz w:val="18"/>
                <w:szCs w:val="18"/>
                <w:lang w:val="es-ES"/>
              </w:rPr>
              <w:t>de</w:t>
            </w:r>
            <w:r w:rsidR="00B0160C" w:rsidRPr="0068151A">
              <w:rPr>
                <w:sz w:val="18"/>
                <w:szCs w:val="18"/>
                <w:lang w:val="es-ES"/>
              </w:rPr>
              <w:t>l</w:t>
            </w:r>
            <w:r w:rsidR="002D5586">
              <w:rPr>
                <w:sz w:val="18"/>
                <w:szCs w:val="18"/>
                <w:lang w:val="es-ES"/>
              </w:rPr>
              <w:t xml:space="preserve"> </w:t>
            </w:r>
            <w:r w:rsidR="0007288C" w:rsidRPr="0068151A">
              <w:rPr>
                <w:sz w:val="18"/>
                <w:szCs w:val="18"/>
                <w:lang w:val="es-ES"/>
              </w:rPr>
              <w:t>MARENA”</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217 </w:t>
            </w:r>
            <w:r w:rsidRPr="0068151A">
              <w:rPr>
                <w:sz w:val="18"/>
                <w:szCs w:val="18"/>
                <w:lang w:val="es-ES"/>
              </w:rPr>
              <w:t>de</w:t>
            </w:r>
            <w:r w:rsidR="0007288C" w:rsidRPr="0068151A">
              <w:rPr>
                <w:sz w:val="18"/>
                <w:szCs w:val="18"/>
                <w:lang w:val="es-ES"/>
              </w:rPr>
              <w:t xml:space="preserve"> 1996 “</w:t>
            </w:r>
            <w:r w:rsidR="00B0160C" w:rsidRPr="0068151A">
              <w:rPr>
                <w:sz w:val="18"/>
                <w:szCs w:val="18"/>
                <w:lang w:val="es-ES"/>
              </w:rPr>
              <w:t>Ley General del Medio Ambiente</w:t>
            </w:r>
            <w:r w:rsidR="0007288C" w:rsidRPr="0068151A">
              <w:rPr>
                <w:sz w:val="18"/>
                <w:szCs w:val="18"/>
                <w:lang w:val="es-ES"/>
              </w:rPr>
              <w:t>”</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647 </w:t>
            </w:r>
            <w:r w:rsidRPr="0068151A">
              <w:rPr>
                <w:sz w:val="18"/>
                <w:szCs w:val="18"/>
                <w:lang w:val="es-ES"/>
              </w:rPr>
              <w:t>de</w:t>
            </w:r>
            <w:r w:rsidR="0007288C" w:rsidRPr="0068151A">
              <w:rPr>
                <w:sz w:val="18"/>
                <w:szCs w:val="18"/>
                <w:lang w:val="es-ES"/>
              </w:rPr>
              <w:t xml:space="preserve"> 2008 “Reform</w:t>
            </w:r>
            <w:r w:rsidR="00B0160C" w:rsidRPr="0068151A">
              <w:rPr>
                <w:sz w:val="18"/>
                <w:szCs w:val="18"/>
                <w:lang w:val="es-ES"/>
              </w:rPr>
              <w:t>a</w:t>
            </w:r>
            <w:r w:rsidR="0007288C" w:rsidRPr="0068151A">
              <w:rPr>
                <w:sz w:val="18"/>
                <w:szCs w:val="18"/>
                <w:lang w:val="es-ES"/>
              </w:rPr>
              <w:t>s &amp; Adi</w:t>
            </w:r>
            <w:r w:rsidR="00B0160C" w:rsidRPr="0068151A">
              <w:rPr>
                <w:sz w:val="18"/>
                <w:szCs w:val="18"/>
                <w:lang w:val="es-ES"/>
              </w:rPr>
              <w:t>c</w:t>
            </w:r>
            <w:r w:rsidR="0007288C" w:rsidRPr="0068151A">
              <w:rPr>
                <w:sz w:val="18"/>
                <w:szCs w:val="18"/>
                <w:lang w:val="es-ES"/>
              </w:rPr>
              <w:t>ion</w:t>
            </w:r>
            <w:r w:rsidR="00B0160C" w:rsidRPr="0068151A">
              <w:rPr>
                <w:sz w:val="18"/>
                <w:szCs w:val="18"/>
                <w:lang w:val="es-ES"/>
              </w:rPr>
              <w:t>e</w:t>
            </w:r>
            <w:r w:rsidR="0007288C" w:rsidRPr="0068151A">
              <w:rPr>
                <w:sz w:val="18"/>
                <w:szCs w:val="18"/>
                <w:lang w:val="es-ES"/>
              </w:rPr>
              <w:t xml:space="preserve">s” </w:t>
            </w:r>
            <w:r w:rsidR="00B0160C" w:rsidRPr="0068151A">
              <w:rPr>
                <w:sz w:val="18"/>
                <w:szCs w:val="18"/>
                <w:lang w:val="es-ES"/>
              </w:rPr>
              <w:t xml:space="preserve">a la </w:t>
            </w:r>
            <w:r w:rsidRPr="0068151A">
              <w:rPr>
                <w:sz w:val="18"/>
                <w:szCs w:val="18"/>
                <w:lang w:val="es-ES"/>
              </w:rPr>
              <w:t>Ley</w:t>
            </w:r>
            <w:r w:rsidR="0007288C" w:rsidRPr="0068151A">
              <w:rPr>
                <w:sz w:val="18"/>
                <w:szCs w:val="18"/>
                <w:lang w:val="es-ES"/>
              </w:rPr>
              <w:t xml:space="preserve"> 217 </w:t>
            </w:r>
            <w:r w:rsidRPr="0068151A">
              <w:rPr>
                <w:sz w:val="18"/>
                <w:szCs w:val="18"/>
                <w:lang w:val="es-ES"/>
              </w:rPr>
              <w:t>de</w:t>
            </w:r>
            <w:r w:rsidR="0007288C" w:rsidRPr="0068151A">
              <w:rPr>
                <w:sz w:val="18"/>
                <w:szCs w:val="18"/>
                <w:lang w:val="es-ES"/>
              </w:rPr>
              <w:t xml:space="preserve"> 1996</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01 </w:t>
            </w:r>
            <w:r w:rsidRPr="0068151A">
              <w:rPr>
                <w:sz w:val="18"/>
                <w:szCs w:val="18"/>
                <w:lang w:val="es-ES"/>
              </w:rPr>
              <w:t>de</w:t>
            </w:r>
            <w:r w:rsidR="0007288C" w:rsidRPr="0068151A">
              <w:rPr>
                <w:sz w:val="18"/>
                <w:szCs w:val="18"/>
                <w:lang w:val="es-ES"/>
              </w:rPr>
              <w:t xml:space="preserve"> 2007 “</w:t>
            </w:r>
            <w:r w:rsidR="009C4838" w:rsidRPr="0068151A">
              <w:rPr>
                <w:sz w:val="18"/>
                <w:szCs w:val="18"/>
                <w:lang w:val="es-ES"/>
              </w:rPr>
              <w:t>Reglamento</w:t>
            </w:r>
            <w:r w:rsidR="002D5586">
              <w:rPr>
                <w:sz w:val="18"/>
                <w:szCs w:val="18"/>
                <w:lang w:val="es-ES"/>
              </w:rPr>
              <w:t xml:space="preserve"> </w:t>
            </w:r>
            <w:r w:rsidRPr="0068151A">
              <w:rPr>
                <w:sz w:val="18"/>
                <w:szCs w:val="18"/>
                <w:lang w:val="es-ES"/>
              </w:rPr>
              <w:t>de</w:t>
            </w:r>
            <w:r w:rsidR="00B0160C" w:rsidRPr="0068151A">
              <w:rPr>
                <w:sz w:val="18"/>
                <w:szCs w:val="18"/>
                <w:lang w:val="es-ES"/>
              </w:rPr>
              <w:t xml:space="preserve"> Áreas Protegidas</w:t>
            </w:r>
            <w:r w:rsidR="0007288C" w:rsidRPr="0068151A">
              <w:rPr>
                <w:sz w:val="18"/>
                <w:szCs w:val="18"/>
                <w:lang w:val="es-ES"/>
              </w:rPr>
              <w:t>”</w:t>
            </w:r>
          </w:p>
          <w:p w:rsidR="00441B9A" w:rsidRDefault="00903C43">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26 </w:t>
            </w:r>
            <w:r w:rsidRPr="0068151A">
              <w:rPr>
                <w:sz w:val="18"/>
                <w:szCs w:val="18"/>
                <w:lang w:val="es-ES"/>
              </w:rPr>
              <w:t>de</w:t>
            </w:r>
            <w:r w:rsidR="0007288C" w:rsidRPr="0068151A">
              <w:rPr>
                <w:sz w:val="18"/>
                <w:szCs w:val="18"/>
                <w:lang w:val="es-ES"/>
              </w:rPr>
              <w:t xml:space="preserve"> 2007 “Reform</w:t>
            </w:r>
            <w:r w:rsidR="004B569D" w:rsidRPr="0068151A">
              <w:rPr>
                <w:sz w:val="18"/>
                <w:szCs w:val="18"/>
                <w:lang w:val="es-ES"/>
              </w:rPr>
              <w:t>a</w:t>
            </w:r>
            <w:r w:rsidR="0007288C" w:rsidRPr="0068151A">
              <w:rPr>
                <w:sz w:val="18"/>
                <w:szCs w:val="18"/>
                <w:lang w:val="es-ES"/>
              </w:rPr>
              <w:t>s &amp;</w:t>
            </w:r>
            <w:r w:rsidR="004B569D" w:rsidRPr="0068151A">
              <w:rPr>
                <w:sz w:val="18"/>
                <w:szCs w:val="18"/>
                <w:lang w:val="es-ES"/>
              </w:rPr>
              <w:t>Adiciones</w:t>
            </w:r>
            <w:r w:rsidR="0007288C" w:rsidRPr="0068151A">
              <w:rPr>
                <w:sz w:val="18"/>
                <w:szCs w:val="18"/>
                <w:lang w:val="es-ES"/>
              </w:rPr>
              <w:t xml:space="preserve">” </w:t>
            </w:r>
            <w:r w:rsidRPr="0068151A">
              <w:rPr>
                <w:sz w:val="18"/>
                <w:szCs w:val="18"/>
                <w:lang w:val="es-ES"/>
              </w:rPr>
              <w:t>Decreto</w:t>
            </w:r>
            <w:r w:rsidR="0007288C" w:rsidRPr="0068151A">
              <w:rPr>
                <w:sz w:val="18"/>
                <w:szCs w:val="18"/>
                <w:lang w:val="es-ES"/>
              </w:rPr>
              <w:t xml:space="preserve"> 01 </w:t>
            </w:r>
            <w:r w:rsidRPr="0068151A">
              <w:rPr>
                <w:sz w:val="18"/>
                <w:szCs w:val="18"/>
                <w:lang w:val="es-ES"/>
              </w:rPr>
              <w:t>de</w:t>
            </w:r>
            <w:r w:rsidR="0007288C" w:rsidRPr="0068151A">
              <w:rPr>
                <w:sz w:val="18"/>
                <w:szCs w:val="18"/>
                <w:lang w:val="es-ES"/>
              </w:rPr>
              <w:t xml:space="preserve"> 2007</w:t>
            </w:r>
          </w:p>
        </w:tc>
        <w:tc>
          <w:tcPr>
            <w:tcW w:w="3460" w:type="dxa"/>
            <w:shd w:val="clear" w:color="auto" w:fill="auto"/>
          </w:tcPr>
          <w:p w:rsidR="0007288C" w:rsidRPr="0068151A" w:rsidRDefault="0007288C" w:rsidP="00F91221">
            <w:pPr>
              <w:numPr>
                <w:ilvl w:val="0"/>
                <w:numId w:val="38"/>
              </w:numPr>
              <w:ind w:left="187" w:hanging="158"/>
              <w:contextualSpacing/>
              <w:rPr>
                <w:sz w:val="18"/>
                <w:szCs w:val="18"/>
                <w:lang w:val="es-ES"/>
              </w:rPr>
            </w:pPr>
            <w:r w:rsidRPr="0068151A">
              <w:rPr>
                <w:sz w:val="18"/>
                <w:szCs w:val="18"/>
                <w:lang w:val="es-ES"/>
              </w:rPr>
              <w:t>Regula</w:t>
            </w:r>
            <w:r w:rsidR="004B569D" w:rsidRPr="0068151A">
              <w:rPr>
                <w:sz w:val="18"/>
                <w:szCs w:val="18"/>
                <w:lang w:val="es-ES"/>
              </w:rPr>
              <w:t xml:space="preserve"> y maneja las áreas protegidas desde la perspectiva del medio ambiente</w:t>
            </w:r>
            <w:r w:rsidRPr="0068151A">
              <w:rPr>
                <w:sz w:val="18"/>
                <w:szCs w:val="18"/>
                <w:lang w:val="es-ES"/>
              </w:rPr>
              <w:t>.</w:t>
            </w:r>
          </w:p>
          <w:p w:rsidR="0007288C" w:rsidRPr="0068151A" w:rsidRDefault="0007288C" w:rsidP="00F91221">
            <w:pPr>
              <w:numPr>
                <w:ilvl w:val="0"/>
                <w:numId w:val="38"/>
              </w:numPr>
              <w:ind w:left="187" w:hanging="158"/>
              <w:contextualSpacing/>
              <w:rPr>
                <w:sz w:val="18"/>
                <w:szCs w:val="18"/>
                <w:lang w:val="es-ES"/>
              </w:rPr>
            </w:pPr>
            <w:r w:rsidRPr="0068151A">
              <w:rPr>
                <w:sz w:val="18"/>
                <w:szCs w:val="18"/>
                <w:lang w:val="es-ES"/>
              </w:rPr>
              <w:t>Particip</w:t>
            </w:r>
            <w:r w:rsidR="004B569D" w:rsidRPr="0068151A">
              <w:rPr>
                <w:sz w:val="18"/>
                <w:szCs w:val="18"/>
                <w:lang w:val="es-ES"/>
              </w:rPr>
              <w:t xml:space="preserve">a en el diseño del reglamento del ordenamiento territorial </w:t>
            </w:r>
          </w:p>
          <w:p w:rsidR="0007288C" w:rsidRPr="0068151A" w:rsidRDefault="0007288C" w:rsidP="00F91221">
            <w:pPr>
              <w:numPr>
                <w:ilvl w:val="0"/>
                <w:numId w:val="38"/>
              </w:numPr>
              <w:ind w:left="187" w:hanging="158"/>
              <w:contextualSpacing/>
              <w:rPr>
                <w:sz w:val="18"/>
                <w:szCs w:val="18"/>
                <w:lang w:val="es-ES"/>
              </w:rPr>
            </w:pPr>
            <w:r w:rsidRPr="0068151A">
              <w:rPr>
                <w:sz w:val="18"/>
                <w:szCs w:val="18"/>
                <w:lang w:val="es-ES"/>
              </w:rPr>
              <w:t>Participa</w:t>
            </w:r>
            <w:r w:rsidR="004B569D" w:rsidRPr="0068151A">
              <w:rPr>
                <w:sz w:val="18"/>
                <w:szCs w:val="18"/>
                <w:lang w:val="es-ES"/>
              </w:rPr>
              <w:t xml:space="preserve"> en la delimitación de las zonas costeras</w:t>
            </w:r>
          </w:p>
        </w:tc>
      </w:tr>
      <w:tr w:rsidR="0007288C" w:rsidRPr="009F3769" w:rsidTr="00665F61">
        <w:trPr>
          <w:jc w:val="center"/>
        </w:trPr>
        <w:tc>
          <w:tcPr>
            <w:tcW w:w="1897" w:type="dxa"/>
            <w:shd w:val="clear" w:color="auto" w:fill="auto"/>
          </w:tcPr>
          <w:p w:rsidR="0007288C" w:rsidRPr="007F11E0" w:rsidRDefault="002D2A6D" w:rsidP="0007288C">
            <w:pPr>
              <w:rPr>
                <w:sz w:val="18"/>
                <w:szCs w:val="18"/>
                <w:lang w:val="pt-BR"/>
              </w:rPr>
            </w:pPr>
            <w:r w:rsidRPr="007F11E0">
              <w:rPr>
                <w:sz w:val="18"/>
                <w:szCs w:val="18"/>
                <w:lang w:val="pt-BR"/>
              </w:rPr>
              <w:t>Instituto Nicaragüense de</w:t>
            </w:r>
            <w:r w:rsidR="002D5586">
              <w:rPr>
                <w:sz w:val="18"/>
                <w:szCs w:val="18"/>
                <w:lang w:val="pt-BR"/>
              </w:rPr>
              <w:t xml:space="preserve"> </w:t>
            </w:r>
            <w:r w:rsidRPr="007F11E0">
              <w:rPr>
                <w:sz w:val="18"/>
                <w:szCs w:val="18"/>
                <w:lang w:val="pt-BR"/>
              </w:rPr>
              <w:t>Fomento</w:t>
            </w:r>
            <w:r w:rsidR="002D5586">
              <w:rPr>
                <w:sz w:val="18"/>
                <w:szCs w:val="18"/>
                <w:lang w:val="pt-BR"/>
              </w:rPr>
              <w:t xml:space="preserve"> </w:t>
            </w:r>
            <w:r w:rsidR="0007288C" w:rsidRPr="007F11E0">
              <w:rPr>
                <w:sz w:val="18"/>
                <w:szCs w:val="18"/>
                <w:lang w:val="pt-BR"/>
              </w:rPr>
              <w:t xml:space="preserve">Municipal </w:t>
            </w:r>
            <w:r w:rsidR="0007288C" w:rsidRPr="007F11E0">
              <w:rPr>
                <w:sz w:val="18"/>
                <w:szCs w:val="18"/>
                <w:lang w:val="pt-BR"/>
              </w:rPr>
              <w:lastRenderedPageBreak/>
              <w:t>(INIFOM)</w:t>
            </w:r>
          </w:p>
          <w:p w:rsidR="0007288C" w:rsidRPr="007F11E0" w:rsidRDefault="0007288C" w:rsidP="0007288C">
            <w:pPr>
              <w:rPr>
                <w:sz w:val="18"/>
                <w:szCs w:val="18"/>
                <w:lang w:val="pt-BR"/>
              </w:rPr>
            </w:pPr>
          </w:p>
          <w:p w:rsidR="002B4322" w:rsidRPr="00BE0A58" w:rsidRDefault="002B4322" w:rsidP="00BE0A58">
            <w:pPr>
              <w:rPr>
                <w:sz w:val="18"/>
                <w:szCs w:val="18"/>
                <w:lang w:val="es-ES"/>
              </w:rPr>
            </w:pPr>
            <w:r w:rsidRPr="00BE0A58">
              <w:rPr>
                <w:sz w:val="18"/>
                <w:szCs w:val="18"/>
                <w:lang w:val="es-ES"/>
              </w:rPr>
              <w:t>[</w:t>
            </w:r>
            <w:r w:rsidR="00BE0A58" w:rsidRPr="00BE0A58">
              <w:rPr>
                <w:sz w:val="18"/>
                <w:szCs w:val="18"/>
                <w:lang w:val="es-ES"/>
              </w:rPr>
              <w:t>Ente d</w:t>
            </w:r>
            <w:r w:rsidRPr="00BE0A58">
              <w:rPr>
                <w:sz w:val="18"/>
                <w:szCs w:val="18"/>
                <w:lang w:val="es-ES"/>
              </w:rPr>
              <w:t>e</w:t>
            </w:r>
            <w:r w:rsidR="00BE0A58" w:rsidRPr="00BE0A58">
              <w:rPr>
                <w:sz w:val="18"/>
                <w:szCs w:val="18"/>
                <w:lang w:val="es-ES"/>
              </w:rPr>
              <w:t>s</w:t>
            </w:r>
            <w:r w:rsidRPr="00BE0A58">
              <w:rPr>
                <w:sz w:val="18"/>
                <w:szCs w:val="18"/>
                <w:lang w:val="es-ES"/>
              </w:rPr>
              <w:t>centrali</w:t>
            </w:r>
            <w:r w:rsidR="00BE0A58" w:rsidRPr="00BE0A58">
              <w:rPr>
                <w:sz w:val="18"/>
                <w:szCs w:val="18"/>
                <w:lang w:val="es-ES"/>
              </w:rPr>
              <w:t>zado dependiente de la presidencia</w:t>
            </w:r>
            <w:r w:rsidRPr="00BE0A58">
              <w:rPr>
                <w:sz w:val="18"/>
                <w:szCs w:val="18"/>
                <w:lang w:val="es-ES"/>
              </w:rPr>
              <w:t>]</w:t>
            </w:r>
          </w:p>
        </w:tc>
        <w:tc>
          <w:tcPr>
            <w:tcW w:w="4111" w:type="dxa"/>
            <w:shd w:val="clear" w:color="auto" w:fill="auto"/>
          </w:tcPr>
          <w:p w:rsidR="0007288C" w:rsidRPr="0068151A" w:rsidRDefault="00903C43" w:rsidP="00F91221">
            <w:pPr>
              <w:numPr>
                <w:ilvl w:val="0"/>
                <w:numId w:val="38"/>
              </w:numPr>
              <w:ind w:left="176"/>
              <w:contextualSpacing/>
              <w:rPr>
                <w:sz w:val="18"/>
                <w:szCs w:val="18"/>
                <w:lang w:val="es-ES"/>
              </w:rPr>
            </w:pPr>
            <w:r w:rsidRPr="0068151A">
              <w:rPr>
                <w:sz w:val="18"/>
                <w:szCs w:val="18"/>
                <w:lang w:val="es-ES"/>
              </w:rPr>
              <w:lastRenderedPageBreak/>
              <w:t>Ley</w:t>
            </w:r>
            <w:r w:rsidR="0007288C" w:rsidRPr="0068151A">
              <w:rPr>
                <w:sz w:val="18"/>
                <w:szCs w:val="18"/>
                <w:lang w:val="es-ES"/>
              </w:rPr>
              <w:t xml:space="preserve"> 347 </w:t>
            </w:r>
            <w:r w:rsidRPr="0068151A">
              <w:rPr>
                <w:sz w:val="18"/>
                <w:szCs w:val="18"/>
                <w:lang w:val="es-ES"/>
              </w:rPr>
              <w:t>de</w:t>
            </w:r>
            <w:r w:rsidR="0007288C" w:rsidRPr="0068151A">
              <w:rPr>
                <w:sz w:val="18"/>
                <w:szCs w:val="18"/>
                <w:lang w:val="es-ES"/>
              </w:rPr>
              <w:t xml:space="preserve"> 2000 “</w:t>
            </w:r>
            <w:r w:rsidR="009C4838" w:rsidRPr="0068151A">
              <w:rPr>
                <w:sz w:val="18"/>
                <w:szCs w:val="18"/>
                <w:lang w:val="es-ES"/>
              </w:rPr>
              <w:t>Ley orgánica de</w:t>
            </w:r>
            <w:r w:rsidR="002D5586">
              <w:rPr>
                <w:sz w:val="18"/>
                <w:szCs w:val="18"/>
                <w:lang w:val="es-ES"/>
              </w:rPr>
              <w:t xml:space="preserve"> </w:t>
            </w:r>
            <w:r w:rsidR="00BE0A58" w:rsidRPr="0068151A">
              <w:rPr>
                <w:sz w:val="18"/>
                <w:szCs w:val="18"/>
                <w:lang w:val="es-ES"/>
              </w:rPr>
              <w:t>INIFOM</w:t>
            </w:r>
            <w:r w:rsidR="0007288C" w:rsidRPr="0068151A">
              <w:rPr>
                <w:sz w:val="18"/>
                <w:szCs w:val="18"/>
                <w:lang w:val="es-ES"/>
              </w:rPr>
              <w:t>”</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75 </w:t>
            </w:r>
            <w:r w:rsidRPr="0068151A">
              <w:rPr>
                <w:sz w:val="18"/>
                <w:szCs w:val="18"/>
                <w:lang w:val="es-ES"/>
              </w:rPr>
              <w:t>de</w:t>
            </w:r>
            <w:r w:rsidR="0007288C" w:rsidRPr="0068151A">
              <w:rPr>
                <w:sz w:val="18"/>
                <w:szCs w:val="18"/>
                <w:lang w:val="es-ES"/>
              </w:rPr>
              <w:t xml:space="preserve"> 2000 “</w:t>
            </w:r>
            <w:r w:rsidR="009C4838" w:rsidRPr="0068151A">
              <w:rPr>
                <w:sz w:val="18"/>
                <w:szCs w:val="18"/>
                <w:lang w:val="es-ES"/>
              </w:rPr>
              <w:t>Reglamento</w:t>
            </w:r>
            <w:r w:rsidR="002D5586">
              <w:rPr>
                <w:sz w:val="18"/>
                <w:szCs w:val="18"/>
                <w:lang w:val="es-ES"/>
              </w:rPr>
              <w:t xml:space="preserve"> </w:t>
            </w:r>
            <w:r w:rsidRPr="0068151A">
              <w:rPr>
                <w:sz w:val="18"/>
                <w:szCs w:val="18"/>
                <w:lang w:val="es-ES"/>
              </w:rPr>
              <w:t>de</w:t>
            </w:r>
            <w:r w:rsidR="002D5586">
              <w:rPr>
                <w:sz w:val="18"/>
                <w:szCs w:val="18"/>
                <w:lang w:val="es-ES"/>
              </w:rPr>
              <w:t xml:space="preserve"> </w:t>
            </w:r>
            <w:r w:rsidRPr="0068151A">
              <w:rPr>
                <w:sz w:val="18"/>
                <w:szCs w:val="18"/>
                <w:lang w:val="es-ES"/>
              </w:rPr>
              <w:t>Ley</w:t>
            </w:r>
            <w:r w:rsidR="0007288C" w:rsidRPr="0068151A">
              <w:rPr>
                <w:sz w:val="18"/>
                <w:szCs w:val="18"/>
                <w:lang w:val="es-ES"/>
              </w:rPr>
              <w:t xml:space="preserve"> 347 </w:t>
            </w:r>
            <w:r w:rsidRPr="0068151A">
              <w:rPr>
                <w:sz w:val="18"/>
                <w:szCs w:val="18"/>
                <w:lang w:val="es-ES"/>
              </w:rPr>
              <w:t>de</w:t>
            </w:r>
            <w:r w:rsidR="0007288C" w:rsidRPr="0068151A">
              <w:rPr>
                <w:sz w:val="18"/>
                <w:szCs w:val="18"/>
                <w:lang w:val="es-ES"/>
              </w:rPr>
              <w:t xml:space="preserve"> </w:t>
            </w:r>
            <w:r w:rsidR="0007288C" w:rsidRPr="0068151A">
              <w:rPr>
                <w:sz w:val="18"/>
                <w:szCs w:val="18"/>
                <w:lang w:val="es-ES"/>
              </w:rPr>
              <w:lastRenderedPageBreak/>
              <w:t>2000”</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Ley</w:t>
            </w:r>
            <w:r w:rsidR="0007288C" w:rsidRPr="0068151A">
              <w:rPr>
                <w:sz w:val="18"/>
                <w:szCs w:val="18"/>
                <w:lang w:val="es-ES"/>
              </w:rPr>
              <w:t xml:space="preserve"> 509 </w:t>
            </w:r>
            <w:r w:rsidRPr="0068151A">
              <w:rPr>
                <w:sz w:val="18"/>
                <w:szCs w:val="18"/>
                <w:lang w:val="es-ES"/>
              </w:rPr>
              <w:t>de</w:t>
            </w:r>
            <w:r w:rsidR="0007288C" w:rsidRPr="0068151A">
              <w:rPr>
                <w:sz w:val="18"/>
                <w:szCs w:val="18"/>
                <w:lang w:val="es-ES"/>
              </w:rPr>
              <w:t xml:space="preserve"> 2004 “</w:t>
            </w:r>
            <w:r w:rsidR="00B0160C" w:rsidRPr="0068151A">
              <w:rPr>
                <w:sz w:val="18"/>
                <w:szCs w:val="18"/>
                <w:lang w:val="es-ES"/>
              </w:rPr>
              <w:t>Ley General de</w:t>
            </w:r>
            <w:r w:rsidR="00BE0A58" w:rsidRPr="0068151A">
              <w:rPr>
                <w:sz w:val="18"/>
                <w:szCs w:val="18"/>
                <w:lang w:val="es-ES"/>
              </w:rPr>
              <w:t>l Catastro Nacional</w:t>
            </w:r>
            <w:r w:rsidR="0007288C" w:rsidRPr="0068151A">
              <w:rPr>
                <w:sz w:val="18"/>
                <w:szCs w:val="18"/>
                <w:lang w:val="es-ES"/>
              </w:rPr>
              <w:t>”</w:t>
            </w:r>
          </w:p>
          <w:p w:rsidR="0007288C" w:rsidRPr="0068151A" w:rsidRDefault="00903C43" w:rsidP="00F91221">
            <w:pPr>
              <w:numPr>
                <w:ilvl w:val="0"/>
                <w:numId w:val="38"/>
              </w:numPr>
              <w:ind w:left="176"/>
              <w:contextualSpacing/>
              <w:rPr>
                <w:sz w:val="18"/>
                <w:szCs w:val="18"/>
                <w:lang w:val="es-ES"/>
              </w:rPr>
            </w:pPr>
            <w:r w:rsidRPr="0068151A">
              <w:rPr>
                <w:sz w:val="18"/>
                <w:szCs w:val="18"/>
                <w:lang w:val="es-ES"/>
              </w:rPr>
              <w:t>Decreto</w:t>
            </w:r>
            <w:r w:rsidR="0007288C" w:rsidRPr="0068151A">
              <w:rPr>
                <w:sz w:val="18"/>
                <w:szCs w:val="18"/>
                <w:lang w:val="es-ES"/>
              </w:rPr>
              <w:t xml:space="preserve"> 62 </w:t>
            </w:r>
            <w:r w:rsidRPr="0068151A">
              <w:rPr>
                <w:sz w:val="18"/>
                <w:szCs w:val="18"/>
                <w:lang w:val="es-ES"/>
              </w:rPr>
              <w:t>de</w:t>
            </w:r>
            <w:r w:rsidR="0007288C" w:rsidRPr="0068151A">
              <w:rPr>
                <w:sz w:val="18"/>
                <w:szCs w:val="18"/>
                <w:lang w:val="es-ES"/>
              </w:rPr>
              <w:t xml:space="preserve"> 2005 “</w:t>
            </w:r>
            <w:r w:rsidR="009C4838" w:rsidRPr="0068151A">
              <w:rPr>
                <w:sz w:val="18"/>
                <w:szCs w:val="18"/>
                <w:lang w:val="es-ES"/>
              </w:rPr>
              <w:t>Reglamento</w:t>
            </w:r>
            <w:r w:rsidR="002D5586">
              <w:rPr>
                <w:sz w:val="18"/>
                <w:szCs w:val="18"/>
                <w:lang w:val="es-ES"/>
              </w:rPr>
              <w:t xml:space="preserve"> </w:t>
            </w:r>
            <w:r w:rsidRPr="0068151A">
              <w:rPr>
                <w:sz w:val="18"/>
                <w:szCs w:val="18"/>
                <w:lang w:val="es-ES"/>
              </w:rPr>
              <w:t>de</w:t>
            </w:r>
            <w:r w:rsidR="002D5586">
              <w:rPr>
                <w:sz w:val="18"/>
                <w:szCs w:val="18"/>
                <w:lang w:val="es-ES"/>
              </w:rPr>
              <w:t xml:space="preserve"> </w:t>
            </w:r>
            <w:r w:rsidRPr="0068151A">
              <w:rPr>
                <w:sz w:val="18"/>
                <w:szCs w:val="18"/>
                <w:lang w:val="es-ES"/>
              </w:rPr>
              <w:t>ley</w:t>
            </w:r>
            <w:r w:rsidR="0007288C" w:rsidRPr="0068151A">
              <w:rPr>
                <w:sz w:val="18"/>
                <w:szCs w:val="18"/>
                <w:lang w:val="es-ES"/>
              </w:rPr>
              <w:t xml:space="preserve"> 509”</w:t>
            </w:r>
          </w:p>
        </w:tc>
        <w:tc>
          <w:tcPr>
            <w:tcW w:w="3460" w:type="dxa"/>
            <w:shd w:val="clear" w:color="auto" w:fill="auto"/>
          </w:tcPr>
          <w:p w:rsidR="0007288C" w:rsidRPr="0068151A" w:rsidRDefault="00344A1B" w:rsidP="00F91221">
            <w:pPr>
              <w:numPr>
                <w:ilvl w:val="0"/>
                <w:numId w:val="38"/>
              </w:numPr>
              <w:ind w:left="176"/>
              <w:contextualSpacing/>
              <w:rPr>
                <w:sz w:val="18"/>
                <w:szCs w:val="18"/>
                <w:lang w:val="es-ES"/>
              </w:rPr>
            </w:pPr>
            <w:r w:rsidRPr="0068151A">
              <w:rPr>
                <w:sz w:val="18"/>
                <w:szCs w:val="18"/>
                <w:lang w:val="es-ES"/>
              </w:rPr>
              <w:lastRenderedPageBreak/>
              <w:t>Brinda asistencia técnica a los</w:t>
            </w:r>
            <w:r w:rsidR="002D5586">
              <w:rPr>
                <w:sz w:val="18"/>
                <w:szCs w:val="18"/>
                <w:lang w:val="es-ES"/>
              </w:rPr>
              <w:t xml:space="preserve"> </w:t>
            </w:r>
            <w:r w:rsidR="00FF52DD" w:rsidRPr="0068151A">
              <w:rPr>
                <w:sz w:val="18"/>
                <w:szCs w:val="18"/>
                <w:lang w:val="es-ES"/>
              </w:rPr>
              <w:t>municipios</w:t>
            </w:r>
            <w:r w:rsidR="002D5586">
              <w:rPr>
                <w:sz w:val="18"/>
                <w:szCs w:val="18"/>
                <w:lang w:val="es-ES"/>
              </w:rPr>
              <w:t xml:space="preserve"> </w:t>
            </w:r>
            <w:r w:rsidRPr="0068151A">
              <w:rPr>
                <w:sz w:val="18"/>
                <w:szCs w:val="18"/>
                <w:lang w:val="es-ES"/>
              </w:rPr>
              <w:t xml:space="preserve">con la finalidad de establecer los catastros </w:t>
            </w:r>
            <w:r w:rsidR="0007288C" w:rsidRPr="0068151A">
              <w:rPr>
                <w:sz w:val="18"/>
                <w:szCs w:val="18"/>
                <w:lang w:val="es-ES"/>
              </w:rPr>
              <w:lastRenderedPageBreak/>
              <w:t>municipal</w:t>
            </w:r>
            <w:r w:rsidRPr="0068151A">
              <w:rPr>
                <w:sz w:val="18"/>
                <w:szCs w:val="18"/>
                <w:lang w:val="es-ES"/>
              </w:rPr>
              <w:t>es</w:t>
            </w:r>
            <w:r w:rsidR="0007288C" w:rsidRPr="0068151A">
              <w:rPr>
                <w:sz w:val="18"/>
                <w:szCs w:val="18"/>
                <w:lang w:val="es-ES"/>
              </w:rPr>
              <w:t>.</w:t>
            </w:r>
          </w:p>
          <w:p w:rsidR="0007288C" w:rsidRPr="0068151A" w:rsidRDefault="00344A1B" w:rsidP="00F91221">
            <w:pPr>
              <w:numPr>
                <w:ilvl w:val="0"/>
                <w:numId w:val="38"/>
              </w:numPr>
              <w:ind w:left="176"/>
              <w:contextualSpacing/>
              <w:rPr>
                <w:sz w:val="18"/>
                <w:szCs w:val="18"/>
                <w:lang w:val="es-ES"/>
              </w:rPr>
            </w:pPr>
            <w:r w:rsidRPr="0068151A">
              <w:rPr>
                <w:sz w:val="18"/>
                <w:szCs w:val="18"/>
                <w:lang w:val="es-ES"/>
              </w:rPr>
              <w:t>Brinda asistencia para obtener fondos destinados a los catastros municipales</w:t>
            </w:r>
            <w:r w:rsidR="0007288C" w:rsidRPr="0068151A">
              <w:rPr>
                <w:sz w:val="18"/>
                <w:szCs w:val="18"/>
                <w:lang w:val="es-ES"/>
              </w:rPr>
              <w:t>.</w:t>
            </w:r>
          </w:p>
          <w:p w:rsidR="0007288C" w:rsidRPr="0068151A" w:rsidRDefault="0007288C" w:rsidP="0007288C">
            <w:pPr>
              <w:ind w:left="176"/>
              <w:rPr>
                <w:sz w:val="18"/>
                <w:szCs w:val="18"/>
                <w:lang w:val="es-ES"/>
              </w:rPr>
            </w:pPr>
          </w:p>
        </w:tc>
      </w:tr>
      <w:tr w:rsidR="0007288C" w:rsidRPr="009F3769" w:rsidTr="00665F61">
        <w:trPr>
          <w:jc w:val="center"/>
        </w:trPr>
        <w:tc>
          <w:tcPr>
            <w:tcW w:w="1897" w:type="dxa"/>
            <w:shd w:val="clear" w:color="auto" w:fill="auto"/>
          </w:tcPr>
          <w:p w:rsidR="0007288C" w:rsidRPr="002D2A6D" w:rsidRDefault="00FF52DD" w:rsidP="0007288C">
            <w:pPr>
              <w:rPr>
                <w:sz w:val="18"/>
                <w:szCs w:val="18"/>
                <w:lang w:val="es-ES"/>
              </w:rPr>
            </w:pPr>
            <w:r w:rsidRPr="002D2A6D">
              <w:rPr>
                <w:sz w:val="18"/>
                <w:szCs w:val="18"/>
                <w:lang w:val="es-ES"/>
              </w:rPr>
              <w:lastRenderedPageBreak/>
              <w:t>Municipios</w:t>
            </w:r>
          </w:p>
          <w:p w:rsidR="00C11C15" w:rsidRPr="002D2A6D" w:rsidRDefault="00C11C15" w:rsidP="0007288C">
            <w:pPr>
              <w:rPr>
                <w:sz w:val="18"/>
                <w:szCs w:val="18"/>
                <w:lang w:val="es-ES"/>
              </w:rPr>
            </w:pPr>
          </w:p>
          <w:p w:rsidR="00C11C15" w:rsidRPr="002D2A6D" w:rsidRDefault="00C11C15" w:rsidP="00344A1B">
            <w:pPr>
              <w:rPr>
                <w:sz w:val="18"/>
                <w:szCs w:val="18"/>
                <w:lang w:val="es-ES"/>
              </w:rPr>
            </w:pPr>
            <w:r w:rsidRPr="002D2A6D">
              <w:rPr>
                <w:sz w:val="18"/>
                <w:szCs w:val="18"/>
                <w:lang w:val="es-ES"/>
              </w:rPr>
              <w:t>[</w:t>
            </w:r>
            <w:r w:rsidR="00344A1B">
              <w:rPr>
                <w:sz w:val="18"/>
                <w:szCs w:val="18"/>
                <w:lang w:val="es-ES"/>
              </w:rPr>
              <w:t xml:space="preserve">Gobiernos </w:t>
            </w:r>
            <w:r w:rsidRPr="002D2A6D">
              <w:rPr>
                <w:sz w:val="18"/>
                <w:szCs w:val="18"/>
                <w:lang w:val="es-ES"/>
              </w:rPr>
              <w:t>Local</w:t>
            </w:r>
            <w:r w:rsidR="00344A1B">
              <w:rPr>
                <w:sz w:val="18"/>
                <w:szCs w:val="18"/>
                <w:lang w:val="es-ES"/>
              </w:rPr>
              <w:t>es</w:t>
            </w:r>
            <w:r w:rsidRPr="002D2A6D">
              <w:rPr>
                <w:sz w:val="18"/>
                <w:szCs w:val="18"/>
                <w:lang w:val="es-ES"/>
              </w:rPr>
              <w:t>]</w:t>
            </w:r>
          </w:p>
        </w:tc>
        <w:tc>
          <w:tcPr>
            <w:tcW w:w="4111" w:type="dxa"/>
            <w:shd w:val="clear" w:color="auto" w:fill="auto"/>
          </w:tcPr>
          <w:p w:rsidR="0007288C" w:rsidRPr="002D2A6D" w:rsidRDefault="00903C43" w:rsidP="00F91221">
            <w:pPr>
              <w:numPr>
                <w:ilvl w:val="0"/>
                <w:numId w:val="38"/>
              </w:numPr>
              <w:ind w:left="176"/>
              <w:contextualSpacing/>
              <w:rPr>
                <w:sz w:val="18"/>
                <w:szCs w:val="18"/>
                <w:lang w:val="es-ES"/>
              </w:rPr>
            </w:pPr>
            <w:r w:rsidRPr="002D2A6D">
              <w:rPr>
                <w:sz w:val="18"/>
                <w:szCs w:val="18"/>
                <w:lang w:val="es-ES"/>
              </w:rPr>
              <w:t>Ley</w:t>
            </w:r>
            <w:r w:rsidR="0007288C" w:rsidRPr="002D2A6D">
              <w:rPr>
                <w:sz w:val="18"/>
                <w:szCs w:val="18"/>
                <w:lang w:val="es-ES"/>
              </w:rPr>
              <w:t xml:space="preserve"> 40 </w:t>
            </w:r>
            <w:r w:rsidRPr="002D2A6D">
              <w:rPr>
                <w:sz w:val="18"/>
                <w:szCs w:val="18"/>
                <w:lang w:val="es-ES"/>
              </w:rPr>
              <w:t>de</w:t>
            </w:r>
            <w:r w:rsidR="0007288C" w:rsidRPr="002D2A6D">
              <w:rPr>
                <w:sz w:val="18"/>
                <w:szCs w:val="18"/>
                <w:lang w:val="es-ES"/>
              </w:rPr>
              <w:t xml:space="preserve"> 1988 “</w:t>
            </w:r>
            <w:r w:rsidR="00FF52DD" w:rsidRPr="002D2A6D">
              <w:rPr>
                <w:sz w:val="18"/>
                <w:szCs w:val="18"/>
                <w:lang w:val="es-ES"/>
              </w:rPr>
              <w:t>Municipios</w:t>
            </w:r>
            <w:r w:rsidR="002D5586">
              <w:rPr>
                <w:sz w:val="18"/>
                <w:szCs w:val="18"/>
                <w:lang w:val="es-ES"/>
              </w:rPr>
              <w:t xml:space="preserve"> </w:t>
            </w:r>
            <w:r w:rsidRPr="002D2A6D">
              <w:rPr>
                <w:sz w:val="18"/>
                <w:szCs w:val="18"/>
                <w:lang w:val="es-ES"/>
              </w:rPr>
              <w:t>Ley</w:t>
            </w:r>
            <w:r w:rsidR="0007288C" w:rsidRPr="002D2A6D">
              <w:rPr>
                <w:sz w:val="18"/>
                <w:szCs w:val="18"/>
                <w:lang w:val="es-ES"/>
              </w:rPr>
              <w:t>”</w:t>
            </w:r>
          </w:p>
          <w:p w:rsidR="0007288C" w:rsidRPr="002D2A6D" w:rsidRDefault="00903C43" w:rsidP="00F91221">
            <w:pPr>
              <w:numPr>
                <w:ilvl w:val="0"/>
                <w:numId w:val="38"/>
              </w:numPr>
              <w:ind w:left="176"/>
              <w:contextualSpacing/>
              <w:rPr>
                <w:sz w:val="18"/>
                <w:szCs w:val="18"/>
                <w:lang w:val="es-ES"/>
              </w:rPr>
            </w:pPr>
            <w:r w:rsidRPr="002D2A6D">
              <w:rPr>
                <w:sz w:val="18"/>
                <w:szCs w:val="18"/>
                <w:lang w:val="es-ES"/>
              </w:rPr>
              <w:t>Ley</w:t>
            </w:r>
            <w:r w:rsidR="0007288C" w:rsidRPr="002D2A6D">
              <w:rPr>
                <w:sz w:val="18"/>
                <w:szCs w:val="18"/>
                <w:lang w:val="es-ES"/>
              </w:rPr>
              <w:t xml:space="preserve"> 309 </w:t>
            </w:r>
            <w:r w:rsidRPr="002D2A6D">
              <w:rPr>
                <w:sz w:val="18"/>
                <w:szCs w:val="18"/>
                <w:lang w:val="es-ES"/>
              </w:rPr>
              <w:t>de</w:t>
            </w:r>
            <w:r w:rsidR="0007288C" w:rsidRPr="002D2A6D">
              <w:rPr>
                <w:sz w:val="18"/>
                <w:szCs w:val="18"/>
                <w:lang w:val="es-ES"/>
              </w:rPr>
              <w:t xml:space="preserve"> 1999 “</w:t>
            </w:r>
            <w:r w:rsidR="00265178" w:rsidRPr="00EB7D16">
              <w:rPr>
                <w:bCs/>
                <w:sz w:val="18"/>
                <w:szCs w:val="18"/>
                <w:lang w:val="es-NI"/>
              </w:rPr>
              <w:t>Regulación</w:t>
            </w:r>
            <w:r w:rsidR="00EB7D16" w:rsidRPr="00EB7D16">
              <w:rPr>
                <w:bCs/>
                <w:sz w:val="18"/>
                <w:szCs w:val="18"/>
                <w:lang w:val="es-NI"/>
              </w:rPr>
              <w:t xml:space="preserve">, Ordenamiento </w:t>
            </w:r>
            <w:r w:rsidR="00EB7D16">
              <w:rPr>
                <w:bCs/>
                <w:sz w:val="18"/>
                <w:szCs w:val="18"/>
                <w:lang w:val="es-NI"/>
              </w:rPr>
              <w:t>y</w:t>
            </w:r>
            <w:r w:rsidR="002D5586">
              <w:rPr>
                <w:bCs/>
                <w:sz w:val="18"/>
                <w:szCs w:val="18"/>
                <w:lang w:val="es-NI"/>
              </w:rPr>
              <w:t xml:space="preserve"> </w:t>
            </w:r>
            <w:r w:rsidR="00EB7D16">
              <w:rPr>
                <w:bCs/>
                <w:sz w:val="18"/>
                <w:szCs w:val="18"/>
                <w:lang w:val="es-NI"/>
              </w:rPr>
              <w:t>Titulación</w:t>
            </w:r>
            <w:r w:rsidR="002D5586">
              <w:rPr>
                <w:bCs/>
                <w:sz w:val="18"/>
                <w:szCs w:val="18"/>
                <w:lang w:val="es-NI"/>
              </w:rPr>
              <w:t xml:space="preserve"> </w:t>
            </w:r>
            <w:r w:rsidR="00EB7D16">
              <w:rPr>
                <w:bCs/>
                <w:sz w:val="18"/>
                <w:szCs w:val="18"/>
                <w:lang w:val="es-NI"/>
              </w:rPr>
              <w:t>d</w:t>
            </w:r>
            <w:r w:rsidR="00EB7D16" w:rsidRPr="00EB7D16">
              <w:rPr>
                <w:bCs/>
                <w:sz w:val="18"/>
                <w:szCs w:val="18"/>
                <w:lang w:val="es-NI"/>
              </w:rPr>
              <w:t>e Asentamientos</w:t>
            </w:r>
            <w:r w:rsidR="00EB7D16" w:rsidRPr="00EB7D16">
              <w:rPr>
                <w:sz w:val="18"/>
                <w:szCs w:val="18"/>
                <w:lang w:val="es-NI"/>
              </w:rPr>
              <w:br/>
            </w:r>
            <w:r w:rsidR="00EB7D16" w:rsidRPr="00EB7D16">
              <w:rPr>
                <w:bCs/>
                <w:sz w:val="18"/>
                <w:szCs w:val="18"/>
                <w:lang w:val="es-NI"/>
              </w:rPr>
              <w:t>Humanos Espontáneos</w:t>
            </w:r>
            <w:r w:rsidR="0007288C" w:rsidRPr="002D2A6D">
              <w:rPr>
                <w:sz w:val="18"/>
                <w:szCs w:val="18"/>
                <w:lang w:val="es-ES"/>
              </w:rPr>
              <w:t>.”</w:t>
            </w:r>
          </w:p>
          <w:p w:rsidR="0007288C" w:rsidRPr="002D2A6D" w:rsidRDefault="00903C43" w:rsidP="00F91221">
            <w:pPr>
              <w:numPr>
                <w:ilvl w:val="0"/>
                <w:numId w:val="38"/>
              </w:numPr>
              <w:ind w:left="176"/>
              <w:contextualSpacing/>
              <w:rPr>
                <w:sz w:val="18"/>
                <w:szCs w:val="18"/>
                <w:lang w:val="es-ES"/>
              </w:rPr>
            </w:pPr>
            <w:r w:rsidRPr="002D2A6D">
              <w:rPr>
                <w:sz w:val="18"/>
                <w:szCs w:val="18"/>
                <w:lang w:val="es-ES"/>
              </w:rPr>
              <w:t>Ley</w:t>
            </w:r>
            <w:r w:rsidR="0007288C" w:rsidRPr="002D2A6D">
              <w:rPr>
                <w:sz w:val="18"/>
                <w:szCs w:val="18"/>
                <w:lang w:val="es-ES"/>
              </w:rPr>
              <w:t xml:space="preserve"> 509 </w:t>
            </w:r>
            <w:r w:rsidRPr="002D2A6D">
              <w:rPr>
                <w:sz w:val="18"/>
                <w:szCs w:val="18"/>
                <w:lang w:val="es-ES"/>
              </w:rPr>
              <w:t>de</w:t>
            </w:r>
            <w:r w:rsidR="0007288C" w:rsidRPr="002D2A6D">
              <w:rPr>
                <w:sz w:val="18"/>
                <w:szCs w:val="18"/>
                <w:lang w:val="es-ES"/>
              </w:rPr>
              <w:t xml:space="preserve"> 2004 “</w:t>
            </w:r>
            <w:r w:rsidR="00B0160C">
              <w:rPr>
                <w:sz w:val="18"/>
                <w:szCs w:val="18"/>
                <w:lang w:val="es-ES"/>
              </w:rPr>
              <w:t>Ley General de</w:t>
            </w:r>
            <w:r w:rsidR="00265178">
              <w:rPr>
                <w:sz w:val="18"/>
                <w:szCs w:val="18"/>
                <w:lang w:val="es-ES"/>
              </w:rPr>
              <w:t>l Catastro Nacional</w:t>
            </w:r>
            <w:r w:rsidR="0007288C" w:rsidRPr="002D2A6D">
              <w:rPr>
                <w:sz w:val="18"/>
                <w:szCs w:val="18"/>
                <w:lang w:val="es-ES"/>
              </w:rPr>
              <w:t>”</w:t>
            </w:r>
          </w:p>
          <w:p w:rsidR="0007288C" w:rsidRPr="002D2A6D" w:rsidRDefault="00903C43" w:rsidP="00F91221">
            <w:pPr>
              <w:numPr>
                <w:ilvl w:val="0"/>
                <w:numId w:val="38"/>
              </w:numPr>
              <w:ind w:left="176"/>
              <w:contextualSpacing/>
              <w:rPr>
                <w:sz w:val="18"/>
                <w:szCs w:val="18"/>
                <w:lang w:val="es-ES"/>
              </w:rPr>
            </w:pPr>
            <w:r w:rsidRPr="002D2A6D">
              <w:rPr>
                <w:sz w:val="18"/>
                <w:szCs w:val="18"/>
                <w:lang w:val="es-ES"/>
              </w:rPr>
              <w:t>Ley</w:t>
            </w:r>
            <w:r w:rsidR="0007288C" w:rsidRPr="002D2A6D">
              <w:rPr>
                <w:sz w:val="18"/>
                <w:szCs w:val="18"/>
                <w:lang w:val="es-ES"/>
              </w:rPr>
              <w:t xml:space="preserve"> 690 </w:t>
            </w:r>
            <w:r w:rsidRPr="002D2A6D">
              <w:rPr>
                <w:sz w:val="18"/>
                <w:szCs w:val="18"/>
                <w:lang w:val="es-ES"/>
              </w:rPr>
              <w:t>de</w:t>
            </w:r>
            <w:r w:rsidR="0007288C" w:rsidRPr="002D2A6D">
              <w:rPr>
                <w:sz w:val="18"/>
                <w:szCs w:val="18"/>
                <w:lang w:val="es-ES"/>
              </w:rPr>
              <w:t xml:space="preserve"> 2009 “</w:t>
            </w:r>
            <w:r w:rsidR="00265178">
              <w:rPr>
                <w:sz w:val="18"/>
                <w:szCs w:val="18"/>
                <w:lang w:val="es-ES"/>
              </w:rPr>
              <w:t>Desarrollo de Zonas Costeras</w:t>
            </w:r>
            <w:r w:rsidR="0007288C" w:rsidRPr="002D2A6D">
              <w:rPr>
                <w:sz w:val="18"/>
                <w:szCs w:val="18"/>
                <w:lang w:val="es-ES"/>
              </w:rPr>
              <w:t>”.</w:t>
            </w:r>
          </w:p>
        </w:tc>
        <w:tc>
          <w:tcPr>
            <w:tcW w:w="3460" w:type="dxa"/>
            <w:shd w:val="clear" w:color="auto" w:fill="auto"/>
          </w:tcPr>
          <w:p w:rsidR="00353DB1" w:rsidRDefault="0007288C" w:rsidP="00F91221">
            <w:pPr>
              <w:numPr>
                <w:ilvl w:val="0"/>
                <w:numId w:val="38"/>
              </w:numPr>
              <w:ind w:left="176"/>
              <w:contextualSpacing/>
              <w:rPr>
                <w:sz w:val="18"/>
                <w:szCs w:val="18"/>
                <w:lang w:val="es-ES"/>
              </w:rPr>
            </w:pPr>
            <w:r w:rsidRPr="00353DB1">
              <w:rPr>
                <w:sz w:val="18"/>
                <w:szCs w:val="18"/>
                <w:lang w:val="es-ES"/>
              </w:rPr>
              <w:t>Regul</w:t>
            </w:r>
            <w:r w:rsidR="00353DB1" w:rsidRPr="00353DB1">
              <w:rPr>
                <w:sz w:val="18"/>
                <w:szCs w:val="18"/>
                <w:lang w:val="es-ES"/>
              </w:rPr>
              <w:t xml:space="preserve">a el desarrollo urbano y el ordenamiento territorial </w:t>
            </w:r>
          </w:p>
          <w:p w:rsidR="0007288C" w:rsidRPr="00353DB1" w:rsidRDefault="00353DB1" w:rsidP="00F91221">
            <w:pPr>
              <w:numPr>
                <w:ilvl w:val="0"/>
                <w:numId w:val="38"/>
              </w:numPr>
              <w:ind w:left="176"/>
              <w:contextualSpacing/>
              <w:rPr>
                <w:sz w:val="18"/>
                <w:szCs w:val="18"/>
                <w:lang w:val="es-ES"/>
              </w:rPr>
            </w:pPr>
            <w:r>
              <w:rPr>
                <w:sz w:val="18"/>
                <w:szCs w:val="18"/>
                <w:lang w:val="es-ES"/>
              </w:rPr>
              <w:t>Se encarga de la planificación territorial</w:t>
            </w:r>
          </w:p>
          <w:p w:rsidR="0007288C" w:rsidRPr="002D2A6D" w:rsidRDefault="00353DB1" w:rsidP="00F91221">
            <w:pPr>
              <w:numPr>
                <w:ilvl w:val="0"/>
                <w:numId w:val="38"/>
              </w:numPr>
              <w:ind w:left="176"/>
              <w:contextualSpacing/>
              <w:rPr>
                <w:sz w:val="18"/>
                <w:szCs w:val="18"/>
                <w:lang w:val="es-ES"/>
              </w:rPr>
            </w:pPr>
            <w:r>
              <w:rPr>
                <w:sz w:val="18"/>
                <w:szCs w:val="18"/>
                <w:lang w:val="es-ES"/>
              </w:rPr>
              <w:t>Maneja los catastros</w:t>
            </w:r>
            <w:r w:rsidR="0007288C" w:rsidRPr="002D2A6D">
              <w:rPr>
                <w:sz w:val="18"/>
                <w:szCs w:val="18"/>
                <w:lang w:val="es-ES"/>
              </w:rPr>
              <w:t xml:space="preserve"> municipal</w:t>
            </w:r>
            <w:r>
              <w:rPr>
                <w:sz w:val="18"/>
                <w:szCs w:val="18"/>
                <w:lang w:val="es-ES"/>
              </w:rPr>
              <w:t>es</w:t>
            </w:r>
          </w:p>
          <w:p w:rsidR="0007288C" w:rsidRPr="002D2A6D" w:rsidRDefault="00FF52DD" w:rsidP="00F91221">
            <w:pPr>
              <w:numPr>
                <w:ilvl w:val="0"/>
                <w:numId w:val="38"/>
              </w:numPr>
              <w:ind w:left="176"/>
              <w:contextualSpacing/>
              <w:rPr>
                <w:sz w:val="18"/>
                <w:szCs w:val="18"/>
                <w:lang w:val="es-ES"/>
              </w:rPr>
            </w:pPr>
            <w:r w:rsidRPr="002D2A6D">
              <w:rPr>
                <w:sz w:val="18"/>
                <w:szCs w:val="18"/>
                <w:lang w:val="es-ES"/>
              </w:rPr>
              <w:t>Titulación</w:t>
            </w:r>
            <w:r w:rsidR="002D5586">
              <w:rPr>
                <w:sz w:val="18"/>
                <w:szCs w:val="18"/>
                <w:lang w:val="es-ES"/>
              </w:rPr>
              <w:t xml:space="preserve"> </w:t>
            </w:r>
            <w:r w:rsidR="00903C43" w:rsidRPr="002D2A6D">
              <w:rPr>
                <w:sz w:val="18"/>
                <w:szCs w:val="18"/>
                <w:lang w:val="es-ES"/>
              </w:rPr>
              <w:t>de</w:t>
            </w:r>
            <w:r w:rsidR="002D5586">
              <w:rPr>
                <w:sz w:val="18"/>
                <w:szCs w:val="18"/>
                <w:lang w:val="es-ES"/>
              </w:rPr>
              <w:t xml:space="preserve"> </w:t>
            </w:r>
            <w:r w:rsidR="00C551F4">
              <w:rPr>
                <w:sz w:val="18"/>
                <w:szCs w:val="18"/>
                <w:lang w:val="es-ES"/>
              </w:rPr>
              <w:t xml:space="preserve">asentamientos humanos </w:t>
            </w:r>
            <w:r w:rsidR="0007288C" w:rsidRPr="002D2A6D">
              <w:rPr>
                <w:sz w:val="18"/>
                <w:szCs w:val="18"/>
                <w:lang w:val="es-ES"/>
              </w:rPr>
              <w:t>informal</w:t>
            </w:r>
            <w:r w:rsidR="00C551F4">
              <w:rPr>
                <w:sz w:val="18"/>
                <w:szCs w:val="18"/>
                <w:lang w:val="es-ES"/>
              </w:rPr>
              <w:t>es dentro de su jurisdicción</w:t>
            </w:r>
          </w:p>
          <w:p w:rsidR="0007288C" w:rsidRPr="002D2A6D" w:rsidRDefault="0007288C" w:rsidP="00F91221">
            <w:pPr>
              <w:numPr>
                <w:ilvl w:val="0"/>
                <w:numId w:val="38"/>
              </w:numPr>
              <w:ind w:left="176"/>
              <w:contextualSpacing/>
              <w:rPr>
                <w:sz w:val="18"/>
                <w:szCs w:val="18"/>
                <w:lang w:val="es-ES"/>
              </w:rPr>
            </w:pPr>
            <w:r w:rsidRPr="002D2A6D">
              <w:rPr>
                <w:sz w:val="18"/>
                <w:szCs w:val="18"/>
                <w:lang w:val="es-ES"/>
              </w:rPr>
              <w:t>Man</w:t>
            </w:r>
            <w:r w:rsidR="00C551F4">
              <w:rPr>
                <w:sz w:val="18"/>
                <w:szCs w:val="18"/>
                <w:lang w:val="es-ES"/>
              </w:rPr>
              <w:t>ejo de las zonas costeras</w:t>
            </w:r>
          </w:p>
        </w:tc>
      </w:tr>
    </w:tbl>
    <w:p w:rsidR="000D66EB" w:rsidRPr="002D2A6D" w:rsidRDefault="000D66EB" w:rsidP="000D66EB">
      <w:pPr>
        <w:spacing w:after="240"/>
        <w:jc w:val="both"/>
        <w:rPr>
          <w:b/>
          <w:sz w:val="12"/>
          <w:szCs w:val="12"/>
          <w:lang w:val="es-ES"/>
        </w:rPr>
      </w:pPr>
      <w:bookmarkStart w:id="140" w:name="_Toc342909557"/>
    </w:p>
    <w:p w:rsidR="005968A3" w:rsidRPr="0068151A" w:rsidRDefault="005968A3" w:rsidP="00F91221">
      <w:pPr>
        <w:numPr>
          <w:ilvl w:val="0"/>
          <w:numId w:val="34"/>
        </w:numPr>
        <w:tabs>
          <w:tab w:val="clear" w:pos="360"/>
          <w:tab w:val="num" w:pos="720"/>
        </w:tabs>
        <w:spacing w:after="240"/>
        <w:jc w:val="both"/>
        <w:rPr>
          <w:sz w:val="23"/>
          <w:szCs w:val="23"/>
          <w:lang w:val="es-ES"/>
        </w:rPr>
      </w:pPr>
      <w:r w:rsidRPr="0068151A">
        <w:rPr>
          <w:sz w:val="23"/>
          <w:szCs w:val="23"/>
          <w:lang w:val="es-ES"/>
        </w:rPr>
        <w:t xml:space="preserve">INIDE, </w:t>
      </w:r>
      <w:r w:rsidR="00C551F4" w:rsidRPr="0068151A">
        <w:rPr>
          <w:sz w:val="23"/>
          <w:szCs w:val="23"/>
          <w:lang w:val="es-ES"/>
        </w:rPr>
        <w:t xml:space="preserve">aunque no es una institución en sí relacionada con el tema del ordenamiento de la propiedad, jugará un papel preponderante en el Componente 1 para fortalecer la recopilación y evaluación de datos, incluyendo información sobre la tenencia de la tierra y derechos de propiedad. </w:t>
      </w:r>
      <w:r w:rsidR="00D32497" w:rsidRPr="0068151A">
        <w:rPr>
          <w:sz w:val="23"/>
          <w:szCs w:val="23"/>
          <w:lang w:val="es-ES"/>
        </w:rPr>
        <w:t xml:space="preserve">INIDE es la principal institución encargadas de las estadísticas creada como ente autónomo mediante la ley 612, publicada en la Gaceta el 29 de enero del 2007. </w:t>
      </w:r>
      <w:r w:rsidR="0065704B" w:rsidRPr="0068151A">
        <w:rPr>
          <w:rStyle w:val="FootnoteReference"/>
          <w:sz w:val="23"/>
          <w:szCs w:val="23"/>
          <w:lang w:val="es-ES"/>
        </w:rPr>
        <w:footnoteReference w:id="41"/>
      </w:r>
      <w:r w:rsidR="0092661E" w:rsidRPr="0068151A">
        <w:rPr>
          <w:sz w:val="23"/>
          <w:szCs w:val="23"/>
          <w:lang w:val="es-ES"/>
        </w:rPr>
        <w:t xml:space="preserve">Su misión es recopilar, analizar, preservar, diseminar y brindar acceso a la información estadística que sirva para respaldar </w:t>
      </w:r>
      <w:r w:rsidR="001C3D68" w:rsidRPr="0068151A">
        <w:rPr>
          <w:sz w:val="23"/>
          <w:szCs w:val="23"/>
          <w:lang w:val="es-ES"/>
        </w:rPr>
        <w:t>decisiones políticas y facilitar el diseño y ejecución de programas y proyectos.</w:t>
      </w:r>
    </w:p>
    <w:p w:rsidR="00514B45" w:rsidRPr="0068151A" w:rsidRDefault="001C3D68" w:rsidP="00514B45">
      <w:pPr>
        <w:spacing w:after="120"/>
        <w:jc w:val="both"/>
        <w:rPr>
          <w:b/>
          <w:sz w:val="23"/>
          <w:szCs w:val="23"/>
          <w:lang w:val="es-ES"/>
        </w:rPr>
      </w:pPr>
      <w:r w:rsidRPr="0068151A">
        <w:rPr>
          <w:b/>
          <w:sz w:val="23"/>
          <w:szCs w:val="23"/>
          <w:lang w:val="es-ES"/>
        </w:rPr>
        <w:t>Retos Pendientes</w:t>
      </w:r>
    </w:p>
    <w:p w:rsidR="00514B45" w:rsidRPr="0068151A" w:rsidRDefault="00EA14C0" w:rsidP="00F91221">
      <w:pPr>
        <w:numPr>
          <w:ilvl w:val="0"/>
          <w:numId w:val="34"/>
        </w:numPr>
        <w:tabs>
          <w:tab w:val="clear" w:pos="360"/>
          <w:tab w:val="num" w:pos="720"/>
        </w:tabs>
        <w:spacing w:after="240"/>
        <w:jc w:val="both"/>
        <w:rPr>
          <w:sz w:val="23"/>
          <w:szCs w:val="23"/>
          <w:lang w:val="es-ES"/>
        </w:rPr>
      </w:pPr>
      <w:r w:rsidRPr="0068151A">
        <w:rPr>
          <w:sz w:val="23"/>
          <w:szCs w:val="23"/>
          <w:lang w:val="es-ES"/>
        </w:rPr>
        <w:t xml:space="preserve">A pesar de los logros alcanzados hasta el momento, el sistema de ordenamiento de la propiedad en Nicaragua tiene mucho por mejorar con la finalidad de abordar </w:t>
      </w:r>
      <w:r w:rsidR="006B4DBE" w:rsidRPr="0068151A">
        <w:rPr>
          <w:sz w:val="23"/>
          <w:szCs w:val="23"/>
          <w:lang w:val="es-ES"/>
        </w:rPr>
        <w:t xml:space="preserve">los retos de garantizar los derechos de propiedad de los ciudadanos de una manera más efectiva. El </w:t>
      </w:r>
      <w:r w:rsidR="00F81753" w:rsidRPr="0068151A">
        <w:rPr>
          <w:sz w:val="23"/>
          <w:szCs w:val="23"/>
          <w:lang w:val="es-ES"/>
        </w:rPr>
        <w:t>proyecto propuesto</w:t>
      </w:r>
      <w:r w:rsidR="00850B6A">
        <w:rPr>
          <w:sz w:val="23"/>
          <w:szCs w:val="23"/>
          <w:lang w:val="es-ES"/>
        </w:rPr>
        <w:t xml:space="preserve"> </w:t>
      </w:r>
      <w:r w:rsidR="006B4DBE" w:rsidRPr="0068151A">
        <w:rPr>
          <w:sz w:val="23"/>
          <w:szCs w:val="23"/>
          <w:lang w:val="es-ES"/>
        </w:rPr>
        <w:t>ayudará al país a solucionar dichos retos, entre los cuales:</w:t>
      </w:r>
    </w:p>
    <w:p w:rsidR="00234D97" w:rsidRPr="0068151A" w:rsidRDefault="00234D97" w:rsidP="00F91221">
      <w:pPr>
        <w:numPr>
          <w:ilvl w:val="0"/>
          <w:numId w:val="39"/>
        </w:numPr>
        <w:jc w:val="both"/>
        <w:rPr>
          <w:sz w:val="23"/>
          <w:szCs w:val="23"/>
          <w:lang w:val="es-ES"/>
        </w:rPr>
      </w:pPr>
      <w:r w:rsidRPr="0068151A">
        <w:rPr>
          <w:sz w:val="23"/>
          <w:szCs w:val="23"/>
          <w:lang w:val="es-ES"/>
        </w:rPr>
        <w:t>Contar con una c</w:t>
      </w:r>
      <w:r w:rsidR="006B4DBE" w:rsidRPr="0068151A">
        <w:rPr>
          <w:sz w:val="23"/>
          <w:szCs w:val="23"/>
          <w:lang w:val="es-ES"/>
        </w:rPr>
        <w:t>oordinación</w:t>
      </w:r>
      <w:r w:rsidR="00850B6A">
        <w:rPr>
          <w:sz w:val="23"/>
          <w:szCs w:val="23"/>
          <w:lang w:val="es-ES"/>
        </w:rPr>
        <w:t xml:space="preserve"> </w:t>
      </w:r>
      <w:r w:rsidR="00FF357C" w:rsidRPr="0068151A">
        <w:rPr>
          <w:sz w:val="23"/>
          <w:szCs w:val="23"/>
          <w:lang w:val="es-ES"/>
        </w:rPr>
        <w:t>y</w:t>
      </w:r>
      <w:r w:rsidR="006B4DBE" w:rsidRPr="0068151A">
        <w:rPr>
          <w:sz w:val="23"/>
          <w:szCs w:val="23"/>
          <w:lang w:val="es-ES"/>
        </w:rPr>
        <w:t xml:space="preserve"> co</w:t>
      </w:r>
      <w:r w:rsidR="00A86813" w:rsidRPr="0068151A">
        <w:rPr>
          <w:sz w:val="23"/>
          <w:szCs w:val="23"/>
          <w:lang w:val="es-ES"/>
        </w:rPr>
        <w:t>labora</w:t>
      </w:r>
      <w:r w:rsidR="006B4DBE" w:rsidRPr="0068151A">
        <w:rPr>
          <w:sz w:val="23"/>
          <w:szCs w:val="23"/>
          <w:lang w:val="es-ES"/>
        </w:rPr>
        <w:t>c</w:t>
      </w:r>
      <w:r w:rsidR="00A86813" w:rsidRPr="0068151A">
        <w:rPr>
          <w:sz w:val="23"/>
          <w:szCs w:val="23"/>
          <w:lang w:val="es-ES"/>
        </w:rPr>
        <w:t>i</w:t>
      </w:r>
      <w:r w:rsidR="006B4DBE" w:rsidRPr="0068151A">
        <w:rPr>
          <w:sz w:val="23"/>
          <w:szCs w:val="23"/>
          <w:lang w:val="es-ES"/>
        </w:rPr>
        <w:t>ó</w:t>
      </w:r>
      <w:r w:rsidR="00A86813" w:rsidRPr="0068151A">
        <w:rPr>
          <w:sz w:val="23"/>
          <w:szCs w:val="23"/>
          <w:lang w:val="es-ES"/>
        </w:rPr>
        <w:t>n</w:t>
      </w:r>
      <w:r w:rsidR="006B4DBE" w:rsidRPr="0068151A">
        <w:rPr>
          <w:sz w:val="23"/>
          <w:szCs w:val="23"/>
          <w:lang w:val="es-ES"/>
        </w:rPr>
        <w:t xml:space="preserve"> estrecha y </w:t>
      </w:r>
      <w:r w:rsidRPr="0068151A">
        <w:rPr>
          <w:sz w:val="23"/>
          <w:szCs w:val="23"/>
          <w:lang w:val="es-ES"/>
        </w:rPr>
        <w:t>continua es fundamental para garantizar el progreso y sostenibilidad de los resultados</w:t>
      </w:r>
    </w:p>
    <w:p w:rsidR="00F12D88" w:rsidRPr="0068151A" w:rsidRDefault="00234D97" w:rsidP="00F91221">
      <w:pPr>
        <w:numPr>
          <w:ilvl w:val="0"/>
          <w:numId w:val="39"/>
        </w:numPr>
        <w:jc w:val="both"/>
        <w:rPr>
          <w:sz w:val="23"/>
          <w:szCs w:val="23"/>
          <w:lang w:val="es-ES"/>
        </w:rPr>
      </w:pPr>
      <w:r w:rsidRPr="0068151A">
        <w:rPr>
          <w:sz w:val="23"/>
          <w:szCs w:val="23"/>
          <w:lang w:val="es-ES"/>
        </w:rPr>
        <w:t xml:space="preserve">La plataforma tecnológica requerida para integrar la información catastral – registral </w:t>
      </w:r>
      <w:r w:rsidR="00514B45" w:rsidRPr="0068151A">
        <w:rPr>
          <w:sz w:val="23"/>
          <w:szCs w:val="23"/>
          <w:lang w:val="es-ES"/>
        </w:rPr>
        <w:t xml:space="preserve">(SIICAR) </w:t>
      </w:r>
      <w:r w:rsidRPr="0068151A">
        <w:rPr>
          <w:sz w:val="23"/>
          <w:szCs w:val="23"/>
          <w:lang w:val="es-ES"/>
        </w:rPr>
        <w:t xml:space="preserve">debe ser funcional totalmente y ampliarse más allá de la fase piloto. Al mismo tiempo, el SIICAR debe responder mejor </w:t>
      </w:r>
      <w:r w:rsidR="00B94572" w:rsidRPr="0068151A">
        <w:rPr>
          <w:sz w:val="23"/>
          <w:szCs w:val="23"/>
          <w:lang w:val="es-ES"/>
        </w:rPr>
        <w:t>al marco institucional y jurídico del país</w:t>
      </w:r>
      <w:r w:rsidR="00514B45" w:rsidRPr="0068151A">
        <w:rPr>
          <w:sz w:val="23"/>
          <w:szCs w:val="23"/>
          <w:lang w:val="es-ES"/>
        </w:rPr>
        <w:t>.</w:t>
      </w:r>
      <w:r w:rsidR="00F12D88" w:rsidRPr="0068151A">
        <w:rPr>
          <w:sz w:val="23"/>
          <w:szCs w:val="23"/>
          <w:lang w:val="es-ES"/>
        </w:rPr>
        <w:t xml:space="preserve"> Un esfuerzo concertado, basado en la colaboración estrecha entre el CSJ e INETER, se requiere por ende para mejorar</w:t>
      </w:r>
      <w:r w:rsidR="00B072F9" w:rsidRPr="0068151A">
        <w:rPr>
          <w:sz w:val="23"/>
          <w:szCs w:val="23"/>
          <w:lang w:val="es-ES"/>
        </w:rPr>
        <w:t xml:space="preserve"> la plataforma tecnológica y garantizar su funcionalidad plena.</w:t>
      </w:r>
    </w:p>
    <w:p w:rsidR="00B072F9" w:rsidRPr="0068151A" w:rsidRDefault="00B072F9" w:rsidP="00F91221">
      <w:pPr>
        <w:numPr>
          <w:ilvl w:val="0"/>
          <w:numId w:val="39"/>
        </w:numPr>
        <w:jc w:val="both"/>
        <w:rPr>
          <w:sz w:val="23"/>
          <w:szCs w:val="23"/>
          <w:lang w:val="es-ES"/>
        </w:rPr>
      </w:pPr>
      <w:r w:rsidRPr="0068151A">
        <w:rPr>
          <w:sz w:val="23"/>
          <w:szCs w:val="23"/>
          <w:lang w:val="es-ES"/>
        </w:rPr>
        <w:t xml:space="preserve">La capacidad municipal debe reforzarse para desarrollar la descentralización del sistema de ordenamiento de la propiedad y en particular asegurar la precisión y sostenibilidad del catastro nacional bajo INETER. Los municipios </w:t>
      </w:r>
      <w:r w:rsidR="006A0F34" w:rsidRPr="0068151A">
        <w:rPr>
          <w:sz w:val="23"/>
          <w:szCs w:val="23"/>
          <w:lang w:val="es-ES"/>
        </w:rPr>
        <w:t xml:space="preserve">deben convertirse en actores prominentes del sistema de administración de la tierra y en específico de la gestión de la información catastral. Debido al uso de los diversos métodos nacionales y locales, la información que proviene del catastro físico de INETER y de los catastros municipales no siempre es compatible, por lo que surge </w:t>
      </w:r>
      <w:r w:rsidR="00FF6E43" w:rsidRPr="0068151A">
        <w:rPr>
          <w:sz w:val="23"/>
          <w:szCs w:val="23"/>
          <w:lang w:val="es-ES"/>
        </w:rPr>
        <w:t xml:space="preserve">la necesidad de estandarizarla; esto representa un reto mayúsculo no sólo para la validez de la información del catastro nacional, sino también </w:t>
      </w:r>
      <w:r w:rsidR="001801C0" w:rsidRPr="0068151A">
        <w:rPr>
          <w:sz w:val="23"/>
          <w:szCs w:val="23"/>
          <w:lang w:val="es-ES"/>
        </w:rPr>
        <w:t>para la interrelación final que se espera entre la información catastral y la registral.</w:t>
      </w:r>
    </w:p>
    <w:p w:rsidR="00200604" w:rsidRPr="0068151A" w:rsidRDefault="001801C0" w:rsidP="00F91221">
      <w:pPr>
        <w:numPr>
          <w:ilvl w:val="0"/>
          <w:numId w:val="39"/>
        </w:numPr>
        <w:jc w:val="both"/>
        <w:rPr>
          <w:sz w:val="23"/>
          <w:szCs w:val="23"/>
          <w:lang w:val="es-ES"/>
        </w:rPr>
      </w:pPr>
      <w:r w:rsidRPr="0068151A">
        <w:rPr>
          <w:sz w:val="23"/>
          <w:szCs w:val="23"/>
          <w:lang w:val="es-ES"/>
        </w:rPr>
        <w:t>La capacidad institucional de la CSJ, responsable del sistema nacional de registro</w:t>
      </w:r>
      <w:r w:rsidR="003F7FC0" w:rsidRPr="0068151A">
        <w:rPr>
          <w:sz w:val="23"/>
          <w:szCs w:val="23"/>
          <w:lang w:val="es-ES"/>
        </w:rPr>
        <w:t xml:space="preserve"> debe fortalecerse a la vez que se modernicen los registros regionales de la propiedad. En términos particulares,</w:t>
      </w:r>
      <w:r w:rsidR="00200604" w:rsidRPr="0068151A">
        <w:rPr>
          <w:sz w:val="23"/>
          <w:szCs w:val="23"/>
          <w:lang w:val="es-ES"/>
        </w:rPr>
        <w:t xml:space="preserve"> la CSJ requiere reforzar su capacidad para responder con mayor eficiencia a la alta demanda resultante del creciente volumen de títulos de propiedad entregados.</w:t>
      </w:r>
    </w:p>
    <w:p w:rsidR="00937AE9" w:rsidRPr="0068151A" w:rsidRDefault="00200604" w:rsidP="00F91221">
      <w:pPr>
        <w:numPr>
          <w:ilvl w:val="0"/>
          <w:numId w:val="39"/>
        </w:numPr>
        <w:jc w:val="both"/>
        <w:rPr>
          <w:sz w:val="23"/>
          <w:szCs w:val="23"/>
          <w:lang w:val="es-ES"/>
        </w:rPr>
      </w:pPr>
      <w:r w:rsidRPr="0068151A">
        <w:rPr>
          <w:sz w:val="23"/>
          <w:szCs w:val="23"/>
          <w:lang w:val="es-ES"/>
        </w:rPr>
        <w:lastRenderedPageBreak/>
        <w:t xml:space="preserve">La mediación de los conflictos por propiedades demanda un enfoque especial. La DIRAC de la CSJ fue creada con el propósito de acelerar los procedimientos de regularización </w:t>
      </w:r>
      <w:r w:rsidR="00937AE9" w:rsidRPr="0068151A">
        <w:rPr>
          <w:sz w:val="23"/>
          <w:szCs w:val="23"/>
          <w:lang w:val="es-ES"/>
        </w:rPr>
        <w:t>al resolver reclamos sobre propiedades y hasta el momento se han obtenido buenos resultados. Sin embargo, la DIRAC en la actualidad ofrece servicios cubriendo una gama más amplia de tipos de conflictos, lo cual obstaculiza su mandato inicial.</w:t>
      </w:r>
    </w:p>
    <w:p w:rsidR="00937AE9" w:rsidRPr="0068151A" w:rsidRDefault="00937AE9">
      <w:pPr>
        <w:rPr>
          <w:b/>
          <w:sz w:val="23"/>
          <w:szCs w:val="23"/>
          <w:lang w:val="es-NI"/>
        </w:rPr>
      </w:pPr>
      <w:r w:rsidRPr="0068151A">
        <w:rPr>
          <w:sz w:val="23"/>
          <w:szCs w:val="23"/>
          <w:lang w:val="es-NI"/>
        </w:rPr>
        <w:br w:type="page"/>
      </w:r>
    </w:p>
    <w:p w:rsidR="00537FA0" w:rsidRPr="00937AE9" w:rsidRDefault="005B6CFA" w:rsidP="00161DCB">
      <w:pPr>
        <w:pStyle w:val="Heading4"/>
      </w:pPr>
      <w:bookmarkStart w:id="141" w:name="_Toc357981089"/>
      <w:r w:rsidRPr="00937AE9">
        <w:lastRenderedPageBreak/>
        <w:t>Anexo</w:t>
      </w:r>
      <w:r w:rsidR="00537FA0" w:rsidRPr="00937AE9">
        <w:t xml:space="preserve"> 7: </w:t>
      </w:r>
      <w:r w:rsidR="00937AE9" w:rsidRPr="00937AE9">
        <w:t xml:space="preserve">Enfoque </w:t>
      </w:r>
      <w:r w:rsidR="00937AE9">
        <w:t>Estratégico</w:t>
      </w:r>
      <w:r w:rsidR="00937AE9" w:rsidRPr="00937AE9">
        <w:t xml:space="preserve"> para </w:t>
      </w:r>
      <w:r w:rsidR="00937AE9">
        <w:t>M</w:t>
      </w:r>
      <w:r w:rsidR="00937AE9" w:rsidRPr="00937AE9">
        <w:t xml:space="preserve">ejorar la Capacidad de Emergencia de </w:t>
      </w:r>
      <w:r w:rsidR="00937AE9">
        <w:t>Nicaragua</w:t>
      </w:r>
      <w:bookmarkEnd w:id="140"/>
      <w:bookmarkEnd w:id="141"/>
    </w:p>
    <w:p w:rsidR="000F113D" w:rsidRPr="00937AE9" w:rsidRDefault="00537FA0" w:rsidP="0038552B">
      <w:pPr>
        <w:pStyle w:val="PDSAnnexHeading"/>
        <w:rPr>
          <w:lang w:val="es-ES"/>
        </w:rPr>
      </w:pPr>
      <w:bookmarkStart w:id="142" w:name="_Toc342732231"/>
      <w:bookmarkStart w:id="143" w:name="_Toc342909558"/>
      <w:r w:rsidRPr="00937AE9">
        <w:rPr>
          <w:lang w:val="es-ES"/>
        </w:rPr>
        <w:t>NICARAGUA</w:t>
      </w:r>
      <w:r w:rsidRPr="00937AE9">
        <w:rPr>
          <w:bCs/>
          <w:caps/>
          <w:lang w:val="es-ES"/>
        </w:rPr>
        <w:t xml:space="preserve">: </w:t>
      </w:r>
      <w:r w:rsidR="001209FA" w:rsidRPr="00937AE9">
        <w:rPr>
          <w:lang w:val="es-ES"/>
        </w:rPr>
        <w:t>Segundo Proyecto de Ordenamiento de la Propiedad</w:t>
      </w:r>
      <w:bookmarkEnd w:id="142"/>
      <w:bookmarkEnd w:id="143"/>
    </w:p>
    <w:p w:rsidR="004C440C" w:rsidRPr="00665F61" w:rsidRDefault="00937AE9" w:rsidP="00F91221">
      <w:pPr>
        <w:pStyle w:val="ListParagraph"/>
        <w:widowControl w:val="0"/>
        <w:numPr>
          <w:ilvl w:val="0"/>
          <w:numId w:val="29"/>
        </w:numPr>
        <w:adjustRightInd w:val="0"/>
        <w:jc w:val="both"/>
        <w:textAlignment w:val="baseline"/>
        <w:rPr>
          <w:i/>
          <w:sz w:val="23"/>
          <w:szCs w:val="23"/>
          <w:lang w:val="es-ES"/>
        </w:rPr>
      </w:pPr>
      <w:r w:rsidRPr="00665F61">
        <w:rPr>
          <w:sz w:val="23"/>
          <w:szCs w:val="23"/>
          <w:lang w:val="es-NI"/>
        </w:rPr>
        <w:t xml:space="preserve">Además de </w:t>
      </w:r>
      <w:r w:rsidR="00C1785A" w:rsidRPr="00665F61">
        <w:rPr>
          <w:sz w:val="23"/>
          <w:szCs w:val="23"/>
          <w:lang w:val="es-NI"/>
        </w:rPr>
        <w:t>presentar</w:t>
      </w:r>
      <w:r w:rsidRPr="00665F61">
        <w:rPr>
          <w:sz w:val="23"/>
          <w:szCs w:val="23"/>
          <w:lang w:val="es-NI"/>
        </w:rPr>
        <w:t xml:space="preserve"> susceptibilidad </w:t>
      </w:r>
      <w:r w:rsidR="00C1785A" w:rsidRPr="00665F61">
        <w:rPr>
          <w:sz w:val="23"/>
          <w:szCs w:val="23"/>
          <w:lang w:val="es-NI"/>
        </w:rPr>
        <w:t xml:space="preserve">ante trastornos externos, Nicaragua es muy vulnerable ante los desastres. El desarrollo socioeconómico del país se ha visto históricamente </w:t>
      </w:r>
      <w:r w:rsidR="009A4763" w:rsidRPr="00665F61">
        <w:rPr>
          <w:sz w:val="23"/>
          <w:szCs w:val="23"/>
          <w:lang w:val="es-NI"/>
        </w:rPr>
        <w:t>afectado por desastres devastadores genera</w:t>
      </w:r>
      <w:r w:rsidR="00850B6A">
        <w:rPr>
          <w:sz w:val="23"/>
          <w:szCs w:val="23"/>
          <w:lang w:val="es-NI"/>
        </w:rPr>
        <w:t>d</w:t>
      </w:r>
      <w:r w:rsidR="009A4763" w:rsidRPr="00665F61">
        <w:rPr>
          <w:sz w:val="23"/>
          <w:szCs w:val="23"/>
          <w:lang w:val="es-NI"/>
        </w:rPr>
        <w:t xml:space="preserve">os en los ambientes océanos del Pacifico y del Atlántico o por el complejo sistema tectónico </w:t>
      </w:r>
      <w:r w:rsidR="004C440C" w:rsidRPr="00665F61">
        <w:rPr>
          <w:sz w:val="23"/>
          <w:szCs w:val="23"/>
          <w:lang w:val="es-NI"/>
        </w:rPr>
        <w:t>responsable de la actividad sísmica y volcánica del país. Como resultado, el país se ha visto muy afectado por fenómenos climáticos como  sequias, huracanes, la oscilación del sur – El Niño y sus eventos asociados como inundaciones y deslizamientos de tierra, junto con eventos geológicos (Ej. terremotos y erupciones volcánicas).</w:t>
      </w:r>
    </w:p>
    <w:p w:rsidR="004C440C" w:rsidRPr="00665F61" w:rsidRDefault="004C440C" w:rsidP="004C440C">
      <w:pPr>
        <w:pStyle w:val="ListParagraph"/>
        <w:widowControl w:val="0"/>
        <w:adjustRightInd w:val="0"/>
        <w:ind w:left="0"/>
        <w:jc w:val="both"/>
        <w:textAlignment w:val="baseline"/>
        <w:rPr>
          <w:i/>
          <w:sz w:val="23"/>
          <w:szCs w:val="23"/>
          <w:lang w:val="es-ES"/>
        </w:rPr>
      </w:pPr>
    </w:p>
    <w:p w:rsidR="006E0195" w:rsidRPr="00665F61" w:rsidRDefault="00F2032E" w:rsidP="00F91221">
      <w:pPr>
        <w:pStyle w:val="ListParagraph"/>
        <w:widowControl w:val="0"/>
        <w:numPr>
          <w:ilvl w:val="0"/>
          <w:numId w:val="29"/>
        </w:numPr>
        <w:adjustRightInd w:val="0"/>
        <w:jc w:val="both"/>
        <w:textAlignment w:val="baseline"/>
        <w:rPr>
          <w:i/>
          <w:sz w:val="23"/>
          <w:szCs w:val="23"/>
          <w:lang w:val="es-ES"/>
        </w:rPr>
      </w:pPr>
      <w:r w:rsidRPr="00665F61">
        <w:rPr>
          <w:sz w:val="23"/>
          <w:szCs w:val="23"/>
          <w:lang w:val="es-NI"/>
        </w:rPr>
        <w:t xml:space="preserve">Sólo en el último lustro, Nicaragua ha sido testigo de los efectos de cinco tormentas y huracanes de gran poder destructivo que han provocado mucho sufrimiento y devastadoras pérdidas </w:t>
      </w:r>
      <w:r w:rsidR="00805C75" w:rsidRPr="00665F61">
        <w:rPr>
          <w:sz w:val="23"/>
          <w:szCs w:val="23"/>
          <w:lang w:val="es-NI"/>
        </w:rPr>
        <w:t>económicas y financieras. Como es común en esas situaciones, la infraestructura social básica es la más golpeada, en específico sistemas de acueductos y alcantarillados, escuelas, hospitales, hogares, sistema de transporte y el sector agropecuario</w:t>
      </w:r>
      <w:r w:rsidR="00822F00" w:rsidRPr="00665F61">
        <w:rPr>
          <w:sz w:val="23"/>
          <w:szCs w:val="23"/>
          <w:lang w:val="es-NI"/>
        </w:rPr>
        <w:t>. El PIB que se pierde o</w:t>
      </w:r>
      <w:r w:rsidR="00B9759D">
        <w:rPr>
          <w:sz w:val="23"/>
          <w:szCs w:val="23"/>
          <w:lang w:val="es-NI"/>
        </w:rPr>
        <w:t xml:space="preserve"> </w:t>
      </w:r>
      <w:r w:rsidR="00822F00" w:rsidRPr="00665F61">
        <w:rPr>
          <w:sz w:val="23"/>
          <w:szCs w:val="23"/>
          <w:lang w:val="es-NI"/>
        </w:rPr>
        <w:t>se desvía para responder a las emergencias y recuperación de estos desastres ilustra con claridad la vulnerabilidad inherente de Nicaragua; las sequias del 2001 provocaron pérdidas equivalentes al 2.15% del PIB; el huracán Félix del 2007 causó pérdidas del 14.4% del PIB; las lluvias torrenciales</w:t>
      </w:r>
      <w:r w:rsidR="00CE28D3" w:rsidRPr="00665F61">
        <w:rPr>
          <w:sz w:val="23"/>
          <w:szCs w:val="23"/>
          <w:lang w:val="es-NI"/>
        </w:rPr>
        <w:t xml:space="preserve"> que azotaron la región noroccidental del 2007 y la depresión 12E del 2011 barrieron con el 3% y 6.8% del PIB respectivamente. Aunque todavía no se cuenta con una estimación precisa de las pérdidas del PIB ocasionadas por el huracán IDA en el 2009, es muy probable que sean significativas. </w:t>
      </w:r>
      <w:r w:rsidR="003350A6" w:rsidRPr="00665F61">
        <w:rPr>
          <w:sz w:val="23"/>
          <w:szCs w:val="23"/>
          <w:lang w:val="es-NI"/>
        </w:rPr>
        <w:t xml:space="preserve">Los ajustes </w:t>
      </w:r>
      <w:r w:rsidR="00273CC7" w:rsidRPr="00665F61">
        <w:rPr>
          <w:sz w:val="23"/>
          <w:szCs w:val="23"/>
          <w:lang w:val="es-NI"/>
        </w:rPr>
        <w:t xml:space="preserve">del programa de país realizados bajo la AEP 2008 – 2012 fueron necesarios para acomodarse a las solicitudes que hizo el </w:t>
      </w:r>
      <w:r w:rsidR="00B9759D">
        <w:rPr>
          <w:sz w:val="23"/>
          <w:szCs w:val="23"/>
          <w:lang w:val="es-NI"/>
        </w:rPr>
        <w:t>G</w:t>
      </w:r>
      <w:r w:rsidR="00273CC7" w:rsidRPr="00665F61">
        <w:rPr>
          <w:sz w:val="23"/>
          <w:szCs w:val="23"/>
          <w:lang w:val="es-NI"/>
        </w:rPr>
        <w:t xml:space="preserve">obierno por ayuda después del paso del huracán </w:t>
      </w:r>
      <w:r w:rsidR="0042322C" w:rsidRPr="00665F61">
        <w:rPr>
          <w:sz w:val="23"/>
          <w:szCs w:val="23"/>
          <w:lang w:val="es-NI"/>
        </w:rPr>
        <w:t>Félix (2007), la crisis de los precios de los alimentos y del petróleo  (2008) y la aparición de la epidemia de gripe H1N1 en el 2009.  Estos eventos contribuyeron a generar mayores déficits fiscales y endeudamiento que obligaron a Nicaragua a reestructurar su deuda pública en el 2007</w:t>
      </w:r>
      <w:r w:rsidR="006E0195" w:rsidRPr="00665F61">
        <w:rPr>
          <w:sz w:val="23"/>
          <w:szCs w:val="23"/>
          <w:lang w:val="es-NI"/>
        </w:rPr>
        <w:t xml:space="preserve"> y que provocaron problemas durante la aplicación de la AEP anterior. Al mismo tiempo, las graves limitaciones presupuestarias han limitado la capacidad de Nicaragua para financiar actividades de adaptación y mitigación. </w:t>
      </w:r>
    </w:p>
    <w:p w:rsidR="00B7099D" w:rsidRPr="00665F61" w:rsidRDefault="00B7099D" w:rsidP="00B7099D">
      <w:pPr>
        <w:pStyle w:val="ListParagraph"/>
        <w:widowControl w:val="0"/>
        <w:adjustRightInd w:val="0"/>
        <w:ind w:left="0"/>
        <w:jc w:val="both"/>
        <w:textAlignment w:val="baseline"/>
        <w:rPr>
          <w:i/>
          <w:sz w:val="23"/>
          <w:szCs w:val="23"/>
          <w:lang w:val="es-ES"/>
        </w:rPr>
      </w:pPr>
    </w:p>
    <w:p w:rsidR="00B7099D" w:rsidRPr="00665F61" w:rsidRDefault="00B7099D" w:rsidP="00F91221">
      <w:pPr>
        <w:pStyle w:val="ListParagraph"/>
        <w:widowControl w:val="0"/>
        <w:numPr>
          <w:ilvl w:val="0"/>
          <w:numId w:val="29"/>
        </w:numPr>
        <w:adjustRightInd w:val="0"/>
        <w:jc w:val="both"/>
        <w:textAlignment w:val="baseline"/>
        <w:rPr>
          <w:i/>
          <w:sz w:val="23"/>
          <w:szCs w:val="23"/>
          <w:lang w:val="es-ES"/>
        </w:rPr>
      </w:pPr>
      <w:r w:rsidRPr="00665F61">
        <w:rPr>
          <w:sz w:val="23"/>
          <w:szCs w:val="23"/>
          <w:lang w:val="es-ES"/>
        </w:rPr>
        <w:t xml:space="preserve">Sin embargo, </w:t>
      </w:r>
      <w:r w:rsidR="007F11E0" w:rsidRPr="00665F61">
        <w:rPr>
          <w:sz w:val="23"/>
          <w:szCs w:val="23"/>
          <w:lang w:val="es-ES"/>
        </w:rPr>
        <w:t xml:space="preserve">un avance alentador </w:t>
      </w:r>
      <w:r w:rsidR="0026089E" w:rsidRPr="00665F61">
        <w:rPr>
          <w:sz w:val="23"/>
          <w:szCs w:val="23"/>
          <w:lang w:val="es-ES"/>
        </w:rPr>
        <w:t>ha sido</w:t>
      </w:r>
      <w:r w:rsidR="007F11E0" w:rsidRPr="00665F61">
        <w:rPr>
          <w:sz w:val="23"/>
          <w:szCs w:val="23"/>
          <w:lang w:val="es-ES"/>
        </w:rPr>
        <w:t xml:space="preserve"> evidente desde el año 2000 cuando se establecieron sólidos  mecanismos institucionales </w:t>
      </w:r>
      <w:r w:rsidR="004720FE" w:rsidRPr="00665F61">
        <w:rPr>
          <w:sz w:val="23"/>
          <w:szCs w:val="23"/>
          <w:lang w:val="es-ES"/>
        </w:rPr>
        <w:t xml:space="preserve">y jurídicos de la GRD a través del Sistema Nacional </w:t>
      </w:r>
      <w:r w:rsidR="0026089E" w:rsidRPr="00665F61">
        <w:rPr>
          <w:sz w:val="23"/>
          <w:szCs w:val="23"/>
          <w:lang w:val="es-ES"/>
        </w:rPr>
        <w:t>para la</w:t>
      </w:r>
      <w:r w:rsidR="004720FE" w:rsidRPr="00665F61">
        <w:rPr>
          <w:sz w:val="23"/>
          <w:szCs w:val="23"/>
          <w:lang w:val="es-ES"/>
        </w:rPr>
        <w:t xml:space="preserve"> Prevención, Mitigación y </w:t>
      </w:r>
      <w:r w:rsidR="0026089E" w:rsidRPr="00665F61">
        <w:rPr>
          <w:sz w:val="23"/>
          <w:szCs w:val="23"/>
          <w:lang w:val="es-ES"/>
        </w:rPr>
        <w:t>Atención</w:t>
      </w:r>
      <w:r w:rsidR="004720FE" w:rsidRPr="00665F61">
        <w:rPr>
          <w:sz w:val="23"/>
          <w:szCs w:val="23"/>
          <w:lang w:val="es-ES"/>
        </w:rPr>
        <w:t xml:space="preserve"> de Desastres (SINAPRED)</w:t>
      </w:r>
      <w:r w:rsidR="0026089E" w:rsidRPr="00665F61">
        <w:rPr>
          <w:sz w:val="23"/>
          <w:szCs w:val="23"/>
          <w:lang w:val="es-ES"/>
        </w:rPr>
        <w:t xml:space="preserve">. Este marco apoyado por el Banco Mundial y demás donantes ha facilitado </w:t>
      </w:r>
      <w:r w:rsidR="007C5355" w:rsidRPr="00665F61">
        <w:rPr>
          <w:sz w:val="23"/>
          <w:szCs w:val="23"/>
          <w:lang w:val="es-ES"/>
        </w:rPr>
        <w:t xml:space="preserve">la formulación de la Política Nacional de Gestión de Riesgos (PNGR) junto con un documento integral denominado Plan Nacional de Gestión de Riesgos (PNGR). Cabe señalar que el PNGR está alineado con la </w:t>
      </w:r>
      <w:r w:rsidR="007819B6" w:rsidRPr="00665F61">
        <w:rPr>
          <w:sz w:val="23"/>
          <w:szCs w:val="23"/>
          <w:lang w:val="es-ES"/>
        </w:rPr>
        <w:t xml:space="preserve">Política Centroamérica de Gestión Integral del Riesgo de Desastres </w:t>
      </w:r>
      <w:r w:rsidR="007819B6" w:rsidRPr="00665F61">
        <w:rPr>
          <w:sz w:val="23"/>
          <w:szCs w:val="23"/>
          <w:lang w:val="es-NI"/>
        </w:rPr>
        <w:t xml:space="preserve">(PCGIR) y con el </w:t>
      </w:r>
      <w:r w:rsidR="007819B6" w:rsidRPr="00665F61">
        <w:rPr>
          <w:bCs/>
          <w:sz w:val="23"/>
          <w:szCs w:val="23"/>
          <w:lang w:val="es-NI"/>
        </w:rPr>
        <w:t>Plan Regional</w:t>
      </w:r>
      <w:r w:rsidR="007819B6" w:rsidRPr="00665F61">
        <w:rPr>
          <w:sz w:val="23"/>
          <w:szCs w:val="23"/>
          <w:lang w:val="es-NI"/>
        </w:rPr>
        <w:t> de Reducción de Desastres (PRRD</w:t>
      </w:r>
      <w:r w:rsidR="007819B6" w:rsidRPr="00665F61">
        <w:rPr>
          <w:sz w:val="23"/>
          <w:szCs w:val="23"/>
          <w:lang w:val="es-ES"/>
        </w:rPr>
        <w:t xml:space="preserve">), </w:t>
      </w:r>
      <w:r w:rsidR="00DC40B5" w:rsidRPr="00665F61">
        <w:rPr>
          <w:sz w:val="23"/>
          <w:szCs w:val="23"/>
          <w:lang w:val="es-ES"/>
        </w:rPr>
        <w:t>tal como lo promueve el Centro de Coordinación para la Prevención de los Desastres Naturales en América Central (CEPREDENAC) y el Marco de Acción de Hyogo a nivel global.</w:t>
      </w:r>
    </w:p>
    <w:p w:rsidR="00F87D3B" w:rsidRPr="00665F61" w:rsidRDefault="00F87D3B" w:rsidP="00483910">
      <w:pPr>
        <w:pStyle w:val="ListParagraph"/>
        <w:widowControl w:val="0"/>
        <w:adjustRightInd w:val="0"/>
        <w:ind w:left="0"/>
        <w:jc w:val="both"/>
        <w:textAlignment w:val="baseline"/>
        <w:rPr>
          <w:i/>
          <w:sz w:val="23"/>
          <w:szCs w:val="23"/>
          <w:lang w:val="es-ES"/>
        </w:rPr>
      </w:pPr>
    </w:p>
    <w:p w:rsidR="00F87D3B" w:rsidRPr="00665F61" w:rsidRDefault="00DC40B5" w:rsidP="00F91221">
      <w:pPr>
        <w:pStyle w:val="ListParagraph"/>
        <w:widowControl w:val="0"/>
        <w:numPr>
          <w:ilvl w:val="0"/>
          <w:numId w:val="29"/>
        </w:numPr>
        <w:adjustRightInd w:val="0"/>
        <w:jc w:val="both"/>
        <w:textAlignment w:val="baseline"/>
        <w:rPr>
          <w:sz w:val="23"/>
          <w:szCs w:val="23"/>
          <w:lang w:val="es-ES"/>
        </w:rPr>
      </w:pPr>
      <w:r w:rsidRPr="00665F61">
        <w:rPr>
          <w:sz w:val="23"/>
          <w:szCs w:val="23"/>
          <w:lang w:val="es-ES"/>
        </w:rPr>
        <w:t xml:space="preserve">La evaluación de riesgos a nivel sectorial y la formulación </w:t>
      </w:r>
      <w:r w:rsidR="0062550C" w:rsidRPr="00665F61">
        <w:rPr>
          <w:sz w:val="23"/>
          <w:szCs w:val="23"/>
          <w:lang w:val="es-ES"/>
        </w:rPr>
        <w:t xml:space="preserve">de una estrategia nacional de financiamiento de la gestión de riesgos son dos de las contribuciones más importantes planificadas por el Banco Mundial </w:t>
      </w:r>
      <w:r w:rsidR="00C63710" w:rsidRPr="00665F61">
        <w:rPr>
          <w:sz w:val="23"/>
          <w:szCs w:val="23"/>
          <w:lang w:val="es-ES"/>
        </w:rPr>
        <w:t>en la AEP correspondiente al periodo 2013 – 2017 junto con el apoyo continuo al fortalecimiento y coordinación institucional de SINAPRED y su capacidad para integrar los niveles municipales en los esfuerzos de la GRD. En este aspecto, el acceso</w:t>
      </w:r>
      <w:r w:rsidR="003340D9" w:rsidRPr="00665F61">
        <w:rPr>
          <w:sz w:val="23"/>
          <w:szCs w:val="23"/>
          <w:lang w:val="es-ES"/>
        </w:rPr>
        <w:t xml:space="preserve"> que le brinda el Proyecto a</w:t>
      </w:r>
      <w:r w:rsidR="00C63710" w:rsidRPr="00665F61">
        <w:rPr>
          <w:sz w:val="23"/>
          <w:szCs w:val="23"/>
          <w:lang w:val="es-ES"/>
        </w:rPr>
        <w:t xml:space="preserve"> Nicaragua fondos de emergencia</w:t>
      </w:r>
      <w:r w:rsidR="003340D9" w:rsidRPr="00665F61">
        <w:rPr>
          <w:sz w:val="23"/>
          <w:szCs w:val="23"/>
          <w:lang w:val="es-ES"/>
        </w:rPr>
        <w:t xml:space="preserve"> a través del Componente 5 y eventualmente del Mecanismo de Respuesta Inmediata de la AIF (MRI) integrado en otros proyectos de la cartera de país, complementará la estrategia nacional de financiamiento de riesgos de desastres al brindar recursos líquidos que permitirán enfrentar de manera inmediata cualquier emergencia</w:t>
      </w:r>
      <w:r w:rsidR="009F3769">
        <w:rPr>
          <w:sz w:val="23"/>
          <w:szCs w:val="23"/>
          <w:lang w:val="es-ES"/>
        </w:rPr>
        <w:t xml:space="preserve"> </w:t>
      </w:r>
      <w:r w:rsidR="00B9759D">
        <w:rPr>
          <w:sz w:val="23"/>
          <w:szCs w:val="23"/>
          <w:lang w:val="es-ES"/>
        </w:rPr>
        <w:t>elegible</w:t>
      </w:r>
      <w:r w:rsidR="003340D9" w:rsidRPr="00665F61">
        <w:rPr>
          <w:sz w:val="23"/>
          <w:szCs w:val="23"/>
          <w:lang w:val="es-ES"/>
        </w:rPr>
        <w:t>.</w:t>
      </w:r>
    </w:p>
    <w:p w:rsidR="00F87D3B" w:rsidRPr="00DC40B5" w:rsidRDefault="00F87D3B" w:rsidP="00F87D3B">
      <w:pPr>
        <w:pStyle w:val="ListParagraph"/>
        <w:ind w:left="0"/>
        <w:rPr>
          <w:lang w:val="es-ES"/>
        </w:rPr>
      </w:pPr>
    </w:p>
    <w:p w:rsidR="00F87D3B" w:rsidRPr="00D53383" w:rsidRDefault="00A7778B" w:rsidP="00D53383">
      <w:pPr>
        <w:pStyle w:val="ListParagraph"/>
        <w:widowControl w:val="0"/>
        <w:adjustRightInd w:val="0"/>
        <w:ind w:left="0"/>
        <w:jc w:val="both"/>
        <w:textAlignment w:val="baseline"/>
        <w:rPr>
          <w:b/>
          <w:lang w:val="es-ES"/>
        </w:rPr>
      </w:pPr>
      <w:r w:rsidRPr="00D53383">
        <w:rPr>
          <w:b/>
          <w:lang w:val="es-ES"/>
        </w:rPr>
        <w:t>Objetivo</w:t>
      </w:r>
    </w:p>
    <w:p w:rsidR="00F87D3B" w:rsidRPr="0038552B" w:rsidRDefault="00F87D3B" w:rsidP="00F87D3B">
      <w:pPr>
        <w:pStyle w:val="ListParagraph"/>
        <w:ind w:left="0"/>
        <w:rPr>
          <w:sz w:val="23"/>
          <w:szCs w:val="23"/>
          <w:lang w:val="es-ES"/>
        </w:rPr>
      </w:pPr>
    </w:p>
    <w:p w:rsidR="00B43F24" w:rsidRPr="0038552B" w:rsidRDefault="00F81753" w:rsidP="00F91221">
      <w:pPr>
        <w:pStyle w:val="ListParagraph"/>
        <w:widowControl w:val="0"/>
        <w:numPr>
          <w:ilvl w:val="0"/>
          <w:numId w:val="29"/>
        </w:numPr>
        <w:adjustRightInd w:val="0"/>
        <w:jc w:val="both"/>
        <w:textAlignment w:val="baseline"/>
        <w:rPr>
          <w:sz w:val="23"/>
          <w:szCs w:val="23"/>
          <w:lang w:val="es-NI"/>
        </w:rPr>
      </w:pPr>
      <w:r w:rsidRPr="0038552B">
        <w:rPr>
          <w:sz w:val="23"/>
          <w:szCs w:val="23"/>
          <w:lang w:val="es-ES"/>
        </w:rPr>
        <w:t>El proyecto propuesto</w:t>
      </w:r>
      <w:r w:rsidR="00B77979" w:rsidRPr="0038552B">
        <w:rPr>
          <w:sz w:val="23"/>
          <w:szCs w:val="23"/>
          <w:lang w:val="es-ES"/>
        </w:rPr>
        <w:t xml:space="preserve">, </w:t>
      </w:r>
      <w:r w:rsidR="00D53383" w:rsidRPr="0038552B">
        <w:rPr>
          <w:sz w:val="23"/>
          <w:szCs w:val="23"/>
          <w:lang w:val="es-ES"/>
        </w:rPr>
        <w:t>como</w:t>
      </w:r>
      <w:r w:rsidR="00B77979" w:rsidRPr="0038552B">
        <w:rPr>
          <w:sz w:val="23"/>
          <w:szCs w:val="23"/>
          <w:lang w:val="es-ES"/>
        </w:rPr>
        <w:t xml:space="preserve"> part</w:t>
      </w:r>
      <w:r w:rsidR="00D53383" w:rsidRPr="0038552B">
        <w:rPr>
          <w:sz w:val="23"/>
          <w:szCs w:val="23"/>
          <w:lang w:val="es-ES"/>
        </w:rPr>
        <w:t>e de los</w:t>
      </w:r>
      <w:r w:rsidR="00B9759D">
        <w:rPr>
          <w:sz w:val="23"/>
          <w:szCs w:val="23"/>
          <w:lang w:val="es-ES"/>
        </w:rPr>
        <w:t xml:space="preserve"> </w:t>
      </w:r>
      <w:r w:rsidR="003A721E" w:rsidRPr="0038552B">
        <w:rPr>
          <w:sz w:val="23"/>
          <w:szCs w:val="23"/>
          <w:lang w:val="es-ES"/>
        </w:rPr>
        <w:t>ODP</w:t>
      </w:r>
      <w:r w:rsidR="00D53383" w:rsidRPr="0038552B">
        <w:rPr>
          <w:sz w:val="23"/>
          <w:szCs w:val="23"/>
          <w:lang w:val="es-ES"/>
        </w:rPr>
        <w:t xml:space="preserve"> ayudará a elevar la capacidad </w:t>
      </w:r>
      <w:r w:rsidR="006A3F03" w:rsidRPr="0038552B">
        <w:rPr>
          <w:sz w:val="23"/>
          <w:szCs w:val="23"/>
          <w:lang w:val="es-ES"/>
        </w:rPr>
        <w:t>de Nicaragua para responder con prontitud y efectividad ante una emergencia relevante. Este objetivo se alcanzará a través del acceso rápido a recursos financieros de la AIF</w:t>
      </w:r>
      <w:r w:rsidR="006253FB" w:rsidRPr="0038552B">
        <w:rPr>
          <w:sz w:val="23"/>
          <w:szCs w:val="23"/>
          <w:lang w:val="es-ES"/>
        </w:rPr>
        <w:t xml:space="preserve"> en las postrimerías de un emergencia, concretado mediante el </w:t>
      </w:r>
      <w:r w:rsidR="006253FB" w:rsidRPr="0038552B">
        <w:rPr>
          <w:bCs/>
          <w:sz w:val="23"/>
          <w:szCs w:val="23"/>
          <w:lang w:val="es-ES"/>
        </w:rPr>
        <w:t>Componente Contingente de Respuestas a Emergencias (</w:t>
      </w:r>
      <w:r w:rsidR="00EB2358" w:rsidRPr="0038552B">
        <w:rPr>
          <w:bCs/>
          <w:sz w:val="23"/>
          <w:szCs w:val="23"/>
          <w:lang w:val="es-ES"/>
        </w:rPr>
        <w:t xml:space="preserve">CERC) con una asignación inicial de US$ 8.00 </w:t>
      </w:r>
      <w:r w:rsidR="001351F1" w:rsidRPr="0038552B">
        <w:rPr>
          <w:sz w:val="23"/>
          <w:szCs w:val="23"/>
          <w:lang w:val="es-ES"/>
        </w:rPr>
        <w:t xml:space="preserve">millones </w:t>
      </w:r>
      <w:r w:rsidR="00EB2358" w:rsidRPr="0038552B">
        <w:rPr>
          <w:sz w:val="23"/>
          <w:szCs w:val="23"/>
          <w:lang w:val="es-ES"/>
        </w:rPr>
        <w:t>que forman parte del Componente 5 del Proyecto y la activación del MRI a nivel de país.</w:t>
      </w:r>
    </w:p>
    <w:p w:rsidR="00F87D3B" w:rsidRPr="0038552B" w:rsidRDefault="00F87D3B" w:rsidP="00F87D3B">
      <w:pPr>
        <w:pStyle w:val="ListParagraph"/>
        <w:ind w:left="0"/>
        <w:rPr>
          <w:sz w:val="23"/>
          <w:szCs w:val="23"/>
          <w:lang w:val="es-NI"/>
        </w:rPr>
      </w:pPr>
    </w:p>
    <w:p w:rsidR="00556DB8" w:rsidRPr="0038552B" w:rsidRDefault="00B43F24" w:rsidP="00F91221">
      <w:pPr>
        <w:pStyle w:val="ListParagraph"/>
        <w:widowControl w:val="0"/>
        <w:numPr>
          <w:ilvl w:val="0"/>
          <w:numId w:val="29"/>
        </w:numPr>
        <w:adjustRightInd w:val="0"/>
        <w:jc w:val="both"/>
        <w:textAlignment w:val="baseline"/>
        <w:rPr>
          <w:b/>
          <w:color w:val="000000"/>
          <w:sz w:val="23"/>
          <w:szCs w:val="23"/>
          <w:lang w:val="es-ES"/>
        </w:rPr>
      </w:pPr>
      <w:r w:rsidRPr="0038552B">
        <w:rPr>
          <w:sz w:val="23"/>
          <w:szCs w:val="23"/>
          <w:lang w:val="es-ES"/>
        </w:rPr>
        <w:t>Guardando consistencia con las metas y objetivos de</w:t>
      </w:r>
      <w:r w:rsidR="00556DB8" w:rsidRPr="0038552B">
        <w:rPr>
          <w:sz w:val="23"/>
          <w:szCs w:val="23"/>
          <w:lang w:val="es-ES"/>
        </w:rPr>
        <w:t xml:space="preserve">l </w:t>
      </w:r>
      <w:r w:rsidR="000D4617" w:rsidRPr="0038552B">
        <w:rPr>
          <w:sz w:val="23"/>
          <w:szCs w:val="23"/>
          <w:lang w:val="es-ES"/>
        </w:rPr>
        <w:t>CERC</w:t>
      </w:r>
      <w:r w:rsidR="00B9759D">
        <w:rPr>
          <w:sz w:val="23"/>
          <w:szCs w:val="23"/>
          <w:lang w:val="es-ES"/>
        </w:rPr>
        <w:t xml:space="preserve"> </w:t>
      </w:r>
      <w:r w:rsidR="00FF357C" w:rsidRPr="0038552B">
        <w:rPr>
          <w:sz w:val="23"/>
          <w:szCs w:val="23"/>
          <w:lang w:val="es-ES"/>
        </w:rPr>
        <w:t>y</w:t>
      </w:r>
      <w:r w:rsidR="00B9759D">
        <w:rPr>
          <w:sz w:val="23"/>
          <w:szCs w:val="23"/>
          <w:lang w:val="es-ES"/>
        </w:rPr>
        <w:t xml:space="preserve"> </w:t>
      </w:r>
      <w:r w:rsidR="00556DB8" w:rsidRPr="0038552B">
        <w:rPr>
          <w:sz w:val="23"/>
          <w:szCs w:val="23"/>
          <w:lang w:val="es-ES"/>
        </w:rPr>
        <w:t xml:space="preserve">del </w:t>
      </w:r>
      <w:r w:rsidR="0075348E" w:rsidRPr="0038552B">
        <w:rPr>
          <w:sz w:val="23"/>
          <w:szCs w:val="23"/>
          <w:lang w:val="es-ES"/>
        </w:rPr>
        <w:t>MRI</w:t>
      </w:r>
      <w:r w:rsidR="00556DB8" w:rsidRPr="0038552B">
        <w:rPr>
          <w:sz w:val="23"/>
          <w:szCs w:val="23"/>
          <w:lang w:val="es-ES"/>
        </w:rPr>
        <w:t xml:space="preserve">, los recursos financieros se le facilitarán a Nicaragua de forma inmediata a la hora de enfrentar un desastre. Este enfoque se deriva de la flexibilidad que otorga OP 8.00 (Respuesta Rápida a Crisis y Emergencias) y que permite emplear procedimientos simplificados y </w:t>
      </w:r>
      <w:r w:rsidR="0097768A" w:rsidRPr="0038552B">
        <w:rPr>
          <w:sz w:val="23"/>
          <w:szCs w:val="23"/>
          <w:lang w:val="es-ES"/>
        </w:rPr>
        <w:t>una reestructuración rápida de carteras de proyectos para abordar crisis y necesidades de emergencia. En consecuencia, los mecanismos fiduciarios y de ejecución, así como las salvaguardas, detalladas en el Manual Operativo</w:t>
      </w:r>
      <w:r w:rsidR="00AD07C5" w:rsidRPr="0038552B">
        <w:rPr>
          <w:sz w:val="23"/>
          <w:szCs w:val="23"/>
          <w:lang w:val="es-ES"/>
        </w:rPr>
        <w:t>, pretende</w:t>
      </w:r>
      <w:r w:rsidR="00CB6D40">
        <w:rPr>
          <w:sz w:val="23"/>
          <w:szCs w:val="23"/>
          <w:lang w:val="es-ES"/>
        </w:rPr>
        <w:t>n</w:t>
      </w:r>
      <w:r w:rsidR="00AD07C5" w:rsidRPr="0038552B">
        <w:rPr>
          <w:sz w:val="23"/>
          <w:szCs w:val="23"/>
          <w:lang w:val="es-ES"/>
        </w:rPr>
        <w:t xml:space="preserve"> asegurar una respuesta fluida de post emergencia de acuerdo con el rápido y efectivo desembolso de fondos líquidos.</w:t>
      </w:r>
    </w:p>
    <w:p w:rsidR="00D20C6A" w:rsidRPr="00D53383" w:rsidRDefault="00D20C6A" w:rsidP="00D20C6A">
      <w:pPr>
        <w:pStyle w:val="ListParagraph"/>
        <w:widowControl w:val="0"/>
        <w:adjustRightInd w:val="0"/>
        <w:ind w:left="0"/>
        <w:jc w:val="both"/>
        <w:textAlignment w:val="baseline"/>
        <w:rPr>
          <w:b/>
          <w:color w:val="000000"/>
          <w:lang w:val="es-ES"/>
        </w:rPr>
      </w:pPr>
    </w:p>
    <w:p w:rsidR="00F87D3B" w:rsidRPr="00AD07C5" w:rsidRDefault="00AD07C5" w:rsidP="00F91221">
      <w:pPr>
        <w:pStyle w:val="ListParagraph"/>
        <w:widowControl w:val="0"/>
        <w:numPr>
          <w:ilvl w:val="0"/>
          <w:numId w:val="30"/>
        </w:numPr>
        <w:adjustRightInd w:val="0"/>
        <w:spacing w:line="360" w:lineRule="atLeast"/>
        <w:jc w:val="both"/>
        <w:textAlignment w:val="baseline"/>
        <w:rPr>
          <w:b/>
          <w:color w:val="000000"/>
          <w:lang w:val="es-ES"/>
        </w:rPr>
      </w:pPr>
      <w:r w:rsidRPr="00AD07C5">
        <w:rPr>
          <w:b/>
          <w:color w:val="000000"/>
          <w:lang w:val="es-ES"/>
        </w:rPr>
        <w:t xml:space="preserve">Pasos </w:t>
      </w:r>
      <w:r w:rsidR="00F87D3B" w:rsidRPr="00AD07C5">
        <w:rPr>
          <w:b/>
          <w:color w:val="000000"/>
          <w:lang w:val="es-ES"/>
        </w:rPr>
        <w:t>Preparator</w:t>
      </w:r>
      <w:r w:rsidRPr="00AD07C5">
        <w:rPr>
          <w:b/>
          <w:color w:val="000000"/>
          <w:lang w:val="es-ES"/>
        </w:rPr>
        <w:t>ios</w:t>
      </w:r>
    </w:p>
    <w:p w:rsidR="00F87D3B" w:rsidRPr="00AD07C5" w:rsidRDefault="00F87D3B" w:rsidP="00F87D3B">
      <w:pPr>
        <w:pStyle w:val="BankNormal"/>
        <w:autoSpaceDE w:val="0"/>
        <w:autoSpaceDN w:val="0"/>
        <w:spacing w:after="0"/>
        <w:rPr>
          <w:color w:val="000000"/>
          <w:szCs w:val="24"/>
          <w:lang w:val="es-ES"/>
        </w:rPr>
      </w:pPr>
    </w:p>
    <w:p w:rsidR="00AC30BA" w:rsidRPr="0038552B" w:rsidRDefault="00AD07C5" w:rsidP="00F91221">
      <w:pPr>
        <w:pStyle w:val="ListParagraph"/>
        <w:widowControl w:val="0"/>
        <w:numPr>
          <w:ilvl w:val="0"/>
          <w:numId w:val="29"/>
        </w:numPr>
        <w:adjustRightInd w:val="0"/>
        <w:jc w:val="both"/>
        <w:textAlignment w:val="baseline"/>
        <w:rPr>
          <w:b/>
          <w:i/>
          <w:sz w:val="23"/>
          <w:szCs w:val="23"/>
          <w:lang w:val="es-ES"/>
        </w:rPr>
      </w:pPr>
      <w:r w:rsidRPr="0038552B">
        <w:rPr>
          <w:color w:val="000000"/>
          <w:sz w:val="23"/>
          <w:szCs w:val="23"/>
          <w:lang w:val="es-NI"/>
        </w:rPr>
        <w:t xml:space="preserve">El </w:t>
      </w:r>
      <w:r w:rsidR="00F87D3B" w:rsidRPr="0038552B">
        <w:rPr>
          <w:color w:val="000000"/>
          <w:sz w:val="23"/>
          <w:szCs w:val="23"/>
          <w:lang w:val="es-NI"/>
        </w:rPr>
        <w:t>CERC</w:t>
      </w:r>
      <w:r w:rsidR="00CB6D40">
        <w:rPr>
          <w:color w:val="000000"/>
          <w:sz w:val="23"/>
          <w:szCs w:val="23"/>
          <w:lang w:val="es-NI"/>
        </w:rPr>
        <w:t xml:space="preserve"> </w:t>
      </w:r>
      <w:r w:rsidRPr="0038552B">
        <w:rPr>
          <w:color w:val="000000"/>
          <w:sz w:val="23"/>
          <w:szCs w:val="23"/>
          <w:lang w:val="es-NI"/>
        </w:rPr>
        <w:t xml:space="preserve">cuenta con una asignación inicial definida de fondos mientras que el MRI se activa al comprender una ventana contingente con cero asignación para los proyectos nuevos o restructurados. Si llega a ocurrir una emergencia </w:t>
      </w:r>
      <w:r w:rsidR="00CB6D40">
        <w:rPr>
          <w:color w:val="000000"/>
          <w:sz w:val="23"/>
          <w:szCs w:val="23"/>
          <w:lang w:val="es-NI"/>
        </w:rPr>
        <w:t>elegible</w:t>
      </w:r>
      <w:r w:rsidR="009F3769">
        <w:rPr>
          <w:color w:val="000000"/>
          <w:sz w:val="23"/>
          <w:szCs w:val="23"/>
          <w:lang w:val="es-NI"/>
        </w:rPr>
        <w:t xml:space="preserve"> </w:t>
      </w:r>
      <w:r w:rsidRPr="0038552B">
        <w:rPr>
          <w:color w:val="000000"/>
          <w:sz w:val="23"/>
          <w:szCs w:val="23"/>
          <w:lang w:val="es-NI"/>
        </w:rPr>
        <w:t xml:space="preserve">(que cumpla con la definición que aparece en el Manual Operativo del CERC y MRI) durante el periodo de ejecución del Proyecto, entonces Nicaragua </w:t>
      </w:r>
      <w:r w:rsidR="00583FE2" w:rsidRPr="0038552B">
        <w:rPr>
          <w:color w:val="000000"/>
          <w:sz w:val="23"/>
          <w:szCs w:val="23"/>
          <w:lang w:val="es-NI"/>
        </w:rPr>
        <w:t xml:space="preserve">tendrá acceso a </w:t>
      </w:r>
      <w:r w:rsidR="004D158F" w:rsidRPr="0038552B">
        <w:rPr>
          <w:color w:val="000000"/>
          <w:sz w:val="23"/>
          <w:szCs w:val="23"/>
          <w:lang w:val="es-NI"/>
        </w:rPr>
        <w:t xml:space="preserve">fondos según sus necesidades financieras a través de esta operación y luego a través de la ventana del MRI bajo otros proyectos de la cartera que tiene el país. El Proyecto apoyará la preparación del Manual Operativo y cualquier otro documento como </w:t>
      </w:r>
      <w:r w:rsidR="00AC30BA" w:rsidRPr="0038552B">
        <w:rPr>
          <w:color w:val="000000"/>
          <w:sz w:val="23"/>
          <w:szCs w:val="23"/>
          <w:lang w:val="es-NI"/>
        </w:rPr>
        <w:t>e</w:t>
      </w:r>
      <w:r w:rsidR="004D158F" w:rsidRPr="0038552B">
        <w:rPr>
          <w:color w:val="000000"/>
          <w:sz w:val="23"/>
          <w:szCs w:val="23"/>
          <w:lang w:val="es-NI"/>
        </w:rPr>
        <w:t>l</w:t>
      </w:r>
      <w:r w:rsidR="00AC30BA" w:rsidRPr="0038552B">
        <w:rPr>
          <w:color w:val="000000"/>
          <w:sz w:val="23"/>
          <w:szCs w:val="23"/>
          <w:lang w:val="es-NI"/>
        </w:rPr>
        <w:t xml:space="preserve"> Marco de Evaluación Ambiental y Social (ESSAF).</w:t>
      </w:r>
    </w:p>
    <w:p w:rsidR="00AD07C5" w:rsidRPr="0038552B" w:rsidRDefault="00AD07C5" w:rsidP="00AC30BA">
      <w:pPr>
        <w:pStyle w:val="ListParagraph"/>
        <w:widowControl w:val="0"/>
        <w:adjustRightInd w:val="0"/>
        <w:ind w:left="0"/>
        <w:jc w:val="both"/>
        <w:textAlignment w:val="baseline"/>
        <w:rPr>
          <w:b/>
          <w:i/>
          <w:sz w:val="23"/>
          <w:szCs w:val="23"/>
          <w:lang w:val="es-ES"/>
        </w:rPr>
      </w:pPr>
    </w:p>
    <w:p w:rsidR="00F87D3B" w:rsidRPr="0038552B" w:rsidRDefault="00AC30BA" w:rsidP="00F91221">
      <w:pPr>
        <w:pStyle w:val="ListParagraph"/>
        <w:widowControl w:val="0"/>
        <w:numPr>
          <w:ilvl w:val="0"/>
          <w:numId w:val="29"/>
        </w:numPr>
        <w:adjustRightInd w:val="0"/>
        <w:jc w:val="both"/>
        <w:textAlignment w:val="baseline"/>
        <w:rPr>
          <w:b/>
          <w:i/>
          <w:sz w:val="23"/>
          <w:szCs w:val="23"/>
          <w:lang w:val="es-ES"/>
        </w:rPr>
      </w:pPr>
      <w:r w:rsidRPr="0038552B">
        <w:rPr>
          <w:sz w:val="23"/>
          <w:szCs w:val="23"/>
          <w:lang w:val="es-ES"/>
        </w:rPr>
        <w:t xml:space="preserve">Tomando en cuenta el objetivo de esta metodología, el </w:t>
      </w:r>
      <w:r w:rsidR="00CB6D40">
        <w:rPr>
          <w:sz w:val="23"/>
          <w:szCs w:val="23"/>
          <w:lang w:val="es-ES"/>
        </w:rPr>
        <w:t>G</w:t>
      </w:r>
      <w:r w:rsidRPr="0038552B">
        <w:rPr>
          <w:sz w:val="23"/>
          <w:szCs w:val="23"/>
          <w:lang w:val="es-ES"/>
        </w:rPr>
        <w:t xml:space="preserve">obierno y el Banco Mundial acordarán qué se entenderá por emergencia elegible y los mecanismos de ejecución adicionales a los requisitos fiduciarios y salvaguardas. Estos se verán reflejados en los manuales operativos </w:t>
      </w:r>
      <w:r w:rsidR="00EE5AB9" w:rsidRPr="0038552B">
        <w:rPr>
          <w:sz w:val="23"/>
          <w:szCs w:val="23"/>
          <w:lang w:val="es-ES"/>
        </w:rPr>
        <w:t>del CERC y del MRI, los cuales deberán contar con el aval del gobierno y del Banco Mundial.</w:t>
      </w:r>
    </w:p>
    <w:p w:rsidR="00F87D3B" w:rsidRPr="0038552B" w:rsidRDefault="00F87D3B" w:rsidP="00F87D3B">
      <w:pPr>
        <w:pStyle w:val="ListParagraph"/>
        <w:rPr>
          <w:b/>
          <w:bCs/>
          <w:i/>
          <w:iCs/>
          <w:sz w:val="23"/>
          <w:szCs w:val="23"/>
          <w:lang w:val="es-ES"/>
        </w:rPr>
      </w:pPr>
    </w:p>
    <w:p w:rsidR="00F87D3B" w:rsidRPr="00421FC1" w:rsidRDefault="00421FC1" w:rsidP="00F91221">
      <w:pPr>
        <w:pStyle w:val="ListParagraph"/>
        <w:numPr>
          <w:ilvl w:val="0"/>
          <w:numId w:val="30"/>
        </w:numPr>
        <w:jc w:val="both"/>
        <w:rPr>
          <w:b/>
          <w:bCs/>
          <w:iCs/>
          <w:lang w:val="es-ES"/>
        </w:rPr>
      </w:pPr>
      <w:r>
        <w:rPr>
          <w:b/>
          <w:bCs/>
          <w:iCs/>
          <w:lang w:val="es-ES"/>
        </w:rPr>
        <w:t>El</w:t>
      </w:r>
      <w:r w:rsidR="00CB6D40">
        <w:rPr>
          <w:b/>
          <w:bCs/>
          <w:iCs/>
          <w:lang w:val="es-ES"/>
        </w:rPr>
        <w:t xml:space="preserve"> </w:t>
      </w:r>
      <w:r w:rsidR="00B77979" w:rsidRPr="00421FC1">
        <w:rPr>
          <w:b/>
          <w:bCs/>
          <w:iCs/>
          <w:lang w:val="es-ES"/>
        </w:rPr>
        <w:t>CERC (</w:t>
      </w:r>
      <w:r w:rsidR="00237729" w:rsidRPr="00421FC1">
        <w:rPr>
          <w:b/>
          <w:bCs/>
          <w:iCs/>
          <w:lang w:val="es-ES"/>
        </w:rPr>
        <w:t>Componente</w:t>
      </w:r>
      <w:r w:rsidR="00B77979" w:rsidRPr="00421FC1">
        <w:rPr>
          <w:b/>
          <w:bCs/>
          <w:iCs/>
          <w:lang w:val="es-ES"/>
        </w:rPr>
        <w:t xml:space="preserve"> 5</w:t>
      </w:r>
      <w:r w:rsidR="00F87D3B" w:rsidRPr="00421FC1">
        <w:rPr>
          <w:b/>
          <w:bCs/>
          <w:iCs/>
          <w:lang w:val="es-ES"/>
        </w:rPr>
        <w:t>)</w:t>
      </w:r>
    </w:p>
    <w:p w:rsidR="00F87D3B" w:rsidRPr="0038552B" w:rsidRDefault="00F87D3B" w:rsidP="00F87D3B">
      <w:pPr>
        <w:pStyle w:val="ListParagraph"/>
        <w:ind w:left="0"/>
        <w:rPr>
          <w:sz w:val="23"/>
          <w:szCs w:val="23"/>
          <w:lang w:val="es-ES"/>
        </w:rPr>
      </w:pPr>
    </w:p>
    <w:p w:rsidR="008E4161" w:rsidRPr="0038552B" w:rsidRDefault="00421FC1" w:rsidP="00F91221">
      <w:pPr>
        <w:pStyle w:val="ListParagraph"/>
        <w:widowControl w:val="0"/>
        <w:numPr>
          <w:ilvl w:val="0"/>
          <w:numId w:val="29"/>
        </w:numPr>
        <w:adjustRightInd w:val="0"/>
        <w:jc w:val="both"/>
        <w:textAlignment w:val="baseline"/>
        <w:rPr>
          <w:sz w:val="23"/>
          <w:szCs w:val="23"/>
          <w:lang w:val="es-ES"/>
        </w:rPr>
      </w:pPr>
      <w:r w:rsidRPr="0038552B">
        <w:rPr>
          <w:sz w:val="23"/>
          <w:szCs w:val="23"/>
          <w:lang w:val="es-NI"/>
        </w:rPr>
        <w:t>El Componente</w:t>
      </w:r>
      <w:r w:rsidR="00CB6D40">
        <w:rPr>
          <w:sz w:val="23"/>
          <w:szCs w:val="23"/>
          <w:lang w:val="es-NI"/>
        </w:rPr>
        <w:t xml:space="preserve"> </w:t>
      </w:r>
      <w:r w:rsidR="00B77979" w:rsidRPr="0038552B">
        <w:rPr>
          <w:sz w:val="23"/>
          <w:szCs w:val="23"/>
          <w:lang w:val="es-NI"/>
        </w:rPr>
        <w:t>CERC</w:t>
      </w:r>
      <w:r w:rsidR="00CB6D40">
        <w:rPr>
          <w:sz w:val="23"/>
          <w:szCs w:val="23"/>
          <w:lang w:val="es-NI"/>
        </w:rPr>
        <w:t xml:space="preserve"> </w:t>
      </w:r>
      <w:r w:rsidRPr="0038552B">
        <w:rPr>
          <w:sz w:val="23"/>
          <w:szCs w:val="23"/>
          <w:lang w:val="es-NI"/>
        </w:rPr>
        <w:t xml:space="preserve">del Proyecto </w:t>
      </w:r>
      <w:r w:rsidR="008E4161" w:rsidRPr="0038552B">
        <w:rPr>
          <w:sz w:val="23"/>
          <w:szCs w:val="23"/>
          <w:lang w:val="es-NI"/>
        </w:rPr>
        <w:t xml:space="preserve">financiará los gastos del sector público y privado incurridos en una lista positiva de bienes nacionales e importados y/u obras, bienes, servicios (costos de auditoría) y costos operativos de emergencias requeridos para que Nicaragua enfrente una situación de emergencia. Estos gastos deberán cumplir con lo establecido en la política OP 8.00 y se someterán a la evaluación, revisión y aprobación del Banco Mundial antes de realizar </w:t>
      </w:r>
      <w:r w:rsidR="008E4161" w:rsidRPr="0038552B">
        <w:rPr>
          <w:sz w:val="23"/>
          <w:szCs w:val="23"/>
          <w:lang w:val="es-ES"/>
        </w:rPr>
        <w:t>un desembolso.</w:t>
      </w:r>
    </w:p>
    <w:p w:rsidR="00F87D3B" w:rsidRPr="0038552B" w:rsidRDefault="00F87D3B" w:rsidP="00F87D3B">
      <w:pPr>
        <w:pStyle w:val="ListParagraph"/>
        <w:ind w:left="0"/>
        <w:rPr>
          <w:sz w:val="23"/>
          <w:szCs w:val="23"/>
          <w:lang w:val="es-ES"/>
        </w:rPr>
      </w:pPr>
    </w:p>
    <w:p w:rsidR="00673287" w:rsidRPr="0038552B" w:rsidRDefault="006F1A0F" w:rsidP="00F91221">
      <w:pPr>
        <w:pStyle w:val="ListParagraph"/>
        <w:widowControl w:val="0"/>
        <w:numPr>
          <w:ilvl w:val="0"/>
          <w:numId w:val="29"/>
        </w:numPr>
        <w:adjustRightInd w:val="0"/>
        <w:jc w:val="both"/>
        <w:textAlignment w:val="baseline"/>
        <w:rPr>
          <w:sz w:val="23"/>
          <w:szCs w:val="23"/>
          <w:lang w:val="es-ES"/>
        </w:rPr>
      </w:pPr>
      <w:r w:rsidRPr="0038552B">
        <w:rPr>
          <w:sz w:val="23"/>
          <w:szCs w:val="23"/>
          <w:lang w:val="es-ES"/>
        </w:rPr>
        <w:t>La lista</w:t>
      </w:r>
      <w:r w:rsidR="00CB6D40">
        <w:rPr>
          <w:sz w:val="23"/>
          <w:szCs w:val="23"/>
          <w:lang w:val="es-ES"/>
        </w:rPr>
        <w:t xml:space="preserve"> </w:t>
      </w:r>
      <w:r w:rsidRPr="0038552B">
        <w:rPr>
          <w:sz w:val="23"/>
          <w:szCs w:val="23"/>
          <w:lang w:val="es-ES"/>
        </w:rPr>
        <w:t xml:space="preserve">positiva irá definida en el Manual Operativo del CERC pero podría constar, entre otras cosas de: (i) Materiales de construcción y maquinaria industrial; (ii) Equipos, suministros y repuestos de transporte acuático, terrestre y aéreo; (iii) Suministros y equipos escolares; (iv) Suministros y equipos médicos; (v) </w:t>
      </w:r>
      <w:r w:rsidR="00673287" w:rsidRPr="0038552B">
        <w:rPr>
          <w:sz w:val="23"/>
          <w:szCs w:val="23"/>
          <w:lang w:val="es-ES"/>
        </w:rPr>
        <w:t>Combustibles e hidrocarburos; (vi) Equipo de comunicación.</w:t>
      </w:r>
    </w:p>
    <w:p w:rsidR="00673287" w:rsidRPr="0038552B" w:rsidRDefault="00673287" w:rsidP="00673287">
      <w:pPr>
        <w:pStyle w:val="ListParagraph"/>
        <w:rPr>
          <w:sz w:val="23"/>
          <w:szCs w:val="23"/>
          <w:lang w:val="es-ES"/>
        </w:rPr>
      </w:pPr>
    </w:p>
    <w:p w:rsidR="00673287" w:rsidRPr="0038552B" w:rsidRDefault="00673287" w:rsidP="00F91221">
      <w:pPr>
        <w:pStyle w:val="ListParagraph"/>
        <w:widowControl w:val="0"/>
        <w:numPr>
          <w:ilvl w:val="0"/>
          <w:numId w:val="29"/>
        </w:numPr>
        <w:adjustRightInd w:val="0"/>
        <w:jc w:val="both"/>
        <w:textAlignment w:val="baseline"/>
        <w:rPr>
          <w:sz w:val="23"/>
          <w:szCs w:val="23"/>
          <w:lang w:val="es-ES"/>
        </w:rPr>
      </w:pPr>
      <w:r w:rsidRPr="0038552B">
        <w:rPr>
          <w:sz w:val="23"/>
          <w:szCs w:val="23"/>
          <w:lang w:val="es-ES"/>
        </w:rPr>
        <w:lastRenderedPageBreak/>
        <w:t xml:space="preserve">Otros gastos autorizados que se definirán en el Manual Operativo del CERC podrían ser: (a) </w:t>
      </w:r>
      <w:r w:rsidR="00830F20" w:rsidRPr="0038552B">
        <w:rPr>
          <w:i/>
          <w:sz w:val="23"/>
          <w:szCs w:val="23"/>
          <w:lang w:val="es-ES"/>
        </w:rPr>
        <w:t>O</w:t>
      </w:r>
      <w:r w:rsidRPr="0038552B">
        <w:rPr>
          <w:i/>
          <w:sz w:val="23"/>
          <w:szCs w:val="23"/>
          <w:lang w:val="es-ES"/>
        </w:rPr>
        <w:t>bras específicas</w:t>
      </w:r>
      <w:r w:rsidR="00830F20" w:rsidRPr="0038552B">
        <w:rPr>
          <w:i/>
          <w:sz w:val="23"/>
          <w:szCs w:val="23"/>
          <w:lang w:val="es-ES"/>
        </w:rPr>
        <w:t>:</w:t>
      </w:r>
      <w:r w:rsidRPr="0038552B">
        <w:rPr>
          <w:rStyle w:val="FootnoteReference"/>
          <w:i/>
          <w:sz w:val="23"/>
          <w:szCs w:val="23"/>
          <w:lang w:val="es-ES"/>
        </w:rPr>
        <w:footnoteReference w:id="42"/>
      </w:r>
      <w:r w:rsidRPr="0038552B">
        <w:rPr>
          <w:sz w:val="23"/>
          <w:szCs w:val="23"/>
          <w:lang w:val="es-ES"/>
        </w:rPr>
        <w:t xml:space="preserve"> actividades de mitigación de riesgos asociados con desastres y minimizar el sufrimiento de la población damnificada (obras urgentes de infraestructura, reparaciones,</w:t>
      </w:r>
      <w:r w:rsidR="00830F20" w:rsidRPr="0038552B">
        <w:rPr>
          <w:sz w:val="23"/>
          <w:szCs w:val="23"/>
          <w:lang w:val="es-ES"/>
        </w:rPr>
        <w:t xml:space="preserve"> rehabilitación, construcción; (b)</w:t>
      </w:r>
      <w:r w:rsidR="00E43471" w:rsidRPr="0038552B">
        <w:rPr>
          <w:i/>
          <w:sz w:val="23"/>
          <w:szCs w:val="23"/>
          <w:lang w:val="es-ES"/>
        </w:rPr>
        <w:t>Bienes</w:t>
      </w:r>
      <w:r w:rsidR="00E43471" w:rsidRPr="0038552B">
        <w:rPr>
          <w:sz w:val="23"/>
          <w:szCs w:val="23"/>
          <w:lang w:val="es-ES"/>
        </w:rPr>
        <w:t xml:space="preserve">: materiales y equipos de construcción, equipos de telecomunicaciones e insumos agrícolas (salvo pesticidas), etc.; (c) </w:t>
      </w:r>
      <w:r w:rsidR="00E43471" w:rsidRPr="0038552B">
        <w:rPr>
          <w:i/>
          <w:sz w:val="23"/>
          <w:szCs w:val="23"/>
          <w:lang w:val="es-ES"/>
        </w:rPr>
        <w:t>Servicios</w:t>
      </w:r>
      <w:r w:rsidR="00E43471" w:rsidRPr="0038552B">
        <w:rPr>
          <w:sz w:val="23"/>
          <w:szCs w:val="23"/>
          <w:lang w:val="es-ES"/>
        </w:rPr>
        <w:t xml:space="preserve">: </w:t>
      </w:r>
      <w:r w:rsidR="00D27B8D" w:rsidRPr="0038552B">
        <w:rPr>
          <w:sz w:val="23"/>
          <w:szCs w:val="23"/>
          <w:lang w:val="es-ES"/>
        </w:rPr>
        <w:t xml:space="preserve">estudios (técnicos, sociales, ambientales y de factibilidad así como de otra índole que sean necesarios para valorar los efectos del desastre e identificar las obras prioritarias) y elaboración de análisis relacionados; (d) </w:t>
      </w:r>
      <w:r w:rsidR="00D27B8D" w:rsidRPr="0038552B">
        <w:rPr>
          <w:i/>
          <w:sz w:val="23"/>
          <w:szCs w:val="23"/>
          <w:lang w:val="es-ES"/>
        </w:rPr>
        <w:t>Costos operativos de emergencia</w:t>
      </w:r>
      <w:r w:rsidR="00D27B8D" w:rsidRPr="0038552B">
        <w:rPr>
          <w:sz w:val="23"/>
          <w:szCs w:val="23"/>
          <w:lang w:val="es-ES"/>
        </w:rPr>
        <w:t>: gastos incrementales (como costos adicionales de transporte, energía eléctrica para el sector público, horas extras del personal y alquiler de maquinaria liviana y pesada).</w:t>
      </w:r>
    </w:p>
    <w:p w:rsidR="00F87D3B" w:rsidRPr="00E634E0" w:rsidRDefault="00F87D3B" w:rsidP="00F87D3B">
      <w:pPr>
        <w:pStyle w:val="ListParagraph"/>
        <w:ind w:left="0"/>
        <w:rPr>
          <w:lang w:val="es-ES"/>
        </w:rPr>
      </w:pPr>
    </w:p>
    <w:p w:rsidR="00F87D3B" w:rsidRPr="00E634E0" w:rsidRDefault="00D27B8D" w:rsidP="00B37F17">
      <w:pPr>
        <w:pStyle w:val="BankNormal"/>
        <w:rPr>
          <w:b/>
          <w:bCs/>
          <w:iCs/>
          <w:lang w:val="es-ES"/>
        </w:rPr>
      </w:pPr>
      <w:r w:rsidRPr="00E634E0">
        <w:rPr>
          <w:b/>
          <w:bCs/>
          <w:iCs/>
          <w:lang w:val="es-ES"/>
        </w:rPr>
        <w:t xml:space="preserve">Manual Operativo del </w:t>
      </w:r>
      <w:r w:rsidR="005D6486" w:rsidRPr="00E634E0">
        <w:rPr>
          <w:b/>
          <w:bCs/>
          <w:iCs/>
          <w:lang w:val="es-ES"/>
        </w:rPr>
        <w:t>CERC</w:t>
      </w:r>
    </w:p>
    <w:p w:rsidR="00B40FD2" w:rsidRPr="0038552B" w:rsidRDefault="00E634E0" w:rsidP="00F91221">
      <w:pPr>
        <w:pStyle w:val="ListParagraph"/>
        <w:widowControl w:val="0"/>
        <w:numPr>
          <w:ilvl w:val="0"/>
          <w:numId w:val="29"/>
        </w:numPr>
        <w:tabs>
          <w:tab w:val="clear" w:pos="720"/>
        </w:tabs>
        <w:adjustRightInd w:val="0"/>
        <w:jc w:val="both"/>
        <w:textAlignment w:val="baseline"/>
        <w:rPr>
          <w:sz w:val="23"/>
          <w:szCs w:val="23"/>
          <w:lang w:val="es-NI"/>
        </w:rPr>
      </w:pPr>
      <w:r w:rsidRPr="0038552B">
        <w:rPr>
          <w:bCs/>
          <w:iCs/>
          <w:sz w:val="23"/>
          <w:szCs w:val="23"/>
          <w:lang w:val="es-ES"/>
        </w:rPr>
        <w:t xml:space="preserve">Se elaborará un Manual Operativo donde se describan las acciones que deberá emprender el </w:t>
      </w:r>
      <w:r w:rsidR="00CB6D40">
        <w:rPr>
          <w:bCs/>
          <w:iCs/>
          <w:sz w:val="23"/>
          <w:szCs w:val="23"/>
          <w:lang w:val="es-ES"/>
        </w:rPr>
        <w:t>G</w:t>
      </w:r>
      <w:r w:rsidRPr="0038552B">
        <w:rPr>
          <w:bCs/>
          <w:iCs/>
          <w:sz w:val="23"/>
          <w:szCs w:val="23"/>
          <w:lang w:val="es-ES"/>
        </w:rPr>
        <w:t xml:space="preserve">obierno si ocurre una crisis o emergencia. En el caso de Nicaragua, se procederá de conformidad con la definición y procedimientos de declaración de una emergencia estipulados en la Ley de </w:t>
      </w:r>
      <w:r w:rsidR="00FF62B8" w:rsidRPr="0038552B">
        <w:rPr>
          <w:sz w:val="23"/>
          <w:szCs w:val="23"/>
          <w:lang w:val="es-NI"/>
        </w:rPr>
        <w:t>SINAPRED</w:t>
      </w:r>
      <w:r w:rsidR="00F87D3B" w:rsidRPr="0038552B">
        <w:rPr>
          <w:sz w:val="23"/>
          <w:szCs w:val="23"/>
          <w:lang w:val="es-NI"/>
        </w:rPr>
        <w:t xml:space="preserve"> (</w:t>
      </w:r>
      <w:r w:rsidR="00903C43" w:rsidRPr="0038552B">
        <w:rPr>
          <w:sz w:val="23"/>
          <w:szCs w:val="23"/>
          <w:lang w:val="es-NI"/>
        </w:rPr>
        <w:t>Ley</w:t>
      </w:r>
      <w:r w:rsidR="00F87D3B" w:rsidRPr="0038552B">
        <w:rPr>
          <w:sz w:val="23"/>
          <w:szCs w:val="23"/>
          <w:lang w:val="es-NI"/>
        </w:rPr>
        <w:t xml:space="preserve"> 337-2000, </w:t>
      </w:r>
      <w:r w:rsidR="004301A2" w:rsidRPr="0038552B">
        <w:rPr>
          <w:sz w:val="23"/>
          <w:szCs w:val="23"/>
          <w:lang w:val="es-NI"/>
        </w:rPr>
        <w:t>artículos</w:t>
      </w:r>
      <w:r w:rsidR="00F87D3B" w:rsidRPr="0038552B">
        <w:rPr>
          <w:sz w:val="23"/>
          <w:szCs w:val="23"/>
          <w:lang w:val="es-NI"/>
        </w:rPr>
        <w:t xml:space="preserve"> 23</w:t>
      </w:r>
      <w:r w:rsidR="00FF357C" w:rsidRPr="0038552B">
        <w:rPr>
          <w:sz w:val="23"/>
          <w:szCs w:val="23"/>
          <w:lang w:val="es-NI"/>
        </w:rPr>
        <w:t>y</w:t>
      </w:r>
      <w:r w:rsidR="00FF62B8" w:rsidRPr="0038552B">
        <w:rPr>
          <w:sz w:val="23"/>
          <w:szCs w:val="23"/>
          <w:lang w:val="es-NI"/>
        </w:rPr>
        <w:t xml:space="preserve"> 24</w:t>
      </w:r>
      <w:r w:rsidR="00F87D3B" w:rsidRPr="0038552B">
        <w:rPr>
          <w:sz w:val="23"/>
          <w:szCs w:val="23"/>
          <w:lang w:val="es-NI"/>
        </w:rPr>
        <w:t>).</w:t>
      </w:r>
      <w:r w:rsidR="004301A2" w:rsidRPr="0038552B">
        <w:rPr>
          <w:sz w:val="23"/>
          <w:szCs w:val="23"/>
          <w:lang w:val="es-NI"/>
        </w:rPr>
        <w:t xml:space="preserve"> El Manual Operativo hará una descripción sobre la Autoridad Coordinadora; las funciones y responsabilidades de los organismos ejecutores y supervisores en el contexto </w:t>
      </w:r>
      <w:r w:rsidR="00460FA6" w:rsidRPr="0038552B">
        <w:rPr>
          <w:sz w:val="23"/>
          <w:szCs w:val="23"/>
          <w:lang w:val="es-NI"/>
        </w:rPr>
        <w:t>de la respuesta de emergencia y del CERC; mecanismos sobre</w:t>
      </w:r>
      <w:r w:rsidR="006112E6" w:rsidRPr="0038552B">
        <w:rPr>
          <w:sz w:val="23"/>
          <w:szCs w:val="23"/>
          <w:lang w:val="es-NI"/>
        </w:rPr>
        <w:t xml:space="preserve"> las operaciones de adquisiciones, gestión financiera, </w:t>
      </w:r>
      <w:r w:rsidR="003D2A18" w:rsidRPr="0038552B">
        <w:rPr>
          <w:color w:val="000000"/>
          <w:sz w:val="23"/>
          <w:szCs w:val="23"/>
          <w:lang w:val="es-NI"/>
        </w:rPr>
        <w:t>salvaguardas</w:t>
      </w:r>
      <w:r w:rsidR="00CB6D40">
        <w:rPr>
          <w:color w:val="000000"/>
          <w:sz w:val="23"/>
          <w:szCs w:val="23"/>
          <w:lang w:val="es-NI"/>
        </w:rPr>
        <w:t xml:space="preserve"> </w:t>
      </w:r>
      <w:r w:rsidR="00FF357C" w:rsidRPr="0038552B">
        <w:rPr>
          <w:color w:val="000000"/>
          <w:sz w:val="23"/>
          <w:szCs w:val="23"/>
          <w:lang w:val="es-NI"/>
        </w:rPr>
        <w:t>y</w:t>
      </w:r>
      <w:r w:rsidR="00CB6D40">
        <w:rPr>
          <w:color w:val="000000"/>
          <w:sz w:val="23"/>
          <w:szCs w:val="23"/>
          <w:lang w:val="es-NI"/>
        </w:rPr>
        <w:t xml:space="preserve"> </w:t>
      </w:r>
      <w:r w:rsidR="006112E6" w:rsidRPr="0038552B">
        <w:rPr>
          <w:color w:val="000000"/>
          <w:sz w:val="23"/>
          <w:szCs w:val="23"/>
          <w:lang w:val="es-NI"/>
        </w:rPr>
        <w:t xml:space="preserve">desembolsos; gastos autorizados; mecanismos de </w:t>
      </w:r>
      <w:r w:rsidR="008B7F35" w:rsidRPr="0038552B">
        <w:rPr>
          <w:sz w:val="23"/>
          <w:szCs w:val="23"/>
          <w:lang w:val="es-NI"/>
        </w:rPr>
        <w:t>M&amp;E</w:t>
      </w:r>
      <w:r w:rsidR="00CB6D40">
        <w:rPr>
          <w:sz w:val="23"/>
          <w:szCs w:val="23"/>
          <w:lang w:val="es-NI"/>
        </w:rPr>
        <w:t xml:space="preserve"> </w:t>
      </w:r>
      <w:r w:rsidR="00FF357C" w:rsidRPr="0038552B">
        <w:rPr>
          <w:sz w:val="23"/>
          <w:szCs w:val="23"/>
          <w:lang w:val="es-NI"/>
        </w:rPr>
        <w:t>y</w:t>
      </w:r>
      <w:r w:rsidR="00CB6D40">
        <w:rPr>
          <w:sz w:val="23"/>
          <w:szCs w:val="23"/>
          <w:lang w:val="es-NI"/>
        </w:rPr>
        <w:t xml:space="preserve"> </w:t>
      </w:r>
      <w:r w:rsidR="006112E6" w:rsidRPr="0038552B">
        <w:rPr>
          <w:sz w:val="23"/>
          <w:szCs w:val="23"/>
          <w:lang w:val="es-NI"/>
        </w:rPr>
        <w:t xml:space="preserve">generación de informes. Las políticas corporativas del Banco Mundial sobre la gestión financiera, adquisición, salvaguardas y desembolsos se aplicarán con la flexibilidad agregada de la OP 8.00. </w:t>
      </w:r>
      <w:r w:rsidR="00DA5F0E" w:rsidRPr="0038552B">
        <w:rPr>
          <w:sz w:val="23"/>
          <w:szCs w:val="23"/>
          <w:lang w:val="es-NI"/>
        </w:rPr>
        <w:t xml:space="preserve">En el Acuerdo Financiero, se hará referencia al Manual Operativo, el cual estará sujeto a la revisión y aprobación de los personales de adquisición, gestión financiera, CTR y salvaguardas antes de remitirlo al visto bueno del director de país. Todas las actualizaciones periódicas </w:t>
      </w:r>
      <w:r w:rsidR="00DD1D20" w:rsidRPr="0038552B">
        <w:rPr>
          <w:sz w:val="23"/>
          <w:szCs w:val="23"/>
          <w:lang w:val="es-NI"/>
        </w:rPr>
        <w:t>que sufra</w:t>
      </w:r>
      <w:r w:rsidR="007364A6" w:rsidRPr="0038552B">
        <w:rPr>
          <w:sz w:val="23"/>
          <w:szCs w:val="23"/>
          <w:lang w:val="es-NI"/>
        </w:rPr>
        <w:t xml:space="preserve"> el Manual Operativo como reflejo de las condiciones evolutivas estarán sujetas a la “no objeción” del Banco Mundial.</w:t>
      </w:r>
    </w:p>
    <w:p w:rsidR="00F87D3B" w:rsidRPr="0038552B" w:rsidRDefault="00F87D3B" w:rsidP="0038552B">
      <w:pPr>
        <w:pStyle w:val="ListParagraph"/>
        <w:widowControl w:val="0"/>
        <w:adjustRightInd w:val="0"/>
        <w:ind w:left="0"/>
        <w:jc w:val="both"/>
        <w:textAlignment w:val="baseline"/>
        <w:rPr>
          <w:color w:val="000000"/>
          <w:sz w:val="23"/>
          <w:szCs w:val="23"/>
          <w:lang w:val="es-NI"/>
        </w:rPr>
      </w:pPr>
    </w:p>
    <w:p w:rsidR="00F87D3B" w:rsidRPr="00EE21CC" w:rsidRDefault="007364A6" w:rsidP="0038552B">
      <w:pPr>
        <w:autoSpaceDE w:val="0"/>
        <w:autoSpaceDN w:val="0"/>
        <w:contextualSpacing/>
        <w:rPr>
          <w:b/>
          <w:lang w:val="es-ES"/>
        </w:rPr>
      </w:pPr>
      <w:r w:rsidRPr="00EE21CC">
        <w:rPr>
          <w:b/>
          <w:lang w:val="es-ES"/>
        </w:rPr>
        <w:t>E</w:t>
      </w:r>
      <w:r w:rsidR="000D0E49" w:rsidRPr="00EE21CC">
        <w:rPr>
          <w:b/>
          <w:lang w:val="es-ES"/>
        </w:rPr>
        <w:t>jecución</w:t>
      </w:r>
    </w:p>
    <w:p w:rsidR="00F87D3B" w:rsidRPr="0038552B" w:rsidRDefault="00F87D3B" w:rsidP="0038552B">
      <w:pPr>
        <w:pStyle w:val="ListParagraph"/>
        <w:autoSpaceDE w:val="0"/>
        <w:autoSpaceDN w:val="0"/>
        <w:ind w:left="0"/>
        <w:rPr>
          <w:b/>
          <w:sz w:val="23"/>
          <w:szCs w:val="23"/>
          <w:lang w:val="es-ES"/>
        </w:rPr>
      </w:pPr>
    </w:p>
    <w:p w:rsidR="00B377B7" w:rsidRPr="0038552B" w:rsidRDefault="00B377B7" w:rsidP="00F91221">
      <w:pPr>
        <w:pStyle w:val="ListParagraph"/>
        <w:widowControl w:val="0"/>
        <w:numPr>
          <w:ilvl w:val="0"/>
          <w:numId w:val="29"/>
        </w:numPr>
        <w:adjustRightInd w:val="0"/>
        <w:jc w:val="both"/>
        <w:textAlignment w:val="baseline"/>
        <w:rPr>
          <w:b/>
          <w:i/>
          <w:sz w:val="23"/>
          <w:szCs w:val="23"/>
          <w:lang w:val="es-ES"/>
        </w:rPr>
      </w:pPr>
      <w:r w:rsidRPr="0038552B">
        <w:rPr>
          <w:sz w:val="23"/>
          <w:szCs w:val="23"/>
          <w:lang w:val="es-NI"/>
        </w:rPr>
        <w:t>En caso que ocurra una emergencia</w:t>
      </w:r>
      <w:r w:rsidR="00B9045A">
        <w:rPr>
          <w:sz w:val="23"/>
          <w:szCs w:val="23"/>
          <w:lang w:val="es-NI"/>
        </w:rPr>
        <w:t xml:space="preserve"> </w:t>
      </w:r>
      <w:r w:rsidR="00CB6D40">
        <w:rPr>
          <w:sz w:val="23"/>
          <w:szCs w:val="23"/>
          <w:lang w:val="es-NI"/>
        </w:rPr>
        <w:t>elegible</w:t>
      </w:r>
      <w:r w:rsidRPr="0038552B">
        <w:rPr>
          <w:sz w:val="23"/>
          <w:szCs w:val="23"/>
          <w:lang w:val="es-NI"/>
        </w:rPr>
        <w:t xml:space="preserve">, el </w:t>
      </w:r>
      <w:r w:rsidR="00CB6D40">
        <w:rPr>
          <w:sz w:val="23"/>
          <w:szCs w:val="23"/>
          <w:lang w:val="es-NI"/>
        </w:rPr>
        <w:t>G</w:t>
      </w:r>
      <w:r w:rsidRPr="0038552B">
        <w:rPr>
          <w:sz w:val="23"/>
          <w:szCs w:val="23"/>
          <w:lang w:val="es-NI"/>
        </w:rPr>
        <w:t xml:space="preserve">obierno podrá solicitarle al Banco Mundial fondos del CERC para enfrentar las necesidades de emergencia. Si dichas necesidades superan los fondos </w:t>
      </w:r>
      <w:r w:rsidR="00484613" w:rsidRPr="0038552B">
        <w:rPr>
          <w:sz w:val="23"/>
          <w:szCs w:val="23"/>
          <w:lang w:val="es-NI"/>
        </w:rPr>
        <w:t xml:space="preserve">del CERC, el </w:t>
      </w:r>
      <w:r w:rsidR="00CB6D40">
        <w:rPr>
          <w:sz w:val="23"/>
          <w:szCs w:val="23"/>
          <w:lang w:val="es-NI"/>
        </w:rPr>
        <w:t>G</w:t>
      </w:r>
      <w:r w:rsidR="00484613" w:rsidRPr="0038552B">
        <w:rPr>
          <w:sz w:val="23"/>
          <w:szCs w:val="23"/>
          <w:lang w:val="es-NI"/>
        </w:rPr>
        <w:t>obierno podría también solicitar fondos de la ventana MRI</w:t>
      </w:r>
      <w:r w:rsidR="00CB6D40">
        <w:rPr>
          <w:sz w:val="23"/>
          <w:szCs w:val="23"/>
          <w:lang w:val="es-NI"/>
        </w:rPr>
        <w:t xml:space="preserve"> </w:t>
      </w:r>
      <w:r w:rsidR="00484613" w:rsidRPr="0038552B">
        <w:rPr>
          <w:sz w:val="23"/>
          <w:szCs w:val="23"/>
          <w:lang w:val="es-NI"/>
        </w:rPr>
        <w:t>de otros proyectos y/o reasignación de fondos dentro del Proyecto para incrementar los fondos del CERC.</w:t>
      </w:r>
    </w:p>
    <w:p w:rsidR="0045468F" w:rsidRPr="0038552B" w:rsidRDefault="0045468F" w:rsidP="0038552B">
      <w:pPr>
        <w:pStyle w:val="ListParagraph"/>
        <w:widowControl w:val="0"/>
        <w:adjustRightInd w:val="0"/>
        <w:ind w:left="0"/>
        <w:jc w:val="both"/>
        <w:textAlignment w:val="baseline"/>
        <w:rPr>
          <w:b/>
          <w:i/>
          <w:sz w:val="23"/>
          <w:szCs w:val="23"/>
          <w:lang w:val="es-ES"/>
        </w:rPr>
      </w:pPr>
    </w:p>
    <w:p w:rsidR="00AE31C8" w:rsidRPr="0038552B" w:rsidRDefault="0045468F" w:rsidP="00F91221">
      <w:pPr>
        <w:pStyle w:val="ListParagraph"/>
        <w:widowControl w:val="0"/>
        <w:numPr>
          <w:ilvl w:val="0"/>
          <w:numId w:val="29"/>
        </w:numPr>
        <w:adjustRightInd w:val="0"/>
        <w:jc w:val="both"/>
        <w:textAlignment w:val="baseline"/>
        <w:rPr>
          <w:b/>
          <w:i/>
          <w:sz w:val="23"/>
          <w:szCs w:val="23"/>
          <w:lang w:val="es-ES"/>
        </w:rPr>
      </w:pPr>
      <w:r w:rsidRPr="0038552B">
        <w:rPr>
          <w:sz w:val="23"/>
          <w:szCs w:val="23"/>
          <w:lang w:val="es-ES"/>
        </w:rPr>
        <w:t>Para</w:t>
      </w:r>
      <w:r w:rsidR="0027012E" w:rsidRPr="0038552B">
        <w:rPr>
          <w:sz w:val="23"/>
          <w:szCs w:val="23"/>
          <w:lang w:val="es-ES"/>
        </w:rPr>
        <w:t xml:space="preserve"> acceder a los fondos del CERC con base en el proceso descrito en el Manual Operativo</w:t>
      </w:r>
      <w:r w:rsidR="003375B6" w:rsidRPr="0038552B">
        <w:rPr>
          <w:sz w:val="23"/>
          <w:szCs w:val="23"/>
          <w:lang w:val="es-ES"/>
        </w:rPr>
        <w:t>, la pertinente autoridad gubernamental</w:t>
      </w:r>
      <w:r w:rsidR="00AE31C8" w:rsidRPr="0038552B">
        <w:rPr>
          <w:sz w:val="23"/>
          <w:szCs w:val="23"/>
          <w:lang w:val="es-ES"/>
        </w:rPr>
        <w:t xml:space="preserve"> debe declarar el estado de emergencia y a cambio, el Banco Mundial deberá acordar y mandarle una notificación al </w:t>
      </w:r>
      <w:r w:rsidR="00CB6D40">
        <w:rPr>
          <w:sz w:val="23"/>
          <w:szCs w:val="23"/>
          <w:lang w:val="es-ES"/>
        </w:rPr>
        <w:t>G</w:t>
      </w:r>
      <w:r w:rsidR="00AE31C8" w:rsidRPr="0038552B">
        <w:rPr>
          <w:sz w:val="23"/>
          <w:szCs w:val="23"/>
          <w:lang w:val="es-ES"/>
        </w:rPr>
        <w:t>obierno. Cualquier instrumento requerido de salvaguardas deberá haberse finalizado y diseminado.</w:t>
      </w:r>
    </w:p>
    <w:p w:rsidR="00AE31C8" w:rsidRPr="0038552B" w:rsidRDefault="00AE31C8" w:rsidP="0038552B">
      <w:pPr>
        <w:pStyle w:val="ListParagraph"/>
        <w:rPr>
          <w:sz w:val="23"/>
          <w:szCs w:val="23"/>
          <w:lang w:val="es-ES"/>
        </w:rPr>
      </w:pPr>
    </w:p>
    <w:p w:rsidR="00F87D3B" w:rsidRPr="0038552B" w:rsidRDefault="00AE31C8" w:rsidP="00F91221">
      <w:pPr>
        <w:pStyle w:val="ListParagraph"/>
        <w:widowControl w:val="0"/>
        <w:numPr>
          <w:ilvl w:val="0"/>
          <w:numId w:val="29"/>
        </w:numPr>
        <w:adjustRightInd w:val="0"/>
        <w:jc w:val="both"/>
        <w:textAlignment w:val="baseline"/>
        <w:rPr>
          <w:sz w:val="23"/>
          <w:szCs w:val="23"/>
          <w:lang w:val="es-NI"/>
        </w:rPr>
      </w:pPr>
      <w:r w:rsidRPr="0038552B">
        <w:rPr>
          <w:sz w:val="23"/>
          <w:szCs w:val="23"/>
          <w:lang w:val="es-ES"/>
        </w:rPr>
        <w:t xml:space="preserve">Los bienes adquiridos </w:t>
      </w:r>
      <w:r w:rsidR="00393F26" w:rsidRPr="0038552B">
        <w:rPr>
          <w:sz w:val="23"/>
          <w:szCs w:val="23"/>
          <w:lang w:val="es-ES"/>
        </w:rPr>
        <w:t xml:space="preserve">hasta 12 meses después que se haya activado el CERC serán elegibles </w:t>
      </w:r>
      <w:r w:rsidR="00862C85" w:rsidRPr="0038552B">
        <w:rPr>
          <w:sz w:val="23"/>
          <w:szCs w:val="23"/>
          <w:lang w:val="es-ES"/>
        </w:rPr>
        <w:t xml:space="preserve">para financiarse, mientras que el financiamiento retroactivo (según lo estipulado en el OP 8.00) también estará disponible bajo </w:t>
      </w:r>
      <w:r w:rsidR="000F2192" w:rsidRPr="0038552B">
        <w:rPr>
          <w:sz w:val="23"/>
          <w:szCs w:val="23"/>
          <w:lang w:val="es-ES"/>
        </w:rPr>
        <w:t>d</w:t>
      </w:r>
      <w:r w:rsidR="00862C85" w:rsidRPr="0038552B">
        <w:rPr>
          <w:sz w:val="23"/>
          <w:szCs w:val="23"/>
          <w:lang w:val="es-ES"/>
        </w:rPr>
        <w:t>e</w:t>
      </w:r>
      <w:r w:rsidR="000F2192" w:rsidRPr="0038552B">
        <w:rPr>
          <w:sz w:val="23"/>
          <w:szCs w:val="23"/>
          <w:lang w:val="es-ES"/>
        </w:rPr>
        <w:t>l</w:t>
      </w:r>
      <w:r w:rsidR="003F615E">
        <w:rPr>
          <w:sz w:val="23"/>
          <w:szCs w:val="23"/>
          <w:lang w:val="es-ES"/>
        </w:rPr>
        <w:t xml:space="preserve"> </w:t>
      </w:r>
      <w:r w:rsidR="00862C85" w:rsidRPr="0038552B">
        <w:rPr>
          <w:sz w:val="23"/>
          <w:szCs w:val="23"/>
          <w:lang w:val="es-ES"/>
        </w:rPr>
        <w:t>CERC del Proyecto.</w:t>
      </w:r>
      <w:r w:rsidR="00F87D3B" w:rsidRPr="0038552B">
        <w:rPr>
          <w:rStyle w:val="FootnoteReference"/>
          <w:sz w:val="23"/>
          <w:szCs w:val="23"/>
          <w:lang w:val="es-ES"/>
        </w:rPr>
        <w:footnoteReference w:id="43"/>
      </w:r>
    </w:p>
    <w:p w:rsidR="00173238" w:rsidRPr="00862C85" w:rsidRDefault="00173238" w:rsidP="00173238">
      <w:pPr>
        <w:pStyle w:val="ListParagraph"/>
        <w:widowControl w:val="0"/>
        <w:adjustRightInd w:val="0"/>
        <w:ind w:left="0"/>
        <w:jc w:val="both"/>
        <w:textAlignment w:val="baseline"/>
        <w:rPr>
          <w:b/>
          <w:i/>
          <w:lang w:val="es-NI"/>
        </w:rPr>
      </w:pPr>
    </w:p>
    <w:p w:rsidR="00F87D3B" w:rsidRPr="00D27B8D" w:rsidRDefault="000F2192" w:rsidP="00F91221">
      <w:pPr>
        <w:pStyle w:val="BankNormal"/>
        <w:numPr>
          <w:ilvl w:val="0"/>
          <w:numId w:val="30"/>
        </w:numPr>
        <w:spacing w:after="0"/>
        <w:jc w:val="both"/>
        <w:rPr>
          <w:b/>
          <w:szCs w:val="24"/>
          <w:lang w:val="es-ES"/>
        </w:rPr>
      </w:pPr>
      <w:r>
        <w:rPr>
          <w:b/>
          <w:szCs w:val="24"/>
          <w:lang w:val="es-ES"/>
        </w:rPr>
        <w:lastRenderedPageBreak/>
        <w:t>Mec</w:t>
      </w:r>
      <w:r w:rsidRPr="00D27B8D">
        <w:rPr>
          <w:b/>
          <w:szCs w:val="24"/>
          <w:lang w:val="es-ES"/>
        </w:rPr>
        <w:t>anism</w:t>
      </w:r>
      <w:r>
        <w:rPr>
          <w:b/>
          <w:szCs w:val="24"/>
          <w:lang w:val="es-ES"/>
        </w:rPr>
        <w:t>o de Respuesta In</w:t>
      </w:r>
      <w:r w:rsidRPr="00D27B8D">
        <w:rPr>
          <w:b/>
          <w:szCs w:val="24"/>
          <w:lang w:val="es-ES"/>
        </w:rPr>
        <w:t>mediat</w:t>
      </w:r>
      <w:r>
        <w:rPr>
          <w:b/>
          <w:szCs w:val="24"/>
          <w:lang w:val="es-ES"/>
        </w:rPr>
        <w:t>a</w:t>
      </w:r>
      <w:r w:rsidR="00F87D3B" w:rsidRPr="00D27B8D">
        <w:rPr>
          <w:b/>
          <w:szCs w:val="24"/>
          <w:lang w:val="es-ES"/>
        </w:rPr>
        <w:t>(</w:t>
      </w:r>
      <w:r w:rsidR="0075348E" w:rsidRPr="00D27B8D">
        <w:rPr>
          <w:b/>
          <w:szCs w:val="24"/>
          <w:lang w:val="es-ES"/>
        </w:rPr>
        <w:t>MRI</w:t>
      </w:r>
      <w:r w:rsidR="00F87D3B" w:rsidRPr="00D27B8D">
        <w:rPr>
          <w:b/>
          <w:szCs w:val="24"/>
          <w:lang w:val="es-ES"/>
        </w:rPr>
        <w:t>)</w:t>
      </w:r>
    </w:p>
    <w:p w:rsidR="00F87D3B" w:rsidRPr="004E39BB" w:rsidRDefault="00F87D3B" w:rsidP="00F87D3B">
      <w:pPr>
        <w:pStyle w:val="BankNormal"/>
        <w:spacing w:after="0"/>
        <w:rPr>
          <w:szCs w:val="24"/>
          <w:lang w:val="es-ES"/>
        </w:rPr>
      </w:pPr>
    </w:p>
    <w:p w:rsidR="00F87D3B" w:rsidRPr="009555BC" w:rsidRDefault="000F2192" w:rsidP="00F91221">
      <w:pPr>
        <w:pStyle w:val="ListParagraph"/>
        <w:widowControl w:val="0"/>
        <w:numPr>
          <w:ilvl w:val="0"/>
          <w:numId w:val="29"/>
        </w:numPr>
        <w:adjustRightInd w:val="0"/>
        <w:jc w:val="both"/>
        <w:textAlignment w:val="baseline"/>
        <w:rPr>
          <w:sz w:val="23"/>
          <w:szCs w:val="23"/>
          <w:lang w:val="es-ES"/>
        </w:rPr>
      </w:pPr>
      <w:r w:rsidRPr="009555BC">
        <w:rPr>
          <w:sz w:val="23"/>
          <w:szCs w:val="23"/>
          <w:lang w:val="es-ES"/>
        </w:rPr>
        <w:t>El</w:t>
      </w:r>
      <w:r w:rsidR="003F615E">
        <w:rPr>
          <w:sz w:val="23"/>
          <w:szCs w:val="23"/>
          <w:lang w:val="es-ES"/>
        </w:rPr>
        <w:t xml:space="preserve"> </w:t>
      </w:r>
      <w:r w:rsidR="0075348E" w:rsidRPr="009555BC">
        <w:rPr>
          <w:sz w:val="23"/>
          <w:szCs w:val="23"/>
          <w:lang w:val="es-ES"/>
        </w:rPr>
        <w:t>MRI</w:t>
      </w:r>
      <w:r w:rsidR="004E39BB" w:rsidRPr="009555BC">
        <w:rPr>
          <w:sz w:val="23"/>
          <w:szCs w:val="23"/>
          <w:lang w:val="es-ES"/>
        </w:rPr>
        <w:t xml:space="preserve"> quedará activado a nivel de país </w:t>
      </w:r>
      <w:r w:rsidR="000F7A73" w:rsidRPr="009555BC">
        <w:rPr>
          <w:sz w:val="23"/>
          <w:szCs w:val="23"/>
          <w:lang w:val="es-ES"/>
        </w:rPr>
        <w:t>al</w:t>
      </w:r>
      <w:r w:rsidR="004E39BB" w:rsidRPr="009555BC">
        <w:rPr>
          <w:sz w:val="23"/>
          <w:szCs w:val="23"/>
          <w:lang w:val="es-ES"/>
        </w:rPr>
        <w:t>:</w:t>
      </w:r>
    </w:p>
    <w:p w:rsidR="00F87D3B" w:rsidRPr="009555BC" w:rsidRDefault="00F87D3B" w:rsidP="00F87D3B">
      <w:pPr>
        <w:pStyle w:val="ListParagraph"/>
        <w:ind w:left="0"/>
        <w:rPr>
          <w:sz w:val="23"/>
          <w:szCs w:val="23"/>
          <w:lang w:val="es-ES"/>
        </w:rPr>
      </w:pPr>
    </w:p>
    <w:p w:rsidR="00F87D3B" w:rsidRPr="009555BC" w:rsidRDefault="000F7A73" w:rsidP="00F91221">
      <w:pPr>
        <w:pStyle w:val="ListParagraph"/>
        <w:numPr>
          <w:ilvl w:val="0"/>
          <w:numId w:val="28"/>
        </w:numPr>
        <w:jc w:val="both"/>
        <w:rPr>
          <w:sz w:val="23"/>
          <w:szCs w:val="23"/>
          <w:lang w:val="es-ES"/>
        </w:rPr>
      </w:pPr>
      <w:r w:rsidRPr="009555BC">
        <w:rPr>
          <w:sz w:val="23"/>
          <w:szCs w:val="23"/>
          <w:lang w:val="es-ES"/>
        </w:rPr>
        <w:t>Agregar</w:t>
      </w:r>
      <w:r w:rsidR="004E39BB" w:rsidRPr="009555BC">
        <w:rPr>
          <w:sz w:val="23"/>
          <w:szCs w:val="23"/>
          <w:lang w:val="es-ES"/>
        </w:rPr>
        <w:t xml:space="preserve"> al </w:t>
      </w:r>
      <w:r w:rsidR="00A7778B" w:rsidRPr="009555BC">
        <w:rPr>
          <w:sz w:val="23"/>
          <w:szCs w:val="23"/>
          <w:lang w:val="es-ES"/>
        </w:rPr>
        <w:t>Objetivo</w:t>
      </w:r>
      <w:r w:rsidR="003F615E">
        <w:rPr>
          <w:sz w:val="23"/>
          <w:szCs w:val="23"/>
          <w:lang w:val="es-ES"/>
        </w:rPr>
        <w:t xml:space="preserve"> </w:t>
      </w:r>
      <w:r w:rsidR="004E39BB" w:rsidRPr="009555BC">
        <w:rPr>
          <w:sz w:val="23"/>
          <w:szCs w:val="23"/>
          <w:lang w:val="es-ES"/>
        </w:rPr>
        <w:t xml:space="preserve">de </w:t>
      </w:r>
      <w:r w:rsidRPr="009555BC">
        <w:rPr>
          <w:sz w:val="23"/>
          <w:szCs w:val="23"/>
          <w:lang w:val="es-ES"/>
        </w:rPr>
        <w:t xml:space="preserve">Desarrollo del Proyecto </w:t>
      </w:r>
      <w:r w:rsidR="00F87D3B" w:rsidRPr="009555BC">
        <w:rPr>
          <w:sz w:val="23"/>
          <w:szCs w:val="23"/>
          <w:lang w:val="es-ES"/>
        </w:rPr>
        <w:t>(</w:t>
      </w:r>
      <w:r w:rsidR="005E48C2" w:rsidRPr="009555BC">
        <w:rPr>
          <w:sz w:val="23"/>
          <w:szCs w:val="23"/>
          <w:lang w:val="es-ES"/>
        </w:rPr>
        <w:t>ODP</w:t>
      </w:r>
      <w:r w:rsidR="00F87D3B" w:rsidRPr="009555BC">
        <w:rPr>
          <w:sz w:val="23"/>
          <w:szCs w:val="23"/>
          <w:lang w:val="es-ES"/>
        </w:rPr>
        <w:t>)</w:t>
      </w:r>
      <w:r w:rsidRPr="009555BC">
        <w:rPr>
          <w:sz w:val="23"/>
          <w:szCs w:val="23"/>
          <w:lang w:val="es-ES"/>
        </w:rPr>
        <w:t xml:space="preserve"> de proyectos </w:t>
      </w:r>
      <w:r w:rsidR="00BD7271" w:rsidRPr="009555BC">
        <w:rPr>
          <w:sz w:val="23"/>
          <w:szCs w:val="23"/>
          <w:lang w:val="es-ES"/>
        </w:rPr>
        <w:t>nuevos o reestructurados el objetivo específico del MRI de apoyar a Nicaragua para “mejorar la capacidad de responder de manera pronta y efectiva ante una emergencia</w:t>
      </w:r>
      <w:r w:rsidR="009F3769">
        <w:rPr>
          <w:sz w:val="23"/>
          <w:szCs w:val="23"/>
          <w:lang w:val="es-ES"/>
        </w:rPr>
        <w:t xml:space="preserve"> </w:t>
      </w:r>
      <w:r w:rsidR="003F615E">
        <w:rPr>
          <w:sz w:val="23"/>
          <w:szCs w:val="23"/>
          <w:lang w:val="es-ES"/>
        </w:rPr>
        <w:t>elegible</w:t>
      </w:r>
      <w:r w:rsidR="00BD7271" w:rsidRPr="009555BC">
        <w:rPr>
          <w:sz w:val="23"/>
          <w:szCs w:val="23"/>
          <w:lang w:val="es-ES"/>
        </w:rPr>
        <w:t>”.</w:t>
      </w:r>
    </w:p>
    <w:p w:rsidR="00F87D3B" w:rsidRPr="009555BC" w:rsidRDefault="00F87D3B" w:rsidP="00F87D3B">
      <w:pPr>
        <w:pStyle w:val="ListParagraph"/>
        <w:rPr>
          <w:sz w:val="23"/>
          <w:szCs w:val="23"/>
          <w:lang w:val="es-ES"/>
        </w:rPr>
      </w:pPr>
    </w:p>
    <w:p w:rsidR="00BE1751" w:rsidRPr="009555BC" w:rsidRDefault="00BD7271" w:rsidP="00F91221">
      <w:pPr>
        <w:pStyle w:val="ListParagraph"/>
        <w:numPr>
          <w:ilvl w:val="0"/>
          <w:numId w:val="28"/>
        </w:numPr>
        <w:jc w:val="both"/>
        <w:rPr>
          <w:sz w:val="23"/>
          <w:szCs w:val="23"/>
          <w:lang w:val="es-NI"/>
        </w:rPr>
      </w:pPr>
      <w:r w:rsidRPr="009555BC">
        <w:rPr>
          <w:sz w:val="23"/>
          <w:szCs w:val="23"/>
          <w:lang w:val="es-NI"/>
        </w:rPr>
        <w:t>I</w:t>
      </w:r>
      <w:r w:rsidR="00F87D3B" w:rsidRPr="009555BC">
        <w:rPr>
          <w:sz w:val="23"/>
          <w:szCs w:val="23"/>
          <w:lang w:val="es-NI"/>
        </w:rPr>
        <w:t>nclu</w:t>
      </w:r>
      <w:r w:rsidRPr="009555BC">
        <w:rPr>
          <w:sz w:val="23"/>
          <w:szCs w:val="23"/>
          <w:lang w:val="es-NI"/>
        </w:rPr>
        <w:t xml:space="preserve">ir un </w:t>
      </w:r>
      <w:r w:rsidR="00237729" w:rsidRPr="009555BC">
        <w:rPr>
          <w:sz w:val="23"/>
          <w:szCs w:val="23"/>
          <w:lang w:val="es-NI"/>
        </w:rPr>
        <w:t>Componente</w:t>
      </w:r>
      <w:r w:rsidR="003F615E">
        <w:rPr>
          <w:sz w:val="23"/>
          <w:szCs w:val="23"/>
          <w:lang w:val="es-NI"/>
        </w:rPr>
        <w:t xml:space="preserve"> </w:t>
      </w:r>
      <w:r w:rsidRPr="009555BC">
        <w:rPr>
          <w:sz w:val="23"/>
          <w:szCs w:val="23"/>
          <w:lang w:val="es-NI"/>
        </w:rPr>
        <w:t>Contingente MRI</w:t>
      </w:r>
      <w:r w:rsidR="003F615E">
        <w:rPr>
          <w:sz w:val="23"/>
          <w:szCs w:val="23"/>
          <w:lang w:val="es-NI"/>
        </w:rPr>
        <w:t xml:space="preserve"> </w:t>
      </w:r>
      <w:r w:rsidR="00F87D3B" w:rsidRPr="009555BC">
        <w:rPr>
          <w:sz w:val="23"/>
          <w:szCs w:val="23"/>
          <w:lang w:val="es-NI"/>
        </w:rPr>
        <w:t>(</w:t>
      </w:r>
      <w:r w:rsidR="0075348E" w:rsidRPr="009555BC">
        <w:rPr>
          <w:sz w:val="23"/>
          <w:szCs w:val="23"/>
          <w:lang w:val="es-NI"/>
        </w:rPr>
        <w:t>MRI</w:t>
      </w:r>
      <w:r w:rsidR="00F87D3B" w:rsidRPr="009555BC">
        <w:rPr>
          <w:sz w:val="23"/>
          <w:szCs w:val="23"/>
          <w:lang w:val="es-NI"/>
        </w:rPr>
        <w:t xml:space="preserve">CC) </w:t>
      </w:r>
      <w:r w:rsidR="00BE1751" w:rsidRPr="009555BC">
        <w:rPr>
          <w:sz w:val="23"/>
          <w:szCs w:val="23"/>
          <w:lang w:val="es-NI"/>
        </w:rPr>
        <w:t>de fondo cero a través del cual una cantidad determinada de fondos del proyecto respectivo se reasignarían para cubrir las emergencias derivadas de una emergencia;</w:t>
      </w:r>
    </w:p>
    <w:p w:rsidR="00BE1751" w:rsidRPr="009555BC" w:rsidRDefault="00BE1751" w:rsidP="00BE1751">
      <w:pPr>
        <w:pStyle w:val="ListParagraph"/>
        <w:rPr>
          <w:sz w:val="23"/>
          <w:szCs w:val="23"/>
          <w:lang w:val="es-NI"/>
        </w:rPr>
      </w:pPr>
    </w:p>
    <w:p w:rsidR="00BE1751" w:rsidRPr="009555BC" w:rsidRDefault="00BE1751" w:rsidP="00F91221">
      <w:pPr>
        <w:pStyle w:val="ListParagraph"/>
        <w:numPr>
          <w:ilvl w:val="0"/>
          <w:numId w:val="28"/>
        </w:numPr>
        <w:jc w:val="both"/>
        <w:rPr>
          <w:sz w:val="23"/>
          <w:szCs w:val="23"/>
          <w:lang w:val="es-NI"/>
        </w:rPr>
      </w:pPr>
      <w:r w:rsidRPr="009555BC">
        <w:rPr>
          <w:sz w:val="23"/>
          <w:szCs w:val="23"/>
          <w:lang w:val="es-NI"/>
        </w:rPr>
        <w:t>Agregar a la matriz de resultados un indicador de resultados de los ODP y un indicador intermedio</w:t>
      </w:r>
      <w:r w:rsidR="00E10954" w:rsidRPr="009555BC">
        <w:rPr>
          <w:sz w:val="23"/>
          <w:szCs w:val="23"/>
          <w:lang w:val="es-NI"/>
        </w:rPr>
        <w:t xml:space="preserve"> asociado con el Componente del MRI, los cuales serían: (i) A nivel de ODP, el “tiempo empleado para desembolsar los fondos solicitados por el </w:t>
      </w:r>
      <w:r w:rsidR="003F615E">
        <w:rPr>
          <w:sz w:val="23"/>
          <w:szCs w:val="23"/>
          <w:lang w:val="es-NI"/>
        </w:rPr>
        <w:t>G</w:t>
      </w:r>
      <w:r w:rsidR="00E10954" w:rsidRPr="009555BC">
        <w:rPr>
          <w:sz w:val="23"/>
          <w:szCs w:val="23"/>
          <w:lang w:val="es-NI"/>
        </w:rPr>
        <w:t xml:space="preserve">obierno para enfrentar una emergencia </w:t>
      </w:r>
      <w:r w:rsidR="003F615E">
        <w:rPr>
          <w:sz w:val="23"/>
          <w:szCs w:val="23"/>
          <w:lang w:val="es-NI"/>
        </w:rPr>
        <w:t>elegible</w:t>
      </w:r>
      <w:r w:rsidR="00E10954" w:rsidRPr="009555BC">
        <w:rPr>
          <w:sz w:val="23"/>
          <w:szCs w:val="23"/>
          <w:lang w:val="es-NI"/>
        </w:rPr>
        <w:t xml:space="preserve">(la meta </w:t>
      </w:r>
      <w:r w:rsidR="007D1B82" w:rsidRPr="009555BC">
        <w:rPr>
          <w:sz w:val="23"/>
          <w:szCs w:val="23"/>
          <w:lang w:val="es-NI"/>
        </w:rPr>
        <w:t>es de 4 semanas); (ii) A nivel de componente, “MRI instaurado y listo para brindarle a Nicaragua acceso a recursos financieros en caso de enfrentar una emergencia relevante”.</w:t>
      </w:r>
    </w:p>
    <w:p w:rsidR="007D1B82" w:rsidRPr="009555BC" w:rsidRDefault="007D1B82" w:rsidP="007D1B82">
      <w:pPr>
        <w:pStyle w:val="ListParagraph"/>
        <w:rPr>
          <w:sz w:val="23"/>
          <w:szCs w:val="23"/>
          <w:lang w:val="es-NI"/>
        </w:rPr>
      </w:pPr>
    </w:p>
    <w:p w:rsidR="007D1B82" w:rsidRPr="009555BC" w:rsidRDefault="007E27F3" w:rsidP="00F91221">
      <w:pPr>
        <w:pStyle w:val="ListParagraph"/>
        <w:numPr>
          <w:ilvl w:val="0"/>
          <w:numId w:val="28"/>
        </w:numPr>
        <w:jc w:val="both"/>
        <w:rPr>
          <w:sz w:val="23"/>
          <w:szCs w:val="23"/>
          <w:lang w:val="es-NI"/>
        </w:rPr>
      </w:pPr>
      <w:r w:rsidRPr="009555BC">
        <w:rPr>
          <w:sz w:val="23"/>
          <w:szCs w:val="23"/>
          <w:lang w:val="es-NI"/>
        </w:rPr>
        <w:t>Finalizar el Manual Operativo de</w:t>
      </w:r>
      <w:r w:rsidR="000F0F76" w:rsidRPr="009555BC">
        <w:rPr>
          <w:sz w:val="23"/>
          <w:szCs w:val="23"/>
          <w:lang w:val="es-NI"/>
        </w:rPr>
        <w:t>l MRI que</w:t>
      </w:r>
      <w:r w:rsidRPr="009555BC">
        <w:rPr>
          <w:sz w:val="23"/>
          <w:szCs w:val="23"/>
          <w:lang w:val="es-NI"/>
        </w:rPr>
        <w:t xml:space="preserve"> reflej</w:t>
      </w:r>
      <w:r w:rsidR="000F0F76" w:rsidRPr="009555BC">
        <w:rPr>
          <w:sz w:val="23"/>
          <w:szCs w:val="23"/>
          <w:lang w:val="es-NI"/>
        </w:rPr>
        <w:t>e</w:t>
      </w:r>
      <w:r w:rsidR="003F615E">
        <w:rPr>
          <w:sz w:val="23"/>
          <w:szCs w:val="23"/>
          <w:lang w:val="es-NI"/>
        </w:rPr>
        <w:t xml:space="preserve"> </w:t>
      </w:r>
      <w:r w:rsidR="000F0F76" w:rsidRPr="009555BC">
        <w:rPr>
          <w:sz w:val="23"/>
          <w:szCs w:val="23"/>
          <w:lang w:val="es-NI"/>
        </w:rPr>
        <w:t>el consenso en torno a los mecanismos  de ejecución y requisitos fiduciarios y salvaguardas de conformidad con la OP 8.00.</w:t>
      </w:r>
    </w:p>
    <w:p w:rsidR="000F0F76" w:rsidRPr="009555BC" w:rsidRDefault="000F0F76" w:rsidP="000F0F76">
      <w:pPr>
        <w:pStyle w:val="ListParagraph"/>
        <w:rPr>
          <w:sz w:val="23"/>
          <w:szCs w:val="23"/>
          <w:lang w:val="es-NI"/>
        </w:rPr>
      </w:pPr>
    </w:p>
    <w:p w:rsidR="000F0F76" w:rsidRPr="009F3769" w:rsidRDefault="00B74460" w:rsidP="00F91221">
      <w:pPr>
        <w:pStyle w:val="ListParagraph"/>
        <w:numPr>
          <w:ilvl w:val="0"/>
          <w:numId w:val="28"/>
        </w:numPr>
        <w:jc w:val="both"/>
        <w:rPr>
          <w:sz w:val="23"/>
          <w:szCs w:val="23"/>
          <w:u w:val="single"/>
          <w:lang w:val="es-NI"/>
        </w:rPr>
      </w:pPr>
      <w:r w:rsidRPr="009555BC">
        <w:rPr>
          <w:sz w:val="23"/>
          <w:szCs w:val="23"/>
          <w:lang w:val="es-NI"/>
        </w:rPr>
        <w:t xml:space="preserve">Hacer referencia al Manual Operativo del MRI en todos los </w:t>
      </w:r>
      <w:r w:rsidR="00187C47" w:rsidRPr="009555BC">
        <w:rPr>
          <w:sz w:val="23"/>
          <w:szCs w:val="23"/>
          <w:lang w:val="es-NI"/>
        </w:rPr>
        <w:t>acuerdos</w:t>
      </w:r>
      <w:r w:rsidRPr="009555BC">
        <w:rPr>
          <w:sz w:val="23"/>
          <w:szCs w:val="23"/>
          <w:lang w:val="es-NI"/>
        </w:rPr>
        <w:t xml:space="preserve"> de financiamiento (FA)</w:t>
      </w:r>
      <w:r w:rsidR="00BE7332" w:rsidRPr="009555BC">
        <w:rPr>
          <w:sz w:val="23"/>
          <w:szCs w:val="23"/>
          <w:lang w:val="es-NI"/>
        </w:rPr>
        <w:t xml:space="preserve"> de las operaciones, entre ellos un CC MRI, revisado y aprobado por los personales de los departamentos legal, adquisición, gestión financiera, CTR y salvaguardas antes de remitirlo al visto bueno del director de país; el manual podrá actualizarse de vez en cuando para que refleje las condiciones evolutivas del país, </w:t>
      </w:r>
      <w:r w:rsidR="00C46691" w:rsidRPr="00B9045A">
        <w:rPr>
          <w:sz w:val="23"/>
          <w:szCs w:val="23"/>
          <w:lang w:val="es-NI"/>
        </w:rPr>
        <w:t>con actualizaciones que deberán recibir la “no objeción” del Banco Mundial.</w:t>
      </w:r>
      <w:r w:rsidR="003F615E" w:rsidRPr="00B9045A">
        <w:rPr>
          <w:sz w:val="23"/>
          <w:szCs w:val="23"/>
          <w:lang w:val="es-NI"/>
        </w:rPr>
        <w:t xml:space="preserve"> </w:t>
      </w:r>
    </w:p>
    <w:p w:rsidR="00BE7332" w:rsidRPr="009F3769" w:rsidRDefault="00BE7332" w:rsidP="00BE7332">
      <w:pPr>
        <w:pStyle w:val="ListParagraph"/>
        <w:rPr>
          <w:sz w:val="23"/>
          <w:szCs w:val="23"/>
          <w:u w:val="single"/>
          <w:lang w:val="es-NI"/>
        </w:rPr>
      </w:pPr>
    </w:p>
    <w:p w:rsidR="00F87D3B" w:rsidRPr="009555BC" w:rsidRDefault="00867A78" w:rsidP="00F91221">
      <w:pPr>
        <w:pStyle w:val="ListParagraph"/>
        <w:numPr>
          <w:ilvl w:val="0"/>
          <w:numId w:val="28"/>
        </w:numPr>
        <w:jc w:val="both"/>
        <w:rPr>
          <w:sz w:val="23"/>
          <w:szCs w:val="23"/>
          <w:lang w:val="es-NI"/>
        </w:rPr>
      </w:pPr>
      <w:r w:rsidRPr="009555BC">
        <w:rPr>
          <w:sz w:val="23"/>
          <w:szCs w:val="23"/>
          <w:lang w:val="es-NI"/>
        </w:rPr>
        <w:t>Identificar los métodos de desembolsos y los requisitos de documentos soportes de los desembolsos exigidos bajo el Componente (en caso conocido) a través de una Carta de Desembolso inicial para todos los proyectos que contenga un CC MRI (</w:t>
      </w:r>
      <w:r w:rsidR="008B62B3" w:rsidRPr="009555BC">
        <w:rPr>
          <w:sz w:val="23"/>
          <w:szCs w:val="23"/>
          <w:lang w:val="es-NI"/>
        </w:rPr>
        <w:t>una carta de desembolso revisada se emitirá una vez que los mecanismos se hayan aclarado o que las circunstancias cambien).</w:t>
      </w:r>
    </w:p>
    <w:p w:rsidR="00F87D3B" w:rsidRPr="009555BC" w:rsidRDefault="00F87D3B" w:rsidP="00F87D3B">
      <w:pPr>
        <w:rPr>
          <w:sz w:val="23"/>
          <w:szCs w:val="23"/>
          <w:lang w:val="es-NI"/>
        </w:rPr>
      </w:pPr>
    </w:p>
    <w:p w:rsidR="001F66F2" w:rsidRPr="009555BC" w:rsidRDefault="008B62B3" w:rsidP="00F91221">
      <w:pPr>
        <w:pStyle w:val="ListParagraph"/>
        <w:widowControl w:val="0"/>
        <w:numPr>
          <w:ilvl w:val="0"/>
          <w:numId w:val="29"/>
        </w:numPr>
        <w:adjustRightInd w:val="0"/>
        <w:jc w:val="both"/>
        <w:textAlignment w:val="baseline"/>
        <w:rPr>
          <w:sz w:val="23"/>
          <w:szCs w:val="23"/>
          <w:lang w:val="es-ES"/>
        </w:rPr>
      </w:pPr>
      <w:r w:rsidRPr="009555BC">
        <w:rPr>
          <w:sz w:val="23"/>
          <w:szCs w:val="23"/>
          <w:lang w:val="es-NI"/>
        </w:rPr>
        <w:t>Como parte del diálogo de país y de las</w:t>
      </w:r>
      <w:r w:rsidR="003F615E">
        <w:rPr>
          <w:sz w:val="23"/>
          <w:szCs w:val="23"/>
          <w:lang w:val="es-NI"/>
        </w:rPr>
        <w:t xml:space="preserve"> </w:t>
      </w:r>
      <w:r w:rsidR="00421957" w:rsidRPr="009555BC">
        <w:rPr>
          <w:sz w:val="23"/>
          <w:szCs w:val="23"/>
          <w:lang w:val="es-ES"/>
        </w:rPr>
        <w:t xml:space="preserve">revisiones sobre el estado de la ejecución de la cartera de país, el </w:t>
      </w:r>
      <w:r w:rsidR="003F615E">
        <w:rPr>
          <w:sz w:val="23"/>
          <w:szCs w:val="23"/>
          <w:lang w:val="es-ES"/>
        </w:rPr>
        <w:t>G</w:t>
      </w:r>
      <w:r w:rsidR="00421957" w:rsidRPr="009555BC">
        <w:rPr>
          <w:sz w:val="23"/>
          <w:szCs w:val="23"/>
          <w:lang w:val="es-ES"/>
        </w:rPr>
        <w:t xml:space="preserve">obierno en conjunto con el Banco Mundial identificarán de vez en cuando los fondos disponibles que se podrían reasignar de la lista de proyectos que </w:t>
      </w:r>
      <w:r w:rsidR="001F66F2" w:rsidRPr="009555BC">
        <w:rPr>
          <w:sz w:val="23"/>
          <w:szCs w:val="23"/>
          <w:lang w:val="es-ES"/>
        </w:rPr>
        <w:t>contenga una ventana de MRI. La lista y los montos indicativos deberán verse reflejados en el Manual Operativo del MRI.</w:t>
      </w:r>
    </w:p>
    <w:p w:rsidR="001F66F2" w:rsidRPr="009555BC" w:rsidRDefault="001F66F2" w:rsidP="001F66F2">
      <w:pPr>
        <w:pStyle w:val="ListParagraph"/>
        <w:widowControl w:val="0"/>
        <w:adjustRightInd w:val="0"/>
        <w:ind w:left="0"/>
        <w:jc w:val="both"/>
        <w:textAlignment w:val="baseline"/>
        <w:rPr>
          <w:sz w:val="23"/>
          <w:szCs w:val="23"/>
          <w:lang w:val="es-ES"/>
        </w:rPr>
      </w:pPr>
    </w:p>
    <w:p w:rsidR="00F87D3B" w:rsidRPr="009555BC" w:rsidRDefault="001F66F2" w:rsidP="00F91221">
      <w:pPr>
        <w:pStyle w:val="ListParagraph"/>
        <w:widowControl w:val="0"/>
        <w:numPr>
          <w:ilvl w:val="0"/>
          <w:numId w:val="29"/>
        </w:numPr>
        <w:adjustRightInd w:val="0"/>
        <w:jc w:val="both"/>
        <w:textAlignment w:val="baseline"/>
        <w:rPr>
          <w:sz w:val="23"/>
          <w:szCs w:val="23"/>
          <w:lang w:val="es-ES"/>
        </w:rPr>
      </w:pPr>
      <w:r w:rsidRPr="009555BC">
        <w:rPr>
          <w:sz w:val="23"/>
          <w:szCs w:val="23"/>
          <w:lang w:val="es-ES"/>
        </w:rPr>
        <w:t xml:space="preserve">El MRI para Nicaragua </w:t>
      </w:r>
      <w:r w:rsidR="00263CD4" w:rsidRPr="009555BC">
        <w:rPr>
          <w:sz w:val="23"/>
          <w:szCs w:val="23"/>
          <w:lang w:val="es-ES"/>
        </w:rPr>
        <w:t>financiará los gastos públicos y privados de una lista positiva de bienes nacionales e importados y/o bienes, obras, servicios necesarios (inclusive costos de auditoría) y gastos de las operaciones de emergencia requeridos para posibilitar la respuesta y recuperación de emergencia. Dichos gastos deberán estar acordes con la OP 8.00 y se evaluarán, revisarán</w:t>
      </w:r>
      <w:r w:rsidR="00955C44" w:rsidRPr="009555BC">
        <w:rPr>
          <w:sz w:val="23"/>
          <w:szCs w:val="23"/>
          <w:lang w:val="es-ES"/>
        </w:rPr>
        <w:t xml:space="preserve"> y se someterán al visto bueno del Banco Mundial antes de proceder a hacer algún desembolso. Los gastos autorizados quedarán definidos en el Manual Operativo. </w:t>
      </w:r>
    </w:p>
    <w:p w:rsidR="00D53383" w:rsidRPr="009555BC" w:rsidRDefault="00D53383">
      <w:pPr>
        <w:rPr>
          <w:b/>
          <w:sz w:val="23"/>
          <w:szCs w:val="23"/>
          <w:lang w:val="es-ES"/>
        </w:rPr>
      </w:pPr>
      <w:r w:rsidRPr="009555BC">
        <w:rPr>
          <w:b/>
          <w:sz w:val="23"/>
          <w:szCs w:val="23"/>
          <w:lang w:val="es-ES"/>
        </w:rPr>
        <w:br w:type="page"/>
      </w:r>
    </w:p>
    <w:p w:rsidR="00C1681D" w:rsidRPr="00BD7271" w:rsidRDefault="005B6CFA" w:rsidP="00161DCB">
      <w:pPr>
        <w:pStyle w:val="Heading4"/>
      </w:pPr>
      <w:bookmarkStart w:id="144" w:name="_Toc357981090"/>
      <w:r w:rsidRPr="00BD7271">
        <w:lastRenderedPageBreak/>
        <w:t>Anexo</w:t>
      </w:r>
      <w:r w:rsidR="00DB16E4" w:rsidRPr="00BD7271">
        <w:t xml:space="preserve"> 8 - </w:t>
      </w:r>
      <w:r w:rsidR="00BA1338" w:rsidRPr="00BD7271">
        <w:t>Map</w:t>
      </w:r>
      <w:r w:rsidR="00BA1338">
        <w:t>a</w:t>
      </w:r>
      <w:bookmarkEnd w:id="144"/>
    </w:p>
    <w:sectPr w:rsidR="00C1681D" w:rsidRPr="00BD7271" w:rsidSect="00842CC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69" w:rsidRDefault="009F3769">
      <w:r>
        <w:separator/>
      </w:r>
    </w:p>
  </w:endnote>
  <w:endnote w:type="continuationSeparator" w:id="0">
    <w:p w:rsidR="009F3769" w:rsidRDefault="009F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9" w:rsidRDefault="009F3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769" w:rsidRDefault="009F3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69" w:rsidRDefault="009F3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033">
      <w:rPr>
        <w:rStyle w:val="PageNumber"/>
        <w:noProof/>
      </w:rPr>
      <w:t>67</w:t>
    </w:r>
    <w:r>
      <w:rPr>
        <w:rStyle w:val="PageNumber"/>
      </w:rPr>
      <w:fldChar w:fldCharType="end"/>
    </w:r>
  </w:p>
  <w:p w:rsidR="009F3769" w:rsidRDefault="009F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69" w:rsidRDefault="009F3769">
      <w:r>
        <w:separator/>
      </w:r>
    </w:p>
  </w:footnote>
  <w:footnote w:type="continuationSeparator" w:id="0">
    <w:p w:rsidR="009F3769" w:rsidRDefault="009F3769">
      <w:r>
        <w:continuationSeparator/>
      </w:r>
    </w:p>
  </w:footnote>
  <w:footnote w:id="1">
    <w:p w:rsidR="009F3769" w:rsidRPr="007E0689" w:rsidRDefault="009F3769" w:rsidP="00971692">
      <w:pPr>
        <w:pStyle w:val="FootnoteText"/>
        <w:jc w:val="both"/>
        <w:rPr>
          <w:sz w:val="18"/>
          <w:szCs w:val="18"/>
          <w:lang w:val="es-ES"/>
        </w:rPr>
      </w:pPr>
      <w:r w:rsidRPr="00626181">
        <w:rPr>
          <w:rStyle w:val="FootnoteReference"/>
          <w:sz w:val="18"/>
          <w:szCs w:val="18"/>
        </w:rPr>
        <w:footnoteRef/>
      </w:r>
      <w:r w:rsidRPr="007E0689">
        <w:rPr>
          <w:sz w:val="18"/>
          <w:szCs w:val="18"/>
          <w:lang w:val="es-ES"/>
        </w:rPr>
        <w:t xml:space="preserve">Estimado en dólares actuales (Método Atlas), </w:t>
      </w:r>
      <w:r>
        <w:rPr>
          <w:sz w:val="18"/>
          <w:szCs w:val="18"/>
          <w:lang w:val="es-ES"/>
        </w:rPr>
        <w:t xml:space="preserve">base de datos de los indicadores mundiales de desarrollo </w:t>
      </w:r>
    </w:p>
  </w:footnote>
  <w:footnote w:id="2">
    <w:p w:rsidR="009F3769" w:rsidRPr="007E0689" w:rsidRDefault="009F3769" w:rsidP="00971692">
      <w:pPr>
        <w:pStyle w:val="FootnoteText"/>
        <w:jc w:val="both"/>
        <w:rPr>
          <w:sz w:val="18"/>
          <w:szCs w:val="18"/>
          <w:lang w:val="es-ES"/>
        </w:rPr>
      </w:pPr>
      <w:r w:rsidRPr="007E0689">
        <w:rPr>
          <w:rStyle w:val="FootnoteReference"/>
          <w:sz w:val="18"/>
          <w:szCs w:val="18"/>
          <w:lang w:val="es-ES"/>
        </w:rPr>
        <w:footnoteRef/>
      </w:r>
      <w:r w:rsidRPr="001F152D">
        <w:rPr>
          <w:sz w:val="18"/>
          <w:szCs w:val="18"/>
          <w:lang w:val="es-NI"/>
        </w:rPr>
        <w:t xml:space="preserve"> Con un área total de 130,370 km</w:t>
      </w:r>
      <w:r w:rsidRPr="001F152D">
        <w:rPr>
          <w:sz w:val="18"/>
          <w:szCs w:val="18"/>
          <w:vertAlign w:val="superscript"/>
          <w:lang w:val="es-NI"/>
        </w:rPr>
        <w:t>2</w:t>
      </w:r>
      <w:r w:rsidRPr="001F152D">
        <w:rPr>
          <w:sz w:val="18"/>
          <w:szCs w:val="18"/>
          <w:lang w:val="es-NI"/>
        </w:rPr>
        <w:t>, Nicaragua es el pa</w:t>
      </w:r>
      <w:r>
        <w:rPr>
          <w:sz w:val="18"/>
          <w:szCs w:val="18"/>
          <w:lang w:val="es-NI"/>
        </w:rPr>
        <w:t>ís más grande de Centroamérica. El 20% del territorio nacional que se ha visto beneficiado por las actividades de barrido catastral y regularización se refiere a áreas pilotos en las zonas del Pacifico y Central. Asimismo, la región del Caribe se ha visto beneficiada por la titulación colectiva de los Territorios indígenas.</w:t>
      </w:r>
    </w:p>
  </w:footnote>
  <w:footnote w:id="3">
    <w:p w:rsidR="009F3769" w:rsidRPr="00284215" w:rsidRDefault="009F3769" w:rsidP="00971692">
      <w:pPr>
        <w:pStyle w:val="FootnoteText"/>
        <w:jc w:val="both"/>
        <w:rPr>
          <w:sz w:val="18"/>
          <w:szCs w:val="18"/>
          <w:lang w:val="es-ES"/>
        </w:rPr>
      </w:pPr>
      <w:r w:rsidRPr="00FB6C53">
        <w:rPr>
          <w:rStyle w:val="FootnoteReference"/>
          <w:lang w:val="es-ES"/>
        </w:rPr>
        <w:footnoteRef/>
      </w:r>
      <w:r w:rsidRPr="00FB6C53">
        <w:rPr>
          <w:sz w:val="18"/>
          <w:szCs w:val="18"/>
          <w:lang w:val="es-ES"/>
        </w:rPr>
        <w:t xml:space="preserve">Comprende un crédito original </w:t>
      </w:r>
      <w:r>
        <w:rPr>
          <w:sz w:val="18"/>
          <w:szCs w:val="18"/>
          <w:lang w:val="es-ES"/>
        </w:rPr>
        <w:t xml:space="preserve">de </w:t>
      </w:r>
      <w:r w:rsidRPr="00FB6C53">
        <w:rPr>
          <w:sz w:val="18"/>
          <w:szCs w:val="18"/>
          <w:lang w:val="es-ES"/>
        </w:rPr>
        <w:t xml:space="preserve">26.2 millones de </w:t>
      </w:r>
      <w:r>
        <w:rPr>
          <w:sz w:val="18"/>
          <w:szCs w:val="18"/>
          <w:lang w:val="es-ES"/>
        </w:rPr>
        <w:t>DEG</w:t>
      </w:r>
      <w:r w:rsidRPr="00FB6C53">
        <w:rPr>
          <w:sz w:val="18"/>
          <w:szCs w:val="18"/>
          <w:lang w:val="es-ES"/>
        </w:rPr>
        <w:t xml:space="preserve"> (US$32.6 millones de dólares equivalent</w:t>
      </w:r>
      <w:r>
        <w:rPr>
          <w:sz w:val="18"/>
          <w:szCs w:val="18"/>
          <w:lang w:val="es-ES"/>
        </w:rPr>
        <w:t xml:space="preserve">es), aprobado en el 2002 y un Financiamiento Adicional de </w:t>
      </w:r>
      <w:r w:rsidRPr="00FB6C53">
        <w:rPr>
          <w:sz w:val="18"/>
          <w:szCs w:val="18"/>
          <w:lang w:val="es-ES"/>
        </w:rPr>
        <w:t xml:space="preserve">6.3 millones de </w:t>
      </w:r>
      <w:r>
        <w:rPr>
          <w:sz w:val="18"/>
          <w:szCs w:val="18"/>
          <w:lang w:val="es-ES"/>
        </w:rPr>
        <w:t>DEG</w:t>
      </w:r>
      <w:r w:rsidRPr="00FB6C53">
        <w:rPr>
          <w:sz w:val="18"/>
          <w:szCs w:val="18"/>
          <w:lang w:val="es-ES"/>
        </w:rPr>
        <w:t xml:space="preserve"> (US$10 millones de dólares equivalent</w:t>
      </w:r>
      <w:r>
        <w:rPr>
          <w:sz w:val="18"/>
          <w:szCs w:val="18"/>
          <w:lang w:val="es-ES"/>
        </w:rPr>
        <w:t>es) a</w:t>
      </w:r>
      <w:r w:rsidRPr="00FB6C53">
        <w:rPr>
          <w:sz w:val="18"/>
          <w:szCs w:val="18"/>
          <w:lang w:val="es-ES"/>
        </w:rPr>
        <w:t>pro</w:t>
      </w:r>
      <w:r>
        <w:rPr>
          <w:sz w:val="18"/>
          <w:szCs w:val="18"/>
          <w:lang w:val="es-ES"/>
        </w:rPr>
        <w:t>bado en febrero del 2010. Paralelo al financiamiento de la AIF, el Fondo Nórdico para el Desarrollo (NDF) otorgó un crédito de € 5.5 millones de euros (cerró en abril del 2010) dirigido a financiar el fortalecimiento institucional, el levantamiento catastral urbano y la regularización, lo cual vino a complementar al proyecto del Banco Mundial.</w:t>
      </w:r>
    </w:p>
  </w:footnote>
  <w:footnote w:id="4">
    <w:p w:rsidR="009F3769" w:rsidRPr="00284215" w:rsidRDefault="009F3769" w:rsidP="00971692">
      <w:pPr>
        <w:pStyle w:val="FootnoteText"/>
        <w:jc w:val="both"/>
        <w:rPr>
          <w:sz w:val="18"/>
          <w:szCs w:val="18"/>
          <w:lang w:val="es-NI"/>
        </w:rPr>
      </w:pPr>
      <w:r w:rsidRPr="00FB6C53">
        <w:rPr>
          <w:rStyle w:val="FootnoteReference"/>
          <w:sz w:val="18"/>
          <w:szCs w:val="18"/>
          <w:lang w:val="es-ES"/>
        </w:rPr>
        <w:footnoteRef/>
      </w:r>
      <w:r w:rsidRPr="00284215">
        <w:rPr>
          <w:sz w:val="18"/>
          <w:szCs w:val="18"/>
          <w:lang w:val="es-NI"/>
        </w:rPr>
        <w:t xml:space="preserve"> Esta sección presenta un resumen de los principales hallazgos</w:t>
      </w:r>
      <w:r>
        <w:rPr>
          <w:sz w:val="18"/>
          <w:szCs w:val="18"/>
          <w:lang w:val="es-NI"/>
        </w:rPr>
        <w:t xml:space="preserve"> preliminares de la evaluación final del Proyecto que el gobierno está culminando con la asistencia técnica de los expertos de la FAO</w:t>
      </w:r>
      <w:r w:rsidRPr="00284215">
        <w:rPr>
          <w:sz w:val="18"/>
          <w:szCs w:val="18"/>
          <w:lang w:val="es-NI"/>
        </w:rPr>
        <w:t>.</w:t>
      </w:r>
    </w:p>
  </w:footnote>
  <w:footnote w:id="5">
    <w:p w:rsidR="009F3769" w:rsidRPr="005A3614" w:rsidRDefault="009F3769" w:rsidP="00971692">
      <w:pPr>
        <w:pStyle w:val="FootnoteText"/>
        <w:jc w:val="both"/>
        <w:rPr>
          <w:sz w:val="18"/>
          <w:szCs w:val="18"/>
          <w:lang w:val="es-NI"/>
        </w:rPr>
      </w:pPr>
      <w:r w:rsidRPr="00FB6C53">
        <w:rPr>
          <w:rStyle w:val="FootnoteReference"/>
          <w:sz w:val="18"/>
          <w:szCs w:val="18"/>
          <w:lang w:val="es-ES"/>
        </w:rPr>
        <w:footnoteRef/>
      </w:r>
      <w:r w:rsidRPr="00284215">
        <w:rPr>
          <w:sz w:val="18"/>
          <w:szCs w:val="18"/>
          <w:lang w:val="es-NI"/>
        </w:rPr>
        <w:t xml:space="preserve">PRODEP </w:t>
      </w:r>
      <w:r>
        <w:rPr>
          <w:sz w:val="18"/>
          <w:szCs w:val="18"/>
          <w:lang w:val="es-NI"/>
        </w:rPr>
        <w:t xml:space="preserve">ha </w:t>
      </w:r>
      <w:r w:rsidRPr="00284215">
        <w:rPr>
          <w:sz w:val="18"/>
          <w:szCs w:val="18"/>
          <w:lang w:val="es-NI"/>
        </w:rPr>
        <w:t>trabajado más que nada con los municipios de los departamentos</w:t>
      </w:r>
      <w:r>
        <w:rPr>
          <w:sz w:val="18"/>
          <w:szCs w:val="18"/>
          <w:lang w:val="es-NI"/>
        </w:rPr>
        <w:t xml:space="preserve"> de</w:t>
      </w:r>
      <w:r w:rsidRPr="00284215">
        <w:rPr>
          <w:sz w:val="18"/>
          <w:szCs w:val="18"/>
          <w:lang w:val="es-NI"/>
        </w:rPr>
        <w:t xml:space="preserve"> Chinandega, Estelí, Madriz </w:t>
      </w:r>
      <w:r>
        <w:rPr>
          <w:sz w:val="18"/>
          <w:szCs w:val="18"/>
          <w:lang w:val="es-NI"/>
        </w:rPr>
        <w:t>y</w:t>
      </w:r>
      <w:r w:rsidRPr="00284215">
        <w:rPr>
          <w:sz w:val="18"/>
          <w:szCs w:val="18"/>
          <w:lang w:val="es-NI"/>
        </w:rPr>
        <w:t xml:space="preserve"> León</w:t>
      </w:r>
      <w:r>
        <w:rPr>
          <w:sz w:val="18"/>
          <w:szCs w:val="18"/>
          <w:lang w:val="es-NI"/>
        </w:rPr>
        <w:t>, los cuales fueron seleccionados en vista de los altos niveles de pobreza, inseguridad en la tenencia y conflictos por propiedades.</w:t>
      </w:r>
    </w:p>
  </w:footnote>
  <w:footnote w:id="6">
    <w:p w:rsidR="009F3769" w:rsidRPr="00F04075" w:rsidRDefault="009F3769" w:rsidP="00971692">
      <w:pPr>
        <w:pStyle w:val="FootnoteText"/>
        <w:jc w:val="both"/>
        <w:rPr>
          <w:sz w:val="18"/>
          <w:szCs w:val="18"/>
          <w:lang w:val="es-ES"/>
        </w:rPr>
      </w:pPr>
      <w:r w:rsidRPr="00F04075">
        <w:rPr>
          <w:rStyle w:val="FootnoteReference"/>
          <w:lang w:val="es-ES"/>
        </w:rPr>
        <w:footnoteRef/>
      </w:r>
      <w:r w:rsidRPr="00F04075">
        <w:rPr>
          <w:sz w:val="18"/>
          <w:szCs w:val="18"/>
          <w:lang w:val="es-ES"/>
        </w:rPr>
        <w:t>Se estima que entre US$ 135 y US$ 150 millones de dólares</w:t>
      </w:r>
      <w:r>
        <w:rPr>
          <w:sz w:val="18"/>
          <w:szCs w:val="18"/>
          <w:lang w:val="es-ES"/>
        </w:rPr>
        <w:t xml:space="preserve"> se requieren para finalizar la modernización del catastro en el país</w:t>
      </w:r>
      <w:r w:rsidRPr="00F04075">
        <w:rPr>
          <w:sz w:val="18"/>
          <w:szCs w:val="18"/>
          <w:lang w:val="es-ES"/>
        </w:rPr>
        <w:t>.</w:t>
      </w:r>
    </w:p>
  </w:footnote>
  <w:footnote w:id="7">
    <w:p w:rsidR="009F3769" w:rsidRPr="00B82529" w:rsidRDefault="009F3769" w:rsidP="00971692">
      <w:pPr>
        <w:pStyle w:val="FootnoteText"/>
        <w:jc w:val="both"/>
        <w:rPr>
          <w:sz w:val="18"/>
          <w:szCs w:val="18"/>
          <w:lang w:val="es-NI"/>
        </w:rPr>
      </w:pPr>
      <w:r w:rsidRPr="00F04075">
        <w:rPr>
          <w:rStyle w:val="FootnoteReference"/>
          <w:sz w:val="18"/>
          <w:szCs w:val="18"/>
          <w:lang w:val="es-ES"/>
        </w:rPr>
        <w:footnoteRef/>
      </w:r>
      <w:r w:rsidRPr="00F04075">
        <w:rPr>
          <w:sz w:val="18"/>
          <w:szCs w:val="18"/>
          <w:lang w:val="es-NI"/>
        </w:rPr>
        <w:t xml:space="preserve"> Se cree que entre el 35% y el 40% de toda la tierra en </w:t>
      </w:r>
      <w:r>
        <w:rPr>
          <w:sz w:val="18"/>
          <w:szCs w:val="18"/>
          <w:lang w:val="es-NI"/>
        </w:rPr>
        <w:t>Nicaragua es objeto de algún tipo de disputa o litigio, entre ellos: (a) Pleitos por linderos, especialmente en las áreas rurales; (b) Restitución de derechos pasados, agravados por numerosas confiscaciones ocurridas durante la reforma agraria; (c) Falta de documentos que demuestren los derechos reales sobre inmuebles; (d) Reclamos de los pueblos indígenas sobre los territorios ancestrales que se traslapan con otros regímenes legales de tenencia.</w:t>
      </w:r>
    </w:p>
  </w:footnote>
  <w:footnote w:id="8">
    <w:p w:rsidR="009F3769" w:rsidRPr="00E94DE4" w:rsidRDefault="009F3769" w:rsidP="00971692">
      <w:pPr>
        <w:pStyle w:val="FootnoteText"/>
        <w:jc w:val="both"/>
        <w:rPr>
          <w:sz w:val="18"/>
          <w:szCs w:val="18"/>
          <w:lang w:val="es-NI"/>
        </w:rPr>
      </w:pPr>
      <w:r w:rsidRPr="00D027D4">
        <w:rPr>
          <w:rStyle w:val="FootnoteReference"/>
          <w:sz w:val="18"/>
          <w:szCs w:val="18"/>
        </w:rPr>
        <w:footnoteRef/>
      </w:r>
      <w:r w:rsidRPr="00E94DE4">
        <w:rPr>
          <w:sz w:val="18"/>
          <w:szCs w:val="18"/>
          <w:lang w:val="es-NI"/>
        </w:rPr>
        <w:t xml:space="preserve"> Entre otros, cabe mencionar operaciones</w:t>
      </w:r>
      <w:r>
        <w:rPr>
          <w:sz w:val="18"/>
          <w:szCs w:val="18"/>
          <w:lang w:val="es-NI"/>
        </w:rPr>
        <w:t xml:space="preserve"> </w:t>
      </w:r>
      <w:r w:rsidRPr="00E94DE4">
        <w:rPr>
          <w:sz w:val="18"/>
          <w:szCs w:val="18"/>
          <w:lang w:val="es-NI"/>
        </w:rPr>
        <w:t xml:space="preserve">con áreas de intervención coincidentes: Segundo Proyecto de Tecnología Agropecuaria (P087046), </w:t>
      </w:r>
      <w:r>
        <w:rPr>
          <w:sz w:val="18"/>
          <w:szCs w:val="18"/>
          <w:lang w:val="es-NI"/>
        </w:rPr>
        <w:t xml:space="preserve">el IV Proyecto de Rehabilitación </w:t>
      </w:r>
      <w:r w:rsidRPr="00F149E8">
        <w:rPr>
          <w:sz w:val="18"/>
          <w:szCs w:val="18"/>
          <w:lang w:val="es-NI"/>
        </w:rPr>
        <w:t>de Rehabilitación y Mantenimiento Via</w:t>
      </w:r>
      <w:r>
        <w:rPr>
          <w:sz w:val="18"/>
          <w:szCs w:val="18"/>
          <w:lang w:val="es-NI"/>
        </w:rPr>
        <w:t xml:space="preserve">l </w:t>
      </w:r>
      <w:r w:rsidRPr="00E94DE4">
        <w:rPr>
          <w:sz w:val="18"/>
          <w:szCs w:val="18"/>
          <w:lang w:val="es-NI"/>
        </w:rPr>
        <w:t xml:space="preserve">(P119709), </w:t>
      </w:r>
      <w:r w:rsidRPr="00F149E8">
        <w:rPr>
          <w:bCs/>
          <w:sz w:val="18"/>
          <w:szCs w:val="18"/>
          <w:lang w:val="es-NI"/>
        </w:rPr>
        <w:t>Proyecto</w:t>
      </w:r>
      <w:r w:rsidRPr="00F149E8">
        <w:rPr>
          <w:sz w:val="18"/>
          <w:szCs w:val="18"/>
          <w:lang w:val="es-NI"/>
        </w:rPr>
        <w:t> de Mejoramiento de la Infraestructura de </w:t>
      </w:r>
      <w:r w:rsidRPr="00F149E8">
        <w:rPr>
          <w:bCs/>
          <w:sz w:val="18"/>
          <w:szCs w:val="18"/>
          <w:lang w:val="es-NI"/>
        </w:rPr>
        <w:t>Caminos Rurales</w:t>
      </w:r>
      <w:r w:rsidRPr="00E94DE4">
        <w:rPr>
          <w:sz w:val="18"/>
          <w:szCs w:val="18"/>
          <w:lang w:val="es-NI"/>
        </w:rPr>
        <w:t xml:space="preserve">(P123447), </w:t>
      </w:r>
      <w:r>
        <w:rPr>
          <w:sz w:val="18"/>
          <w:szCs w:val="18"/>
          <w:lang w:val="es-NI"/>
        </w:rPr>
        <w:t xml:space="preserve">y el Proyecto </w:t>
      </w:r>
      <w:r w:rsidRPr="00F149E8">
        <w:rPr>
          <w:sz w:val="18"/>
          <w:szCs w:val="18"/>
          <w:lang w:val="es-NI"/>
        </w:rPr>
        <w:t xml:space="preserve">de </w:t>
      </w:r>
      <w:r>
        <w:rPr>
          <w:sz w:val="18"/>
          <w:szCs w:val="18"/>
          <w:lang w:val="es-NI"/>
        </w:rPr>
        <w:t>A</w:t>
      </w:r>
      <w:r w:rsidRPr="00F149E8">
        <w:rPr>
          <w:sz w:val="18"/>
          <w:szCs w:val="18"/>
          <w:lang w:val="es-NI"/>
        </w:rPr>
        <w:t>bastecimiento </w:t>
      </w:r>
      <w:r w:rsidRPr="00F149E8">
        <w:rPr>
          <w:bCs/>
          <w:sz w:val="18"/>
          <w:szCs w:val="18"/>
          <w:lang w:val="es-NI"/>
        </w:rPr>
        <w:t>de Agua y Saneamiento</w:t>
      </w:r>
      <w:r w:rsidRPr="00F149E8">
        <w:rPr>
          <w:sz w:val="18"/>
          <w:szCs w:val="18"/>
          <w:lang w:val="es-NI"/>
        </w:rPr>
        <w:t> en las Zonas </w:t>
      </w:r>
      <w:r w:rsidRPr="00F149E8">
        <w:rPr>
          <w:bCs/>
          <w:sz w:val="18"/>
          <w:szCs w:val="18"/>
          <w:lang w:val="es-NI"/>
        </w:rPr>
        <w:t>Rurales</w:t>
      </w:r>
      <w:r w:rsidRPr="00E94DE4">
        <w:rPr>
          <w:sz w:val="18"/>
          <w:szCs w:val="18"/>
          <w:lang w:val="es-NI"/>
        </w:rPr>
        <w:t>(P106283).</w:t>
      </w:r>
    </w:p>
  </w:footnote>
  <w:footnote w:id="9">
    <w:p w:rsidR="009F3769" w:rsidRPr="007B6F7C" w:rsidRDefault="009F3769" w:rsidP="00971692">
      <w:pPr>
        <w:widowControl w:val="0"/>
        <w:adjustRightInd w:val="0"/>
        <w:jc w:val="both"/>
        <w:textAlignment w:val="baseline"/>
        <w:rPr>
          <w:sz w:val="18"/>
          <w:szCs w:val="18"/>
          <w:lang w:val="es-ES"/>
        </w:rPr>
      </w:pPr>
      <w:r w:rsidRPr="007B6F7C">
        <w:rPr>
          <w:rStyle w:val="FootnoteReference"/>
          <w:sz w:val="18"/>
          <w:szCs w:val="18"/>
          <w:lang w:val="es-ES"/>
        </w:rPr>
        <w:footnoteRef/>
      </w:r>
      <w:r w:rsidRPr="007B6F7C">
        <w:rPr>
          <w:sz w:val="18"/>
          <w:szCs w:val="18"/>
          <w:lang w:val="es-ES"/>
        </w:rPr>
        <w:t xml:space="preserve"> Según el censo del 2005,</w:t>
      </w:r>
      <w:r>
        <w:rPr>
          <w:sz w:val="18"/>
          <w:szCs w:val="18"/>
          <w:lang w:val="es-ES"/>
        </w:rPr>
        <w:t xml:space="preserve"> la población total del área de influencia del Proyecto es de 1.6 millones de personas (en ese entonces equivalente a un tercio de la población nacional). Los municipios de otros departamentos se podrían integrar durante la ejecución si así lo acuerdan el Gobierno y el Banco Mundial, conforme a los criterios de participación estipulados en el Manual Operativo.</w:t>
      </w:r>
    </w:p>
    <w:p w:rsidR="009F3769" w:rsidRPr="007B6F7C" w:rsidRDefault="009F3769" w:rsidP="00971692">
      <w:pPr>
        <w:widowControl w:val="0"/>
        <w:adjustRightInd w:val="0"/>
        <w:jc w:val="both"/>
        <w:textAlignment w:val="baseline"/>
        <w:rPr>
          <w:lang w:val="es-ES"/>
        </w:rPr>
      </w:pPr>
    </w:p>
  </w:footnote>
  <w:footnote w:id="10">
    <w:p w:rsidR="009F3769" w:rsidRPr="00910B70" w:rsidRDefault="009F3769" w:rsidP="00910B70">
      <w:pPr>
        <w:pStyle w:val="FootnoteText"/>
        <w:jc w:val="both"/>
        <w:rPr>
          <w:sz w:val="18"/>
          <w:szCs w:val="18"/>
          <w:lang w:val="es-NI"/>
        </w:rPr>
      </w:pPr>
      <w:r w:rsidRPr="006B08DE">
        <w:rPr>
          <w:rStyle w:val="FootnoteReference"/>
          <w:sz w:val="18"/>
          <w:szCs w:val="18"/>
        </w:rPr>
        <w:footnoteRef/>
      </w:r>
      <w:r w:rsidRPr="00910B70">
        <w:rPr>
          <w:sz w:val="18"/>
          <w:szCs w:val="18"/>
          <w:lang w:val="es-ES"/>
        </w:rPr>
        <w:t>Estos territorios están ubicados en el régimen especial de desarrollo de la Reserva Biosfera de Bosaw</w:t>
      </w:r>
      <w:r>
        <w:rPr>
          <w:sz w:val="18"/>
          <w:szCs w:val="18"/>
          <w:lang w:val="es-ES"/>
        </w:rPr>
        <w:t>á</w:t>
      </w:r>
      <w:r w:rsidRPr="00910B70">
        <w:rPr>
          <w:sz w:val="18"/>
          <w:szCs w:val="18"/>
          <w:lang w:val="es-ES"/>
        </w:rPr>
        <w:t xml:space="preserve">s dentro de Jinotega. Las actividades de demarcación y titulación en esta jurisdicción quedan dentro del ámbito de la Ley 445 (Ley del </w:t>
      </w:r>
      <w:r w:rsidRPr="00910B70">
        <w:rPr>
          <w:sz w:val="18"/>
          <w:szCs w:val="18"/>
          <w:lang w:val="es-NI"/>
        </w:rPr>
        <w:t>Régimen de la Propiedad Comunal de las Comunidades Indígenas y Étnicas de la Costa Atlántica de </w:t>
      </w:r>
      <w:r w:rsidRPr="00910B70">
        <w:rPr>
          <w:bCs/>
          <w:sz w:val="18"/>
          <w:szCs w:val="18"/>
          <w:lang w:val="es-NI"/>
        </w:rPr>
        <w:t>Nicaragua</w:t>
      </w:r>
      <w:r w:rsidRPr="00910B70">
        <w:rPr>
          <w:sz w:val="18"/>
          <w:szCs w:val="18"/>
          <w:lang w:val="es-NI"/>
        </w:rPr>
        <w:t xml:space="preserve"> de los ríos Coco, Bocay, </w:t>
      </w:r>
      <w:r>
        <w:rPr>
          <w:sz w:val="18"/>
          <w:szCs w:val="18"/>
          <w:lang w:val="es-NI"/>
        </w:rPr>
        <w:t>I</w:t>
      </w:r>
      <w:r w:rsidRPr="00910B70">
        <w:rPr>
          <w:sz w:val="18"/>
          <w:szCs w:val="18"/>
          <w:lang w:val="es-NI"/>
        </w:rPr>
        <w:t>ndio y Maíz</w:t>
      </w:r>
      <w:r w:rsidRPr="00910B70">
        <w:rPr>
          <w:sz w:val="18"/>
          <w:szCs w:val="18"/>
          <w:lang w:val="es-ES"/>
        </w:rPr>
        <w:t xml:space="preserve">), y se han ejecutado con mucho éxito como parte de </w:t>
      </w:r>
      <w:r>
        <w:rPr>
          <w:sz w:val="18"/>
          <w:szCs w:val="18"/>
          <w:lang w:val="es-ES"/>
        </w:rPr>
        <w:t>PRODEP</w:t>
      </w:r>
      <w:r w:rsidRPr="00910B70">
        <w:rPr>
          <w:sz w:val="18"/>
          <w:szCs w:val="18"/>
          <w:lang w:val="es-NI"/>
        </w:rPr>
        <w:t>.</w:t>
      </w:r>
    </w:p>
  </w:footnote>
  <w:footnote w:id="11">
    <w:p w:rsidR="009F3769" w:rsidRPr="00A44E47" w:rsidRDefault="009F3769" w:rsidP="00971692">
      <w:pPr>
        <w:pStyle w:val="FootnoteText"/>
        <w:jc w:val="both"/>
        <w:rPr>
          <w:sz w:val="18"/>
          <w:szCs w:val="18"/>
          <w:lang w:val="es-ES"/>
        </w:rPr>
      </w:pPr>
      <w:r w:rsidRPr="00A44E47">
        <w:rPr>
          <w:rStyle w:val="FootnoteReference"/>
          <w:sz w:val="18"/>
          <w:szCs w:val="18"/>
          <w:lang w:val="es-ES"/>
        </w:rPr>
        <w:footnoteRef/>
      </w:r>
      <w:r w:rsidRPr="00A44E47">
        <w:rPr>
          <w:sz w:val="18"/>
          <w:szCs w:val="18"/>
          <w:lang w:val="es-ES"/>
        </w:rPr>
        <w:t xml:space="preserve"> Se espera que el </w:t>
      </w:r>
      <w:r>
        <w:rPr>
          <w:sz w:val="18"/>
          <w:szCs w:val="18"/>
          <w:lang w:val="es-ES"/>
        </w:rPr>
        <w:t>Manual Operativo del CERC – una condición para proceder con los desembolsos de este componente – esté listo en mayo del 2013.</w:t>
      </w:r>
    </w:p>
  </w:footnote>
  <w:footnote w:id="12">
    <w:p w:rsidR="009F3769" w:rsidRPr="00F1285D" w:rsidRDefault="009F3769" w:rsidP="00971692">
      <w:pPr>
        <w:pStyle w:val="FootnoteText"/>
        <w:jc w:val="both"/>
        <w:rPr>
          <w:sz w:val="18"/>
          <w:szCs w:val="18"/>
          <w:lang w:val="es-NI"/>
        </w:rPr>
      </w:pPr>
      <w:r w:rsidRPr="003163F2">
        <w:rPr>
          <w:rStyle w:val="FootnoteReference"/>
          <w:sz w:val="18"/>
          <w:szCs w:val="18"/>
        </w:rPr>
        <w:footnoteRef/>
      </w:r>
      <w:r w:rsidRPr="00C163F3">
        <w:rPr>
          <w:sz w:val="18"/>
          <w:szCs w:val="18"/>
          <w:lang w:val="es-NI"/>
        </w:rPr>
        <w:t xml:space="preserve"> Como reflejo de su historia y cultura,</w:t>
      </w:r>
      <w:r>
        <w:rPr>
          <w:sz w:val="18"/>
          <w:szCs w:val="18"/>
          <w:lang w:val="es-NI"/>
        </w:rPr>
        <w:t xml:space="preserve"> la región del Caribe goza de una autonomía </w:t>
      </w:r>
      <w:r w:rsidRPr="009C367E">
        <w:rPr>
          <w:sz w:val="18"/>
          <w:szCs w:val="18"/>
          <w:lang w:val="es-ES"/>
        </w:rPr>
        <w:t>relativa. La ley 445 (elaborada bajo el proyecto previo) les otorga a las comunidades indígenas un marco legal e institucional que posibilita la titulación colectiva de sus tierras como territorios indígenas con cierto grado de independencia.  Se elaboró un anteproyecto de ley similar para las regiones del Pacífico y Centro, pero su futuro es incierto. (ver mayores detalles en el Anexo 6)</w:t>
      </w:r>
      <w:r w:rsidRPr="00F1285D">
        <w:rPr>
          <w:sz w:val="18"/>
          <w:szCs w:val="18"/>
          <w:lang w:val="es-NI"/>
        </w:rPr>
        <w:t>.</w:t>
      </w:r>
    </w:p>
  </w:footnote>
  <w:footnote w:id="13">
    <w:p w:rsidR="009F3769" w:rsidRPr="00F1285D" w:rsidRDefault="009F3769" w:rsidP="00971692">
      <w:pPr>
        <w:pStyle w:val="FootnoteText"/>
        <w:jc w:val="both"/>
        <w:rPr>
          <w:lang w:val="es-NI"/>
        </w:rPr>
      </w:pPr>
      <w:r w:rsidRPr="00F1285D">
        <w:rPr>
          <w:rStyle w:val="FootnoteReference"/>
        </w:rPr>
        <w:footnoteRef/>
      </w:r>
      <w:r w:rsidRPr="00F1285D">
        <w:rPr>
          <w:lang w:val="es-NI"/>
        </w:rPr>
        <w:t xml:space="preserve"> Ver el sitio web del Proyecto: </w:t>
      </w:r>
      <w:hyperlink r:id="rId1" w:history="1">
        <w:r w:rsidRPr="00875395">
          <w:rPr>
            <w:rStyle w:val="Hyperlink"/>
            <w:lang w:val="es-NI"/>
          </w:rPr>
          <w:t>http://www.pgr.gob.ni/index.php/areas-de-la-pgr/aa/1177-estudios-prodep</w:t>
        </w:r>
      </w:hyperlink>
    </w:p>
    <w:p w:rsidR="009F3769" w:rsidRPr="00F1285D" w:rsidRDefault="009F3769" w:rsidP="00971692">
      <w:pPr>
        <w:pStyle w:val="FootnoteText"/>
        <w:rPr>
          <w:lang w:val="es-NI"/>
        </w:rPr>
      </w:pPr>
    </w:p>
  </w:footnote>
  <w:footnote w:id="14">
    <w:p w:rsidR="009F3769" w:rsidRPr="006E5968" w:rsidRDefault="009F3769" w:rsidP="00971692">
      <w:pPr>
        <w:pStyle w:val="FootnoteText"/>
        <w:rPr>
          <w:sz w:val="18"/>
          <w:szCs w:val="18"/>
          <w:lang w:val="es-ES"/>
        </w:rPr>
      </w:pPr>
      <w:r w:rsidRPr="009C5625">
        <w:rPr>
          <w:rStyle w:val="FootnoteReference"/>
          <w:sz w:val="18"/>
          <w:szCs w:val="18"/>
          <w:lang w:val="es-ES"/>
        </w:rPr>
        <w:footnoteRef/>
      </w:r>
      <w:r w:rsidRPr="009C5625">
        <w:rPr>
          <w:sz w:val="18"/>
          <w:szCs w:val="18"/>
          <w:lang w:val="es-ES"/>
        </w:rPr>
        <w:t xml:space="preserve"> No se esperan reasentamientos provocados por el Proyecto. La salvaguarda OP/BP 4.12 fue</w:t>
      </w:r>
      <w:r>
        <w:rPr>
          <w:sz w:val="18"/>
          <w:szCs w:val="18"/>
          <w:lang w:val="es-ES"/>
        </w:rPr>
        <w:t xml:space="preserve"> activada debido a la posible restricción de acceso a recursos naturales durante la demarcación de los linderos externos de las áreas protegidas.</w:t>
      </w:r>
    </w:p>
  </w:footnote>
  <w:footnote w:id="15">
    <w:p w:rsidR="009F3769" w:rsidRPr="009C5625" w:rsidRDefault="009F3769" w:rsidP="00971692">
      <w:pPr>
        <w:pStyle w:val="FootnoteText"/>
        <w:jc w:val="both"/>
        <w:rPr>
          <w:sz w:val="18"/>
          <w:szCs w:val="18"/>
          <w:lang w:val="es-ES"/>
        </w:rPr>
      </w:pPr>
      <w:r w:rsidRPr="007F0F44">
        <w:rPr>
          <w:rStyle w:val="FootnoteReference"/>
          <w:sz w:val="18"/>
          <w:szCs w:val="18"/>
        </w:rPr>
        <w:footnoteRef/>
      </w:r>
      <w:r w:rsidRPr="000E77EF">
        <w:rPr>
          <w:sz w:val="18"/>
          <w:szCs w:val="18"/>
          <w:lang w:val="es-NI"/>
        </w:rPr>
        <w:t xml:space="preserve"> Las consultas se hicieron entre septiembre y noviembre</w:t>
      </w:r>
      <w:r>
        <w:rPr>
          <w:sz w:val="18"/>
          <w:szCs w:val="18"/>
          <w:lang w:val="es-NI"/>
        </w:rPr>
        <w:t xml:space="preserve"> del 2012 y comprendieron grupos focales, entrevistas estructuradas y visitas de campo.</w:t>
      </w:r>
    </w:p>
  </w:footnote>
  <w:footnote w:id="16">
    <w:p w:rsidR="009F3769" w:rsidRPr="00734565" w:rsidRDefault="009F3769" w:rsidP="00971692">
      <w:pPr>
        <w:pStyle w:val="FootnoteText"/>
        <w:jc w:val="both"/>
        <w:rPr>
          <w:sz w:val="18"/>
          <w:szCs w:val="18"/>
          <w:lang w:val="es-ES"/>
        </w:rPr>
      </w:pPr>
      <w:r w:rsidRPr="00734565">
        <w:rPr>
          <w:rStyle w:val="FootnoteReference"/>
          <w:sz w:val="18"/>
          <w:szCs w:val="18"/>
          <w:lang w:val="es-ES"/>
        </w:rPr>
        <w:footnoteRef/>
      </w:r>
      <w:r w:rsidRPr="00734565">
        <w:rPr>
          <w:sz w:val="18"/>
          <w:szCs w:val="18"/>
          <w:lang w:val="es-ES"/>
        </w:rPr>
        <w:t xml:space="preserve"> Las consultas</w:t>
      </w:r>
      <w:r>
        <w:rPr>
          <w:sz w:val="18"/>
          <w:szCs w:val="18"/>
          <w:lang w:val="es-ES"/>
        </w:rPr>
        <w:t xml:space="preserve"> se realizaron en octubre y noviembre del 2012 y entre las personas participantes se cuentan a las autoridades locales, personal técnico y representantes comunitarios. </w:t>
      </w:r>
    </w:p>
  </w:footnote>
  <w:footnote w:id="17">
    <w:p w:rsidR="009F3769" w:rsidRPr="00675E41" w:rsidRDefault="009F3769" w:rsidP="00971692">
      <w:pPr>
        <w:pStyle w:val="FootnoteText"/>
        <w:jc w:val="both"/>
        <w:rPr>
          <w:sz w:val="18"/>
          <w:szCs w:val="18"/>
          <w:lang w:val="es-NI"/>
        </w:rPr>
      </w:pPr>
      <w:r w:rsidRPr="00734565">
        <w:rPr>
          <w:rStyle w:val="FootnoteReference"/>
          <w:sz w:val="18"/>
          <w:szCs w:val="18"/>
          <w:lang w:val="es-ES"/>
        </w:rPr>
        <w:footnoteRef/>
      </w:r>
      <w:r w:rsidRPr="006A17D4">
        <w:rPr>
          <w:sz w:val="18"/>
          <w:szCs w:val="18"/>
          <w:lang w:val="es-NI"/>
        </w:rPr>
        <w:t xml:space="preserve"> Bajo el proyecto previo, el MARENA encabezó </w:t>
      </w:r>
      <w:r>
        <w:rPr>
          <w:sz w:val="18"/>
          <w:szCs w:val="18"/>
          <w:lang w:val="es-NI"/>
        </w:rPr>
        <w:t>de manera satisfactoria la demarcación de 14 áreas protegidas, complementadas con campañas de concientización ambiental y educativas.</w:t>
      </w:r>
    </w:p>
    <w:p w:rsidR="009F3769" w:rsidRPr="00976043" w:rsidRDefault="009F3769" w:rsidP="00971692">
      <w:pPr>
        <w:pStyle w:val="FootnoteText"/>
        <w:jc w:val="both"/>
        <w:rPr>
          <w:sz w:val="18"/>
          <w:szCs w:val="18"/>
          <w:lang w:val="es-NI"/>
        </w:rPr>
      </w:pPr>
      <w:r w:rsidRPr="00976043">
        <w:rPr>
          <w:sz w:val="18"/>
          <w:szCs w:val="18"/>
          <w:lang w:val="es-NI"/>
        </w:rPr>
        <w:t>.</w:t>
      </w:r>
    </w:p>
  </w:footnote>
  <w:footnote w:id="18">
    <w:p w:rsidR="009F3769" w:rsidRPr="00034060" w:rsidRDefault="009F3769" w:rsidP="00D34E58">
      <w:pPr>
        <w:pStyle w:val="FootnoteText"/>
        <w:jc w:val="both"/>
        <w:rPr>
          <w:sz w:val="18"/>
          <w:szCs w:val="18"/>
          <w:lang w:val="es-ES"/>
        </w:rPr>
      </w:pPr>
      <w:r w:rsidRPr="00034060">
        <w:rPr>
          <w:rStyle w:val="FootnoteReference"/>
          <w:sz w:val="18"/>
          <w:szCs w:val="18"/>
          <w:lang w:val="es-ES"/>
        </w:rPr>
        <w:footnoteRef/>
      </w:r>
      <w:r w:rsidRPr="00034060">
        <w:rPr>
          <w:sz w:val="18"/>
          <w:szCs w:val="18"/>
          <w:lang w:val="es-ES"/>
        </w:rPr>
        <w:t xml:space="preserve"> Los </w:t>
      </w:r>
      <w:r>
        <w:rPr>
          <w:sz w:val="18"/>
          <w:szCs w:val="18"/>
          <w:lang w:val="es-ES"/>
        </w:rPr>
        <w:t>departamentos</w:t>
      </w:r>
      <w:r w:rsidRPr="00034060">
        <w:rPr>
          <w:sz w:val="18"/>
          <w:szCs w:val="18"/>
          <w:lang w:val="es-ES"/>
        </w:rPr>
        <w:t xml:space="preserve"> fueron seleccionados originalmente</w:t>
      </w:r>
      <w:r>
        <w:rPr>
          <w:sz w:val="18"/>
          <w:szCs w:val="18"/>
          <w:lang w:val="es-ES"/>
        </w:rPr>
        <w:t xml:space="preserve"> debido a los altos niveles de pobreza, inseguridad en la tenencia de la tierra y conflictos por propiedades.</w:t>
      </w:r>
    </w:p>
  </w:footnote>
  <w:footnote w:id="19">
    <w:p w:rsidR="009F3769" w:rsidRPr="00034060" w:rsidRDefault="009F3769" w:rsidP="00DA31AD">
      <w:pPr>
        <w:pStyle w:val="FootnoteText"/>
        <w:jc w:val="both"/>
        <w:rPr>
          <w:sz w:val="18"/>
          <w:szCs w:val="18"/>
          <w:lang w:val="es-ES"/>
        </w:rPr>
      </w:pPr>
      <w:r w:rsidRPr="00034060">
        <w:rPr>
          <w:rStyle w:val="FootnoteReference"/>
          <w:sz w:val="18"/>
          <w:szCs w:val="18"/>
          <w:lang w:val="es-ES"/>
        </w:rPr>
        <w:footnoteRef/>
      </w:r>
      <w:r w:rsidRPr="00034060">
        <w:rPr>
          <w:sz w:val="18"/>
          <w:szCs w:val="18"/>
          <w:lang w:val="es-ES"/>
        </w:rPr>
        <w:t xml:space="preserve"> Las </w:t>
      </w:r>
      <w:r>
        <w:rPr>
          <w:sz w:val="18"/>
          <w:szCs w:val="18"/>
          <w:lang w:val="es-ES"/>
        </w:rPr>
        <w:t>áreas protegidasde</w:t>
      </w:r>
      <w:r w:rsidRPr="00034060">
        <w:rPr>
          <w:sz w:val="18"/>
          <w:szCs w:val="18"/>
          <w:lang w:val="es-ES"/>
        </w:rPr>
        <w:t xml:space="preserve"> los otros departamentos fueron demarcadas durante el proyecto anterior</w:t>
      </w:r>
    </w:p>
  </w:footnote>
  <w:footnote w:id="20">
    <w:p w:rsidR="009F3769" w:rsidRPr="00FB6676" w:rsidRDefault="009F3769" w:rsidP="000429D2">
      <w:pPr>
        <w:pStyle w:val="FootnoteText"/>
        <w:jc w:val="both"/>
        <w:rPr>
          <w:sz w:val="18"/>
          <w:szCs w:val="18"/>
          <w:lang w:val="es-ES"/>
        </w:rPr>
      </w:pPr>
      <w:r w:rsidRPr="00FB6676">
        <w:rPr>
          <w:rStyle w:val="FootnoteReference"/>
          <w:sz w:val="18"/>
          <w:szCs w:val="18"/>
          <w:lang w:val="es-ES"/>
        </w:rPr>
        <w:footnoteRef/>
      </w:r>
      <w:r w:rsidRPr="00FB6676">
        <w:rPr>
          <w:sz w:val="18"/>
          <w:szCs w:val="18"/>
          <w:lang w:val="es-ES"/>
        </w:rPr>
        <w:t xml:space="preserve"> Los índices de pobreza y pobreza extrema son más elevados en los municipios de Nueva Segovia (donde el 52.3% de la población vive en condiciones de pobreza y el 19.9% en pobreza extrema) y Jinotega (con un 60.5% en condiciones de pobreza y 24.5% en pobreza extrema).</w:t>
      </w:r>
    </w:p>
  </w:footnote>
  <w:footnote w:id="21">
    <w:p w:rsidR="009F3769" w:rsidRPr="00FB6676" w:rsidRDefault="009F3769" w:rsidP="00FB6676">
      <w:pPr>
        <w:pStyle w:val="FootnoteText"/>
        <w:jc w:val="both"/>
        <w:rPr>
          <w:lang w:val="es-ES"/>
        </w:rPr>
      </w:pPr>
      <w:r w:rsidRPr="00FB6676">
        <w:rPr>
          <w:rStyle w:val="FootnoteReference"/>
          <w:sz w:val="18"/>
          <w:szCs w:val="18"/>
          <w:lang w:val="es-ES"/>
        </w:rPr>
        <w:footnoteRef/>
      </w:r>
      <w:r w:rsidRPr="00FB6676">
        <w:rPr>
          <w:sz w:val="18"/>
          <w:szCs w:val="18"/>
          <w:lang w:val="es-ES"/>
        </w:rPr>
        <w:t xml:space="preserve"> Los datos del estudio social</w:t>
      </w:r>
      <w:r>
        <w:rPr>
          <w:sz w:val="18"/>
          <w:szCs w:val="18"/>
          <w:lang w:val="es-ES"/>
        </w:rPr>
        <w:t xml:space="preserve"> muestran incluso que los niveles de analfabetismo son mayores en los</w:t>
      </w:r>
      <w:r w:rsidRPr="00FB6676">
        <w:rPr>
          <w:sz w:val="18"/>
          <w:szCs w:val="18"/>
          <w:lang w:val="es-ES"/>
        </w:rPr>
        <w:t xml:space="preserve"> municipios </w:t>
      </w:r>
      <w:r>
        <w:rPr>
          <w:sz w:val="18"/>
          <w:szCs w:val="18"/>
          <w:lang w:val="es-ES"/>
        </w:rPr>
        <w:t xml:space="preserve">de </w:t>
      </w:r>
      <w:r w:rsidRPr="00FB6676">
        <w:rPr>
          <w:sz w:val="18"/>
          <w:szCs w:val="18"/>
          <w:lang w:val="es-ES"/>
        </w:rPr>
        <w:t>Nueva Segovia y Jinotega (23.9</w:t>
      </w:r>
      <w:r>
        <w:rPr>
          <w:sz w:val="18"/>
          <w:szCs w:val="18"/>
          <w:lang w:val="es-ES"/>
        </w:rPr>
        <w:t>%</w:t>
      </w:r>
      <w:r w:rsidRPr="00FB6676">
        <w:rPr>
          <w:sz w:val="18"/>
          <w:szCs w:val="18"/>
          <w:lang w:val="es-ES"/>
        </w:rPr>
        <w:t xml:space="preserve"> y</w:t>
      </w:r>
      <w:r>
        <w:rPr>
          <w:sz w:val="18"/>
          <w:szCs w:val="18"/>
          <w:lang w:val="es-ES"/>
        </w:rPr>
        <w:t xml:space="preserve"> 26.1%</w:t>
      </w:r>
      <w:r w:rsidRPr="00FB6676">
        <w:rPr>
          <w:sz w:val="18"/>
          <w:szCs w:val="18"/>
          <w:lang w:val="es-ES"/>
        </w:rPr>
        <w:t xml:space="preserve">, </w:t>
      </w:r>
      <w:r>
        <w:rPr>
          <w:sz w:val="18"/>
          <w:szCs w:val="18"/>
          <w:lang w:val="es-ES"/>
        </w:rPr>
        <w:t>respectivamente</w:t>
      </w:r>
      <w:r w:rsidRPr="00FB6676">
        <w:rPr>
          <w:sz w:val="18"/>
          <w:szCs w:val="18"/>
          <w:lang w:val="es-ES"/>
        </w:rPr>
        <w:t>).</w:t>
      </w:r>
    </w:p>
  </w:footnote>
  <w:footnote w:id="22">
    <w:p w:rsidR="009F3769" w:rsidRPr="00EB169E" w:rsidRDefault="009F3769" w:rsidP="00EB169E">
      <w:pPr>
        <w:pStyle w:val="FootnoteText"/>
        <w:jc w:val="both"/>
        <w:rPr>
          <w:sz w:val="18"/>
          <w:szCs w:val="18"/>
          <w:lang w:val="es-NI"/>
        </w:rPr>
      </w:pPr>
      <w:r w:rsidRPr="00FB6676">
        <w:rPr>
          <w:rStyle w:val="FootnoteReference"/>
          <w:sz w:val="18"/>
          <w:szCs w:val="18"/>
          <w:lang w:val="es-ES"/>
        </w:rPr>
        <w:footnoteRef/>
      </w:r>
      <w:r w:rsidRPr="00FB6676">
        <w:rPr>
          <w:sz w:val="18"/>
          <w:szCs w:val="18"/>
          <w:lang w:val="es-NI"/>
        </w:rPr>
        <w:t xml:space="preserve"> Datos del estudio social con base en el IV Censo Poblacional</w:t>
      </w:r>
      <w:r>
        <w:rPr>
          <w:sz w:val="18"/>
          <w:szCs w:val="18"/>
          <w:lang w:val="es-NI"/>
        </w:rPr>
        <w:t xml:space="preserve"> y VIII Censo de Hogares, </w:t>
      </w:r>
      <w:r w:rsidRPr="00EB169E">
        <w:rPr>
          <w:rFonts w:cs="Arial"/>
          <w:sz w:val="18"/>
          <w:szCs w:val="18"/>
          <w:lang w:val="es-NI"/>
        </w:rPr>
        <w:t xml:space="preserve">INIDE, 2005 y </w:t>
      </w:r>
      <w:r>
        <w:rPr>
          <w:rFonts w:cs="Arial"/>
          <w:sz w:val="18"/>
          <w:szCs w:val="18"/>
          <w:lang w:val="es-NI"/>
        </w:rPr>
        <w:t xml:space="preserve">la Encuesta de Hogares </w:t>
      </w:r>
      <w:r w:rsidRPr="00EB169E">
        <w:rPr>
          <w:rFonts w:cs="Arial"/>
          <w:sz w:val="18"/>
          <w:szCs w:val="18"/>
          <w:lang w:val="es-NI"/>
        </w:rPr>
        <w:t>FIDEG, 2011.</w:t>
      </w:r>
    </w:p>
  </w:footnote>
  <w:footnote w:id="23">
    <w:p w:rsidR="009F3769" w:rsidRPr="00FC0D2A" w:rsidRDefault="009F3769" w:rsidP="00FC0D2A">
      <w:pPr>
        <w:pStyle w:val="FootnoteText"/>
        <w:jc w:val="both"/>
        <w:rPr>
          <w:lang w:val="es-ES"/>
        </w:rPr>
      </w:pPr>
      <w:r w:rsidRPr="00FC0D2A">
        <w:rPr>
          <w:rStyle w:val="FootnoteReference"/>
          <w:lang w:val="es-ES"/>
        </w:rPr>
        <w:footnoteRef/>
      </w:r>
      <w:r w:rsidRPr="00FC0D2A">
        <w:rPr>
          <w:sz w:val="18"/>
          <w:szCs w:val="18"/>
          <w:lang w:val="es-ES"/>
        </w:rPr>
        <w:t xml:space="preserve">Esta actividad implica </w:t>
      </w:r>
      <w:r>
        <w:rPr>
          <w:sz w:val="18"/>
          <w:szCs w:val="18"/>
          <w:lang w:val="es-ES"/>
        </w:rPr>
        <w:t>legaliza</w:t>
      </w:r>
      <w:r w:rsidRPr="00FC0D2A">
        <w:rPr>
          <w:sz w:val="18"/>
          <w:szCs w:val="18"/>
          <w:lang w:val="es-ES"/>
        </w:rPr>
        <w:t>r como tierras nacionales</w:t>
      </w:r>
      <w:r>
        <w:rPr>
          <w:sz w:val="18"/>
          <w:szCs w:val="18"/>
          <w:lang w:val="es-ES"/>
        </w:rPr>
        <w:t xml:space="preserve"> los terrenos elegibles de la reforma agraria, con la finalidad de luego transferirlas formalmente a sus ocupantes actuales</w:t>
      </w:r>
      <w:r w:rsidRPr="00FC0D2A">
        <w:rPr>
          <w:sz w:val="18"/>
          <w:szCs w:val="18"/>
          <w:lang w:val="es-ES"/>
        </w:rPr>
        <w:t>.</w:t>
      </w:r>
    </w:p>
  </w:footnote>
  <w:footnote w:id="24">
    <w:p w:rsidR="009F3769" w:rsidRPr="00C80D41" w:rsidRDefault="009F3769" w:rsidP="00974C0D">
      <w:pPr>
        <w:pStyle w:val="FootnoteText"/>
        <w:jc w:val="both"/>
        <w:rPr>
          <w:sz w:val="18"/>
          <w:szCs w:val="18"/>
          <w:lang w:val="es-ES"/>
        </w:rPr>
      </w:pPr>
      <w:r w:rsidRPr="00020DA8">
        <w:rPr>
          <w:rStyle w:val="FootnoteReference"/>
          <w:sz w:val="18"/>
          <w:szCs w:val="18"/>
          <w:lang w:val="es-ES"/>
        </w:rPr>
        <w:footnoteRef/>
      </w:r>
      <w:r w:rsidRPr="00020DA8">
        <w:rPr>
          <w:sz w:val="18"/>
          <w:szCs w:val="18"/>
          <w:lang w:val="es-ES"/>
        </w:rPr>
        <w:t xml:space="preserve"> Estos territorios están ubicados en el régimen especial de desarrollo de la Reserva Biosfera de Bosawás dentro de Jinotega. Las actividades de demarcación y titulación en esta jurisdicción quedan dentro del ámbito de la Ley 445 (Ley del </w:t>
      </w:r>
      <w:r w:rsidRPr="00020DA8">
        <w:rPr>
          <w:sz w:val="18"/>
          <w:szCs w:val="18"/>
          <w:lang w:val="es-NI"/>
        </w:rPr>
        <w:t>Régimen de la Propiedad Comunal de las Comunidades Indígenas y Étnicas de la Costa Atlántica de </w:t>
      </w:r>
      <w:r w:rsidRPr="00020DA8">
        <w:rPr>
          <w:bCs/>
          <w:sz w:val="18"/>
          <w:szCs w:val="18"/>
          <w:lang w:val="es-NI"/>
        </w:rPr>
        <w:t>Nicaragua</w:t>
      </w:r>
      <w:r w:rsidRPr="00020DA8">
        <w:rPr>
          <w:sz w:val="18"/>
          <w:szCs w:val="18"/>
          <w:lang w:val="es-NI"/>
        </w:rPr>
        <w:t> de los ríos Coco, Bocay, Indio y Maíz,</w:t>
      </w:r>
      <w:r w:rsidRPr="00020DA8">
        <w:rPr>
          <w:sz w:val="18"/>
          <w:szCs w:val="18"/>
          <w:lang w:val="es-ES"/>
        </w:rPr>
        <w:t>), y se han ejecutado con éxito como parte de PRODEP.</w:t>
      </w:r>
    </w:p>
  </w:footnote>
  <w:footnote w:id="25">
    <w:p w:rsidR="009F3769" w:rsidRPr="009F3769" w:rsidRDefault="009F3769" w:rsidP="003158D0">
      <w:pPr>
        <w:pStyle w:val="FootnoteText"/>
        <w:jc w:val="both"/>
        <w:rPr>
          <w:i/>
          <w:sz w:val="18"/>
          <w:szCs w:val="18"/>
          <w:lang w:val="es-NI"/>
        </w:rPr>
      </w:pPr>
      <w:r w:rsidRPr="00020DA8">
        <w:rPr>
          <w:rStyle w:val="FootnoteReference"/>
          <w:sz w:val="18"/>
          <w:szCs w:val="18"/>
          <w:lang w:val="es-ES"/>
        </w:rPr>
        <w:footnoteRef/>
      </w:r>
      <w:r w:rsidRPr="00020DA8">
        <w:rPr>
          <w:sz w:val="18"/>
          <w:szCs w:val="18"/>
          <w:lang w:val="es-ES"/>
        </w:rPr>
        <w:t xml:space="preserve"> El requerimiento básico es que el área protegida debe ser trascendente para las actividades del levantamiento catastral del Proyecto</w:t>
      </w:r>
      <w:r w:rsidRPr="00020DA8">
        <w:rPr>
          <w:sz w:val="18"/>
          <w:szCs w:val="18"/>
          <w:lang w:val="es-NI"/>
        </w:rPr>
        <w:t>.</w:t>
      </w:r>
      <w:r>
        <w:rPr>
          <w:sz w:val="18"/>
          <w:szCs w:val="18"/>
          <w:lang w:val="es-NI"/>
        </w:rPr>
        <w:t xml:space="preserve"> </w:t>
      </w:r>
    </w:p>
  </w:footnote>
  <w:footnote w:id="26">
    <w:p w:rsidR="009F3769" w:rsidRPr="00701B03" w:rsidRDefault="009F3769" w:rsidP="005224B2">
      <w:pPr>
        <w:pStyle w:val="FootnoteText"/>
        <w:jc w:val="both"/>
        <w:rPr>
          <w:sz w:val="18"/>
          <w:szCs w:val="18"/>
          <w:lang w:val="es-ES"/>
        </w:rPr>
      </w:pPr>
      <w:r w:rsidRPr="00020DA8">
        <w:rPr>
          <w:rStyle w:val="FootnoteReference"/>
          <w:sz w:val="18"/>
          <w:szCs w:val="18"/>
          <w:lang w:val="es-ES"/>
        </w:rPr>
        <w:footnoteRef/>
      </w:r>
      <w:r w:rsidRPr="00020DA8">
        <w:rPr>
          <w:sz w:val="18"/>
          <w:szCs w:val="18"/>
          <w:lang w:val="es-ES"/>
        </w:rPr>
        <w:t>OP 10.02 “…para operaciones en las cuales la invitación a negociar se emite en o después del 1° de julio del 2010, el Banco Mundial requerirá que el Prestatario dé a conocer los estados financieros auditados de una forma aceptable para el banco. Una vez que se reciban de manera formal los estados financieros remitidos por el Prestatario, el Banco Mundial los publicará de conformidad con su Política de Acceso a la Información Pública...”</w:t>
      </w:r>
    </w:p>
  </w:footnote>
  <w:footnote w:id="27">
    <w:p w:rsidR="009F3769" w:rsidRPr="00701B03" w:rsidRDefault="009F3769" w:rsidP="00BA7DF7">
      <w:pPr>
        <w:pStyle w:val="FootnoteText"/>
        <w:rPr>
          <w:sz w:val="18"/>
          <w:szCs w:val="18"/>
          <w:lang w:val="es-ES"/>
        </w:rPr>
      </w:pPr>
      <w:r w:rsidRPr="00701B03">
        <w:rPr>
          <w:rStyle w:val="FootnoteReference"/>
          <w:lang w:val="es-ES"/>
        </w:rPr>
        <w:footnoteRef/>
      </w:r>
      <w:r>
        <w:rPr>
          <w:lang w:val="es-ES"/>
        </w:rPr>
        <w:t xml:space="preserve">Según el diagnóstico </w:t>
      </w:r>
      <w:r w:rsidRPr="00701B03">
        <w:rPr>
          <w:sz w:val="18"/>
          <w:szCs w:val="18"/>
          <w:lang w:val="es-ES"/>
        </w:rPr>
        <w:t>PFM (</w:t>
      </w:r>
      <w:r>
        <w:rPr>
          <w:sz w:val="18"/>
          <w:szCs w:val="18"/>
          <w:lang w:val="es-ES"/>
        </w:rPr>
        <w:t xml:space="preserve">ver </w:t>
      </w:r>
      <w:r w:rsidRPr="00701B03">
        <w:rPr>
          <w:sz w:val="18"/>
          <w:szCs w:val="18"/>
          <w:lang w:val="es-ES"/>
        </w:rPr>
        <w:t xml:space="preserve">PEFA 2011 y PEFA 2011 </w:t>
      </w:r>
      <w:r>
        <w:rPr>
          <w:sz w:val="18"/>
          <w:szCs w:val="18"/>
          <w:lang w:val="es-ES"/>
        </w:rPr>
        <w:t>Actualizado</w:t>
      </w:r>
      <w:r w:rsidRPr="00701B03">
        <w:rPr>
          <w:sz w:val="18"/>
          <w:szCs w:val="18"/>
          <w:lang w:val="es-ES"/>
        </w:rPr>
        <w:t>).</w:t>
      </w:r>
    </w:p>
  </w:footnote>
  <w:footnote w:id="28">
    <w:p w:rsidR="009F3769" w:rsidRPr="00D12AAD" w:rsidRDefault="009F3769" w:rsidP="005C1B39">
      <w:pPr>
        <w:pStyle w:val="FootnoteText"/>
        <w:jc w:val="both"/>
        <w:rPr>
          <w:sz w:val="18"/>
          <w:szCs w:val="18"/>
          <w:lang w:val="es-ES"/>
        </w:rPr>
      </w:pPr>
      <w:r w:rsidRPr="00D12AAD">
        <w:rPr>
          <w:rStyle w:val="FootnoteReference"/>
          <w:sz w:val="18"/>
          <w:szCs w:val="18"/>
          <w:lang w:val="es-ES"/>
        </w:rPr>
        <w:footnoteRef/>
      </w:r>
      <w:r w:rsidRPr="00D12AAD">
        <w:rPr>
          <w:sz w:val="18"/>
          <w:szCs w:val="18"/>
          <w:lang w:val="es-ES"/>
        </w:rPr>
        <w:t xml:space="preserve"> Además de las consultas, se hizo una visita de campo a la Reserva Natural de Yalí</w:t>
      </w:r>
      <w:r>
        <w:rPr>
          <w:sz w:val="18"/>
          <w:szCs w:val="18"/>
          <w:lang w:val="es-ES"/>
        </w:rPr>
        <w:t xml:space="preserve"> con la colaboración de</w:t>
      </w:r>
      <w:r w:rsidRPr="00D12AAD">
        <w:rPr>
          <w:sz w:val="18"/>
          <w:szCs w:val="18"/>
          <w:lang w:val="es-NI"/>
        </w:rPr>
        <w:t>l MARENA</w:t>
      </w:r>
      <w:r>
        <w:rPr>
          <w:sz w:val="18"/>
          <w:szCs w:val="18"/>
          <w:lang w:val="es-NI"/>
        </w:rPr>
        <w:t xml:space="preserve"> como</w:t>
      </w:r>
      <w:r w:rsidRPr="00D12AAD">
        <w:rPr>
          <w:sz w:val="18"/>
          <w:szCs w:val="18"/>
          <w:lang w:val="es-NI"/>
        </w:rPr>
        <w:t xml:space="preserve"> part</w:t>
      </w:r>
      <w:r>
        <w:rPr>
          <w:sz w:val="18"/>
          <w:szCs w:val="18"/>
          <w:lang w:val="es-NI"/>
        </w:rPr>
        <w:t>e de la preparación del EA. Asimismo, el grupo de trabajo del Banco Mundial visitó varias áreas protegidas durante los preparativos del Proyecto.</w:t>
      </w:r>
    </w:p>
  </w:footnote>
  <w:footnote w:id="29">
    <w:p w:rsidR="009F3769" w:rsidRPr="00D12AAD" w:rsidRDefault="009F3769" w:rsidP="002915FA">
      <w:pPr>
        <w:pStyle w:val="FootnoteText"/>
        <w:jc w:val="both"/>
        <w:rPr>
          <w:sz w:val="18"/>
          <w:szCs w:val="18"/>
          <w:lang w:val="es-ES"/>
        </w:rPr>
      </w:pPr>
      <w:r w:rsidRPr="00D12AAD">
        <w:rPr>
          <w:rStyle w:val="FootnoteReference"/>
          <w:sz w:val="18"/>
          <w:szCs w:val="18"/>
          <w:lang w:val="es-ES"/>
        </w:rPr>
        <w:footnoteRef/>
      </w:r>
      <w:r>
        <w:rPr>
          <w:sz w:val="18"/>
          <w:szCs w:val="18"/>
          <w:lang w:val="es-ES"/>
        </w:rPr>
        <w:t>Las áreas protegidas son:</w:t>
      </w:r>
      <w:r w:rsidRPr="00D12AAD">
        <w:rPr>
          <w:sz w:val="18"/>
          <w:szCs w:val="18"/>
          <w:lang w:val="es-ES"/>
        </w:rPr>
        <w:t xml:space="preserve"> Sierras de Dipilto-Jalapa </w:t>
      </w:r>
      <w:r>
        <w:rPr>
          <w:sz w:val="18"/>
          <w:szCs w:val="18"/>
          <w:lang w:val="es-ES"/>
        </w:rPr>
        <w:t>en Nueva Segovia</w:t>
      </w:r>
      <w:r w:rsidRPr="00D12AAD">
        <w:rPr>
          <w:sz w:val="18"/>
          <w:szCs w:val="18"/>
          <w:lang w:val="es-ES"/>
        </w:rPr>
        <w:t xml:space="preserve"> y Cerro Kilambé, Macizo Peñas Blancas, Cerros de Yalí, y Cerro Datanlí-El Diablo </w:t>
      </w:r>
      <w:r>
        <w:rPr>
          <w:sz w:val="18"/>
          <w:szCs w:val="18"/>
          <w:lang w:val="es-ES"/>
        </w:rPr>
        <w:t>e</w:t>
      </w:r>
      <w:r w:rsidRPr="00D12AAD">
        <w:rPr>
          <w:sz w:val="18"/>
          <w:szCs w:val="18"/>
          <w:lang w:val="es-ES"/>
        </w:rPr>
        <w:t>n Jinotega.</w:t>
      </w:r>
    </w:p>
  </w:footnote>
  <w:footnote w:id="30">
    <w:p w:rsidR="009F3769" w:rsidRPr="00193FC2" w:rsidRDefault="009F3769" w:rsidP="00C708A6">
      <w:pPr>
        <w:pStyle w:val="FootnoteText"/>
        <w:jc w:val="both"/>
        <w:rPr>
          <w:sz w:val="18"/>
          <w:szCs w:val="18"/>
          <w:lang w:val="es-NI"/>
        </w:rPr>
      </w:pPr>
      <w:r w:rsidRPr="00193FC2">
        <w:rPr>
          <w:rStyle w:val="FootnoteReference"/>
          <w:sz w:val="18"/>
          <w:szCs w:val="18"/>
          <w:lang w:val="es-ES"/>
        </w:rPr>
        <w:footnoteRef/>
      </w:r>
      <w:r w:rsidRPr="00193FC2">
        <w:rPr>
          <w:sz w:val="18"/>
          <w:szCs w:val="18"/>
          <w:lang w:val="es-NI"/>
        </w:rPr>
        <w:t xml:space="preserve"> Las consultas públicas se celebraron en Nueva Segovia </w:t>
      </w:r>
      <w:r>
        <w:rPr>
          <w:sz w:val="18"/>
          <w:szCs w:val="18"/>
          <w:lang w:val="es-NI"/>
        </w:rPr>
        <w:t>el</w:t>
      </w:r>
      <w:r w:rsidRPr="00193FC2">
        <w:rPr>
          <w:sz w:val="18"/>
          <w:szCs w:val="18"/>
          <w:lang w:val="es-NI"/>
        </w:rPr>
        <w:t xml:space="preserve"> 15</w:t>
      </w:r>
      <w:r>
        <w:rPr>
          <w:sz w:val="18"/>
          <w:szCs w:val="18"/>
          <w:lang w:val="es-NI"/>
        </w:rPr>
        <w:t xml:space="preserve">, en </w:t>
      </w:r>
      <w:r w:rsidRPr="00193FC2">
        <w:rPr>
          <w:sz w:val="18"/>
          <w:szCs w:val="18"/>
          <w:lang w:val="es-NI"/>
        </w:rPr>
        <w:t xml:space="preserve">Jinotega </w:t>
      </w:r>
      <w:r>
        <w:rPr>
          <w:sz w:val="18"/>
          <w:szCs w:val="18"/>
          <w:lang w:val="es-NI"/>
        </w:rPr>
        <w:t>el 16</w:t>
      </w:r>
      <w:r w:rsidRPr="00193FC2">
        <w:rPr>
          <w:sz w:val="18"/>
          <w:szCs w:val="18"/>
          <w:lang w:val="es-NI"/>
        </w:rPr>
        <w:t xml:space="preserve"> y</w:t>
      </w:r>
      <w:r>
        <w:rPr>
          <w:sz w:val="18"/>
          <w:szCs w:val="18"/>
          <w:lang w:val="es-NI"/>
        </w:rPr>
        <w:t xml:space="preserve"> en </w:t>
      </w:r>
      <w:r w:rsidRPr="00193FC2">
        <w:rPr>
          <w:sz w:val="18"/>
          <w:szCs w:val="18"/>
          <w:lang w:val="es-NI"/>
        </w:rPr>
        <w:t>Amak</w:t>
      </w:r>
      <w:r>
        <w:rPr>
          <w:sz w:val="18"/>
          <w:szCs w:val="18"/>
          <w:lang w:val="es-NI"/>
        </w:rPr>
        <w:t>el 30 de octubre del</w:t>
      </w:r>
      <w:r w:rsidRPr="00193FC2">
        <w:rPr>
          <w:sz w:val="18"/>
          <w:szCs w:val="18"/>
          <w:lang w:val="es-NI"/>
        </w:rPr>
        <w:t xml:space="preserve"> 2012.</w:t>
      </w:r>
    </w:p>
  </w:footnote>
  <w:footnote w:id="31">
    <w:p w:rsidR="009F3769" w:rsidRPr="00157D11" w:rsidRDefault="009F3769" w:rsidP="003E4D92">
      <w:pPr>
        <w:pStyle w:val="FootnoteText"/>
        <w:jc w:val="both"/>
        <w:rPr>
          <w:sz w:val="18"/>
          <w:szCs w:val="18"/>
          <w:lang w:val="es-ES"/>
        </w:rPr>
      </w:pPr>
      <w:r w:rsidRPr="003E4D92">
        <w:rPr>
          <w:rStyle w:val="FootnoteReference"/>
          <w:sz w:val="18"/>
          <w:szCs w:val="18"/>
        </w:rPr>
        <w:footnoteRef/>
      </w:r>
      <w:r>
        <w:rPr>
          <w:sz w:val="18"/>
          <w:szCs w:val="18"/>
          <w:lang w:val="es-NI"/>
        </w:rPr>
        <w:t xml:space="preserve">El Manual de demarcación y titulación  de los territorios indígenas del Caribe fue elaborado y aplicado </w:t>
      </w:r>
      <w:r w:rsidRPr="001017C1">
        <w:rPr>
          <w:sz w:val="18"/>
          <w:szCs w:val="18"/>
          <w:lang w:val="es-ES"/>
        </w:rPr>
        <w:t>bajo el proyecto previo</w:t>
      </w:r>
      <w:r>
        <w:rPr>
          <w:sz w:val="18"/>
          <w:szCs w:val="18"/>
          <w:lang w:val="es-ES"/>
        </w:rPr>
        <w:t xml:space="preserve">, reflejando el espíritu de la Ley 445 y su reglamento. Describe las </w:t>
      </w:r>
      <w:r w:rsidRPr="00157D11">
        <w:rPr>
          <w:sz w:val="18"/>
          <w:szCs w:val="18"/>
          <w:lang w:val="es-ES"/>
        </w:rPr>
        <w:t xml:space="preserve">diversas fases del proceso así como el marco institucional y las responsabilidades de las instituciones y niveles gubernamentales involucrados. </w:t>
      </w:r>
    </w:p>
  </w:footnote>
  <w:footnote w:id="32">
    <w:p w:rsidR="009F3769" w:rsidRPr="00157D11" w:rsidRDefault="009F3769" w:rsidP="007E23E7">
      <w:pPr>
        <w:pStyle w:val="FootnoteText"/>
        <w:jc w:val="both"/>
        <w:rPr>
          <w:sz w:val="18"/>
          <w:szCs w:val="18"/>
          <w:lang w:val="es-ES"/>
        </w:rPr>
      </w:pPr>
      <w:r w:rsidRPr="00157D11">
        <w:rPr>
          <w:rStyle w:val="FootnoteReference"/>
          <w:sz w:val="18"/>
          <w:szCs w:val="18"/>
          <w:lang w:val="es-ES"/>
        </w:rPr>
        <w:footnoteRef/>
      </w:r>
      <w:r w:rsidRPr="00157D11">
        <w:rPr>
          <w:sz w:val="18"/>
          <w:szCs w:val="18"/>
          <w:lang w:val="es-ES"/>
        </w:rPr>
        <w:t xml:space="preserve"> Tal como se estipula en la nota de pie 8: </w:t>
      </w:r>
      <w:r w:rsidRPr="00157D11">
        <w:rPr>
          <w:color w:val="000000"/>
          <w:sz w:val="18"/>
          <w:szCs w:val="18"/>
          <w:lang w:val="es-ES"/>
        </w:rPr>
        <w:t>“…La política… no es aplicable en dispu</w:t>
      </w:r>
      <w:r>
        <w:rPr>
          <w:color w:val="000000"/>
          <w:sz w:val="18"/>
          <w:szCs w:val="18"/>
          <w:lang w:val="es-ES"/>
        </w:rPr>
        <w:t>ta</w:t>
      </w:r>
      <w:r w:rsidRPr="00157D11">
        <w:rPr>
          <w:color w:val="000000"/>
          <w:sz w:val="18"/>
          <w:szCs w:val="18"/>
          <w:lang w:val="es-ES"/>
        </w:rPr>
        <w:t xml:space="preserve">s </w:t>
      </w:r>
      <w:r>
        <w:rPr>
          <w:color w:val="000000"/>
          <w:sz w:val="18"/>
          <w:szCs w:val="18"/>
          <w:lang w:val="es-ES"/>
        </w:rPr>
        <w:t>entre particulares</w:t>
      </w:r>
      <w:r w:rsidR="00B9045A">
        <w:rPr>
          <w:color w:val="000000"/>
          <w:sz w:val="18"/>
          <w:szCs w:val="18"/>
          <w:lang w:val="es-ES"/>
        </w:rPr>
        <w:t xml:space="preserve"> e</w:t>
      </w:r>
      <w:r>
        <w:rPr>
          <w:color w:val="000000"/>
          <w:sz w:val="18"/>
          <w:szCs w:val="18"/>
          <w:lang w:val="es-ES"/>
        </w:rPr>
        <w:t xml:space="preserve">n </w:t>
      </w:r>
      <w:r w:rsidRPr="00157D11">
        <w:rPr>
          <w:color w:val="000000"/>
          <w:sz w:val="18"/>
          <w:szCs w:val="18"/>
          <w:lang w:val="es-ES"/>
        </w:rPr>
        <w:t xml:space="preserve">casos </w:t>
      </w:r>
      <w:r>
        <w:rPr>
          <w:color w:val="000000"/>
          <w:sz w:val="18"/>
          <w:szCs w:val="18"/>
          <w:lang w:val="es-ES"/>
        </w:rPr>
        <w:t>de proyectos de titulación de tierras, aunque es una buena práctica para el Prestatario realizar un estudio social y poner en marcha medidas que minimicen los impactos sociales adversos, en especial aquellos que afectan a los grupos más pobres y vulnerables</w:t>
      </w:r>
      <w:r w:rsidRPr="00157D11">
        <w:rPr>
          <w:color w:val="000000"/>
          <w:sz w:val="18"/>
          <w:szCs w:val="18"/>
          <w:lang w:val="es-ES"/>
        </w:rPr>
        <w:t>.</w:t>
      </w:r>
    </w:p>
  </w:footnote>
  <w:footnote w:id="33">
    <w:p w:rsidR="009F3769" w:rsidRPr="00050078" w:rsidRDefault="009F3769" w:rsidP="00A62AFD">
      <w:pPr>
        <w:pStyle w:val="FootnoteText"/>
        <w:jc w:val="both"/>
        <w:rPr>
          <w:sz w:val="18"/>
          <w:szCs w:val="18"/>
          <w:lang w:val="es-ES"/>
        </w:rPr>
      </w:pPr>
      <w:r w:rsidRPr="00050078">
        <w:rPr>
          <w:rStyle w:val="FootnoteReference"/>
          <w:sz w:val="18"/>
          <w:szCs w:val="18"/>
          <w:lang w:val="es-ES"/>
        </w:rPr>
        <w:footnoteRef/>
      </w:r>
      <w:r w:rsidRPr="00050078">
        <w:rPr>
          <w:sz w:val="18"/>
          <w:szCs w:val="18"/>
          <w:lang w:val="es-ES"/>
        </w:rPr>
        <w:t xml:space="preserve"> Los </w:t>
      </w:r>
      <w:r>
        <w:rPr>
          <w:sz w:val="18"/>
          <w:szCs w:val="18"/>
          <w:lang w:val="es-ES"/>
        </w:rPr>
        <w:t>grupos son:</w:t>
      </w:r>
      <w:r w:rsidRPr="00050078">
        <w:rPr>
          <w:sz w:val="18"/>
          <w:szCs w:val="18"/>
          <w:lang w:val="es-ES"/>
        </w:rPr>
        <w:t xml:space="preserve"> personal de</w:t>
      </w:r>
      <w:r>
        <w:rPr>
          <w:sz w:val="18"/>
          <w:szCs w:val="18"/>
          <w:lang w:val="es-ES"/>
        </w:rPr>
        <w:t xml:space="preserve"> las agencias co-ejecutoras de las sedes central y departamentales, líderes y lideresas comunitarias de </w:t>
      </w:r>
      <w:r w:rsidRPr="00050078">
        <w:rPr>
          <w:sz w:val="18"/>
          <w:szCs w:val="18"/>
          <w:lang w:val="es-ES"/>
        </w:rPr>
        <w:t>Nueva Segovia, Jinotega, León, Chinandega y Estelí</w:t>
      </w:r>
      <w:r>
        <w:rPr>
          <w:sz w:val="18"/>
          <w:szCs w:val="18"/>
          <w:lang w:val="es-ES"/>
        </w:rPr>
        <w:t xml:space="preserve"> así como mujeres indígenas </w:t>
      </w:r>
      <w:r w:rsidRPr="00050078">
        <w:rPr>
          <w:sz w:val="18"/>
          <w:szCs w:val="18"/>
          <w:lang w:val="es-ES"/>
        </w:rPr>
        <w:t xml:space="preserve">y </w:t>
      </w:r>
      <w:r>
        <w:rPr>
          <w:sz w:val="18"/>
          <w:szCs w:val="18"/>
          <w:lang w:val="es-ES"/>
        </w:rPr>
        <w:t xml:space="preserve">representantes de los grupos indígenas de </w:t>
      </w:r>
      <w:r w:rsidRPr="00050078">
        <w:rPr>
          <w:sz w:val="18"/>
          <w:szCs w:val="18"/>
          <w:lang w:val="es-ES"/>
        </w:rPr>
        <w:t>Jinotega y Mozonte.</w:t>
      </w:r>
    </w:p>
  </w:footnote>
  <w:footnote w:id="34">
    <w:p w:rsidR="009F3769" w:rsidRPr="00050078" w:rsidRDefault="009F3769" w:rsidP="005137E6">
      <w:pPr>
        <w:pStyle w:val="FootnoteText"/>
        <w:jc w:val="both"/>
        <w:rPr>
          <w:sz w:val="18"/>
          <w:szCs w:val="18"/>
          <w:lang w:val="es-ES"/>
        </w:rPr>
      </w:pPr>
      <w:r w:rsidRPr="00050078">
        <w:rPr>
          <w:rStyle w:val="FootnoteReference"/>
          <w:sz w:val="18"/>
          <w:szCs w:val="18"/>
          <w:lang w:val="es-ES"/>
        </w:rPr>
        <w:footnoteRef/>
      </w:r>
      <w:r>
        <w:rPr>
          <w:sz w:val="18"/>
          <w:szCs w:val="18"/>
          <w:lang w:val="es-ES"/>
        </w:rPr>
        <w:t xml:space="preserve">Entre otros, nos referimos a los </w:t>
      </w:r>
      <w:r w:rsidRPr="00050078">
        <w:rPr>
          <w:i/>
          <w:sz w:val="18"/>
          <w:szCs w:val="18"/>
          <w:lang w:val="es-ES"/>
        </w:rPr>
        <w:t>Gabinetes del Poder Ciudadano</w:t>
      </w:r>
      <w:r w:rsidRPr="00050078">
        <w:rPr>
          <w:sz w:val="18"/>
          <w:szCs w:val="18"/>
          <w:lang w:val="es-ES"/>
        </w:rPr>
        <w:t xml:space="preserve"> y </w:t>
      </w:r>
      <w:r w:rsidRPr="00050078">
        <w:rPr>
          <w:i/>
          <w:sz w:val="18"/>
          <w:szCs w:val="18"/>
          <w:lang w:val="es-ES"/>
        </w:rPr>
        <w:t>Consejos de Liderazgo Sandinista.</w:t>
      </w:r>
    </w:p>
  </w:footnote>
  <w:footnote w:id="35">
    <w:p w:rsidR="009F3769" w:rsidRPr="00050078" w:rsidRDefault="009F3769" w:rsidP="00D24F0B">
      <w:pPr>
        <w:pStyle w:val="FootnoteText"/>
        <w:jc w:val="both"/>
        <w:rPr>
          <w:sz w:val="18"/>
          <w:szCs w:val="18"/>
          <w:lang w:val="es-ES"/>
        </w:rPr>
      </w:pPr>
      <w:r w:rsidRPr="00050078">
        <w:rPr>
          <w:rStyle w:val="FootnoteReference"/>
          <w:sz w:val="18"/>
          <w:szCs w:val="18"/>
          <w:lang w:val="es-ES"/>
        </w:rPr>
        <w:footnoteRef/>
      </w:r>
      <w:r>
        <w:rPr>
          <w:sz w:val="18"/>
          <w:szCs w:val="18"/>
          <w:lang w:val="es-ES"/>
        </w:rPr>
        <w:t>Identificación de los tres tipos comunes de desigualdad en los derechos de propiedad: las mujeres no heredan tierras, se les da parcelas más pequeñas que a los hombres, a veces son expulsadas por los arrendatarios.</w:t>
      </w:r>
    </w:p>
  </w:footnote>
  <w:footnote w:id="36">
    <w:p w:rsidR="009F3769" w:rsidRPr="00B9045A" w:rsidRDefault="009F3769" w:rsidP="00BA2B15">
      <w:pPr>
        <w:pStyle w:val="FootnoteText"/>
        <w:jc w:val="both"/>
        <w:rPr>
          <w:sz w:val="18"/>
          <w:szCs w:val="18"/>
          <w:highlight w:val="cyan"/>
          <w:lang w:val="es-NI"/>
        </w:rPr>
      </w:pPr>
      <w:r>
        <w:rPr>
          <w:rStyle w:val="FootnoteReference"/>
          <w:sz w:val="18"/>
          <w:szCs w:val="18"/>
        </w:rPr>
        <w:footnoteRef/>
      </w:r>
      <w:r w:rsidRPr="00B9045A">
        <w:rPr>
          <w:sz w:val="18"/>
          <w:szCs w:val="18"/>
          <w:lang w:val="es-ES"/>
        </w:rPr>
        <w:t xml:space="preserve"> </w:t>
      </w:r>
      <w:r w:rsidRPr="00B9045A">
        <w:rPr>
          <w:sz w:val="18"/>
          <w:szCs w:val="18"/>
          <w:lang w:val="es-NI"/>
        </w:rPr>
        <w:t>Paralelo al financiamiento de la IDA, el Fondo Nórdico  suministró un Crédito de EUR 5.5 millones (cerrado en abril del 2010), para apoyar el fortalecimiento institucional, las actividades catastrales urbanas y actividades de regularización fuera del panorama de actividades fianciadas por el Banco Mundial.</w:t>
      </w:r>
    </w:p>
  </w:footnote>
  <w:footnote w:id="37">
    <w:p w:rsidR="009F3769" w:rsidRPr="0097150B" w:rsidRDefault="009F3769" w:rsidP="006A59BE">
      <w:pPr>
        <w:pStyle w:val="FootnoteText"/>
        <w:jc w:val="both"/>
        <w:rPr>
          <w:sz w:val="18"/>
          <w:szCs w:val="18"/>
          <w:lang w:val="es-NI"/>
        </w:rPr>
      </w:pPr>
      <w:r w:rsidRPr="002B41E4">
        <w:rPr>
          <w:rStyle w:val="FootnoteReference"/>
          <w:sz w:val="18"/>
          <w:szCs w:val="18"/>
        </w:rPr>
        <w:footnoteRef/>
      </w:r>
      <w:r>
        <w:rPr>
          <w:sz w:val="18"/>
          <w:szCs w:val="18"/>
          <w:lang w:val="es-NI"/>
        </w:rPr>
        <w:t>Esta</w:t>
      </w:r>
      <w:r w:rsidRPr="0050252D">
        <w:rPr>
          <w:sz w:val="18"/>
          <w:szCs w:val="18"/>
          <w:lang w:val="es-NI"/>
        </w:rPr>
        <w:t xml:space="preserve"> sección presenta un resumen de los </w:t>
      </w:r>
      <w:r>
        <w:rPr>
          <w:sz w:val="18"/>
          <w:szCs w:val="18"/>
          <w:lang w:val="es-NI"/>
        </w:rPr>
        <w:t xml:space="preserve">principales </w:t>
      </w:r>
      <w:r w:rsidRPr="0050252D">
        <w:rPr>
          <w:sz w:val="18"/>
          <w:szCs w:val="18"/>
          <w:lang w:val="es-NI"/>
        </w:rPr>
        <w:t xml:space="preserve">hallazgos </w:t>
      </w:r>
      <w:r>
        <w:rPr>
          <w:sz w:val="18"/>
          <w:szCs w:val="18"/>
          <w:lang w:val="es-NI"/>
        </w:rPr>
        <w:t>preliminares derivados de la evaluación final del Proyecto, la cual el gobierno está en proceso de finalizar en conjunto con la asistencia técnica de expertos de la FAO</w:t>
      </w:r>
      <w:r w:rsidRPr="0097150B">
        <w:rPr>
          <w:sz w:val="18"/>
          <w:szCs w:val="18"/>
          <w:lang w:val="es-NI"/>
        </w:rPr>
        <w:t>.</w:t>
      </w:r>
    </w:p>
  </w:footnote>
  <w:footnote w:id="38">
    <w:p w:rsidR="009F3769" w:rsidRPr="0097150B" w:rsidRDefault="009F3769" w:rsidP="0097150B">
      <w:pPr>
        <w:pStyle w:val="FootnoteText"/>
        <w:jc w:val="both"/>
        <w:rPr>
          <w:sz w:val="18"/>
          <w:szCs w:val="18"/>
          <w:lang w:val="es-NI"/>
        </w:rPr>
      </w:pPr>
      <w:r w:rsidRPr="0050252D">
        <w:rPr>
          <w:rStyle w:val="FootnoteReference"/>
          <w:sz w:val="18"/>
          <w:szCs w:val="18"/>
          <w:lang w:val="es-ES"/>
        </w:rPr>
        <w:footnoteRef/>
      </w:r>
      <w:r>
        <w:rPr>
          <w:sz w:val="18"/>
          <w:szCs w:val="18"/>
          <w:lang w:val="es-ES"/>
        </w:rPr>
        <w:t>Estos resultados fueron corroborados por el estudio institucional, político y legal ejecutado como parte de los preparativos del Proyecto propuesto. El estudio está disponible en los archivos del Proyecto y en la dirección</w:t>
      </w:r>
      <w:r w:rsidRPr="0097150B">
        <w:rPr>
          <w:sz w:val="18"/>
          <w:szCs w:val="18"/>
          <w:lang w:val="es-NI"/>
        </w:rPr>
        <w:t xml:space="preserve">: </w:t>
      </w:r>
      <w:hyperlink r:id="rId2" w:history="1">
        <w:r w:rsidRPr="00644782">
          <w:rPr>
            <w:rStyle w:val="Hyperlink"/>
            <w:sz w:val="18"/>
            <w:szCs w:val="18"/>
            <w:lang w:val="es-NI"/>
          </w:rPr>
          <w:t>http://www.pgr.gob.ni/index.php/areas-de-la-pgr/aa/1177-estudios-prodep</w:t>
        </w:r>
      </w:hyperlink>
    </w:p>
  </w:footnote>
  <w:footnote w:id="39">
    <w:p w:rsidR="009F3769" w:rsidRPr="00835EEB" w:rsidRDefault="009F3769" w:rsidP="000B284D">
      <w:pPr>
        <w:pStyle w:val="FootnoteText"/>
        <w:jc w:val="both"/>
        <w:rPr>
          <w:sz w:val="18"/>
          <w:szCs w:val="18"/>
          <w:lang w:val="es-ES"/>
        </w:rPr>
      </w:pPr>
      <w:r w:rsidRPr="0050252D">
        <w:rPr>
          <w:rStyle w:val="FootnoteReference"/>
          <w:sz w:val="18"/>
          <w:szCs w:val="18"/>
          <w:lang w:val="es-ES"/>
        </w:rPr>
        <w:footnoteRef/>
      </w:r>
      <w:r w:rsidRPr="006F7F2F">
        <w:rPr>
          <w:sz w:val="18"/>
          <w:szCs w:val="18"/>
          <w:lang w:val="es-NI"/>
        </w:rPr>
        <w:t xml:space="preserve"> Muchas disputas y conflictos relacionados por ejemplo con </w:t>
      </w:r>
      <w:r>
        <w:rPr>
          <w:sz w:val="18"/>
          <w:szCs w:val="18"/>
          <w:lang w:val="es-NI"/>
        </w:rPr>
        <w:t xml:space="preserve">los linderos de propiedades se resuelven durante el proceso del levantamiento </w:t>
      </w:r>
      <w:r w:rsidRPr="0051492D">
        <w:rPr>
          <w:sz w:val="18"/>
          <w:szCs w:val="18"/>
          <w:lang w:val="es-NI"/>
        </w:rPr>
        <w:t>catas</w:t>
      </w:r>
      <w:r w:rsidRPr="00835EEB">
        <w:rPr>
          <w:sz w:val="18"/>
          <w:szCs w:val="18"/>
          <w:lang w:val="es-ES"/>
        </w:rPr>
        <w:t>tral.</w:t>
      </w:r>
    </w:p>
  </w:footnote>
  <w:footnote w:id="40">
    <w:p w:rsidR="009F3769" w:rsidRPr="007F11E0" w:rsidRDefault="009F3769" w:rsidP="00BC1D9A">
      <w:pPr>
        <w:pStyle w:val="FootnoteText"/>
        <w:jc w:val="both"/>
        <w:rPr>
          <w:sz w:val="18"/>
          <w:szCs w:val="18"/>
          <w:lang w:val="es-NI"/>
        </w:rPr>
      </w:pPr>
      <w:r w:rsidRPr="00835EEB">
        <w:rPr>
          <w:rStyle w:val="FootnoteReference"/>
          <w:sz w:val="18"/>
          <w:szCs w:val="18"/>
          <w:lang w:val="es-ES"/>
        </w:rPr>
        <w:footnoteRef/>
      </w:r>
      <w:hyperlink r:id="rId3" w:tgtFrame="_blank" w:history="1">
        <w:r w:rsidRPr="00835EEB">
          <w:rPr>
            <w:rStyle w:val="Hyperlink"/>
            <w:sz w:val="18"/>
            <w:szCs w:val="18"/>
            <w:lang w:val="es-ES"/>
          </w:rPr>
          <w:t>La convención No.169</w:t>
        </w:r>
      </w:hyperlink>
      <w:r w:rsidRPr="00835EEB">
        <w:rPr>
          <w:color w:val="333333"/>
          <w:sz w:val="18"/>
          <w:szCs w:val="18"/>
          <w:lang w:val="es-ES"/>
        </w:rPr>
        <w:t xml:space="preserve"> es un instrumento legal de cumplimiento internacional que específicamente aborda los derechos de los pueblos indígenas y tribales</w:t>
      </w:r>
      <w:r w:rsidRPr="007F11E0">
        <w:rPr>
          <w:color w:val="333333"/>
          <w:sz w:val="18"/>
          <w:szCs w:val="18"/>
          <w:lang w:val="es-NI"/>
        </w:rPr>
        <w:t>.</w:t>
      </w:r>
    </w:p>
  </w:footnote>
  <w:footnote w:id="41">
    <w:p w:rsidR="009F3769" w:rsidRPr="00B94572" w:rsidRDefault="009F3769" w:rsidP="0065704B">
      <w:pPr>
        <w:pStyle w:val="FootnoteText"/>
        <w:jc w:val="both"/>
        <w:rPr>
          <w:sz w:val="18"/>
          <w:szCs w:val="18"/>
          <w:lang w:val="es-ES"/>
        </w:rPr>
      </w:pPr>
      <w:r w:rsidRPr="00B94572">
        <w:rPr>
          <w:rStyle w:val="FootnoteReference"/>
          <w:sz w:val="18"/>
          <w:szCs w:val="18"/>
          <w:lang w:val="es-ES"/>
        </w:rPr>
        <w:footnoteRef/>
      </w:r>
      <w:r w:rsidRPr="00B94572">
        <w:rPr>
          <w:sz w:val="18"/>
          <w:szCs w:val="18"/>
          <w:lang w:val="es-ES"/>
        </w:rPr>
        <w:t xml:space="preserve"> Ley 612, “Reforma y Adiciones </w:t>
      </w:r>
      <w:r>
        <w:rPr>
          <w:sz w:val="18"/>
          <w:szCs w:val="18"/>
          <w:lang w:val="es-ES"/>
        </w:rPr>
        <w:t>de la Ley</w:t>
      </w:r>
      <w:r w:rsidRPr="00B94572">
        <w:rPr>
          <w:sz w:val="18"/>
          <w:szCs w:val="18"/>
          <w:lang w:val="es-ES"/>
        </w:rPr>
        <w:t xml:space="preserve"> 290, L</w:t>
      </w:r>
      <w:r>
        <w:rPr>
          <w:sz w:val="18"/>
          <w:szCs w:val="18"/>
          <w:lang w:val="es-ES"/>
        </w:rPr>
        <w:t>ey de Organización, Competencia y Procedimiento del Poder Ejecutivo</w:t>
      </w:r>
      <w:r w:rsidRPr="00B94572">
        <w:rPr>
          <w:sz w:val="18"/>
          <w:szCs w:val="18"/>
          <w:lang w:val="es-ES"/>
        </w:rPr>
        <w:t>”</w:t>
      </w:r>
      <w:r>
        <w:rPr>
          <w:sz w:val="18"/>
          <w:szCs w:val="18"/>
          <w:lang w:val="es-ES"/>
        </w:rPr>
        <w:t xml:space="preserve">. </w:t>
      </w:r>
      <w:r w:rsidRPr="00B94572">
        <w:rPr>
          <w:sz w:val="18"/>
          <w:szCs w:val="18"/>
          <w:lang w:val="es-ES"/>
        </w:rPr>
        <w:t>Con esta ley INIDE reemplazó al Instituto Nacional de Estadísticas y Censos (INEC)</w:t>
      </w:r>
      <w:r>
        <w:rPr>
          <w:sz w:val="18"/>
          <w:szCs w:val="18"/>
          <w:lang w:val="es-ES"/>
        </w:rPr>
        <w:t xml:space="preserve"> y asumió sus funciones</w:t>
      </w:r>
      <w:r w:rsidRPr="00B94572">
        <w:rPr>
          <w:sz w:val="18"/>
          <w:szCs w:val="18"/>
          <w:lang w:val="es-ES"/>
        </w:rPr>
        <w:t>.</w:t>
      </w:r>
    </w:p>
  </w:footnote>
  <w:footnote w:id="42">
    <w:p w:rsidR="009F3769" w:rsidRPr="00EE21CC" w:rsidRDefault="009F3769" w:rsidP="00EE21CC">
      <w:pPr>
        <w:pStyle w:val="ListParagraph"/>
        <w:ind w:left="0"/>
        <w:jc w:val="both"/>
        <w:rPr>
          <w:sz w:val="18"/>
          <w:szCs w:val="18"/>
          <w:lang w:val="es-NI"/>
        </w:rPr>
      </w:pPr>
      <w:r w:rsidRPr="005D6486">
        <w:rPr>
          <w:rStyle w:val="FootnoteReference"/>
          <w:sz w:val="18"/>
          <w:szCs w:val="18"/>
        </w:rPr>
        <w:footnoteRef/>
      </w:r>
      <w:r w:rsidRPr="00EE21CC">
        <w:rPr>
          <w:sz w:val="18"/>
          <w:szCs w:val="18"/>
          <w:lang w:val="es-NI"/>
        </w:rPr>
        <w:t xml:space="preserve">  Tal sea el caso de todas las obras, se seguirá un</w:t>
      </w:r>
      <w:r>
        <w:rPr>
          <w:sz w:val="18"/>
          <w:szCs w:val="18"/>
          <w:lang w:val="es-NI"/>
        </w:rPr>
        <w:t xml:space="preserve"> enfoque secuencial de las salvaguardas según la OP 8.00</w:t>
      </w:r>
      <w:r w:rsidRPr="00EE21CC">
        <w:rPr>
          <w:sz w:val="18"/>
          <w:szCs w:val="18"/>
          <w:lang w:val="es-NI"/>
        </w:rPr>
        <w:t>.</w:t>
      </w:r>
    </w:p>
  </w:footnote>
  <w:footnote w:id="43">
    <w:p w:rsidR="009F3769" w:rsidRPr="00B9045A" w:rsidRDefault="009F3769" w:rsidP="005D6486">
      <w:pPr>
        <w:pStyle w:val="FootnoteText"/>
        <w:jc w:val="both"/>
        <w:rPr>
          <w:sz w:val="18"/>
          <w:szCs w:val="18"/>
        </w:rPr>
      </w:pPr>
      <w:r w:rsidRPr="005D6486">
        <w:rPr>
          <w:rStyle w:val="FootnoteReference"/>
          <w:sz w:val="18"/>
          <w:szCs w:val="18"/>
        </w:rPr>
        <w:footnoteRef/>
      </w:r>
      <w:r w:rsidR="00B9045A" w:rsidRPr="00B9045A">
        <w:rPr>
          <w:sz w:val="18"/>
          <w:szCs w:val="18"/>
          <w:lang w:val="es-ES"/>
        </w:rPr>
        <w:t xml:space="preserve"> </w:t>
      </w:r>
      <w:r w:rsidRPr="00B9045A">
        <w:rPr>
          <w:sz w:val="18"/>
          <w:szCs w:val="18"/>
          <w:lang w:val="es-ES"/>
        </w:rPr>
        <w:t xml:space="preserve"> </w:t>
      </w:r>
      <w:r w:rsidRPr="00B9045A">
        <w:rPr>
          <w:sz w:val="18"/>
          <w:szCs w:val="18"/>
          <w:lang w:val="es-NI"/>
        </w:rPr>
        <w:t>La Política de Salvaguarda OP/BP 8.00 ofrece financiamiento retroactivo de hasta el 40% del Crédito o  montos de Préstamos con pagos emitidos por el Gobierno hasta 12 meses antes de la firma anticipada del Acuerdo Legal. Para este Componente, el periodo de 12 meses de retroactividad inicia cuando se activa la implementación de dicho Componente.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visibility:visible;mso-wrap-style:square" o:bullet="t">
        <v:imagedata r:id="rId1" o:title=""/>
      </v:shape>
    </w:pict>
  </w:numPicBullet>
  <w:abstractNum w:abstractNumId="0">
    <w:nsid w:val="00A5593A"/>
    <w:multiLevelType w:val="hybridMultilevel"/>
    <w:tmpl w:val="FBBAD948"/>
    <w:lvl w:ilvl="0" w:tplc="52D400F8">
      <w:start w:val="1"/>
      <w:numFmt w:val="decimal"/>
      <w:lvlText w:val="%1."/>
      <w:lvlJc w:val="left"/>
      <w:pPr>
        <w:tabs>
          <w:tab w:val="num" w:pos="360"/>
        </w:tabs>
        <w:ind w:left="0" w:firstLine="0"/>
      </w:pPr>
      <w:rPr>
        <w:rFonts w:hint="default"/>
        <w:i w:val="0"/>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F53CB56E"/>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5E72D36"/>
    <w:multiLevelType w:val="hybridMultilevel"/>
    <w:tmpl w:val="4538E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803EC"/>
    <w:multiLevelType w:val="hybridMultilevel"/>
    <w:tmpl w:val="5CF811B6"/>
    <w:lvl w:ilvl="0" w:tplc="AD48191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387877"/>
    <w:multiLevelType w:val="hybridMultilevel"/>
    <w:tmpl w:val="56D82BDC"/>
    <w:lvl w:ilvl="0" w:tplc="137A6F34">
      <w:start w:val="1"/>
      <w:numFmt w:val="decimal"/>
      <w:lvlText w:val="%1."/>
      <w:lvlJc w:val="left"/>
      <w:pPr>
        <w:tabs>
          <w:tab w:val="num" w:pos="360"/>
        </w:tabs>
        <w:ind w:left="0" w:firstLine="0"/>
      </w:pPr>
      <w:rPr>
        <w:rFonts w:hint="default"/>
        <w:i w:val="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B0F36"/>
    <w:multiLevelType w:val="hybridMultilevel"/>
    <w:tmpl w:val="0D502FA6"/>
    <w:lvl w:ilvl="0" w:tplc="FB38410E">
      <w:start w:val="1"/>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B0F09"/>
    <w:multiLevelType w:val="hybridMultilevel"/>
    <w:tmpl w:val="85B604B4"/>
    <w:lvl w:ilvl="0" w:tplc="4C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288A"/>
    <w:multiLevelType w:val="hybridMultilevel"/>
    <w:tmpl w:val="1A5CB4E0"/>
    <w:lvl w:ilvl="0" w:tplc="25465DC2">
      <w:start w:val="1"/>
      <w:numFmt w:val="decimal"/>
      <w:lvlText w:val="%1."/>
      <w:lvlJc w:val="left"/>
      <w:pPr>
        <w:tabs>
          <w:tab w:val="num" w:pos="725"/>
        </w:tabs>
        <w:ind w:left="5" w:firstLine="0"/>
      </w:pPr>
      <w:rPr>
        <w:rFonts w:ascii="Times New Roman" w:hAnsi="Times New Roman" w:hint="default"/>
        <w:b w:val="0"/>
        <w:i w:val="0"/>
        <w:sz w:val="24"/>
      </w:rPr>
    </w:lvl>
    <w:lvl w:ilvl="1" w:tplc="0D863C66">
      <w:start w:val="1"/>
      <w:numFmt w:val="lowerLetter"/>
      <w:lvlText w:val="(%2)"/>
      <w:lvlJc w:val="left"/>
      <w:pPr>
        <w:tabs>
          <w:tab w:val="num" w:pos="1445"/>
        </w:tabs>
        <w:ind w:left="1445" w:hanging="360"/>
      </w:pPr>
      <w:rPr>
        <w:rFonts w:hint="default"/>
        <w:b w:val="0"/>
        <w:i w:val="0"/>
      </w:rPr>
    </w:lvl>
    <w:lvl w:ilvl="2" w:tplc="0409001B">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8">
    <w:nsid w:val="200226A3"/>
    <w:multiLevelType w:val="hybridMultilevel"/>
    <w:tmpl w:val="AABA4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E12FD"/>
    <w:multiLevelType w:val="hybridMultilevel"/>
    <w:tmpl w:val="02C82F70"/>
    <w:lvl w:ilvl="0" w:tplc="C6146084">
      <w:start w:val="1"/>
      <w:numFmt w:val="decimal"/>
      <w:lvlText w:val="%1."/>
      <w:lvlJc w:val="left"/>
      <w:pPr>
        <w:tabs>
          <w:tab w:val="num" w:pos="360"/>
        </w:tabs>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146DF"/>
    <w:multiLevelType w:val="hybridMultilevel"/>
    <w:tmpl w:val="98E2A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A212F"/>
    <w:multiLevelType w:val="hybridMultilevel"/>
    <w:tmpl w:val="7D3A7AD6"/>
    <w:lvl w:ilvl="0" w:tplc="C5E0BF08">
      <w:start w:val="1"/>
      <w:numFmt w:val="bullet"/>
      <w:lvlText w:val=""/>
      <w:lvlPicBulletId w:val="0"/>
      <w:lvlJc w:val="left"/>
      <w:pPr>
        <w:tabs>
          <w:tab w:val="num" w:pos="720"/>
        </w:tabs>
        <w:ind w:left="720" w:hanging="360"/>
      </w:pPr>
      <w:rPr>
        <w:rFonts w:ascii="Symbol" w:hAnsi="Symbol" w:hint="default"/>
      </w:rPr>
    </w:lvl>
    <w:lvl w:ilvl="1" w:tplc="201AF1AC" w:tentative="1">
      <w:start w:val="1"/>
      <w:numFmt w:val="bullet"/>
      <w:lvlText w:val=""/>
      <w:lvlJc w:val="left"/>
      <w:pPr>
        <w:tabs>
          <w:tab w:val="num" w:pos="1440"/>
        </w:tabs>
        <w:ind w:left="1440" w:hanging="360"/>
      </w:pPr>
      <w:rPr>
        <w:rFonts w:ascii="Symbol" w:hAnsi="Symbol" w:hint="default"/>
      </w:rPr>
    </w:lvl>
    <w:lvl w:ilvl="2" w:tplc="D8BADB4C" w:tentative="1">
      <w:start w:val="1"/>
      <w:numFmt w:val="bullet"/>
      <w:lvlText w:val=""/>
      <w:lvlJc w:val="left"/>
      <w:pPr>
        <w:tabs>
          <w:tab w:val="num" w:pos="2160"/>
        </w:tabs>
        <w:ind w:left="2160" w:hanging="360"/>
      </w:pPr>
      <w:rPr>
        <w:rFonts w:ascii="Symbol" w:hAnsi="Symbol" w:hint="default"/>
      </w:rPr>
    </w:lvl>
    <w:lvl w:ilvl="3" w:tplc="9E6AC978" w:tentative="1">
      <w:start w:val="1"/>
      <w:numFmt w:val="bullet"/>
      <w:lvlText w:val=""/>
      <w:lvlJc w:val="left"/>
      <w:pPr>
        <w:tabs>
          <w:tab w:val="num" w:pos="2880"/>
        </w:tabs>
        <w:ind w:left="2880" w:hanging="360"/>
      </w:pPr>
      <w:rPr>
        <w:rFonts w:ascii="Symbol" w:hAnsi="Symbol" w:hint="default"/>
      </w:rPr>
    </w:lvl>
    <w:lvl w:ilvl="4" w:tplc="89D4FA14" w:tentative="1">
      <w:start w:val="1"/>
      <w:numFmt w:val="bullet"/>
      <w:lvlText w:val=""/>
      <w:lvlJc w:val="left"/>
      <w:pPr>
        <w:tabs>
          <w:tab w:val="num" w:pos="3600"/>
        </w:tabs>
        <w:ind w:left="3600" w:hanging="360"/>
      </w:pPr>
      <w:rPr>
        <w:rFonts w:ascii="Symbol" w:hAnsi="Symbol" w:hint="default"/>
      </w:rPr>
    </w:lvl>
    <w:lvl w:ilvl="5" w:tplc="5D1EB96A" w:tentative="1">
      <w:start w:val="1"/>
      <w:numFmt w:val="bullet"/>
      <w:lvlText w:val=""/>
      <w:lvlJc w:val="left"/>
      <w:pPr>
        <w:tabs>
          <w:tab w:val="num" w:pos="4320"/>
        </w:tabs>
        <w:ind w:left="4320" w:hanging="360"/>
      </w:pPr>
      <w:rPr>
        <w:rFonts w:ascii="Symbol" w:hAnsi="Symbol" w:hint="default"/>
      </w:rPr>
    </w:lvl>
    <w:lvl w:ilvl="6" w:tplc="CA64100C" w:tentative="1">
      <w:start w:val="1"/>
      <w:numFmt w:val="bullet"/>
      <w:lvlText w:val=""/>
      <w:lvlJc w:val="left"/>
      <w:pPr>
        <w:tabs>
          <w:tab w:val="num" w:pos="5040"/>
        </w:tabs>
        <w:ind w:left="5040" w:hanging="360"/>
      </w:pPr>
      <w:rPr>
        <w:rFonts w:ascii="Symbol" w:hAnsi="Symbol" w:hint="default"/>
      </w:rPr>
    </w:lvl>
    <w:lvl w:ilvl="7" w:tplc="146CCC3E" w:tentative="1">
      <w:start w:val="1"/>
      <w:numFmt w:val="bullet"/>
      <w:lvlText w:val=""/>
      <w:lvlJc w:val="left"/>
      <w:pPr>
        <w:tabs>
          <w:tab w:val="num" w:pos="5760"/>
        </w:tabs>
        <w:ind w:left="5760" w:hanging="360"/>
      </w:pPr>
      <w:rPr>
        <w:rFonts w:ascii="Symbol" w:hAnsi="Symbol" w:hint="default"/>
      </w:rPr>
    </w:lvl>
    <w:lvl w:ilvl="8" w:tplc="1938DAA0" w:tentative="1">
      <w:start w:val="1"/>
      <w:numFmt w:val="bullet"/>
      <w:lvlText w:val=""/>
      <w:lvlJc w:val="left"/>
      <w:pPr>
        <w:tabs>
          <w:tab w:val="num" w:pos="6480"/>
        </w:tabs>
        <w:ind w:left="6480" w:hanging="360"/>
      </w:pPr>
      <w:rPr>
        <w:rFonts w:ascii="Symbol" w:hAnsi="Symbol" w:hint="default"/>
      </w:rPr>
    </w:lvl>
  </w:abstractNum>
  <w:abstractNum w:abstractNumId="12">
    <w:nsid w:val="2CBA249C"/>
    <w:multiLevelType w:val="hybridMultilevel"/>
    <w:tmpl w:val="51105400"/>
    <w:lvl w:ilvl="0" w:tplc="9DE4BABA">
      <w:start w:val="1"/>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51A5C"/>
    <w:multiLevelType w:val="hybridMultilevel"/>
    <w:tmpl w:val="F45C36CA"/>
    <w:lvl w:ilvl="0" w:tplc="90E8AC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90846"/>
    <w:multiLevelType w:val="hybridMultilevel"/>
    <w:tmpl w:val="2ADE0F94"/>
    <w:lvl w:ilvl="0" w:tplc="E8E666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A77F3"/>
    <w:multiLevelType w:val="singleLevel"/>
    <w:tmpl w:val="4C0A0015"/>
    <w:lvl w:ilvl="0">
      <w:start w:val="1"/>
      <w:numFmt w:val="upperLetter"/>
      <w:lvlText w:val="%1."/>
      <w:lvlJc w:val="left"/>
      <w:pPr>
        <w:ind w:left="720" w:hanging="360"/>
      </w:pPr>
    </w:lvl>
  </w:abstractNum>
  <w:abstractNum w:abstractNumId="16">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7295A56"/>
    <w:multiLevelType w:val="hybridMultilevel"/>
    <w:tmpl w:val="19B0FBB8"/>
    <w:lvl w:ilvl="0" w:tplc="8EF0FBDE">
      <w:start w:val="1"/>
      <w:numFmt w:val="lowerLetter"/>
      <w:lvlText w:val="(%1)"/>
      <w:lvlJc w:val="left"/>
      <w:pPr>
        <w:ind w:left="720" w:hanging="360"/>
      </w:pPr>
      <w:rPr>
        <w:rFonts w:hint="default"/>
        <w:lang w:val="es-N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E23C9"/>
    <w:multiLevelType w:val="hybridMultilevel"/>
    <w:tmpl w:val="157457EC"/>
    <w:lvl w:ilvl="0" w:tplc="216A5F3C">
      <w:start w:val="9"/>
      <w:numFmt w:val="upperLetter"/>
      <w:lvlText w:val="%1."/>
      <w:lvlJc w:val="left"/>
      <w:pPr>
        <w:ind w:left="720" w:hanging="360"/>
      </w:pPr>
      <w:rPr>
        <w:rFonts w:hint="default"/>
      </w:rPr>
    </w:lvl>
    <w:lvl w:ilvl="1" w:tplc="1908A464" w:tentative="1">
      <w:start w:val="1"/>
      <w:numFmt w:val="lowerLetter"/>
      <w:lvlText w:val="%2."/>
      <w:lvlJc w:val="left"/>
      <w:pPr>
        <w:ind w:left="1440" w:hanging="360"/>
      </w:pPr>
    </w:lvl>
    <w:lvl w:ilvl="2" w:tplc="3B34AD0C" w:tentative="1">
      <w:start w:val="1"/>
      <w:numFmt w:val="lowerRoman"/>
      <w:lvlText w:val="%3."/>
      <w:lvlJc w:val="right"/>
      <w:pPr>
        <w:ind w:left="2160" w:hanging="180"/>
      </w:pPr>
    </w:lvl>
    <w:lvl w:ilvl="3" w:tplc="5166206E" w:tentative="1">
      <w:start w:val="1"/>
      <w:numFmt w:val="decimal"/>
      <w:lvlText w:val="%4."/>
      <w:lvlJc w:val="left"/>
      <w:pPr>
        <w:ind w:left="2880" w:hanging="360"/>
      </w:pPr>
    </w:lvl>
    <w:lvl w:ilvl="4" w:tplc="69F8B090" w:tentative="1">
      <w:start w:val="1"/>
      <w:numFmt w:val="lowerLetter"/>
      <w:lvlText w:val="%5."/>
      <w:lvlJc w:val="left"/>
      <w:pPr>
        <w:ind w:left="3600" w:hanging="360"/>
      </w:pPr>
    </w:lvl>
    <w:lvl w:ilvl="5" w:tplc="21562394" w:tentative="1">
      <w:start w:val="1"/>
      <w:numFmt w:val="lowerRoman"/>
      <w:lvlText w:val="%6."/>
      <w:lvlJc w:val="right"/>
      <w:pPr>
        <w:ind w:left="4320" w:hanging="180"/>
      </w:pPr>
    </w:lvl>
    <w:lvl w:ilvl="6" w:tplc="6BA288D2" w:tentative="1">
      <w:start w:val="1"/>
      <w:numFmt w:val="decimal"/>
      <w:lvlText w:val="%7."/>
      <w:lvlJc w:val="left"/>
      <w:pPr>
        <w:ind w:left="5040" w:hanging="360"/>
      </w:pPr>
    </w:lvl>
    <w:lvl w:ilvl="7" w:tplc="642C6310" w:tentative="1">
      <w:start w:val="1"/>
      <w:numFmt w:val="lowerLetter"/>
      <w:lvlText w:val="%8."/>
      <w:lvlJc w:val="left"/>
      <w:pPr>
        <w:ind w:left="5760" w:hanging="360"/>
      </w:pPr>
    </w:lvl>
    <w:lvl w:ilvl="8" w:tplc="C424445A" w:tentative="1">
      <w:start w:val="1"/>
      <w:numFmt w:val="lowerRoman"/>
      <w:lvlText w:val="%9."/>
      <w:lvlJc w:val="right"/>
      <w:pPr>
        <w:ind w:left="6480" w:hanging="180"/>
      </w:pPr>
    </w:lvl>
  </w:abstractNum>
  <w:abstractNum w:abstractNumId="19">
    <w:nsid w:val="38D2082A"/>
    <w:multiLevelType w:val="hybridMultilevel"/>
    <w:tmpl w:val="D2966652"/>
    <w:lvl w:ilvl="0" w:tplc="04090015">
      <w:start w:val="1"/>
      <w:numFmt w:val="bullet"/>
      <w:lvlText w:val=""/>
      <w:lvlJc w:val="left"/>
      <w:pPr>
        <w:ind w:left="365" w:hanging="360"/>
      </w:pPr>
      <w:rPr>
        <w:rFonts w:ascii="Symbol" w:hAnsi="Symbol"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0">
    <w:nsid w:val="3CC45922"/>
    <w:multiLevelType w:val="hybridMultilevel"/>
    <w:tmpl w:val="F9FCFDE8"/>
    <w:lvl w:ilvl="0" w:tplc="04090001">
      <w:start w:val="1"/>
      <w:numFmt w:val="low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nsid w:val="406238EA"/>
    <w:multiLevelType w:val="hybridMultilevel"/>
    <w:tmpl w:val="4D60BD28"/>
    <w:lvl w:ilvl="0" w:tplc="36CE07BE">
      <w:start w:val="29"/>
      <w:numFmt w:val="decimal"/>
      <w:lvlText w:val="%1."/>
      <w:lvlJc w:val="left"/>
      <w:pPr>
        <w:tabs>
          <w:tab w:val="num" w:pos="720"/>
        </w:tabs>
        <w:ind w:left="0" w:firstLine="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DB55DF"/>
    <w:multiLevelType w:val="hybridMultilevel"/>
    <w:tmpl w:val="5ADC06C2"/>
    <w:lvl w:ilvl="0" w:tplc="749617B2">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273C34"/>
    <w:multiLevelType w:val="hybridMultilevel"/>
    <w:tmpl w:val="D61CA0A0"/>
    <w:lvl w:ilvl="0" w:tplc="73C4CA5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35ACA"/>
    <w:multiLevelType w:val="hybridMultilevel"/>
    <w:tmpl w:val="7A9633AC"/>
    <w:lvl w:ilvl="0" w:tplc="EE04AD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B04E2"/>
    <w:multiLevelType w:val="hybridMultilevel"/>
    <w:tmpl w:val="2D3A7456"/>
    <w:lvl w:ilvl="0" w:tplc="2AB4C9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924B4"/>
    <w:multiLevelType w:val="hybridMultilevel"/>
    <w:tmpl w:val="944A47BA"/>
    <w:lvl w:ilvl="0" w:tplc="9DD680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B7283"/>
    <w:multiLevelType w:val="hybridMultilevel"/>
    <w:tmpl w:val="D14027C6"/>
    <w:lvl w:ilvl="0" w:tplc="E2E28B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6A667B"/>
    <w:multiLevelType w:val="hybridMultilevel"/>
    <w:tmpl w:val="A61ADA1A"/>
    <w:lvl w:ilvl="0" w:tplc="0A166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92024"/>
    <w:multiLevelType w:val="hybridMultilevel"/>
    <w:tmpl w:val="98DCA5B4"/>
    <w:lvl w:ilvl="0" w:tplc="DD045DA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0760B"/>
    <w:multiLevelType w:val="hybridMultilevel"/>
    <w:tmpl w:val="3F62F0A4"/>
    <w:lvl w:ilvl="0" w:tplc="8DD478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B6DAC"/>
    <w:multiLevelType w:val="hybridMultilevel"/>
    <w:tmpl w:val="A4F01EF0"/>
    <w:lvl w:ilvl="0" w:tplc="4E381A7C">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5D6C52EB"/>
    <w:multiLevelType w:val="multilevel"/>
    <w:tmpl w:val="EC922606"/>
    <w:styleLink w:val="Style1"/>
    <w:lvl w:ilvl="0">
      <w:start w:val="1"/>
      <w:numFmt w:val="decimal"/>
      <w:lvlText w:val="%1."/>
      <w:lvlJc w:val="left"/>
      <w:pPr>
        <w:tabs>
          <w:tab w:val="num" w:pos="6120"/>
        </w:tabs>
        <w:ind w:left="5400" w:firstLine="0"/>
      </w:pPr>
      <w:rPr>
        <w:rFonts w:hint="default"/>
      </w:rPr>
    </w:lvl>
    <w:lvl w:ilvl="1">
      <w:start w:val="1"/>
      <w:numFmt w:val="lowerLetter"/>
      <w:lvlText w:val="(%2)"/>
      <w:lvlJc w:val="left"/>
      <w:pPr>
        <w:tabs>
          <w:tab w:val="num" w:pos="7920"/>
        </w:tabs>
        <w:ind w:left="7920" w:hanging="1800"/>
      </w:pPr>
      <w:rPr>
        <w:rFonts w:hint="default"/>
      </w:rPr>
    </w:lvl>
    <w:lvl w:ilvl="2">
      <w:start w:val="1"/>
      <w:numFmt w:val="lowerRoman"/>
      <w:lvlText w:val="(%3)"/>
      <w:lvlJc w:val="left"/>
      <w:pPr>
        <w:tabs>
          <w:tab w:val="num" w:pos="9000"/>
        </w:tabs>
        <w:ind w:left="9000" w:hanging="1080"/>
      </w:pPr>
      <w:rPr>
        <w:rFonts w:hint="default"/>
      </w:rPr>
    </w:lvl>
    <w:lvl w:ilvl="3">
      <w:start w:val="1"/>
      <w:numFmt w:val="decimal"/>
      <w:lvlText w:val="%4."/>
      <w:lvlJc w:val="left"/>
      <w:pPr>
        <w:tabs>
          <w:tab w:val="num" w:pos="18360"/>
        </w:tabs>
        <w:ind w:left="18360" w:hanging="360"/>
      </w:pPr>
      <w:rPr>
        <w:rFonts w:hint="default"/>
      </w:rPr>
    </w:lvl>
    <w:lvl w:ilvl="4">
      <w:start w:val="1"/>
      <w:numFmt w:val="lowerLetter"/>
      <w:lvlText w:val="%5."/>
      <w:lvlJc w:val="left"/>
      <w:pPr>
        <w:tabs>
          <w:tab w:val="num" w:pos="19080"/>
        </w:tabs>
        <w:ind w:left="19080" w:hanging="360"/>
      </w:pPr>
      <w:rPr>
        <w:rFonts w:hint="default"/>
      </w:rPr>
    </w:lvl>
    <w:lvl w:ilvl="5">
      <w:start w:val="1"/>
      <w:numFmt w:val="lowerRoman"/>
      <w:lvlText w:val="%6."/>
      <w:lvlJc w:val="right"/>
      <w:pPr>
        <w:tabs>
          <w:tab w:val="num" w:pos="19800"/>
        </w:tabs>
        <w:ind w:left="19800" w:hanging="180"/>
      </w:pPr>
      <w:rPr>
        <w:rFonts w:hint="default"/>
      </w:rPr>
    </w:lvl>
    <w:lvl w:ilvl="6">
      <w:start w:val="1"/>
      <w:numFmt w:val="decimal"/>
      <w:lvlText w:val="%7."/>
      <w:lvlJc w:val="left"/>
      <w:pPr>
        <w:tabs>
          <w:tab w:val="num" w:pos="20520"/>
        </w:tabs>
        <w:ind w:left="20520" w:hanging="360"/>
      </w:pPr>
      <w:rPr>
        <w:rFonts w:hint="default"/>
      </w:rPr>
    </w:lvl>
    <w:lvl w:ilvl="7">
      <w:start w:val="1"/>
      <w:numFmt w:val="lowerLetter"/>
      <w:lvlText w:val="%8."/>
      <w:lvlJc w:val="left"/>
      <w:pPr>
        <w:tabs>
          <w:tab w:val="num" w:pos="21240"/>
        </w:tabs>
        <w:ind w:left="21240" w:hanging="360"/>
      </w:pPr>
      <w:rPr>
        <w:rFonts w:hint="default"/>
      </w:rPr>
    </w:lvl>
    <w:lvl w:ilvl="8">
      <w:start w:val="1"/>
      <w:numFmt w:val="lowerRoman"/>
      <w:lvlText w:val="%9."/>
      <w:lvlJc w:val="right"/>
      <w:pPr>
        <w:tabs>
          <w:tab w:val="num" w:pos="21960"/>
        </w:tabs>
        <w:ind w:left="21960" w:hanging="180"/>
      </w:pPr>
      <w:rPr>
        <w:rFonts w:hint="default"/>
      </w:rPr>
    </w:lvl>
  </w:abstractNum>
  <w:abstractNum w:abstractNumId="33">
    <w:nsid w:val="5E0F2450"/>
    <w:multiLevelType w:val="hybridMultilevel"/>
    <w:tmpl w:val="79A66662"/>
    <w:lvl w:ilvl="0" w:tplc="7B748B26">
      <w:start w:val="1"/>
      <w:numFmt w:val="bullet"/>
      <w:lvlText w:val=""/>
      <w:lvlJc w:val="left"/>
      <w:pPr>
        <w:ind w:left="720" w:hanging="153"/>
      </w:pPr>
      <w:rPr>
        <w:rFonts w:ascii="Symbol" w:hAnsi="Symbol" w:hint="default"/>
      </w:rPr>
    </w:lvl>
    <w:lvl w:ilvl="1" w:tplc="CC30E222" w:tentative="1">
      <w:start w:val="1"/>
      <w:numFmt w:val="bullet"/>
      <w:lvlText w:val="o"/>
      <w:lvlJc w:val="left"/>
      <w:pPr>
        <w:ind w:left="1440" w:hanging="360"/>
      </w:pPr>
      <w:rPr>
        <w:rFonts w:ascii="Courier New" w:hAnsi="Courier New" w:cs="Courier New" w:hint="default"/>
      </w:rPr>
    </w:lvl>
    <w:lvl w:ilvl="2" w:tplc="DFDCA9E0" w:tentative="1">
      <w:start w:val="1"/>
      <w:numFmt w:val="bullet"/>
      <w:lvlText w:val=""/>
      <w:lvlJc w:val="left"/>
      <w:pPr>
        <w:ind w:left="2160" w:hanging="360"/>
      </w:pPr>
      <w:rPr>
        <w:rFonts w:ascii="Wingdings" w:hAnsi="Wingdings" w:hint="default"/>
      </w:rPr>
    </w:lvl>
    <w:lvl w:ilvl="3" w:tplc="987097AC" w:tentative="1">
      <w:start w:val="1"/>
      <w:numFmt w:val="bullet"/>
      <w:lvlText w:val=""/>
      <w:lvlJc w:val="left"/>
      <w:pPr>
        <w:ind w:left="2880" w:hanging="360"/>
      </w:pPr>
      <w:rPr>
        <w:rFonts w:ascii="Symbol" w:hAnsi="Symbol" w:hint="default"/>
      </w:rPr>
    </w:lvl>
    <w:lvl w:ilvl="4" w:tplc="1CF2D4C8" w:tentative="1">
      <w:start w:val="1"/>
      <w:numFmt w:val="bullet"/>
      <w:lvlText w:val="o"/>
      <w:lvlJc w:val="left"/>
      <w:pPr>
        <w:ind w:left="3600" w:hanging="360"/>
      </w:pPr>
      <w:rPr>
        <w:rFonts w:ascii="Courier New" w:hAnsi="Courier New" w:cs="Courier New" w:hint="default"/>
      </w:rPr>
    </w:lvl>
    <w:lvl w:ilvl="5" w:tplc="79AC1E70" w:tentative="1">
      <w:start w:val="1"/>
      <w:numFmt w:val="bullet"/>
      <w:lvlText w:val=""/>
      <w:lvlJc w:val="left"/>
      <w:pPr>
        <w:ind w:left="4320" w:hanging="360"/>
      </w:pPr>
      <w:rPr>
        <w:rFonts w:ascii="Wingdings" w:hAnsi="Wingdings" w:hint="default"/>
      </w:rPr>
    </w:lvl>
    <w:lvl w:ilvl="6" w:tplc="F788BC26" w:tentative="1">
      <w:start w:val="1"/>
      <w:numFmt w:val="bullet"/>
      <w:lvlText w:val=""/>
      <w:lvlJc w:val="left"/>
      <w:pPr>
        <w:ind w:left="5040" w:hanging="360"/>
      </w:pPr>
      <w:rPr>
        <w:rFonts w:ascii="Symbol" w:hAnsi="Symbol" w:hint="default"/>
      </w:rPr>
    </w:lvl>
    <w:lvl w:ilvl="7" w:tplc="7316A1EA" w:tentative="1">
      <w:start w:val="1"/>
      <w:numFmt w:val="bullet"/>
      <w:lvlText w:val="o"/>
      <w:lvlJc w:val="left"/>
      <w:pPr>
        <w:ind w:left="5760" w:hanging="360"/>
      </w:pPr>
      <w:rPr>
        <w:rFonts w:ascii="Courier New" w:hAnsi="Courier New" w:cs="Courier New" w:hint="default"/>
      </w:rPr>
    </w:lvl>
    <w:lvl w:ilvl="8" w:tplc="3676C23A" w:tentative="1">
      <w:start w:val="1"/>
      <w:numFmt w:val="bullet"/>
      <w:lvlText w:val=""/>
      <w:lvlJc w:val="left"/>
      <w:pPr>
        <w:ind w:left="6480" w:hanging="360"/>
      </w:pPr>
      <w:rPr>
        <w:rFonts w:ascii="Wingdings" w:hAnsi="Wingdings" w:hint="default"/>
      </w:rPr>
    </w:lvl>
  </w:abstractNum>
  <w:abstractNum w:abstractNumId="34">
    <w:nsid w:val="607F2727"/>
    <w:multiLevelType w:val="hybridMultilevel"/>
    <w:tmpl w:val="7B8AF902"/>
    <w:lvl w:ilvl="0" w:tplc="33D625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A19D3"/>
    <w:multiLevelType w:val="hybridMultilevel"/>
    <w:tmpl w:val="28D6FA42"/>
    <w:lvl w:ilvl="0" w:tplc="25905D88">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7ED4DFF"/>
    <w:multiLevelType w:val="multilevel"/>
    <w:tmpl w:val="9D6E25D8"/>
    <w:lvl w:ilvl="0">
      <w:start w:val="3"/>
      <w:numFmt w:val="none"/>
      <w:suff w:val="nothing"/>
      <w:lvlText w:val=""/>
      <w:lvlJc w:val="center"/>
      <w:pPr>
        <w:ind w:left="0" w:firstLine="0"/>
      </w:pPr>
      <w:rPr>
        <w:rFonts w:hint="default"/>
        <w:color w:val="FFFFFF"/>
      </w:rPr>
    </w:lvl>
    <w:lvl w:ilvl="1">
      <w:start w:val="1"/>
      <w:numFmt w:val="decimal"/>
      <w:lvlText w:val="%2."/>
      <w:lvlJc w:val="left"/>
      <w:pPr>
        <w:tabs>
          <w:tab w:val="num" w:pos="567"/>
        </w:tabs>
        <w:ind w:left="0" w:firstLine="0"/>
      </w:pPr>
      <w:rPr>
        <w:rFonts w:hint="default"/>
        <w:b w:val="0"/>
        <w:i w:val="0"/>
        <w:sz w:val="24"/>
        <w:szCs w:val="24"/>
      </w:rPr>
    </w:lvl>
    <w:lvl w:ilvl="2">
      <w:start w:val="1"/>
      <w:numFmt w:val="decimal"/>
      <w:lvlText w:val="%3."/>
      <w:lvlJc w:val="left"/>
      <w:pPr>
        <w:tabs>
          <w:tab w:val="num" w:pos="709"/>
        </w:tabs>
        <w:ind w:left="0" w:firstLine="0"/>
      </w:pPr>
      <w:rPr>
        <w:rFonts w:ascii="Times New Roman" w:eastAsia="Times New Roman" w:hAnsi="Times New Roman" w:cs="Times New Roman" w:hint="default"/>
      </w:rPr>
    </w:lvl>
    <w:lvl w:ilvl="3">
      <w:start w:val="1"/>
      <w:numFmt w:val="none"/>
      <w:lvlRestart w:val="1"/>
      <w:suff w:val="space"/>
      <w:lvlText w:val=""/>
      <w:lvlJc w:val="left"/>
      <w:pPr>
        <w:ind w:left="0" w:firstLine="0"/>
      </w:pPr>
      <w:rPr>
        <w:rFonts w:hint="default"/>
      </w:rPr>
    </w:lvl>
    <w:lvl w:ilvl="4">
      <w:start w:val="28"/>
      <w:numFmt w:val="decimal"/>
      <w:lvlRestart w:val="1"/>
      <w:pStyle w:val="Number"/>
      <w:lvlText w:val="%5%1."/>
      <w:lvlJc w:val="left"/>
      <w:pPr>
        <w:tabs>
          <w:tab w:val="num" w:pos="799"/>
        </w:tabs>
        <w:ind w:left="9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6%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7">
    <w:nsid w:val="698B3E8F"/>
    <w:multiLevelType w:val="hybridMultilevel"/>
    <w:tmpl w:val="227AE3C0"/>
    <w:lvl w:ilvl="0" w:tplc="51661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D4BF3"/>
    <w:multiLevelType w:val="hybridMultilevel"/>
    <w:tmpl w:val="D9C297F8"/>
    <w:lvl w:ilvl="0" w:tplc="3D6E3872">
      <w:start w:val="1"/>
      <w:numFmt w:val="bullet"/>
      <w:lvlText w:val=""/>
      <w:lvlJc w:val="left"/>
      <w:pPr>
        <w:ind w:left="360" w:hanging="360"/>
      </w:pPr>
      <w:rPr>
        <w:rFonts w:ascii="Symbol" w:hAnsi="Symbol" w:hint="default"/>
      </w:rPr>
    </w:lvl>
    <w:lvl w:ilvl="1" w:tplc="BBB6AE12">
      <w:start w:val="2"/>
      <w:numFmt w:val="bullet"/>
      <w:lvlText w:val="•"/>
      <w:lvlJc w:val="left"/>
      <w:pPr>
        <w:ind w:left="1485" w:hanging="765"/>
      </w:pPr>
      <w:rPr>
        <w:rFonts w:ascii="Times New Roman" w:eastAsiaTheme="minorEastAsia" w:hAnsi="Times New Roman" w:cs="Times New Roman" w:hint="default"/>
        <w:sz w:val="22"/>
      </w:rPr>
    </w:lvl>
    <w:lvl w:ilvl="2" w:tplc="8DFC8A30" w:tentative="1">
      <w:start w:val="1"/>
      <w:numFmt w:val="lowerRoman"/>
      <w:lvlText w:val="%3."/>
      <w:lvlJc w:val="right"/>
      <w:pPr>
        <w:ind w:left="1800" w:hanging="180"/>
      </w:pPr>
    </w:lvl>
    <w:lvl w:ilvl="3" w:tplc="EA102726" w:tentative="1">
      <w:start w:val="1"/>
      <w:numFmt w:val="decimal"/>
      <w:lvlText w:val="%4."/>
      <w:lvlJc w:val="left"/>
      <w:pPr>
        <w:ind w:left="2520" w:hanging="360"/>
      </w:pPr>
    </w:lvl>
    <w:lvl w:ilvl="4" w:tplc="67906EEE" w:tentative="1">
      <w:start w:val="1"/>
      <w:numFmt w:val="lowerLetter"/>
      <w:lvlText w:val="%5."/>
      <w:lvlJc w:val="left"/>
      <w:pPr>
        <w:ind w:left="3240" w:hanging="360"/>
      </w:pPr>
    </w:lvl>
    <w:lvl w:ilvl="5" w:tplc="F7D43972" w:tentative="1">
      <w:start w:val="1"/>
      <w:numFmt w:val="lowerRoman"/>
      <w:lvlText w:val="%6."/>
      <w:lvlJc w:val="right"/>
      <w:pPr>
        <w:ind w:left="3960" w:hanging="180"/>
      </w:pPr>
    </w:lvl>
    <w:lvl w:ilvl="6" w:tplc="5678C202" w:tentative="1">
      <w:start w:val="1"/>
      <w:numFmt w:val="decimal"/>
      <w:lvlText w:val="%7."/>
      <w:lvlJc w:val="left"/>
      <w:pPr>
        <w:ind w:left="4680" w:hanging="360"/>
      </w:pPr>
    </w:lvl>
    <w:lvl w:ilvl="7" w:tplc="3EDAC0BC" w:tentative="1">
      <w:start w:val="1"/>
      <w:numFmt w:val="lowerLetter"/>
      <w:lvlText w:val="%8."/>
      <w:lvlJc w:val="left"/>
      <w:pPr>
        <w:ind w:left="5400" w:hanging="360"/>
      </w:pPr>
    </w:lvl>
    <w:lvl w:ilvl="8" w:tplc="92BEF3E6" w:tentative="1">
      <w:start w:val="1"/>
      <w:numFmt w:val="lowerRoman"/>
      <w:lvlText w:val="%9."/>
      <w:lvlJc w:val="right"/>
      <w:pPr>
        <w:ind w:left="6120" w:hanging="180"/>
      </w:pPr>
    </w:lvl>
  </w:abstractNum>
  <w:abstractNum w:abstractNumId="39">
    <w:nsid w:val="6EB90C58"/>
    <w:multiLevelType w:val="hybridMultilevel"/>
    <w:tmpl w:val="6F069DDA"/>
    <w:lvl w:ilvl="0" w:tplc="5684565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F5917"/>
    <w:multiLevelType w:val="hybridMultilevel"/>
    <w:tmpl w:val="1BB44B82"/>
    <w:lvl w:ilvl="0" w:tplc="04090001">
      <w:start w:val="1"/>
      <w:numFmt w:val="upperLetter"/>
      <w:lvlText w:val="%1."/>
      <w:lvlJc w:val="left"/>
      <w:pPr>
        <w:ind w:left="720" w:hanging="360"/>
      </w:pPr>
      <w:rPr>
        <w:rFonts w:hint="default"/>
      </w:rPr>
    </w:lvl>
    <w:lvl w:ilvl="1" w:tplc="2578B4C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9133ED"/>
    <w:multiLevelType w:val="hybridMultilevel"/>
    <w:tmpl w:val="81586F0A"/>
    <w:lvl w:ilvl="0" w:tplc="04090015">
      <w:start w:val="1"/>
      <w:numFmt w:val="decimal"/>
      <w:lvlText w:val="%1."/>
      <w:lvlJc w:val="left"/>
      <w:pPr>
        <w:tabs>
          <w:tab w:val="num" w:pos="720"/>
        </w:tabs>
        <w:ind w:left="0" w:firstLine="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43">
    <w:nsid w:val="752C7503"/>
    <w:multiLevelType w:val="multilevel"/>
    <w:tmpl w:val="0409001D"/>
    <w:styleLink w:val="Estilo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5D4114E"/>
    <w:multiLevelType w:val="hybridMultilevel"/>
    <w:tmpl w:val="325E8EE8"/>
    <w:lvl w:ilvl="0" w:tplc="86CA5F7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41E48"/>
    <w:multiLevelType w:val="hybridMultilevel"/>
    <w:tmpl w:val="B7E4537C"/>
    <w:lvl w:ilvl="0" w:tplc="6A4C6AB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725DB"/>
    <w:multiLevelType w:val="hybridMultilevel"/>
    <w:tmpl w:val="F8FC92DE"/>
    <w:lvl w:ilvl="0" w:tplc="BF62B0CE">
      <w:start w:val="1"/>
      <w:numFmt w:val="decimal"/>
      <w:lvlText w:val="%1."/>
      <w:lvlJc w:val="left"/>
      <w:pPr>
        <w:ind w:left="720" w:hanging="360"/>
      </w:pPr>
    </w:lvl>
    <w:lvl w:ilvl="1" w:tplc="6A3CFE80" w:tentative="1">
      <w:start w:val="1"/>
      <w:numFmt w:val="lowerLetter"/>
      <w:lvlText w:val="%2."/>
      <w:lvlJc w:val="left"/>
      <w:pPr>
        <w:ind w:left="1440" w:hanging="360"/>
      </w:pPr>
    </w:lvl>
    <w:lvl w:ilvl="2" w:tplc="3878D62C" w:tentative="1">
      <w:start w:val="1"/>
      <w:numFmt w:val="lowerRoman"/>
      <w:lvlText w:val="%3."/>
      <w:lvlJc w:val="right"/>
      <w:pPr>
        <w:ind w:left="2160" w:hanging="180"/>
      </w:pPr>
    </w:lvl>
    <w:lvl w:ilvl="3" w:tplc="F8E630D0" w:tentative="1">
      <w:start w:val="1"/>
      <w:numFmt w:val="decimal"/>
      <w:lvlText w:val="%4."/>
      <w:lvlJc w:val="left"/>
      <w:pPr>
        <w:ind w:left="2880" w:hanging="360"/>
      </w:pPr>
    </w:lvl>
    <w:lvl w:ilvl="4" w:tplc="2B0CBC5C" w:tentative="1">
      <w:start w:val="1"/>
      <w:numFmt w:val="lowerLetter"/>
      <w:lvlText w:val="%5."/>
      <w:lvlJc w:val="left"/>
      <w:pPr>
        <w:ind w:left="3600" w:hanging="360"/>
      </w:pPr>
    </w:lvl>
    <w:lvl w:ilvl="5" w:tplc="9034A4AE" w:tentative="1">
      <w:start w:val="1"/>
      <w:numFmt w:val="lowerRoman"/>
      <w:lvlText w:val="%6."/>
      <w:lvlJc w:val="right"/>
      <w:pPr>
        <w:ind w:left="4320" w:hanging="180"/>
      </w:pPr>
    </w:lvl>
    <w:lvl w:ilvl="6" w:tplc="3D9E561C" w:tentative="1">
      <w:start w:val="1"/>
      <w:numFmt w:val="decimal"/>
      <w:lvlText w:val="%7."/>
      <w:lvlJc w:val="left"/>
      <w:pPr>
        <w:ind w:left="5040" w:hanging="360"/>
      </w:pPr>
    </w:lvl>
    <w:lvl w:ilvl="7" w:tplc="FBA0D184" w:tentative="1">
      <w:start w:val="1"/>
      <w:numFmt w:val="lowerLetter"/>
      <w:lvlText w:val="%8."/>
      <w:lvlJc w:val="left"/>
      <w:pPr>
        <w:ind w:left="5760" w:hanging="360"/>
      </w:pPr>
    </w:lvl>
    <w:lvl w:ilvl="8" w:tplc="749AAC0A" w:tentative="1">
      <w:start w:val="1"/>
      <w:numFmt w:val="lowerRoman"/>
      <w:lvlText w:val="%9."/>
      <w:lvlJc w:val="right"/>
      <w:pPr>
        <w:ind w:left="6480" w:hanging="180"/>
      </w:pPr>
    </w:lvl>
  </w:abstractNum>
  <w:abstractNum w:abstractNumId="47">
    <w:nsid w:val="7F29123D"/>
    <w:multiLevelType w:val="hybridMultilevel"/>
    <w:tmpl w:val="04F2209E"/>
    <w:lvl w:ilvl="0" w:tplc="4C0A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E30505"/>
    <w:multiLevelType w:val="hybridMultilevel"/>
    <w:tmpl w:val="25E07446"/>
    <w:lvl w:ilvl="0" w:tplc="C5FE49DC">
      <w:start w:val="1"/>
      <w:numFmt w:val="bullet"/>
      <w:pStyle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2"/>
  </w:num>
  <w:num w:numId="3">
    <w:abstractNumId w:val="16"/>
  </w:num>
  <w:num w:numId="4">
    <w:abstractNumId w:val="16"/>
  </w:num>
  <w:num w:numId="5">
    <w:abstractNumId w:val="42"/>
  </w:num>
  <w:num w:numId="6">
    <w:abstractNumId w:val="16"/>
  </w:num>
  <w:num w:numId="7">
    <w:abstractNumId w:val="42"/>
  </w:num>
  <w:num w:numId="8">
    <w:abstractNumId w:val="16"/>
  </w:num>
  <w:num w:numId="9">
    <w:abstractNumId w:val="42"/>
  </w:num>
  <w:num w:numId="10">
    <w:abstractNumId w:val="16"/>
  </w:num>
  <w:num w:numId="11">
    <w:abstractNumId w:val="42"/>
  </w:num>
  <w:num w:numId="12">
    <w:abstractNumId w:val="48"/>
  </w:num>
  <w:num w:numId="13">
    <w:abstractNumId w:val="1"/>
  </w:num>
  <w:num w:numId="14">
    <w:abstractNumId w:val="0"/>
  </w:num>
  <w:num w:numId="15">
    <w:abstractNumId w:val="32"/>
  </w:num>
  <w:num w:numId="16">
    <w:abstractNumId w:val="35"/>
  </w:num>
  <w:num w:numId="17">
    <w:abstractNumId w:val="38"/>
  </w:num>
  <w:num w:numId="18">
    <w:abstractNumId w:val="21"/>
  </w:num>
  <w:num w:numId="19">
    <w:abstractNumId w:val="3"/>
  </w:num>
  <w:num w:numId="20">
    <w:abstractNumId w:val="36"/>
  </w:num>
  <w:num w:numId="21">
    <w:abstractNumId w:val="4"/>
  </w:num>
  <w:num w:numId="22">
    <w:abstractNumId w:val="47"/>
  </w:num>
  <w:num w:numId="23">
    <w:abstractNumId w:val="20"/>
  </w:num>
  <w:num w:numId="24">
    <w:abstractNumId w:val="31"/>
  </w:num>
  <w:num w:numId="25">
    <w:abstractNumId w:val="22"/>
  </w:num>
  <w:num w:numId="26">
    <w:abstractNumId w:val="18"/>
  </w:num>
  <w:num w:numId="27">
    <w:abstractNumId w:val="23"/>
  </w:num>
  <w:num w:numId="28">
    <w:abstractNumId w:val="17"/>
  </w:num>
  <w:num w:numId="29">
    <w:abstractNumId w:val="41"/>
  </w:num>
  <w:num w:numId="30">
    <w:abstractNumId w:val="40"/>
  </w:num>
  <w:num w:numId="31">
    <w:abstractNumId w:val="19"/>
  </w:num>
  <w:num w:numId="32">
    <w:abstractNumId w:val="7"/>
  </w:num>
  <w:num w:numId="33">
    <w:abstractNumId w:val="9"/>
  </w:num>
  <w:num w:numId="34">
    <w:abstractNumId w:val="5"/>
  </w:num>
  <w:num w:numId="35">
    <w:abstractNumId w:val="10"/>
  </w:num>
  <w:num w:numId="36">
    <w:abstractNumId w:val="2"/>
  </w:num>
  <w:num w:numId="37">
    <w:abstractNumId w:val="30"/>
  </w:num>
  <w:num w:numId="38">
    <w:abstractNumId w:val="33"/>
  </w:num>
  <w:num w:numId="39">
    <w:abstractNumId w:val="27"/>
  </w:num>
  <w:num w:numId="40">
    <w:abstractNumId w:val="8"/>
  </w:num>
  <w:num w:numId="41">
    <w:abstractNumId w:val="25"/>
  </w:num>
  <w:num w:numId="42">
    <w:abstractNumId w:val="11"/>
  </w:num>
  <w:num w:numId="43">
    <w:abstractNumId w:val="46"/>
  </w:num>
  <w:num w:numId="44">
    <w:abstractNumId w:val="28"/>
  </w:num>
  <w:num w:numId="45">
    <w:abstractNumId w:val="6"/>
  </w:num>
  <w:num w:numId="46">
    <w:abstractNumId w:val="43"/>
  </w:num>
  <w:num w:numId="47">
    <w:abstractNumId w:val="15"/>
  </w:num>
  <w:num w:numId="48">
    <w:abstractNumId w:val="12"/>
  </w:num>
  <w:num w:numId="49">
    <w:abstractNumId w:val="37"/>
  </w:num>
  <w:num w:numId="50">
    <w:abstractNumId w:val="14"/>
  </w:num>
  <w:num w:numId="51">
    <w:abstractNumId w:val="39"/>
  </w:num>
  <w:num w:numId="52">
    <w:abstractNumId w:val="29"/>
  </w:num>
  <w:num w:numId="53">
    <w:abstractNumId w:val="26"/>
  </w:num>
  <w:num w:numId="54">
    <w:abstractNumId w:val="24"/>
  </w:num>
  <w:num w:numId="55">
    <w:abstractNumId w:val="44"/>
  </w:num>
  <w:num w:numId="56">
    <w:abstractNumId w:val="45"/>
  </w:num>
  <w:num w:numId="57">
    <w:abstractNumId w:val="13"/>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E0"/>
    <w:rsid w:val="000009C4"/>
    <w:rsid w:val="00001B50"/>
    <w:rsid w:val="000023E0"/>
    <w:rsid w:val="0000242E"/>
    <w:rsid w:val="000026EA"/>
    <w:rsid w:val="00002BAB"/>
    <w:rsid w:val="00002FCF"/>
    <w:rsid w:val="00002FF6"/>
    <w:rsid w:val="000042EE"/>
    <w:rsid w:val="00004CC0"/>
    <w:rsid w:val="00004FBC"/>
    <w:rsid w:val="00005120"/>
    <w:rsid w:val="000053FF"/>
    <w:rsid w:val="0000553E"/>
    <w:rsid w:val="00006916"/>
    <w:rsid w:val="00006AAD"/>
    <w:rsid w:val="000070F4"/>
    <w:rsid w:val="000073BA"/>
    <w:rsid w:val="000078A6"/>
    <w:rsid w:val="00007BD9"/>
    <w:rsid w:val="0001112B"/>
    <w:rsid w:val="00011730"/>
    <w:rsid w:val="00011B7F"/>
    <w:rsid w:val="00011DAB"/>
    <w:rsid w:val="0001265C"/>
    <w:rsid w:val="00012E95"/>
    <w:rsid w:val="00012FD4"/>
    <w:rsid w:val="00013925"/>
    <w:rsid w:val="00013A1D"/>
    <w:rsid w:val="00013D54"/>
    <w:rsid w:val="000146F6"/>
    <w:rsid w:val="0001589A"/>
    <w:rsid w:val="000161B0"/>
    <w:rsid w:val="00020AB5"/>
    <w:rsid w:val="00020DA8"/>
    <w:rsid w:val="00020DB6"/>
    <w:rsid w:val="00020E27"/>
    <w:rsid w:val="00020F20"/>
    <w:rsid w:val="00020F9B"/>
    <w:rsid w:val="0002158A"/>
    <w:rsid w:val="0002173A"/>
    <w:rsid w:val="000219E9"/>
    <w:rsid w:val="00021A8B"/>
    <w:rsid w:val="00021D78"/>
    <w:rsid w:val="000222B4"/>
    <w:rsid w:val="000226EF"/>
    <w:rsid w:val="00022D92"/>
    <w:rsid w:val="000239FE"/>
    <w:rsid w:val="00024C8F"/>
    <w:rsid w:val="00025430"/>
    <w:rsid w:val="00025BE4"/>
    <w:rsid w:val="000263B6"/>
    <w:rsid w:val="0002690A"/>
    <w:rsid w:val="00026ED4"/>
    <w:rsid w:val="000272EC"/>
    <w:rsid w:val="00030E7B"/>
    <w:rsid w:val="00031178"/>
    <w:rsid w:val="000322D3"/>
    <w:rsid w:val="0003311C"/>
    <w:rsid w:val="00034060"/>
    <w:rsid w:val="00034731"/>
    <w:rsid w:val="000360AB"/>
    <w:rsid w:val="000363B5"/>
    <w:rsid w:val="0003675E"/>
    <w:rsid w:val="00036B8F"/>
    <w:rsid w:val="00037EF7"/>
    <w:rsid w:val="0004065D"/>
    <w:rsid w:val="00040981"/>
    <w:rsid w:val="00040C5A"/>
    <w:rsid w:val="00041B6E"/>
    <w:rsid w:val="00041C59"/>
    <w:rsid w:val="00042348"/>
    <w:rsid w:val="000424DF"/>
    <w:rsid w:val="000429D2"/>
    <w:rsid w:val="00042CF7"/>
    <w:rsid w:val="00042E44"/>
    <w:rsid w:val="00043607"/>
    <w:rsid w:val="00043A41"/>
    <w:rsid w:val="00043B8C"/>
    <w:rsid w:val="00044873"/>
    <w:rsid w:val="0004654B"/>
    <w:rsid w:val="000467F0"/>
    <w:rsid w:val="00047502"/>
    <w:rsid w:val="00047563"/>
    <w:rsid w:val="000475EF"/>
    <w:rsid w:val="00050078"/>
    <w:rsid w:val="00052324"/>
    <w:rsid w:val="0005275E"/>
    <w:rsid w:val="000530C7"/>
    <w:rsid w:val="0005336A"/>
    <w:rsid w:val="000539E4"/>
    <w:rsid w:val="00053A09"/>
    <w:rsid w:val="00053B54"/>
    <w:rsid w:val="0005471B"/>
    <w:rsid w:val="000547C2"/>
    <w:rsid w:val="00055613"/>
    <w:rsid w:val="0005603B"/>
    <w:rsid w:val="00056E02"/>
    <w:rsid w:val="0005779F"/>
    <w:rsid w:val="0005786E"/>
    <w:rsid w:val="00061924"/>
    <w:rsid w:val="00062185"/>
    <w:rsid w:val="00062875"/>
    <w:rsid w:val="000628DF"/>
    <w:rsid w:val="000639B1"/>
    <w:rsid w:val="0006457E"/>
    <w:rsid w:val="000652C2"/>
    <w:rsid w:val="000660F4"/>
    <w:rsid w:val="00066144"/>
    <w:rsid w:val="000663DC"/>
    <w:rsid w:val="00067F6A"/>
    <w:rsid w:val="00070608"/>
    <w:rsid w:val="00071415"/>
    <w:rsid w:val="00071E71"/>
    <w:rsid w:val="0007217F"/>
    <w:rsid w:val="0007288C"/>
    <w:rsid w:val="00074A91"/>
    <w:rsid w:val="000756F2"/>
    <w:rsid w:val="0007634D"/>
    <w:rsid w:val="000767E5"/>
    <w:rsid w:val="000773C6"/>
    <w:rsid w:val="00077B4F"/>
    <w:rsid w:val="00077BF9"/>
    <w:rsid w:val="00077C25"/>
    <w:rsid w:val="00077D1D"/>
    <w:rsid w:val="000801FF"/>
    <w:rsid w:val="00081286"/>
    <w:rsid w:val="00081F06"/>
    <w:rsid w:val="00082D3F"/>
    <w:rsid w:val="000837F2"/>
    <w:rsid w:val="00083B88"/>
    <w:rsid w:val="000844C3"/>
    <w:rsid w:val="00085452"/>
    <w:rsid w:val="00086479"/>
    <w:rsid w:val="00086654"/>
    <w:rsid w:val="00086D3C"/>
    <w:rsid w:val="00087E75"/>
    <w:rsid w:val="00090578"/>
    <w:rsid w:val="00091CFA"/>
    <w:rsid w:val="00091F09"/>
    <w:rsid w:val="0009263A"/>
    <w:rsid w:val="00094203"/>
    <w:rsid w:val="00094FC1"/>
    <w:rsid w:val="00095472"/>
    <w:rsid w:val="00095779"/>
    <w:rsid w:val="00095CBD"/>
    <w:rsid w:val="000965A8"/>
    <w:rsid w:val="0009719E"/>
    <w:rsid w:val="0009747C"/>
    <w:rsid w:val="000A01EF"/>
    <w:rsid w:val="000A09B1"/>
    <w:rsid w:val="000A09C6"/>
    <w:rsid w:val="000A0F2C"/>
    <w:rsid w:val="000A12AA"/>
    <w:rsid w:val="000A2763"/>
    <w:rsid w:val="000A3128"/>
    <w:rsid w:val="000A3B4B"/>
    <w:rsid w:val="000A3E20"/>
    <w:rsid w:val="000A403A"/>
    <w:rsid w:val="000A498B"/>
    <w:rsid w:val="000A532B"/>
    <w:rsid w:val="000A5804"/>
    <w:rsid w:val="000A5B2A"/>
    <w:rsid w:val="000A6AE2"/>
    <w:rsid w:val="000A71E2"/>
    <w:rsid w:val="000B0FF9"/>
    <w:rsid w:val="000B201A"/>
    <w:rsid w:val="000B284D"/>
    <w:rsid w:val="000B2AF2"/>
    <w:rsid w:val="000B3261"/>
    <w:rsid w:val="000B3F50"/>
    <w:rsid w:val="000B421A"/>
    <w:rsid w:val="000B52CF"/>
    <w:rsid w:val="000B590E"/>
    <w:rsid w:val="000B5F4C"/>
    <w:rsid w:val="000B6019"/>
    <w:rsid w:val="000B67DE"/>
    <w:rsid w:val="000B6B55"/>
    <w:rsid w:val="000B7159"/>
    <w:rsid w:val="000B7947"/>
    <w:rsid w:val="000B7FCB"/>
    <w:rsid w:val="000C1333"/>
    <w:rsid w:val="000C216E"/>
    <w:rsid w:val="000C5042"/>
    <w:rsid w:val="000C5922"/>
    <w:rsid w:val="000C6270"/>
    <w:rsid w:val="000C7331"/>
    <w:rsid w:val="000C79BE"/>
    <w:rsid w:val="000D0E49"/>
    <w:rsid w:val="000D16AD"/>
    <w:rsid w:val="000D235D"/>
    <w:rsid w:val="000D23DD"/>
    <w:rsid w:val="000D274F"/>
    <w:rsid w:val="000D2B3D"/>
    <w:rsid w:val="000D43CC"/>
    <w:rsid w:val="000D4617"/>
    <w:rsid w:val="000D5060"/>
    <w:rsid w:val="000D5591"/>
    <w:rsid w:val="000D587C"/>
    <w:rsid w:val="000D66EB"/>
    <w:rsid w:val="000D6EAB"/>
    <w:rsid w:val="000E05BD"/>
    <w:rsid w:val="000E08FA"/>
    <w:rsid w:val="000E0EFD"/>
    <w:rsid w:val="000E1189"/>
    <w:rsid w:val="000E1E1C"/>
    <w:rsid w:val="000E1E4A"/>
    <w:rsid w:val="000E20C5"/>
    <w:rsid w:val="000E30C4"/>
    <w:rsid w:val="000E31D7"/>
    <w:rsid w:val="000E401E"/>
    <w:rsid w:val="000E4702"/>
    <w:rsid w:val="000E5A95"/>
    <w:rsid w:val="000E6718"/>
    <w:rsid w:val="000E6883"/>
    <w:rsid w:val="000E7114"/>
    <w:rsid w:val="000F0168"/>
    <w:rsid w:val="000F0F76"/>
    <w:rsid w:val="000F113D"/>
    <w:rsid w:val="000F125C"/>
    <w:rsid w:val="000F1E0F"/>
    <w:rsid w:val="000F2192"/>
    <w:rsid w:val="000F3121"/>
    <w:rsid w:val="000F3993"/>
    <w:rsid w:val="000F3F35"/>
    <w:rsid w:val="000F5117"/>
    <w:rsid w:val="000F67CD"/>
    <w:rsid w:val="000F7A73"/>
    <w:rsid w:val="000F7FBC"/>
    <w:rsid w:val="001003E8"/>
    <w:rsid w:val="00100C9F"/>
    <w:rsid w:val="00101559"/>
    <w:rsid w:val="001017C1"/>
    <w:rsid w:val="001041CD"/>
    <w:rsid w:val="001048CF"/>
    <w:rsid w:val="001048E3"/>
    <w:rsid w:val="00104949"/>
    <w:rsid w:val="00104A0F"/>
    <w:rsid w:val="00104DD4"/>
    <w:rsid w:val="0010598D"/>
    <w:rsid w:val="001072B6"/>
    <w:rsid w:val="00107EB4"/>
    <w:rsid w:val="00111EF0"/>
    <w:rsid w:val="001122E7"/>
    <w:rsid w:val="00114261"/>
    <w:rsid w:val="00114E4A"/>
    <w:rsid w:val="00114F32"/>
    <w:rsid w:val="00115338"/>
    <w:rsid w:val="001155F0"/>
    <w:rsid w:val="00115A76"/>
    <w:rsid w:val="00116FBA"/>
    <w:rsid w:val="00117599"/>
    <w:rsid w:val="00117C2B"/>
    <w:rsid w:val="00120202"/>
    <w:rsid w:val="001208D9"/>
    <w:rsid w:val="001209FA"/>
    <w:rsid w:val="001211AA"/>
    <w:rsid w:val="001212E9"/>
    <w:rsid w:val="00121797"/>
    <w:rsid w:val="00122AD5"/>
    <w:rsid w:val="00123895"/>
    <w:rsid w:val="001238F4"/>
    <w:rsid w:val="00124023"/>
    <w:rsid w:val="001271E9"/>
    <w:rsid w:val="0012738B"/>
    <w:rsid w:val="00127A7B"/>
    <w:rsid w:val="00131BA8"/>
    <w:rsid w:val="001326A2"/>
    <w:rsid w:val="001351F1"/>
    <w:rsid w:val="00135465"/>
    <w:rsid w:val="001358D8"/>
    <w:rsid w:val="00135A18"/>
    <w:rsid w:val="00135DC4"/>
    <w:rsid w:val="00137015"/>
    <w:rsid w:val="001378AB"/>
    <w:rsid w:val="00137F98"/>
    <w:rsid w:val="00137FA1"/>
    <w:rsid w:val="001402B1"/>
    <w:rsid w:val="0014091A"/>
    <w:rsid w:val="00140EE0"/>
    <w:rsid w:val="00141DDF"/>
    <w:rsid w:val="00141E9D"/>
    <w:rsid w:val="001429D2"/>
    <w:rsid w:val="00142BBE"/>
    <w:rsid w:val="00143332"/>
    <w:rsid w:val="00143923"/>
    <w:rsid w:val="00145601"/>
    <w:rsid w:val="001465C5"/>
    <w:rsid w:val="00146E18"/>
    <w:rsid w:val="001511FD"/>
    <w:rsid w:val="0015148D"/>
    <w:rsid w:val="0015155E"/>
    <w:rsid w:val="00151A84"/>
    <w:rsid w:val="00151F7D"/>
    <w:rsid w:val="00151FCF"/>
    <w:rsid w:val="00152E13"/>
    <w:rsid w:val="00153C6C"/>
    <w:rsid w:val="00154C78"/>
    <w:rsid w:val="00154E56"/>
    <w:rsid w:val="00156361"/>
    <w:rsid w:val="00156785"/>
    <w:rsid w:val="00157134"/>
    <w:rsid w:val="001573EB"/>
    <w:rsid w:val="001575CB"/>
    <w:rsid w:val="0015793E"/>
    <w:rsid w:val="0015795E"/>
    <w:rsid w:val="00157D11"/>
    <w:rsid w:val="00160FCD"/>
    <w:rsid w:val="00161272"/>
    <w:rsid w:val="00161806"/>
    <w:rsid w:val="00161DCB"/>
    <w:rsid w:val="00161EAB"/>
    <w:rsid w:val="001624CA"/>
    <w:rsid w:val="00162AE0"/>
    <w:rsid w:val="00163997"/>
    <w:rsid w:val="00163D29"/>
    <w:rsid w:val="00164A90"/>
    <w:rsid w:val="00164C2C"/>
    <w:rsid w:val="00165096"/>
    <w:rsid w:val="001669B5"/>
    <w:rsid w:val="00166E1E"/>
    <w:rsid w:val="00166F8C"/>
    <w:rsid w:val="001671F2"/>
    <w:rsid w:val="00167C1B"/>
    <w:rsid w:val="00170934"/>
    <w:rsid w:val="00171F66"/>
    <w:rsid w:val="001726F3"/>
    <w:rsid w:val="00173238"/>
    <w:rsid w:val="00173814"/>
    <w:rsid w:val="00173A37"/>
    <w:rsid w:val="00173CEE"/>
    <w:rsid w:val="00173E08"/>
    <w:rsid w:val="00174EAE"/>
    <w:rsid w:val="001769A4"/>
    <w:rsid w:val="00176C1E"/>
    <w:rsid w:val="00176F4A"/>
    <w:rsid w:val="00177B9B"/>
    <w:rsid w:val="001801C0"/>
    <w:rsid w:val="00180E73"/>
    <w:rsid w:val="00180FD3"/>
    <w:rsid w:val="0018125D"/>
    <w:rsid w:val="001816B4"/>
    <w:rsid w:val="00181C14"/>
    <w:rsid w:val="00181F7B"/>
    <w:rsid w:val="00182537"/>
    <w:rsid w:val="001827FA"/>
    <w:rsid w:val="00184A46"/>
    <w:rsid w:val="00185D49"/>
    <w:rsid w:val="001864BB"/>
    <w:rsid w:val="00186EEC"/>
    <w:rsid w:val="00187BA5"/>
    <w:rsid w:val="00187BFE"/>
    <w:rsid w:val="00187C47"/>
    <w:rsid w:val="00190327"/>
    <w:rsid w:val="0019034A"/>
    <w:rsid w:val="001904A0"/>
    <w:rsid w:val="0019079F"/>
    <w:rsid w:val="0019094B"/>
    <w:rsid w:val="001927BC"/>
    <w:rsid w:val="00192D47"/>
    <w:rsid w:val="00193FC2"/>
    <w:rsid w:val="00193FE5"/>
    <w:rsid w:val="00194ADD"/>
    <w:rsid w:val="00194CC4"/>
    <w:rsid w:val="001959C9"/>
    <w:rsid w:val="00195DA2"/>
    <w:rsid w:val="00195F8E"/>
    <w:rsid w:val="0019633A"/>
    <w:rsid w:val="00196821"/>
    <w:rsid w:val="00196FBF"/>
    <w:rsid w:val="00197B26"/>
    <w:rsid w:val="00197F13"/>
    <w:rsid w:val="001A03DF"/>
    <w:rsid w:val="001A11BE"/>
    <w:rsid w:val="001A17FA"/>
    <w:rsid w:val="001A1C6C"/>
    <w:rsid w:val="001A224C"/>
    <w:rsid w:val="001A32E0"/>
    <w:rsid w:val="001A3D74"/>
    <w:rsid w:val="001A4ECD"/>
    <w:rsid w:val="001A547B"/>
    <w:rsid w:val="001A59B8"/>
    <w:rsid w:val="001A5DA8"/>
    <w:rsid w:val="001A5ED2"/>
    <w:rsid w:val="001A63F4"/>
    <w:rsid w:val="001A671C"/>
    <w:rsid w:val="001A7477"/>
    <w:rsid w:val="001B18CA"/>
    <w:rsid w:val="001B19BE"/>
    <w:rsid w:val="001B5317"/>
    <w:rsid w:val="001B574E"/>
    <w:rsid w:val="001B5832"/>
    <w:rsid w:val="001B59E6"/>
    <w:rsid w:val="001B5C21"/>
    <w:rsid w:val="001B5EB9"/>
    <w:rsid w:val="001B62E9"/>
    <w:rsid w:val="001B69EC"/>
    <w:rsid w:val="001B7208"/>
    <w:rsid w:val="001B78D8"/>
    <w:rsid w:val="001B7B5C"/>
    <w:rsid w:val="001C0BA8"/>
    <w:rsid w:val="001C0E93"/>
    <w:rsid w:val="001C1326"/>
    <w:rsid w:val="001C2068"/>
    <w:rsid w:val="001C220F"/>
    <w:rsid w:val="001C2628"/>
    <w:rsid w:val="001C395B"/>
    <w:rsid w:val="001C3D68"/>
    <w:rsid w:val="001C4367"/>
    <w:rsid w:val="001C46B9"/>
    <w:rsid w:val="001C5283"/>
    <w:rsid w:val="001C58A5"/>
    <w:rsid w:val="001C58C3"/>
    <w:rsid w:val="001C59C7"/>
    <w:rsid w:val="001C7178"/>
    <w:rsid w:val="001C74F5"/>
    <w:rsid w:val="001C770C"/>
    <w:rsid w:val="001D137F"/>
    <w:rsid w:val="001D236B"/>
    <w:rsid w:val="001D2655"/>
    <w:rsid w:val="001D2929"/>
    <w:rsid w:val="001D2A73"/>
    <w:rsid w:val="001D38F3"/>
    <w:rsid w:val="001D3BE3"/>
    <w:rsid w:val="001D3C44"/>
    <w:rsid w:val="001D44E2"/>
    <w:rsid w:val="001D47E9"/>
    <w:rsid w:val="001D4E8C"/>
    <w:rsid w:val="001D5111"/>
    <w:rsid w:val="001D51F8"/>
    <w:rsid w:val="001D5AAC"/>
    <w:rsid w:val="001D61F2"/>
    <w:rsid w:val="001D62E6"/>
    <w:rsid w:val="001D7152"/>
    <w:rsid w:val="001D796C"/>
    <w:rsid w:val="001D7ADE"/>
    <w:rsid w:val="001D7E25"/>
    <w:rsid w:val="001D7F23"/>
    <w:rsid w:val="001E0A6A"/>
    <w:rsid w:val="001E0FDF"/>
    <w:rsid w:val="001E1AC2"/>
    <w:rsid w:val="001E1C5A"/>
    <w:rsid w:val="001E2E47"/>
    <w:rsid w:val="001E3144"/>
    <w:rsid w:val="001E41C2"/>
    <w:rsid w:val="001E46F5"/>
    <w:rsid w:val="001E4715"/>
    <w:rsid w:val="001E4772"/>
    <w:rsid w:val="001E4C0B"/>
    <w:rsid w:val="001E4E61"/>
    <w:rsid w:val="001E5150"/>
    <w:rsid w:val="001E5453"/>
    <w:rsid w:val="001E5A38"/>
    <w:rsid w:val="001E5CA6"/>
    <w:rsid w:val="001E60CE"/>
    <w:rsid w:val="001E6507"/>
    <w:rsid w:val="001E6963"/>
    <w:rsid w:val="001E7288"/>
    <w:rsid w:val="001F0378"/>
    <w:rsid w:val="001F091E"/>
    <w:rsid w:val="001F1578"/>
    <w:rsid w:val="001F2732"/>
    <w:rsid w:val="001F478F"/>
    <w:rsid w:val="001F6166"/>
    <w:rsid w:val="001F66F2"/>
    <w:rsid w:val="001F69FE"/>
    <w:rsid w:val="001F6DCF"/>
    <w:rsid w:val="00200604"/>
    <w:rsid w:val="002016BC"/>
    <w:rsid w:val="00201A86"/>
    <w:rsid w:val="002042E1"/>
    <w:rsid w:val="00204616"/>
    <w:rsid w:val="00204E89"/>
    <w:rsid w:val="002058AD"/>
    <w:rsid w:val="00206172"/>
    <w:rsid w:val="00206363"/>
    <w:rsid w:val="00206CC8"/>
    <w:rsid w:val="00210257"/>
    <w:rsid w:val="002104EB"/>
    <w:rsid w:val="0021068C"/>
    <w:rsid w:val="002123E8"/>
    <w:rsid w:val="00212BCF"/>
    <w:rsid w:val="00213237"/>
    <w:rsid w:val="00213454"/>
    <w:rsid w:val="00213BA1"/>
    <w:rsid w:val="00215B76"/>
    <w:rsid w:val="00215CEB"/>
    <w:rsid w:val="00216E8B"/>
    <w:rsid w:val="00217A54"/>
    <w:rsid w:val="00220233"/>
    <w:rsid w:val="00221105"/>
    <w:rsid w:val="00223F9D"/>
    <w:rsid w:val="00224C37"/>
    <w:rsid w:val="0022513B"/>
    <w:rsid w:val="00225551"/>
    <w:rsid w:val="00226098"/>
    <w:rsid w:val="002260CE"/>
    <w:rsid w:val="002262D3"/>
    <w:rsid w:val="00227CA7"/>
    <w:rsid w:val="002302AF"/>
    <w:rsid w:val="002308F8"/>
    <w:rsid w:val="00230DC6"/>
    <w:rsid w:val="00231193"/>
    <w:rsid w:val="00231B44"/>
    <w:rsid w:val="00232B4C"/>
    <w:rsid w:val="00232BD8"/>
    <w:rsid w:val="002332CC"/>
    <w:rsid w:val="00233360"/>
    <w:rsid w:val="00234A3A"/>
    <w:rsid w:val="00234D97"/>
    <w:rsid w:val="002358FD"/>
    <w:rsid w:val="002359F5"/>
    <w:rsid w:val="00237729"/>
    <w:rsid w:val="0024183E"/>
    <w:rsid w:val="00242A7B"/>
    <w:rsid w:val="0024377A"/>
    <w:rsid w:val="00243E65"/>
    <w:rsid w:val="002440DB"/>
    <w:rsid w:val="002444AD"/>
    <w:rsid w:val="00244667"/>
    <w:rsid w:val="002460E7"/>
    <w:rsid w:val="00246399"/>
    <w:rsid w:val="002472BB"/>
    <w:rsid w:val="002474FF"/>
    <w:rsid w:val="00247859"/>
    <w:rsid w:val="00247A6A"/>
    <w:rsid w:val="0025114C"/>
    <w:rsid w:val="00251650"/>
    <w:rsid w:val="00251D5F"/>
    <w:rsid w:val="002528AB"/>
    <w:rsid w:val="00252A57"/>
    <w:rsid w:val="00253727"/>
    <w:rsid w:val="00254CD8"/>
    <w:rsid w:val="002550DE"/>
    <w:rsid w:val="002552D0"/>
    <w:rsid w:val="0025558C"/>
    <w:rsid w:val="00256403"/>
    <w:rsid w:val="002576BC"/>
    <w:rsid w:val="002577E0"/>
    <w:rsid w:val="002578B1"/>
    <w:rsid w:val="002607B8"/>
    <w:rsid w:val="0026089E"/>
    <w:rsid w:val="002615B7"/>
    <w:rsid w:val="00262204"/>
    <w:rsid w:val="00262B4F"/>
    <w:rsid w:val="00263CD4"/>
    <w:rsid w:val="002645AF"/>
    <w:rsid w:val="002648E3"/>
    <w:rsid w:val="00265178"/>
    <w:rsid w:val="00265EE9"/>
    <w:rsid w:val="0027012E"/>
    <w:rsid w:val="002701A1"/>
    <w:rsid w:val="002706B3"/>
    <w:rsid w:val="00270909"/>
    <w:rsid w:val="00270C81"/>
    <w:rsid w:val="00271238"/>
    <w:rsid w:val="00271446"/>
    <w:rsid w:val="00271533"/>
    <w:rsid w:val="00271891"/>
    <w:rsid w:val="0027275C"/>
    <w:rsid w:val="00273103"/>
    <w:rsid w:val="002736D5"/>
    <w:rsid w:val="00273CC7"/>
    <w:rsid w:val="0027541B"/>
    <w:rsid w:val="002771D7"/>
    <w:rsid w:val="002776C2"/>
    <w:rsid w:val="00280404"/>
    <w:rsid w:val="00280885"/>
    <w:rsid w:val="00280B26"/>
    <w:rsid w:val="00280E17"/>
    <w:rsid w:val="00282EBE"/>
    <w:rsid w:val="00283112"/>
    <w:rsid w:val="0028360A"/>
    <w:rsid w:val="00283662"/>
    <w:rsid w:val="00283B0D"/>
    <w:rsid w:val="00283CB3"/>
    <w:rsid w:val="00284629"/>
    <w:rsid w:val="0028637F"/>
    <w:rsid w:val="00286EC1"/>
    <w:rsid w:val="00287353"/>
    <w:rsid w:val="002901C5"/>
    <w:rsid w:val="002915FA"/>
    <w:rsid w:val="002918AF"/>
    <w:rsid w:val="00291B38"/>
    <w:rsid w:val="00291CB6"/>
    <w:rsid w:val="00291E2E"/>
    <w:rsid w:val="00291E4B"/>
    <w:rsid w:val="00292305"/>
    <w:rsid w:val="00292524"/>
    <w:rsid w:val="00293D7B"/>
    <w:rsid w:val="0029400A"/>
    <w:rsid w:val="002942F6"/>
    <w:rsid w:val="0029432B"/>
    <w:rsid w:val="00294A51"/>
    <w:rsid w:val="002957E5"/>
    <w:rsid w:val="002959E6"/>
    <w:rsid w:val="002965AD"/>
    <w:rsid w:val="0029660A"/>
    <w:rsid w:val="00296771"/>
    <w:rsid w:val="00296A07"/>
    <w:rsid w:val="002A0AF7"/>
    <w:rsid w:val="002A0CB7"/>
    <w:rsid w:val="002A0D30"/>
    <w:rsid w:val="002A1FEE"/>
    <w:rsid w:val="002A27A3"/>
    <w:rsid w:val="002A2E87"/>
    <w:rsid w:val="002A3189"/>
    <w:rsid w:val="002A42F0"/>
    <w:rsid w:val="002A5E0A"/>
    <w:rsid w:val="002A6759"/>
    <w:rsid w:val="002A6B5E"/>
    <w:rsid w:val="002A7167"/>
    <w:rsid w:val="002A792D"/>
    <w:rsid w:val="002A7FD5"/>
    <w:rsid w:val="002B0158"/>
    <w:rsid w:val="002B050F"/>
    <w:rsid w:val="002B083F"/>
    <w:rsid w:val="002B08DF"/>
    <w:rsid w:val="002B0E91"/>
    <w:rsid w:val="002B16B0"/>
    <w:rsid w:val="002B1771"/>
    <w:rsid w:val="002B1C2B"/>
    <w:rsid w:val="002B236F"/>
    <w:rsid w:val="002B311F"/>
    <w:rsid w:val="002B41E4"/>
    <w:rsid w:val="002B4322"/>
    <w:rsid w:val="002B50B5"/>
    <w:rsid w:val="002B5C90"/>
    <w:rsid w:val="002B6AE5"/>
    <w:rsid w:val="002B71DE"/>
    <w:rsid w:val="002B7B51"/>
    <w:rsid w:val="002C0434"/>
    <w:rsid w:val="002C0892"/>
    <w:rsid w:val="002C186B"/>
    <w:rsid w:val="002C204A"/>
    <w:rsid w:val="002C20E1"/>
    <w:rsid w:val="002C2656"/>
    <w:rsid w:val="002C2B82"/>
    <w:rsid w:val="002C2ED9"/>
    <w:rsid w:val="002C2FCF"/>
    <w:rsid w:val="002C3212"/>
    <w:rsid w:val="002C3F80"/>
    <w:rsid w:val="002C4857"/>
    <w:rsid w:val="002C497E"/>
    <w:rsid w:val="002C4C83"/>
    <w:rsid w:val="002C4E5E"/>
    <w:rsid w:val="002C4E65"/>
    <w:rsid w:val="002C5585"/>
    <w:rsid w:val="002C6351"/>
    <w:rsid w:val="002D0230"/>
    <w:rsid w:val="002D1470"/>
    <w:rsid w:val="002D1E51"/>
    <w:rsid w:val="002D20FC"/>
    <w:rsid w:val="002D2A6D"/>
    <w:rsid w:val="002D31AB"/>
    <w:rsid w:val="002D33B5"/>
    <w:rsid w:val="002D35F4"/>
    <w:rsid w:val="002D3C6A"/>
    <w:rsid w:val="002D5586"/>
    <w:rsid w:val="002D6828"/>
    <w:rsid w:val="002D7219"/>
    <w:rsid w:val="002E1CA1"/>
    <w:rsid w:val="002E3DE4"/>
    <w:rsid w:val="002E564C"/>
    <w:rsid w:val="002E5BA0"/>
    <w:rsid w:val="002E5F71"/>
    <w:rsid w:val="002E6046"/>
    <w:rsid w:val="002E6668"/>
    <w:rsid w:val="002E6A96"/>
    <w:rsid w:val="002E6D28"/>
    <w:rsid w:val="002E735B"/>
    <w:rsid w:val="002E7824"/>
    <w:rsid w:val="002F001C"/>
    <w:rsid w:val="002F1BC8"/>
    <w:rsid w:val="002F1D7E"/>
    <w:rsid w:val="002F22AB"/>
    <w:rsid w:val="002F36DF"/>
    <w:rsid w:val="002F3AED"/>
    <w:rsid w:val="002F402F"/>
    <w:rsid w:val="002F47D9"/>
    <w:rsid w:val="002F4B65"/>
    <w:rsid w:val="002F5009"/>
    <w:rsid w:val="002F5542"/>
    <w:rsid w:val="002F671E"/>
    <w:rsid w:val="002F6C49"/>
    <w:rsid w:val="002F728C"/>
    <w:rsid w:val="002F7DBD"/>
    <w:rsid w:val="00300164"/>
    <w:rsid w:val="003004BE"/>
    <w:rsid w:val="00300B76"/>
    <w:rsid w:val="003012D4"/>
    <w:rsid w:val="00301B0B"/>
    <w:rsid w:val="00302C6B"/>
    <w:rsid w:val="003041E2"/>
    <w:rsid w:val="00304445"/>
    <w:rsid w:val="00306B70"/>
    <w:rsid w:val="00306C27"/>
    <w:rsid w:val="00307DD9"/>
    <w:rsid w:val="003105C3"/>
    <w:rsid w:val="00311A42"/>
    <w:rsid w:val="003127DD"/>
    <w:rsid w:val="00312FF1"/>
    <w:rsid w:val="003131AB"/>
    <w:rsid w:val="00313C09"/>
    <w:rsid w:val="00313FDF"/>
    <w:rsid w:val="003145F1"/>
    <w:rsid w:val="00314B5B"/>
    <w:rsid w:val="00314E30"/>
    <w:rsid w:val="00315670"/>
    <w:rsid w:val="003158D0"/>
    <w:rsid w:val="003163F2"/>
    <w:rsid w:val="00317085"/>
    <w:rsid w:val="003170EF"/>
    <w:rsid w:val="00320038"/>
    <w:rsid w:val="0032100E"/>
    <w:rsid w:val="0032102B"/>
    <w:rsid w:val="00321190"/>
    <w:rsid w:val="00321BE4"/>
    <w:rsid w:val="00322199"/>
    <w:rsid w:val="00322421"/>
    <w:rsid w:val="00322990"/>
    <w:rsid w:val="00323259"/>
    <w:rsid w:val="00323501"/>
    <w:rsid w:val="003235AE"/>
    <w:rsid w:val="00323EAC"/>
    <w:rsid w:val="00324108"/>
    <w:rsid w:val="00325771"/>
    <w:rsid w:val="003259F3"/>
    <w:rsid w:val="00325D61"/>
    <w:rsid w:val="00326232"/>
    <w:rsid w:val="00331D35"/>
    <w:rsid w:val="003324AF"/>
    <w:rsid w:val="00332D8C"/>
    <w:rsid w:val="003340D9"/>
    <w:rsid w:val="003346A2"/>
    <w:rsid w:val="003350A6"/>
    <w:rsid w:val="003351FC"/>
    <w:rsid w:val="00335648"/>
    <w:rsid w:val="00336B49"/>
    <w:rsid w:val="003375B6"/>
    <w:rsid w:val="00337A8A"/>
    <w:rsid w:val="00340121"/>
    <w:rsid w:val="0034058B"/>
    <w:rsid w:val="00342EAE"/>
    <w:rsid w:val="00343B8A"/>
    <w:rsid w:val="00343FEE"/>
    <w:rsid w:val="0034467E"/>
    <w:rsid w:val="00344A1B"/>
    <w:rsid w:val="0034534E"/>
    <w:rsid w:val="00346700"/>
    <w:rsid w:val="00346EA8"/>
    <w:rsid w:val="00347665"/>
    <w:rsid w:val="00347999"/>
    <w:rsid w:val="00347C9B"/>
    <w:rsid w:val="0035134C"/>
    <w:rsid w:val="003521A2"/>
    <w:rsid w:val="00352DBA"/>
    <w:rsid w:val="00353785"/>
    <w:rsid w:val="00353CF2"/>
    <w:rsid w:val="00353DB1"/>
    <w:rsid w:val="00354891"/>
    <w:rsid w:val="00355EB3"/>
    <w:rsid w:val="00356822"/>
    <w:rsid w:val="00357787"/>
    <w:rsid w:val="0036033D"/>
    <w:rsid w:val="003609B2"/>
    <w:rsid w:val="003612E5"/>
    <w:rsid w:val="00361B9C"/>
    <w:rsid w:val="003620C6"/>
    <w:rsid w:val="00362A5F"/>
    <w:rsid w:val="00363AEE"/>
    <w:rsid w:val="00363CAD"/>
    <w:rsid w:val="00364046"/>
    <w:rsid w:val="00364213"/>
    <w:rsid w:val="003645B6"/>
    <w:rsid w:val="00364653"/>
    <w:rsid w:val="00364DF6"/>
    <w:rsid w:val="0036537B"/>
    <w:rsid w:val="0036549F"/>
    <w:rsid w:val="0036585A"/>
    <w:rsid w:val="00365CD3"/>
    <w:rsid w:val="00365EBC"/>
    <w:rsid w:val="003679E0"/>
    <w:rsid w:val="00367F00"/>
    <w:rsid w:val="00367FEC"/>
    <w:rsid w:val="003718FE"/>
    <w:rsid w:val="003729BA"/>
    <w:rsid w:val="00372DB5"/>
    <w:rsid w:val="003733F6"/>
    <w:rsid w:val="00373CD1"/>
    <w:rsid w:val="0037523B"/>
    <w:rsid w:val="00377962"/>
    <w:rsid w:val="003779B4"/>
    <w:rsid w:val="00380D53"/>
    <w:rsid w:val="00380FE3"/>
    <w:rsid w:val="0038158F"/>
    <w:rsid w:val="00381889"/>
    <w:rsid w:val="00381963"/>
    <w:rsid w:val="0038263D"/>
    <w:rsid w:val="00382933"/>
    <w:rsid w:val="003829BD"/>
    <w:rsid w:val="00382FD0"/>
    <w:rsid w:val="00383309"/>
    <w:rsid w:val="003843F6"/>
    <w:rsid w:val="00384988"/>
    <w:rsid w:val="00384AB4"/>
    <w:rsid w:val="0038552B"/>
    <w:rsid w:val="00385574"/>
    <w:rsid w:val="0038595D"/>
    <w:rsid w:val="00385BAC"/>
    <w:rsid w:val="003864A9"/>
    <w:rsid w:val="00387533"/>
    <w:rsid w:val="00390622"/>
    <w:rsid w:val="00390E6F"/>
    <w:rsid w:val="003912A1"/>
    <w:rsid w:val="003912C7"/>
    <w:rsid w:val="0039280C"/>
    <w:rsid w:val="003938E3"/>
    <w:rsid w:val="00393F26"/>
    <w:rsid w:val="00394F72"/>
    <w:rsid w:val="00394FFB"/>
    <w:rsid w:val="003955AD"/>
    <w:rsid w:val="0039586B"/>
    <w:rsid w:val="00396CC1"/>
    <w:rsid w:val="003A0280"/>
    <w:rsid w:val="003A0446"/>
    <w:rsid w:val="003A06D9"/>
    <w:rsid w:val="003A10E9"/>
    <w:rsid w:val="003A1B30"/>
    <w:rsid w:val="003A24A2"/>
    <w:rsid w:val="003A435C"/>
    <w:rsid w:val="003A4494"/>
    <w:rsid w:val="003A5C3B"/>
    <w:rsid w:val="003A5F56"/>
    <w:rsid w:val="003A615B"/>
    <w:rsid w:val="003A62F2"/>
    <w:rsid w:val="003A721E"/>
    <w:rsid w:val="003A7568"/>
    <w:rsid w:val="003B0885"/>
    <w:rsid w:val="003B1E47"/>
    <w:rsid w:val="003B2141"/>
    <w:rsid w:val="003B2159"/>
    <w:rsid w:val="003B3A28"/>
    <w:rsid w:val="003B3FBE"/>
    <w:rsid w:val="003B4763"/>
    <w:rsid w:val="003B4899"/>
    <w:rsid w:val="003B6211"/>
    <w:rsid w:val="003B6DC9"/>
    <w:rsid w:val="003C03A9"/>
    <w:rsid w:val="003C2F74"/>
    <w:rsid w:val="003C3048"/>
    <w:rsid w:val="003C3A07"/>
    <w:rsid w:val="003C3B53"/>
    <w:rsid w:val="003C3EBD"/>
    <w:rsid w:val="003C42D4"/>
    <w:rsid w:val="003C4564"/>
    <w:rsid w:val="003C4BF3"/>
    <w:rsid w:val="003C52E1"/>
    <w:rsid w:val="003C657E"/>
    <w:rsid w:val="003C66EC"/>
    <w:rsid w:val="003C6C37"/>
    <w:rsid w:val="003C6D7E"/>
    <w:rsid w:val="003C766B"/>
    <w:rsid w:val="003C7943"/>
    <w:rsid w:val="003D012B"/>
    <w:rsid w:val="003D0C64"/>
    <w:rsid w:val="003D0FFA"/>
    <w:rsid w:val="003D16CD"/>
    <w:rsid w:val="003D192F"/>
    <w:rsid w:val="003D2190"/>
    <w:rsid w:val="003D2A18"/>
    <w:rsid w:val="003D2E25"/>
    <w:rsid w:val="003D36D0"/>
    <w:rsid w:val="003D3E50"/>
    <w:rsid w:val="003D443B"/>
    <w:rsid w:val="003D4D06"/>
    <w:rsid w:val="003D68AE"/>
    <w:rsid w:val="003D6997"/>
    <w:rsid w:val="003D7316"/>
    <w:rsid w:val="003D77EB"/>
    <w:rsid w:val="003D7F91"/>
    <w:rsid w:val="003E0571"/>
    <w:rsid w:val="003E094B"/>
    <w:rsid w:val="003E0AEC"/>
    <w:rsid w:val="003E109A"/>
    <w:rsid w:val="003E11A4"/>
    <w:rsid w:val="003E1590"/>
    <w:rsid w:val="003E16EE"/>
    <w:rsid w:val="003E1CF0"/>
    <w:rsid w:val="003E242A"/>
    <w:rsid w:val="003E2950"/>
    <w:rsid w:val="003E2BB3"/>
    <w:rsid w:val="003E321B"/>
    <w:rsid w:val="003E4820"/>
    <w:rsid w:val="003E489E"/>
    <w:rsid w:val="003E4D92"/>
    <w:rsid w:val="003E7303"/>
    <w:rsid w:val="003E7836"/>
    <w:rsid w:val="003F129D"/>
    <w:rsid w:val="003F19DA"/>
    <w:rsid w:val="003F2136"/>
    <w:rsid w:val="003F2334"/>
    <w:rsid w:val="003F383F"/>
    <w:rsid w:val="003F3D8D"/>
    <w:rsid w:val="003F4829"/>
    <w:rsid w:val="003F4EFE"/>
    <w:rsid w:val="003F5016"/>
    <w:rsid w:val="003F58A8"/>
    <w:rsid w:val="003F615E"/>
    <w:rsid w:val="003F655E"/>
    <w:rsid w:val="003F73AF"/>
    <w:rsid w:val="003F7626"/>
    <w:rsid w:val="003F78FE"/>
    <w:rsid w:val="003F79AB"/>
    <w:rsid w:val="003F7C54"/>
    <w:rsid w:val="003F7FC0"/>
    <w:rsid w:val="00401DF4"/>
    <w:rsid w:val="00402421"/>
    <w:rsid w:val="00403048"/>
    <w:rsid w:val="00404C10"/>
    <w:rsid w:val="00404D5A"/>
    <w:rsid w:val="004050F6"/>
    <w:rsid w:val="0040537B"/>
    <w:rsid w:val="00405CC4"/>
    <w:rsid w:val="00407122"/>
    <w:rsid w:val="004071BC"/>
    <w:rsid w:val="0041018C"/>
    <w:rsid w:val="00411D52"/>
    <w:rsid w:val="00412AEB"/>
    <w:rsid w:val="00413926"/>
    <w:rsid w:val="00413C16"/>
    <w:rsid w:val="00413F53"/>
    <w:rsid w:val="00414F8A"/>
    <w:rsid w:val="00415881"/>
    <w:rsid w:val="004205E5"/>
    <w:rsid w:val="004208FB"/>
    <w:rsid w:val="0042147E"/>
    <w:rsid w:val="00421957"/>
    <w:rsid w:val="00421FC1"/>
    <w:rsid w:val="0042322C"/>
    <w:rsid w:val="00423CD7"/>
    <w:rsid w:val="00423FF8"/>
    <w:rsid w:val="00424D66"/>
    <w:rsid w:val="00425C6C"/>
    <w:rsid w:val="00427700"/>
    <w:rsid w:val="0042778A"/>
    <w:rsid w:val="00427C76"/>
    <w:rsid w:val="00427D3A"/>
    <w:rsid w:val="00427E8F"/>
    <w:rsid w:val="004301A2"/>
    <w:rsid w:val="0043025C"/>
    <w:rsid w:val="00431D44"/>
    <w:rsid w:val="00432346"/>
    <w:rsid w:val="004337EB"/>
    <w:rsid w:val="004346A2"/>
    <w:rsid w:val="004349D6"/>
    <w:rsid w:val="00434C42"/>
    <w:rsid w:val="00434C81"/>
    <w:rsid w:val="00434F0B"/>
    <w:rsid w:val="00435D81"/>
    <w:rsid w:val="00436834"/>
    <w:rsid w:val="004413C4"/>
    <w:rsid w:val="00441478"/>
    <w:rsid w:val="00441B9A"/>
    <w:rsid w:val="00442297"/>
    <w:rsid w:val="00443D05"/>
    <w:rsid w:val="0044607F"/>
    <w:rsid w:val="00447FCC"/>
    <w:rsid w:val="00450938"/>
    <w:rsid w:val="00450E50"/>
    <w:rsid w:val="0045149A"/>
    <w:rsid w:val="00452671"/>
    <w:rsid w:val="004535D6"/>
    <w:rsid w:val="0045468F"/>
    <w:rsid w:val="00454BD8"/>
    <w:rsid w:val="00454C63"/>
    <w:rsid w:val="0045505C"/>
    <w:rsid w:val="00455893"/>
    <w:rsid w:val="00455A20"/>
    <w:rsid w:val="00456410"/>
    <w:rsid w:val="00456916"/>
    <w:rsid w:val="00456B0F"/>
    <w:rsid w:val="00456C8C"/>
    <w:rsid w:val="004576B6"/>
    <w:rsid w:val="00460FA6"/>
    <w:rsid w:val="0046185F"/>
    <w:rsid w:val="00461A6B"/>
    <w:rsid w:val="00461AF7"/>
    <w:rsid w:val="0046346E"/>
    <w:rsid w:val="00463E44"/>
    <w:rsid w:val="0046521C"/>
    <w:rsid w:val="00466972"/>
    <w:rsid w:val="00466E1E"/>
    <w:rsid w:val="00467CA2"/>
    <w:rsid w:val="00470C4B"/>
    <w:rsid w:val="00471304"/>
    <w:rsid w:val="00471BF8"/>
    <w:rsid w:val="004720CD"/>
    <w:rsid w:val="004720FE"/>
    <w:rsid w:val="004723E4"/>
    <w:rsid w:val="004734DE"/>
    <w:rsid w:val="004749BD"/>
    <w:rsid w:val="00474A83"/>
    <w:rsid w:val="00474D78"/>
    <w:rsid w:val="00475349"/>
    <w:rsid w:val="00475C8C"/>
    <w:rsid w:val="00476857"/>
    <w:rsid w:val="00476889"/>
    <w:rsid w:val="004773DB"/>
    <w:rsid w:val="0047799C"/>
    <w:rsid w:val="004779B0"/>
    <w:rsid w:val="00477F41"/>
    <w:rsid w:val="004809CC"/>
    <w:rsid w:val="00480AAE"/>
    <w:rsid w:val="00480E39"/>
    <w:rsid w:val="0048103A"/>
    <w:rsid w:val="004819BB"/>
    <w:rsid w:val="00481E89"/>
    <w:rsid w:val="00482AF4"/>
    <w:rsid w:val="004837A9"/>
    <w:rsid w:val="00483910"/>
    <w:rsid w:val="00484036"/>
    <w:rsid w:val="00484560"/>
    <w:rsid w:val="00484613"/>
    <w:rsid w:val="00484B8E"/>
    <w:rsid w:val="00485CC7"/>
    <w:rsid w:val="00486F51"/>
    <w:rsid w:val="00487603"/>
    <w:rsid w:val="004878CE"/>
    <w:rsid w:val="00487AE0"/>
    <w:rsid w:val="0049032B"/>
    <w:rsid w:val="004904B2"/>
    <w:rsid w:val="00490677"/>
    <w:rsid w:val="00491235"/>
    <w:rsid w:val="00492BAF"/>
    <w:rsid w:val="00493FCC"/>
    <w:rsid w:val="004949AE"/>
    <w:rsid w:val="00494F82"/>
    <w:rsid w:val="004952AC"/>
    <w:rsid w:val="00495437"/>
    <w:rsid w:val="0049560C"/>
    <w:rsid w:val="0049631C"/>
    <w:rsid w:val="004973F5"/>
    <w:rsid w:val="00497882"/>
    <w:rsid w:val="00497CB9"/>
    <w:rsid w:val="00497FD1"/>
    <w:rsid w:val="004A03E6"/>
    <w:rsid w:val="004A055F"/>
    <w:rsid w:val="004A09D2"/>
    <w:rsid w:val="004A0B1C"/>
    <w:rsid w:val="004A0C6E"/>
    <w:rsid w:val="004A1581"/>
    <w:rsid w:val="004A1F79"/>
    <w:rsid w:val="004A2A99"/>
    <w:rsid w:val="004A30B1"/>
    <w:rsid w:val="004A339E"/>
    <w:rsid w:val="004A3E79"/>
    <w:rsid w:val="004A3F11"/>
    <w:rsid w:val="004A4074"/>
    <w:rsid w:val="004A4CA4"/>
    <w:rsid w:val="004A4F6D"/>
    <w:rsid w:val="004A5B38"/>
    <w:rsid w:val="004A6946"/>
    <w:rsid w:val="004A6F4A"/>
    <w:rsid w:val="004B0E92"/>
    <w:rsid w:val="004B1DF9"/>
    <w:rsid w:val="004B22D5"/>
    <w:rsid w:val="004B32BF"/>
    <w:rsid w:val="004B4F08"/>
    <w:rsid w:val="004B565B"/>
    <w:rsid w:val="004B569D"/>
    <w:rsid w:val="004B6195"/>
    <w:rsid w:val="004B6E94"/>
    <w:rsid w:val="004C0646"/>
    <w:rsid w:val="004C0766"/>
    <w:rsid w:val="004C084E"/>
    <w:rsid w:val="004C0BD8"/>
    <w:rsid w:val="004C16F5"/>
    <w:rsid w:val="004C1B7E"/>
    <w:rsid w:val="004C328A"/>
    <w:rsid w:val="004C32E9"/>
    <w:rsid w:val="004C37B3"/>
    <w:rsid w:val="004C440C"/>
    <w:rsid w:val="004C4468"/>
    <w:rsid w:val="004C463B"/>
    <w:rsid w:val="004C4B6E"/>
    <w:rsid w:val="004C7304"/>
    <w:rsid w:val="004C7839"/>
    <w:rsid w:val="004D158F"/>
    <w:rsid w:val="004D1BEC"/>
    <w:rsid w:val="004D2BFE"/>
    <w:rsid w:val="004D2E03"/>
    <w:rsid w:val="004D41F9"/>
    <w:rsid w:val="004D5575"/>
    <w:rsid w:val="004D63F7"/>
    <w:rsid w:val="004D76E9"/>
    <w:rsid w:val="004E054D"/>
    <w:rsid w:val="004E0883"/>
    <w:rsid w:val="004E15D6"/>
    <w:rsid w:val="004E269C"/>
    <w:rsid w:val="004E2733"/>
    <w:rsid w:val="004E3752"/>
    <w:rsid w:val="004E3872"/>
    <w:rsid w:val="004E39BB"/>
    <w:rsid w:val="004E4174"/>
    <w:rsid w:val="004E44E7"/>
    <w:rsid w:val="004E4A71"/>
    <w:rsid w:val="004E5268"/>
    <w:rsid w:val="004E5C68"/>
    <w:rsid w:val="004E5EE3"/>
    <w:rsid w:val="004E5FA3"/>
    <w:rsid w:val="004E616F"/>
    <w:rsid w:val="004E78BC"/>
    <w:rsid w:val="004E7950"/>
    <w:rsid w:val="004F09E7"/>
    <w:rsid w:val="004F1E36"/>
    <w:rsid w:val="004F1FBA"/>
    <w:rsid w:val="004F2DB0"/>
    <w:rsid w:val="004F36BC"/>
    <w:rsid w:val="004F6221"/>
    <w:rsid w:val="004F643F"/>
    <w:rsid w:val="004F648E"/>
    <w:rsid w:val="004F75E5"/>
    <w:rsid w:val="004F7BBD"/>
    <w:rsid w:val="004F7FE6"/>
    <w:rsid w:val="0050035E"/>
    <w:rsid w:val="0050170E"/>
    <w:rsid w:val="0050252D"/>
    <w:rsid w:val="00502649"/>
    <w:rsid w:val="00504400"/>
    <w:rsid w:val="0050472C"/>
    <w:rsid w:val="00504B2C"/>
    <w:rsid w:val="00504B3A"/>
    <w:rsid w:val="005059C3"/>
    <w:rsid w:val="00507271"/>
    <w:rsid w:val="005076BD"/>
    <w:rsid w:val="005078E7"/>
    <w:rsid w:val="0051082A"/>
    <w:rsid w:val="00510C41"/>
    <w:rsid w:val="0051129E"/>
    <w:rsid w:val="005121DF"/>
    <w:rsid w:val="005129DD"/>
    <w:rsid w:val="00512C8A"/>
    <w:rsid w:val="0051315C"/>
    <w:rsid w:val="00513697"/>
    <w:rsid w:val="005137E6"/>
    <w:rsid w:val="00513937"/>
    <w:rsid w:val="00513A6B"/>
    <w:rsid w:val="00514392"/>
    <w:rsid w:val="0051492D"/>
    <w:rsid w:val="00514B45"/>
    <w:rsid w:val="00514B4E"/>
    <w:rsid w:val="00515677"/>
    <w:rsid w:val="0051751F"/>
    <w:rsid w:val="00520E9A"/>
    <w:rsid w:val="00520EB5"/>
    <w:rsid w:val="005214BB"/>
    <w:rsid w:val="005218FF"/>
    <w:rsid w:val="00521B53"/>
    <w:rsid w:val="005220EB"/>
    <w:rsid w:val="0052247C"/>
    <w:rsid w:val="005224B2"/>
    <w:rsid w:val="00523631"/>
    <w:rsid w:val="00523DCE"/>
    <w:rsid w:val="0052434A"/>
    <w:rsid w:val="005245DE"/>
    <w:rsid w:val="00524750"/>
    <w:rsid w:val="00525A89"/>
    <w:rsid w:val="005269D7"/>
    <w:rsid w:val="005273C6"/>
    <w:rsid w:val="005275EA"/>
    <w:rsid w:val="0053167A"/>
    <w:rsid w:val="00531B40"/>
    <w:rsid w:val="00531F75"/>
    <w:rsid w:val="005324E7"/>
    <w:rsid w:val="0053308B"/>
    <w:rsid w:val="00533129"/>
    <w:rsid w:val="005336FD"/>
    <w:rsid w:val="00533979"/>
    <w:rsid w:val="005343DB"/>
    <w:rsid w:val="00534DDF"/>
    <w:rsid w:val="005359AB"/>
    <w:rsid w:val="00535C5B"/>
    <w:rsid w:val="00535FA5"/>
    <w:rsid w:val="0053659B"/>
    <w:rsid w:val="00536FB9"/>
    <w:rsid w:val="00537C4D"/>
    <w:rsid w:val="00537E82"/>
    <w:rsid w:val="00537FA0"/>
    <w:rsid w:val="005400A9"/>
    <w:rsid w:val="005402B2"/>
    <w:rsid w:val="00540EC8"/>
    <w:rsid w:val="00541281"/>
    <w:rsid w:val="0054137E"/>
    <w:rsid w:val="0054206A"/>
    <w:rsid w:val="00542E60"/>
    <w:rsid w:val="005435F7"/>
    <w:rsid w:val="0054477C"/>
    <w:rsid w:val="00544C5D"/>
    <w:rsid w:val="005457ED"/>
    <w:rsid w:val="0054711D"/>
    <w:rsid w:val="00547A2F"/>
    <w:rsid w:val="00550B1D"/>
    <w:rsid w:val="00550D01"/>
    <w:rsid w:val="00551112"/>
    <w:rsid w:val="0055118B"/>
    <w:rsid w:val="005511B4"/>
    <w:rsid w:val="005521EC"/>
    <w:rsid w:val="00553A3B"/>
    <w:rsid w:val="00554E07"/>
    <w:rsid w:val="005559AE"/>
    <w:rsid w:val="0055642A"/>
    <w:rsid w:val="0055684F"/>
    <w:rsid w:val="00556B98"/>
    <w:rsid w:val="00556DB8"/>
    <w:rsid w:val="00556F87"/>
    <w:rsid w:val="00560E04"/>
    <w:rsid w:val="0056232A"/>
    <w:rsid w:val="00562541"/>
    <w:rsid w:val="005625E3"/>
    <w:rsid w:val="00563C17"/>
    <w:rsid w:val="00563E60"/>
    <w:rsid w:val="0056415E"/>
    <w:rsid w:val="00564185"/>
    <w:rsid w:val="005645E6"/>
    <w:rsid w:val="00564AB2"/>
    <w:rsid w:val="00565041"/>
    <w:rsid w:val="005658B3"/>
    <w:rsid w:val="005659C2"/>
    <w:rsid w:val="00565F53"/>
    <w:rsid w:val="00565F64"/>
    <w:rsid w:val="0056689C"/>
    <w:rsid w:val="00566976"/>
    <w:rsid w:val="0056698F"/>
    <w:rsid w:val="00566B99"/>
    <w:rsid w:val="00566F35"/>
    <w:rsid w:val="005670DD"/>
    <w:rsid w:val="0056774E"/>
    <w:rsid w:val="00570647"/>
    <w:rsid w:val="005709E1"/>
    <w:rsid w:val="00571407"/>
    <w:rsid w:val="005725F3"/>
    <w:rsid w:val="005729C5"/>
    <w:rsid w:val="00572C15"/>
    <w:rsid w:val="005730FA"/>
    <w:rsid w:val="005746A9"/>
    <w:rsid w:val="00574FB3"/>
    <w:rsid w:val="00575D23"/>
    <w:rsid w:val="005776D2"/>
    <w:rsid w:val="00577837"/>
    <w:rsid w:val="005805FF"/>
    <w:rsid w:val="005816E9"/>
    <w:rsid w:val="0058250A"/>
    <w:rsid w:val="0058322A"/>
    <w:rsid w:val="00583438"/>
    <w:rsid w:val="00583456"/>
    <w:rsid w:val="00583FE2"/>
    <w:rsid w:val="00584A20"/>
    <w:rsid w:val="00584C7A"/>
    <w:rsid w:val="00585207"/>
    <w:rsid w:val="005852DF"/>
    <w:rsid w:val="005856BF"/>
    <w:rsid w:val="0058595C"/>
    <w:rsid w:val="00586714"/>
    <w:rsid w:val="00586AAE"/>
    <w:rsid w:val="00587EFC"/>
    <w:rsid w:val="00590F22"/>
    <w:rsid w:val="0059107F"/>
    <w:rsid w:val="00591FDD"/>
    <w:rsid w:val="00592E1A"/>
    <w:rsid w:val="00592E63"/>
    <w:rsid w:val="00592F16"/>
    <w:rsid w:val="00592FD2"/>
    <w:rsid w:val="00593580"/>
    <w:rsid w:val="00593BBA"/>
    <w:rsid w:val="00593CD7"/>
    <w:rsid w:val="00593EC7"/>
    <w:rsid w:val="00594238"/>
    <w:rsid w:val="0059670C"/>
    <w:rsid w:val="005968A3"/>
    <w:rsid w:val="00596C3C"/>
    <w:rsid w:val="005970ED"/>
    <w:rsid w:val="005971A3"/>
    <w:rsid w:val="005973EF"/>
    <w:rsid w:val="005A0449"/>
    <w:rsid w:val="005A3614"/>
    <w:rsid w:val="005A37B0"/>
    <w:rsid w:val="005A3D89"/>
    <w:rsid w:val="005A44E4"/>
    <w:rsid w:val="005A47A5"/>
    <w:rsid w:val="005A4EB4"/>
    <w:rsid w:val="005A5806"/>
    <w:rsid w:val="005A7340"/>
    <w:rsid w:val="005A77C1"/>
    <w:rsid w:val="005A7AD8"/>
    <w:rsid w:val="005A7FB6"/>
    <w:rsid w:val="005B099D"/>
    <w:rsid w:val="005B0DD1"/>
    <w:rsid w:val="005B1ADE"/>
    <w:rsid w:val="005B2483"/>
    <w:rsid w:val="005B2518"/>
    <w:rsid w:val="005B44D7"/>
    <w:rsid w:val="005B44E1"/>
    <w:rsid w:val="005B4C8A"/>
    <w:rsid w:val="005B50C3"/>
    <w:rsid w:val="005B52F2"/>
    <w:rsid w:val="005B59EB"/>
    <w:rsid w:val="005B6C73"/>
    <w:rsid w:val="005B6CFA"/>
    <w:rsid w:val="005B6F44"/>
    <w:rsid w:val="005B73F2"/>
    <w:rsid w:val="005B756D"/>
    <w:rsid w:val="005B77ED"/>
    <w:rsid w:val="005C13D9"/>
    <w:rsid w:val="005C1A76"/>
    <w:rsid w:val="005C1B39"/>
    <w:rsid w:val="005C1C80"/>
    <w:rsid w:val="005C2B5E"/>
    <w:rsid w:val="005C2B8C"/>
    <w:rsid w:val="005C2D0C"/>
    <w:rsid w:val="005C2FD9"/>
    <w:rsid w:val="005C3187"/>
    <w:rsid w:val="005C32D3"/>
    <w:rsid w:val="005C3F10"/>
    <w:rsid w:val="005C4399"/>
    <w:rsid w:val="005C4ADB"/>
    <w:rsid w:val="005C4B8E"/>
    <w:rsid w:val="005C4DAF"/>
    <w:rsid w:val="005C508D"/>
    <w:rsid w:val="005C58F5"/>
    <w:rsid w:val="005C6B2B"/>
    <w:rsid w:val="005C6EFB"/>
    <w:rsid w:val="005C7036"/>
    <w:rsid w:val="005C7DDF"/>
    <w:rsid w:val="005D2A4F"/>
    <w:rsid w:val="005D2FD8"/>
    <w:rsid w:val="005D346F"/>
    <w:rsid w:val="005D379D"/>
    <w:rsid w:val="005D37A4"/>
    <w:rsid w:val="005D4412"/>
    <w:rsid w:val="005D62DA"/>
    <w:rsid w:val="005D6486"/>
    <w:rsid w:val="005D6894"/>
    <w:rsid w:val="005E0113"/>
    <w:rsid w:val="005E02F4"/>
    <w:rsid w:val="005E062B"/>
    <w:rsid w:val="005E068E"/>
    <w:rsid w:val="005E06F1"/>
    <w:rsid w:val="005E1C38"/>
    <w:rsid w:val="005E2A51"/>
    <w:rsid w:val="005E4027"/>
    <w:rsid w:val="005E4336"/>
    <w:rsid w:val="005E48C2"/>
    <w:rsid w:val="005E6DC3"/>
    <w:rsid w:val="005F0F92"/>
    <w:rsid w:val="005F2C5C"/>
    <w:rsid w:val="005F3F88"/>
    <w:rsid w:val="005F5CBB"/>
    <w:rsid w:val="005F647C"/>
    <w:rsid w:val="005F67D9"/>
    <w:rsid w:val="005F76D7"/>
    <w:rsid w:val="005F7730"/>
    <w:rsid w:val="00601A3A"/>
    <w:rsid w:val="00602984"/>
    <w:rsid w:val="00602B63"/>
    <w:rsid w:val="00602EA6"/>
    <w:rsid w:val="00603574"/>
    <w:rsid w:val="00604985"/>
    <w:rsid w:val="0060531D"/>
    <w:rsid w:val="0060643A"/>
    <w:rsid w:val="0060737D"/>
    <w:rsid w:val="00607872"/>
    <w:rsid w:val="00607881"/>
    <w:rsid w:val="00607E70"/>
    <w:rsid w:val="00610177"/>
    <w:rsid w:val="00610969"/>
    <w:rsid w:val="00610A3E"/>
    <w:rsid w:val="006112E6"/>
    <w:rsid w:val="00611874"/>
    <w:rsid w:val="006123D8"/>
    <w:rsid w:val="00612B86"/>
    <w:rsid w:val="00612FB0"/>
    <w:rsid w:val="00613F14"/>
    <w:rsid w:val="00615E3B"/>
    <w:rsid w:val="0061709D"/>
    <w:rsid w:val="00617FA6"/>
    <w:rsid w:val="00621288"/>
    <w:rsid w:val="00621901"/>
    <w:rsid w:val="00621B30"/>
    <w:rsid w:val="006221CF"/>
    <w:rsid w:val="00622308"/>
    <w:rsid w:val="00622333"/>
    <w:rsid w:val="006238E5"/>
    <w:rsid w:val="00624567"/>
    <w:rsid w:val="0062522F"/>
    <w:rsid w:val="006253FB"/>
    <w:rsid w:val="0062550C"/>
    <w:rsid w:val="006255F0"/>
    <w:rsid w:val="00625709"/>
    <w:rsid w:val="00625D87"/>
    <w:rsid w:val="00626181"/>
    <w:rsid w:val="00626A32"/>
    <w:rsid w:val="00627720"/>
    <w:rsid w:val="00627791"/>
    <w:rsid w:val="00627D17"/>
    <w:rsid w:val="00627E06"/>
    <w:rsid w:val="00627FBD"/>
    <w:rsid w:val="00631407"/>
    <w:rsid w:val="00631963"/>
    <w:rsid w:val="00631C93"/>
    <w:rsid w:val="00631CE8"/>
    <w:rsid w:val="00632838"/>
    <w:rsid w:val="0063380A"/>
    <w:rsid w:val="00634B88"/>
    <w:rsid w:val="00635C46"/>
    <w:rsid w:val="006362DD"/>
    <w:rsid w:val="006378D9"/>
    <w:rsid w:val="00637FDC"/>
    <w:rsid w:val="0064041D"/>
    <w:rsid w:val="0064108F"/>
    <w:rsid w:val="00641AC5"/>
    <w:rsid w:val="00641B86"/>
    <w:rsid w:val="00642C61"/>
    <w:rsid w:val="006434E0"/>
    <w:rsid w:val="00643C63"/>
    <w:rsid w:val="006440A0"/>
    <w:rsid w:val="00644E2F"/>
    <w:rsid w:val="00646415"/>
    <w:rsid w:val="00646D43"/>
    <w:rsid w:val="00647AFD"/>
    <w:rsid w:val="006508FD"/>
    <w:rsid w:val="00650FA3"/>
    <w:rsid w:val="0065148E"/>
    <w:rsid w:val="00651C20"/>
    <w:rsid w:val="0065206A"/>
    <w:rsid w:val="0065262C"/>
    <w:rsid w:val="006528B8"/>
    <w:rsid w:val="00653574"/>
    <w:rsid w:val="006535FB"/>
    <w:rsid w:val="00654116"/>
    <w:rsid w:val="0065471A"/>
    <w:rsid w:val="00655042"/>
    <w:rsid w:val="00655090"/>
    <w:rsid w:val="00655633"/>
    <w:rsid w:val="00655CE9"/>
    <w:rsid w:val="00656680"/>
    <w:rsid w:val="00656ACF"/>
    <w:rsid w:val="0065704B"/>
    <w:rsid w:val="0065798A"/>
    <w:rsid w:val="00660CDD"/>
    <w:rsid w:val="00661241"/>
    <w:rsid w:val="00661CCC"/>
    <w:rsid w:val="00662D92"/>
    <w:rsid w:val="006635FF"/>
    <w:rsid w:val="00663D5D"/>
    <w:rsid w:val="0066400F"/>
    <w:rsid w:val="00664A72"/>
    <w:rsid w:val="00665EAF"/>
    <w:rsid w:val="00665F61"/>
    <w:rsid w:val="006670D0"/>
    <w:rsid w:val="006677F2"/>
    <w:rsid w:val="006679F2"/>
    <w:rsid w:val="00670C14"/>
    <w:rsid w:val="00670DEF"/>
    <w:rsid w:val="0067158A"/>
    <w:rsid w:val="00671CDB"/>
    <w:rsid w:val="00673287"/>
    <w:rsid w:val="00673717"/>
    <w:rsid w:val="00674C67"/>
    <w:rsid w:val="0067659A"/>
    <w:rsid w:val="00676DCC"/>
    <w:rsid w:val="00677505"/>
    <w:rsid w:val="00677BBC"/>
    <w:rsid w:val="00680FB0"/>
    <w:rsid w:val="006810D7"/>
    <w:rsid w:val="006811F8"/>
    <w:rsid w:val="0068151A"/>
    <w:rsid w:val="00681706"/>
    <w:rsid w:val="00681B31"/>
    <w:rsid w:val="0068240B"/>
    <w:rsid w:val="006847EB"/>
    <w:rsid w:val="00684FE8"/>
    <w:rsid w:val="00685022"/>
    <w:rsid w:val="00686871"/>
    <w:rsid w:val="0068714F"/>
    <w:rsid w:val="00690023"/>
    <w:rsid w:val="0069016E"/>
    <w:rsid w:val="00690683"/>
    <w:rsid w:val="006915CF"/>
    <w:rsid w:val="006922A2"/>
    <w:rsid w:val="006924B3"/>
    <w:rsid w:val="00694212"/>
    <w:rsid w:val="006943D3"/>
    <w:rsid w:val="00694560"/>
    <w:rsid w:val="006958C8"/>
    <w:rsid w:val="006968B9"/>
    <w:rsid w:val="00696F55"/>
    <w:rsid w:val="00697B19"/>
    <w:rsid w:val="00697D09"/>
    <w:rsid w:val="006A0D6F"/>
    <w:rsid w:val="006A0F34"/>
    <w:rsid w:val="006A2175"/>
    <w:rsid w:val="006A31F9"/>
    <w:rsid w:val="006A323F"/>
    <w:rsid w:val="006A33D1"/>
    <w:rsid w:val="006A3A41"/>
    <w:rsid w:val="006A3CA7"/>
    <w:rsid w:val="006A3EB3"/>
    <w:rsid w:val="006A3F03"/>
    <w:rsid w:val="006A41A8"/>
    <w:rsid w:val="006A4903"/>
    <w:rsid w:val="006A51BD"/>
    <w:rsid w:val="006A5860"/>
    <w:rsid w:val="006A59BE"/>
    <w:rsid w:val="006A745C"/>
    <w:rsid w:val="006A7E1F"/>
    <w:rsid w:val="006A7E59"/>
    <w:rsid w:val="006A7FC0"/>
    <w:rsid w:val="006B08DE"/>
    <w:rsid w:val="006B0A71"/>
    <w:rsid w:val="006B1156"/>
    <w:rsid w:val="006B2237"/>
    <w:rsid w:val="006B2526"/>
    <w:rsid w:val="006B38FA"/>
    <w:rsid w:val="006B407B"/>
    <w:rsid w:val="006B4268"/>
    <w:rsid w:val="006B42A9"/>
    <w:rsid w:val="006B49E0"/>
    <w:rsid w:val="006B4DBE"/>
    <w:rsid w:val="006B5560"/>
    <w:rsid w:val="006B6082"/>
    <w:rsid w:val="006B66DC"/>
    <w:rsid w:val="006B74D1"/>
    <w:rsid w:val="006B75F9"/>
    <w:rsid w:val="006C0632"/>
    <w:rsid w:val="006C09AC"/>
    <w:rsid w:val="006C0A88"/>
    <w:rsid w:val="006C20FA"/>
    <w:rsid w:val="006C246F"/>
    <w:rsid w:val="006C25E7"/>
    <w:rsid w:val="006C27DC"/>
    <w:rsid w:val="006C2DBD"/>
    <w:rsid w:val="006C3834"/>
    <w:rsid w:val="006C3DB7"/>
    <w:rsid w:val="006C4A98"/>
    <w:rsid w:val="006C50FC"/>
    <w:rsid w:val="006C66C6"/>
    <w:rsid w:val="006C66F9"/>
    <w:rsid w:val="006D034E"/>
    <w:rsid w:val="006D0BEB"/>
    <w:rsid w:val="006D0E45"/>
    <w:rsid w:val="006D1A26"/>
    <w:rsid w:val="006D233D"/>
    <w:rsid w:val="006D3E03"/>
    <w:rsid w:val="006D46AB"/>
    <w:rsid w:val="006D46D4"/>
    <w:rsid w:val="006D59C0"/>
    <w:rsid w:val="006D5ADE"/>
    <w:rsid w:val="006D5E78"/>
    <w:rsid w:val="006D6B76"/>
    <w:rsid w:val="006D6E95"/>
    <w:rsid w:val="006E0195"/>
    <w:rsid w:val="006E15EA"/>
    <w:rsid w:val="006E17C1"/>
    <w:rsid w:val="006E21A9"/>
    <w:rsid w:val="006E2E0D"/>
    <w:rsid w:val="006E33F1"/>
    <w:rsid w:val="006E3CB2"/>
    <w:rsid w:val="006E3EC5"/>
    <w:rsid w:val="006E4551"/>
    <w:rsid w:val="006E53A6"/>
    <w:rsid w:val="006E58A4"/>
    <w:rsid w:val="006E65DC"/>
    <w:rsid w:val="006E7B94"/>
    <w:rsid w:val="006F060F"/>
    <w:rsid w:val="006F1A0F"/>
    <w:rsid w:val="006F1FB6"/>
    <w:rsid w:val="006F21FC"/>
    <w:rsid w:val="006F278B"/>
    <w:rsid w:val="006F2B43"/>
    <w:rsid w:val="006F2F44"/>
    <w:rsid w:val="006F469C"/>
    <w:rsid w:val="006F52E1"/>
    <w:rsid w:val="006F65A8"/>
    <w:rsid w:val="006F7183"/>
    <w:rsid w:val="006F7A24"/>
    <w:rsid w:val="006F7F2F"/>
    <w:rsid w:val="0070035B"/>
    <w:rsid w:val="00700965"/>
    <w:rsid w:val="00700BDA"/>
    <w:rsid w:val="00701B03"/>
    <w:rsid w:val="00701B13"/>
    <w:rsid w:val="00703CA6"/>
    <w:rsid w:val="00703D47"/>
    <w:rsid w:val="00703E20"/>
    <w:rsid w:val="00704A02"/>
    <w:rsid w:val="00704BB1"/>
    <w:rsid w:val="007051B6"/>
    <w:rsid w:val="007056B2"/>
    <w:rsid w:val="00705D84"/>
    <w:rsid w:val="007061B9"/>
    <w:rsid w:val="00706711"/>
    <w:rsid w:val="00706817"/>
    <w:rsid w:val="00706AA4"/>
    <w:rsid w:val="00706B7D"/>
    <w:rsid w:val="0070747F"/>
    <w:rsid w:val="00707681"/>
    <w:rsid w:val="00707A09"/>
    <w:rsid w:val="00711446"/>
    <w:rsid w:val="00711508"/>
    <w:rsid w:val="0071276A"/>
    <w:rsid w:val="00712D1D"/>
    <w:rsid w:val="00714BB9"/>
    <w:rsid w:val="00714C8A"/>
    <w:rsid w:val="00715A54"/>
    <w:rsid w:val="00715E7E"/>
    <w:rsid w:val="00717096"/>
    <w:rsid w:val="00717B2E"/>
    <w:rsid w:val="00717F51"/>
    <w:rsid w:val="0072027E"/>
    <w:rsid w:val="007209CF"/>
    <w:rsid w:val="00720ABC"/>
    <w:rsid w:val="00722FC0"/>
    <w:rsid w:val="00723294"/>
    <w:rsid w:val="00723788"/>
    <w:rsid w:val="00723B04"/>
    <w:rsid w:val="00723BBA"/>
    <w:rsid w:val="00723DB3"/>
    <w:rsid w:val="00724EF8"/>
    <w:rsid w:val="00725163"/>
    <w:rsid w:val="00725405"/>
    <w:rsid w:val="00726681"/>
    <w:rsid w:val="00726C40"/>
    <w:rsid w:val="00727DBA"/>
    <w:rsid w:val="00727DDE"/>
    <w:rsid w:val="00727E58"/>
    <w:rsid w:val="00730D7B"/>
    <w:rsid w:val="00731C9C"/>
    <w:rsid w:val="0073255E"/>
    <w:rsid w:val="007328DC"/>
    <w:rsid w:val="00732F21"/>
    <w:rsid w:val="0073370C"/>
    <w:rsid w:val="007345C0"/>
    <w:rsid w:val="007347C2"/>
    <w:rsid w:val="007349BB"/>
    <w:rsid w:val="00735798"/>
    <w:rsid w:val="00735FBC"/>
    <w:rsid w:val="007360E6"/>
    <w:rsid w:val="007364A6"/>
    <w:rsid w:val="00736727"/>
    <w:rsid w:val="00736988"/>
    <w:rsid w:val="00737211"/>
    <w:rsid w:val="007372A4"/>
    <w:rsid w:val="00737B18"/>
    <w:rsid w:val="00740238"/>
    <w:rsid w:val="00740A09"/>
    <w:rsid w:val="00740D1A"/>
    <w:rsid w:val="00740EB6"/>
    <w:rsid w:val="00742119"/>
    <w:rsid w:val="00743809"/>
    <w:rsid w:val="00745651"/>
    <w:rsid w:val="00745790"/>
    <w:rsid w:val="00745A14"/>
    <w:rsid w:val="0074690A"/>
    <w:rsid w:val="00746E3E"/>
    <w:rsid w:val="00747C7F"/>
    <w:rsid w:val="0075202A"/>
    <w:rsid w:val="00752596"/>
    <w:rsid w:val="0075348E"/>
    <w:rsid w:val="00753705"/>
    <w:rsid w:val="00755648"/>
    <w:rsid w:val="00756027"/>
    <w:rsid w:val="007560B0"/>
    <w:rsid w:val="007566E7"/>
    <w:rsid w:val="007569A4"/>
    <w:rsid w:val="00756E82"/>
    <w:rsid w:val="0076095D"/>
    <w:rsid w:val="00760FD7"/>
    <w:rsid w:val="007624A5"/>
    <w:rsid w:val="0076281D"/>
    <w:rsid w:val="007631F8"/>
    <w:rsid w:val="00764254"/>
    <w:rsid w:val="00764526"/>
    <w:rsid w:val="00765E6C"/>
    <w:rsid w:val="00766B82"/>
    <w:rsid w:val="00767808"/>
    <w:rsid w:val="00767D5C"/>
    <w:rsid w:val="007715F4"/>
    <w:rsid w:val="007723C4"/>
    <w:rsid w:val="007730B5"/>
    <w:rsid w:val="007746FA"/>
    <w:rsid w:val="00774CAD"/>
    <w:rsid w:val="00774CEF"/>
    <w:rsid w:val="00774F42"/>
    <w:rsid w:val="00776F8E"/>
    <w:rsid w:val="00777466"/>
    <w:rsid w:val="00777839"/>
    <w:rsid w:val="00777C5C"/>
    <w:rsid w:val="007804CB"/>
    <w:rsid w:val="007809D7"/>
    <w:rsid w:val="00780AED"/>
    <w:rsid w:val="00780EAF"/>
    <w:rsid w:val="00780FA3"/>
    <w:rsid w:val="00781389"/>
    <w:rsid w:val="007819B6"/>
    <w:rsid w:val="0078224D"/>
    <w:rsid w:val="0078441E"/>
    <w:rsid w:val="00784425"/>
    <w:rsid w:val="00784982"/>
    <w:rsid w:val="00785289"/>
    <w:rsid w:val="0078545C"/>
    <w:rsid w:val="0078575E"/>
    <w:rsid w:val="00785AD0"/>
    <w:rsid w:val="00785D64"/>
    <w:rsid w:val="00785DDC"/>
    <w:rsid w:val="00786AFC"/>
    <w:rsid w:val="00787BD4"/>
    <w:rsid w:val="007901C9"/>
    <w:rsid w:val="007903C7"/>
    <w:rsid w:val="007904A7"/>
    <w:rsid w:val="007905D2"/>
    <w:rsid w:val="00790EC6"/>
    <w:rsid w:val="0079163E"/>
    <w:rsid w:val="0079229D"/>
    <w:rsid w:val="007923E5"/>
    <w:rsid w:val="007929F5"/>
    <w:rsid w:val="00793B7A"/>
    <w:rsid w:val="00794026"/>
    <w:rsid w:val="00794955"/>
    <w:rsid w:val="00794E2C"/>
    <w:rsid w:val="007971D2"/>
    <w:rsid w:val="00797474"/>
    <w:rsid w:val="007A033B"/>
    <w:rsid w:val="007A034E"/>
    <w:rsid w:val="007A1A99"/>
    <w:rsid w:val="007A23E6"/>
    <w:rsid w:val="007A298E"/>
    <w:rsid w:val="007A3D64"/>
    <w:rsid w:val="007A3E9B"/>
    <w:rsid w:val="007A6572"/>
    <w:rsid w:val="007A67C0"/>
    <w:rsid w:val="007A6FC8"/>
    <w:rsid w:val="007A754E"/>
    <w:rsid w:val="007A7720"/>
    <w:rsid w:val="007B05E1"/>
    <w:rsid w:val="007B08F0"/>
    <w:rsid w:val="007B0DE4"/>
    <w:rsid w:val="007B0FA3"/>
    <w:rsid w:val="007B1939"/>
    <w:rsid w:val="007B200A"/>
    <w:rsid w:val="007B255B"/>
    <w:rsid w:val="007B281F"/>
    <w:rsid w:val="007B3F40"/>
    <w:rsid w:val="007B4705"/>
    <w:rsid w:val="007B4C8A"/>
    <w:rsid w:val="007B5FE1"/>
    <w:rsid w:val="007B664B"/>
    <w:rsid w:val="007B6BA2"/>
    <w:rsid w:val="007B6D6F"/>
    <w:rsid w:val="007B7295"/>
    <w:rsid w:val="007B7513"/>
    <w:rsid w:val="007B7D79"/>
    <w:rsid w:val="007C0A42"/>
    <w:rsid w:val="007C174B"/>
    <w:rsid w:val="007C1A49"/>
    <w:rsid w:val="007C1D7C"/>
    <w:rsid w:val="007C1F62"/>
    <w:rsid w:val="007C2CFB"/>
    <w:rsid w:val="007C2E0C"/>
    <w:rsid w:val="007C3228"/>
    <w:rsid w:val="007C395B"/>
    <w:rsid w:val="007C41A9"/>
    <w:rsid w:val="007C5355"/>
    <w:rsid w:val="007C5FD5"/>
    <w:rsid w:val="007C61CE"/>
    <w:rsid w:val="007C62E9"/>
    <w:rsid w:val="007C6E1D"/>
    <w:rsid w:val="007D1B82"/>
    <w:rsid w:val="007D34FA"/>
    <w:rsid w:val="007D3511"/>
    <w:rsid w:val="007D373F"/>
    <w:rsid w:val="007D3D9A"/>
    <w:rsid w:val="007D5345"/>
    <w:rsid w:val="007D5346"/>
    <w:rsid w:val="007D59BF"/>
    <w:rsid w:val="007D6A45"/>
    <w:rsid w:val="007E09C0"/>
    <w:rsid w:val="007E23E7"/>
    <w:rsid w:val="007E27F3"/>
    <w:rsid w:val="007E5227"/>
    <w:rsid w:val="007E5A9E"/>
    <w:rsid w:val="007E5DD4"/>
    <w:rsid w:val="007E631F"/>
    <w:rsid w:val="007E6B97"/>
    <w:rsid w:val="007E7C0E"/>
    <w:rsid w:val="007E7C4F"/>
    <w:rsid w:val="007F03A5"/>
    <w:rsid w:val="007F08BE"/>
    <w:rsid w:val="007F0AD7"/>
    <w:rsid w:val="007F0D3F"/>
    <w:rsid w:val="007F0D99"/>
    <w:rsid w:val="007F0F44"/>
    <w:rsid w:val="007F11E0"/>
    <w:rsid w:val="007F17DB"/>
    <w:rsid w:val="007F1BBA"/>
    <w:rsid w:val="007F1D6F"/>
    <w:rsid w:val="007F215B"/>
    <w:rsid w:val="007F2B92"/>
    <w:rsid w:val="007F485A"/>
    <w:rsid w:val="007F502D"/>
    <w:rsid w:val="007F5283"/>
    <w:rsid w:val="007F5321"/>
    <w:rsid w:val="007F56E3"/>
    <w:rsid w:val="007F591C"/>
    <w:rsid w:val="007F5960"/>
    <w:rsid w:val="007F6B79"/>
    <w:rsid w:val="008000AB"/>
    <w:rsid w:val="0080145C"/>
    <w:rsid w:val="008021B7"/>
    <w:rsid w:val="0080240B"/>
    <w:rsid w:val="00802545"/>
    <w:rsid w:val="0080359F"/>
    <w:rsid w:val="00803785"/>
    <w:rsid w:val="008051AE"/>
    <w:rsid w:val="008057BE"/>
    <w:rsid w:val="008058FB"/>
    <w:rsid w:val="00805AED"/>
    <w:rsid w:val="00805C75"/>
    <w:rsid w:val="00806161"/>
    <w:rsid w:val="0080680D"/>
    <w:rsid w:val="00810544"/>
    <w:rsid w:val="008105E2"/>
    <w:rsid w:val="00810CD8"/>
    <w:rsid w:val="0081133B"/>
    <w:rsid w:val="00811438"/>
    <w:rsid w:val="008115B8"/>
    <w:rsid w:val="00813E17"/>
    <w:rsid w:val="008146FD"/>
    <w:rsid w:val="00814B76"/>
    <w:rsid w:val="00814EBC"/>
    <w:rsid w:val="00815001"/>
    <w:rsid w:val="008155D0"/>
    <w:rsid w:val="0081564B"/>
    <w:rsid w:val="00815782"/>
    <w:rsid w:val="008157F4"/>
    <w:rsid w:val="00815CFB"/>
    <w:rsid w:val="00815E94"/>
    <w:rsid w:val="00817992"/>
    <w:rsid w:val="008204D4"/>
    <w:rsid w:val="008206CA"/>
    <w:rsid w:val="00821116"/>
    <w:rsid w:val="00822B0F"/>
    <w:rsid w:val="00822BAC"/>
    <w:rsid w:val="00822F00"/>
    <w:rsid w:val="0082389A"/>
    <w:rsid w:val="00824102"/>
    <w:rsid w:val="00825D41"/>
    <w:rsid w:val="00826ECC"/>
    <w:rsid w:val="00826FD5"/>
    <w:rsid w:val="00830F20"/>
    <w:rsid w:val="00831A6B"/>
    <w:rsid w:val="00832461"/>
    <w:rsid w:val="0083286F"/>
    <w:rsid w:val="00835E7F"/>
    <w:rsid w:val="00835EEB"/>
    <w:rsid w:val="008371F3"/>
    <w:rsid w:val="0083736C"/>
    <w:rsid w:val="00837549"/>
    <w:rsid w:val="00837F5F"/>
    <w:rsid w:val="00840922"/>
    <w:rsid w:val="008414BA"/>
    <w:rsid w:val="008419FD"/>
    <w:rsid w:val="00841DC3"/>
    <w:rsid w:val="00841E7E"/>
    <w:rsid w:val="00842CC0"/>
    <w:rsid w:val="00842E5C"/>
    <w:rsid w:val="008430BB"/>
    <w:rsid w:val="00844A28"/>
    <w:rsid w:val="00844FE5"/>
    <w:rsid w:val="00846100"/>
    <w:rsid w:val="008462C1"/>
    <w:rsid w:val="0084658A"/>
    <w:rsid w:val="00846A2F"/>
    <w:rsid w:val="00847FF8"/>
    <w:rsid w:val="008503EC"/>
    <w:rsid w:val="00850B6A"/>
    <w:rsid w:val="00850CD9"/>
    <w:rsid w:val="008519FD"/>
    <w:rsid w:val="00852BE1"/>
    <w:rsid w:val="00852D44"/>
    <w:rsid w:val="00854872"/>
    <w:rsid w:val="008550AA"/>
    <w:rsid w:val="00855583"/>
    <w:rsid w:val="00855D47"/>
    <w:rsid w:val="00855EEF"/>
    <w:rsid w:val="00856DC2"/>
    <w:rsid w:val="00856FF1"/>
    <w:rsid w:val="00857995"/>
    <w:rsid w:val="00857E2B"/>
    <w:rsid w:val="00857F28"/>
    <w:rsid w:val="00860AB4"/>
    <w:rsid w:val="00861219"/>
    <w:rsid w:val="0086156E"/>
    <w:rsid w:val="008625A2"/>
    <w:rsid w:val="00862848"/>
    <w:rsid w:val="00862A23"/>
    <w:rsid w:val="00862C85"/>
    <w:rsid w:val="00862D85"/>
    <w:rsid w:val="008633A1"/>
    <w:rsid w:val="00863A75"/>
    <w:rsid w:val="00864A39"/>
    <w:rsid w:val="0086584C"/>
    <w:rsid w:val="00865920"/>
    <w:rsid w:val="0086631A"/>
    <w:rsid w:val="00866C23"/>
    <w:rsid w:val="00866C2F"/>
    <w:rsid w:val="0086712F"/>
    <w:rsid w:val="0086773B"/>
    <w:rsid w:val="00867A78"/>
    <w:rsid w:val="00867ACB"/>
    <w:rsid w:val="00867CD4"/>
    <w:rsid w:val="00867ECC"/>
    <w:rsid w:val="008706ED"/>
    <w:rsid w:val="00870BDA"/>
    <w:rsid w:val="00870C78"/>
    <w:rsid w:val="0087213B"/>
    <w:rsid w:val="00872690"/>
    <w:rsid w:val="00872E57"/>
    <w:rsid w:val="00873535"/>
    <w:rsid w:val="00873E60"/>
    <w:rsid w:val="0087537E"/>
    <w:rsid w:val="008757DB"/>
    <w:rsid w:val="008763CC"/>
    <w:rsid w:val="0087643B"/>
    <w:rsid w:val="008768AC"/>
    <w:rsid w:val="00876DE1"/>
    <w:rsid w:val="00876E9B"/>
    <w:rsid w:val="0087797A"/>
    <w:rsid w:val="00877D6A"/>
    <w:rsid w:val="0088038B"/>
    <w:rsid w:val="008809E8"/>
    <w:rsid w:val="008810B6"/>
    <w:rsid w:val="0088173B"/>
    <w:rsid w:val="0088327A"/>
    <w:rsid w:val="008840A8"/>
    <w:rsid w:val="00884111"/>
    <w:rsid w:val="00885A9B"/>
    <w:rsid w:val="00886786"/>
    <w:rsid w:val="00886D72"/>
    <w:rsid w:val="00887319"/>
    <w:rsid w:val="00887831"/>
    <w:rsid w:val="00887FF7"/>
    <w:rsid w:val="00890033"/>
    <w:rsid w:val="008900E7"/>
    <w:rsid w:val="00890CA6"/>
    <w:rsid w:val="0089190C"/>
    <w:rsid w:val="00891F88"/>
    <w:rsid w:val="008923AB"/>
    <w:rsid w:val="00892E54"/>
    <w:rsid w:val="00892FA1"/>
    <w:rsid w:val="00894794"/>
    <w:rsid w:val="008950A7"/>
    <w:rsid w:val="008953DD"/>
    <w:rsid w:val="008962B0"/>
    <w:rsid w:val="008A060B"/>
    <w:rsid w:val="008A0F7F"/>
    <w:rsid w:val="008A4308"/>
    <w:rsid w:val="008A47E3"/>
    <w:rsid w:val="008A4DBA"/>
    <w:rsid w:val="008A624E"/>
    <w:rsid w:val="008A67D8"/>
    <w:rsid w:val="008A7475"/>
    <w:rsid w:val="008B01A2"/>
    <w:rsid w:val="008B0D72"/>
    <w:rsid w:val="008B1AD2"/>
    <w:rsid w:val="008B3791"/>
    <w:rsid w:val="008B441F"/>
    <w:rsid w:val="008B62B3"/>
    <w:rsid w:val="008B65E4"/>
    <w:rsid w:val="008B6BE9"/>
    <w:rsid w:val="008B79DA"/>
    <w:rsid w:val="008B7F35"/>
    <w:rsid w:val="008C0600"/>
    <w:rsid w:val="008C1423"/>
    <w:rsid w:val="008C1CA2"/>
    <w:rsid w:val="008C21A1"/>
    <w:rsid w:val="008C2352"/>
    <w:rsid w:val="008C2A50"/>
    <w:rsid w:val="008C2CEF"/>
    <w:rsid w:val="008C3444"/>
    <w:rsid w:val="008C410E"/>
    <w:rsid w:val="008C4D29"/>
    <w:rsid w:val="008C5115"/>
    <w:rsid w:val="008C7023"/>
    <w:rsid w:val="008C7B98"/>
    <w:rsid w:val="008D01B9"/>
    <w:rsid w:val="008D116A"/>
    <w:rsid w:val="008D127D"/>
    <w:rsid w:val="008D190B"/>
    <w:rsid w:val="008D1B0B"/>
    <w:rsid w:val="008D239A"/>
    <w:rsid w:val="008D2A5C"/>
    <w:rsid w:val="008D3101"/>
    <w:rsid w:val="008D3A8F"/>
    <w:rsid w:val="008D3CAD"/>
    <w:rsid w:val="008D4F14"/>
    <w:rsid w:val="008D5145"/>
    <w:rsid w:val="008D6193"/>
    <w:rsid w:val="008D671A"/>
    <w:rsid w:val="008D6C48"/>
    <w:rsid w:val="008E100F"/>
    <w:rsid w:val="008E1057"/>
    <w:rsid w:val="008E2F2A"/>
    <w:rsid w:val="008E4161"/>
    <w:rsid w:val="008E4891"/>
    <w:rsid w:val="008E4A50"/>
    <w:rsid w:val="008E596C"/>
    <w:rsid w:val="008E5EE9"/>
    <w:rsid w:val="008E6976"/>
    <w:rsid w:val="008F1796"/>
    <w:rsid w:val="008F1C0C"/>
    <w:rsid w:val="008F1F9A"/>
    <w:rsid w:val="008F2436"/>
    <w:rsid w:val="008F25C7"/>
    <w:rsid w:val="008F2B3B"/>
    <w:rsid w:val="008F31E3"/>
    <w:rsid w:val="008F32D2"/>
    <w:rsid w:val="008F3ED4"/>
    <w:rsid w:val="008F3F38"/>
    <w:rsid w:val="008F4A67"/>
    <w:rsid w:val="008F4EC9"/>
    <w:rsid w:val="008F5673"/>
    <w:rsid w:val="008F56CA"/>
    <w:rsid w:val="008F57D5"/>
    <w:rsid w:val="008F5EF4"/>
    <w:rsid w:val="008F725B"/>
    <w:rsid w:val="009003CD"/>
    <w:rsid w:val="00900FF9"/>
    <w:rsid w:val="009014B0"/>
    <w:rsid w:val="009018AB"/>
    <w:rsid w:val="00901F85"/>
    <w:rsid w:val="0090200E"/>
    <w:rsid w:val="0090235F"/>
    <w:rsid w:val="009027BD"/>
    <w:rsid w:val="00903C1D"/>
    <w:rsid w:val="00903C43"/>
    <w:rsid w:val="0090409B"/>
    <w:rsid w:val="00905144"/>
    <w:rsid w:val="009055BC"/>
    <w:rsid w:val="00905873"/>
    <w:rsid w:val="0090629B"/>
    <w:rsid w:val="009062EA"/>
    <w:rsid w:val="00906F02"/>
    <w:rsid w:val="009078F6"/>
    <w:rsid w:val="009102BA"/>
    <w:rsid w:val="00910367"/>
    <w:rsid w:val="00910B70"/>
    <w:rsid w:val="00910F1B"/>
    <w:rsid w:val="0091277E"/>
    <w:rsid w:val="0091295A"/>
    <w:rsid w:val="00912D0C"/>
    <w:rsid w:val="009132E2"/>
    <w:rsid w:val="009134B8"/>
    <w:rsid w:val="00913FA2"/>
    <w:rsid w:val="00915C11"/>
    <w:rsid w:val="00916836"/>
    <w:rsid w:val="0091732A"/>
    <w:rsid w:val="0092098D"/>
    <w:rsid w:val="009210D9"/>
    <w:rsid w:val="00921C47"/>
    <w:rsid w:val="00921D47"/>
    <w:rsid w:val="00921DB9"/>
    <w:rsid w:val="00922C7F"/>
    <w:rsid w:val="0092317C"/>
    <w:rsid w:val="00923E07"/>
    <w:rsid w:val="00924188"/>
    <w:rsid w:val="00924969"/>
    <w:rsid w:val="00924E04"/>
    <w:rsid w:val="009253A7"/>
    <w:rsid w:val="009259B8"/>
    <w:rsid w:val="00925B31"/>
    <w:rsid w:val="0092602A"/>
    <w:rsid w:val="00926201"/>
    <w:rsid w:val="0092647F"/>
    <w:rsid w:val="0092661E"/>
    <w:rsid w:val="00926CDE"/>
    <w:rsid w:val="00926D3A"/>
    <w:rsid w:val="00927702"/>
    <w:rsid w:val="00927A61"/>
    <w:rsid w:val="00930A57"/>
    <w:rsid w:val="00931194"/>
    <w:rsid w:val="009314BC"/>
    <w:rsid w:val="00931C4E"/>
    <w:rsid w:val="00932683"/>
    <w:rsid w:val="00932A79"/>
    <w:rsid w:val="009335AA"/>
    <w:rsid w:val="00933C3F"/>
    <w:rsid w:val="00933FDC"/>
    <w:rsid w:val="0093657F"/>
    <w:rsid w:val="009368CE"/>
    <w:rsid w:val="00936A18"/>
    <w:rsid w:val="00937AE9"/>
    <w:rsid w:val="00937FCF"/>
    <w:rsid w:val="00940557"/>
    <w:rsid w:val="009412DC"/>
    <w:rsid w:val="00942309"/>
    <w:rsid w:val="00942825"/>
    <w:rsid w:val="009445CA"/>
    <w:rsid w:val="009445CF"/>
    <w:rsid w:val="00944EF1"/>
    <w:rsid w:val="00945FF5"/>
    <w:rsid w:val="00946929"/>
    <w:rsid w:val="00946A9A"/>
    <w:rsid w:val="00946E4C"/>
    <w:rsid w:val="00946EB7"/>
    <w:rsid w:val="0094746F"/>
    <w:rsid w:val="0094752D"/>
    <w:rsid w:val="00947ACA"/>
    <w:rsid w:val="00947C21"/>
    <w:rsid w:val="00947D8C"/>
    <w:rsid w:val="00950604"/>
    <w:rsid w:val="00951581"/>
    <w:rsid w:val="0095199B"/>
    <w:rsid w:val="00953493"/>
    <w:rsid w:val="00953C70"/>
    <w:rsid w:val="00953DF4"/>
    <w:rsid w:val="00954ADA"/>
    <w:rsid w:val="009555BC"/>
    <w:rsid w:val="00955736"/>
    <w:rsid w:val="00955849"/>
    <w:rsid w:val="00955C44"/>
    <w:rsid w:val="00955DA6"/>
    <w:rsid w:val="00956AED"/>
    <w:rsid w:val="00956DC7"/>
    <w:rsid w:val="00957A5E"/>
    <w:rsid w:val="00957E18"/>
    <w:rsid w:val="0096080D"/>
    <w:rsid w:val="00961E88"/>
    <w:rsid w:val="00962E6C"/>
    <w:rsid w:val="00963077"/>
    <w:rsid w:val="00965292"/>
    <w:rsid w:val="00965AE8"/>
    <w:rsid w:val="00965C38"/>
    <w:rsid w:val="00966916"/>
    <w:rsid w:val="00967A69"/>
    <w:rsid w:val="00967D77"/>
    <w:rsid w:val="0097011B"/>
    <w:rsid w:val="00971354"/>
    <w:rsid w:val="0097150B"/>
    <w:rsid w:val="00971692"/>
    <w:rsid w:val="00971762"/>
    <w:rsid w:val="009726AD"/>
    <w:rsid w:val="00972972"/>
    <w:rsid w:val="00972CF0"/>
    <w:rsid w:val="00973396"/>
    <w:rsid w:val="009739DF"/>
    <w:rsid w:val="0097430A"/>
    <w:rsid w:val="00974538"/>
    <w:rsid w:val="0097467A"/>
    <w:rsid w:val="00974694"/>
    <w:rsid w:val="009747DC"/>
    <w:rsid w:val="00974C0D"/>
    <w:rsid w:val="0097569C"/>
    <w:rsid w:val="00976043"/>
    <w:rsid w:val="00976D46"/>
    <w:rsid w:val="00976FAB"/>
    <w:rsid w:val="0097768A"/>
    <w:rsid w:val="00977E2E"/>
    <w:rsid w:val="00977F21"/>
    <w:rsid w:val="00980C61"/>
    <w:rsid w:val="009819B0"/>
    <w:rsid w:val="009828D4"/>
    <w:rsid w:val="009828FC"/>
    <w:rsid w:val="00982AFF"/>
    <w:rsid w:val="009833BA"/>
    <w:rsid w:val="009843B2"/>
    <w:rsid w:val="00986366"/>
    <w:rsid w:val="00986B0D"/>
    <w:rsid w:val="009901ED"/>
    <w:rsid w:val="00990ABA"/>
    <w:rsid w:val="009910FF"/>
    <w:rsid w:val="00991C10"/>
    <w:rsid w:val="00992A61"/>
    <w:rsid w:val="00992FD1"/>
    <w:rsid w:val="0099305C"/>
    <w:rsid w:val="00994056"/>
    <w:rsid w:val="0099569E"/>
    <w:rsid w:val="009966F3"/>
    <w:rsid w:val="00997CD2"/>
    <w:rsid w:val="009A1A47"/>
    <w:rsid w:val="009A1B72"/>
    <w:rsid w:val="009A1D71"/>
    <w:rsid w:val="009A30A3"/>
    <w:rsid w:val="009A3405"/>
    <w:rsid w:val="009A3AEF"/>
    <w:rsid w:val="009A4763"/>
    <w:rsid w:val="009A4DA1"/>
    <w:rsid w:val="009A52DB"/>
    <w:rsid w:val="009A59E7"/>
    <w:rsid w:val="009A5B36"/>
    <w:rsid w:val="009A5DC2"/>
    <w:rsid w:val="009A645D"/>
    <w:rsid w:val="009A6503"/>
    <w:rsid w:val="009A7224"/>
    <w:rsid w:val="009A7976"/>
    <w:rsid w:val="009A79D0"/>
    <w:rsid w:val="009B01BE"/>
    <w:rsid w:val="009B1447"/>
    <w:rsid w:val="009B16FF"/>
    <w:rsid w:val="009B1A8D"/>
    <w:rsid w:val="009B2376"/>
    <w:rsid w:val="009B2703"/>
    <w:rsid w:val="009B2B42"/>
    <w:rsid w:val="009B2CC3"/>
    <w:rsid w:val="009B2DA2"/>
    <w:rsid w:val="009B2E3D"/>
    <w:rsid w:val="009B37AF"/>
    <w:rsid w:val="009B5DB5"/>
    <w:rsid w:val="009B7747"/>
    <w:rsid w:val="009C079A"/>
    <w:rsid w:val="009C26E5"/>
    <w:rsid w:val="009C3CAC"/>
    <w:rsid w:val="009C434B"/>
    <w:rsid w:val="009C46E2"/>
    <w:rsid w:val="009C4838"/>
    <w:rsid w:val="009C65C6"/>
    <w:rsid w:val="009C6760"/>
    <w:rsid w:val="009C6B15"/>
    <w:rsid w:val="009C6EE9"/>
    <w:rsid w:val="009C77E9"/>
    <w:rsid w:val="009C7B59"/>
    <w:rsid w:val="009D0486"/>
    <w:rsid w:val="009D2C22"/>
    <w:rsid w:val="009D3FDC"/>
    <w:rsid w:val="009D473D"/>
    <w:rsid w:val="009D504E"/>
    <w:rsid w:val="009D556E"/>
    <w:rsid w:val="009D66C8"/>
    <w:rsid w:val="009D6F18"/>
    <w:rsid w:val="009D6F43"/>
    <w:rsid w:val="009D7606"/>
    <w:rsid w:val="009D7EDD"/>
    <w:rsid w:val="009E0F9E"/>
    <w:rsid w:val="009E215A"/>
    <w:rsid w:val="009E3AD3"/>
    <w:rsid w:val="009E3CDA"/>
    <w:rsid w:val="009E46AA"/>
    <w:rsid w:val="009E48DE"/>
    <w:rsid w:val="009E4F1F"/>
    <w:rsid w:val="009E5644"/>
    <w:rsid w:val="009E5994"/>
    <w:rsid w:val="009E5CCD"/>
    <w:rsid w:val="009E611B"/>
    <w:rsid w:val="009E631F"/>
    <w:rsid w:val="009E641C"/>
    <w:rsid w:val="009F0862"/>
    <w:rsid w:val="009F177B"/>
    <w:rsid w:val="009F1C76"/>
    <w:rsid w:val="009F20A1"/>
    <w:rsid w:val="009F2136"/>
    <w:rsid w:val="009F225C"/>
    <w:rsid w:val="009F3769"/>
    <w:rsid w:val="009F4552"/>
    <w:rsid w:val="009F4747"/>
    <w:rsid w:val="009F4770"/>
    <w:rsid w:val="009F505F"/>
    <w:rsid w:val="009F5166"/>
    <w:rsid w:val="009F5E64"/>
    <w:rsid w:val="009F666D"/>
    <w:rsid w:val="009F6793"/>
    <w:rsid w:val="009F6B5B"/>
    <w:rsid w:val="009F73F5"/>
    <w:rsid w:val="009F75F6"/>
    <w:rsid w:val="009F798E"/>
    <w:rsid w:val="009F7AB3"/>
    <w:rsid w:val="00A000BF"/>
    <w:rsid w:val="00A010E4"/>
    <w:rsid w:val="00A01863"/>
    <w:rsid w:val="00A01FBF"/>
    <w:rsid w:val="00A02110"/>
    <w:rsid w:val="00A02521"/>
    <w:rsid w:val="00A0277A"/>
    <w:rsid w:val="00A02AF1"/>
    <w:rsid w:val="00A02BA5"/>
    <w:rsid w:val="00A02BCC"/>
    <w:rsid w:val="00A0444B"/>
    <w:rsid w:val="00A053F2"/>
    <w:rsid w:val="00A07042"/>
    <w:rsid w:val="00A074C3"/>
    <w:rsid w:val="00A10222"/>
    <w:rsid w:val="00A10C99"/>
    <w:rsid w:val="00A11069"/>
    <w:rsid w:val="00A11517"/>
    <w:rsid w:val="00A115B4"/>
    <w:rsid w:val="00A11BE8"/>
    <w:rsid w:val="00A121F0"/>
    <w:rsid w:val="00A12582"/>
    <w:rsid w:val="00A12F85"/>
    <w:rsid w:val="00A131D3"/>
    <w:rsid w:val="00A1340C"/>
    <w:rsid w:val="00A13474"/>
    <w:rsid w:val="00A14073"/>
    <w:rsid w:val="00A147F2"/>
    <w:rsid w:val="00A14F78"/>
    <w:rsid w:val="00A14FBD"/>
    <w:rsid w:val="00A15773"/>
    <w:rsid w:val="00A16726"/>
    <w:rsid w:val="00A200A8"/>
    <w:rsid w:val="00A20B35"/>
    <w:rsid w:val="00A2111C"/>
    <w:rsid w:val="00A214FA"/>
    <w:rsid w:val="00A2161C"/>
    <w:rsid w:val="00A21D51"/>
    <w:rsid w:val="00A21FCB"/>
    <w:rsid w:val="00A21FF2"/>
    <w:rsid w:val="00A2301E"/>
    <w:rsid w:val="00A2316A"/>
    <w:rsid w:val="00A23DD3"/>
    <w:rsid w:val="00A244E1"/>
    <w:rsid w:val="00A24B87"/>
    <w:rsid w:val="00A251A7"/>
    <w:rsid w:val="00A251F3"/>
    <w:rsid w:val="00A2524E"/>
    <w:rsid w:val="00A2532C"/>
    <w:rsid w:val="00A254D5"/>
    <w:rsid w:val="00A26CBA"/>
    <w:rsid w:val="00A31BD7"/>
    <w:rsid w:val="00A328E0"/>
    <w:rsid w:val="00A32BA9"/>
    <w:rsid w:val="00A32DAE"/>
    <w:rsid w:val="00A32E64"/>
    <w:rsid w:val="00A33CF4"/>
    <w:rsid w:val="00A33CFB"/>
    <w:rsid w:val="00A33FBA"/>
    <w:rsid w:val="00A350A8"/>
    <w:rsid w:val="00A35A50"/>
    <w:rsid w:val="00A35E0D"/>
    <w:rsid w:val="00A3618A"/>
    <w:rsid w:val="00A365B5"/>
    <w:rsid w:val="00A36ECD"/>
    <w:rsid w:val="00A36F83"/>
    <w:rsid w:val="00A43608"/>
    <w:rsid w:val="00A475DF"/>
    <w:rsid w:val="00A50406"/>
    <w:rsid w:val="00A50CBB"/>
    <w:rsid w:val="00A531EC"/>
    <w:rsid w:val="00A53EB2"/>
    <w:rsid w:val="00A547A4"/>
    <w:rsid w:val="00A55450"/>
    <w:rsid w:val="00A557C1"/>
    <w:rsid w:val="00A55C22"/>
    <w:rsid w:val="00A55EB1"/>
    <w:rsid w:val="00A568E3"/>
    <w:rsid w:val="00A57211"/>
    <w:rsid w:val="00A5744B"/>
    <w:rsid w:val="00A608E0"/>
    <w:rsid w:val="00A61D96"/>
    <w:rsid w:val="00A62178"/>
    <w:rsid w:val="00A62539"/>
    <w:rsid w:val="00A62567"/>
    <w:rsid w:val="00A62AFD"/>
    <w:rsid w:val="00A63099"/>
    <w:rsid w:val="00A6519A"/>
    <w:rsid w:val="00A665F4"/>
    <w:rsid w:val="00A66CD2"/>
    <w:rsid w:val="00A67478"/>
    <w:rsid w:val="00A70022"/>
    <w:rsid w:val="00A7123B"/>
    <w:rsid w:val="00A712BC"/>
    <w:rsid w:val="00A71744"/>
    <w:rsid w:val="00A725F2"/>
    <w:rsid w:val="00A72EC9"/>
    <w:rsid w:val="00A72F88"/>
    <w:rsid w:val="00A73235"/>
    <w:rsid w:val="00A733FB"/>
    <w:rsid w:val="00A73692"/>
    <w:rsid w:val="00A74C2C"/>
    <w:rsid w:val="00A754D8"/>
    <w:rsid w:val="00A7578C"/>
    <w:rsid w:val="00A760D3"/>
    <w:rsid w:val="00A76208"/>
    <w:rsid w:val="00A76E41"/>
    <w:rsid w:val="00A7775B"/>
    <w:rsid w:val="00A7778B"/>
    <w:rsid w:val="00A80256"/>
    <w:rsid w:val="00A80862"/>
    <w:rsid w:val="00A80A3C"/>
    <w:rsid w:val="00A814B8"/>
    <w:rsid w:val="00A8157C"/>
    <w:rsid w:val="00A815FE"/>
    <w:rsid w:val="00A830C3"/>
    <w:rsid w:val="00A830D6"/>
    <w:rsid w:val="00A83296"/>
    <w:rsid w:val="00A8334A"/>
    <w:rsid w:val="00A83374"/>
    <w:rsid w:val="00A83381"/>
    <w:rsid w:val="00A83AC2"/>
    <w:rsid w:val="00A83FAB"/>
    <w:rsid w:val="00A84C73"/>
    <w:rsid w:val="00A84DB3"/>
    <w:rsid w:val="00A8651E"/>
    <w:rsid w:val="00A86813"/>
    <w:rsid w:val="00A9041E"/>
    <w:rsid w:val="00A912A0"/>
    <w:rsid w:val="00A91614"/>
    <w:rsid w:val="00A92718"/>
    <w:rsid w:val="00A92E34"/>
    <w:rsid w:val="00A9471A"/>
    <w:rsid w:val="00A949BE"/>
    <w:rsid w:val="00A9663E"/>
    <w:rsid w:val="00A97547"/>
    <w:rsid w:val="00A97B42"/>
    <w:rsid w:val="00AA0147"/>
    <w:rsid w:val="00AA0A7F"/>
    <w:rsid w:val="00AA0E70"/>
    <w:rsid w:val="00AA12EF"/>
    <w:rsid w:val="00AA136C"/>
    <w:rsid w:val="00AA1C09"/>
    <w:rsid w:val="00AA1F94"/>
    <w:rsid w:val="00AA27F4"/>
    <w:rsid w:val="00AA2E2A"/>
    <w:rsid w:val="00AA37EC"/>
    <w:rsid w:val="00AA3AE2"/>
    <w:rsid w:val="00AA3D30"/>
    <w:rsid w:val="00AA4319"/>
    <w:rsid w:val="00AA49FE"/>
    <w:rsid w:val="00AA4C05"/>
    <w:rsid w:val="00AA5BD8"/>
    <w:rsid w:val="00AA67D7"/>
    <w:rsid w:val="00AA73A1"/>
    <w:rsid w:val="00AB026A"/>
    <w:rsid w:val="00AB09AE"/>
    <w:rsid w:val="00AB0D82"/>
    <w:rsid w:val="00AB300B"/>
    <w:rsid w:val="00AB321D"/>
    <w:rsid w:val="00AB3578"/>
    <w:rsid w:val="00AB3B65"/>
    <w:rsid w:val="00AB5E1A"/>
    <w:rsid w:val="00AB79AA"/>
    <w:rsid w:val="00AC1963"/>
    <w:rsid w:val="00AC1BBC"/>
    <w:rsid w:val="00AC210D"/>
    <w:rsid w:val="00AC276E"/>
    <w:rsid w:val="00AC29C7"/>
    <w:rsid w:val="00AC2BA6"/>
    <w:rsid w:val="00AC2CDC"/>
    <w:rsid w:val="00AC30BA"/>
    <w:rsid w:val="00AC30D6"/>
    <w:rsid w:val="00AC378F"/>
    <w:rsid w:val="00AC39EC"/>
    <w:rsid w:val="00AC401E"/>
    <w:rsid w:val="00AC4BA3"/>
    <w:rsid w:val="00AC4D71"/>
    <w:rsid w:val="00AC5327"/>
    <w:rsid w:val="00AC551C"/>
    <w:rsid w:val="00AC5F03"/>
    <w:rsid w:val="00AC73C4"/>
    <w:rsid w:val="00AC75F3"/>
    <w:rsid w:val="00AC7B67"/>
    <w:rsid w:val="00AD07C5"/>
    <w:rsid w:val="00AD0800"/>
    <w:rsid w:val="00AD2283"/>
    <w:rsid w:val="00AD269F"/>
    <w:rsid w:val="00AD2868"/>
    <w:rsid w:val="00AD2B69"/>
    <w:rsid w:val="00AD2DD0"/>
    <w:rsid w:val="00AD314F"/>
    <w:rsid w:val="00AD4CFB"/>
    <w:rsid w:val="00AD5B41"/>
    <w:rsid w:val="00AD5F83"/>
    <w:rsid w:val="00AD72A3"/>
    <w:rsid w:val="00AD72D8"/>
    <w:rsid w:val="00AE02DE"/>
    <w:rsid w:val="00AE0300"/>
    <w:rsid w:val="00AE0EEA"/>
    <w:rsid w:val="00AE1369"/>
    <w:rsid w:val="00AE31C8"/>
    <w:rsid w:val="00AE4930"/>
    <w:rsid w:val="00AE5C8E"/>
    <w:rsid w:val="00AE6CD5"/>
    <w:rsid w:val="00AE6FA4"/>
    <w:rsid w:val="00AE70A4"/>
    <w:rsid w:val="00AE720D"/>
    <w:rsid w:val="00AE734F"/>
    <w:rsid w:val="00AF04F3"/>
    <w:rsid w:val="00AF0B6E"/>
    <w:rsid w:val="00AF1CBA"/>
    <w:rsid w:val="00AF30E2"/>
    <w:rsid w:val="00AF3492"/>
    <w:rsid w:val="00AF3A17"/>
    <w:rsid w:val="00AF3B7C"/>
    <w:rsid w:val="00AF3D9F"/>
    <w:rsid w:val="00AF3EED"/>
    <w:rsid w:val="00AF418D"/>
    <w:rsid w:val="00AF4D79"/>
    <w:rsid w:val="00AF540C"/>
    <w:rsid w:val="00AF6978"/>
    <w:rsid w:val="00AF6FC2"/>
    <w:rsid w:val="00AF72CB"/>
    <w:rsid w:val="00B001A0"/>
    <w:rsid w:val="00B00D4B"/>
    <w:rsid w:val="00B0160C"/>
    <w:rsid w:val="00B01C97"/>
    <w:rsid w:val="00B03672"/>
    <w:rsid w:val="00B0423B"/>
    <w:rsid w:val="00B055D6"/>
    <w:rsid w:val="00B06056"/>
    <w:rsid w:val="00B06069"/>
    <w:rsid w:val="00B06CC8"/>
    <w:rsid w:val="00B06FD7"/>
    <w:rsid w:val="00B0706B"/>
    <w:rsid w:val="00B07109"/>
    <w:rsid w:val="00B072F9"/>
    <w:rsid w:val="00B07654"/>
    <w:rsid w:val="00B07E7F"/>
    <w:rsid w:val="00B129BB"/>
    <w:rsid w:val="00B12C56"/>
    <w:rsid w:val="00B14F16"/>
    <w:rsid w:val="00B15A1B"/>
    <w:rsid w:val="00B15CE6"/>
    <w:rsid w:val="00B15DC5"/>
    <w:rsid w:val="00B162FA"/>
    <w:rsid w:val="00B16F4B"/>
    <w:rsid w:val="00B171E0"/>
    <w:rsid w:val="00B175AC"/>
    <w:rsid w:val="00B2072D"/>
    <w:rsid w:val="00B2158D"/>
    <w:rsid w:val="00B22049"/>
    <w:rsid w:val="00B226FC"/>
    <w:rsid w:val="00B24492"/>
    <w:rsid w:val="00B256B5"/>
    <w:rsid w:val="00B25FBA"/>
    <w:rsid w:val="00B262A5"/>
    <w:rsid w:val="00B269E4"/>
    <w:rsid w:val="00B277C4"/>
    <w:rsid w:val="00B27F36"/>
    <w:rsid w:val="00B30815"/>
    <w:rsid w:val="00B30CB2"/>
    <w:rsid w:val="00B30FA1"/>
    <w:rsid w:val="00B3288E"/>
    <w:rsid w:val="00B32A5C"/>
    <w:rsid w:val="00B32E88"/>
    <w:rsid w:val="00B342E1"/>
    <w:rsid w:val="00B34593"/>
    <w:rsid w:val="00B37516"/>
    <w:rsid w:val="00B377B7"/>
    <w:rsid w:val="00B37F17"/>
    <w:rsid w:val="00B406E0"/>
    <w:rsid w:val="00B40975"/>
    <w:rsid w:val="00B40C7B"/>
    <w:rsid w:val="00B40FD2"/>
    <w:rsid w:val="00B416DB"/>
    <w:rsid w:val="00B41929"/>
    <w:rsid w:val="00B41E03"/>
    <w:rsid w:val="00B43F24"/>
    <w:rsid w:val="00B44390"/>
    <w:rsid w:val="00B4480F"/>
    <w:rsid w:val="00B457CD"/>
    <w:rsid w:val="00B458DF"/>
    <w:rsid w:val="00B4674A"/>
    <w:rsid w:val="00B4690D"/>
    <w:rsid w:val="00B46E4E"/>
    <w:rsid w:val="00B47209"/>
    <w:rsid w:val="00B47536"/>
    <w:rsid w:val="00B4762D"/>
    <w:rsid w:val="00B50768"/>
    <w:rsid w:val="00B51172"/>
    <w:rsid w:val="00B51691"/>
    <w:rsid w:val="00B517E7"/>
    <w:rsid w:val="00B527AF"/>
    <w:rsid w:val="00B52F6E"/>
    <w:rsid w:val="00B534BF"/>
    <w:rsid w:val="00B55867"/>
    <w:rsid w:val="00B574FF"/>
    <w:rsid w:val="00B57957"/>
    <w:rsid w:val="00B60F8D"/>
    <w:rsid w:val="00B619DF"/>
    <w:rsid w:val="00B61AA2"/>
    <w:rsid w:val="00B62858"/>
    <w:rsid w:val="00B63429"/>
    <w:rsid w:val="00B634E5"/>
    <w:rsid w:val="00B63ACB"/>
    <w:rsid w:val="00B64C66"/>
    <w:rsid w:val="00B65C7D"/>
    <w:rsid w:val="00B6706A"/>
    <w:rsid w:val="00B67F2A"/>
    <w:rsid w:val="00B705E9"/>
    <w:rsid w:val="00B7099D"/>
    <w:rsid w:val="00B724A7"/>
    <w:rsid w:val="00B724CB"/>
    <w:rsid w:val="00B729E0"/>
    <w:rsid w:val="00B72C3C"/>
    <w:rsid w:val="00B74460"/>
    <w:rsid w:val="00B75127"/>
    <w:rsid w:val="00B75444"/>
    <w:rsid w:val="00B75F68"/>
    <w:rsid w:val="00B7665A"/>
    <w:rsid w:val="00B7689B"/>
    <w:rsid w:val="00B76A8C"/>
    <w:rsid w:val="00B77979"/>
    <w:rsid w:val="00B77B8D"/>
    <w:rsid w:val="00B77FEC"/>
    <w:rsid w:val="00B80B43"/>
    <w:rsid w:val="00B80DE8"/>
    <w:rsid w:val="00B811A8"/>
    <w:rsid w:val="00B81E0C"/>
    <w:rsid w:val="00B82B58"/>
    <w:rsid w:val="00B82BA3"/>
    <w:rsid w:val="00B82FAC"/>
    <w:rsid w:val="00B83BF9"/>
    <w:rsid w:val="00B840F6"/>
    <w:rsid w:val="00B845F1"/>
    <w:rsid w:val="00B84DCF"/>
    <w:rsid w:val="00B84E8D"/>
    <w:rsid w:val="00B86265"/>
    <w:rsid w:val="00B8658E"/>
    <w:rsid w:val="00B86B5A"/>
    <w:rsid w:val="00B86BDC"/>
    <w:rsid w:val="00B8728F"/>
    <w:rsid w:val="00B87578"/>
    <w:rsid w:val="00B87C2B"/>
    <w:rsid w:val="00B9045A"/>
    <w:rsid w:val="00B906A6"/>
    <w:rsid w:val="00B90C49"/>
    <w:rsid w:val="00B910A4"/>
    <w:rsid w:val="00B91FE7"/>
    <w:rsid w:val="00B93324"/>
    <w:rsid w:val="00B93840"/>
    <w:rsid w:val="00B93CB7"/>
    <w:rsid w:val="00B944AE"/>
    <w:rsid w:val="00B94572"/>
    <w:rsid w:val="00B94847"/>
    <w:rsid w:val="00B94B21"/>
    <w:rsid w:val="00B94F2A"/>
    <w:rsid w:val="00B94FDA"/>
    <w:rsid w:val="00B95501"/>
    <w:rsid w:val="00B9727E"/>
    <w:rsid w:val="00B9759D"/>
    <w:rsid w:val="00B97E03"/>
    <w:rsid w:val="00BA063C"/>
    <w:rsid w:val="00BA1338"/>
    <w:rsid w:val="00BA1372"/>
    <w:rsid w:val="00BA1503"/>
    <w:rsid w:val="00BA16B2"/>
    <w:rsid w:val="00BA20A2"/>
    <w:rsid w:val="00BA24EE"/>
    <w:rsid w:val="00BA2B15"/>
    <w:rsid w:val="00BA434C"/>
    <w:rsid w:val="00BA4791"/>
    <w:rsid w:val="00BA50EF"/>
    <w:rsid w:val="00BA5734"/>
    <w:rsid w:val="00BA5CFE"/>
    <w:rsid w:val="00BA61C9"/>
    <w:rsid w:val="00BA7348"/>
    <w:rsid w:val="00BA75AC"/>
    <w:rsid w:val="00BA7DF7"/>
    <w:rsid w:val="00BA7EFA"/>
    <w:rsid w:val="00BB09CB"/>
    <w:rsid w:val="00BB2577"/>
    <w:rsid w:val="00BB29C4"/>
    <w:rsid w:val="00BB39B7"/>
    <w:rsid w:val="00BB3BBB"/>
    <w:rsid w:val="00BB4E97"/>
    <w:rsid w:val="00BB4ECF"/>
    <w:rsid w:val="00BB57A2"/>
    <w:rsid w:val="00BB6BE0"/>
    <w:rsid w:val="00BC1394"/>
    <w:rsid w:val="00BC1C4D"/>
    <w:rsid w:val="00BC1D9A"/>
    <w:rsid w:val="00BC290B"/>
    <w:rsid w:val="00BC3E56"/>
    <w:rsid w:val="00BC487A"/>
    <w:rsid w:val="00BC4A47"/>
    <w:rsid w:val="00BC580D"/>
    <w:rsid w:val="00BC755E"/>
    <w:rsid w:val="00BC7667"/>
    <w:rsid w:val="00BC7A5F"/>
    <w:rsid w:val="00BC7DE1"/>
    <w:rsid w:val="00BC7EAB"/>
    <w:rsid w:val="00BD0478"/>
    <w:rsid w:val="00BD10EA"/>
    <w:rsid w:val="00BD1144"/>
    <w:rsid w:val="00BD18EE"/>
    <w:rsid w:val="00BD1D2B"/>
    <w:rsid w:val="00BD23AB"/>
    <w:rsid w:val="00BD31DF"/>
    <w:rsid w:val="00BD3F13"/>
    <w:rsid w:val="00BD439F"/>
    <w:rsid w:val="00BD5818"/>
    <w:rsid w:val="00BD6E96"/>
    <w:rsid w:val="00BD7271"/>
    <w:rsid w:val="00BD737D"/>
    <w:rsid w:val="00BE0A58"/>
    <w:rsid w:val="00BE124E"/>
    <w:rsid w:val="00BE1751"/>
    <w:rsid w:val="00BE2219"/>
    <w:rsid w:val="00BE285F"/>
    <w:rsid w:val="00BE2A03"/>
    <w:rsid w:val="00BE310E"/>
    <w:rsid w:val="00BE520C"/>
    <w:rsid w:val="00BE5E6D"/>
    <w:rsid w:val="00BE7332"/>
    <w:rsid w:val="00BE7755"/>
    <w:rsid w:val="00BE7C72"/>
    <w:rsid w:val="00BF0129"/>
    <w:rsid w:val="00BF0A6F"/>
    <w:rsid w:val="00BF1172"/>
    <w:rsid w:val="00BF271A"/>
    <w:rsid w:val="00BF289C"/>
    <w:rsid w:val="00BF2C56"/>
    <w:rsid w:val="00BF2E39"/>
    <w:rsid w:val="00BF3979"/>
    <w:rsid w:val="00BF4FB0"/>
    <w:rsid w:val="00BF5ADF"/>
    <w:rsid w:val="00BF61B5"/>
    <w:rsid w:val="00BF64E1"/>
    <w:rsid w:val="00C005F4"/>
    <w:rsid w:val="00C00AAE"/>
    <w:rsid w:val="00C013C9"/>
    <w:rsid w:val="00C026E6"/>
    <w:rsid w:val="00C030A6"/>
    <w:rsid w:val="00C03DE0"/>
    <w:rsid w:val="00C04CD8"/>
    <w:rsid w:val="00C04F57"/>
    <w:rsid w:val="00C061BE"/>
    <w:rsid w:val="00C06810"/>
    <w:rsid w:val="00C073BA"/>
    <w:rsid w:val="00C07767"/>
    <w:rsid w:val="00C1109A"/>
    <w:rsid w:val="00C1184E"/>
    <w:rsid w:val="00C119A9"/>
    <w:rsid w:val="00C11C15"/>
    <w:rsid w:val="00C121DE"/>
    <w:rsid w:val="00C13160"/>
    <w:rsid w:val="00C13FD2"/>
    <w:rsid w:val="00C140E8"/>
    <w:rsid w:val="00C157D3"/>
    <w:rsid w:val="00C15BC8"/>
    <w:rsid w:val="00C15E1E"/>
    <w:rsid w:val="00C1681D"/>
    <w:rsid w:val="00C1693B"/>
    <w:rsid w:val="00C17197"/>
    <w:rsid w:val="00C175B8"/>
    <w:rsid w:val="00C1785A"/>
    <w:rsid w:val="00C178D1"/>
    <w:rsid w:val="00C17F0B"/>
    <w:rsid w:val="00C209A3"/>
    <w:rsid w:val="00C21254"/>
    <w:rsid w:val="00C21323"/>
    <w:rsid w:val="00C22596"/>
    <w:rsid w:val="00C22BE3"/>
    <w:rsid w:val="00C23066"/>
    <w:rsid w:val="00C232EB"/>
    <w:rsid w:val="00C23AEF"/>
    <w:rsid w:val="00C23BA4"/>
    <w:rsid w:val="00C247C5"/>
    <w:rsid w:val="00C2749A"/>
    <w:rsid w:val="00C3028D"/>
    <w:rsid w:val="00C30378"/>
    <w:rsid w:val="00C310AF"/>
    <w:rsid w:val="00C316F7"/>
    <w:rsid w:val="00C3282F"/>
    <w:rsid w:val="00C3355F"/>
    <w:rsid w:val="00C3367F"/>
    <w:rsid w:val="00C33732"/>
    <w:rsid w:val="00C33DD1"/>
    <w:rsid w:val="00C34478"/>
    <w:rsid w:val="00C34AA5"/>
    <w:rsid w:val="00C3599A"/>
    <w:rsid w:val="00C4075D"/>
    <w:rsid w:val="00C42B3E"/>
    <w:rsid w:val="00C44068"/>
    <w:rsid w:val="00C44AAA"/>
    <w:rsid w:val="00C46691"/>
    <w:rsid w:val="00C46E45"/>
    <w:rsid w:val="00C470AD"/>
    <w:rsid w:val="00C47C9A"/>
    <w:rsid w:val="00C52999"/>
    <w:rsid w:val="00C529C3"/>
    <w:rsid w:val="00C531B8"/>
    <w:rsid w:val="00C53BA2"/>
    <w:rsid w:val="00C53E94"/>
    <w:rsid w:val="00C53ECE"/>
    <w:rsid w:val="00C5406D"/>
    <w:rsid w:val="00C5430D"/>
    <w:rsid w:val="00C551F4"/>
    <w:rsid w:val="00C55A47"/>
    <w:rsid w:val="00C563AF"/>
    <w:rsid w:val="00C57A0F"/>
    <w:rsid w:val="00C57D5D"/>
    <w:rsid w:val="00C57E44"/>
    <w:rsid w:val="00C609E8"/>
    <w:rsid w:val="00C6161A"/>
    <w:rsid w:val="00C61649"/>
    <w:rsid w:val="00C622EB"/>
    <w:rsid w:val="00C623A1"/>
    <w:rsid w:val="00C62942"/>
    <w:rsid w:val="00C62B5F"/>
    <w:rsid w:val="00C62FAE"/>
    <w:rsid w:val="00C63710"/>
    <w:rsid w:val="00C64CBA"/>
    <w:rsid w:val="00C64CD0"/>
    <w:rsid w:val="00C64FC6"/>
    <w:rsid w:val="00C655FA"/>
    <w:rsid w:val="00C656F1"/>
    <w:rsid w:val="00C65767"/>
    <w:rsid w:val="00C667F0"/>
    <w:rsid w:val="00C66AA0"/>
    <w:rsid w:val="00C67F07"/>
    <w:rsid w:val="00C708A6"/>
    <w:rsid w:val="00C71525"/>
    <w:rsid w:val="00C7178A"/>
    <w:rsid w:val="00C717AC"/>
    <w:rsid w:val="00C725CC"/>
    <w:rsid w:val="00C72C60"/>
    <w:rsid w:val="00C7570F"/>
    <w:rsid w:val="00C760B8"/>
    <w:rsid w:val="00C7641D"/>
    <w:rsid w:val="00C76A3D"/>
    <w:rsid w:val="00C77DE1"/>
    <w:rsid w:val="00C802A2"/>
    <w:rsid w:val="00C806E9"/>
    <w:rsid w:val="00C80D41"/>
    <w:rsid w:val="00C81103"/>
    <w:rsid w:val="00C83457"/>
    <w:rsid w:val="00C8380E"/>
    <w:rsid w:val="00C8498F"/>
    <w:rsid w:val="00C8543B"/>
    <w:rsid w:val="00C855F3"/>
    <w:rsid w:val="00C85A86"/>
    <w:rsid w:val="00C85E87"/>
    <w:rsid w:val="00C85F35"/>
    <w:rsid w:val="00C86BCB"/>
    <w:rsid w:val="00C86EF0"/>
    <w:rsid w:val="00C87073"/>
    <w:rsid w:val="00C8771B"/>
    <w:rsid w:val="00C87DDD"/>
    <w:rsid w:val="00C9181A"/>
    <w:rsid w:val="00C91ADE"/>
    <w:rsid w:val="00C91FB3"/>
    <w:rsid w:val="00C92C8A"/>
    <w:rsid w:val="00C92CBC"/>
    <w:rsid w:val="00C92E07"/>
    <w:rsid w:val="00C930C6"/>
    <w:rsid w:val="00C93641"/>
    <w:rsid w:val="00C936FC"/>
    <w:rsid w:val="00C94188"/>
    <w:rsid w:val="00C94FA7"/>
    <w:rsid w:val="00C97107"/>
    <w:rsid w:val="00CA02D2"/>
    <w:rsid w:val="00CA055E"/>
    <w:rsid w:val="00CA05A2"/>
    <w:rsid w:val="00CA0992"/>
    <w:rsid w:val="00CA1877"/>
    <w:rsid w:val="00CA1BB7"/>
    <w:rsid w:val="00CA1E2C"/>
    <w:rsid w:val="00CA2EEF"/>
    <w:rsid w:val="00CA32A6"/>
    <w:rsid w:val="00CA3429"/>
    <w:rsid w:val="00CA3788"/>
    <w:rsid w:val="00CA4349"/>
    <w:rsid w:val="00CA658D"/>
    <w:rsid w:val="00CA65DA"/>
    <w:rsid w:val="00CA7298"/>
    <w:rsid w:val="00CB1334"/>
    <w:rsid w:val="00CB3B89"/>
    <w:rsid w:val="00CB458B"/>
    <w:rsid w:val="00CB4692"/>
    <w:rsid w:val="00CB4BE9"/>
    <w:rsid w:val="00CB5292"/>
    <w:rsid w:val="00CB587D"/>
    <w:rsid w:val="00CB6C83"/>
    <w:rsid w:val="00CB6D40"/>
    <w:rsid w:val="00CB72F1"/>
    <w:rsid w:val="00CC1AF0"/>
    <w:rsid w:val="00CC2121"/>
    <w:rsid w:val="00CC22B9"/>
    <w:rsid w:val="00CC22E4"/>
    <w:rsid w:val="00CC3DFD"/>
    <w:rsid w:val="00CC4419"/>
    <w:rsid w:val="00CC4486"/>
    <w:rsid w:val="00CC53A7"/>
    <w:rsid w:val="00CC58FA"/>
    <w:rsid w:val="00CC5B7F"/>
    <w:rsid w:val="00CC5E5B"/>
    <w:rsid w:val="00CC7A6A"/>
    <w:rsid w:val="00CC7AEE"/>
    <w:rsid w:val="00CD077F"/>
    <w:rsid w:val="00CD0CDF"/>
    <w:rsid w:val="00CD0E27"/>
    <w:rsid w:val="00CD1269"/>
    <w:rsid w:val="00CD217C"/>
    <w:rsid w:val="00CD2C15"/>
    <w:rsid w:val="00CD3056"/>
    <w:rsid w:val="00CD314F"/>
    <w:rsid w:val="00CD324B"/>
    <w:rsid w:val="00CD45EF"/>
    <w:rsid w:val="00CD48FA"/>
    <w:rsid w:val="00CD4FCD"/>
    <w:rsid w:val="00CD5061"/>
    <w:rsid w:val="00CD53A0"/>
    <w:rsid w:val="00CD5C63"/>
    <w:rsid w:val="00CD5D7B"/>
    <w:rsid w:val="00CD6837"/>
    <w:rsid w:val="00CD685A"/>
    <w:rsid w:val="00CD6CC7"/>
    <w:rsid w:val="00CE05BF"/>
    <w:rsid w:val="00CE080E"/>
    <w:rsid w:val="00CE0D90"/>
    <w:rsid w:val="00CE15F9"/>
    <w:rsid w:val="00CE1B57"/>
    <w:rsid w:val="00CE28D3"/>
    <w:rsid w:val="00CE45F4"/>
    <w:rsid w:val="00CE4BCF"/>
    <w:rsid w:val="00CE4DDE"/>
    <w:rsid w:val="00CE4F3A"/>
    <w:rsid w:val="00CE500A"/>
    <w:rsid w:val="00CE5A2F"/>
    <w:rsid w:val="00CE5BB3"/>
    <w:rsid w:val="00CE645C"/>
    <w:rsid w:val="00CE6573"/>
    <w:rsid w:val="00CE7685"/>
    <w:rsid w:val="00CE7885"/>
    <w:rsid w:val="00CE7CDF"/>
    <w:rsid w:val="00CF0A29"/>
    <w:rsid w:val="00CF0C3C"/>
    <w:rsid w:val="00CF0D46"/>
    <w:rsid w:val="00CF0F3C"/>
    <w:rsid w:val="00CF132B"/>
    <w:rsid w:val="00CF1342"/>
    <w:rsid w:val="00CF14EC"/>
    <w:rsid w:val="00CF15FA"/>
    <w:rsid w:val="00CF1A53"/>
    <w:rsid w:val="00CF1B75"/>
    <w:rsid w:val="00CF1C56"/>
    <w:rsid w:val="00CF1F09"/>
    <w:rsid w:val="00CF2031"/>
    <w:rsid w:val="00CF3587"/>
    <w:rsid w:val="00CF40CF"/>
    <w:rsid w:val="00CF4539"/>
    <w:rsid w:val="00CF5415"/>
    <w:rsid w:val="00CF5C5A"/>
    <w:rsid w:val="00CF72CF"/>
    <w:rsid w:val="00CF745E"/>
    <w:rsid w:val="00CF7BD9"/>
    <w:rsid w:val="00CF7EA3"/>
    <w:rsid w:val="00D01082"/>
    <w:rsid w:val="00D01328"/>
    <w:rsid w:val="00D0221A"/>
    <w:rsid w:val="00D027D4"/>
    <w:rsid w:val="00D0305C"/>
    <w:rsid w:val="00D0306C"/>
    <w:rsid w:val="00D030D6"/>
    <w:rsid w:val="00D035E0"/>
    <w:rsid w:val="00D05344"/>
    <w:rsid w:val="00D05761"/>
    <w:rsid w:val="00D06CBB"/>
    <w:rsid w:val="00D06EDE"/>
    <w:rsid w:val="00D06F62"/>
    <w:rsid w:val="00D070BF"/>
    <w:rsid w:val="00D07DAC"/>
    <w:rsid w:val="00D10F13"/>
    <w:rsid w:val="00D10F5B"/>
    <w:rsid w:val="00D110F3"/>
    <w:rsid w:val="00D12145"/>
    <w:rsid w:val="00D1220F"/>
    <w:rsid w:val="00D12368"/>
    <w:rsid w:val="00D12742"/>
    <w:rsid w:val="00D12AAD"/>
    <w:rsid w:val="00D14C37"/>
    <w:rsid w:val="00D15991"/>
    <w:rsid w:val="00D15D1F"/>
    <w:rsid w:val="00D20C6A"/>
    <w:rsid w:val="00D20DBA"/>
    <w:rsid w:val="00D21ACE"/>
    <w:rsid w:val="00D22DE4"/>
    <w:rsid w:val="00D234C6"/>
    <w:rsid w:val="00D23FD6"/>
    <w:rsid w:val="00D24F0B"/>
    <w:rsid w:val="00D24FE7"/>
    <w:rsid w:val="00D26A04"/>
    <w:rsid w:val="00D27B8D"/>
    <w:rsid w:val="00D31FC4"/>
    <w:rsid w:val="00D32497"/>
    <w:rsid w:val="00D329CE"/>
    <w:rsid w:val="00D32EFA"/>
    <w:rsid w:val="00D33345"/>
    <w:rsid w:val="00D333DA"/>
    <w:rsid w:val="00D3352A"/>
    <w:rsid w:val="00D3389E"/>
    <w:rsid w:val="00D34E58"/>
    <w:rsid w:val="00D35C22"/>
    <w:rsid w:val="00D35DEB"/>
    <w:rsid w:val="00D37A66"/>
    <w:rsid w:val="00D37D4E"/>
    <w:rsid w:val="00D400AC"/>
    <w:rsid w:val="00D400C5"/>
    <w:rsid w:val="00D40572"/>
    <w:rsid w:val="00D41866"/>
    <w:rsid w:val="00D41BFB"/>
    <w:rsid w:val="00D429CB"/>
    <w:rsid w:val="00D4419A"/>
    <w:rsid w:val="00D44902"/>
    <w:rsid w:val="00D44B72"/>
    <w:rsid w:val="00D4538B"/>
    <w:rsid w:val="00D464A0"/>
    <w:rsid w:val="00D4690A"/>
    <w:rsid w:val="00D47A34"/>
    <w:rsid w:val="00D47AC9"/>
    <w:rsid w:val="00D47B3F"/>
    <w:rsid w:val="00D47DBD"/>
    <w:rsid w:val="00D51692"/>
    <w:rsid w:val="00D52057"/>
    <w:rsid w:val="00D520A3"/>
    <w:rsid w:val="00D52895"/>
    <w:rsid w:val="00D53383"/>
    <w:rsid w:val="00D535A7"/>
    <w:rsid w:val="00D5453A"/>
    <w:rsid w:val="00D565FF"/>
    <w:rsid w:val="00D56CE6"/>
    <w:rsid w:val="00D57174"/>
    <w:rsid w:val="00D5727C"/>
    <w:rsid w:val="00D578D5"/>
    <w:rsid w:val="00D604B4"/>
    <w:rsid w:val="00D61C60"/>
    <w:rsid w:val="00D62939"/>
    <w:rsid w:val="00D62F0E"/>
    <w:rsid w:val="00D63E98"/>
    <w:rsid w:val="00D6425B"/>
    <w:rsid w:val="00D65A45"/>
    <w:rsid w:val="00D65EE1"/>
    <w:rsid w:val="00D66A37"/>
    <w:rsid w:val="00D66F16"/>
    <w:rsid w:val="00D673C1"/>
    <w:rsid w:val="00D67969"/>
    <w:rsid w:val="00D704A2"/>
    <w:rsid w:val="00D71303"/>
    <w:rsid w:val="00D71AEC"/>
    <w:rsid w:val="00D71C9D"/>
    <w:rsid w:val="00D728D2"/>
    <w:rsid w:val="00D73A84"/>
    <w:rsid w:val="00D74A76"/>
    <w:rsid w:val="00D74EBA"/>
    <w:rsid w:val="00D753CC"/>
    <w:rsid w:val="00D76AAE"/>
    <w:rsid w:val="00D774F1"/>
    <w:rsid w:val="00D77567"/>
    <w:rsid w:val="00D776E5"/>
    <w:rsid w:val="00D80BF7"/>
    <w:rsid w:val="00D821B5"/>
    <w:rsid w:val="00D82790"/>
    <w:rsid w:val="00D82A91"/>
    <w:rsid w:val="00D82AD8"/>
    <w:rsid w:val="00D82B8E"/>
    <w:rsid w:val="00D83139"/>
    <w:rsid w:val="00D832DD"/>
    <w:rsid w:val="00D84508"/>
    <w:rsid w:val="00D84D9A"/>
    <w:rsid w:val="00D859F1"/>
    <w:rsid w:val="00D85E6B"/>
    <w:rsid w:val="00D868FF"/>
    <w:rsid w:val="00D86A79"/>
    <w:rsid w:val="00D86F2E"/>
    <w:rsid w:val="00D87AFE"/>
    <w:rsid w:val="00D912CE"/>
    <w:rsid w:val="00D93187"/>
    <w:rsid w:val="00D9468D"/>
    <w:rsid w:val="00D96120"/>
    <w:rsid w:val="00D96DAF"/>
    <w:rsid w:val="00D9750C"/>
    <w:rsid w:val="00D976BE"/>
    <w:rsid w:val="00DA0069"/>
    <w:rsid w:val="00DA17A9"/>
    <w:rsid w:val="00DA17AE"/>
    <w:rsid w:val="00DA17BC"/>
    <w:rsid w:val="00DA2733"/>
    <w:rsid w:val="00DA2896"/>
    <w:rsid w:val="00DA31AD"/>
    <w:rsid w:val="00DA36D3"/>
    <w:rsid w:val="00DA37F0"/>
    <w:rsid w:val="00DA3AD3"/>
    <w:rsid w:val="00DA494C"/>
    <w:rsid w:val="00DA597F"/>
    <w:rsid w:val="00DA5D97"/>
    <w:rsid w:val="00DA5F0E"/>
    <w:rsid w:val="00DA663F"/>
    <w:rsid w:val="00DA7087"/>
    <w:rsid w:val="00DA7256"/>
    <w:rsid w:val="00DA7ADF"/>
    <w:rsid w:val="00DB11A3"/>
    <w:rsid w:val="00DB16E4"/>
    <w:rsid w:val="00DB193A"/>
    <w:rsid w:val="00DB1AAB"/>
    <w:rsid w:val="00DB2127"/>
    <w:rsid w:val="00DB21AD"/>
    <w:rsid w:val="00DB2F74"/>
    <w:rsid w:val="00DB3546"/>
    <w:rsid w:val="00DB39B5"/>
    <w:rsid w:val="00DB412A"/>
    <w:rsid w:val="00DB4158"/>
    <w:rsid w:val="00DB4799"/>
    <w:rsid w:val="00DC0517"/>
    <w:rsid w:val="00DC14FA"/>
    <w:rsid w:val="00DC1662"/>
    <w:rsid w:val="00DC24D1"/>
    <w:rsid w:val="00DC28E8"/>
    <w:rsid w:val="00DC2D53"/>
    <w:rsid w:val="00DC40B5"/>
    <w:rsid w:val="00DC5117"/>
    <w:rsid w:val="00DC5273"/>
    <w:rsid w:val="00DC680D"/>
    <w:rsid w:val="00DC6CCE"/>
    <w:rsid w:val="00DC77BF"/>
    <w:rsid w:val="00DD1926"/>
    <w:rsid w:val="00DD1D20"/>
    <w:rsid w:val="00DD3B4D"/>
    <w:rsid w:val="00DD3D74"/>
    <w:rsid w:val="00DD425B"/>
    <w:rsid w:val="00DD4279"/>
    <w:rsid w:val="00DD4F26"/>
    <w:rsid w:val="00DD4FA1"/>
    <w:rsid w:val="00DD531C"/>
    <w:rsid w:val="00DD740F"/>
    <w:rsid w:val="00DE0FA8"/>
    <w:rsid w:val="00DE422A"/>
    <w:rsid w:val="00DE65F9"/>
    <w:rsid w:val="00DE70CF"/>
    <w:rsid w:val="00DE7C07"/>
    <w:rsid w:val="00DF0000"/>
    <w:rsid w:val="00DF05EF"/>
    <w:rsid w:val="00DF08A7"/>
    <w:rsid w:val="00DF0B42"/>
    <w:rsid w:val="00DF1755"/>
    <w:rsid w:val="00DF18EC"/>
    <w:rsid w:val="00DF253C"/>
    <w:rsid w:val="00DF2708"/>
    <w:rsid w:val="00DF3984"/>
    <w:rsid w:val="00DF4849"/>
    <w:rsid w:val="00DF4DF4"/>
    <w:rsid w:val="00DF5269"/>
    <w:rsid w:val="00DF5F0D"/>
    <w:rsid w:val="00E01EF7"/>
    <w:rsid w:val="00E01FC6"/>
    <w:rsid w:val="00E032A1"/>
    <w:rsid w:val="00E03300"/>
    <w:rsid w:val="00E034F9"/>
    <w:rsid w:val="00E04546"/>
    <w:rsid w:val="00E05E75"/>
    <w:rsid w:val="00E05E89"/>
    <w:rsid w:val="00E065A5"/>
    <w:rsid w:val="00E068BD"/>
    <w:rsid w:val="00E06DCA"/>
    <w:rsid w:val="00E107F8"/>
    <w:rsid w:val="00E10954"/>
    <w:rsid w:val="00E1114B"/>
    <w:rsid w:val="00E11664"/>
    <w:rsid w:val="00E11B88"/>
    <w:rsid w:val="00E11F70"/>
    <w:rsid w:val="00E11FB1"/>
    <w:rsid w:val="00E1322B"/>
    <w:rsid w:val="00E13969"/>
    <w:rsid w:val="00E1410A"/>
    <w:rsid w:val="00E147BE"/>
    <w:rsid w:val="00E157E1"/>
    <w:rsid w:val="00E17569"/>
    <w:rsid w:val="00E17961"/>
    <w:rsid w:val="00E17F3E"/>
    <w:rsid w:val="00E20757"/>
    <w:rsid w:val="00E20AC8"/>
    <w:rsid w:val="00E218A6"/>
    <w:rsid w:val="00E226BB"/>
    <w:rsid w:val="00E23078"/>
    <w:rsid w:val="00E2335E"/>
    <w:rsid w:val="00E23F43"/>
    <w:rsid w:val="00E242DD"/>
    <w:rsid w:val="00E24A40"/>
    <w:rsid w:val="00E25B25"/>
    <w:rsid w:val="00E31B01"/>
    <w:rsid w:val="00E31CB8"/>
    <w:rsid w:val="00E320F2"/>
    <w:rsid w:val="00E328C8"/>
    <w:rsid w:val="00E338B5"/>
    <w:rsid w:val="00E33F0C"/>
    <w:rsid w:val="00E366A2"/>
    <w:rsid w:val="00E366EF"/>
    <w:rsid w:val="00E36D10"/>
    <w:rsid w:val="00E372D7"/>
    <w:rsid w:val="00E37542"/>
    <w:rsid w:val="00E375DA"/>
    <w:rsid w:val="00E37839"/>
    <w:rsid w:val="00E4023E"/>
    <w:rsid w:val="00E42389"/>
    <w:rsid w:val="00E42EEC"/>
    <w:rsid w:val="00E43471"/>
    <w:rsid w:val="00E43AE0"/>
    <w:rsid w:val="00E43FA5"/>
    <w:rsid w:val="00E4476F"/>
    <w:rsid w:val="00E44C6C"/>
    <w:rsid w:val="00E44F5D"/>
    <w:rsid w:val="00E4739C"/>
    <w:rsid w:val="00E500BF"/>
    <w:rsid w:val="00E52AA1"/>
    <w:rsid w:val="00E52C32"/>
    <w:rsid w:val="00E5381B"/>
    <w:rsid w:val="00E541CF"/>
    <w:rsid w:val="00E54895"/>
    <w:rsid w:val="00E54C58"/>
    <w:rsid w:val="00E54E48"/>
    <w:rsid w:val="00E550BF"/>
    <w:rsid w:val="00E55CAC"/>
    <w:rsid w:val="00E5626A"/>
    <w:rsid w:val="00E5633A"/>
    <w:rsid w:val="00E56422"/>
    <w:rsid w:val="00E601F4"/>
    <w:rsid w:val="00E60A57"/>
    <w:rsid w:val="00E61E23"/>
    <w:rsid w:val="00E62A8E"/>
    <w:rsid w:val="00E62F26"/>
    <w:rsid w:val="00E632DF"/>
    <w:rsid w:val="00E634E0"/>
    <w:rsid w:val="00E63A0A"/>
    <w:rsid w:val="00E651A4"/>
    <w:rsid w:val="00E656B5"/>
    <w:rsid w:val="00E6586E"/>
    <w:rsid w:val="00E66CFB"/>
    <w:rsid w:val="00E67D86"/>
    <w:rsid w:val="00E67DAA"/>
    <w:rsid w:val="00E700D4"/>
    <w:rsid w:val="00E70F5B"/>
    <w:rsid w:val="00E71AA2"/>
    <w:rsid w:val="00E72298"/>
    <w:rsid w:val="00E72647"/>
    <w:rsid w:val="00E726DF"/>
    <w:rsid w:val="00E728FC"/>
    <w:rsid w:val="00E72DC5"/>
    <w:rsid w:val="00E7397E"/>
    <w:rsid w:val="00E73AE9"/>
    <w:rsid w:val="00E7455D"/>
    <w:rsid w:val="00E76716"/>
    <w:rsid w:val="00E7695B"/>
    <w:rsid w:val="00E8009B"/>
    <w:rsid w:val="00E81BEF"/>
    <w:rsid w:val="00E823BE"/>
    <w:rsid w:val="00E8300B"/>
    <w:rsid w:val="00E83F37"/>
    <w:rsid w:val="00E84404"/>
    <w:rsid w:val="00E84D5A"/>
    <w:rsid w:val="00E858E8"/>
    <w:rsid w:val="00E85C1C"/>
    <w:rsid w:val="00E85EFF"/>
    <w:rsid w:val="00E8675E"/>
    <w:rsid w:val="00E8730B"/>
    <w:rsid w:val="00E87943"/>
    <w:rsid w:val="00E9036B"/>
    <w:rsid w:val="00E91689"/>
    <w:rsid w:val="00E937DF"/>
    <w:rsid w:val="00E93E43"/>
    <w:rsid w:val="00E9472A"/>
    <w:rsid w:val="00E94743"/>
    <w:rsid w:val="00E94A4A"/>
    <w:rsid w:val="00E9542B"/>
    <w:rsid w:val="00E954F6"/>
    <w:rsid w:val="00E95867"/>
    <w:rsid w:val="00E95F2C"/>
    <w:rsid w:val="00E96A0A"/>
    <w:rsid w:val="00E96D57"/>
    <w:rsid w:val="00E96E84"/>
    <w:rsid w:val="00E97902"/>
    <w:rsid w:val="00EA039B"/>
    <w:rsid w:val="00EA0946"/>
    <w:rsid w:val="00EA14C0"/>
    <w:rsid w:val="00EA1812"/>
    <w:rsid w:val="00EA1B70"/>
    <w:rsid w:val="00EA1B8B"/>
    <w:rsid w:val="00EA3170"/>
    <w:rsid w:val="00EA3679"/>
    <w:rsid w:val="00EA3A7B"/>
    <w:rsid w:val="00EA3B40"/>
    <w:rsid w:val="00EA40BA"/>
    <w:rsid w:val="00EA50CD"/>
    <w:rsid w:val="00EB02AE"/>
    <w:rsid w:val="00EB07D8"/>
    <w:rsid w:val="00EB08C0"/>
    <w:rsid w:val="00EB12C4"/>
    <w:rsid w:val="00EB169E"/>
    <w:rsid w:val="00EB2358"/>
    <w:rsid w:val="00EB2F18"/>
    <w:rsid w:val="00EB3AC8"/>
    <w:rsid w:val="00EB48C4"/>
    <w:rsid w:val="00EB4A1D"/>
    <w:rsid w:val="00EB5519"/>
    <w:rsid w:val="00EB5557"/>
    <w:rsid w:val="00EB5784"/>
    <w:rsid w:val="00EB5F15"/>
    <w:rsid w:val="00EB5F27"/>
    <w:rsid w:val="00EB66D5"/>
    <w:rsid w:val="00EB6A2A"/>
    <w:rsid w:val="00EB7456"/>
    <w:rsid w:val="00EB79E9"/>
    <w:rsid w:val="00EB7B7A"/>
    <w:rsid w:val="00EB7BE6"/>
    <w:rsid w:val="00EB7C99"/>
    <w:rsid w:val="00EB7D16"/>
    <w:rsid w:val="00EB7FFE"/>
    <w:rsid w:val="00EC08B8"/>
    <w:rsid w:val="00EC195E"/>
    <w:rsid w:val="00EC2514"/>
    <w:rsid w:val="00EC4644"/>
    <w:rsid w:val="00EC4763"/>
    <w:rsid w:val="00EC4A41"/>
    <w:rsid w:val="00EC582D"/>
    <w:rsid w:val="00EC5F18"/>
    <w:rsid w:val="00EC5FD9"/>
    <w:rsid w:val="00EC6043"/>
    <w:rsid w:val="00EC77BD"/>
    <w:rsid w:val="00ED048E"/>
    <w:rsid w:val="00ED1A83"/>
    <w:rsid w:val="00ED1CCD"/>
    <w:rsid w:val="00ED29A1"/>
    <w:rsid w:val="00ED31DA"/>
    <w:rsid w:val="00ED3286"/>
    <w:rsid w:val="00ED3335"/>
    <w:rsid w:val="00ED35AF"/>
    <w:rsid w:val="00ED39CC"/>
    <w:rsid w:val="00ED515F"/>
    <w:rsid w:val="00ED630C"/>
    <w:rsid w:val="00ED69FC"/>
    <w:rsid w:val="00ED6A6B"/>
    <w:rsid w:val="00ED7565"/>
    <w:rsid w:val="00EE188C"/>
    <w:rsid w:val="00EE1CA9"/>
    <w:rsid w:val="00EE1D87"/>
    <w:rsid w:val="00EE21CC"/>
    <w:rsid w:val="00EE25B8"/>
    <w:rsid w:val="00EE34BB"/>
    <w:rsid w:val="00EE4218"/>
    <w:rsid w:val="00EE4950"/>
    <w:rsid w:val="00EE5A2F"/>
    <w:rsid w:val="00EE5AB9"/>
    <w:rsid w:val="00EE5AF1"/>
    <w:rsid w:val="00EE5EB6"/>
    <w:rsid w:val="00EE6900"/>
    <w:rsid w:val="00EE6A49"/>
    <w:rsid w:val="00EE77FE"/>
    <w:rsid w:val="00EF005C"/>
    <w:rsid w:val="00EF0A57"/>
    <w:rsid w:val="00EF0FE4"/>
    <w:rsid w:val="00EF2800"/>
    <w:rsid w:val="00EF3147"/>
    <w:rsid w:val="00EF408D"/>
    <w:rsid w:val="00EF4A26"/>
    <w:rsid w:val="00EF57EE"/>
    <w:rsid w:val="00EF74F8"/>
    <w:rsid w:val="00F00F0B"/>
    <w:rsid w:val="00F018C3"/>
    <w:rsid w:val="00F03456"/>
    <w:rsid w:val="00F03A6E"/>
    <w:rsid w:val="00F0455C"/>
    <w:rsid w:val="00F066AE"/>
    <w:rsid w:val="00F0773F"/>
    <w:rsid w:val="00F10942"/>
    <w:rsid w:val="00F11798"/>
    <w:rsid w:val="00F12D88"/>
    <w:rsid w:val="00F1378A"/>
    <w:rsid w:val="00F140BD"/>
    <w:rsid w:val="00F168B5"/>
    <w:rsid w:val="00F16DC6"/>
    <w:rsid w:val="00F171A9"/>
    <w:rsid w:val="00F17BC4"/>
    <w:rsid w:val="00F2032E"/>
    <w:rsid w:val="00F22773"/>
    <w:rsid w:val="00F22937"/>
    <w:rsid w:val="00F24324"/>
    <w:rsid w:val="00F246BF"/>
    <w:rsid w:val="00F24755"/>
    <w:rsid w:val="00F25582"/>
    <w:rsid w:val="00F2612F"/>
    <w:rsid w:val="00F2632E"/>
    <w:rsid w:val="00F267DF"/>
    <w:rsid w:val="00F26925"/>
    <w:rsid w:val="00F26E07"/>
    <w:rsid w:val="00F27031"/>
    <w:rsid w:val="00F3003F"/>
    <w:rsid w:val="00F311FB"/>
    <w:rsid w:val="00F3156A"/>
    <w:rsid w:val="00F32C05"/>
    <w:rsid w:val="00F32C53"/>
    <w:rsid w:val="00F33A04"/>
    <w:rsid w:val="00F33DCB"/>
    <w:rsid w:val="00F3412D"/>
    <w:rsid w:val="00F34A20"/>
    <w:rsid w:val="00F35DF5"/>
    <w:rsid w:val="00F36814"/>
    <w:rsid w:val="00F37EE9"/>
    <w:rsid w:val="00F4018D"/>
    <w:rsid w:val="00F404BB"/>
    <w:rsid w:val="00F41B3B"/>
    <w:rsid w:val="00F421B8"/>
    <w:rsid w:val="00F4278C"/>
    <w:rsid w:val="00F4435E"/>
    <w:rsid w:val="00F456DF"/>
    <w:rsid w:val="00F46FA0"/>
    <w:rsid w:val="00F472A2"/>
    <w:rsid w:val="00F50BE0"/>
    <w:rsid w:val="00F51BD7"/>
    <w:rsid w:val="00F51EF1"/>
    <w:rsid w:val="00F51EFB"/>
    <w:rsid w:val="00F53775"/>
    <w:rsid w:val="00F53B00"/>
    <w:rsid w:val="00F54B76"/>
    <w:rsid w:val="00F56A8B"/>
    <w:rsid w:val="00F56AA9"/>
    <w:rsid w:val="00F570E6"/>
    <w:rsid w:val="00F57C49"/>
    <w:rsid w:val="00F60697"/>
    <w:rsid w:val="00F61D28"/>
    <w:rsid w:val="00F624C4"/>
    <w:rsid w:val="00F6278B"/>
    <w:rsid w:val="00F647EB"/>
    <w:rsid w:val="00F666E8"/>
    <w:rsid w:val="00F66792"/>
    <w:rsid w:val="00F66A6E"/>
    <w:rsid w:val="00F67B7B"/>
    <w:rsid w:val="00F67C93"/>
    <w:rsid w:val="00F702E9"/>
    <w:rsid w:val="00F702EF"/>
    <w:rsid w:val="00F70C94"/>
    <w:rsid w:val="00F7121C"/>
    <w:rsid w:val="00F7461E"/>
    <w:rsid w:val="00F748B7"/>
    <w:rsid w:val="00F7518C"/>
    <w:rsid w:val="00F75251"/>
    <w:rsid w:val="00F75664"/>
    <w:rsid w:val="00F759C6"/>
    <w:rsid w:val="00F75BA8"/>
    <w:rsid w:val="00F761BE"/>
    <w:rsid w:val="00F76C9E"/>
    <w:rsid w:val="00F76EFA"/>
    <w:rsid w:val="00F773FC"/>
    <w:rsid w:val="00F8057E"/>
    <w:rsid w:val="00F80726"/>
    <w:rsid w:val="00F80C81"/>
    <w:rsid w:val="00F81753"/>
    <w:rsid w:val="00F82021"/>
    <w:rsid w:val="00F82C4B"/>
    <w:rsid w:val="00F82C8A"/>
    <w:rsid w:val="00F86480"/>
    <w:rsid w:val="00F86737"/>
    <w:rsid w:val="00F86E08"/>
    <w:rsid w:val="00F87B7F"/>
    <w:rsid w:val="00F87D3B"/>
    <w:rsid w:val="00F908DE"/>
    <w:rsid w:val="00F9119F"/>
    <w:rsid w:val="00F91221"/>
    <w:rsid w:val="00F91C87"/>
    <w:rsid w:val="00F92C42"/>
    <w:rsid w:val="00F92D95"/>
    <w:rsid w:val="00F93B4B"/>
    <w:rsid w:val="00F947E1"/>
    <w:rsid w:val="00F96173"/>
    <w:rsid w:val="00F96FF0"/>
    <w:rsid w:val="00F97F25"/>
    <w:rsid w:val="00FA044E"/>
    <w:rsid w:val="00FA0EEE"/>
    <w:rsid w:val="00FA0EF7"/>
    <w:rsid w:val="00FA1637"/>
    <w:rsid w:val="00FA2468"/>
    <w:rsid w:val="00FA2A8D"/>
    <w:rsid w:val="00FA2B4F"/>
    <w:rsid w:val="00FA3164"/>
    <w:rsid w:val="00FA3EE6"/>
    <w:rsid w:val="00FA3EEF"/>
    <w:rsid w:val="00FA3FC2"/>
    <w:rsid w:val="00FA41B7"/>
    <w:rsid w:val="00FA44D9"/>
    <w:rsid w:val="00FA50FD"/>
    <w:rsid w:val="00FA5547"/>
    <w:rsid w:val="00FA564B"/>
    <w:rsid w:val="00FA5E60"/>
    <w:rsid w:val="00FA5FEE"/>
    <w:rsid w:val="00FA70A1"/>
    <w:rsid w:val="00FA7819"/>
    <w:rsid w:val="00FA7B3B"/>
    <w:rsid w:val="00FB0006"/>
    <w:rsid w:val="00FB0F0C"/>
    <w:rsid w:val="00FB2352"/>
    <w:rsid w:val="00FB2C11"/>
    <w:rsid w:val="00FB370D"/>
    <w:rsid w:val="00FB3ADC"/>
    <w:rsid w:val="00FB4122"/>
    <w:rsid w:val="00FB48FD"/>
    <w:rsid w:val="00FB4B2E"/>
    <w:rsid w:val="00FB64B4"/>
    <w:rsid w:val="00FB6676"/>
    <w:rsid w:val="00FB7276"/>
    <w:rsid w:val="00FB7A86"/>
    <w:rsid w:val="00FC0D2A"/>
    <w:rsid w:val="00FC1FE1"/>
    <w:rsid w:val="00FC2729"/>
    <w:rsid w:val="00FC2A92"/>
    <w:rsid w:val="00FC3B74"/>
    <w:rsid w:val="00FC3DE8"/>
    <w:rsid w:val="00FC41FB"/>
    <w:rsid w:val="00FC4256"/>
    <w:rsid w:val="00FC4611"/>
    <w:rsid w:val="00FC4B67"/>
    <w:rsid w:val="00FC4F6A"/>
    <w:rsid w:val="00FC6FCE"/>
    <w:rsid w:val="00FD06A2"/>
    <w:rsid w:val="00FD0E5B"/>
    <w:rsid w:val="00FD1BFF"/>
    <w:rsid w:val="00FD2BE4"/>
    <w:rsid w:val="00FD30C6"/>
    <w:rsid w:val="00FD3790"/>
    <w:rsid w:val="00FD3CE7"/>
    <w:rsid w:val="00FD3D4D"/>
    <w:rsid w:val="00FD41B8"/>
    <w:rsid w:val="00FD5448"/>
    <w:rsid w:val="00FD5BF7"/>
    <w:rsid w:val="00FD61AE"/>
    <w:rsid w:val="00FD7F3F"/>
    <w:rsid w:val="00FE0253"/>
    <w:rsid w:val="00FE0392"/>
    <w:rsid w:val="00FE0A91"/>
    <w:rsid w:val="00FE0CD9"/>
    <w:rsid w:val="00FE2755"/>
    <w:rsid w:val="00FE2CE5"/>
    <w:rsid w:val="00FE2F9A"/>
    <w:rsid w:val="00FE3DB9"/>
    <w:rsid w:val="00FE3E97"/>
    <w:rsid w:val="00FE3FE5"/>
    <w:rsid w:val="00FE4009"/>
    <w:rsid w:val="00FE4705"/>
    <w:rsid w:val="00FE4738"/>
    <w:rsid w:val="00FE6102"/>
    <w:rsid w:val="00FE613D"/>
    <w:rsid w:val="00FF0107"/>
    <w:rsid w:val="00FF0A82"/>
    <w:rsid w:val="00FF0D32"/>
    <w:rsid w:val="00FF12EE"/>
    <w:rsid w:val="00FF15C3"/>
    <w:rsid w:val="00FF1AB4"/>
    <w:rsid w:val="00FF1E7B"/>
    <w:rsid w:val="00FF2037"/>
    <w:rsid w:val="00FF2286"/>
    <w:rsid w:val="00FF2417"/>
    <w:rsid w:val="00FF324D"/>
    <w:rsid w:val="00FF33B5"/>
    <w:rsid w:val="00FF33C1"/>
    <w:rsid w:val="00FF357C"/>
    <w:rsid w:val="00FF49AA"/>
    <w:rsid w:val="00FF4D6F"/>
    <w:rsid w:val="00FF50DE"/>
    <w:rsid w:val="00FF52DD"/>
    <w:rsid w:val="00FF5422"/>
    <w:rsid w:val="00FF623F"/>
    <w:rsid w:val="00FF62B8"/>
    <w:rsid w:val="00FF6AF8"/>
    <w:rsid w:val="00FF6E43"/>
    <w:rsid w:val="00FF6F5B"/>
    <w:rsid w:val="00FF716A"/>
    <w:rsid w:val="00FF721D"/>
    <w:rsid w:val="00FF7C17"/>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9F"/>
    <w:rPr>
      <w:sz w:val="24"/>
      <w:szCs w:val="24"/>
    </w:rPr>
  </w:style>
  <w:style w:type="paragraph" w:styleId="Heading1">
    <w:name w:val="heading 1"/>
    <w:basedOn w:val="Normal"/>
    <w:next w:val="Normal"/>
    <w:link w:val="Heading1Char"/>
    <w:qFormat/>
    <w:rsid w:val="006A0D6F"/>
    <w:pPr>
      <w:keepNext/>
      <w:numPr>
        <w:numId w:val="48"/>
      </w:numPr>
      <w:spacing w:after="240"/>
      <w:outlineLvl w:val="0"/>
    </w:pPr>
    <w:rPr>
      <w:b/>
      <w:bCs/>
      <w:szCs w:val="20"/>
      <w:lang w:val="es-ES"/>
    </w:rPr>
  </w:style>
  <w:style w:type="paragraph" w:styleId="Heading2">
    <w:name w:val="heading 2"/>
    <w:basedOn w:val="Normal"/>
    <w:next w:val="Normal"/>
    <w:link w:val="Heading2Char"/>
    <w:qFormat/>
    <w:rsid w:val="006A0D6F"/>
    <w:pPr>
      <w:keepNext/>
      <w:numPr>
        <w:ilvl w:val="1"/>
      </w:numPr>
      <w:spacing w:after="240"/>
      <w:outlineLvl w:val="1"/>
    </w:pPr>
    <w:rPr>
      <w:b/>
      <w:bCs/>
      <w:szCs w:val="20"/>
      <w:lang w:val="es-ES"/>
    </w:rPr>
  </w:style>
  <w:style w:type="paragraph" w:styleId="Heading3">
    <w:name w:val="heading 3"/>
    <w:basedOn w:val="Normal"/>
    <w:next w:val="Normal"/>
    <w:link w:val="Heading3Char"/>
    <w:qFormat/>
    <w:rsid w:val="00FC3B74"/>
    <w:pPr>
      <w:keepNext/>
      <w:keepLines/>
      <w:spacing w:before="120" w:after="240"/>
      <w:outlineLvl w:val="2"/>
    </w:pPr>
    <w:rPr>
      <w:rFonts w:cs="Arial"/>
      <w:b/>
      <w:bCs/>
      <w:szCs w:val="26"/>
    </w:rPr>
  </w:style>
  <w:style w:type="paragraph" w:styleId="Heading4">
    <w:name w:val="heading 4"/>
    <w:basedOn w:val="Normal"/>
    <w:next w:val="Normal"/>
    <w:link w:val="Heading4Char"/>
    <w:qFormat/>
    <w:rsid w:val="00161DCB"/>
    <w:pPr>
      <w:jc w:val="center"/>
      <w:outlineLvl w:val="3"/>
    </w:pPr>
    <w:rPr>
      <w:b/>
      <w:bCs/>
      <w:lang w:val="es-ES"/>
    </w:rPr>
  </w:style>
  <w:style w:type="paragraph" w:styleId="Heading5">
    <w:name w:val="heading 5"/>
    <w:basedOn w:val="Normal"/>
    <w:next w:val="Normal"/>
    <w:link w:val="Heading5Char"/>
    <w:qFormat/>
    <w:rsid w:val="00FC3B74"/>
    <w:pPr>
      <w:keepNext/>
      <w:outlineLvl w:val="4"/>
    </w:pPr>
    <w:rPr>
      <w:b/>
      <w:bCs/>
      <w:u w:val="single"/>
    </w:rPr>
  </w:style>
  <w:style w:type="paragraph" w:styleId="Heading9">
    <w:name w:val="heading 9"/>
    <w:basedOn w:val="Normal"/>
    <w:next w:val="Normal"/>
    <w:link w:val="Heading9Char"/>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C2121"/>
    <w:pPr>
      <w:tabs>
        <w:tab w:val="left" w:pos="720"/>
        <w:tab w:val="right" w:leader="dot" w:pos="9360"/>
      </w:tabs>
      <w:spacing w:before="240" w:after="120"/>
    </w:pPr>
    <w:rPr>
      <w:rFonts w:eastAsiaTheme="minorEastAsia"/>
      <w:noProof/>
      <w:sz w:val="22"/>
      <w:szCs w:val="22"/>
    </w:rPr>
  </w:style>
  <w:style w:type="paragraph" w:customStyle="1" w:styleId="PDSHeading2">
    <w:name w:val="PDS Heading 2"/>
    <w:next w:val="Normal"/>
    <w:rsid w:val="00FC3B74"/>
    <w:pPr>
      <w:keepNext/>
      <w:numPr>
        <w:ilvl w:val="1"/>
        <w:numId w:val="13"/>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2"/>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3"/>
      </w:numPr>
      <w:tabs>
        <w:tab w:val="clear" w:pos="720"/>
      </w:tabs>
      <w:spacing w:after="240"/>
      <w:ind w:left="0" w:firstLine="0"/>
      <w:outlineLvl w:val="1"/>
    </w:pPr>
  </w:style>
  <w:style w:type="paragraph" w:customStyle="1" w:styleId="Sub-Para1underX">
    <w:name w:val="Sub-Para 1 under X."/>
    <w:basedOn w:val="Normal"/>
    <w:rsid w:val="00FC3B74"/>
    <w:pPr>
      <w:numPr>
        <w:ilvl w:val="2"/>
        <w:numId w:val="4"/>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5"/>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6"/>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7"/>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8"/>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9"/>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0"/>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1"/>
      </w:numPr>
      <w:tabs>
        <w:tab w:val="clear" w:pos="2520"/>
      </w:tabs>
      <w:spacing w:after="240"/>
      <w:ind w:left="3600" w:hanging="720"/>
      <w:outlineLvl w:val="5"/>
    </w:pPr>
  </w:style>
  <w:style w:type="paragraph" w:customStyle="1" w:styleId="Bullet">
    <w:name w:val="Bullet"/>
    <w:basedOn w:val="Normal"/>
    <w:rsid w:val="00FC3B74"/>
    <w:pPr>
      <w:numPr>
        <w:numId w:val="12"/>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texto de nota al pie Car1,Nota a pie/Bibliog Car1,Texto nota pie Car1 Car1,Texto nota pie Car Car Car1, Car1 Car Car Car1, Car1 Car2 Car1, Car1 Car1,ft Car Car Car,ft Car Car,Car1 Car Car Car1,f"/>
    <w:basedOn w:val="Normal"/>
    <w:link w:val="FootnoteTextChar"/>
    <w:rsid w:val="00FC3B74"/>
    <w:rPr>
      <w:sz w:val="20"/>
      <w:szCs w:val="20"/>
    </w:rPr>
  </w:style>
  <w:style w:type="paragraph" w:customStyle="1" w:styleId="PDSHeading1">
    <w:name w:val="PDS Heading 1"/>
    <w:next w:val="PDSHeading2"/>
    <w:rsid w:val="00FC3B74"/>
    <w:pPr>
      <w:keepNext/>
      <w:numPr>
        <w:numId w:val="13"/>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rsid w:val="00FC3B74"/>
    <w:pPr>
      <w:tabs>
        <w:tab w:val="center" w:pos="4320"/>
        <w:tab w:val="right" w:pos="8640"/>
      </w:tabs>
    </w:pPr>
  </w:style>
  <w:style w:type="paragraph" w:styleId="Footer">
    <w:name w:val="footer"/>
    <w:basedOn w:val="Normal"/>
    <w:link w:val="FooterChar"/>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referencia nota al pie,ftref,16 Point,Superscript 6 Point,Footnote Reference Number,Footnote Reference_LVL6,Footnote Reference_LVL61,Footnote Reference_LVL62,Footnote Reference_LVL63,Footnote Reference_LVL64,fr,Times 10 Point,Ref"/>
    <w:basedOn w:val="DefaultParagraphFont"/>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link w:val="BodyTextChar"/>
    <w:rsid w:val="00FC3B74"/>
    <w:rPr>
      <w:b/>
      <w:bCs/>
      <w:color w:val="000000"/>
      <w:szCs w:val="20"/>
    </w:rPr>
  </w:style>
  <w:style w:type="paragraph" w:styleId="BodyText2">
    <w:name w:val="Body Text 2"/>
    <w:basedOn w:val="Normal"/>
    <w:link w:val="BodyText2Char"/>
    <w:rsid w:val="00FC3B74"/>
    <w:pPr>
      <w:autoSpaceDE w:val="0"/>
      <w:autoSpaceDN w:val="0"/>
      <w:adjustRightInd w:val="0"/>
      <w:spacing w:line="240" w:lineRule="atLeast"/>
    </w:pPr>
    <w:rPr>
      <w:color w:val="000000"/>
      <w:szCs w:val="20"/>
    </w:rPr>
  </w:style>
  <w:style w:type="paragraph" w:styleId="BalloonText">
    <w:name w:val="Balloon Text"/>
    <w:basedOn w:val="Normal"/>
    <w:link w:val="BalloonTextChar"/>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texto de nota al pie Car1 Char,Nota a pie/Bibliog Car1 Char,Texto nota pie Car1 Car1 Char,Texto nota pie Car Car Car1 Char, Car1 Car Car Car1 Char, Car1 Car2 Car1 Char,f Char"/>
    <w:basedOn w:val="DefaultParagraphFont"/>
    <w:link w:val="FootnoteText"/>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uiPriority w:val="99"/>
    <w:rsid w:val="00D12368"/>
    <w:rPr>
      <w:sz w:val="16"/>
      <w:szCs w:val="16"/>
    </w:rPr>
  </w:style>
  <w:style w:type="paragraph" w:styleId="CommentText">
    <w:name w:val="annotation text"/>
    <w:basedOn w:val="Normal"/>
    <w:link w:val="CommentTextChar"/>
    <w:rsid w:val="00D12368"/>
    <w:rPr>
      <w:sz w:val="20"/>
      <w:szCs w:val="20"/>
    </w:rPr>
  </w:style>
  <w:style w:type="character" w:customStyle="1" w:styleId="CommentTextChar">
    <w:name w:val="Comment Text Char"/>
    <w:basedOn w:val="DefaultParagraphFont"/>
    <w:link w:val="CommentText"/>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paragraph" w:customStyle="1" w:styleId="ModelNrmlSingle">
    <w:name w:val="ModelNrmlSingle"/>
    <w:basedOn w:val="Normal"/>
    <w:link w:val="ModelNrmlSingleChar"/>
    <w:rsid w:val="00BA7DF7"/>
    <w:pPr>
      <w:spacing w:after="240"/>
      <w:ind w:firstLine="720"/>
      <w:jc w:val="both"/>
    </w:pPr>
    <w:rPr>
      <w:sz w:val="22"/>
      <w:szCs w:val="20"/>
    </w:rPr>
  </w:style>
  <w:style w:type="paragraph" w:customStyle="1" w:styleId="Number">
    <w:name w:val="Number"/>
    <w:basedOn w:val="Normal"/>
    <w:rsid w:val="00BA7DF7"/>
    <w:pPr>
      <w:numPr>
        <w:ilvl w:val="4"/>
        <w:numId w:val="20"/>
      </w:numPr>
      <w:spacing w:before="60" w:after="180"/>
      <w:jc w:val="both"/>
    </w:pPr>
    <w:rPr>
      <w:rFonts w:cs="Arial"/>
      <w:szCs w:val="20"/>
    </w:rPr>
  </w:style>
  <w:style w:type="character" w:customStyle="1" w:styleId="ListParagraphChar">
    <w:name w:val="List Paragraph Char"/>
    <w:basedOn w:val="DefaultParagraphFont"/>
    <w:link w:val="ListParagraph"/>
    <w:uiPriority w:val="34"/>
    <w:rsid w:val="00C57A0F"/>
    <w:rPr>
      <w:sz w:val="24"/>
      <w:szCs w:val="24"/>
    </w:rPr>
  </w:style>
  <w:style w:type="character" w:customStyle="1" w:styleId="Heading5Char">
    <w:name w:val="Heading 5 Char"/>
    <w:basedOn w:val="DefaultParagraphFont"/>
    <w:link w:val="Heading5"/>
    <w:rsid w:val="00C57A0F"/>
    <w:rPr>
      <w:b/>
      <w:bCs/>
      <w:sz w:val="24"/>
      <w:szCs w:val="24"/>
      <w:u w:val="single"/>
    </w:rPr>
  </w:style>
  <w:style w:type="character" w:customStyle="1" w:styleId="FootnoteTextChar1">
    <w:name w:val="Footnote Text Char1"/>
    <w:aliases w:val="Geneva 9 Char1,Font: Geneva 9 Char1,Boston 10 Char1,f Char1,Footnote Text Char Char Char1,Footnote Text Char Char2,fn Char1,ft Char"/>
    <w:basedOn w:val="DefaultParagraphFont"/>
    <w:semiHidden/>
    <w:rsid w:val="007C174B"/>
    <w:rPr>
      <w:lang w:val="en-US" w:eastAsia="en-US" w:bidi="ar-SA"/>
    </w:rPr>
  </w:style>
  <w:style w:type="paragraph" w:styleId="HTMLPreformatted">
    <w:name w:val="HTML Preformatted"/>
    <w:basedOn w:val="Normal"/>
    <w:link w:val="HTMLPreformattedChar"/>
    <w:rsid w:val="00F6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66A6E"/>
    <w:rPr>
      <w:rFonts w:ascii="Courier New" w:hAnsi="Courier New" w:cs="Courier New"/>
    </w:rPr>
  </w:style>
  <w:style w:type="paragraph" w:customStyle="1" w:styleId="Prrafodelista1">
    <w:name w:val="Párrafo de lista1"/>
    <w:basedOn w:val="Normal"/>
    <w:qFormat/>
    <w:rsid w:val="00662D92"/>
    <w:pPr>
      <w:ind w:left="720"/>
    </w:pPr>
    <w:rPr>
      <w:lang w:val="es-ES"/>
    </w:rPr>
  </w:style>
  <w:style w:type="paragraph" w:styleId="ListBullet">
    <w:name w:val="List Bullet"/>
    <w:basedOn w:val="Normal"/>
    <w:autoRedefine/>
    <w:uiPriority w:val="99"/>
    <w:rsid w:val="00593CD7"/>
    <w:pPr>
      <w:tabs>
        <w:tab w:val="left" w:pos="540"/>
      </w:tabs>
      <w:jc w:val="both"/>
    </w:pPr>
    <w:rPr>
      <w:rFonts w:cs="Arial"/>
      <w:b/>
      <w:color w:val="000000"/>
      <w:lang w:eastAsia="es-ES"/>
    </w:rPr>
  </w:style>
  <w:style w:type="character" w:customStyle="1" w:styleId="HeaderChar">
    <w:name w:val="Header Char"/>
    <w:link w:val="Header"/>
    <w:rsid w:val="003B4763"/>
    <w:rPr>
      <w:sz w:val="24"/>
      <w:szCs w:val="24"/>
    </w:rPr>
  </w:style>
  <w:style w:type="character" w:customStyle="1" w:styleId="ModelNrmlSingleChar">
    <w:name w:val="ModelNrmlSingle Char"/>
    <w:link w:val="ModelNrmlSingle"/>
    <w:rsid w:val="00466972"/>
    <w:rPr>
      <w:sz w:val="22"/>
    </w:rPr>
  </w:style>
  <w:style w:type="paragraph" w:customStyle="1" w:styleId="ModelNrmlDouble">
    <w:name w:val="ModelNrmlDouble"/>
    <w:basedOn w:val="ModelNrmlSingle"/>
    <w:rsid w:val="00466972"/>
    <w:pPr>
      <w:spacing w:after="360" w:line="480" w:lineRule="auto"/>
    </w:pPr>
    <w:rPr>
      <w:lang w:val="x-none" w:eastAsia="x-none"/>
    </w:rPr>
  </w:style>
  <w:style w:type="character" w:customStyle="1" w:styleId="Heading1Char">
    <w:name w:val="Heading 1 Char"/>
    <w:basedOn w:val="DefaultParagraphFont"/>
    <w:link w:val="Heading1"/>
    <w:rsid w:val="006A0D6F"/>
    <w:rPr>
      <w:b/>
      <w:bCs/>
      <w:sz w:val="24"/>
      <w:lang w:val="es-ES"/>
    </w:rPr>
  </w:style>
  <w:style w:type="character" w:customStyle="1" w:styleId="Heading2Char">
    <w:name w:val="Heading 2 Char"/>
    <w:basedOn w:val="DefaultParagraphFont"/>
    <w:link w:val="Heading2"/>
    <w:rsid w:val="006A0D6F"/>
    <w:rPr>
      <w:b/>
      <w:bCs/>
      <w:sz w:val="24"/>
      <w:lang w:val="es-ES"/>
    </w:rPr>
  </w:style>
  <w:style w:type="character" w:customStyle="1" w:styleId="Heading3Char">
    <w:name w:val="Heading 3 Char"/>
    <w:basedOn w:val="DefaultParagraphFont"/>
    <w:link w:val="Heading3"/>
    <w:rsid w:val="00971692"/>
    <w:rPr>
      <w:rFonts w:cs="Arial"/>
      <w:b/>
      <w:bCs/>
      <w:sz w:val="24"/>
      <w:szCs w:val="26"/>
    </w:rPr>
  </w:style>
  <w:style w:type="character" w:customStyle="1" w:styleId="Heading4Char">
    <w:name w:val="Heading 4 Char"/>
    <w:basedOn w:val="DefaultParagraphFont"/>
    <w:link w:val="Heading4"/>
    <w:rsid w:val="00161DCB"/>
    <w:rPr>
      <w:b/>
      <w:bCs/>
      <w:sz w:val="24"/>
      <w:szCs w:val="24"/>
      <w:lang w:val="es-ES"/>
    </w:rPr>
  </w:style>
  <w:style w:type="character" w:customStyle="1" w:styleId="Heading9Char">
    <w:name w:val="Heading 9 Char"/>
    <w:basedOn w:val="DefaultParagraphFont"/>
    <w:link w:val="Heading9"/>
    <w:rsid w:val="00971692"/>
    <w:rPr>
      <w:rFonts w:ascii="Arial" w:hAnsi="Arial" w:cs="Arial"/>
      <w:sz w:val="22"/>
      <w:szCs w:val="22"/>
    </w:rPr>
  </w:style>
  <w:style w:type="character" w:customStyle="1" w:styleId="FooterChar">
    <w:name w:val="Footer Char"/>
    <w:basedOn w:val="DefaultParagraphFont"/>
    <w:link w:val="Footer"/>
    <w:rsid w:val="00971692"/>
    <w:rPr>
      <w:sz w:val="24"/>
      <w:szCs w:val="24"/>
    </w:rPr>
  </w:style>
  <w:style w:type="character" w:customStyle="1" w:styleId="BodyTextChar">
    <w:name w:val="Body Text Char"/>
    <w:basedOn w:val="DefaultParagraphFont"/>
    <w:link w:val="BodyText"/>
    <w:rsid w:val="00971692"/>
    <w:rPr>
      <w:b/>
      <w:bCs/>
      <w:color w:val="000000"/>
      <w:sz w:val="24"/>
    </w:rPr>
  </w:style>
  <w:style w:type="character" w:customStyle="1" w:styleId="BodyText2Char">
    <w:name w:val="Body Text 2 Char"/>
    <w:basedOn w:val="DefaultParagraphFont"/>
    <w:link w:val="BodyText2"/>
    <w:rsid w:val="00971692"/>
    <w:rPr>
      <w:color w:val="000000"/>
      <w:sz w:val="24"/>
    </w:rPr>
  </w:style>
  <w:style w:type="character" w:customStyle="1" w:styleId="BalloonTextChar">
    <w:name w:val="Balloon Text Char"/>
    <w:basedOn w:val="DefaultParagraphFont"/>
    <w:link w:val="BalloonText"/>
    <w:semiHidden/>
    <w:rsid w:val="00971692"/>
    <w:rPr>
      <w:rFonts w:ascii="Tahoma" w:hAnsi="Tahoma" w:cs="Tahoma"/>
      <w:sz w:val="16"/>
      <w:szCs w:val="16"/>
    </w:rPr>
  </w:style>
  <w:style w:type="numbering" w:customStyle="1" w:styleId="Style11">
    <w:name w:val="Style11"/>
    <w:rsid w:val="00971692"/>
  </w:style>
  <w:style w:type="numbering" w:customStyle="1" w:styleId="Estilo1">
    <w:name w:val="Estilo1"/>
    <w:uiPriority w:val="99"/>
    <w:rsid w:val="00DF05EF"/>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19F"/>
    <w:rPr>
      <w:sz w:val="24"/>
      <w:szCs w:val="24"/>
    </w:rPr>
  </w:style>
  <w:style w:type="paragraph" w:styleId="Heading1">
    <w:name w:val="heading 1"/>
    <w:basedOn w:val="Normal"/>
    <w:next w:val="Normal"/>
    <w:link w:val="Heading1Char"/>
    <w:qFormat/>
    <w:rsid w:val="006A0D6F"/>
    <w:pPr>
      <w:keepNext/>
      <w:numPr>
        <w:numId w:val="48"/>
      </w:numPr>
      <w:spacing w:after="240"/>
      <w:outlineLvl w:val="0"/>
    </w:pPr>
    <w:rPr>
      <w:b/>
      <w:bCs/>
      <w:szCs w:val="20"/>
      <w:lang w:val="es-ES"/>
    </w:rPr>
  </w:style>
  <w:style w:type="paragraph" w:styleId="Heading2">
    <w:name w:val="heading 2"/>
    <w:basedOn w:val="Normal"/>
    <w:next w:val="Normal"/>
    <w:link w:val="Heading2Char"/>
    <w:qFormat/>
    <w:rsid w:val="006A0D6F"/>
    <w:pPr>
      <w:keepNext/>
      <w:numPr>
        <w:ilvl w:val="1"/>
      </w:numPr>
      <w:spacing w:after="240"/>
      <w:outlineLvl w:val="1"/>
    </w:pPr>
    <w:rPr>
      <w:b/>
      <w:bCs/>
      <w:szCs w:val="20"/>
      <w:lang w:val="es-ES"/>
    </w:rPr>
  </w:style>
  <w:style w:type="paragraph" w:styleId="Heading3">
    <w:name w:val="heading 3"/>
    <w:basedOn w:val="Normal"/>
    <w:next w:val="Normal"/>
    <w:link w:val="Heading3Char"/>
    <w:qFormat/>
    <w:rsid w:val="00FC3B74"/>
    <w:pPr>
      <w:keepNext/>
      <w:keepLines/>
      <w:spacing w:before="120" w:after="240"/>
      <w:outlineLvl w:val="2"/>
    </w:pPr>
    <w:rPr>
      <w:rFonts w:cs="Arial"/>
      <w:b/>
      <w:bCs/>
      <w:szCs w:val="26"/>
    </w:rPr>
  </w:style>
  <w:style w:type="paragraph" w:styleId="Heading4">
    <w:name w:val="heading 4"/>
    <w:basedOn w:val="Normal"/>
    <w:next w:val="Normal"/>
    <w:link w:val="Heading4Char"/>
    <w:qFormat/>
    <w:rsid w:val="00161DCB"/>
    <w:pPr>
      <w:jc w:val="center"/>
      <w:outlineLvl w:val="3"/>
    </w:pPr>
    <w:rPr>
      <w:b/>
      <w:bCs/>
      <w:lang w:val="es-ES"/>
    </w:rPr>
  </w:style>
  <w:style w:type="paragraph" w:styleId="Heading5">
    <w:name w:val="heading 5"/>
    <w:basedOn w:val="Normal"/>
    <w:next w:val="Normal"/>
    <w:link w:val="Heading5Char"/>
    <w:qFormat/>
    <w:rsid w:val="00FC3B74"/>
    <w:pPr>
      <w:keepNext/>
      <w:outlineLvl w:val="4"/>
    </w:pPr>
    <w:rPr>
      <w:b/>
      <w:bCs/>
      <w:u w:val="single"/>
    </w:rPr>
  </w:style>
  <w:style w:type="paragraph" w:styleId="Heading9">
    <w:name w:val="heading 9"/>
    <w:basedOn w:val="Normal"/>
    <w:next w:val="Normal"/>
    <w:link w:val="Heading9Char"/>
    <w:qFormat/>
    <w:rsid w:val="00FC3B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C2121"/>
    <w:pPr>
      <w:tabs>
        <w:tab w:val="left" w:pos="720"/>
        <w:tab w:val="right" w:leader="dot" w:pos="9360"/>
      </w:tabs>
      <w:spacing w:before="240" w:after="120"/>
    </w:pPr>
    <w:rPr>
      <w:rFonts w:eastAsiaTheme="minorEastAsia"/>
      <w:noProof/>
      <w:sz w:val="22"/>
      <w:szCs w:val="22"/>
    </w:rPr>
  </w:style>
  <w:style w:type="paragraph" w:customStyle="1" w:styleId="PDSHeading2">
    <w:name w:val="PDS Heading 2"/>
    <w:next w:val="Normal"/>
    <w:rsid w:val="00FC3B74"/>
    <w:pPr>
      <w:keepNext/>
      <w:numPr>
        <w:ilvl w:val="1"/>
        <w:numId w:val="13"/>
      </w:numPr>
    </w:pPr>
    <w:rPr>
      <w:b/>
      <w:sz w:val="24"/>
    </w:rPr>
  </w:style>
  <w:style w:type="paragraph" w:styleId="TOC3">
    <w:name w:val="toc 3"/>
    <w:basedOn w:val="Normal"/>
    <w:next w:val="Normal"/>
    <w:autoRedefine/>
    <w:semiHidden/>
    <w:rsid w:val="00FC3B74"/>
    <w:pPr>
      <w:ind w:left="480"/>
    </w:pPr>
  </w:style>
  <w:style w:type="paragraph" w:styleId="TOC2">
    <w:name w:val="toc 2"/>
    <w:basedOn w:val="Normal"/>
    <w:next w:val="Normal"/>
    <w:autoRedefine/>
    <w:uiPriority w:val="39"/>
    <w:rsid w:val="00A912A0"/>
    <w:pPr>
      <w:spacing w:before="120"/>
      <w:ind w:left="1080" w:hanging="360"/>
    </w:pPr>
    <w:rPr>
      <w:iCs/>
    </w:rPr>
  </w:style>
  <w:style w:type="paragraph" w:styleId="TOC4">
    <w:name w:val="toc 4"/>
    <w:basedOn w:val="Normal"/>
    <w:next w:val="Normal"/>
    <w:autoRedefine/>
    <w:semiHidden/>
    <w:rsid w:val="00FC3B74"/>
    <w:pPr>
      <w:ind w:left="720"/>
    </w:pPr>
  </w:style>
  <w:style w:type="paragraph" w:styleId="TOC5">
    <w:name w:val="toc 5"/>
    <w:basedOn w:val="Normal"/>
    <w:next w:val="Normal"/>
    <w:autoRedefine/>
    <w:semiHidden/>
    <w:rsid w:val="00FC3B74"/>
    <w:pPr>
      <w:ind w:left="960"/>
    </w:pPr>
  </w:style>
  <w:style w:type="paragraph" w:styleId="TOC6">
    <w:name w:val="toc 6"/>
    <w:basedOn w:val="Normal"/>
    <w:next w:val="Normal"/>
    <w:autoRedefine/>
    <w:semiHidden/>
    <w:rsid w:val="00FC3B74"/>
    <w:pPr>
      <w:ind w:left="1200"/>
    </w:pPr>
  </w:style>
  <w:style w:type="paragraph" w:styleId="TOC7">
    <w:name w:val="toc 7"/>
    <w:basedOn w:val="Normal"/>
    <w:next w:val="Normal"/>
    <w:autoRedefine/>
    <w:semiHidden/>
    <w:rsid w:val="00FC3B74"/>
    <w:pPr>
      <w:ind w:left="1440"/>
    </w:pPr>
  </w:style>
  <w:style w:type="paragraph" w:styleId="TOC8">
    <w:name w:val="toc 8"/>
    <w:basedOn w:val="Normal"/>
    <w:next w:val="Normal"/>
    <w:autoRedefine/>
    <w:semiHidden/>
    <w:rsid w:val="00FC3B74"/>
    <w:pPr>
      <w:ind w:left="1680"/>
    </w:pPr>
  </w:style>
  <w:style w:type="paragraph" w:styleId="TOC9">
    <w:name w:val="toc 9"/>
    <w:basedOn w:val="Normal"/>
    <w:next w:val="Normal"/>
    <w:autoRedefine/>
    <w:semiHidden/>
    <w:rsid w:val="00FC3B74"/>
    <w:pPr>
      <w:ind w:left="1920"/>
    </w:pPr>
  </w:style>
  <w:style w:type="character" w:styleId="Hyperlink">
    <w:name w:val="Hyperlink"/>
    <w:basedOn w:val="DefaultParagraphFont"/>
    <w:uiPriority w:val="99"/>
    <w:rsid w:val="00FC3B74"/>
    <w:rPr>
      <w:color w:val="0000FF"/>
      <w:u w:val="single"/>
    </w:rPr>
  </w:style>
  <w:style w:type="paragraph" w:customStyle="1" w:styleId="Heading1a">
    <w:name w:val="Heading 1a"/>
    <w:basedOn w:val="Normal"/>
    <w:next w:val="Normal"/>
    <w:rsid w:val="00FC3B74"/>
    <w:pPr>
      <w:keepNext/>
      <w:keepLines/>
      <w:numPr>
        <w:numId w:val="1"/>
      </w:numPr>
      <w:spacing w:before="1440" w:after="240"/>
      <w:jc w:val="center"/>
      <w:outlineLvl w:val="0"/>
    </w:pPr>
    <w:rPr>
      <w:b/>
      <w:caps/>
      <w:sz w:val="32"/>
    </w:rPr>
  </w:style>
  <w:style w:type="paragraph" w:customStyle="1" w:styleId="MainParawithChapter">
    <w:name w:val="Main Para with Chapter#"/>
    <w:basedOn w:val="Normal"/>
    <w:rsid w:val="00FC3B74"/>
    <w:pPr>
      <w:numPr>
        <w:ilvl w:val="1"/>
        <w:numId w:val="2"/>
      </w:numPr>
      <w:tabs>
        <w:tab w:val="clear" w:pos="720"/>
      </w:tabs>
      <w:spacing w:after="240"/>
      <w:ind w:left="0" w:firstLine="0"/>
      <w:outlineLvl w:val="1"/>
    </w:pPr>
  </w:style>
  <w:style w:type="paragraph" w:customStyle="1" w:styleId="MainParanoChapter">
    <w:name w:val="Main Para no Chapter #"/>
    <w:basedOn w:val="Normal"/>
    <w:rsid w:val="00FC3B74"/>
    <w:pPr>
      <w:numPr>
        <w:ilvl w:val="1"/>
        <w:numId w:val="3"/>
      </w:numPr>
      <w:tabs>
        <w:tab w:val="clear" w:pos="720"/>
      </w:tabs>
      <w:spacing w:after="240"/>
      <w:ind w:left="0" w:firstLine="0"/>
      <w:outlineLvl w:val="1"/>
    </w:pPr>
  </w:style>
  <w:style w:type="paragraph" w:customStyle="1" w:styleId="Sub-Para1underX">
    <w:name w:val="Sub-Para 1 under X."/>
    <w:basedOn w:val="Normal"/>
    <w:rsid w:val="00FC3B74"/>
    <w:pPr>
      <w:numPr>
        <w:ilvl w:val="2"/>
        <w:numId w:val="4"/>
      </w:numPr>
      <w:tabs>
        <w:tab w:val="clear" w:pos="1080"/>
      </w:tabs>
      <w:spacing w:after="240"/>
      <w:ind w:left="1440" w:hanging="720"/>
      <w:outlineLvl w:val="2"/>
    </w:pPr>
  </w:style>
  <w:style w:type="paragraph" w:customStyle="1" w:styleId="Sub-Para1underXY">
    <w:name w:val="Sub-Para 1 under X.Y"/>
    <w:basedOn w:val="Normal"/>
    <w:rsid w:val="00FC3B74"/>
    <w:pPr>
      <w:numPr>
        <w:ilvl w:val="2"/>
        <w:numId w:val="5"/>
      </w:numPr>
      <w:tabs>
        <w:tab w:val="clear" w:pos="1440"/>
      </w:tabs>
      <w:spacing w:after="240"/>
      <w:ind w:left="1440" w:hanging="720"/>
      <w:outlineLvl w:val="2"/>
    </w:pPr>
  </w:style>
  <w:style w:type="paragraph" w:customStyle="1" w:styleId="Sub-Para2underX">
    <w:name w:val="Sub-Para 2 under X."/>
    <w:basedOn w:val="Normal"/>
    <w:rsid w:val="00FC3B74"/>
    <w:pPr>
      <w:numPr>
        <w:ilvl w:val="3"/>
        <w:numId w:val="6"/>
      </w:numPr>
      <w:tabs>
        <w:tab w:val="clear" w:pos="1800"/>
      </w:tabs>
      <w:spacing w:after="240"/>
      <w:ind w:left="2160" w:hanging="720"/>
      <w:outlineLvl w:val="3"/>
    </w:pPr>
  </w:style>
  <w:style w:type="paragraph" w:customStyle="1" w:styleId="Sub-Para2underXY">
    <w:name w:val="Sub-Para 2 under X.Y"/>
    <w:basedOn w:val="Normal"/>
    <w:rsid w:val="00FC3B74"/>
    <w:pPr>
      <w:numPr>
        <w:ilvl w:val="3"/>
        <w:numId w:val="7"/>
      </w:numPr>
      <w:tabs>
        <w:tab w:val="clear" w:pos="2160"/>
      </w:tabs>
      <w:spacing w:after="240"/>
      <w:ind w:left="2160" w:hanging="720"/>
      <w:outlineLvl w:val="3"/>
    </w:pPr>
  </w:style>
  <w:style w:type="paragraph" w:customStyle="1" w:styleId="Sub-Para3underX">
    <w:name w:val="Sub-Para 3 under X."/>
    <w:basedOn w:val="Normal"/>
    <w:rsid w:val="00FC3B74"/>
    <w:pPr>
      <w:numPr>
        <w:ilvl w:val="4"/>
        <w:numId w:val="8"/>
      </w:numPr>
      <w:tabs>
        <w:tab w:val="clear" w:pos="1440"/>
      </w:tabs>
      <w:spacing w:after="240"/>
      <w:ind w:left="2880" w:hanging="720"/>
      <w:outlineLvl w:val="4"/>
    </w:pPr>
  </w:style>
  <w:style w:type="paragraph" w:customStyle="1" w:styleId="Sub-Para3underXY">
    <w:name w:val="Sub-Para 3 under X.Y"/>
    <w:basedOn w:val="Normal"/>
    <w:rsid w:val="00FC3B74"/>
    <w:pPr>
      <w:numPr>
        <w:ilvl w:val="4"/>
        <w:numId w:val="9"/>
      </w:numPr>
      <w:tabs>
        <w:tab w:val="clear" w:pos="1800"/>
      </w:tabs>
      <w:spacing w:after="240"/>
      <w:ind w:left="2880" w:hanging="720"/>
      <w:outlineLvl w:val="4"/>
    </w:pPr>
  </w:style>
  <w:style w:type="paragraph" w:customStyle="1" w:styleId="Sub-Para4underX">
    <w:name w:val="Sub-Para 4 under X."/>
    <w:basedOn w:val="Normal"/>
    <w:rsid w:val="00FC3B74"/>
    <w:pPr>
      <w:numPr>
        <w:ilvl w:val="5"/>
        <w:numId w:val="10"/>
      </w:numPr>
      <w:tabs>
        <w:tab w:val="clear" w:pos="2160"/>
      </w:tabs>
      <w:spacing w:after="240"/>
      <w:ind w:left="3600" w:hanging="720"/>
      <w:outlineLvl w:val="5"/>
    </w:pPr>
  </w:style>
  <w:style w:type="paragraph" w:customStyle="1" w:styleId="Sub-Para4underXY">
    <w:name w:val="Sub-Para 4 under X.Y"/>
    <w:basedOn w:val="Normal"/>
    <w:rsid w:val="00FC3B74"/>
    <w:pPr>
      <w:numPr>
        <w:ilvl w:val="5"/>
        <w:numId w:val="11"/>
      </w:numPr>
      <w:tabs>
        <w:tab w:val="clear" w:pos="2520"/>
      </w:tabs>
      <w:spacing w:after="240"/>
      <w:ind w:left="3600" w:hanging="720"/>
      <w:outlineLvl w:val="5"/>
    </w:pPr>
  </w:style>
  <w:style w:type="paragraph" w:customStyle="1" w:styleId="Bullet">
    <w:name w:val="Bullet"/>
    <w:basedOn w:val="Normal"/>
    <w:rsid w:val="00FC3B74"/>
    <w:pPr>
      <w:numPr>
        <w:numId w:val="12"/>
      </w:numPr>
      <w:tabs>
        <w:tab w:val="clear" w:pos="1440"/>
      </w:tabs>
    </w:pPr>
  </w:style>
  <w:style w:type="paragraph" w:customStyle="1" w:styleId="BankNormal">
    <w:name w:val="BankNormal"/>
    <w:basedOn w:val="Normal"/>
    <w:rsid w:val="00FC3B74"/>
    <w:pPr>
      <w:spacing w:after="240"/>
    </w:pPr>
    <w:rPr>
      <w:szCs w:val="20"/>
    </w:rPr>
  </w:style>
  <w:style w:type="paragraph" w:styleId="FootnoteText">
    <w:name w:val="footnote text"/>
    <w:aliases w:val="single space,footnote text,fn,FOOTNOTES,texto de nota al pie Car1,Nota a pie/Bibliog Car1,Texto nota pie Car1 Car1,Texto nota pie Car Car Car1, Car1 Car Car Car1, Car1 Car2 Car1, Car1 Car1,ft Car Car Car,ft Car Car,Car1 Car Car Car1,f"/>
    <w:basedOn w:val="Normal"/>
    <w:link w:val="FootnoteTextChar"/>
    <w:rsid w:val="00FC3B74"/>
    <w:rPr>
      <w:sz w:val="20"/>
      <w:szCs w:val="20"/>
    </w:rPr>
  </w:style>
  <w:style w:type="paragraph" w:customStyle="1" w:styleId="PDSHeading1">
    <w:name w:val="PDS Heading 1"/>
    <w:next w:val="PDSHeading2"/>
    <w:rsid w:val="00FC3B74"/>
    <w:pPr>
      <w:keepNext/>
      <w:numPr>
        <w:numId w:val="13"/>
      </w:numPr>
      <w:outlineLvl w:val="0"/>
    </w:pPr>
    <w:rPr>
      <w:b/>
      <w:caps/>
      <w:sz w:val="24"/>
    </w:rPr>
  </w:style>
  <w:style w:type="paragraph" w:customStyle="1" w:styleId="PDSAnnexHeading">
    <w:name w:val="PDS Annex Heading"/>
    <w:next w:val="Normal"/>
    <w:rsid w:val="00FC3B74"/>
    <w:pPr>
      <w:keepNext/>
      <w:spacing w:after="120"/>
      <w:jc w:val="center"/>
    </w:pPr>
    <w:rPr>
      <w:b/>
      <w:sz w:val="24"/>
    </w:rPr>
  </w:style>
  <w:style w:type="paragraph" w:styleId="Header">
    <w:name w:val="header"/>
    <w:basedOn w:val="Normal"/>
    <w:link w:val="HeaderChar"/>
    <w:rsid w:val="00FC3B74"/>
    <w:pPr>
      <w:tabs>
        <w:tab w:val="center" w:pos="4320"/>
        <w:tab w:val="right" w:pos="8640"/>
      </w:tabs>
    </w:pPr>
  </w:style>
  <w:style w:type="paragraph" w:styleId="Footer">
    <w:name w:val="footer"/>
    <w:basedOn w:val="Normal"/>
    <w:link w:val="FooterChar"/>
    <w:rsid w:val="00FC3B74"/>
    <w:pPr>
      <w:tabs>
        <w:tab w:val="center" w:pos="4320"/>
        <w:tab w:val="right" w:pos="8640"/>
      </w:tabs>
    </w:pPr>
  </w:style>
  <w:style w:type="character" w:styleId="PageNumber">
    <w:name w:val="page number"/>
    <w:basedOn w:val="DefaultParagraphFont"/>
    <w:rsid w:val="00FC3B74"/>
  </w:style>
  <w:style w:type="character" w:styleId="FootnoteReference">
    <w:name w:val="footnote reference"/>
    <w:aliases w:val="referencia nota al pie,ftref,16 Point,Superscript 6 Point,Footnote Reference Number,Footnote Reference_LVL6,Footnote Reference_LVL61,Footnote Reference_LVL62,Footnote Reference_LVL63,Footnote Reference_LVL64,fr,Times 10 Point,Ref"/>
    <w:basedOn w:val="DefaultParagraphFont"/>
    <w:rsid w:val="00FC3B74"/>
    <w:rPr>
      <w:vertAlign w:val="superscript"/>
    </w:rPr>
  </w:style>
  <w:style w:type="character" w:styleId="FollowedHyperlink">
    <w:name w:val="FollowedHyperlink"/>
    <w:basedOn w:val="DefaultParagraphFont"/>
    <w:rsid w:val="00FC3B74"/>
    <w:rPr>
      <w:color w:val="800080"/>
      <w:u w:val="single"/>
    </w:rPr>
  </w:style>
  <w:style w:type="paragraph" w:styleId="BodyText">
    <w:name w:val="Body Text"/>
    <w:basedOn w:val="Normal"/>
    <w:link w:val="BodyTextChar"/>
    <w:rsid w:val="00FC3B74"/>
    <w:rPr>
      <w:b/>
      <w:bCs/>
      <w:color w:val="000000"/>
      <w:szCs w:val="20"/>
    </w:rPr>
  </w:style>
  <w:style w:type="paragraph" w:styleId="BodyText2">
    <w:name w:val="Body Text 2"/>
    <w:basedOn w:val="Normal"/>
    <w:link w:val="BodyText2Char"/>
    <w:rsid w:val="00FC3B74"/>
    <w:pPr>
      <w:autoSpaceDE w:val="0"/>
      <w:autoSpaceDN w:val="0"/>
      <w:adjustRightInd w:val="0"/>
      <w:spacing w:line="240" w:lineRule="atLeast"/>
    </w:pPr>
    <w:rPr>
      <w:color w:val="000000"/>
      <w:szCs w:val="20"/>
    </w:rPr>
  </w:style>
  <w:style w:type="paragraph" w:styleId="BalloonText">
    <w:name w:val="Balloon Text"/>
    <w:basedOn w:val="Normal"/>
    <w:link w:val="BalloonTextChar"/>
    <w:semiHidden/>
    <w:rsid w:val="00A830C3"/>
    <w:rPr>
      <w:rFonts w:ascii="Tahoma" w:hAnsi="Tahoma" w:cs="Tahoma"/>
      <w:sz w:val="16"/>
      <w:szCs w:val="16"/>
    </w:rPr>
  </w:style>
  <w:style w:type="table" w:styleId="TableGrid">
    <w:name w:val="Table Grid"/>
    <w:basedOn w:val="TableNormal"/>
    <w:uiPriority w:val="59"/>
    <w:rsid w:val="008F32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rsid w:val="00A67478"/>
    <w:pPr>
      <w:numPr>
        <w:numId w:val="15"/>
      </w:numPr>
    </w:pPr>
  </w:style>
  <w:style w:type="paragraph" w:styleId="ListParagraph">
    <w:name w:val="List Paragraph"/>
    <w:basedOn w:val="Normal"/>
    <w:link w:val="ListParagraphChar"/>
    <w:uiPriority w:val="34"/>
    <w:qFormat/>
    <w:rsid w:val="00727DBA"/>
    <w:pPr>
      <w:ind w:left="720"/>
      <w:contextualSpacing/>
    </w:pPr>
  </w:style>
  <w:style w:type="character" w:customStyle="1" w:styleId="FootnoteTextChar">
    <w:name w:val="Footnote Text Char"/>
    <w:aliases w:val="single space Char,footnote text Char,fn Char,FOOTNOTES Char,texto de nota al pie Car1 Char,Nota a pie/Bibliog Car1 Char,Texto nota pie Car1 Car1 Char,Texto nota pie Car Car Car1 Char, Car1 Car Car Car1 Char, Car1 Car2 Car1 Char,f Char"/>
    <w:basedOn w:val="DefaultParagraphFont"/>
    <w:link w:val="FootnoteText"/>
    <w:rsid w:val="000D6EAB"/>
  </w:style>
  <w:style w:type="paragraph" w:styleId="NoSpacing">
    <w:name w:val="No Spacing"/>
    <w:basedOn w:val="Normal"/>
    <w:link w:val="NoSpacingChar"/>
    <w:uiPriority w:val="1"/>
    <w:qFormat/>
    <w:rsid w:val="00232BD8"/>
    <w:rPr>
      <w:rFonts w:ascii="Cambria" w:eastAsia="Calibri" w:hAnsi="Cambria"/>
      <w:sz w:val="22"/>
      <w:szCs w:val="22"/>
      <w:lang w:bidi="en-US"/>
    </w:rPr>
  </w:style>
  <w:style w:type="character" w:customStyle="1" w:styleId="NoSpacingChar">
    <w:name w:val="No Spacing Char"/>
    <w:basedOn w:val="DefaultParagraphFont"/>
    <w:link w:val="NoSpacing"/>
    <w:uiPriority w:val="1"/>
    <w:rsid w:val="00232BD8"/>
    <w:rPr>
      <w:rFonts w:ascii="Cambria" w:eastAsia="Calibri" w:hAnsi="Cambria"/>
      <w:sz w:val="22"/>
      <w:szCs w:val="22"/>
      <w:lang w:bidi="en-US"/>
    </w:rPr>
  </w:style>
  <w:style w:type="character" w:styleId="CommentReference">
    <w:name w:val="annotation reference"/>
    <w:basedOn w:val="DefaultParagraphFont"/>
    <w:uiPriority w:val="99"/>
    <w:rsid w:val="00D12368"/>
    <w:rPr>
      <w:sz w:val="16"/>
      <w:szCs w:val="16"/>
    </w:rPr>
  </w:style>
  <w:style w:type="paragraph" w:styleId="CommentText">
    <w:name w:val="annotation text"/>
    <w:basedOn w:val="Normal"/>
    <w:link w:val="CommentTextChar"/>
    <w:rsid w:val="00D12368"/>
    <w:rPr>
      <w:sz w:val="20"/>
      <w:szCs w:val="20"/>
    </w:rPr>
  </w:style>
  <w:style w:type="character" w:customStyle="1" w:styleId="CommentTextChar">
    <w:name w:val="Comment Text Char"/>
    <w:basedOn w:val="DefaultParagraphFont"/>
    <w:link w:val="CommentText"/>
    <w:rsid w:val="00D12368"/>
  </w:style>
  <w:style w:type="paragraph" w:styleId="CommentSubject">
    <w:name w:val="annotation subject"/>
    <w:basedOn w:val="CommentText"/>
    <w:next w:val="CommentText"/>
    <w:link w:val="CommentSubjectChar"/>
    <w:rsid w:val="00D12368"/>
    <w:rPr>
      <w:b/>
      <w:bCs/>
    </w:rPr>
  </w:style>
  <w:style w:type="character" w:customStyle="1" w:styleId="CommentSubjectChar">
    <w:name w:val="Comment Subject Char"/>
    <w:basedOn w:val="CommentTextChar"/>
    <w:link w:val="CommentSubject"/>
    <w:rsid w:val="00D12368"/>
    <w:rPr>
      <w:b/>
      <w:bCs/>
    </w:rPr>
  </w:style>
  <w:style w:type="paragraph" w:customStyle="1" w:styleId="ModelNrmlSingle">
    <w:name w:val="ModelNrmlSingle"/>
    <w:basedOn w:val="Normal"/>
    <w:link w:val="ModelNrmlSingleChar"/>
    <w:rsid w:val="00BA7DF7"/>
    <w:pPr>
      <w:spacing w:after="240"/>
      <w:ind w:firstLine="720"/>
      <w:jc w:val="both"/>
    </w:pPr>
    <w:rPr>
      <w:sz w:val="22"/>
      <w:szCs w:val="20"/>
    </w:rPr>
  </w:style>
  <w:style w:type="paragraph" w:customStyle="1" w:styleId="Number">
    <w:name w:val="Number"/>
    <w:basedOn w:val="Normal"/>
    <w:rsid w:val="00BA7DF7"/>
    <w:pPr>
      <w:numPr>
        <w:ilvl w:val="4"/>
        <w:numId w:val="20"/>
      </w:numPr>
      <w:spacing w:before="60" w:after="180"/>
      <w:jc w:val="both"/>
    </w:pPr>
    <w:rPr>
      <w:rFonts w:cs="Arial"/>
      <w:szCs w:val="20"/>
    </w:rPr>
  </w:style>
  <w:style w:type="character" w:customStyle="1" w:styleId="ListParagraphChar">
    <w:name w:val="List Paragraph Char"/>
    <w:basedOn w:val="DefaultParagraphFont"/>
    <w:link w:val="ListParagraph"/>
    <w:uiPriority w:val="34"/>
    <w:rsid w:val="00C57A0F"/>
    <w:rPr>
      <w:sz w:val="24"/>
      <w:szCs w:val="24"/>
    </w:rPr>
  </w:style>
  <w:style w:type="character" w:customStyle="1" w:styleId="Heading5Char">
    <w:name w:val="Heading 5 Char"/>
    <w:basedOn w:val="DefaultParagraphFont"/>
    <w:link w:val="Heading5"/>
    <w:rsid w:val="00C57A0F"/>
    <w:rPr>
      <w:b/>
      <w:bCs/>
      <w:sz w:val="24"/>
      <w:szCs w:val="24"/>
      <w:u w:val="single"/>
    </w:rPr>
  </w:style>
  <w:style w:type="character" w:customStyle="1" w:styleId="FootnoteTextChar1">
    <w:name w:val="Footnote Text Char1"/>
    <w:aliases w:val="Geneva 9 Char1,Font: Geneva 9 Char1,Boston 10 Char1,f Char1,Footnote Text Char Char Char1,Footnote Text Char Char2,fn Char1,ft Char"/>
    <w:basedOn w:val="DefaultParagraphFont"/>
    <w:semiHidden/>
    <w:rsid w:val="007C174B"/>
    <w:rPr>
      <w:lang w:val="en-US" w:eastAsia="en-US" w:bidi="ar-SA"/>
    </w:rPr>
  </w:style>
  <w:style w:type="paragraph" w:styleId="HTMLPreformatted">
    <w:name w:val="HTML Preformatted"/>
    <w:basedOn w:val="Normal"/>
    <w:link w:val="HTMLPreformattedChar"/>
    <w:rsid w:val="00F6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66A6E"/>
    <w:rPr>
      <w:rFonts w:ascii="Courier New" w:hAnsi="Courier New" w:cs="Courier New"/>
    </w:rPr>
  </w:style>
  <w:style w:type="paragraph" w:customStyle="1" w:styleId="Prrafodelista1">
    <w:name w:val="Párrafo de lista1"/>
    <w:basedOn w:val="Normal"/>
    <w:qFormat/>
    <w:rsid w:val="00662D92"/>
    <w:pPr>
      <w:ind w:left="720"/>
    </w:pPr>
    <w:rPr>
      <w:lang w:val="es-ES"/>
    </w:rPr>
  </w:style>
  <w:style w:type="paragraph" w:styleId="ListBullet">
    <w:name w:val="List Bullet"/>
    <w:basedOn w:val="Normal"/>
    <w:autoRedefine/>
    <w:uiPriority w:val="99"/>
    <w:rsid w:val="00593CD7"/>
    <w:pPr>
      <w:tabs>
        <w:tab w:val="left" w:pos="540"/>
      </w:tabs>
      <w:jc w:val="both"/>
    </w:pPr>
    <w:rPr>
      <w:rFonts w:cs="Arial"/>
      <w:b/>
      <w:color w:val="000000"/>
      <w:lang w:eastAsia="es-ES"/>
    </w:rPr>
  </w:style>
  <w:style w:type="character" w:customStyle="1" w:styleId="HeaderChar">
    <w:name w:val="Header Char"/>
    <w:link w:val="Header"/>
    <w:rsid w:val="003B4763"/>
    <w:rPr>
      <w:sz w:val="24"/>
      <w:szCs w:val="24"/>
    </w:rPr>
  </w:style>
  <w:style w:type="character" w:customStyle="1" w:styleId="ModelNrmlSingleChar">
    <w:name w:val="ModelNrmlSingle Char"/>
    <w:link w:val="ModelNrmlSingle"/>
    <w:rsid w:val="00466972"/>
    <w:rPr>
      <w:sz w:val="22"/>
    </w:rPr>
  </w:style>
  <w:style w:type="paragraph" w:customStyle="1" w:styleId="ModelNrmlDouble">
    <w:name w:val="ModelNrmlDouble"/>
    <w:basedOn w:val="ModelNrmlSingle"/>
    <w:rsid w:val="00466972"/>
    <w:pPr>
      <w:spacing w:after="360" w:line="480" w:lineRule="auto"/>
    </w:pPr>
    <w:rPr>
      <w:lang w:val="x-none" w:eastAsia="x-none"/>
    </w:rPr>
  </w:style>
  <w:style w:type="character" w:customStyle="1" w:styleId="Heading1Char">
    <w:name w:val="Heading 1 Char"/>
    <w:basedOn w:val="DefaultParagraphFont"/>
    <w:link w:val="Heading1"/>
    <w:rsid w:val="006A0D6F"/>
    <w:rPr>
      <w:b/>
      <w:bCs/>
      <w:sz w:val="24"/>
      <w:lang w:val="es-ES"/>
    </w:rPr>
  </w:style>
  <w:style w:type="character" w:customStyle="1" w:styleId="Heading2Char">
    <w:name w:val="Heading 2 Char"/>
    <w:basedOn w:val="DefaultParagraphFont"/>
    <w:link w:val="Heading2"/>
    <w:rsid w:val="006A0D6F"/>
    <w:rPr>
      <w:b/>
      <w:bCs/>
      <w:sz w:val="24"/>
      <w:lang w:val="es-ES"/>
    </w:rPr>
  </w:style>
  <w:style w:type="character" w:customStyle="1" w:styleId="Heading3Char">
    <w:name w:val="Heading 3 Char"/>
    <w:basedOn w:val="DefaultParagraphFont"/>
    <w:link w:val="Heading3"/>
    <w:rsid w:val="00971692"/>
    <w:rPr>
      <w:rFonts w:cs="Arial"/>
      <w:b/>
      <w:bCs/>
      <w:sz w:val="24"/>
      <w:szCs w:val="26"/>
    </w:rPr>
  </w:style>
  <w:style w:type="character" w:customStyle="1" w:styleId="Heading4Char">
    <w:name w:val="Heading 4 Char"/>
    <w:basedOn w:val="DefaultParagraphFont"/>
    <w:link w:val="Heading4"/>
    <w:rsid w:val="00161DCB"/>
    <w:rPr>
      <w:b/>
      <w:bCs/>
      <w:sz w:val="24"/>
      <w:szCs w:val="24"/>
      <w:lang w:val="es-ES"/>
    </w:rPr>
  </w:style>
  <w:style w:type="character" w:customStyle="1" w:styleId="Heading9Char">
    <w:name w:val="Heading 9 Char"/>
    <w:basedOn w:val="DefaultParagraphFont"/>
    <w:link w:val="Heading9"/>
    <w:rsid w:val="00971692"/>
    <w:rPr>
      <w:rFonts w:ascii="Arial" w:hAnsi="Arial" w:cs="Arial"/>
      <w:sz w:val="22"/>
      <w:szCs w:val="22"/>
    </w:rPr>
  </w:style>
  <w:style w:type="character" w:customStyle="1" w:styleId="FooterChar">
    <w:name w:val="Footer Char"/>
    <w:basedOn w:val="DefaultParagraphFont"/>
    <w:link w:val="Footer"/>
    <w:rsid w:val="00971692"/>
    <w:rPr>
      <w:sz w:val="24"/>
      <w:szCs w:val="24"/>
    </w:rPr>
  </w:style>
  <w:style w:type="character" w:customStyle="1" w:styleId="BodyTextChar">
    <w:name w:val="Body Text Char"/>
    <w:basedOn w:val="DefaultParagraphFont"/>
    <w:link w:val="BodyText"/>
    <w:rsid w:val="00971692"/>
    <w:rPr>
      <w:b/>
      <w:bCs/>
      <w:color w:val="000000"/>
      <w:sz w:val="24"/>
    </w:rPr>
  </w:style>
  <w:style w:type="character" w:customStyle="1" w:styleId="BodyText2Char">
    <w:name w:val="Body Text 2 Char"/>
    <w:basedOn w:val="DefaultParagraphFont"/>
    <w:link w:val="BodyText2"/>
    <w:rsid w:val="00971692"/>
    <w:rPr>
      <w:color w:val="000000"/>
      <w:sz w:val="24"/>
    </w:rPr>
  </w:style>
  <w:style w:type="character" w:customStyle="1" w:styleId="BalloonTextChar">
    <w:name w:val="Balloon Text Char"/>
    <w:basedOn w:val="DefaultParagraphFont"/>
    <w:link w:val="BalloonText"/>
    <w:semiHidden/>
    <w:rsid w:val="00971692"/>
    <w:rPr>
      <w:rFonts w:ascii="Tahoma" w:hAnsi="Tahoma" w:cs="Tahoma"/>
      <w:sz w:val="16"/>
      <w:szCs w:val="16"/>
    </w:rPr>
  </w:style>
  <w:style w:type="numbering" w:customStyle="1" w:styleId="Style11">
    <w:name w:val="Style11"/>
    <w:rsid w:val="00971692"/>
  </w:style>
  <w:style w:type="numbering" w:customStyle="1" w:styleId="Estilo1">
    <w:name w:val="Estilo1"/>
    <w:uiPriority w:val="99"/>
    <w:rsid w:val="00DF05E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9583">
      <w:bodyDiv w:val="1"/>
      <w:marLeft w:val="0"/>
      <w:marRight w:val="0"/>
      <w:marTop w:val="0"/>
      <w:marBottom w:val="0"/>
      <w:divBdr>
        <w:top w:val="none" w:sz="0" w:space="0" w:color="auto"/>
        <w:left w:val="none" w:sz="0" w:space="0" w:color="auto"/>
        <w:bottom w:val="none" w:sz="0" w:space="0" w:color="auto"/>
        <w:right w:val="none" w:sz="0" w:space="0" w:color="auto"/>
      </w:divBdr>
    </w:div>
    <w:div w:id="70130493">
      <w:bodyDiv w:val="1"/>
      <w:marLeft w:val="0"/>
      <w:marRight w:val="0"/>
      <w:marTop w:val="0"/>
      <w:marBottom w:val="0"/>
      <w:divBdr>
        <w:top w:val="none" w:sz="0" w:space="0" w:color="auto"/>
        <w:left w:val="none" w:sz="0" w:space="0" w:color="auto"/>
        <w:bottom w:val="none" w:sz="0" w:space="0" w:color="auto"/>
        <w:right w:val="none" w:sz="0" w:space="0" w:color="auto"/>
      </w:divBdr>
    </w:div>
    <w:div w:id="246113802">
      <w:bodyDiv w:val="1"/>
      <w:marLeft w:val="0"/>
      <w:marRight w:val="0"/>
      <w:marTop w:val="0"/>
      <w:marBottom w:val="0"/>
      <w:divBdr>
        <w:top w:val="none" w:sz="0" w:space="0" w:color="auto"/>
        <w:left w:val="none" w:sz="0" w:space="0" w:color="auto"/>
        <w:bottom w:val="none" w:sz="0" w:space="0" w:color="auto"/>
        <w:right w:val="none" w:sz="0" w:space="0" w:color="auto"/>
      </w:divBdr>
    </w:div>
    <w:div w:id="397675233">
      <w:bodyDiv w:val="1"/>
      <w:marLeft w:val="0"/>
      <w:marRight w:val="0"/>
      <w:marTop w:val="0"/>
      <w:marBottom w:val="0"/>
      <w:divBdr>
        <w:top w:val="none" w:sz="0" w:space="0" w:color="auto"/>
        <w:left w:val="none" w:sz="0" w:space="0" w:color="auto"/>
        <w:bottom w:val="none" w:sz="0" w:space="0" w:color="auto"/>
        <w:right w:val="none" w:sz="0" w:space="0" w:color="auto"/>
      </w:divBdr>
    </w:div>
    <w:div w:id="463549890">
      <w:bodyDiv w:val="1"/>
      <w:marLeft w:val="0"/>
      <w:marRight w:val="0"/>
      <w:marTop w:val="0"/>
      <w:marBottom w:val="0"/>
      <w:divBdr>
        <w:top w:val="none" w:sz="0" w:space="0" w:color="auto"/>
        <w:left w:val="none" w:sz="0" w:space="0" w:color="auto"/>
        <w:bottom w:val="none" w:sz="0" w:space="0" w:color="auto"/>
        <w:right w:val="none" w:sz="0" w:space="0" w:color="auto"/>
      </w:divBdr>
    </w:div>
    <w:div w:id="489947996">
      <w:bodyDiv w:val="1"/>
      <w:marLeft w:val="0"/>
      <w:marRight w:val="0"/>
      <w:marTop w:val="0"/>
      <w:marBottom w:val="0"/>
      <w:divBdr>
        <w:top w:val="none" w:sz="0" w:space="0" w:color="auto"/>
        <w:left w:val="none" w:sz="0" w:space="0" w:color="auto"/>
        <w:bottom w:val="none" w:sz="0" w:space="0" w:color="auto"/>
        <w:right w:val="none" w:sz="0" w:space="0" w:color="auto"/>
      </w:divBdr>
    </w:div>
    <w:div w:id="918174143">
      <w:bodyDiv w:val="1"/>
      <w:marLeft w:val="0"/>
      <w:marRight w:val="0"/>
      <w:marTop w:val="0"/>
      <w:marBottom w:val="0"/>
      <w:divBdr>
        <w:top w:val="none" w:sz="0" w:space="0" w:color="auto"/>
        <w:left w:val="none" w:sz="0" w:space="0" w:color="auto"/>
        <w:bottom w:val="none" w:sz="0" w:space="0" w:color="auto"/>
        <w:right w:val="none" w:sz="0" w:space="0" w:color="auto"/>
      </w:divBdr>
    </w:div>
    <w:div w:id="992752683">
      <w:bodyDiv w:val="1"/>
      <w:marLeft w:val="0"/>
      <w:marRight w:val="0"/>
      <w:marTop w:val="0"/>
      <w:marBottom w:val="0"/>
      <w:divBdr>
        <w:top w:val="none" w:sz="0" w:space="0" w:color="auto"/>
        <w:left w:val="none" w:sz="0" w:space="0" w:color="auto"/>
        <w:bottom w:val="none" w:sz="0" w:space="0" w:color="auto"/>
        <w:right w:val="none" w:sz="0" w:space="0" w:color="auto"/>
      </w:divBdr>
    </w:div>
    <w:div w:id="1097939789">
      <w:bodyDiv w:val="1"/>
      <w:marLeft w:val="0"/>
      <w:marRight w:val="0"/>
      <w:marTop w:val="0"/>
      <w:marBottom w:val="0"/>
      <w:divBdr>
        <w:top w:val="none" w:sz="0" w:space="0" w:color="auto"/>
        <w:left w:val="none" w:sz="0" w:space="0" w:color="auto"/>
        <w:bottom w:val="none" w:sz="0" w:space="0" w:color="auto"/>
        <w:right w:val="none" w:sz="0" w:space="0" w:color="auto"/>
      </w:divBdr>
    </w:div>
    <w:div w:id="1318193308">
      <w:bodyDiv w:val="1"/>
      <w:marLeft w:val="0"/>
      <w:marRight w:val="0"/>
      <w:marTop w:val="0"/>
      <w:marBottom w:val="0"/>
      <w:divBdr>
        <w:top w:val="none" w:sz="0" w:space="0" w:color="auto"/>
        <w:left w:val="none" w:sz="0" w:space="0" w:color="auto"/>
        <w:bottom w:val="none" w:sz="0" w:space="0" w:color="auto"/>
        <w:right w:val="none" w:sz="0" w:space="0" w:color="auto"/>
      </w:divBdr>
    </w:div>
    <w:div w:id="1369835117">
      <w:bodyDiv w:val="1"/>
      <w:marLeft w:val="0"/>
      <w:marRight w:val="0"/>
      <w:marTop w:val="0"/>
      <w:marBottom w:val="0"/>
      <w:divBdr>
        <w:top w:val="none" w:sz="0" w:space="0" w:color="auto"/>
        <w:left w:val="none" w:sz="0" w:space="0" w:color="auto"/>
        <w:bottom w:val="none" w:sz="0" w:space="0" w:color="auto"/>
        <w:right w:val="none" w:sz="0" w:space="0" w:color="auto"/>
      </w:divBdr>
    </w:div>
    <w:div w:id="1398432249">
      <w:bodyDiv w:val="1"/>
      <w:marLeft w:val="0"/>
      <w:marRight w:val="0"/>
      <w:marTop w:val="0"/>
      <w:marBottom w:val="0"/>
      <w:divBdr>
        <w:top w:val="none" w:sz="0" w:space="0" w:color="auto"/>
        <w:left w:val="none" w:sz="0" w:space="0" w:color="auto"/>
        <w:bottom w:val="none" w:sz="0" w:space="0" w:color="auto"/>
        <w:right w:val="none" w:sz="0" w:space="0" w:color="auto"/>
      </w:divBdr>
    </w:div>
    <w:div w:id="1422947237">
      <w:bodyDiv w:val="1"/>
      <w:marLeft w:val="0"/>
      <w:marRight w:val="0"/>
      <w:marTop w:val="0"/>
      <w:marBottom w:val="0"/>
      <w:divBdr>
        <w:top w:val="none" w:sz="0" w:space="0" w:color="auto"/>
        <w:left w:val="none" w:sz="0" w:space="0" w:color="auto"/>
        <w:bottom w:val="none" w:sz="0" w:space="0" w:color="auto"/>
        <w:right w:val="none" w:sz="0" w:space="0" w:color="auto"/>
      </w:divBdr>
    </w:div>
    <w:div w:id="1437482680">
      <w:bodyDiv w:val="1"/>
      <w:marLeft w:val="0"/>
      <w:marRight w:val="0"/>
      <w:marTop w:val="0"/>
      <w:marBottom w:val="0"/>
      <w:divBdr>
        <w:top w:val="none" w:sz="0" w:space="0" w:color="auto"/>
        <w:left w:val="none" w:sz="0" w:space="0" w:color="auto"/>
        <w:bottom w:val="none" w:sz="0" w:space="0" w:color="auto"/>
        <w:right w:val="none" w:sz="0" w:space="0" w:color="auto"/>
      </w:divBdr>
    </w:div>
    <w:div w:id="1520507450">
      <w:bodyDiv w:val="1"/>
      <w:marLeft w:val="0"/>
      <w:marRight w:val="0"/>
      <w:marTop w:val="0"/>
      <w:marBottom w:val="0"/>
      <w:divBdr>
        <w:top w:val="none" w:sz="0" w:space="0" w:color="auto"/>
        <w:left w:val="none" w:sz="0" w:space="0" w:color="auto"/>
        <w:bottom w:val="none" w:sz="0" w:space="0" w:color="auto"/>
        <w:right w:val="none" w:sz="0" w:space="0" w:color="auto"/>
      </w:divBdr>
    </w:div>
    <w:div w:id="1632050947">
      <w:bodyDiv w:val="1"/>
      <w:marLeft w:val="0"/>
      <w:marRight w:val="0"/>
      <w:marTop w:val="0"/>
      <w:marBottom w:val="0"/>
      <w:divBdr>
        <w:top w:val="none" w:sz="0" w:space="0" w:color="auto"/>
        <w:left w:val="none" w:sz="0" w:space="0" w:color="auto"/>
        <w:bottom w:val="none" w:sz="0" w:space="0" w:color="auto"/>
        <w:right w:val="none" w:sz="0" w:space="0" w:color="auto"/>
      </w:divBdr>
    </w:div>
    <w:div w:id="1833525990">
      <w:bodyDiv w:val="1"/>
      <w:marLeft w:val="0"/>
      <w:marRight w:val="0"/>
      <w:marTop w:val="0"/>
      <w:marBottom w:val="0"/>
      <w:divBdr>
        <w:top w:val="none" w:sz="0" w:space="0" w:color="auto"/>
        <w:left w:val="none" w:sz="0" w:space="0" w:color="auto"/>
        <w:bottom w:val="none" w:sz="0" w:space="0" w:color="auto"/>
        <w:right w:val="none" w:sz="0" w:space="0" w:color="auto"/>
      </w:divBdr>
    </w:div>
    <w:div w:id="1868256550">
      <w:bodyDiv w:val="1"/>
      <w:marLeft w:val="0"/>
      <w:marRight w:val="0"/>
      <w:marTop w:val="0"/>
      <w:marBottom w:val="0"/>
      <w:divBdr>
        <w:top w:val="none" w:sz="0" w:space="0" w:color="auto"/>
        <w:left w:val="none" w:sz="0" w:space="0" w:color="auto"/>
        <w:bottom w:val="none" w:sz="0" w:space="0" w:color="auto"/>
        <w:right w:val="none" w:sz="0" w:space="0" w:color="auto"/>
      </w:divBdr>
    </w:div>
    <w:div w:id="1900089778">
      <w:bodyDiv w:val="1"/>
      <w:marLeft w:val="0"/>
      <w:marRight w:val="0"/>
      <w:marTop w:val="0"/>
      <w:marBottom w:val="0"/>
      <w:divBdr>
        <w:top w:val="none" w:sz="0" w:space="0" w:color="auto"/>
        <w:left w:val="none" w:sz="0" w:space="0" w:color="auto"/>
        <w:bottom w:val="none" w:sz="0" w:space="0" w:color="auto"/>
        <w:right w:val="none" w:sz="0" w:space="0" w:color="auto"/>
      </w:divBdr>
    </w:div>
    <w:div w:id="1948846248">
      <w:bodyDiv w:val="1"/>
      <w:marLeft w:val="0"/>
      <w:marRight w:val="0"/>
      <w:marTop w:val="0"/>
      <w:marBottom w:val="0"/>
      <w:divBdr>
        <w:top w:val="none" w:sz="0" w:space="0" w:color="auto"/>
        <w:left w:val="none" w:sz="0" w:space="0" w:color="auto"/>
        <w:bottom w:val="none" w:sz="0" w:space="0" w:color="auto"/>
        <w:right w:val="none" w:sz="0" w:space="0" w:color="auto"/>
      </w:divBdr>
    </w:div>
    <w:div w:id="19796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lo.org/ilolex/cgi-lex/convde.pl?C169" TargetMode="External"/><Relationship Id="rId2" Type="http://schemas.openxmlformats.org/officeDocument/2006/relationships/hyperlink" Target="http://www.pgr.gob.ni/index.php/areas-de-la-pgr/aa/1177-estudios-prodep" TargetMode="External"/><Relationship Id="rId1" Type="http://schemas.openxmlformats.org/officeDocument/2006/relationships/hyperlink" Target="http://www.pgr.gob.ni/index.php/areas-de-la-pgr/aa/1177-estudios-prode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rms of Reference" ma:contentTypeID="0x010100641ADF8362F740EF92A8F70982088535005922C1BE952F81488A901F80D3E61DD4" ma:contentTypeVersion="0" ma:contentTypeDescription="Terms of Reference Content Type" ma:contentTypeScope="" ma:versionID="a6fd918c89d1579a16c42dc450d38ed6">
  <xsd:schema xmlns:xsd="http://www.w3.org/2001/XMLSchema" xmlns:xs="http://www.w3.org/2001/XMLSchema" xmlns:p="http://schemas.microsoft.com/office/2006/metadata/properties" xmlns:ns1="http://schemas.microsoft.com/sharepoint/v3" targetNamespace="http://schemas.microsoft.com/office/2006/metadata/properties" ma:root="true" ma:fieldsID="cf9f43be0e69753f81a4c0df7304622b" ns1:_="">
    <xsd:import namespace="http://schemas.microsoft.com/sharepoint/v3"/>
    <xsd:element name="properties">
      <xsd:complexType>
        <xsd:sequence>
          <xsd:element name="documentManagement">
            <xsd:complexType>
              <xsd:all>
                <xsd:element ref="ns1:OPSCustom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SCustomProjectID" ma:index="8" nillable="true" ma:displayName="Project ID" ma:internalName="OPSCustomProject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PSCustomProject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A557C-D6C3-486C-8C02-CB47D6F3F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8A6A3-1CA3-419F-8336-389864812A12}">
  <ds:schemaRefs>
    <ds:schemaRef ds:uri="http://schemas.microsoft.com/sharepoint/v3/contenttype/forms"/>
  </ds:schemaRefs>
</ds:datastoreItem>
</file>

<file path=customXml/itemProps3.xml><?xml version="1.0" encoding="utf-8"?>
<ds:datastoreItem xmlns:ds="http://schemas.openxmlformats.org/officeDocument/2006/customXml" ds:itemID="{918A2EB0-5CAB-4913-B3E3-176B2E1D0493}">
  <ds:schemaRefs>
    <ds:schemaRef ds:uri="http://www.w3.org/XML/1998/namespace"/>
    <ds:schemaRef ds:uri="http://purl.org/dc/terms/"/>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6ACCAF6-85AB-4042-A6FD-6F7D5CBF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34874</Words>
  <Characters>198788</Characters>
  <Application>Microsoft Office Word</Application>
  <DocSecurity>0</DocSecurity>
  <Lines>1656</Lines>
  <Paragraphs>466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Project Appraisal Document</vt:lpstr>
      <vt:lpstr>Project Appraisal Document</vt:lpstr>
    </vt:vector>
  </TitlesOfParts>
  <Company>World Bank Group</Company>
  <LinksUpToDate>false</LinksUpToDate>
  <CharactersWithSpaces>233196</CharactersWithSpaces>
  <SharedDoc>false</SharedDoc>
  <HLinks>
    <vt:vector size="192" baseType="variant">
      <vt:variant>
        <vt:i4>1835057</vt:i4>
      </vt:variant>
      <vt:variant>
        <vt:i4>231</vt:i4>
      </vt:variant>
      <vt:variant>
        <vt:i4>0</vt:i4>
      </vt:variant>
      <vt:variant>
        <vt:i4>5</vt:i4>
      </vt:variant>
      <vt:variant>
        <vt:lpwstr/>
      </vt:variant>
      <vt:variant>
        <vt:lpwstr>_Toc294270009</vt:lpwstr>
      </vt:variant>
      <vt:variant>
        <vt:i4>1835057</vt:i4>
      </vt:variant>
      <vt:variant>
        <vt:i4>225</vt:i4>
      </vt:variant>
      <vt:variant>
        <vt:i4>0</vt:i4>
      </vt:variant>
      <vt:variant>
        <vt:i4>5</vt:i4>
      </vt:variant>
      <vt:variant>
        <vt:lpwstr/>
      </vt:variant>
      <vt:variant>
        <vt:lpwstr>_Toc294270008</vt:lpwstr>
      </vt:variant>
      <vt:variant>
        <vt:i4>1835057</vt:i4>
      </vt:variant>
      <vt:variant>
        <vt:i4>219</vt:i4>
      </vt:variant>
      <vt:variant>
        <vt:i4>0</vt:i4>
      </vt:variant>
      <vt:variant>
        <vt:i4>5</vt:i4>
      </vt:variant>
      <vt:variant>
        <vt:lpwstr/>
      </vt:variant>
      <vt:variant>
        <vt:lpwstr>_Toc294270007</vt:lpwstr>
      </vt:variant>
      <vt:variant>
        <vt:i4>1835057</vt:i4>
      </vt:variant>
      <vt:variant>
        <vt:i4>213</vt:i4>
      </vt:variant>
      <vt:variant>
        <vt:i4>0</vt:i4>
      </vt:variant>
      <vt:variant>
        <vt:i4>5</vt:i4>
      </vt:variant>
      <vt:variant>
        <vt:lpwstr/>
      </vt:variant>
      <vt:variant>
        <vt:lpwstr>_Toc294270006</vt:lpwstr>
      </vt:variant>
      <vt:variant>
        <vt:i4>1835057</vt:i4>
      </vt:variant>
      <vt:variant>
        <vt:i4>207</vt:i4>
      </vt:variant>
      <vt:variant>
        <vt:i4>0</vt:i4>
      </vt:variant>
      <vt:variant>
        <vt:i4>5</vt:i4>
      </vt:variant>
      <vt:variant>
        <vt:lpwstr/>
      </vt:variant>
      <vt:variant>
        <vt:lpwstr>_Toc294270005</vt:lpwstr>
      </vt:variant>
      <vt:variant>
        <vt:i4>1835057</vt:i4>
      </vt:variant>
      <vt:variant>
        <vt:i4>201</vt:i4>
      </vt:variant>
      <vt:variant>
        <vt:i4>0</vt:i4>
      </vt:variant>
      <vt:variant>
        <vt:i4>5</vt:i4>
      </vt:variant>
      <vt:variant>
        <vt:lpwstr/>
      </vt:variant>
      <vt:variant>
        <vt:lpwstr>_Toc294270004</vt:lpwstr>
      </vt:variant>
      <vt:variant>
        <vt:i4>1835057</vt:i4>
      </vt:variant>
      <vt:variant>
        <vt:i4>195</vt:i4>
      </vt:variant>
      <vt:variant>
        <vt:i4>0</vt:i4>
      </vt:variant>
      <vt:variant>
        <vt:i4>5</vt:i4>
      </vt:variant>
      <vt:variant>
        <vt:lpwstr/>
      </vt:variant>
      <vt:variant>
        <vt:lpwstr>_Toc294270003</vt:lpwstr>
      </vt:variant>
      <vt:variant>
        <vt:i4>1835057</vt:i4>
      </vt:variant>
      <vt:variant>
        <vt:i4>189</vt:i4>
      </vt:variant>
      <vt:variant>
        <vt:i4>0</vt:i4>
      </vt:variant>
      <vt:variant>
        <vt:i4>5</vt:i4>
      </vt:variant>
      <vt:variant>
        <vt:lpwstr/>
      </vt:variant>
      <vt:variant>
        <vt:lpwstr>_Toc294270002</vt:lpwstr>
      </vt:variant>
      <vt:variant>
        <vt:i4>1835057</vt:i4>
      </vt:variant>
      <vt:variant>
        <vt:i4>183</vt:i4>
      </vt:variant>
      <vt:variant>
        <vt:i4>0</vt:i4>
      </vt:variant>
      <vt:variant>
        <vt:i4>5</vt:i4>
      </vt:variant>
      <vt:variant>
        <vt:lpwstr/>
      </vt:variant>
      <vt:variant>
        <vt:lpwstr>_Toc294270001</vt:lpwstr>
      </vt:variant>
      <vt:variant>
        <vt:i4>1835057</vt:i4>
      </vt:variant>
      <vt:variant>
        <vt:i4>177</vt:i4>
      </vt:variant>
      <vt:variant>
        <vt:i4>0</vt:i4>
      </vt:variant>
      <vt:variant>
        <vt:i4>5</vt:i4>
      </vt:variant>
      <vt:variant>
        <vt:lpwstr/>
      </vt:variant>
      <vt:variant>
        <vt:lpwstr>_Toc294270000</vt:lpwstr>
      </vt:variant>
      <vt:variant>
        <vt:i4>1835065</vt:i4>
      </vt:variant>
      <vt:variant>
        <vt:i4>171</vt:i4>
      </vt:variant>
      <vt:variant>
        <vt:i4>0</vt:i4>
      </vt:variant>
      <vt:variant>
        <vt:i4>5</vt:i4>
      </vt:variant>
      <vt:variant>
        <vt:lpwstr/>
      </vt:variant>
      <vt:variant>
        <vt:lpwstr>_Toc294269999</vt:lpwstr>
      </vt:variant>
      <vt:variant>
        <vt:i4>1835065</vt:i4>
      </vt:variant>
      <vt:variant>
        <vt:i4>165</vt:i4>
      </vt:variant>
      <vt:variant>
        <vt:i4>0</vt:i4>
      </vt:variant>
      <vt:variant>
        <vt:i4>5</vt:i4>
      </vt:variant>
      <vt:variant>
        <vt:lpwstr/>
      </vt:variant>
      <vt:variant>
        <vt:lpwstr>_Toc294269998</vt:lpwstr>
      </vt:variant>
      <vt:variant>
        <vt:i4>1835065</vt:i4>
      </vt:variant>
      <vt:variant>
        <vt:i4>159</vt:i4>
      </vt:variant>
      <vt:variant>
        <vt:i4>0</vt:i4>
      </vt:variant>
      <vt:variant>
        <vt:i4>5</vt:i4>
      </vt:variant>
      <vt:variant>
        <vt:lpwstr/>
      </vt:variant>
      <vt:variant>
        <vt:lpwstr>_Toc294269997</vt:lpwstr>
      </vt:variant>
      <vt:variant>
        <vt:i4>1835065</vt:i4>
      </vt:variant>
      <vt:variant>
        <vt:i4>153</vt:i4>
      </vt:variant>
      <vt:variant>
        <vt:i4>0</vt:i4>
      </vt:variant>
      <vt:variant>
        <vt:i4>5</vt:i4>
      </vt:variant>
      <vt:variant>
        <vt:lpwstr/>
      </vt:variant>
      <vt:variant>
        <vt:lpwstr>_Toc294269996</vt:lpwstr>
      </vt:variant>
      <vt:variant>
        <vt:i4>1835065</vt:i4>
      </vt:variant>
      <vt:variant>
        <vt:i4>147</vt:i4>
      </vt:variant>
      <vt:variant>
        <vt:i4>0</vt:i4>
      </vt:variant>
      <vt:variant>
        <vt:i4>5</vt:i4>
      </vt:variant>
      <vt:variant>
        <vt:lpwstr/>
      </vt:variant>
      <vt:variant>
        <vt:lpwstr>_Toc294269995</vt:lpwstr>
      </vt:variant>
      <vt:variant>
        <vt:i4>1835065</vt:i4>
      </vt:variant>
      <vt:variant>
        <vt:i4>141</vt:i4>
      </vt:variant>
      <vt:variant>
        <vt:i4>0</vt:i4>
      </vt:variant>
      <vt:variant>
        <vt:i4>5</vt:i4>
      </vt:variant>
      <vt:variant>
        <vt:lpwstr/>
      </vt:variant>
      <vt:variant>
        <vt:lpwstr>_Toc294269994</vt:lpwstr>
      </vt:variant>
      <vt:variant>
        <vt:i4>1835065</vt:i4>
      </vt:variant>
      <vt:variant>
        <vt:i4>135</vt:i4>
      </vt:variant>
      <vt:variant>
        <vt:i4>0</vt:i4>
      </vt:variant>
      <vt:variant>
        <vt:i4>5</vt:i4>
      </vt:variant>
      <vt:variant>
        <vt:lpwstr/>
      </vt:variant>
      <vt:variant>
        <vt:lpwstr>_Toc294269993</vt:lpwstr>
      </vt:variant>
      <vt:variant>
        <vt:i4>1835065</vt:i4>
      </vt:variant>
      <vt:variant>
        <vt:i4>129</vt:i4>
      </vt:variant>
      <vt:variant>
        <vt:i4>0</vt:i4>
      </vt:variant>
      <vt:variant>
        <vt:i4>5</vt:i4>
      </vt:variant>
      <vt:variant>
        <vt:lpwstr/>
      </vt:variant>
      <vt:variant>
        <vt:lpwstr>_Toc294269992</vt:lpwstr>
      </vt:variant>
      <vt:variant>
        <vt:i4>1835065</vt:i4>
      </vt:variant>
      <vt:variant>
        <vt:i4>123</vt:i4>
      </vt:variant>
      <vt:variant>
        <vt:i4>0</vt:i4>
      </vt:variant>
      <vt:variant>
        <vt:i4>5</vt:i4>
      </vt:variant>
      <vt:variant>
        <vt:lpwstr/>
      </vt:variant>
      <vt:variant>
        <vt:lpwstr>_Toc294269991</vt:lpwstr>
      </vt:variant>
      <vt:variant>
        <vt:i4>1835065</vt:i4>
      </vt:variant>
      <vt:variant>
        <vt:i4>117</vt:i4>
      </vt:variant>
      <vt:variant>
        <vt:i4>0</vt:i4>
      </vt:variant>
      <vt:variant>
        <vt:i4>5</vt:i4>
      </vt:variant>
      <vt:variant>
        <vt:lpwstr/>
      </vt:variant>
      <vt:variant>
        <vt:lpwstr>_Toc294269990</vt:lpwstr>
      </vt:variant>
      <vt:variant>
        <vt:i4>1900601</vt:i4>
      </vt:variant>
      <vt:variant>
        <vt:i4>111</vt:i4>
      </vt:variant>
      <vt:variant>
        <vt:i4>0</vt:i4>
      </vt:variant>
      <vt:variant>
        <vt:i4>5</vt:i4>
      </vt:variant>
      <vt:variant>
        <vt:lpwstr/>
      </vt:variant>
      <vt:variant>
        <vt:lpwstr>_Toc294269989</vt:lpwstr>
      </vt:variant>
      <vt:variant>
        <vt:i4>1900601</vt:i4>
      </vt:variant>
      <vt:variant>
        <vt:i4>105</vt:i4>
      </vt:variant>
      <vt:variant>
        <vt:i4>0</vt:i4>
      </vt:variant>
      <vt:variant>
        <vt:i4>5</vt:i4>
      </vt:variant>
      <vt:variant>
        <vt:lpwstr/>
      </vt:variant>
      <vt:variant>
        <vt:lpwstr>_Toc294269988</vt:lpwstr>
      </vt:variant>
      <vt:variant>
        <vt:i4>1900601</vt:i4>
      </vt:variant>
      <vt:variant>
        <vt:i4>99</vt:i4>
      </vt:variant>
      <vt:variant>
        <vt:i4>0</vt:i4>
      </vt:variant>
      <vt:variant>
        <vt:i4>5</vt:i4>
      </vt:variant>
      <vt:variant>
        <vt:lpwstr/>
      </vt:variant>
      <vt:variant>
        <vt:lpwstr>_Toc294269987</vt:lpwstr>
      </vt:variant>
      <vt:variant>
        <vt:i4>1900601</vt:i4>
      </vt:variant>
      <vt:variant>
        <vt:i4>93</vt:i4>
      </vt:variant>
      <vt:variant>
        <vt:i4>0</vt:i4>
      </vt:variant>
      <vt:variant>
        <vt:i4>5</vt:i4>
      </vt:variant>
      <vt:variant>
        <vt:lpwstr/>
      </vt:variant>
      <vt:variant>
        <vt:lpwstr>_Toc294269986</vt:lpwstr>
      </vt:variant>
      <vt:variant>
        <vt:i4>1900601</vt:i4>
      </vt:variant>
      <vt:variant>
        <vt:i4>87</vt:i4>
      </vt:variant>
      <vt:variant>
        <vt:i4>0</vt:i4>
      </vt:variant>
      <vt:variant>
        <vt:i4>5</vt:i4>
      </vt:variant>
      <vt:variant>
        <vt:lpwstr/>
      </vt:variant>
      <vt:variant>
        <vt:lpwstr>_Toc294269985</vt:lpwstr>
      </vt:variant>
      <vt:variant>
        <vt:i4>1900601</vt:i4>
      </vt:variant>
      <vt:variant>
        <vt:i4>81</vt:i4>
      </vt:variant>
      <vt:variant>
        <vt:i4>0</vt:i4>
      </vt:variant>
      <vt:variant>
        <vt:i4>5</vt:i4>
      </vt:variant>
      <vt:variant>
        <vt:lpwstr/>
      </vt:variant>
      <vt:variant>
        <vt:lpwstr>_Toc294269984</vt:lpwstr>
      </vt:variant>
      <vt:variant>
        <vt:i4>1900601</vt:i4>
      </vt:variant>
      <vt:variant>
        <vt:i4>75</vt:i4>
      </vt:variant>
      <vt:variant>
        <vt:i4>0</vt:i4>
      </vt:variant>
      <vt:variant>
        <vt:i4>5</vt:i4>
      </vt:variant>
      <vt:variant>
        <vt:lpwstr/>
      </vt:variant>
      <vt:variant>
        <vt:lpwstr>_Toc294269983</vt:lpwstr>
      </vt:variant>
      <vt:variant>
        <vt:i4>1900601</vt:i4>
      </vt:variant>
      <vt:variant>
        <vt:i4>69</vt:i4>
      </vt:variant>
      <vt:variant>
        <vt:i4>0</vt:i4>
      </vt:variant>
      <vt:variant>
        <vt:i4>5</vt:i4>
      </vt:variant>
      <vt:variant>
        <vt:lpwstr/>
      </vt:variant>
      <vt:variant>
        <vt:lpwstr>_Toc294269982</vt:lpwstr>
      </vt:variant>
      <vt:variant>
        <vt:i4>1900601</vt:i4>
      </vt:variant>
      <vt:variant>
        <vt:i4>63</vt:i4>
      </vt:variant>
      <vt:variant>
        <vt:i4>0</vt:i4>
      </vt:variant>
      <vt:variant>
        <vt:i4>5</vt:i4>
      </vt:variant>
      <vt:variant>
        <vt:lpwstr/>
      </vt:variant>
      <vt:variant>
        <vt:lpwstr>_Toc294269981</vt:lpwstr>
      </vt:variant>
      <vt:variant>
        <vt:i4>1900601</vt:i4>
      </vt:variant>
      <vt:variant>
        <vt:i4>57</vt:i4>
      </vt:variant>
      <vt:variant>
        <vt:i4>0</vt:i4>
      </vt:variant>
      <vt:variant>
        <vt:i4>5</vt:i4>
      </vt:variant>
      <vt:variant>
        <vt:lpwstr/>
      </vt:variant>
      <vt:variant>
        <vt:lpwstr>_Toc294269980</vt:lpwstr>
      </vt:variant>
      <vt:variant>
        <vt:i4>1179705</vt:i4>
      </vt:variant>
      <vt:variant>
        <vt:i4>51</vt:i4>
      </vt:variant>
      <vt:variant>
        <vt:i4>0</vt:i4>
      </vt:variant>
      <vt:variant>
        <vt:i4>5</vt:i4>
      </vt:variant>
      <vt:variant>
        <vt:lpwstr/>
      </vt:variant>
      <vt:variant>
        <vt:lpwstr>_Toc294269979</vt:lpwstr>
      </vt:variant>
      <vt:variant>
        <vt:i4>1179705</vt:i4>
      </vt:variant>
      <vt:variant>
        <vt:i4>45</vt:i4>
      </vt:variant>
      <vt:variant>
        <vt:i4>0</vt:i4>
      </vt:variant>
      <vt:variant>
        <vt:i4>5</vt:i4>
      </vt:variant>
      <vt:variant>
        <vt:lpwstr/>
      </vt:variant>
      <vt:variant>
        <vt:lpwstr>_Toc294269978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Appraisal Document</dc:title>
  <dc:creator>wb244161</dc:creator>
  <cp:lastModifiedBy>Andre E. Russo</cp:lastModifiedBy>
  <cp:revision>2</cp:revision>
  <cp:lastPrinted>2013-06-07T23:20:00Z</cp:lastPrinted>
  <dcterms:created xsi:type="dcterms:W3CDTF">2013-06-20T18:53:00Z</dcterms:created>
  <dcterms:modified xsi:type="dcterms:W3CDTF">2013-06-20T18:53:00Z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y fmtid="{D5CDD505-2E9C-101B-9397-08002B2CF9AE}" pid="3" name="Country">
    <vt:lpwstr>COUNTRY</vt:lpwstr>
  </property>
  <property fmtid="{D5CDD505-2E9C-101B-9397-08002B2CF9AE}" pid="4" name="ProjectName">
    <vt:lpwstr>ProjectName</vt:lpwstr>
  </property>
  <property fmtid="{D5CDD505-2E9C-101B-9397-08002B2CF9AE}" pid="5" name="Borrower">
    <vt:lpwstr>Borrower</vt:lpwstr>
  </property>
  <property fmtid="{D5CDD505-2E9C-101B-9397-08002B2CF9AE}" pid="6" name="VicePresident">
    <vt:lpwstr>{VicePresident}</vt:lpwstr>
  </property>
  <property fmtid="{D5CDD505-2E9C-101B-9397-08002B2CF9AE}" pid="7" name="CountryDirector">
    <vt:lpwstr>{CountryDirector}</vt:lpwstr>
  </property>
  <property fmtid="{D5CDD505-2E9C-101B-9397-08002B2CF9AE}" pid="8" name="SectorManager">
    <vt:lpwstr>{SectorManager}</vt:lpwstr>
  </property>
  <property fmtid="{D5CDD505-2E9C-101B-9397-08002B2CF9AE}" pid="9" name="TeamLeaderName">
    <vt:lpwstr>{TeamLeaderName}</vt:lpwstr>
  </property>
  <property fmtid="{D5CDD505-2E9C-101B-9397-08002B2CF9AE}" pid="10" name="LoanNo">
    <vt:lpwstr/>
  </property>
  <property fmtid="{D5CDD505-2E9C-101B-9397-08002B2CF9AE}" pid="11" name="CreditNo">
    <vt:lpwstr/>
  </property>
  <property fmtid="{D5CDD505-2E9C-101B-9397-08002B2CF9AE}" pid="12" name="ContentTypeId">
    <vt:lpwstr>0x010100641ADF8362F740EF92A8F70982088535005922C1BE952F81488A901F80D3E61DD4</vt:lpwstr>
  </property>
  <property fmtid="{D5CDD505-2E9C-101B-9397-08002B2CF9AE}" pid="13" name="Author0">
    <vt:lpwstr>Daniel R. Atchison</vt:lpwstr>
  </property>
</Properties>
</file>