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F1164" w14:textId="1DB22AC2" w:rsidR="001C1750" w:rsidRPr="00D14C96" w:rsidRDefault="001C1750" w:rsidP="001C1750">
      <w:pPr>
        <w:rPr>
          <w:rFonts w:ascii="Times New Roman" w:eastAsia="Times New Roman" w:hAnsi="Times New Roman" w:cs="Times New Roman"/>
          <w:b/>
          <w:smallCaps/>
          <w:sz w:val="32"/>
        </w:rPr>
      </w:pPr>
      <w:bookmarkStart w:id="0" w:name="_Hlk513019867"/>
      <w:bookmarkStart w:id="1" w:name="_Hlk510527356"/>
      <w:r w:rsidRPr="00D14C96">
        <w:rPr>
          <w:rFonts w:ascii="Times New Roman" w:eastAsia="Times New Roman" w:hAnsi="Times New Roman" w:cs="Times New Roman"/>
          <w:b/>
          <w:smallCaps/>
          <w:sz w:val="32"/>
        </w:rPr>
        <w:t>NOTE THEMATIQUE</w:t>
      </w:r>
    </w:p>
    <w:p w14:paraId="1A7ADC35" w14:textId="77777777" w:rsidR="001C1750" w:rsidRPr="00D14C96" w:rsidRDefault="001C1750" w:rsidP="001C1750">
      <w:pPr>
        <w:spacing w:line="276" w:lineRule="auto"/>
        <w:rPr>
          <w:rFonts w:ascii="Times New Roman" w:eastAsia="Times New Roman" w:hAnsi="Times New Roman" w:cs="Times New Roman"/>
          <w:b/>
          <w:smallCaps/>
          <w:sz w:val="32"/>
        </w:rPr>
      </w:pPr>
    </w:p>
    <w:p w14:paraId="765E9D8A" w14:textId="77777777" w:rsidR="001C1750" w:rsidRPr="00D14C96" w:rsidRDefault="001C1750" w:rsidP="001C1750">
      <w:pPr>
        <w:spacing w:line="276" w:lineRule="auto"/>
        <w:rPr>
          <w:rFonts w:ascii="Times New Roman" w:eastAsia="Times New Roman" w:hAnsi="Times New Roman" w:cs="Times New Roman"/>
          <w:b/>
          <w:smallCaps/>
          <w:sz w:val="32"/>
        </w:rPr>
      </w:pPr>
    </w:p>
    <w:p w14:paraId="3B6B042E" w14:textId="68CDFB79" w:rsidR="001C1750" w:rsidRPr="00D14C96" w:rsidRDefault="00982BCE" w:rsidP="001C1750">
      <w:pPr>
        <w:tabs>
          <w:tab w:val="left" w:pos="7820"/>
        </w:tabs>
        <w:spacing w:line="276" w:lineRule="auto"/>
        <w:rPr>
          <w:rFonts w:ascii="Times New Roman" w:eastAsia="Times New Roman" w:hAnsi="Times New Roman" w:cs="Times New Roman"/>
          <w:b/>
          <w:smallCaps/>
          <w:sz w:val="32"/>
        </w:rPr>
      </w:pPr>
      <w:r>
        <w:rPr>
          <w:rFonts w:ascii="Times New Roman" w:eastAsia="Times New Roman" w:hAnsi="Times New Roman" w:cs="Times New Roman"/>
          <w:b/>
          <w:smallCaps/>
          <w:sz w:val="32"/>
        </w:rPr>
        <w:t>Pour une nouvelle stratégie de mise en œuvre et de gouvernance de l’urbanisme et de l’aménagement urbain</w:t>
      </w:r>
    </w:p>
    <w:p w14:paraId="627BFA13" w14:textId="138C2285" w:rsidR="001C1750" w:rsidRPr="009B72D2" w:rsidRDefault="001C1750" w:rsidP="001C1750">
      <w:pPr>
        <w:tabs>
          <w:tab w:val="left" w:pos="7820"/>
        </w:tabs>
        <w:spacing w:line="276" w:lineRule="auto"/>
        <w:rPr>
          <w:rFonts w:ascii="Times New Roman" w:eastAsia="Times New Roman" w:hAnsi="Times New Roman" w:cs="Times New Roman"/>
          <w:b/>
          <w:i/>
          <w:smallCaps/>
          <w:sz w:val="28"/>
        </w:rPr>
      </w:pPr>
      <w:r w:rsidRPr="009B72D2">
        <w:rPr>
          <w:rFonts w:ascii="Times New Roman" w:eastAsia="Times New Roman" w:hAnsi="Times New Roman" w:cs="Times New Roman"/>
          <w:b/>
          <w:i/>
          <w:smallCaps/>
          <w:sz w:val="32"/>
        </w:rPr>
        <w:t>Défis, contraintes et leviers d’action</w:t>
      </w:r>
    </w:p>
    <w:p w14:paraId="2DB57CA0" w14:textId="77777777" w:rsidR="001C1750" w:rsidRPr="00D14C96" w:rsidRDefault="001C1750" w:rsidP="001C1750">
      <w:pPr>
        <w:tabs>
          <w:tab w:val="left" w:pos="7820"/>
        </w:tabs>
        <w:spacing w:line="276" w:lineRule="auto"/>
        <w:rPr>
          <w:rFonts w:ascii="Times New Roman" w:eastAsia="Times New Roman" w:hAnsi="Times New Roman" w:cs="Times New Roman"/>
          <w:b/>
          <w:smallCaps/>
          <w:sz w:val="28"/>
        </w:rPr>
      </w:pPr>
      <w:bookmarkStart w:id="2" w:name="_Hlk513019976"/>
      <w:bookmarkEnd w:id="0"/>
    </w:p>
    <w:p w14:paraId="6772F75C" w14:textId="77777777" w:rsidR="001C1750" w:rsidRPr="00D14C96" w:rsidRDefault="001C1750" w:rsidP="001C1750">
      <w:pPr>
        <w:tabs>
          <w:tab w:val="left" w:pos="7820"/>
        </w:tabs>
        <w:spacing w:line="276" w:lineRule="auto"/>
        <w:rPr>
          <w:rFonts w:ascii="Times New Roman" w:eastAsia="Times New Roman" w:hAnsi="Times New Roman" w:cs="Times New Roman"/>
          <w:b/>
          <w:smallCaps/>
          <w:sz w:val="28"/>
        </w:rPr>
      </w:pPr>
    </w:p>
    <w:p w14:paraId="1EE64755" w14:textId="77777777" w:rsidR="001C1750" w:rsidRPr="00D14C96" w:rsidRDefault="001C1750" w:rsidP="001C1750">
      <w:pPr>
        <w:spacing w:line="276" w:lineRule="auto"/>
        <w:rPr>
          <w:rFonts w:ascii="Times New Roman" w:eastAsia="Times New Roman" w:hAnsi="Times New Roman" w:cs="Times New Roman"/>
          <w:b/>
          <w:smallCaps/>
          <w:sz w:val="32"/>
        </w:rPr>
      </w:pPr>
    </w:p>
    <w:p w14:paraId="034B4C4B" w14:textId="77777777" w:rsidR="001C1750" w:rsidRPr="00D14C96" w:rsidRDefault="001C1750" w:rsidP="001C1750">
      <w:pPr>
        <w:spacing w:line="276" w:lineRule="auto"/>
        <w:rPr>
          <w:rFonts w:ascii="Times New Roman" w:eastAsia="Times New Roman" w:hAnsi="Times New Roman" w:cs="Times New Roman"/>
          <w:b/>
          <w:smallCaps/>
          <w:sz w:val="32"/>
        </w:rPr>
      </w:pPr>
    </w:p>
    <w:p w14:paraId="7ABA8680" w14:textId="77777777" w:rsidR="001C1750" w:rsidRPr="00D14C96" w:rsidRDefault="001C1750" w:rsidP="001C1750">
      <w:pPr>
        <w:spacing w:line="276" w:lineRule="auto"/>
        <w:rPr>
          <w:rFonts w:ascii="Times New Roman" w:eastAsia="Times New Roman" w:hAnsi="Times New Roman" w:cs="Times New Roman"/>
          <w:b/>
          <w:smallCaps/>
          <w:sz w:val="32"/>
        </w:rPr>
      </w:pPr>
    </w:p>
    <w:p w14:paraId="60C6D19D" w14:textId="2BD70316" w:rsidR="001C1750" w:rsidRPr="00D14C96" w:rsidRDefault="001C1750" w:rsidP="001C1750">
      <w:pPr>
        <w:spacing w:line="276" w:lineRule="auto"/>
        <w:rPr>
          <w:rFonts w:ascii="Times New Roman" w:eastAsia="Times New Roman" w:hAnsi="Times New Roman" w:cs="Times New Roman"/>
          <w:b/>
          <w:smallCaps/>
          <w:sz w:val="32"/>
        </w:rPr>
      </w:pPr>
      <w:r w:rsidRPr="00D14C96">
        <w:rPr>
          <w:rFonts w:ascii="Times New Roman" w:eastAsia="Times New Roman" w:hAnsi="Times New Roman" w:cs="Times New Roman"/>
          <w:b/>
          <w:smallCaps/>
          <w:sz w:val="32"/>
        </w:rPr>
        <w:t>Revue de l’Urbanisation Au Maroc (Projet P1</w:t>
      </w:r>
      <w:r w:rsidR="00B50DCD" w:rsidRPr="00D14C96">
        <w:rPr>
          <w:rFonts w:ascii="Times New Roman" w:eastAsia="Times New Roman" w:hAnsi="Times New Roman" w:cs="Times New Roman"/>
          <w:b/>
          <w:smallCaps/>
          <w:sz w:val="32"/>
        </w:rPr>
        <w:t>64989</w:t>
      </w:r>
      <w:r w:rsidRPr="00D14C96">
        <w:rPr>
          <w:rFonts w:ascii="Times New Roman" w:eastAsia="Times New Roman" w:hAnsi="Times New Roman" w:cs="Times New Roman"/>
          <w:b/>
          <w:smallCaps/>
          <w:sz w:val="32"/>
        </w:rPr>
        <w:t xml:space="preserve">) </w:t>
      </w:r>
    </w:p>
    <w:p w14:paraId="46646135" w14:textId="77777777" w:rsidR="001C1750" w:rsidRPr="00D14C96" w:rsidRDefault="001C1750" w:rsidP="001C1750">
      <w:pPr>
        <w:spacing w:after="0" w:line="276" w:lineRule="auto"/>
        <w:rPr>
          <w:rFonts w:ascii="Times New Roman" w:eastAsia="Times New Roman" w:hAnsi="Times New Roman" w:cs="Times New Roman"/>
          <w:sz w:val="28"/>
          <w:szCs w:val="32"/>
        </w:rPr>
      </w:pPr>
    </w:p>
    <w:p w14:paraId="13F1FAAF" w14:textId="77777777" w:rsidR="001C1750" w:rsidRPr="00D14C96" w:rsidRDefault="001C1750" w:rsidP="001C1750">
      <w:pPr>
        <w:spacing w:line="276" w:lineRule="auto"/>
        <w:rPr>
          <w:rFonts w:ascii="Times New Roman" w:eastAsia="Times New Roman" w:hAnsi="Times New Roman" w:cs="Times New Roman"/>
          <w:sz w:val="28"/>
          <w:szCs w:val="32"/>
        </w:rPr>
      </w:pPr>
    </w:p>
    <w:p w14:paraId="452AC98A" w14:textId="77777777" w:rsidR="001C1750" w:rsidRPr="00D14C96" w:rsidRDefault="001C1750" w:rsidP="001C1750">
      <w:pPr>
        <w:spacing w:line="276" w:lineRule="auto"/>
        <w:rPr>
          <w:rFonts w:ascii="Times New Roman" w:eastAsia="Times New Roman" w:hAnsi="Times New Roman" w:cs="Times New Roman"/>
          <w:sz w:val="28"/>
          <w:szCs w:val="32"/>
        </w:rPr>
      </w:pPr>
      <w:r w:rsidRPr="00D14C96">
        <w:rPr>
          <w:rFonts w:ascii="Times New Roman" w:eastAsia="Times New Roman" w:hAnsi="Times New Roman" w:cs="Times New Roman"/>
          <w:sz w:val="28"/>
          <w:szCs w:val="32"/>
        </w:rPr>
        <w:t>Mai 2018</w:t>
      </w:r>
    </w:p>
    <w:bookmarkEnd w:id="2"/>
    <w:p w14:paraId="1582954B" w14:textId="77777777" w:rsidR="001C1750" w:rsidRPr="00D14C96" w:rsidRDefault="001C1750" w:rsidP="001C1750">
      <w:pPr>
        <w:spacing w:line="276" w:lineRule="auto"/>
        <w:rPr>
          <w:rFonts w:ascii="Times New Roman" w:eastAsia="Times New Roman" w:hAnsi="Times New Roman" w:cs="Times New Roman"/>
          <w:sz w:val="32"/>
          <w:szCs w:val="32"/>
        </w:rPr>
      </w:pPr>
      <w:r w:rsidRPr="00D14C96">
        <w:rPr>
          <w:rFonts w:ascii="Times New Roman" w:eastAsia="Times New Roman" w:hAnsi="Times New Roman" w:cs="Times New Roman"/>
          <w:noProof/>
          <w:sz w:val="28"/>
          <w:szCs w:val="32"/>
          <w:lang w:eastAsia="fr-FR"/>
        </w:rPr>
        <w:drawing>
          <wp:inline distT="0" distB="0" distL="0" distR="0" wp14:anchorId="15573603" wp14:editId="4DBFD799">
            <wp:extent cx="1666875" cy="621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 and Korea Green Growth.png"/>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683730" cy="627951"/>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4DA60FC6" w14:textId="77777777" w:rsidR="001C1750" w:rsidRPr="00D14C96" w:rsidRDefault="001C1750" w:rsidP="001C1750">
      <w:pPr>
        <w:spacing w:after="0" w:line="276" w:lineRule="auto"/>
        <w:rPr>
          <w:rFonts w:ascii="Times New Roman" w:eastAsia="Times New Roman" w:hAnsi="Times New Roman" w:cs="Times New Roman"/>
          <w:szCs w:val="32"/>
        </w:rPr>
      </w:pPr>
      <w:r w:rsidRPr="00D14C96">
        <w:rPr>
          <w:rFonts w:ascii="Times New Roman" w:eastAsia="Times New Roman" w:hAnsi="Times New Roman" w:cs="Times New Roman"/>
          <w:szCs w:val="32"/>
        </w:rPr>
        <w:t>Banque Mondiale</w:t>
      </w:r>
    </w:p>
    <w:p w14:paraId="76B7FB3D" w14:textId="77777777" w:rsidR="001C1750" w:rsidRPr="00D14C96" w:rsidRDefault="001C1750" w:rsidP="001C1750">
      <w:pPr>
        <w:spacing w:after="0" w:line="276" w:lineRule="auto"/>
        <w:rPr>
          <w:rFonts w:ascii="Times New Roman" w:eastAsia="Times New Roman" w:hAnsi="Times New Roman" w:cs="Times New Roman"/>
          <w:szCs w:val="32"/>
        </w:rPr>
      </w:pPr>
      <w:r w:rsidRPr="00D14C96">
        <w:rPr>
          <w:rFonts w:ascii="Times New Roman" w:eastAsia="Times New Roman" w:hAnsi="Times New Roman" w:cs="Times New Roman"/>
          <w:szCs w:val="32"/>
        </w:rPr>
        <w:t>Développement Urbain, Rural et Social (GSURR)</w:t>
      </w:r>
    </w:p>
    <w:p w14:paraId="0B2E4AF9" w14:textId="77777777" w:rsidR="001C1750" w:rsidRPr="00D14C96" w:rsidRDefault="001C1750" w:rsidP="001C1750">
      <w:pPr>
        <w:spacing w:after="0" w:line="276" w:lineRule="auto"/>
        <w:rPr>
          <w:rFonts w:ascii="Times New Roman" w:eastAsia="Times New Roman" w:hAnsi="Times New Roman" w:cs="Times New Roman"/>
          <w:szCs w:val="32"/>
        </w:rPr>
      </w:pPr>
      <w:r w:rsidRPr="00D14C96">
        <w:rPr>
          <w:rFonts w:ascii="Times New Roman" w:eastAsia="Times New Roman" w:hAnsi="Times New Roman" w:cs="Times New Roman"/>
          <w:szCs w:val="32"/>
        </w:rPr>
        <w:t>Moyen Orient et Afrique du Nord (MNA)</w:t>
      </w:r>
    </w:p>
    <w:p w14:paraId="01FB42CB" w14:textId="5C3555D6" w:rsidR="001C1750" w:rsidRDefault="001C1750" w:rsidP="00A87F96">
      <w:pPr>
        <w:pStyle w:val="yiv6034772294msonormal"/>
        <w:shd w:val="clear" w:color="auto" w:fill="FFFFFF"/>
        <w:spacing w:before="0" w:beforeAutospacing="0"/>
        <w:rPr>
          <w:b/>
          <w:i/>
          <w:color w:val="000000"/>
          <w:sz w:val="40"/>
          <w:szCs w:val="40"/>
        </w:rPr>
      </w:pPr>
    </w:p>
    <w:p w14:paraId="179148E2" w14:textId="204E287B" w:rsidR="00173D33" w:rsidRPr="00AB507F" w:rsidRDefault="00173D33" w:rsidP="00173D33">
      <w:pPr>
        <w:pStyle w:val="NormalWeb"/>
        <w:pBdr>
          <w:top w:val="single" w:sz="4" w:space="1" w:color="auto"/>
          <w:left w:val="single" w:sz="4" w:space="4" w:color="auto"/>
          <w:bottom w:val="single" w:sz="4" w:space="1" w:color="auto"/>
          <w:right w:val="single" w:sz="4" w:space="4" w:color="auto"/>
        </w:pBdr>
        <w:shd w:val="clear" w:color="auto" w:fill="FFFFFF"/>
        <w:spacing w:line="276" w:lineRule="auto"/>
        <w:jc w:val="both"/>
        <w:rPr>
          <w:sz w:val="20"/>
        </w:rPr>
      </w:pPr>
      <w:r>
        <w:rPr>
          <w:sz w:val="20"/>
        </w:rPr>
        <w:t>Cette Note Thématique a été préparée par Olivier Toutain (</w:t>
      </w:r>
      <w:r w:rsidR="00041B67">
        <w:rPr>
          <w:sz w:val="20"/>
        </w:rPr>
        <w:t>Consultant en planification urbaine)</w:t>
      </w:r>
      <w:r>
        <w:rPr>
          <w:sz w:val="20"/>
        </w:rPr>
        <w:t>,</w:t>
      </w:r>
      <w:r w:rsidR="00041B67">
        <w:rPr>
          <w:sz w:val="20"/>
        </w:rPr>
        <w:t xml:space="preserve"> sous la supervision de Augustin Maria (Spécialiste Princ</w:t>
      </w:r>
      <w:r w:rsidR="00257FBA">
        <w:rPr>
          <w:sz w:val="20"/>
        </w:rPr>
        <w:t xml:space="preserve">ipal en Développement Urbain), </w:t>
      </w:r>
      <w:bookmarkStart w:id="3" w:name="_Hlk515964895"/>
      <w:r w:rsidR="00041B67">
        <w:rPr>
          <w:sz w:val="20"/>
        </w:rPr>
        <w:t>avec des contributions</w:t>
      </w:r>
      <w:r>
        <w:rPr>
          <w:sz w:val="20"/>
        </w:rPr>
        <w:t xml:space="preserve"> de Abdellah Lehzam (</w:t>
      </w:r>
      <w:r w:rsidR="00041B67">
        <w:rPr>
          <w:sz w:val="20"/>
        </w:rPr>
        <w:t>Consultant en planification urbaine</w:t>
      </w:r>
      <w:r>
        <w:rPr>
          <w:sz w:val="20"/>
        </w:rPr>
        <w:t>)</w:t>
      </w:r>
      <w:r w:rsidR="00257FBA">
        <w:rPr>
          <w:sz w:val="20"/>
        </w:rPr>
        <w:t xml:space="preserve">, </w:t>
      </w:r>
      <w:r w:rsidR="00041B67">
        <w:rPr>
          <w:sz w:val="20"/>
        </w:rPr>
        <w:t>Lamia Zaki (Consultante en développement urbain)</w:t>
      </w:r>
      <w:r w:rsidR="00257FBA">
        <w:rPr>
          <w:sz w:val="20"/>
        </w:rPr>
        <w:t>, et Julie Biau (</w:t>
      </w:r>
      <w:r w:rsidR="0096632C">
        <w:rPr>
          <w:sz w:val="20"/>
        </w:rPr>
        <w:t>Analyste de Programme)</w:t>
      </w:r>
      <w:r>
        <w:rPr>
          <w:sz w:val="20"/>
        </w:rPr>
        <w:t xml:space="preserve">. </w:t>
      </w:r>
    </w:p>
    <w:bookmarkEnd w:id="3"/>
    <w:p w14:paraId="052ADC78" w14:textId="77777777" w:rsidR="00173D33" w:rsidRPr="00D14C96" w:rsidRDefault="00173D33" w:rsidP="00A87F96">
      <w:pPr>
        <w:pStyle w:val="yiv6034772294msonormal"/>
        <w:shd w:val="clear" w:color="auto" w:fill="FFFFFF"/>
        <w:spacing w:before="0" w:beforeAutospacing="0"/>
        <w:rPr>
          <w:b/>
          <w:i/>
          <w:color w:val="000000"/>
          <w:sz w:val="40"/>
          <w:szCs w:val="40"/>
        </w:rPr>
      </w:pPr>
    </w:p>
    <w:bookmarkEnd w:id="1"/>
    <w:p w14:paraId="3BA61BDA" w14:textId="076CC022" w:rsidR="001C1750" w:rsidRPr="00D14C96" w:rsidRDefault="001C1750">
      <w:pPr>
        <w:rPr>
          <w:rFonts w:ascii="Times New Roman" w:eastAsia="Times New Roman" w:hAnsi="Times New Roman" w:cs="Times New Roman"/>
          <w:b/>
          <w:color w:val="000000"/>
          <w:sz w:val="24"/>
          <w:szCs w:val="24"/>
          <w:lang w:eastAsia="fr-FR"/>
        </w:rPr>
      </w:pPr>
      <w:r w:rsidRPr="00D14C96">
        <w:rPr>
          <w:rFonts w:ascii="Times New Roman" w:eastAsia="Times New Roman" w:hAnsi="Times New Roman" w:cs="Times New Roman"/>
          <w:b/>
          <w:color w:val="000000"/>
          <w:sz w:val="24"/>
          <w:szCs w:val="24"/>
          <w:lang w:eastAsia="fr-FR"/>
        </w:rPr>
        <w:br w:type="page"/>
      </w:r>
    </w:p>
    <w:sdt>
      <w:sdtPr>
        <w:rPr>
          <w:rFonts w:ascii="Times New Roman" w:eastAsiaTheme="minorHAnsi" w:hAnsi="Times New Roman" w:cs="Times New Roman"/>
          <w:color w:val="auto"/>
          <w:sz w:val="22"/>
          <w:szCs w:val="22"/>
          <w:lang w:val="fr-FR"/>
        </w:rPr>
        <w:id w:val="550197113"/>
        <w:docPartObj>
          <w:docPartGallery w:val="Table of Contents"/>
          <w:docPartUnique/>
        </w:docPartObj>
      </w:sdtPr>
      <w:sdtEndPr>
        <w:rPr>
          <w:b/>
          <w:bCs/>
          <w:noProof/>
        </w:rPr>
      </w:sdtEndPr>
      <w:sdtContent>
        <w:p w14:paraId="6E873C5B" w14:textId="77330515" w:rsidR="000050E0" w:rsidRPr="00D14C96" w:rsidRDefault="001E0FA9" w:rsidP="000050E0">
          <w:pPr>
            <w:pStyle w:val="TOCHeading"/>
            <w:rPr>
              <w:rFonts w:ascii="Times New Roman" w:eastAsiaTheme="minorHAnsi" w:hAnsi="Times New Roman" w:cs="Times New Roman"/>
              <w:sz w:val="28"/>
              <w:szCs w:val="28"/>
              <w:lang w:val="fr-FR"/>
            </w:rPr>
          </w:pPr>
          <w:r w:rsidRPr="00D14C96">
            <w:rPr>
              <w:rFonts w:ascii="Times New Roman" w:eastAsiaTheme="minorHAnsi" w:hAnsi="Times New Roman" w:cs="Times New Roman"/>
              <w:sz w:val="28"/>
              <w:szCs w:val="28"/>
              <w:lang w:val="fr-FR"/>
            </w:rPr>
            <w:t>Table des Matières</w:t>
          </w:r>
        </w:p>
        <w:p w14:paraId="06D5001D" w14:textId="7297E418" w:rsidR="00510961" w:rsidRDefault="006E68F4">
          <w:pPr>
            <w:pStyle w:val="TOC1"/>
            <w:tabs>
              <w:tab w:val="right" w:leader="dot" w:pos="8777"/>
            </w:tabs>
            <w:rPr>
              <w:rFonts w:eastAsiaTheme="minorEastAsia"/>
              <w:noProof/>
              <w:lang w:eastAsia="fr-FR"/>
            </w:rPr>
          </w:pPr>
          <w:r w:rsidRPr="00D14C96">
            <w:rPr>
              <w:rFonts w:ascii="Times New Roman" w:hAnsi="Times New Roman" w:cs="Times New Roman"/>
            </w:rPr>
            <w:fldChar w:fldCharType="begin"/>
          </w:r>
          <w:r w:rsidRPr="00D14C96">
            <w:rPr>
              <w:rFonts w:ascii="Times New Roman" w:hAnsi="Times New Roman" w:cs="Times New Roman"/>
            </w:rPr>
            <w:instrText xml:space="preserve"> TOC \o "1-3" \h \z \u </w:instrText>
          </w:r>
          <w:r w:rsidRPr="00D14C96">
            <w:rPr>
              <w:rFonts w:ascii="Times New Roman" w:hAnsi="Times New Roman" w:cs="Times New Roman"/>
            </w:rPr>
            <w:fldChar w:fldCharType="separate"/>
          </w:r>
          <w:hyperlink w:anchor="_Toc515875107" w:history="1">
            <w:r w:rsidR="00510961" w:rsidRPr="00CC3BA6">
              <w:rPr>
                <w:rStyle w:val="Hyperlink"/>
                <w:noProof/>
              </w:rPr>
              <w:t>ACRONYMES</w:t>
            </w:r>
            <w:r w:rsidR="00510961">
              <w:rPr>
                <w:noProof/>
                <w:webHidden/>
              </w:rPr>
              <w:tab/>
            </w:r>
            <w:r w:rsidR="00510961">
              <w:rPr>
                <w:noProof/>
                <w:webHidden/>
              </w:rPr>
              <w:fldChar w:fldCharType="begin"/>
            </w:r>
            <w:r w:rsidR="00510961">
              <w:rPr>
                <w:noProof/>
                <w:webHidden/>
              </w:rPr>
              <w:instrText xml:space="preserve"> PAGEREF _Toc515875107 \h </w:instrText>
            </w:r>
            <w:r w:rsidR="00510961">
              <w:rPr>
                <w:noProof/>
                <w:webHidden/>
              </w:rPr>
            </w:r>
            <w:r w:rsidR="00510961">
              <w:rPr>
                <w:noProof/>
                <w:webHidden/>
              </w:rPr>
              <w:fldChar w:fldCharType="separate"/>
            </w:r>
            <w:r w:rsidR="004347C1">
              <w:rPr>
                <w:noProof/>
                <w:webHidden/>
              </w:rPr>
              <w:t>4</w:t>
            </w:r>
            <w:r w:rsidR="00510961">
              <w:rPr>
                <w:noProof/>
                <w:webHidden/>
              </w:rPr>
              <w:fldChar w:fldCharType="end"/>
            </w:r>
          </w:hyperlink>
        </w:p>
        <w:p w14:paraId="3472166E" w14:textId="201E02E5" w:rsidR="00510961" w:rsidRDefault="005D4AC5">
          <w:pPr>
            <w:pStyle w:val="TOC1"/>
            <w:tabs>
              <w:tab w:val="right" w:leader="dot" w:pos="8777"/>
            </w:tabs>
            <w:rPr>
              <w:rFonts w:eastAsiaTheme="minorEastAsia"/>
              <w:noProof/>
              <w:lang w:eastAsia="fr-FR"/>
            </w:rPr>
          </w:pPr>
          <w:hyperlink w:anchor="_Toc515875108" w:history="1">
            <w:r w:rsidR="00510961" w:rsidRPr="00CC3BA6">
              <w:rPr>
                <w:rStyle w:val="Hyperlink"/>
                <w:noProof/>
                <w:lang w:val="en-US"/>
              </w:rPr>
              <w:t>Résumé exécutif</w:t>
            </w:r>
            <w:r w:rsidR="00510961">
              <w:rPr>
                <w:noProof/>
                <w:webHidden/>
              </w:rPr>
              <w:tab/>
            </w:r>
            <w:r w:rsidR="00510961">
              <w:rPr>
                <w:noProof/>
                <w:webHidden/>
              </w:rPr>
              <w:fldChar w:fldCharType="begin"/>
            </w:r>
            <w:r w:rsidR="00510961">
              <w:rPr>
                <w:noProof/>
                <w:webHidden/>
              </w:rPr>
              <w:instrText xml:space="preserve"> PAGEREF _Toc515875108 \h </w:instrText>
            </w:r>
            <w:r w:rsidR="00510961">
              <w:rPr>
                <w:noProof/>
                <w:webHidden/>
              </w:rPr>
            </w:r>
            <w:r w:rsidR="00510961">
              <w:rPr>
                <w:noProof/>
                <w:webHidden/>
              </w:rPr>
              <w:fldChar w:fldCharType="separate"/>
            </w:r>
            <w:r w:rsidR="004347C1">
              <w:rPr>
                <w:noProof/>
                <w:webHidden/>
              </w:rPr>
              <w:t>6</w:t>
            </w:r>
            <w:r w:rsidR="00510961">
              <w:rPr>
                <w:noProof/>
                <w:webHidden/>
              </w:rPr>
              <w:fldChar w:fldCharType="end"/>
            </w:r>
          </w:hyperlink>
        </w:p>
        <w:p w14:paraId="17D345C8" w14:textId="53BF8D93" w:rsidR="00510961" w:rsidRDefault="005D4AC5">
          <w:pPr>
            <w:pStyle w:val="TOC1"/>
            <w:tabs>
              <w:tab w:val="right" w:leader="dot" w:pos="8777"/>
            </w:tabs>
            <w:rPr>
              <w:rFonts w:eastAsiaTheme="minorEastAsia"/>
              <w:noProof/>
              <w:lang w:eastAsia="fr-FR"/>
            </w:rPr>
          </w:pPr>
          <w:hyperlink w:anchor="_Toc515875109" w:history="1">
            <w:r w:rsidR="00510961" w:rsidRPr="00CC3BA6">
              <w:rPr>
                <w:rStyle w:val="Hyperlink"/>
                <w:noProof/>
              </w:rPr>
              <w:t>Contexte</w:t>
            </w:r>
            <w:r w:rsidR="00510961" w:rsidRPr="00CC3BA6">
              <w:rPr>
                <w:rStyle w:val="Hyperlink"/>
                <w:rFonts w:eastAsiaTheme="majorEastAsia"/>
                <w:noProof/>
              </w:rPr>
              <w:t> : L’urbanisation en marche au Maroc, perspectives et défis</w:t>
            </w:r>
            <w:r w:rsidR="00510961">
              <w:rPr>
                <w:noProof/>
                <w:webHidden/>
              </w:rPr>
              <w:tab/>
            </w:r>
            <w:r w:rsidR="00510961">
              <w:rPr>
                <w:noProof/>
                <w:webHidden/>
              </w:rPr>
              <w:fldChar w:fldCharType="begin"/>
            </w:r>
            <w:r w:rsidR="00510961">
              <w:rPr>
                <w:noProof/>
                <w:webHidden/>
              </w:rPr>
              <w:instrText xml:space="preserve"> PAGEREF _Toc515875109 \h </w:instrText>
            </w:r>
            <w:r w:rsidR="00510961">
              <w:rPr>
                <w:noProof/>
                <w:webHidden/>
              </w:rPr>
            </w:r>
            <w:r w:rsidR="00510961">
              <w:rPr>
                <w:noProof/>
                <w:webHidden/>
              </w:rPr>
              <w:fldChar w:fldCharType="separate"/>
            </w:r>
            <w:r w:rsidR="004347C1">
              <w:rPr>
                <w:noProof/>
                <w:webHidden/>
              </w:rPr>
              <w:t>8</w:t>
            </w:r>
            <w:r w:rsidR="00510961">
              <w:rPr>
                <w:noProof/>
                <w:webHidden/>
              </w:rPr>
              <w:fldChar w:fldCharType="end"/>
            </w:r>
          </w:hyperlink>
        </w:p>
        <w:p w14:paraId="1F28CD5B" w14:textId="06894CF6" w:rsidR="00510961" w:rsidRDefault="005D4AC5">
          <w:pPr>
            <w:pStyle w:val="TOC3"/>
            <w:tabs>
              <w:tab w:val="left" w:pos="660"/>
              <w:tab w:val="right" w:leader="dot" w:pos="8777"/>
            </w:tabs>
            <w:rPr>
              <w:rFonts w:eastAsiaTheme="minorEastAsia"/>
              <w:noProof/>
              <w:lang w:eastAsia="fr-FR"/>
            </w:rPr>
          </w:pPr>
          <w:hyperlink w:anchor="_Toc515875110" w:history="1">
            <w:r w:rsidR="00510961" w:rsidRPr="00CC3BA6">
              <w:rPr>
                <w:rStyle w:val="Hyperlink"/>
                <w:rFonts w:ascii="Times New Roman" w:hAnsi="Times New Roman" w:cs="Times New Roman"/>
                <w:b/>
                <w:noProof/>
                <w:lang w:eastAsia="fr-FR"/>
              </w:rPr>
              <w:t>I.</w:t>
            </w:r>
            <w:r w:rsidR="00510961">
              <w:rPr>
                <w:rFonts w:eastAsiaTheme="minorEastAsia"/>
                <w:noProof/>
                <w:lang w:eastAsia="fr-FR"/>
              </w:rPr>
              <w:tab/>
            </w:r>
            <w:r w:rsidR="00510961" w:rsidRPr="00CC3BA6">
              <w:rPr>
                <w:rStyle w:val="Hyperlink"/>
                <w:rFonts w:ascii="Times New Roman" w:hAnsi="Times New Roman" w:cs="Times New Roman"/>
                <w:b/>
                <w:noProof/>
                <w:lang w:eastAsia="fr-FR"/>
              </w:rPr>
              <w:t>Dynamique démographique et poids de la croissance des ménages</w:t>
            </w:r>
            <w:r w:rsidR="00510961">
              <w:rPr>
                <w:noProof/>
                <w:webHidden/>
              </w:rPr>
              <w:tab/>
            </w:r>
            <w:r w:rsidR="00510961">
              <w:rPr>
                <w:noProof/>
                <w:webHidden/>
              </w:rPr>
              <w:fldChar w:fldCharType="begin"/>
            </w:r>
            <w:r w:rsidR="00510961">
              <w:rPr>
                <w:noProof/>
                <w:webHidden/>
              </w:rPr>
              <w:instrText xml:space="preserve"> PAGEREF _Toc515875110 \h </w:instrText>
            </w:r>
            <w:r w:rsidR="00510961">
              <w:rPr>
                <w:noProof/>
                <w:webHidden/>
              </w:rPr>
            </w:r>
            <w:r w:rsidR="00510961">
              <w:rPr>
                <w:noProof/>
                <w:webHidden/>
              </w:rPr>
              <w:fldChar w:fldCharType="separate"/>
            </w:r>
            <w:r w:rsidR="004347C1">
              <w:rPr>
                <w:noProof/>
                <w:webHidden/>
              </w:rPr>
              <w:t>8</w:t>
            </w:r>
            <w:r w:rsidR="00510961">
              <w:rPr>
                <w:noProof/>
                <w:webHidden/>
              </w:rPr>
              <w:fldChar w:fldCharType="end"/>
            </w:r>
          </w:hyperlink>
        </w:p>
        <w:p w14:paraId="7B5AE705" w14:textId="0CAA92CC" w:rsidR="00510961" w:rsidRDefault="005D4AC5">
          <w:pPr>
            <w:pStyle w:val="TOC3"/>
            <w:tabs>
              <w:tab w:val="left" w:pos="660"/>
              <w:tab w:val="right" w:leader="dot" w:pos="8777"/>
            </w:tabs>
            <w:rPr>
              <w:rFonts w:eastAsiaTheme="minorEastAsia"/>
              <w:noProof/>
              <w:lang w:eastAsia="fr-FR"/>
            </w:rPr>
          </w:pPr>
          <w:hyperlink w:anchor="_Toc515875111" w:history="1">
            <w:r w:rsidR="00510961" w:rsidRPr="00CC3BA6">
              <w:rPr>
                <w:rStyle w:val="Hyperlink"/>
                <w:rFonts w:ascii="Times New Roman" w:hAnsi="Times New Roman" w:cs="Times New Roman"/>
                <w:b/>
                <w:noProof/>
                <w:lang w:eastAsia="fr-FR"/>
              </w:rPr>
              <w:t>II.</w:t>
            </w:r>
            <w:r w:rsidR="00510961">
              <w:rPr>
                <w:rFonts w:eastAsiaTheme="minorEastAsia"/>
                <w:noProof/>
                <w:lang w:eastAsia="fr-FR"/>
              </w:rPr>
              <w:tab/>
            </w:r>
            <w:r w:rsidR="00510961" w:rsidRPr="00CC3BA6">
              <w:rPr>
                <w:rStyle w:val="Hyperlink"/>
                <w:rFonts w:ascii="Times New Roman" w:hAnsi="Times New Roman" w:cs="Times New Roman"/>
                <w:b/>
                <w:noProof/>
                <w:lang w:eastAsia="fr-FR"/>
              </w:rPr>
              <w:t>Accélération de l’extension des villes et bouleversement des modes de gestion traditionnels</w:t>
            </w:r>
            <w:r w:rsidR="00510961">
              <w:rPr>
                <w:noProof/>
                <w:webHidden/>
              </w:rPr>
              <w:tab/>
            </w:r>
            <w:r w:rsidR="00510961">
              <w:rPr>
                <w:noProof/>
                <w:webHidden/>
              </w:rPr>
              <w:fldChar w:fldCharType="begin"/>
            </w:r>
            <w:r w:rsidR="00510961">
              <w:rPr>
                <w:noProof/>
                <w:webHidden/>
              </w:rPr>
              <w:instrText xml:space="preserve"> PAGEREF _Toc515875111 \h </w:instrText>
            </w:r>
            <w:r w:rsidR="00510961">
              <w:rPr>
                <w:noProof/>
                <w:webHidden/>
              </w:rPr>
            </w:r>
            <w:r w:rsidR="00510961">
              <w:rPr>
                <w:noProof/>
                <w:webHidden/>
              </w:rPr>
              <w:fldChar w:fldCharType="separate"/>
            </w:r>
            <w:r w:rsidR="004347C1">
              <w:rPr>
                <w:noProof/>
                <w:webHidden/>
              </w:rPr>
              <w:t>9</w:t>
            </w:r>
            <w:r w:rsidR="00510961">
              <w:rPr>
                <w:noProof/>
                <w:webHidden/>
              </w:rPr>
              <w:fldChar w:fldCharType="end"/>
            </w:r>
          </w:hyperlink>
        </w:p>
        <w:p w14:paraId="695DB3E5" w14:textId="336E4390" w:rsidR="00510961" w:rsidRDefault="005D4AC5">
          <w:pPr>
            <w:pStyle w:val="TOC1"/>
            <w:tabs>
              <w:tab w:val="right" w:leader="dot" w:pos="8777"/>
            </w:tabs>
            <w:rPr>
              <w:rFonts w:eastAsiaTheme="minorEastAsia"/>
              <w:noProof/>
              <w:lang w:eastAsia="fr-FR"/>
            </w:rPr>
          </w:pPr>
          <w:hyperlink w:anchor="_Toc515875112" w:history="1">
            <w:r w:rsidR="00510961" w:rsidRPr="00CC3BA6">
              <w:rPr>
                <w:rStyle w:val="Hyperlink"/>
                <w:noProof/>
              </w:rPr>
              <w:t>Contraintes du système d’encadrement, de régulation et de mise en œuvre du développement urbain</w:t>
            </w:r>
            <w:r w:rsidR="00510961">
              <w:rPr>
                <w:noProof/>
                <w:webHidden/>
              </w:rPr>
              <w:tab/>
            </w:r>
            <w:r w:rsidR="00510961">
              <w:rPr>
                <w:noProof/>
                <w:webHidden/>
              </w:rPr>
              <w:fldChar w:fldCharType="begin"/>
            </w:r>
            <w:r w:rsidR="00510961">
              <w:rPr>
                <w:noProof/>
                <w:webHidden/>
              </w:rPr>
              <w:instrText xml:space="preserve"> PAGEREF _Toc515875112 \h </w:instrText>
            </w:r>
            <w:r w:rsidR="00510961">
              <w:rPr>
                <w:noProof/>
                <w:webHidden/>
              </w:rPr>
            </w:r>
            <w:r w:rsidR="00510961">
              <w:rPr>
                <w:noProof/>
                <w:webHidden/>
              </w:rPr>
              <w:fldChar w:fldCharType="separate"/>
            </w:r>
            <w:r w:rsidR="004347C1">
              <w:rPr>
                <w:noProof/>
                <w:webHidden/>
              </w:rPr>
              <w:t>11</w:t>
            </w:r>
            <w:r w:rsidR="00510961">
              <w:rPr>
                <w:noProof/>
                <w:webHidden/>
              </w:rPr>
              <w:fldChar w:fldCharType="end"/>
            </w:r>
          </w:hyperlink>
        </w:p>
        <w:p w14:paraId="4ACB5133" w14:textId="56E152A2" w:rsidR="00510961" w:rsidRDefault="005D4AC5">
          <w:pPr>
            <w:pStyle w:val="TOC3"/>
            <w:tabs>
              <w:tab w:val="left" w:pos="660"/>
              <w:tab w:val="right" w:leader="dot" w:pos="8777"/>
            </w:tabs>
            <w:rPr>
              <w:rFonts w:eastAsiaTheme="minorEastAsia"/>
              <w:noProof/>
              <w:lang w:eastAsia="fr-FR"/>
            </w:rPr>
          </w:pPr>
          <w:hyperlink w:anchor="_Toc515875113" w:history="1">
            <w:r w:rsidR="00510961" w:rsidRPr="00CC3BA6">
              <w:rPr>
                <w:rStyle w:val="Hyperlink"/>
                <w:rFonts w:ascii="Times New Roman" w:hAnsi="Times New Roman" w:cs="Times New Roman"/>
                <w:b/>
                <w:noProof/>
                <w:lang w:eastAsia="fr-FR"/>
              </w:rPr>
              <w:t>I.</w:t>
            </w:r>
            <w:r w:rsidR="00510961">
              <w:rPr>
                <w:rFonts w:eastAsiaTheme="minorEastAsia"/>
                <w:noProof/>
                <w:lang w:eastAsia="fr-FR"/>
              </w:rPr>
              <w:tab/>
            </w:r>
            <w:r w:rsidR="00510961" w:rsidRPr="00CC3BA6">
              <w:rPr>
                <w:rStyle w:val="Hyperlink"/>
                <w:rFonts w:ascii="Times New Roman" w:hAnsi="Times New Roman" w:cs="Times New Roman"/>
                <w:b/>
                <w:noProof/>
                <w:lang w:eastAsia="fr-FR"/>
              </w:rPr>
              <w:t>Dysfonctionnements et contraintes du système foncier</w:t>
            </w:r>
            <w:r w:rsidR="00510961">
              <w:rPr>
                <w:noProof/>
                <w:webHidden/>
              </w:rPr>
              <w:tab/>
            </w:r>
            <w:r w:rsidR="00510961">
              <w:rPr>
                <w:noProof/>
                <w:webHidden/>
              </w:rPr>
              <w:fldChar w:fldCharType="begin"/>
            </w:r>
            <w:r w:rsidR="00510961">
              <w:rPr>
                <w:noProof/>
                <w:webHidden/>
              </w:rPr>
              <w:instrText xml:space="preserve"> PAGEREF _Toc515875113 \h </w:instrText>
            </w:r>
            <w:r w:rsidR="00510961">
              <w:rPr>
                <w:noProof/>
                <w:webHidden/>
              </w:rPr>
            </w:r>
            <w:r w:rsidR="00510961">
              <w:rPr>
                <w:noProof/>
                <w:webHidden/>
              </w:rPr>
              <w:fldChar w:fldCharType="separate"/>
            </w:r>
            <w:r w:rsidR="004347C1">
              <w:rPr>
                <w:noProof/>
                <w:webHidden/>
              </w:rPr>
              <w:t>11</w:t>
            </w:r>
            <w:r w:rsidR="00510961">
              <w:rPr>
                <w:noProof/>
                <w:webHidden/>
              </w:rPr>
              <w:fldChar w:fldCharType="end"/>
            </w:r>
          </w:hyperlink>
        </w:p>
        <w:p w14:paraId="74F6F8C7" w14:textId="3D2CE80E" w:rsidR="00510961" w:rsidRDefault="005D4AC5">
          <w:pPr>
            <w:pStyle w:val="TOC3"/>
            <w:tabs>
              <w:tab w:val="left" w:pos="660"/>
              <w:tab w:val="right" w:leader="dot" w:pos="8777"/>
            </w:tabs>
            <w:rPr>
              <w:rFonts w:eastAsiaTheme="minorEastAsia"/>
              <w:noProof/>
              <w:lang w:eastAsia="fr-FR"/>
            </w:rPr>
          </w:pPr>
          <w:hyperlink w:anchor="_Toc515875114" w:history="1">
            <w:r w:rsidR="00510961" w:rsidRPr="00CC3BA6">
              <w:rPr>
                <w:rStyle w:val="Hyperlink"/>
                <w:rFonts w:ascii="Times New Roman" w:hAnsi="Times New Roman" w:cs="Times New Roman"/>
                <w:b/>
                <w:noProof/>
                <w:lang w:eastAsia="fr-FR"/>
              </w:rPr>
              <w:t>II.</w:t>
            </w:r>
            <w:r w:rsidR="00510961">
              <w:rPr>
                <w:rFonts w:eastAsiaTheme="minorEastAsia"/>
                <w:noProof/>
                <w:lang w:eastAsia="fr-FR"/>
              </w:rPr>
              <w:tab/>
            </w:r>
            <w:r w:rsidR="00510961" w:rsidRPr="00CC3BA6">
              <w:rPr>
                <w:rStyle w:val="Hyperlink"/>
                <w:rFonts w:ascii="Times New Roman" w:hAnsi="Times New Roman" w:cs="Times New Roman"/>
                <w:b/>
                <w:noProof/>
                <w:lang w:eastAsia="fr-FR"/>
              </w:rPr>
              <w:t>Faible pertinence des instruments classiques de planification urbaine et d’aménagement</w:t>
            </w:r>
            <w:r w:rsidR="00510961">
              <w:rPr>
                <w:noProof/>
                <w:webHidden/>
              </w:rPr>
              <w:tab/>
            </w:r>
            <w:r w:rsidR="00510961">
              <w:rPr>
                <w:noProof/>
                <w:webHidden/>
              </w:rPr>
              <w:fldChar w:fldCharType="begin"/>
            </w:r>
            <w:r w:rsidR="00510961">
              <w:rPr>
                <w:noProof/>
                <w:webHidden/>
              </w:rPr>
              <w:instrText xml:space="preserve"> PAGEREF _Toc515875114 \h </w:instrText>
            </w:r>
            <w:r w:rsidR="00510961">
              <w:rPr>
                <w:noProof/>
                <w:webHidden/>
              </w:rPr>
            </w:r>
            <w:r w:rsidR="00510961">
              <w:rPr>
                <w:noProof/>
                <w:webHidden/>
              </w:rPr>
              <w:fldChar w:fldCharType="separate"/>
            </w:r>
            <w:r w:rsidR="004347C1">
              <w:rPr>
                <w:noProof/>
                <w:webHidden/>
              </w:rPr>
              <w:t>11</w:t>
            </w:r>
            <w:r w:rsidR="00510961">
              <w:rPr>
                <w:noProof/>
                <w:webHidden/>
              </w:rPr>
              <w:fldChar w:fldCharType="end"/>
            </w:r>
          </w:hyperlink>
        </w:p>
        <w:p w14:paraId="41B2CFAC" w14:textId="6C570753" w:rsidR="00510961" w:rsidRDefault="005D4AC5">
          <w:pPr>
            <w:pStyle w:val="TOC3"/>
            <w:tabs>
              <w:tab w:val="left" w:pos="660"/>
              <w:tab w:val="right" w:leader="dot" w:pos="8777"/>
            </w:tabs>
            <w:rPr>
              <w:rFonts w:eastAsiaTheme="minorEastAsia"/>
              <w:noProof/>
              <w:lang w:eastAsia="fr-FR"/>
            </w:rPr>
          </w:pPr>
          <w:hyperlink w:anchor="_Toc515875115" w:history="1">
            <w:r w:rsidR="00510961" w:rsidRPr="00CC3BA6">
              <w:rPr>
                <w:rStyle w:val="Hyperlink"/>
                <w:rFonts w:ascii="Times New Roman" w:hAnsi="Times New Roman" w:cs="Times New Roman"/>
                <w:b/>
                <w:noProof/>
                <w:lang w:eastAsia="fr-FR"/>
              </w:rPr>
              <w:t>III.</w:t>
            </w:r>
            <w:r w:rsidR="00510961">
              <w:rPr>
                <w:rFonts w:eastAsiaTheme="minorEastAsia"/>
                <w:noProof/>
                <w:lang w:eastAsia="fr-FR"/>
              </w:rPr>
              <w:tab/>
            </w:r>
            <w:r w:rsidR="00510961" w:rsidRPr="00CC3BA6">
              <w:rPr>
                <w:rStyle w:val="Hyperlink"/>
                <w:rFonts w:ascii="Times New Roman" w:hAnsi="Times New Roman" w:cs="Times New Roman"/>
                <w:b/>
                <w:noProof/>
                <w:lang w:eastAsia="fr-FR"/>
              </w:rPr>
              <w:t>Difficultés de l’action collective et de la gouvernance des territoires</w:t>
            </w:r>
            <w:r w:rsidR="00510961">
              <w:rPr>
                <w:noProof/>
                <w:webHidden/>
              </w:rPr>
              <w:tab/>
            </w:r>
            <w:r w:rsidR="00510961">
              <w:rPr>
                <w:noProof/>
                <w:webHidden/>
              </w:rPr>
              <w:fldChar w:fldCharType="begin"/>
            </w:r>
            <w:r w:rsidR="00510961">
              <w:rPr>
                <w:noProof/>
                <w:webHidden/>
              </w:rPr>
              <w:instrText xml:space="preserve"> PAGEREF _Toc515875115 \h </w:instrText>
            </w:r>
            <w:r w:rsidR="00510961">
              <w:rPr>
                <w:noProof/>
                <w:webHidden/>
              </w:rPr>
            </w:r>
            <w:r w:rsidR="00510961">
              <w:rPr>
                <w:noProof/>
                <w:webHidden/>
              </w:rPr>
              <w:fldChar w:fldCharType="separate"/>
            </w:r>
            <w:r w:rsidR="004347C1">
              <w:rPr>
                <w:noProof/>
                <w:webHidden/>
              </w:rPr>
              <w:t>14</w:t>
            </w:r>
            <w:r w:rsidR="00510961">
              <w:rPr>
                <w:noProof/>
                <w:webHidden/>
              </w:rPr>
              <w:fldChar w:fldCharType="end"/>
            </w:r>
          </w:hyperlink>
        </w:p>
        <w:p w14:paraId="03D5CA30" w14:textId="3EE2D892" w:rsidR="00510961" w:rsidRDefault="005D4AC5">
          <w:pPr>
            <w:pStyle w:val="TOC3"/>
            <w:tabs>
              <w:tab w:val="left" w:pos="660"/>
              <w:tab w:val="right" w:leader="dot" w:pos="8777"/>
            </w:tabs>
            <w:rPr>
              <w:rFonts w:eastAsiaTheme="minorEastAsia"/>
              <w:noProof/>
              <w:lang w:eastAsia="fr-FR"/>
            </w:rPr>
          </w:pPr>
          <w:hyperlink w:anchor="_Toc515875116" w:history="1">
            <w:r w:rsidR="00510961" w:rsidRPr="00CC3BA6">
              <w:rPr>
                <w:rStyle w:val="Hyperlink"/>
                <w:rFonts w:ascii="Times New Roman" w:hAnsi="Times New Roman" w:cs="Times New Roman"/>
                <w:b/>
                <w:noProof/>
                <w:lang w:eastAsia="fr-FR"/>
              </w:rPr>
              <w:t>IV.</w:t>
            </w:r>
            <w:r w:rsidR="00510961">
              <w:rPr>
                <w:rFonts w:eastAsiaTheme="minorEastAsia"/>
                <w:noProof/>
                <w:lang w:eastAsia="fr-FR"/>
              </w:rPr>
              <w:tab/>
            </w:r>
            <w:r w:rsidR="00510961" w:rsidRPr="00CC3BA6">
              <w:rPr>
                <w:rStyle w:val="Hyperlink"/>
                <w:rFonts w:ascii="Times New Roman" w:hAnsi="Times New Roman" w:cs="Times New Roman"/>
                <w:b/>
                <w:noProof/>
                <w:lang w:eastAsia="fr-FR"/>
              </w:rPr>
              <w:t>Insuffisance du financement et trop faibles ressources humaines</w:t>
            </w:r>
            <w:r w:rsidR="00510961">
              <w:rPr>
                <w:noProof/>
                <w:webHidden/>
              </w:rPr>
              <w:tab/>
            </w:r>
            <w:r w:rsidR="00510961">
              <w:rPr>
                <w:noProof/>
                <w:webHidden/>
              </w:rPr>
              <w:fldChar w:fldCharType="begin"/>
            </w:r>
            <w:r w:rsidR="00510961">
              <w:rPr>
                <w:noProof/>
                <w:webHidden/>
              </w:rPr>
              <w:instrText xml:space="preserve"> PAGEREF _Toc515875116 \h </w:instrText>
            </w:r>
            <w:r w:rsidR="00510961">
              <w:rPr>
                <w:noProof/>
                <w:webHidden/>
              </w:rPr>
            </w:r>
            <w:r w:rsidR="00510961">
              <w:rPr>
                <w:noProof/>
                <w:webHidden/>
              </w:rPr>
              <w:fldChar w:fldCharType="separate"/>
            </w:r>
            <w:r w:rsidR="004347C1">
              <w:rPr>
                <w:noProof/>
                <w:webHidden/>
              </w:rPr>
              <w:t>14</w:t>
            </w:r>
            <w:r w:rsidR="00510961">
              <w:rPr>
                <w:noProof/>
                <w:webHidden/>
              </w:rPr>
              <w:fldChar w:fldCharType="end"/>
            </w:r>
          </w:hyperlink>
        </w:p>
        <w:p w14:paraId="3BBA389A" w14:textId="1FF8D38B" w:rsidR="00510961" w:rsidRDefault="005D4AC5">
          <w:pPr>
            <w:pStyle w:val="TOC1"/>
            <w:tabs>
              <w:tab w:val="right" w:leader="dot" w:pos="8777"/>
            </w:tabs>
            <w:rPr>
              <w:rFonts w:eastAsiaTheme="minorEastAsia"/>
              <w:noProof/>
              <w:lang w:eastAsia="fr-FR"/>
            </w:rPr>
          </w:pPr>
          <w:hyperlink w:anchor="_Toc515875117" w:history="1">
            <w:r w:rsidR="00510961" w:rsidRPr="00CC3BA6">
              <w:rPr>
                <w:rStyle w:val="Hyperlink"/>
                <w:noProof/>
              </w:rPr>
              <w:t>Problématique : les réponses apportées au manque de financement de l’urbanisation ne sont pas à la mesure des enjeux à venir</w:t>
            </w:r>
            <w:r w:rsidR="00510961">
              <w:rPr>
                <w:noProof/>
                <w:webHidden/>
              </w:rPr>
              <w:tab/>
            </w:r>
            <w:r w:rsidR="00510961">
              <w:rPr>
                <w:noProof/>
                <w:webHidden/>
              </w:rPr>
              <w:fldChar w:fldCharType="begin"/>
            </w:r>
            <w:r w:rsidR="00510961">
              <w:rPr>
                <w:noProof/>
                <w:webHidden/>
              </w:rPr>
              <w:instrText xml:space="preserve"> PAGEREF _Toc515875117 \h </w:instrText>
            </w:r>
            <w:r w:rsidR="00510961">
              <w:rPr>
                <w:noProof/>
                <w:webHidden/>
              </w:rPr>
            </w:r>
            <w:r w:rsidR="00510961">
              <w:rPr>
                <w:noProof/>
                <w:webHidden/>
              </w:rPr>
              <w:fldChar w:fldCharType="separate"/>
            </w:r>
            <w:r w:rsidR="004347C1">
              <w:rPr>
                <w:noProof/>
                <w:webHidden/>
              </w:rPr>
              <w:t>15</w:t>
            </w:r>
            <w:r w:rsidR="00510961">
              <w:rPr>
                <w:noProof/>
                <w:webHidden/>
              </w:rPr>
              <w:fldChar w:fldCharType="end"/>
            </w:r>
          </w:hyperlink>
        </w:p>
        <w:p w14:paraId="721A4961" w14:textId="2C1BB1CB" w:rsidR="00510961" w:rsidRDefault="005D4AC5">
          <w:pPr>
            <w:pStyle w:val="TOC3"/>
            <w:tabs>
              <w:tab w:val="left" w:pos="660"/>
              <w:tab w:val="right" w:leader="dot" w:pos="8777"/>
            </w:tabs>
            <w:rPr>
              <w:rFonts w:eastAsiaTheme="minorEastAsia"/>
              <w:noProof/>
              <w:lang w:eastAsia="fr-FR"/>
            </w:rPr>
          </w:pPr>
          <w:hyperlink w:anchor="_Toc515875118" w:history="1">
            <w:r w:rsidR="00510961" w:rsidRPr="00CC3BA6">
              <w:rPr>
                <w:rStyle w:val="Hyperlink"/>
                <w:rFonts w:ascii="Times New Roman" w:hAnsi="Times New Roman" w:cs="Times New Roman"/>
                <w:b/>
                <w:noProof/>
                <w:lang w:eastAsia="fr-FR"/>
              </w:rPr>
              <w:t>I.</w:t>
            </w:r>
            <w:r w:rsidR="00510961">
              <w:rPr>
                <w:rFonts w:eastAsiaTheme="minorEastAsia"/>
                <w:noProof/>
                <w:lang w:eastAsia="fr-FR"/>
              </w:rPr>
              <w:tab/>
            </w:r>
            <w:r w:rsidR="00510961" w:rsidRPr="00CC3BA6">
              <w:rPr>
                <w:rStyle w:val="Hyperlink"/>
                <w:rFonts w:ascii="Times New Roman" w:hAnsi="Times New Roman" w:cs="Times New Roman"/>
                <w:b/>
                <w:noProof/>
                <w:lang w:eastAsia="fr-FR"/>
              </w:rPr>
              <w:t>Envergure des efforts entrepris</w:t>
            </w:r>
            <w:r w:rsidR="00510961">
              <w:rPr>
                <w:noProof/>
                <w:webHidden/>
              </w:rPr>
              <w:tab/>
            </w:r>
            <w:r w:rsidR="00510961">
              <w:rPr>
                <w:noProof/>
                <w:webHidden/>
              </w:rPr>
              <w:fldChar w:fldCharType="begin"/>
            </w:r>
            <w:r w:rsidR="00510961">
              <w:rPr>
                <w:noProof/>
                <w:webHidden/>
              </w:rPr>
              <w:instrText xml:space="preserve"> PAGEREF _Toc515875118 \h </w:instrText>
            </w:r>
            <w:r w:rsidR="00510961">
              <w:rPr>
                <w:noProof/>
                <w:webHidden/>
              </w:rPr>
            </w:r>
            <w:r w:rsidR="00510961">
              <w:rPr>
                <w:noProof/>
                <w:webHidden/>
              </w:rPr>
              <w:fldChar w:fldCharType="separate"/>
            </w:r>
            <w:r w:rsidR="004347C1">
              <w:rPr>
                <w:noProof/>
                <w:webHidden/>
              </w:rPr>
              <w:t>15</w:t>
            </w:r>
            <w:r w:rsidR="00510961">
              <w:rPr>
                <w:noProof/>
                <w:webHidden/>
              </w:rPr>
              <w:fldChar w:fldCharType="end"/>
            </w:r>
          </w:hyperlink>
        </w:p>
        <w:p w14:paraId="757DFB7B" w14:textId="06EF0867" w:rsidR="00510961" w:rsidRDefault="005D4AC5">
          <w:pPr>
            <w:pStyle w:val="TOC3"/>
            <w:tabs>
              <w:tab w:val="left" w:pos="660"/>
              <w:tab w:val="right" w:leader="dot" w:pos="8777"/>
            </w:tabs>
            <w:rPr>
              <w:rFonts w:eastAsiaTheme="minorEastAsia"/>
              <w:noProof/>
              <w:lang w:eastAsia="fr-FR"/>
            </w:rPr>
          </w:pPr>
          <w:hyperlink w:anchor="_Toc515875119" w:history="1">
            <w:r w:rsidR="00510961" w:rsidRPr="00CC3BA6">
              <w:rPr>
                <w:rStyle w:val="Hyperlink"/>
                <w:rFonts w:ascii="Times New Roman" w:hAnsi="Times New Roman" w:cs="Times New Roman"/>
                <w:b/>
                <w:noProof/>
                <w:lang w:eastAsia="fr-FR"/>
              </w:rPr>
              <w:t>II.</w:t>
            </w:r>
            <w:r w:rsidR="00510961">
              <w:rPr>
                <w:rFonts w:eastAsiaTheme="minorEastAsia"/>
                <w:noProof/>
                <w:lang w:eastAsia="fr-FR"/>
              </w:rPr>
              <w:tab/>
            </w:r>
            <w:r w:rsidR="00510961" w:rsidRPr="00CC3BA6">
              <w:rPr>
                <w:rStyle w:val="Hyperlink"/>
                <w:rFonts w:ascii="Times New Roman" w:hAnsi="Times New Roman" w:cs="Times New Roman"/>
                <w:b/>
                <w:noProof/>
                <w:lang w:eastAsia="fr-FR"/>
              </w:rPr>
              <w:t>Défis institutionnels et absence de lignes directrices</w:t>
            </w:r>
            <w:r w:rsidR="00510961">
              <w:rPr>
                <w:noProof/>
                <w:webHidden/>
              </w:rPr>
              <w:tab/>
            </w:r>
            <w:r w:rsidR="00510961">
              <w:rPr>
                <w:noProof/>
                <w:webHidden/>
              </w:rPr>
              <w:fldChar w:fldCharType="begin"/>
            </w:r>
            <w:r w:rsidR="00510961">
              <w:rPr>
                <w:noProof/>
                <w:webHidden/>
              </w:rPr>
              <w:instrText xml:space="preserve"> PAGEREF _Toc515875119 \h </w:instrText>
            </w:r>
            <w:r w:rsidR="00510961">
              <w:rPr>
                <w:noProof/>
                <w:webHidden/>
              </w:rPr>
            </w:r>
            <w:r w:rsidR="00510961">
              <w:rPr>
                <w:noProof/>
                <w:webHidden/>
              </w:rPr>
              <w:fldChar w:fldCharType="separate"/>
            </w:r>
            <w:r w:rsidR="004347C1">
              <w:rPr>
                <w:noProof/>
                <w:webHidden/>
              </w:rPr>
              <w:t>16</w:t>
            </w:r>
            <w:r w:rsidR="00510961">
              <w:rPr>
                <w:noProof/>
                <w:webHidden/>
              </w:rPr>
              <w:fldChar w:fldCharType="end"/>
            </w:r>
          </w:hyperlink>
        </w:p>
        <w:p w14:paraId="7D259797" w14:textId="04CF1BF2" w:rsidR="00510961" w:rsidRDefault="005D4AC5">
          <w:pPr>
            <w:pStyle w:val="TOC3"/>
            <w:tabs>
              <w:tab w:val="left" w:pos="660"/>
              <w:tab w:val="right" w:leader="dot" w:pos="8777"/>
            </w:tabs>
            <w:rPr>
              <w:rFonts w:eastAsiaTheme="minorEastAsia"/>
              <w:noProof/>
              <w:lang w:eastAsia="fr-FR"/>
            </w:rPr>
          </w:pPr>
          <w:hyperlink w:anchor="_Toc515875120" w:history="1">
            <w:r w:rsidR="00510961" w:rsidRPr="00CC3BA6">
              <w:rPr>
                <w:rStyle w:val="Hyperlink"/>
                <w:rFonts w:ascii="Times New Roman" w:hAnsi="Times New Roman" w:cs="Times New Roman"/>
                <w:b/>
                <w:noProof/>
                <w:lang w:eastAsia="fr-FR"/>
              </w:rPr>
              <w:t>III.</w:t>
            </w:r>
            <w:r w:rsidR="00510961">
              <w:rPr>
                <w:rFonts w:eastAsiaTheme="minorEastAsia"/>
                <w:noProof/>
                <w:lang w:eastAsia="fr-FR"/>
              </w:rPr>
              <w:tab/>
            </w:r>
            <w:r w:rsidR="00510961" w:rsidRPr="00CC3BA6">
              <w:rPr>
                <w:rStyle w:val="Hyperlink"/>
                <w:rFonts w:ascii="Times New Roman" w:hAnsi="Times New Roman" w:cs="Times New Roman"/>
                <w:b/>
                <w:noProof/>
                <w:lang w:eastAsia="fr-FR"/>
              </w:rPr>
              <w:t>Une volonté de réforme au plus haut niveau</w:t>
            </w:r>
            <w:r w:rsidR="00510961">
              <w:rPr>
                <w:noProof/>
                <w:webHidden/>
              </w:rPr>
              <w:tab/>
            </w:r>
            <w:r w:rsidR="00510961">
              <w:rPr>
                <w:noProof/>
                <w:webHidden/>
              </w:rPr>
              <w:fldChar w:fldCharType="begin"/>
            </w:r>
            <w:r w:rsidR="00510961">
              <w:rPr>
                <w:noProof/>
                <w:webHidden/>
              </w:rPr>
              <w:instrText xml:space="preserve"> PAGEREF _Toc515875120 \h </w:instrText>
            </w:r>
            <w:r w:rsidR="00510961">
              <w:rPr>
                <w:noProof/>
                <w:webHidden/>
              </w:rPr>
            </w:r>
            <w:r w:rsidR="00510961">
              <w:rPr>
                <w:noProof/>
                <w:webHidden/>
              </w:rPr>
              <w:fldChar w:fldCharType="separate"/>
            </w:r>
            <w:r w:rsidR="004347C1">
              <w:rPr>
                <w:noProof/>
                <w:webHidden/>
              </w:rPr>
              <w:t>17</w:t>
            </w:r>
            <w:r w:rsidR="00510961">
              <w:rPr>
                <w:noProof/>
                <w:webHidden/>
              </w:rPr>
              <w:fldChar w:fldCharType="end"/>
            </w:r>
          </w:hyperlink>
        </w:p>
        <w:p w14:paraId="26356A14" w14:textId="10AAF811" w:rsidR="00510961" w:rsidRDefault="005D4AC5">
          <w:pPr>
            <w:pStyle w:val="TOC1"/>
            <w:tabs>
              <w:tab w:val="right" w:leader="dot" w:pos="8777"/>
            </w:tabs>
            <w:rPr>
              <w:rFonts w:eastAsiaTheme="minorEastAsia"/>
              <w:noProof/>
              <w:lang w:eastAsia="fr-FR"/>
            </w:rPr>
          </w:pPr>
          <w:hyperlink w:anchor="_Toc515875121" w:history="1">
            <w:r w:rsidR="00510961" w:rsidRPr="00CC3BA6">
              <w:rPr>
                <w:rStyle w:val="Hyperlink"/>
                <w:noProof/>
              </w:rPr>
              <w:t>Propositions : Vers un meilleur avenir urbain ?</w:t>
            </w:r>
            <w:r w:rsidR="00510961">
              <w:rPr>
                <w:noProof/>
                <w:webHidden/>
              </w:rPr>
              <w:tab/>
            </w:r>
            <w:r w:rsidR="00510961">
              <w:rPr>
                <w:noProof/>
                <w:webHidden/>
              </w:rPr>
              <w:fldChar w:fldCharType="begin"/>
            </w:r>
            <w:r w:rsidR="00510961">
              <w:rPr>
                <w:noProof/>
                <w:webHidden/>
              </w:rPr>
              <w:instrText xml:space="preserve"> PAGEREF _Toc515875121 \h </w:instrText>
            </w:r>
            <w:r w:rsidR="00510961">
              <w:rPr>
                <w:noProof/>
                <w:webHidden/>
              </w:rPr>
            </w:r>
            <w:r w:rsidR="00510961">
              <w:rPr>
                <w:noProof/>
                <w:webHidden/>
              </w:rPr>
              <w:fldChar w:fldCharType="separate"/>
            </w:r>
            <w:r w:rsidR="004347C1">
              <w:rPr>
                <w:noProof/>
                <w:webHidden/>
              </w:rPr>
              <w:t>18</w:t>
            </w:r>
            <w:r w:rsidR="00510961">
              <w:rPr>
                <w:noProof/>
                <w:webHidden/>
              </w:rPr>
              <w:fldChar w:fldCharType="end"/>
            </w:r>
          </w:hyperlink>
        </w:p>
        <w:p w14:paraId="6A333C3B" w14:textId="0C163F8E" w:rsidR="00510961" w:rsidRDefault="005D4AC5">
          <w:pPr>
            <w:pStyle w:val="TOC3"/>
            <w:tabs>
              <w:tab w:val="left" w:pos="660"/>
              <w:tab w:val="right" w:leader="dot" w:pos="8777"/>
            </w:tabs>
            <w:rPr>
              <w:rFonts w:eastAsiaTheme="minorEastAsia"/>
              <w:noProof/>
              <w:lang w:eastAsia="fr-FR"/>
            </w:rPr>
          </w:pPr>
          <w:hyperlink w:anchor="_Toc515875122" w:history="1">
            <w:r w:rsidR="00510961" w:rsidRPr="00CC3BA6">
              <w:rPr>
                <w:rStyle w:val="Hyperlink"/>
                <w:rFonts w:ascii="Times New Roman" w:hAnsi="Times New Roman" w:cs="Times New Roman"/>
                <w:b/>
                <w:noProof/>
                <w:lang w:eastAsia="fr-FR"/>
              </w:rPr>
              <w:t>I.</w:t>
            </w:r>
            <w:r w:rsidR="00510961">
              <w:rPr>
                <w:rFonts w:eastAsiaTheme="minorEastAsia"/>
                <w:noProof/>
                <w:lang w:eastAsia="fr-FR"/>
              </w:rPr>
              <w:tab/>
            </w:r>
            <w:r w:rsidR="00510961" w:rsidRPr="00CC3BA6">
              <w:rPr>
                <w:rStyle w:val="Hyperlink"/>
                <w:rFonts w:ascii="Times New Roman" w:hAnsi="Times New Roman" w:cs="Times New Roman"/>
                <w:b/>
                <w:noProof/>
                <w:lang w:eastAsia="fr-FR"/>
              </w:rPr>
              <w:t>Instruments et régulation</w:t>
            </w:r>
            <w:r w:rsidR="00510961">
              <w:rPr>
                <w:noProof/>
                <w:webHidden/>
              </w:rPr>
              <w:tab/>
            </w:r>
            <w:r w:rsidR="00510961">
              <w:rPr>
                <w:noProof/>
                <w:webHidden/>
              </w:rPr>
              <w:fldChar w:fldCharType="begin"/>
            </w:r>
            <w:r w:rsidR="00510961">
              <w:rPr>
                <w:noProof/>
                <w:webHidden/>
              </w:rPr>
              <w:instrText xml:space="preserve"> PAGEREF _Toc515875122 \h </w:instrText>
            </w:r>
            <w:r w:rsidR="00510961">
              <w:rPr>
                <w:noProof/>
                <w:webHidden/>
              </w:rPr>
            </w:r>
            <w:r w:rsidR="00510961">
              <w:rPr>
                <w:noProof/>
                <w:webHidden/>
              </w:rPr>
              <w:fldChar w:fldCharType="separate"/>
            </w:r>
            <w:r w:rsidR="004347C1">
              <w:rPr>
                <w:noProof/>
                <w:webHidden/>
              </w:rPr>
              <w:t>18</w:t>
            </w:r>
            <w:r w:rsidR="00510961">
              <w:rPr>
                <w:noProof/>
                <w:webHidden/>
              </w:rPr>
              <w:fldChar w:fldCharType="end"/>
            </w:r>
          </w:hyperlink>
        </w:p>
        <w:p w14:paraId="4A9AA1C3" w14:textId="6FD158E2" w:rsidR="00510961" w:rsidRDefault="005D4AC5">
          <w:pPr>
            <w:pStyle w:val="TOC3"/>
            <w:tabs>
              <w:tab w:val="right" w:leader="dot" w:pos="8777"/>
            </w:tabs>
            <w:rPr>
              <w:rFonts w:eastAsiaTheme="minorEastAsia"/>
              <w:noProof/>
              <w:lang w:eastAsia="fr-FR"/>
            </w:rPr>
          </w:pPr>
          <w:hyperlink w:anchor="_Toc515875123" w:history="1">
            <w:r w:rsidR="00510961" w:rsidRPr="00CC3BA6">
              <w:rPr>
                <w:rStyle w:val="Hyperlink"/>
                <w:rFonts w:ascii="Times New Roman" w:eastAsia="Times New Roman" w:hAnsi="Times New Roman" w:cs="Times New Roman"/>
                <w:b/>
                <w:noProof/>
                <w:lang w:eastAsia="fr-FR"/>
              </w:rPr>
              <w:t>Proposition #1 : Articuler et intégrer les différents niveaux de planification territoriale / urbaine / locale</w:t>
            </w:r>
            <w:r w:rsidR="00510961">
              <w:rPr>
                <w:noProof/>
                <w:webHidden/>
              </w:rPr>
              <w:tab/>
            </w:r>
            <w:r w:rsidR="00510961">
              <w:rPr>
                <w:noProof/>
                <w:webHidden/>
              </w:rPr>
              <w:fldChar w:fldCharType="begin"/>
            </w:r>
            <w:r w:rsidR="00510961">
              <w:rPr>
                <w:noProof/>
                <w:webHidden/>
              </w:rPr>
              <w:instrText xml:space="preserve"> PAGEREF _Toc515875123 \h </w:instrText>
            </w:r>
            <w:r w:rsidR="00510961">
              <w:rPr>
                <w:noProof/>
                <w:webHidden/>
              </w:rPr>
            </w:r>
            <w:r w:rsidR="00510961">
              <w:rPr>
                <w:noProof/>
                <w:webHidden/>
              </w:rPr>
              <w:fldChar w:fldCharType="separate"/>
            </w:r>
            <w:r w:rsidR="004347C1">
              <w:rPr>
                <w:noProof/>
                <w:webHidden/>
              </w:rPr>
              <w:t>18</w:t>
            </w:r>
            <w:r w:rsidR="00510961">
              <w:rPr>
                <w:noProof/>
                <w:webHidden/>
              </w:rPr>
              <w:fldChar w:fldCharType="end"/>
            </w:r>
          </w:hyperlink>
        </w:p>
        <w:p w14:paraId="293C991F" w14:textId="6F0ABB4B" w:rsidR="00510961" w:rsidRDefault="005D4AC5">
          <w:pPr>
            <w:pStyle w:val="TOC3"/>
            <w:tabs>
              <w:tab w:val="right" w:leader="dot" w:pos="8777"/>
            </w:tabs>
            <w:rPr>
              <w:rFonts w:eastAsiaTheme="minorEastAsia"/>
              <w:noProof/>
              <w:lang w:eastAsia="fr-FR"/>
            </w:rPr>
          </w:pPr>
          <w:hyperlink w:anchor="_Toc515875124" w:history="1">
            <w:r w:rsidR="00510961" w:rsidRPr="00CC3BA6">
              <w:rPr>
                <w:rStyle w:val="Hyperlink"/>
                <w:rFonts w:ascii="Times New Roman" w:eastAsia="Times New Roman" w:hAnsi="Times New Roman" w:cs="Times New Roman"/>
                <w:b/>
                <w:noProof/>
                <w:lang w:eastAsia="fr-FR"/>
              </w:rPr>
              <w:t>Proposition #2 : Adapter et moderniser l’exercice de la planification urbaine</w:t>
            </w:r>
            <w:r w:rsidR="00510961">
              <w:rPr>
                <w:noProof/>
                <w:webHidden/>
              </w:rPr>
              <w:tab/>
            </w:r>
            <w:r w:rsidR="00510961">
              <w:rPr>
                <w:noProof/>
                <w:webHidden/>
              </w:rPr>
              <w:fldChar w:fldCharType="begin"/>
            </w:r>
            <w:r w:rsidR="00510961">
              <w:rPr>
                <w:noProof/>
                <w:webHidden/>
              </w:rPr>
              <w:instrText xml:space="preserve"> PAGEREF _Toc515875124 \h </w:instrText>
            </w:r>
            <w:r w:rsidR="00510961">
              <w:rPr>
                <w:noProof/>
                <w:webHidden/>
              </w:rPr>
            </w:r>
            <w:r w:rsidR="00510961">
              <w:rPr>
                <w:noProof/>
                <w:webHidden/>
              </w:rPr>
              <w:fldChar w:fldCharType="separate"/>
            </w:r>
            <w:r w:rsidR="004347C1">
              <w:rPr>
                <w:noProof/>
                <w:webHidden/>
              </w:rPr>
              <w:t>19</w:t>
            </w:r>
            <w:r w:rsidR="00510961">
              <w:rPr>
                <w:noProof/>
                <w:webHidden/>
              </w:rPr>
              <w:fldChar w:fldCharType="end"/>
            </w:r>
          </w:hyperlink>
        </w:p>
        <w:p w14:paraId="14CB0797" w14:textId="2A79407E" w:rsidR="00510961" w:rsidRDefault="005D4AC5">
          <w:pPr>
            <w:pStyle w:val="TOC3"/>
            <w:tabs>
              <w:tab w:val="right" w:leader="dot" w:pos="8777"/>
            </w:tabs>
            <w:rPr>
              <w:rFonts w:eastAsiaTheme="minorEastAsia"/>
              <w:noProof/>
              <w:lang w:eastAsia="fr-FR"/>
            </w:rPr>
          </w:pPr>
          <w:hyperlink w:anchor="_Toc515875125" w:history="1">
            <w:r w:rsidR="00510961" w:rsidRPr="00CC3BA6">
              <w:rPr>
                <w:rStyle w:val="Hyperlink"/>
                <w:rFonts w:ascii="Times New Roman" w:eastAsia="Times New Roman" w:hAnsi="Times New Roman" w:cs="Times New Roman"/>
                <w:b/>
                <w:noProof/>
                <w:lang w:eastAsia="fr-FR"/>
              </w:rPr>
              <w:t>Proposition #3 : Mettre en place un cadre d’accompagnement et de mise en œuvre des grands projets d’intérêt national</w:t>
            </w:r>
            <w:r w:rsidR="00510961">
              <w:rPr>
                <w:noProof/>
                <w:webHidden/>
              </w:rPr>
              <w:tab/>
            </w:r>
            <w:r w:rsidR="00510961">
              <w:rPr>
                <w:noProof/>
                <w:webHidden/>
              </w:rPr>
              <w:fldChar w:fldCharType="begin"/>
            </w:r>
            <w:r w:rsidR="00510961">
              <w:rPr>
                <w:noProof/>
                <w:webHidden/>
              </w:rPr>
              <w:instrText xml:space="preserve"> PAGEREF _Toc515875125 \h </w:instrText>
            </w:r>
            <w:r w:rsidR="00510961">
              <w:rPr>
                <w:noProof/>
                <w:webHidden/>
              </w:rPr>
            </w:r>
            <w:r w:rsidR="00510961">
              <w:rPr>
                <w:noProof/>
                <w:webHidden/>
              </w:rPr>
              <w:fldChar w:fldCharType="separate"/>
            </w:r>
            <w:r w:rsidR="004347C1">
              <w:rPr>
                <w:noProof/>
                <w:webHidden/>
              </w:rPr>
              <w:t>20</w:t>
            </w:r>
            <w:r w:rsidR="00510961">
              <w:rPr>
                <w:noProof/>
                <w:webHidden/>
              </w:rPr>
              <w:fldChar w:fldCharType="end"/>
            </w:r>
          </w:hyperlink>
        </w:p>
        <w:p w14:paraId="4BEEF0B7" w14:textId="453A51BD" w:rsidR="00510961" w:rsidRDefault="005D4AC5">
          <w:pPr>
            <w:pStyle w:val="TOC3"/>
            <w:tabs>
              <w:tab w:val="right" w:leader="dot" w:pos="8777"/>
            </w:tabs>
            <w:rPr>
              <w:rFonts w:eastAsiaTheme="minorEastAsia"/>
              <w:noProof/>
              <w:lang w:eastAsia="fr-FR"/>
            </w:rPr>
          </w:pPr>
          <w:hyperlink w:anchor="_Toc515875126" w:history="1">
            <w:r w:rsidR="00510961" w:rsidRPr="00CC3BA6">
              <w:rPr>
                <w:rStyle w:val="Hyperlink"/>
                <w:rFonts w:ascii="Times New Roman" w:eastAsia="Times New Roman" w:hAnsi="Times New Roman" w:cs="Times New Roman"/>
                <w:b/>
                <w:noProof/>
                <w:lang w:eastAsia="fr-FR"/>
              </w:rPr>
              <w:t>Proposition #4 : Encourager la territorialisation et la mise en cohérence de l’action publique en matière de développement urbain (urbanisme, habitat, déplacement, etc.)</w:t>
            </w:r>
            <w:r w:rsidR="00510961">
              <w:rPr>
                <w:noProof/>
                <w:webHidden/>
              </w:rPr>
              <w:tab/>
            </w:r>
            <w:r w:rsidR="00510961">
              <w:rPr>
                <w:noProof/>
                <w:webHidden/>
              </w:rPr>
              <w:fldChar w:fldCharType="begin"/>
            </w:r>
            <w:r w:rsidR="00510961">
              <w:rPr>
                <w:noProof/>
                <w:webHidden/>
              </w:rPr>
              <w:instrText xml:space="preserve"> PAGEREF _Toc515875126 \h </w:instrText>
            </w:r>
            <w:r w:rsidR="00510961">
              <w:rPr>
                <w:noProof/>
                <w:webHidden/>
              </w:rPr>
            </w:r>
            <w:r w:rsidR="00510961">
              <w:rPr>
                <w:noProof/>
                <w:webHidden/>
              </w:rPr>
              <w:fldChar w:fldCharType="separate"/>
            </w:r>
            <w:r w:rsidR="004347C1">
              <w:rPr>
                <w:noProof/>
                <w:webHidden/>
              </w:rPr>
              <w:t>21</w:t>
            </w:r>
            <w:r w:rsidR="00510961">
              <w:rPr>
                <w:noProof/>
                <w:webHidden/>
              </w:rPr>
              <w:fldChar w:fldCharType="end"/>
            </w:r>
          </w:hyperlink>
        </w:p>
        <w:p w14:paraId="2895738D" w14:textId="6CA0FBC4" w:rsidR="00510961" w:rsidRDefault="005D4AC5">
          <w:pPr>
            <w:pStyle w:val="TOC3"/>
            <w:tabs>
              <w:tab w:val="right" w:leader="dot" w:pos="8777"/>
            </w:tabs>
            <w:rPr>
              <w:rFonts w:eastAsiaTheme="minorEastAsia"/>
              <w:noProof/>
              <w:lang w:eastAsia="fr-FR"/>
            </w:rPr>
          </w:pPr>
          <w:hyperlink w:anchor="_Toc515875127" w:history="1">
            <w:r w:rsidR="00510961" w:rsidRPr="00CC3BA6">
              <w:rPr>
                <w:rStyle w:val="Hyperlink"/>
                <w:rFonts w:ascii="Times New Roman" w:eastAsia="Times New Roman" w:hAnsi="Times New Roman" w:cs="Times New Roman"/>
                <w:b/>
                <w:noProof/>
                <w:lang w:eastAsia="fr-FR"/>
              </w:rPr>
              <w:t>Proposition #5 : Renforcer les capacités d’aménagement opérationnel et foncier au niveau local</w:t>
            </w:r>
            <w:r w:rsidR="00510961">
              <w:rPr>
                <w:noProof/>
                <w:webHidden/>
              </w:rPr>
              <w:tab/>
            </w:r>
            <w:r w:rsidR="00510961">
              <w:rPr>
                <w:noProof/>
                <w:webHidden/>
              </w:rPr>
              <w:fldChar w:fldCharType="begin"/>
            </w:r>
            <w:r w:rsidR="00510961">
              <w:rPr>
                <w:noProof/>
                <w:webHidden/>
              </w:rPr>
              <w:instrText xml:space="preserve"> PAGEREF _Toc515875127 \h </w:instrText>
            </w:r>
            <w:r w:rsidR="00510961">
              <w:rPr>
                <w:noProof/>
                <w:webHidden/>
              </w:rPr>
            </w:r>
            <w:r w:rsidR="00510961">
              <w:rPr>
                <w:noProof/>
                <w:webHidden/>
              </w:rPr>
              <w:fldChar w:fldCharType="separate"/>
            </w:r>
            <w:r w:rsidR="004347C1">
              <w:rPr>
                <w:noProof/>
                <w:webHidden/>
              </w:rPr>
              <w:t>22</w:t>
            </w:r>
            <w:r w:rsidR="00510961">
              <w:rPr>
                <w:noProof/>
                <w:webHidden/>
              </w:rPr>
              <w:fldChar w:fldCharType="end"/>
            </w:r>
          </w:hyperlink>
        </w:p>
        <w:p w14:paraId="087E9E40" w14:textId="293E40E9" w:rsidR="00510961" w:rsidRDefault="005D4AC5">
          <w:pPr>
            <w:pStyle w:val="TOC3"/>
            <w:tabs>
              <w:tab w:val="right" w:leader="dot" w:pos="8777"/>
            </w:tabs>
            <w:rPr>
              <w:rFonts w:eastAsiaTheme="minorEastAsia"/>
              <w:noProof/>
              <w:lang w:eastAsia="fr-FR"/>
            </w:rPr>
          </w:pPr>
          <w:hyperlink w:anchor="_Toc515875128" w:history="1">
            <w:r w:rsidR="00510961" w:rsidRPr="00CC3BA6">
              <w:rPr>
                <w:rStyle w:val="Hyperlink"/>
                <w:rFonts w:ascii="Times New Roman" w:eastAsia="Times New Roman" w:hAnsi="Times New Roman" w:cs="Times New Roman"/>
                <w:b/>
                <w:noProof/>
                <w:lang w:eastAsia="fr-FR"/>
              </w:rPr>
              <w:t>Proposition #6 : Améliorer la gestion foncière</w:t>
            </w:r>
            <w:r w:rsidR="00510961">
              <w:rPr>
                <w:noProof/>
                <w:webHidden/>
              </w:rPr>
              <w:tab/>
            </w:r>
            <w:r w:rsidR="00510961">
              <w:rPr>
                <w:noProof/>
                <w:webHidden/>
              </w:rPr>
              <w:fldChar w:fldCharType="begin"/>
            </w:r>
            <w:r w:rsidR="00510961">
              <w:rPr>
                <w:noProof/>
                <w:webHidden/>
              </w:rPr>
              <w:instrText xml:space="preserve"> PAGEREF _Toc515875128 \h </w:instrText>
            </w:r>
            <w:r w:rsidR="00510961">
              <w:rPr>
                <w:noProof/>
                <w:webHidden/>
              </w:rPr>
            </w:r>
            <w:r w:rsidR="00510961">
              <w:rPr>
                <w:noProof/>
                <w:webHidden/>
              </w:rPr>
              <w:fldChar w:fldCharType="separate"/>
            </w:r>
            <w:r w:rsidR="004347C1">
              <w:rPr>
                <w:noProof/>
                <w:webHidden/>
              </w:rPr>
              <w:t>25</w:t>
            </w:r>
            <w:r w:rsidR="00510961">
              <w:rPr>
                <w:noProof/>
                <w:webHidden/>
              </w:rPr>
              <w:fldChar w:fldCharType="end"/>
            </w:r>
          </w:hyperlink>
        </w:p>
        <w:p w14:paraId="7C89AF4C" w14:textId="27DA6FEE" w:rsidR="00510961" w:rsidRDefault="005D4AC5">
          <w:pPr>
            <w:pStyle w:val="TOC3"/>
            <w:tabs>
              <w:tab w:val="right" w:leader="dot" w:pos="8777"/>
            </w:tabs>
            <w:rPr>
              <w:rFonts w:eastAsiaTheme="minorEastAsia"/>
              <w:noProof/>
              <w:lang w:eastAsia="fr-FR"/>
            </w:rPr>
          </w:pPr>
          <w:hyperlink w:anchor="_Toc515875129" w:history="1">
            <w:r w:rsidR="00510961" w:rsidRPr="00CC3BA6">
              <w:rPr>
                <w:rStyle w:val="Hyperlink"/>
                <w:rFonts w:ascii="Times New Roman" w:eastAsia="Times New Roman" w:hAnsi="Times New Roman" w:cs="Times New Roman"/>
                <w:b/>
                <w:noProof/>
                <w:lang w:eastAsia="fr-FR"/>
              </w:rPr>
              <w:t>Proposition #7 : Assurer une meilleure contribution financière au développement urbain</w:t>
            </w:r>
            <w:r w:rsidR="00510961">
              <w:rPr>
                <w:noProof/>
                <w:webHidden/>
              </w:rPr>
              <w:tab/>
            </w:r>
            <w:r w:rsidR="00510961">
              <w:rPr>
                <w:noProof/>
                <w:webHidden/>
              </w:rPr>
              <w:fldChar w:fldCharType="begin"/>
            </w:r>
            <w:r w:rsidR="00510961">
              <w:rPr>
                <w:noProof/>
                <w:webHidden/>
              </w:rPr>
              <w:instrText xml:space="preserve"> PAGEREF _Toc515875129 \h </w:instrText>
            </w:r>
            <w:r w:rsidR="00510961">
              <w:rPr>
                <w:noProof/>
                <w:webHidden/>
              </w:rPr>
            </w:r>
            <w:r w:rsidR="00510961">
              <w:rPr>
                <w:noProof/>
                <w:webHidden/>
              </w:rPr>
              <w:fldChar w:fldCharType="separate"/>
            </w:r>
            <w:r w:rsidR="004347C1">
              <w:rPr>
                <w:noProof/>
                <w:webHidden/>
              </w:rPr>
              <w:t>27</w:t>
            </w:r>
            <w:r w:rsidR="00510961">
              <w:rPr>
                <w:noProof/>
                <w:webHidden/>
              </w:rPr>
              <w:fldChar w:fldCharType="end"/>
            </w:r>
          </w:hyperlink>
        </w:p>
        <w:p w14:paraId="491703B3" w14:textId="0C7FD0C6" w:rsidR="00510961" w:rsidRDefault="005D4AC5">
          <w:pPr>
            <w:pStyle w:val="TOC3"/>
            <w:tabs>
              <w:tab w:val="left" w:pos="660"/>
              <w:tab w:val="right" w:leader="dot" w:pos="8777"/>
            </w:tabs>
            <w:rPr>
              <w:rFonts w:eastAsiaTheme="minorEastAsia"/>
              <w:noProof/>
              <w:lang w:eastAsia="fr-FR"/>
            </w:rPr>
          </w:pPr>
          <w:hyperlink w:anchor="_Toc515875130" w:history="1">
            <w:r w:rsidR="00510961" w:rsidRPr="00CC3BA6">
              <w:rPr>
                <w:rStyle w:val="Hyperlink"/>
                <w:rFonts w:ascii="Times New Roman" w:hAnsi="Times New Roman" w:cs="Times New Roman"/>
                <w:b/>
                <w:noProof/>
                <w:lang w:eastAsia="fr-FR"/>
              </w:rPr>
              <w:t>II.</w:t>
            </w:r>
            <w:r w:rsidR="00510961">
              <w:rPr>
                <w:rFonts w:eastAsiaTheme="minorEastAsia"/>
                <w:noProof/>
                <w:lang w:eastAsia="fr-FR"/>
              </w:rPr>
              <w:tab/>
            </w:r>
            <w:r w:rsidR="00510961" w:rsidRPr="00CC3BA6">
              <w:rPr>
                <w:rStyle w:val="Hyperlink"/>
                <w:rFonts w:ascii="Times New Roman" w:hAnsi="Times New Roman" w:cs="Times New Roman"/>
                <w:b/>
                <w:noProof/>
                <w:lang w:eastAsia="fr-FR"/>
              </w:rPr>
              <w:t>Acteurs</w:t>
            </w:r>
            <w:r w:rsidR="00510961">
              <w:rPr>
                <w:noProof/>
                <w:webHidden/>
              </w:rPr>
              <w:tab/>
            </w:r>
            <w:r w:rsidR="00510961">
              <w:rPr>
                <w:noProof/>
                <w:webHidden/>
              </w:rPr>
              <w:fldChar w:fldCharType="begin"/>
            </w:r>
            <w:r w:rsidR="00510961">
              <w:rPr>
                <w:noProof/>
                <w:webHidden/>
              </w:rPr>
              <w:instrText xml:space="preserve"> PAGEREF _Toc515875130 \h </w:instrText>
            </w:r>
            <w:r w:rsidR="00510961">
              <w:rPr>
                <w:noProof/>
                <w:webHidden/>
              </w:rPr>
            </w:r>
            <w:r w:rsidR="00510961">
              <w:rPr>
                <w:noProof/>
                <w:webHidden/>
              </w:rPr>
              <w:fldChar w:fldCharType="separate"/>
            </w:r>
            <w:r w:rsidR="004347C1">
              <w:rPr>
                <w:noProof/>
                <w:webHidden/>
              </w:rPr>
              <w:t>28</w:t>
            </w:r>
            <w:r w:rsidR="00510961">
              <w:rPr>
                <w:noProof/>
                <w:webHidden/>
              </w:rPr>
              <w:fldChar w:fldCharType="end"/>
            </w:r>
          </w:hyperlink>
        </w:p>
        <w:p w14:paraId="12F5C511" w14:textId="1EB96624" w:rsidR="00510961" w:rsidRDefault="005D4AC5">
          <w:pPr>
            <w:pStyle w:val="TOC3"/>
            <w:tabs>
              <w:tab w:val="right" w:leader="dot" w:pos="8777"/>
            </w:tabs>
            <w:rPr>
              <w:rFonts w:eastAsiaTheme="minorEastAsia"/>
              <w:noProof/>
              <w:lang w:eastAsia="fr-FR"/>
            </w:rPr>
          </w:pPr>
          <w:hyperlink w:anchor="_Toc515875131" w:history="1">
            <w:r w:rsidR="00510961" w:rsidRPr="00CC3BA6">
              <w:rPr>
                <w:rStyle w:val="Hyperlink"/>
                <w:rFonts w:ascii="Times New Roman" w:eastAsia="Times New Roman" w:hAnsi="Times New Roman" w:cs="Times New Roman"/>
                <w:b/>
                <w:noProof/>
                <w:lang w:eastAsia="fr-FR"/>
              </w:rPr>
              <w:t>Proposition #8 : Positionner le Wali en tant qu’acteur pivot de la déconcentration administrative dans le contexte de régionalisation avancée</w:t>
            </w:r>
            <w:r w:rsidR="00510961">
              <w:rPr>
                <w:noProof/>
                <w:webHidden/>
              </w:rPr>
              <w:tab/>
            </w:r>
            <w:r w:rsidR="00510961">
              <w:rPr>
                <w:noProof/>
                <w:webHidden/>
              </w:rPr>
              <w:fldChar w:fldCharType="begin"/>
            </w:r>
            <w:r w:rsidR="00510961">
              <w:rPr>
                <w:noProof/>
                <w:webHidden/>
              </w:rPr>
              <w:instrText xml:space="preserve"> PAGEREF _Toc515875131 \h </w:instrText>
            </w:r>
            <w:r w:rsidR="00510961">
              <w:rPr>
                <w:noProof/>
                <w:webHidden/>
              </w:rPr>
            </w:r>
            <w:r w:rsidR="00510961">
              <w:rPr>
                <w:noProof/>
                <w:webHidden/>
              </w:rPr>
              <w:fldChar w:fldCharType="separate"/>
            </w:r>
            <w:r w:rsidR="004347C1">
              <w:rPr>
                <w:noProof/>
                <w:webHidden/>
              </w:rPr>
              <w:t>28</w:t>
            </w:r>
            <w:r w:rsidR="00510961">
              <w:rPr>
                <w:noProof/>
                <w:webHidden/>
              </w:rPr>
              <w:fldChar w:fldCharType="end"/>
            </w:r>
          </w:hyperlink>
        </w:p>
        <w:p w14:paraId="7995EB3F" w14:textId="3D41935F" w:rsidR="00510961" w:rsidRDefault="005D4AC5">
          <w:pPr>
            <w:pStyle w:val="TOC3"/>
            <w:tabs>
              <w:tab w:val="right" w:leader="dot" w:pos="8777"/>
            </w:tabs>
            <w:rPr>
              <w:rFonts w:eastAsiaTheme="minorEastAsia"/>
              <w:noProof/>
              <w:lang w:eastAsia="fr-FR"/>
            </w:rPr>
          </w:pPr>
          <w:hyperlink w:anchor="_Toc515875132" w:history="1">
            <w:r w:rsidR="00510961" w:rsidRPr="00CC3BA6">
              <w:rPr>
                <w:rStyle w:val="Hyperlink"/>
                <w:rFonts w:ascii="Times New Roman" w:eastAsia="Times New Roman" w:hAnsi="Times New Roman" w:cs="Times New Roman"/>
                <w:b/>
                <w:noProof/>
                <w:lang w:eastAsia="fr-FR"/>
              </w:rPr>
              <w:t>Proposition #9 : Faire de l’échelle de l’agglomération le niveau incontournable de la définition et de la mise en œuvre de la politique urbaine</w:t>
            </w:r>
            <w:r w:rsidR="00510961">
              <w:rPr>
                <w:noProof/>
                <w:webHidden/>
              </w:rPr>
              <w:tab/>
            </w:r>
            <w:r w:rsidR="00510961">
              <w:rPr>
                <w:noProof/>
                <w:webHidden/>
              </w:rPr>
              <w:fldChar w:fldCharType="begin"/>
            </w:r>
            <w:r w:rsidR="00510961">
              <w:rPr>
                <w:noProof/>
                <w:webHidden/>
              </w:rPr>
              <w:instrText xml:space="preserve"> PAGEREF _Toc515875132 \h </w:instrText>
            </w:r>
            <w:r w:rsidR="00510961">
              <w:rPr>
                <w:noProof/>
                <w:webHidden/>
              </w:rPr>
            </w:r>
            <w:r w:rsidR="00510961">
              <w:rPr>
                <w:noProof/>
                <w:webHidden/>
              </w:rPr>
              <w:fldChar w:fldCharType="separate"/>
            </w:r>
            <w:r w:rsidR="004347C1">
              <w:rPr>
                <w:noProof/>
                <w:webHidden/>
              </w:rPr>
              <w:t>29</w:t>
            </w:r>
            <w:r w:rsidR="00510961">
              <w:rPr>
                <w:noProof/>
                <w:webHidden/>
              </w:rPr>
              <w:fldChar w:fldCharType="end"/>
            </w:r>
          </w:hyperlink>
        </w:p>
        <w:p w14:paraId="076EDA6F" w14:textId="265E6CB5" w:rsidR="00510961" w:rsidRDefault="005D4AC5">
          <w:pPr>
            <w:pStyle w:val="TOC3"/>
            <w:tabs>
              <w:tab w:val="right" w:leader="dot" w:pos="8777"/>
            </w:tabs>
            <w:rPr>
              <w:rFonts w:eastAsiaTheme="minorEastAsia"/>
              <w:noProof/>
              <w:lang w:eastAsia="fr-FR"/>
            </w:rPr>
          </w:pPr>
          <w:hyperlink w:anchor="_Toc515875133" w:history="1">
            <w:r w:rsidR="00510961" w:rsidRPr="00CC3BA6">
              <w:rPr>
                <w:rStyle w:val="Hyperlink"/>
                <w:rFonts w:ascii="Times New Roman" w:eastAsia="Times New Roman" w:hAnsi="Times New Roman" w:cs="Times New Roman"/>
                <w:b/>
                <w:noProof/>
                <w:lang w:eastAsia="fr-FR"/>
              </w:rPr>
              <w:t>Proposition #10 : Transformer les Agences urbaines en outil technique et d’appui clef à la nouvelle organisation territoriale</w:t>
            </w:r>
            <w:r w:rsidR="00510961">
              <w:rPr>
                <w:noProof/>
                <w:webHidden/>
              </w:rPr>
              <w:tab/>
            </w:r>
            <w:r w:rsidR="00510961">
              <w:rPr>
                <w:noProof/>
                <w:webHidden/>
              </w:rPr>
              <w:fldChar w:fldCharType="begin"/>
            </w:r>
            <w:r w:rsidR="00510961">
              <w:rPr>
                <w:noProof/>
                <w:webHidden/>
              </w:rPr>
              <w:instrText xml:space="preserve"> PAGEREF _Toc515875133 \h </w:instrText>
            </w:r>
            <w:r w:rsidR="00510961">
              <w:rPr>
                <w:noProof/>
                <w:webHidden/>
              </w:rPr>
            </w:r>
            <w:r w:rsidR="00510961">
              <w:rPr>
                <w:noProof/>
                <w:webHidden/>
              </w:rPr>
              <w:fldChar w:fldCharType="separate"/>
            </w:r>
            <w:r w:rsidR="004347C1">
              <w:rPr>
                <w:noProof/>
                <w:webHidden/>
              </w:rPr>
              <w:t>31</w:t>
            </w:r>
            <w:r w:rsidR="00510961">
              <w:rPr>
                <w:noProof/>
                <w:webHidden/>
              </w:rPr>
              <w:fldChar w:fldCharType="end"/>
            </w:r>
          </w:hyperlink>
        </w:p>
        <w:p w14:paraId="42BE8241" w14:textId="4FD74CE7" w:rsidR="00510961" w:rsidRDefault="005D4AC5">
          <w:pPr>
            <w:pStyle w:val="TOC1"/>
            <w:tabs>
              <w:tab w:val="right" w:leader="dot" w:pos="8777"/>
            </w:tabs>
            <w:rPr>
              <w:rFonts w:eastAsiaTheme="minorEastAsia"/>
              <w:noProof/>
              <w:lang w:eastAsia="fr-FR"/>
            </w:rPr>
          </w:pPr>
          <w:hyperlink w:anchor="_Toc515875134" w:history="1">
            <w:r w:rsidR="00510961" w:rsidRPr="00CC3BA6">
              <w:rPr>
                <w:rStyle w:val="Hyperlink"/>
                <w:noProof/>
              </w:rPr>
              <w:t>Conclusion : De grandes références à revoir</w:t>
            </w:r>
            <w:r w:rsidR="00510961">
              <w:rPr>
                <w:noProof/>
                <w:webHidden/>
              </w:rPr>
              <w:tab/>
            </w:r>
            <w:r w:rsidR="00510961">
              <w:rPr>
                <w:noProof/>
                <w:webHidden/>
              </w:rPr>
              <w:fldChar w:fldCharType="begin"/>
            </w:r>
            <w:r w:rsidR="00510961">
              <w:rPr>
                <w:noProof/>
                <w:webHidden/>
              </w:rPr>
              <w:instrText xml:space="preserve"> PAGEREF _Toc515875134 \h </w:instrText>
            </w:r>
            <w:r w:rsidR="00510961">
              <w:rPr>
                <w:noProof/>
                <w:webHidden/>
              </w:rPr>
            </w:r>
            <w:r w:rsidR="00510961">
              <w:rPr>
                <w:noProof/>
                <w:webHidden/>
              </w:rPr>
              <w:fldChar w:fldCharType="separate"/>
            </w:r>
            <w:r w:rsidR="004347C1">
              <w:rPr>
                <w:noProof/>
                <w:webHidden/>
              </w:rPr>
              <w:t>32</w:t>
            </w:r>
            <w:r w:rsidR="00510961">
              <w:rPr>
                <w:noProof/>
                <w:webHidden/>
              </w:rPr>
              <w:fldChar w:fldCharType="end"/>
            </w:r>
          </w:hyperlink>
        </w:p>
        <w:p w14:paraId="6197C619" w14:textId="01DC988D" w:rsidR="000050E0" w:rsidRPr="00D14C96" w:rsidRDefault="006E68F4" w:rsidP="00552510">
          <w:pPr>
            <w:tabs>
              <w:tab w:val="right" w:pos="8494"/>
            </w:tabs>
            <w:rPr>
              <w:rFonts w:ascii="Times New Roman" w:hAnsi="Times New Roman" w:cs="Times New Roman"/>
            </w:rPr>
          </w:pPr>
          <w:r w:rsidRPr="00D14C96">
            <w:rPr>
              <w:rFonts w:ascii="Times New Roman" w:hAnsi="Times New Roman" w:cs="Times New Roman"/>
            </w:rPr>
            <w:fldChar w:fldCharType="end"/>
          </w:r>
        </w:p>
      </w:sdtContent>
    </w:sdt>
    <w:p w14:paraId="504E2461" w14:textId="58FD0F8A" w:rsidR="00095A49" w:rsidRDefault="00095A49" w:rsidP="00095A49">
      <w:pPr>
        <w:pStyle w:val="Heading1"/>
        <w:rPr>
          <w:color w:val="2E74B5" w:themeColor="accent1" w:themeShade="BF"/>
          <w:sz w:val="24"/>
          <w:szCs w:val="24"/>
          <w:u w:val="single"/>
        </w:rPr>
      </w:pPr>
      <w:bookmarkStart w:id="4" w:name="_Toc506431286"/>
      <w:bookmarkStart w:id="5" w:name="_Toc510304982"/>
      <w:r>
        <w:rPr>
          <w:color w:val="2E74B5" w:themeColor="accent1" w:themeShade="BF"/>
          <w:sz w:val="24"/>
          <w:szCs w:val="24"/>
          <w:u w:val="single"/>
        </w:rPr>
        <w:lastRenderedPageBreak/>
        <w:br w:type="page"/>
      </w:r>
    </w:p>
    <w:p w14:paraId="7F49F3B3" w14:textId="77777777" w:rsidR="00095A49" w:rsidRDefault="00095A49" w:rsidP="00095A49">
      <w:pPr>
        <w:pStyle w:val="Heading1"/>
        <w:rPr>
          <w:color w:val="2E74B5" w:themeColor="accent1" w:themeShade="BF"/>
          <w:sz w:val="24"/>
          <w:szCs w:val="24"/>
          <w:u w:val="single"/>
        </w:rPr>
        <w:sectPr w:rsidR="00095A49" w:rsidSect="000050E0">
          <w:footerReference w:type="default" r:id="rId9"/>
          <w:pgSz w:w="11906" w:h="16838"/>
          <w:pgMar w:top="1418" w:right="1418" w:bottom="1418" w:left="1701" w:header="709" w:footer="709" w:gutter="0"/>
          <w:cols w:space="708"/>
          <w:docGrid w:linePitch="360"/>
        </w:sectPr>
      </w:pPr>
    </w:p>
    <w:p w14:paraId="5C137C4C" w14:textId="77777777" w:rsidR="00095A49" w:rsidRPr="00D14C96" w:rsidRDefault="00095A49" w:rsidP="00095A49">
      <w:pPr>
        <w:pStyle w:val="Heading1"/>
        <w:widowControl w:val="0"/>
        <w:rPr>
          <w:sz w:val="22"/>
          <w:szCs w:val="22"/>
        </w:rPr>
      </w:pPr>
      <w:bookmarkStart w:id="6" w:name="_Toc515875107"/>
      <w:r w:rsidRPr="00D14C96">
        <w:rPr>
          <w:sz w:val="22"/>
          <w:szCs w:val="22"/>
        </w:rPr>
        <w:lastRenderedPageBreak/>
        <w:t>ACRONYMES</w:t>
      </w:r>
      <w:bookmarkEnd w:id="6"/>
    </w:p>
    <w:p w14:paraId="72945057"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AU : </w:t>
      </w:r>
      <w:r w:rsidRPr="00D14C96">
        <w:rPr>
          <w:rFonts w:ascii="Times New Roman" w:eastAsia="SimSun" w:hAnsi="Times New Roman" w:cs="Times New Roman"/>
        </w:rPr>
        <w:tab/>
        <w:t xml:space="preserve">Agences urbaines </w:t>
      </w:r>
      <w:r w:rsidRPr="00D14C96">
        <w:rPr>
          <w:rFonts w:ascii="Times New Roman" w:eastAsia="SimSun" w:hAnsi="Times New Roman" w:cs="Times New Roman"/>
        </w:rPr>
        <w:tab/>
        <w:t xml:space="preserve"> </w:t>
      </w:r>
    </w:p>
    <w:p w14:paraId="3EDB068D"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AUC : </w:t>
      </w:r>
      <w:r w:rsidRPr="00D14C96">
        <w:rPr>
          <w:rFonts w:ascii="Times New Roman" w:eastAsia="SimSun" w:hAnsi="Times New Roman" w:cs="Times New Roman"/>
        </w:rPr>
        <w:tab/>
        <w:t>Agence urbaine de Casablanca</w:t>
      </w:r>
    </w:p>
    <w:p w14:paraId="73972D41"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CDG :</w:t>
      </w:r>
      <w:r w:rsidRPr="00D14C96">
        <w:rPr>
          <w:rFonts w:ascii="Times New Roman" w:eastAsia="SimSun" w:hAnsi="Times New Roman" w:cs="Times New Roman"/>
        </w:rPr>
        <w:tab/>
        <w:t>Caisse de dépôt et de gestion</w:t>
      </w:r>
    </w:p>
    <w:p w14:paraId="09B0153F"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CERED :  </w:t>
      </w:r>
      <w:r w:rsidRPr="00D14C96">
        <w:rPr>
          <w:rFonts w:ascii="Times New Roman" w:eastAsia="SimSun" w:hAnsi="Times New Roman" w:cs="Times New Roman"/>
        </w:rPr>
        <w:tab/>
        <w:t xml:space="preserve">Centre </w:t>
      </w:r>
      <w:hyperlink r:id="rId10" w:history="1">
        <w:r w:rsidRPr="00D14C96">
          <w:rPr>
            <w:rFonts w:ascii="Times New Roman" w:eastAsia="SimSun" w:hAnsi="Times New Roman" w:cs="Times New Roman"/>
          </w:rPr>
          <w:t>d'Etudes et de Recherches Démographiques</w:t>
        </w:r>
      </w:hyperlink>
    </w:p>
    <w:p w14:paraId="432BC477"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CRI :  </w:t>
      </w:r>
      <w:r w:rsidRPr="00D14C96">
        <w:rPr>
          <w:rFonts w:ascii="Times New Roman" w:eastAsia="SimSun" w:hAnsi="Times New Roman" w:cs="Times New Roman"/>
        </w:rPr>
        <w:tab/>
        <w:t xml:space="preserve">Centre régional d’investissement </w:t>
      </w:r>
    </w:p>
    <w:p w14:paraId="011CD403" w14:textId="77777777" w:rsidR="00095A49" w:rsidRPr="00D14C96" w:rsidRDefault="00095A49" w:rsidP="00095A49">
      <w:pPr>
        <w:widowControl w:val="0"/>
        <w:tabs>
          <w:tab w:val="left" w:pos="2340"/>
        </w:tabs>
        <w:spacing w:after="60"/>
        <w:ind w:left="902"/>
        <w:rPr>
          <w:rFonts w:ascii="Times New Roman" w:eastAsia="SimSun" w:hAnsi="Times New Roman" w:cs="Times New Roman"/>
        </w:rPr>
      </w:pPr>
      <w:r w:rsidRPr="00D14C96">
        <w:rPr>
          <w:rFonts w:ascii="Times New Roman" w:eastAsia="SimSun" w:hAnsi="Times New Roman" w:cs="Times New Roman"/>
        </w:rPr>
        <w:t>DGCL :</w:t>
      </w:r>
      <w:r w:rsidRPr="00D14C96">
        <w:rPr>
          <w:rFonts w:ascii="Times New Roman" w:eastAsia="SimSun" w:hAnsi="Times New Roman" w:cs="Times New Roman"/>
        </w:rPr>
        <w:tab/>
        <w:t>Direction Générale des Collectivités Locales</w:t>
      </w:r>
    </w:p>
    <w:p w14:paraId="49FE3535" w14:textId="77777777" w:rsidR="00095A49" w:rsidRPr="00D14C96" w:rsidRDefault="00095A49" w:rsidP="00095A49">
      <w:pPr>
        <w:widowControl w:val="0"/>
        <w:tabs>
          <w:tab w:val="left" w:pos="2340"/>
        </w:tabs>
        <w:spacing w:after="60"/>
        <w:ind w:left="902"/>
        <w:rPr>
          <w:rFonts w:ascii="Times New Roman" w:eastAsia="SimSun" w:hAnsi="Times New Roman" w:cs="Times New Roman"/>
        </w:rPr>
      </w:pPr>
      <w:r w:rsidRPr="00D14C96">
        <w:rPr>
          <w:rFonts w:ascii="Times New Roman" w:eastAsia="SimSun" w:hAnsi="Times New Roman" w:cs="Times New Roman"/>
        </w:rPr>
        <w:t>DPU :</w:t>
      </w:r>
      <w:r w:rsidRPr="00D14C96">
        <w:rPr>
          <w:rFonts w:ascii="Times New Roman" w:eastAsia="SimSun" w:hAnsi="Times New Roman" w:cs="Times New Roman"/>
        </w:rPr>
        <w:tab/>
        <w:t>Droit de préemption urbain</w:t>
      </w:r>
      <w:r w:rsidRPr="00D14C96">
        <w:rPr>
          <w:rFonts w:ascii="Times New Roman" w:eastAsia="SimSun" w:hAnsi="Times New Roman" w:cs="Times New Roman"/>
        </w:rPr>
        <w:br/>
        <w:t xml:space="preserve">DU : </w:t>
      </w:r>
      <w:r w:rsidRPr="00D14C96">
        <w:rPr>
          <w:rFonts w:ascii="Times New Roman" w:eastAsia="SimSun" w:hAnsi="Times New Roman" w:cs="Times New Roman"/>
        </w:rPr>
        <w:tab/>
        <w:t>Direction de l’Urbanisme</w:t>
      </w:r>
    </w:p>
    <w:p w14:paraId="384BFBFC"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DUP :</w:t>
      </w:r>
      <w:r w:rsidRPr="00D14C96">
        <w:rPr>
          <w:rFonts w:ascii="Times New Roman" w:eastAsia="SimSun" w:hAnsi="Times New Roman" w:cs="Times New Roman"/>
        </w:rPr>
        <w:tab/>
        <w:t>Déclaration d’utilité -publique</w:t>
      </w:r>
    </w:p>
    <w:p w14:paraId="560ECDA9"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DAT :</w:t>
      </w:r>
      <w:r w:rsidRPr="00D14C96">
        <w:rPr>
          <w:rFonts w:ascii="Times New Roman" w:eastAsia="SimSun" w:hAnsi="Times New Roman" w:cs="Times New Roman"/>
        </w:rPr>
        <w:tab/>
        <w:t xml:space="preserve">Direction de l’aménagement du territoire </w:t>
      </w:r>
    </w:p>
    <w:p w14:paraId="10F4A171"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ECI :</w:t>
      </w:r>
      <w:r w:rsidRPr="00D14C96">
        <w:rPr>
          <w:rFonts w:ascii="Times New Roman" w:eastAsia="SimSun" w:hAnsi="Times New Roman" w:cs="Times New Roman"/>
        </w:rPr>
        <w:tab/>
        <w:t>Etablissement de coopération intercommunale</w:t>
      </w:r>
    </w:p>
    <w:p w14:paraId="13E225C0"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HCP</w:t>
      </w:r>
      <w:r w:rsidRPr="00D14C96">
        <w:rPr>
          <w:rFonts w:ascii="Times New Roman" w:eastAsia="SimSun" w:hAnsi="Times New Roman" w:cs="Times New Roman"/>
        </w:rPr>
        <w:tab/>
        <w:t>Haut-Commissariat au Plan</w:t>
      </w:r>
    </w:p>
    <w:p w14:paraId="65CEE4FB"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LYDEC : </w:t>
      </w:r>
      <w:r w:rsidRPr="00D14C96">
        <w:rPr>
          <w:rFonts w:ascii="Times New Roman" w:eastAsia="SimSun" w:hAnsi="Times New Roman" w:cs="Times New Roman"/>
        </w:rPr>
        <w:tab/>
        <w:t>Lyonnaise des Eaux de Casablanca.</w:t>
      </w:r>
    </w:p>
    <w:p w14:paraId="4D334DCB"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MATUHPV :</w:t>
      </w:r>
      <w:r w:rsidRPr="00D14C96">
        <w:rPr>
          <w:rFonts w:ascii="Times New Roman" w:eastAsia="SimSun" w:hAnsi="Times New Roman" w:cs="Times New Roman"/>
        </w:rPr>
        <w:tab/>
        <w:t xml:space="preserve">Ministère de l’aménagement du territoire national, de l’urbanisme, de l’habitat </w:t>
      </w:r>
      <w:r w:rsidRPr="00D14C96">
        <w:rPr>
          <w:rFonts w:ascii="Times New Roman" w:eastAsia="SimSun" w:hAnsi="Times New Roman" w:cs="Times New Roman"/>
        </w:rPr>
        <w:tab/>
        <w:t>de la politique de la ville</w:t>
      </w:r>
    </w:p>
    <w:p w14:paraId="443C5211"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MCA : </w:t>
      </w:r>
      <w:r w:rsidRPr="00D14C96">
        <w:rPr>
          <w:rFonts w:ascii="Times New Roman" w:eastAsia="SimSun" w:hAnsi="Times New Roman" w:cs="Times New Roman"/>
        </w:rPr>
        <w:tab/>
        <w:t>Millennium challenge account</w:t>
      </w:r>
    </w:p>
    <w:p w14:paraId="5925308A"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MHU :</w:t>
      </w:r>
      <w:r w:rsidRPr="00D14C96">
        <w:rPr>
          <w:rFonts w:ascii="Times New Roman" w:eastAsia="SimSun" w:hAnsi="Times New Roman" w:cs="Times New Roman"/>
        </w:rPr>
        <w:tab/>
        <w:t>Ministère de l’habitat et de l’urbanisme</w:t>
      </w:r>
    </w:p>
    <w:p w14:paraId="02C3FA39"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MMDHS :</w:t>
      </w:r>
      <w:r w:rsidRPr="00D14C96">
        <w:rPr>
          <w:rFonts w:ascii="Times New Roman" w:eastAsia="SimSun" w:hAnsi="Times New Roman" w:cs="Times New Roman"/>
        </w:rPr>
        <w:tab/>
        <w:t>Milliard de Dirhams</w:t>
      </w:r>
    </w:p>
    <w:p w14:paraId="33631940"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MOD :</w:t>
      </w:r>
      <w:r w:rsidRPr="00D14C96">
        <w:rPr>
          <w:rFonts w:ascii="Times New Roman" w:eastAsia="SimSun" w:hAnsi="Times New Roman" w:cs="Times New Roman"/>
        </w:rPr>
        <w:tab/>
        <w:t xml:space="preserve">Maitrise d’Ouvrage Déléguée </w:t>
      </w:r>
    </w:p>
    <w:p w14:paraId="7BCC7D19"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OCDE : </w:t>
      </w:r>
      <w:r w:rsidRPr="00D14C96">
        <w:rPr>
          <w:rFonts w:ascii="Times New Roman" w:eastAsia="SimSun" w:hAnsi="Times New Roman" w:cs="Times New Roman"/>
        </w:rPr>
        <w:tab/>
        <w:t>Organisation de coopération et de développement économiques</w:t>
      </w:r>
    </w:p>
    <w:p w14:paraId="6EE8188C"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ONU :</w:t>
      </w:r>
      <w:r w:rsidRPr="00D14C96">
        <w:rPr>
          <w:rFonts w:ascii="Times New Roman" w:eastAsia="SimSun" w:hAnsi="Times New Roman" w:cs="Times New Roman"/>
        </w:rPr>
        <w:tab/>
        <w:t>Organisation des Nations Unies</w:t>
      </w:r>
    </w:p>
    <w:p w14:paraId="5902A56C"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PA : </w:t>
      </w:r>
      <w:r w:rsidRPr="00D14C96">
        <w:rPr>
          <w:rFonts w:ascii="Times New Roman" w:eastAsia="SimSun" w:hAnsi="Times New Roman" w:cs="Times New Roman"/>
        </w:rPr>
        <w:tab/>
        <w:t xml:space="preserve">Plan d’aménagement </w:t>
      </w:r>
    </w:p>
    <w:p w14:paraId="55911618"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PAC : </w:t>
      </w:r>
      <w:r w:rsidRPr="00D14C96">
        <w:rPr>
          <w:rFonts w:ascii="Times New Roman" w:eastAsia="SimSun" w:hAnsi="Times New Roman" w:cs="Times New Roman"/>
        </w:rPr>
        <w:tab/>
        <w:t xml:space="preserve">Plan d’action communal </w:t>
      </w:r>
    </w:p>
    <w:p w14:paraId="3A098C35"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PCD :</w:t>
      </w:r>
      <w:r w:rsidRPr="00D14C96">
        <w:rPr>
          <w:rFonts w:ascii="Times New Roman" w:eastAsia="SimSun" w:hAnsi="Times New Roman" w:cs="Times New Roman"/>
        </w:rPr>
        <w:tab/>
        <w:t>Plan communal de développement</w:t>
      </w:r>
    </w:p>
    <w:p w14:paraId="1B549FE7"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PDAR : </w:t>
      </w:r>
      <w:r w:rsidRPr="00D14C96">
        <w:rPr>
          <w:rFonts w:ascii="Times New Roman" w:eastAsia="SimSun" w:hAnsi="Times New Roman" w:cs="Times New Roman"/>
        </w:rPr>
        <w:tab/>
        <w:t xml:space="preserve">Plan de développement des agglomérations rurales </w:t>
      </w:r>
    </w:p>
    <w:p w14:paraId="188721CF"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PDGC :</w:t>
      </w:r>
      <w:r w:rsidRPr="00D14C96">
        <w:rPr>
          <w:rFonts w:ascii="Times New Roman" w:eastAsia="SimSun" w:hAnsi="Times New Roman" w:cs="Times New Roman"/>
        </w:rPr>
        <w:tab/>
        <w:t>Plan de développement du Grand Casablanca</w:t>
      </w:r>
    </w:p>
    <w:p w14:paraId="1328C138"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PDR :</w:t>
      </w:r>
      <w:r w:rsidRPr="00D14C96">
        <w:rPr>
          <w:rFonts w:ascii="Times New Roman" w:eastAsia="SimSun" w:hAnsi="Times New Roman" w:cs="Times New Roman"/>
        </w:rPr>
        <w:tab/>
        <w:t>Programme de développement régional</w:t>
      </w:r>
    </w:p>
    <w:p w14:paraId="1D892B9B"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PDU :</w:t>
      </w:r>
      <w:r w:rsidRPr="00D14C96">
        <w:rPr>
          <w:rFonts w:ascii="Times New Roman" w:eastAsia="SimSun" w:hAnsi="Times New Roman" w:cs="Times New Roman"/>
        </w:rPr>
        <w:tab/>
        <w:t>Plan directeur d’urbanisme</w:t>
      </w:r>
    </w:p>
    <w:p w14:paraId="325A9DDF"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PLH :</w:t>
      </w:r>
      <w:r w:rsidRPr="00D14C96">
        <w:rPr>
          <w:rFonts w:ascii="Times New Roman" w:eastAsia="SimSun" w:hAnsi="Times New Roman" w:cs="Times New Roman"/>
        </w:rPr>
        <w:tab/>
        <w:t>Programme local de l'habitat</w:t>
      </w:r>
    </w:p>
    <w:p w14:paraId="59672F34"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PLHDU :</w:t>
      </w:r>
      <w:r w:rsidRPr="00D14C96">
        <w:rPr>
          <w:rFonts w:ascii="Times New Roman" w:eastAsia="SimSun" w:hAnsi="Times New Roman" w:cs="Times New Roman"/>
        </w:rPr>
        <w:tab/>
        <w:t xml:space="preserve">Plan local de l’habitat et du développement urbain </w:t>
      </w:r>
    </w:p>
    <w:p w14:paraId="668ACAC2"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PU : </w:t>
      </w:r>
      <w:r w:rsidRPr="00D14C96">
        <w:rPr>
          <w:rFonts w:ascii="Times New Roman" w:eastAsia="SimSun" w:hAnsi="Times New Roman" w:cs="Times New Roman"/>
        </w:rPr>
        <w:tab/>
        <w:t>Planification urbaine</w:t>
      </w:r>
    </w:p>
    <w:p w14:paraId="759171C1"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PUP :</w:t>
      </w:r>
      <w:r w:rsidRPr="00D14C96">
        <w:rPr>
          <w:rFonts w:ascii="Times New Roman" w:eastAsia="SimSun" w:hAnsi="Times New Roman" w:cs="Times New Roman"/>
        </w:rPr>
        <w:tab/>
        <w:t>Projet urbain partenarial</w:t>
      </w:r>
    </w:p>
    <w:p w14:paraId="67C5EDED"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PVSB : </w:t>
      </w:r>
      <w:r w:rsidRPr="00D14C96">
        <w:rPr>
          <w:rFonts w:ascii="Times New Roman" w:eastAsia="SimSun" w:hAnsi="Times New Roman" w:cs="Times New Roman"/>
        </w:rPr>
        <w:tab/>
        <w:t xml:space="preserve">Programme Villes Sans Bidonvilles </w:t>
      </w:r>
    </w:p>
    <w:p w14:paraId="2F457DD5"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RGPH</w:t>
      </w:r>
      <w:r w:rsidRPr="00D14C96">
        <w:rPr>
          <w:rFonts w:ascii="Times New Roman" w:eastAsia="SimSun" w:hAnsi="Times New Roman" w:cs="Times New Roman"/>
        </w:rPr>
        <w:tab/>
        <w:t>Recensement général de la Population et de l’Habitat</w:t>
      </w:r>
    </w:p>
    <w:p w14:paraId="17F91AF7"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RS : </w:t>
      </w:r>
      <w:r w:rsidRPr="00D14C96">
        <w:rPr>
          <w:rFonts w:ascii="Times New Roman" w:eastAsia="SimSun" w:hAnsi="Times New Roman" w:cs="Times New Roman"/>
        </w:rPr>
        <w:tab/>
        <w:t xml:space="preserve">Zone de réserve stratégique </w:t>
      </w:r>
    </w:p>
    <w:p w14:paraId="4A8C2D41"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SDAU : </w:t>
      </w:r>
      <w:r w:rsidRPr="00D14C96">
        <w:rPr>
          <w:rFonts w:ascii="Times New Roman" w:eastAsia="SimSun" w:hAnsi="Times New Roman" w:cs="Times New Roman"/>
        </w:rPr>
        <w:tab/>
        <w:t xml:space="preserve">Schéma directeur d’aménagement et d’urbanisme </w:t>
      </w:r>
    </w:p>
    <w:p w14:paraId="7EB0E0F0"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SDL : </w:t>
      </w:r>
      <w:r w:rsidRPr="00D14C96">
        <w:rPr>
          <w:rFonts w:ascii="Times New Roman" w:eastAsia="SimSun" w:hAnsi="Times New Roman" w:cs="Times New Roman"/>
        </w:rPr>
        <w:tab/>
        <w:t>Société de développement local</w:t>
      </w:r>
    </w:p>
    <w:p w14:paraId="62B25E95"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SEM : </w:t>
      </w:r>
      <w:r w:rsidRPr="00D14C96">
        <w:rPr>
          <w:rFonts w:ascii="Times New Roman" w:eastAsia="SimSun" w:hAnsi="Times New Roman" w:cs="Times New Roman"/>
        </w:rPr>
        <w:tab/>
        <w:t xml:space="preserve">Société d’Economie Mixte </w:t>
      </w:r>
    </w:p>
    <w:p w14:paraId="6FE35CA8"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SNAT :</w:t>
      </w:r>
      <w:r w:rsidRPr="00D14C96">
        <w:rPr>
          <w:rFonts w:ascii="Times New Roman" w:eastAsia="SimSun" w:hAnsi="Times New Roman" w:cs="Times New Roman"/>
        </w:rPr>
        <w:tab/>
        <w:t xml:space="preserve">Schéma national d’aménagement du territoire </w:t>
      </w:r>
    </w:p>
    <w:p w14:paraId="006693C5"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SNDD :</w:t>
      </w:r>
      <w:r w:rsidRPr="00D14C96">
        <w:rPr>
          <w:rFonts w:ascii="Times New Roman" w:eastAsia="SimSun" w:hAnsi="Times New Roman" w:cs="Times New Roman"/>
        </w:rPr>
        <w:tab/>
        <w:t>Stratégie nationale de développement durable</w:t>
      </w:r>
    </w:p>
    <w:p w14:paraId="7A3F8E0E"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SNDU : </w:t>
      </w:r>
      <w:r w:rsidRPr="00D14C96">
        <w:rPr>
          <w:rFonts w:ascii="Times New Roman" w:eastAsia="SimSun" w:hAnsi="Times New Roman" w:cs="Times New Roman"/>
        </w:rPr>
        <w:tab/>
        <w:t>Stratégie nationale de développement urbain</w:t>
      </w:r>
    </w:p>
    <w:p w14:paraId="7339B6B4"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lastRenderedPageBreak/>
        <w:t xml:space="preserve">SPU : </w:t>
      </w:r>
      <w:r w:rsidRPr="00D14C96">
        <w:rPr>
          <w:rFonts w:ascii="Times New Roman" w:eastAsia="SimSun" w:hAnsi="Times New Roman" w:cs="Times New Roman"/>
        </w:rPr>
        <w:tab/>
        <w:t>Système de Planification urbaine</w:t>
      </w:r>
    </w:p>
    <w:p w14:paraId="08231D24"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SRAT :</w:t>
      </w:r>
      <w:r w:rsidRPr="00D14C96">
        <w:rPr>
          <w:rFonts w:ascii="Times New Roman" w:eastAsia="SimSun" w:hAnsi="Times New Roman" w:cs="Times New Roman"/>
        </w:rPr>
        <w:tab/>
        <w:t>Schéma régional d’aménagement du territoire</w:t>
      </w:r>
    </w:p>
    <w:p w14:paraId="4621AA65"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TNB : </w:t>
      </w:r>
      <w:r w:rsidRPr="00D14C96">
        <w:rPr>
          <w:rFonts w:ascii="Times New Roman" w:eastAsia="SimSun" w:hAnsi="Times New Roman" w:cs="Times New Roman"/>
        </w:rPr>
        <w:tab/>
        <w:t xml:space="preserve">Taxe sur les terrains non bâtis </w:t>
      </w:r>
    </w:p>
    <w:p w14:paraId="1492C700"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ZAC :</w:t>
      </w:r>
      <w:r w:rsidRPr="00D14C96">
        <w:rPr>
          <w:rFonts w:ascii="Times New Roman" w:eastAsia="SimSun" w:hAnsi="Times New Roman" w:cs="Times New Roman"/>
        </w:rPr>
        <w:tab/>
        <w:t>Zone d’aménagement concerté</w:t>
      </w:r>
    </w:p>
    <w:p w14:paraId="5DE90A76"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ZAD : </w:t>
      </w:r>
      <w:r w:rsidRPr="00D14C96">
        <w:rPr>
          <w:rFonts w:ascii="Times New Roman" w:eastAsia="SimSun" w:hAnsi="Times New Roman" w:cs="Times New Roman"/>
        </w:rPr>
        <w:tab/>
        <w:t xml:space="preserve">Zone d’aménagement différé </w:t>
      </w:r>
    </w:p>
    <w:p w14:paraId="50434B4D"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 xml:space="preserve">ZUN : </w:t>
      </w:r>
      <w:r w:rsidRPr="00D14C96">
        <w:rPr>
          <w:rFonts w:ascii="Times New Roman" w:eastAsia="SimSun" w:hAnsi="Times New Roman" w:cs="Times New Roman"/>
        </w:rPr>
        <w:tab/>
        <w:t>Zone d’urbanisation différée</w:t>
      </w:r>
    </w:p>
    <w:p w14:paraId="40AC9B2B" w14:textId="77777777" w:rsidR="00095A49" w:rsidRPr="00D14C96" w:rsidRDefault="00095A49" w:rsidP="00095A49">
      <w:pPr>
        <w:widowControl w:val="0"/>
        <w:tabs>
          <w:tab w:val="left" w:pos="2340"/>
        </w:tabs>
        <w:spacing w:after="60"/>
        <w:ind w:left="900"/>
        <w:rPr>
          <w:rFonts w:ascii="Times New Roman" w:eastAsia="SimSun" w:hAnsi="Times New Roman" w:cs="Times New Roman"/>
        </w:rPr>
      </w:pPr>
      <w:r w:rsidRPr="00D14C96">
        <w:rPr>
          <w:rFonts w:ascii="Times New Roman" w:eastAsia="SimSun" w:hAnsi="Times New Roman" w:cs="Times New Roman"/>
        </w:rPr>
        <w:t>ZUP :</w:t>
      </w:r>
      <w:r w:rsidRPr="00D14C96">
        <w:rPr>
          <w:rFonts w:ascii="Times New Roman" w:eastAsia="SimSun" w:hAnsi="Times New Roman" w:cs="Times New Roman"/>
        </w:rPr>
        <w:tab/>
        <w:t>Zone à urbaniser en priorité</w:t>
      </w:r>
    </w:p>
    <w:p w14:paraId="38C9A46D" w14:textId="77777777" w:rsidR="00095A49" w:rsidRPr="009D58C7" w:rsidRDefault="00095A49" w:rsidP="00095A49">
      <w:pPr>
        <w:widowControl w:val="0"/>
        <w:tabs>
          <w:tab w:val="left" w:pos="2340"/>
        </w:tabs>
        <w:spacing w:after="60"/>
        <w:ind w:left="900"/>
        <w:rPr>
          <w:rFonts w:ascii="Times New Roman" w:eastAsia="SimSun" w:hAnsi="Times New Roman" w:cs="Times New Roman"/>
          <w:lang w:val="en-US"/>
        </w:rPr>
      </w:pPr>
      <w:r w:rsidRPr="009D58C7">
        <w:rPr>
          <w:rFonts w:ascii="Times New Roman" w:eastAsia="SimSun" w:hAnsi="Times New Roman" w:cs="Times New Roman"/>
          <w:lang w:val="en-US"/>
        </w:rPr>
        <w:t>TPS :</w:t>
      </w:r>
      <w:r w:rsidRPr="009D58C7">
        <w:rPr>
          <w:rFonts w:ascii="Times New Roman" w:eastAsia="SimSun" w:hAnsi="Times New Roman" w:cs="Times New Roman"/>
          <w:lang w:val="en-US"/>
        </w:rPr>
        <w:tab/>
        <w:t>Town Planning Scheme indien</w:t>
      </w:r>
    </w:p>
    <w:p w14:paraId="2AB5C157" w14:textId="77777777" w:rsidR="00095A49" w:rsidRPr="009D58C7" w:rsidRDefault="00095A49" w:rsidP="00095A49">
      <w:pPr>
        <w:widowControl w:val="0"/>
        <w:tabs>
          <w:tab w:val="left" w:pos="2340"/>
        </w:tabs>
        <w:spacing w:after="60"/>
        <w:ind w:left="900"/>
        <w:rPr>
          <w:rFonts w:ascii="Times New Roman" w:eastAsia="SimSun" w:hAnsi="Times New Roman" w:cs="Times New Roman"/>
          <w:lang w:val="en-US"/>
        </w:rPr>
      </w:pPr>
    </w:p>
    <w:p w14:paraId="6917E319" w14:textId="77777777" w:rsidR="00095A49" w:rsidRPr="009D58C7" w:rsidRDefault="00095A49" w:rsidP="00095A49">
      <w:pPr>
        <w:pStyle w:val="Heading1"/>
        <w:rPr>
          <w:color w:val="2E74B5" w:themeColor="accent1" w:themeShade="BF"/>
          <w:sz w:val="24"/>
          <w:szCs w:val="24"/>
          <w:u w:val="single"/>
          <w:lang w:val="en-US"/>
        </w:rPr>
        <w:sectPr w:rsidR="00095A49" w:rsidRPr="009D58C7" w:rsidSect="000050E0">
          <w:pgSz w:w="11906" w:h="16838"/>
          <w:pgMar w:top="1418" w:right="1418" w:bottom="1418" w:left="1701" w:header="709" w:footer="709" w:gutter="0"/>
          <w:cols w:space="708"/>
          <w:docGrid w:linePitch="360"/>
        </w:sectPr>
      </w:pPr>
    </w:p>
    <w:p w14:paraId="375F52C5" w14:textId="6BF31FCD" w:rsidR="000050E0" w:rsidRPr="009D58C7" w:rsidRDefault="000050E0" w:rsidP="00095A49">
      <w:pPr>
        <w:pStyle w:val="Heading1"/>
        <w:rPr>
          <w:color w:val="2E74B5" w:themeColor="accent1" w:themeShade="BF"/>
          <w:sz w:val="24"/>
          <w:szCs w:val="24"/>
          <w:u w:val="single"/>
          <w:lang w:val="en-US"/>
        </w:rPr>
      </w:pPr>
      <w:bookmarkStart w:id="7" w:name="_Toc515875108"/>
      <w:r w:rsidRPr="009D58C7">
        <w:rPr>
          <w:color w:val="2E74B5" w:themeColor="accent1" w:themeShade="BF"/>
          <w:sz w:val="24"/>
          <w:szCs w:val="24"/>
          <w:u w:val="single"/>
          <w:lang w:val="en-US"/>
        </w:rPr>
        <w:lastRenderedPageBreak/>
        <w:t>Résumé exécutif</w:t>
      </w:r>
      <w:bookmarkEnd w:id="4"/>
      <w:bookmarkEnd w:id="5"/>
      <w:bookmarkEnd w:id="7"/>
    </w:p>
    <w:p w14:paraId="32D7CE46" w14:textId="729A2C29" w:rsidR="000050E0" w:rsidRPr="00D14C96" w:rsidRDefault="000050E0" w:rsidP="00B4544E">
      <w:pPr>
        <w:pStyle w:val="Numberedparagraph"/>
        <w:ind w:left="0" w:firstLine="0"/>
        <w:rPr>
          <w:rFonts w:ascii="Times New Roman" w:hAnsi="Times New Roman" w:cs="Times New Roman"/>
        </w:rPr>
      </w:pPr>
      <w:r w:rsidRPr="00D14C96">
        <w:rPr>
          <w:rFonts w:ascii="Times New Roman" w:hAnsi="Times New Roman" w:cs="Times New Roman"/>
          <w:b/>
        </w:rPr>
        <w:t xml:space="preserve">Malgré des avancées et des succès indéniables, le Maroc pourrait </w:t>
      </w:r>
      <w:r w:rsidR="002518DE" w:rsidRPr="00D14C96">
        <w:rPr>
          <w:rFonts w:ascii="Times New Roman" w:hAnsi="Times New Roman" w:cs="Times New Roman"/>
          <w:b/>
        </w:rPr>
        <w:t xml:space="preserve">davantage </w:t>
      </w:r>
      <w:r w:rsidRPr="00D14C96">
        <w:rPr>
          <w:rFonts w:ascii="Times New Roman" w:hAnsi="Times New Roman" w:cs="Times New Roman"/>
          <w:b/>
        </w:rPr>
        <w:t xml:space="preserve">tirer </w:t>
      </w:r>
      <w:r w:rsidR="002518DE" w:rsidRPr="00D14C96">
        <w:rPr>
          <w:rFonts w:ascii="Times New Roman" w:hAnsi="Times New Roman" w:cs="Times New Roman"/>
          <w:b/>
        </w:rPr>
        <w:t xml:space="preserve">parti </w:t>
      </w:r>
      <w:r w:rsidRPr="00D14C96">
        <w:rPr>
          <w:rFonts w:ascii="Times New Roman" w:hAnsi="Times New Roman" w:cs="Times New Roman"/>
          <w:b/>
        </w:rPr>
        <w:t>des opportunités économiques et du potentiel des villes pour en faire des leviers de progrès économique et social.</w:t>
      </w:r>
      <w:r w:rsidRPr="00D14C96">
        <w:rPr>
          <w:rFonts w:ascii="Times New Roman" w:hAnsi="Times New Roman" w:cs="Times New Roman"/>
        </w:rPr>
        <w:t xml:space="preserve">  </w:t>
      </w:r>
      <w:r w:rsidRPr="00D14C96">
        <w:rPr>
          <w:rFonts w:ascii="Times New Roman" w:eastAsia="Times New Roman" w:hAnsi="Times New Roman" w:cs="Times New Roman"/>
          <w:snapToGrid w:val="0"/>
          <w:color w:val="000000"/>
          <w:lang w:eastAsia="fr-FR"/>
        </w:rPr>
        <w:t xml:space="preserve">La dynamique démographique, bien que moins soutenue que par le passé, continue à </w:t>
      </w:r>
      <w:r w:rsidRPr="00D14C96">
        <w:rPr>
          <w:rFonts w:ascii="Times New Roman" w:hAnsi="Times New Roman" w:cs="Times New Roman"/>
        </w:rPr>
        <w:t>être</w:t>
      </w:r>
      <w:r w:rsidRPr="00D14C96">
        <w:rPr>
          <w:rFonts w:ascii="Times New Roman" w:eastAsia="Times New Roman" w:hAnsi="Times New Roman" w:cs="Times New Roman"/>
          <w:snapToGrid w:val="0"/>
          <w:color w:val="000000"/>
          <w:lang w:eastAsia="fr-FR"/>
        </w:rPr>
        <w:t xml:space="preserve"> un considérable défi pour le Maroc. A cette évolution, s’ajoute</w:t>
      </w:r>
      <w:r w:rsidRPr="00D14C96">
        <w:rPr>
          <w:rFonts w:ascii="Times New Roman" w:hAnsi="Times New Roman" w:cs="Times New Roman"/>
        </w:rPr>
        <w:t xml:space="preserve"> un processus d’urbanisation accéléré, qui implique de nouvelles formes et dynamiques de développement (</w:t>
      </w:r>
      <w:r w:rsidR="002518DE" w:rsidRPr="00D14C96">
        <w:rPr>
          <w:rFonts w:ascii="Times New Roman" w:hAnsi="Times New Roman" w:cs="Times New Roman"/>
        </w:rPr>
        <w:t xml:space="preserve">du </w:t>
      </w:r>
      <w:r w:rsidRPr="00D14C96">
        <w:rPr>
          <w:rFonts w:ascii="Times New Roman" w:hAnsi="Times New Roman" w:cs="Times New Roman"/>
        </w:rPr>
        <w:t xml:space="preserve">rural vers </w:t>
      </w:r>
      <w:r w:rsidR="002518DE" w:rsidRPr="00D14C96">
        <w:rPr>
          <w:rFonts w:ascii="Times New Roman" w:hAnsi="Times New Roman" w:cs="Times New Roman"/>
        </w:rPr>
        <w:t xml:space="preserve">le </w:t>
      </w:r>
      <w:r w:rsidRPr="00D14C96">
        <w:rPr>
          <w:rFonts w:ascii="Times New Roman" w:hAnsi="Times New Roman" w:cs="Times New Roman"/>
        </w:rPr>
        <w:t xml:space="preserve">périurbain, </w:t>
      </w:r>
      <w:r w:rsidR="002518DE" w:rsidRPr="00D14C96">
        <w:rPr>
          <w:rFonts w:ascii="Times New Roman" w:hAnsi="Times New Roman" w:cs="Times New Roman"/>
        </w:rPr>
        <w:t>de l’</w:t>
      </w:r>
      <w:r w:rsidRPr="00D14C96">
        <w:rPr>
          <w:rFonts w:ascii="Times New Roman" w:hAnsi="Times New Roman" w:cs="Times New Roman"/>
        </w:rPr>
        <w:t xml:space="preserve">urbain vers </w:t>
      </w:r>
      <w:r w:rsidR="002518DE" w:rsidRPr="00D14C96">
        <w:rPr>
          <w:rFonts w:ascii="Times New Roman" w:hAnsi="Times New Roman" w:cs="Times New Roman"/>
        </w:rPr>
        <w:t xml:space="preserve">le </w:t>
      </w:r>
      <w:r w:rsidRPr="00D14C96">
        <w:rPr>
          <w:rFonts w:ascii="Times New Roman" w:hAnsi="Times New Roman" w:cs="Times New Roman"/>
        </w:rPr>
        <w:t>périurbain), et une évolution des modèles de production, de mobilité et d’habitation urbaine</w:t>
      </w:r>
      <w:r w:rsidR="002518DE" w:rsidRPr="00D14C96">
        <w:rPr>
          <w:rFonts w:ascii="Times New Roman" w:hAnsi="Times New Roman" w:cs="Times New Roman"/>
        </w:rPr>
        <w:t>s</w:t>
      </w:r>
      <w:r w:rsidRPr="00D14C96">
        <w:rPr>
          <w:rFonts w:ascii="Times New Roman" w:hAnsi="Times New Roman" w:cs="Times New Roman"/>
        </w:rPr>
        <w:t xml:space="preserve"> (grands projets, villes nouvelles, etc.) qui bouleversent les équilibres et les modes de gestion traditionnels. </w:t>
      </w:r>
    </w:p>
    <w:p w14:paraId="1C112075" w14:textId="77777777" w:rsidR="000050E0" w:rsidRPr="00D14C96" w:rsidRDefault="000050E0" w:rsidP="000050E0">
      <w:pPr>
        <w:widowControl w:val="0"/>
        <w:spacing w:after="0" w:line="240" w:lineRule="auto"/>
        <w:jc w:val="both"/>
        <w:rPr>
          <w:rFonts w:ascii="Times New Roman" w:hAnsi="Times New Roman" w:cs="Times New Roman"/>
          <w:sz w:val="24"/>
          <w:szCs w:val="24"/>
        </w:rPr>
      </w:pPr>
    </w:p>
    <w:p w14:paraId="5816F7DA" w14:textId="0A92D902" w:rsidR="000050E0" w:rsidRPr="00D14C96" w:rsidRDefault="000050E0" w:rsidP="00B4544E">
      <w:pPr>
        <w:pStyle w:val="Numberedparagraph"/>
        <w:ind w:left="0" w:firstLine="0"/>
        <w:rPr>
          <w:rFonts w:ascii="Times New Roman" w:hAnsi="Times New Roman" w:cs="Times New Roman"/>
        </w:rPr>
      </w:pPr>
      <w:bookmarkStart w:id="8" w:name="_Hlk510734870"/>
      <w:r w:rsidRPr="00D14C96">
        <w:rPr>
          <w:rFonts w:ascii="Times New Roman" w:hAnsi="Times New Roman" w:cs="Times New Roman"/>
          <w:b/>
        </w:rPr>
        <w:t>Le système d’encadrement, de régulation et de mise en œuvre du développement urbain</w:t>
      </w:r>
      <w:bookmarkEnd w:id="8"/>
      <w:r w:rsidRPr="00D14C96">
        <w:rPr>
          <w:rFonts w:ascii="Times New Roman" w:hAnsi="Times New Roman" w:cs="Times New Roman"/>
          <w:b/>
        </w:rPr>
        <w:t xml:space="preserve"> n’apparait plus en mesure de répondre aux contraintes</w:t>
      </w:r>
      <w:r w:rsidR="00EA56F8" w:rsidRPr="00D14C96">
        <w:rPr>
          <w:rFonts w:ascii="Times New Roman" w:hAnsi="Times New Roman" w:cs="Times New Roman"/>
          <w:b/>
        </w:rPr>
        <w:t xml:space="preserve"> </w:t>
      </w:r>
      <w:r w:rsidRPr="00D14C96">
        <w:rPr>
          <w:rFonts w:ascii="Times New Roman" w:hAnsi="Times New Roman" w:cs="Times New Roman"/>
          <w:b/>
        </w:rPr>
        <w:t xml:space="preserve">multidimensionnelles </w:t>
      </w:r>
      <w:r w:rsidR="00D353A8" w:rsidRPr="00D14C96">
        <w:rPr>
          <w:rFonts w:ascii="Times New Roman" w:hAnsi="Times New Roman" w:cs="Times New Roman"/>
          <w:b/>
        </w:rPr>
        <w:t>auxquelles il fait face</w:t>
      </w:r>
      <w:r w:rsidR="00724FA4" w:rsidRPr="00D14C96">
        <w:rPr>
          <w:rFonts w:ascii="Times New Roman" w:hAnsi="Times New Roman" w:cs="Times New Roman"/>
          <w:b/>
        </w:rPr>
        <w:t xml:space="preserve"> </w:t>
      </w:r>
      <w:r w:rsidRPr="00D14C96">
        <w:rPr>
          <w:rFonts w:ascii="Times New Roman" w:hAnsi="Times New Roman" w:cs="Times New Roman"/>
          <w:b/>
        </w:rPr>
        <w:t xml:space="preserve">(institutionnelles, opérationnelles, foncières, financières, etc.), </w:t>
      </w:r>
      <w:r w:rsidR="002518DE" w:rsidRPr="00D14C96">
        <w:rPr>
          <w:rFonts w:ascii="Times New Roman" w:hAnsi="Times New Roman" w:cs="Times New Roman"/>
          <w:b/>
        </w:rPr>
        <w:t xml:space="preserve">dans un contexte marqué par une </w:t>
      </w:r>
      <w:r w:rsidR="008667CD" w:rsidRPr="00D14C96">
        <w:rPr>
          <w:rFonts w:ascii="Times New Roman" w:hAnsi="Times New Roman" w:cs="Times New Roman"/>
          <w:b/>
        </w:rPr>
        <w:t xml:space="preserve">transformation des modes de développement urbain et une </w:t>
      </w:r>
      <w:r w:rsidR="002518DE" w:rsidRPr="00D14C96">
        <w:rPr>
          <w:rFonts w:ascii="Times New Roman" w:hAnsi="Times New Roman" w:cs="Times New Roman"/>
          <w:b/>
        </w:rPr>
        <w:t>augmentation du nombre d</w:t>
      </w:r>
      <w:r w:rsidR="008667CD" w:rsidRPr="00D14C96">
        <w:rPr>
          <w:rFonts w:ascii="Times New Roman" w:hAnsi="Times New Roman" w:cs="Times New Roman"/>
          <w:b/>
        </w:rPr>
        <w:t xml:space="preserve">es </w:t>
      </w:r>
      <w:r w:rsidR="002518DE" w:rsidRPr="00D14C96">
        <w:rPr>
          <w:rFonts w:ascii="Times New Roman" w:hAnsi="Times New Roman" w:cs="Times New Roman"/>
          <w:b/>
        </w:rPr>
        <w:t>acteurs</w:t>
      </w:r>
      <w:r w:rsidR="00724FA4" w:rsidRPr="00D14C96">
        <w:rPr>
          <w:rFonts w:ascii="Times New Roman" w:hAnsi="Times New Roman" w:cs="Times New Roman"/>
          <w:b/>
        </w:rPr>
        <w:t xml:space="preserve"> </w:t>
      </w:r>
      <w:r w:rsidR="008667CD" w:rsidRPr="00D14C96">
        <w:rPr>
          <w:rFonts w:ascii="Times New Roman" w:hAnsi="Times New Roman" w:cs="Times New Roman"/>
          <w:b/>
        </w:rPr>
        <w:t xml:space="preserve">y </w:t>
      </w:r>
      <w:r w:rsidR="00BA25E5" w:rsidRPr="00D14C96">
        <w:rPr>
          <w:rFonts w:ascii="Times New Roman" w:hAnsi="Times New Roman" w:cs="Times New Roman"/>
          <w:b/>
        </w:rPr>
        <w:t>participant.</w:t>
      </w:r>
      <w:r w:rsidRPr="00D14C96">
        <w:rPr>
          <w:rFonts w:ascii="Times New Roman" w:hAnsi="Times New Roman" w:cs="Times New Roman"/>
          <w:b/>
        </w:rPr>
        <w:t xml:space="preserve"> </w:t>
      </w:r>
      <w:r w:rsidRPr="00D14C96">
        <w:rPr>
          <w:rFonts w:ascii="Times New Roman" w:hAnsi="Times New Roman" w:cs="Times New Roman"/>
        </w:rPr>
        <w:t xml:space="preserve">Cette note </w:t>
      </w:r>
      <w:r w:rsidR="002518DE" w:rsidRPr="00D14C96">
        <w:rPr>
          <w:rFonts w:ascii="Times New Roman" w:hAnsi="Times New Roman" w:cs="Times New Roman"/>
        </w:rPr>
        <w:t>propose</w:t>
      </w:r>
      <w:r w:rsidRPr="00D14C96">
        <w:rPr>
          <w:rFonts w:ascii="Times New Roman" w:hAnsi="Times New Roman" w:cs="Times New Roman"/>
        </w:rPr>
        <w:t xml:space="preserve"> un diagnostic des principaux obstacles inhérents </w:t>
      </w:r>
      <w:r w:rsidR="002518DE" w:rsidRPr="00D14C96">
        <w:rPr>
          <w:rFonts w:ascii="Times New Roman" w:hAnsi="Times New Roman" w:cs="Times New Roman"/>
        </w:rPr>
        <w:t>au développement urbain</w:t>
      </w:r>
      <w:r w:rsidRPr="00D14C96">
        <w:rPr>
          <w:rFonts w:ascii="Times New Roman" w:hAnsi="Times New Roman" w:cs="Times New Roman"/>
        </w:rPr>
        <w:t xml:space="preserve">, qui tiennent: aux dysfonctionnements du système foncier </w:t>
      </w:r>
      <w:r w:rsidR="00D353A8" w:rsidRPr="00D14C96">
        <w:rPr>
          <w:rFonts w:ascii="Times New Roman" w:hAnsi="Times New Roman" w:cs="Times New Roman"/>
        </w:rPr>
        <w:t>tant sur le plan du</w:t>
      </w:r>
      <w:r w:rsidRPr="00D14C96">
        <w:rPr>
          <w:rFonts w:ascii="Times New Roman" w:hAnsi="Times New Roman" w:cs="Times New Roman"/>
        </w:rPr>
        <w:t xml:space="preserve"> droit </w:t>
      </w:r>
      <w:r w:rsidR="00D353A8" w:rsidRPr="00D14C96">
        <w:rPr>
          <w:rFonts w:ascii="Times New Roman" w:hAnsi="Times New Roman" w:cs="Times New Roman"/>
        </w:rPr>
        <w:t xml:space="preserve">que sur celui de la </w:t>
      </w:r>
      <w:r w:rsidRPr="00D14C96">
        <w:rPr>
          <w:rFonts w:ascii="Times New Roman" w:hAnsi="Times New Roman" w:cs="Times New Roman"/>
        </w:rPr>
        <w:t xml:space="preserve">gestion et </w:t>
      </w:r>
      <w:r w:rsidR="00D353A8" w:rsidRPr="00D14C96">
        <w:rPr>
          <w:rFonts w:ascii="Times New Roman" w:hAnsi="Times New Roman" w:cs="Times New Roman"/>
        </w:rPr>
        <w:t>d</w:t>
      </w:r>
      <w:r w:rsidRPr="00D14C96">
        <w:rPr>
          <w:rFonts w:ascii="Times New Roman" w:hAnsi="Times New Roman" w:cs="Times New Roman"/>
        </w:rPr>
        <w:t xml:space="preserve">es pratiques (connaissance, disponibilité, sécurisation) ; à la faible pertinence de la planification urbaine et territoriale pour traiter des enjeux environnementaux, économiques et sociaux et organiser le développement urbain ;  à l’absence d’instruments d’aménagement urbain adaptés aux nouveaux enjeux (en dehors des outils et procédures classiques - lotissement, expropriation) ;  </w:t>
      </w:r>
      <w:bookmarkStart w:id="9" w:name="_Hlk510621714"/>
      <w:r w:rsidRPr="00D14C96">
        <w:rPr>
          <w:rFonts w:ascii="Times New Roman" w:hAnsi="Times New Roman" w:cs="Times New Roman"/>
        </w:rPr>
        <w:t xml:space="preserve">au déficit de coordination </w:t>
      </w:r>
      <w:bookmarkEnd w:id="9"/>
      <w:r w:rsidRPr="00D14C96">
        <w:rPr>
          <w:rFonts w:ascii="Times New Roman" w:hAnsi="Times New Roman" w:cs="Times New Roman"/>
        </w:rPr>
        <w:t>multi acteurs et multi-niveaux  à l’échelle des villes et des territoires; à une logique d’organisation et de fonctionnement des territoires qui reste largement dominée par l’Etat central ; et à l’insuffisance des volumes et leviers de financement et des ressources humaines.</w:t>
      </w:r>
    </w:p>
    <w:p w14:paraId="042F4DC0" w14:textId="77777777" w:rsidR="000050E0" w:rsidRPr="00D14C96" w:rsidRDefault="000050E0" w:rsidP="000050E0">
      <w:pPr>
        <w:widowControl w:val="0"/>
        <w:spacing w:after="0" w:line="240" w:lineRule="auto"/>
        <w:jc w:val="both"/>
        <w:rPr>
          <w:rFonts w:ascii="Times New Roman" w:hAnsi="Times New Roman" w:cs="Times New Roman"/>
          <w:sz w:val="24"/>
          <w:szCs w:val="24"/>
        </w:rPr>
      </w:pPr>
    </w:p>
    <w:p w14:paraId="32F9AD5C" w14:textId="77777777" w:rsidR="00B4544E" w:rsidRPr="00D14C96" w:rsidRDefault="000050E0" w:rsidP="00B4544E">
      <w:pPr>
        <w:pStyle w:val="Numberedparagraph"/>
        <w:ind w:left="0" w:firstLine="0"/>
        <w:rPr>
          <w:rFonts w:ascii="Times New Roman" w:hAnsi="Times New Roman" w:cs="Times New Roman"/>
        </w:rPr>
      </w:pPr>
      <w:r w:rsidRPr="00D14C96">
        <w:rPr>
          <w:rFonts w:ascii="Times New Roman" w:hAnsi="Times New Roman" w:cs="Times New Roman"/>
          <w:b/>
        </w:rPr>
        <w:t xml:space="preserve">Malgré l’importance des efforts consacrés </w:t>
      </w:r>
      <w:r w:rsidR="008667CD" w:rsidRPr="00D14C96">
        <w:rPr>
          <w:rFonts w:ascii="Times New Roman" w:hAnsi="Times New Roman" w:cs="Times New Roman"/>
          <w:b/>
        </w:rPr>
        <w:t>au secteur de l’</w:t>
      </w:r>
      <w:r w:rsidRPr="00D14C96">
        <w:rPr>
          <w:rFonts w:ascii="Times New Roman" w:hAnsi="Times New Roman" w:cs="Times New Roman"/>
          <w:b/>
        </w:rPr>
        <w:t xml:space="preserve">urbain, les réponses apportées </w:t>
      </w:r>
      <w:r w:rsidR="00D353A8" w:rsidRPr="00D14C96">
        <w:rPr>
          <w:rFonts w:ascii="Times New Roman" w:hAnsi="Times New Roman" w:cs="Times New Roman"/>
          <w:b/>
        </w:rPr>
        <w:t xml:space="preserve">semblent insuffisantes au regard </w:t>
      </w:r>
      <w:r w:rsidRPr="00D14C96">
        <w:rPr>
          <w:rFonts w:ascii="Times New Roman" w:hAnsi="Times New Roman" w:cs="Times New Roman"/>
          <w:b/>
        </w:rPr>
        <w:t>des enjeux à venir.</w:t>
      </w:r>
      <w:r w:rsidRPr="00D14C96">
        <w:rPr>
          <w:rFonts w:ascii="Times New Roman" w:hAnsi="Times New Roman" w:cs="Times New Roman"/>
        </w:rPr>
        <w:t xml:space="preserve"> Les réalisations</w:t>
      </w:r>
      <w:r w:rsidR="004006CB" w:rsidRPr="00D14C96">
        <w:rPr>
          <w:rFonts w:ascii="Times New Roman" w:hAnsi="Times New Roman" w:cs="Times New Roman"/>
        </w:rPr>
        <w:t xml:space="preserve"> engagées</w:t>
      </w:r>
      <w:r w:rsidRPr="00D14C96">
        <w:rPr>
          <w:rFonts w:ascii="Times New Roman" w:hAnsi="Times New Roman" w:cs="Times New Roman"/>
        </w:rPr>
        <w:t xml:space="preserve"> soulèvent plusieurs questions quant à leurs déterminants, à la convergence des approches et des actions qui les structurent et leur intégration urbaine et territoriale. La plupart des grands projets sectoriels apparaissent ainsi peu articulés avec la planification territoriale et urbaine, tandis que les tentatives pour faire évoluer le système n’ont pas abouti faute de réformes et de consensus institutionnels. A ceci s’ajoute une absence de vision et de lignes directrices sur la question des villes. La difficulté de cette entreprise tient à sa dimension transversale.</w:t>
      </w:r>
      <w:bookmarkStart w:id="10" w:name="_Hlk510734107"/>
      <w:r w:rsidR="00B4544E" w:rsidRPr="00D14C96">
        <w:rPr>
          <w:rFonts w:ascii="Times New Roman" w:hAnsi="Times New Roman" w:cs="Times New Roman"/>
        </w:rPr>
        <w:t xml:space="preserve"> </w:t>
      </w:r>
      <w:r w:rsidRPr="00D14C96">
        <w:rPr>
          <w:rFonts w:ascii="Times New Roman" w:hAnsi="Times New Roman" w:cs="Times New Roman"/>
        </w:rPr>
        <w:t xml:space="preserve">Ces contingences compromettent la capacité du Maroc à tirer parti de la dynamique d’urbanisation (et en même temps de la transition démographique) pour durablement soutenir le développement économique et les transformations sociales, environnementales et technologiques. </w:t>
      </w:r>
      <w:bookmarkStart w:id="11" w:name="_Hlk510736155"/>
      <w:bookmarkEnd w:id="10"/>
    </w:p>
    <w:p w14:paraId="500F4CA7" w14:textId="77777777" w:rsidR="00B4544E" w:rsidRPr="00D14C96" w:rsidRDefault="00B4544E" w:rsidP="00B4544E">
      <w:pPr>
        <w:pStyle w:val="Numberedparagraph"/>
        <w:numPr>
          <w:ilvl w:val="0"/>
          <w:numId w:val="0"/>
        </w:numPr>
        <w:rPr>
          <w:rFonts w:ascii="Times New Roman" w:hAnsi="Times New Roman" w:cs="Times New Roman"/>
        </w:rPr>
      </w:pPr>
    </w:p>
    <w:p w14:paraId="0058AD38" w14:textId="202F424D" w:rsidR="000050E0" w:rsidRPr="00D14C96" w:rsidRDefault="000050E0" w:rsidP="009B72D2">
      <w:pPr>
        <w:pStyle w:val="Numberedparagraph"/>
        <w:spacing w:after="120"/>
        <w:ind w:left="0" w:firstLine="0"/>
        <w:rPr>
          <w:rFonts w:ascii="Times New Roman" w:hAnsi="Times New Roman" w:cs="Times New Roman"/>
          <w:b/>
        </w:rPr>
      </w:pPr>
      <w:r w:rsidRPr="00D14C96">
        <w:rPr>
          <w:rFonts w:ascii="Times New Roman" w:eastAsia="Times New Roman" w:hAnsi="Times New Roman" w:cs="Times New Roman"/>
          <w:b/>
          <w:color w:val="000000"/>
          <w:lang w:eastAsia="fr-FR"/>
        </w:rPr>
        <w:t>Cette note</w:t>
      </w:r>
      <w:r w:rsidR="00D353A8" w:rsidRPr="00D14C96">
        <w:rPr>
          <w:rFonts w:ascii="Times New Roman" w:eastAsia="Times New Roman" w:hAnsi="Times New Roman" w:cs="Times New Roman"/>
          <w:b/>
          <w:color w:val="000000"/>
          <w:lang w:eastAsia="fr-FR"/>
        </w:rPr>
        <w:t xml:space="preserve"> identifie</w:t>
      </w:r>
      <w:r w:rsidRPr="00D14C96">
        <w:rPr>
          <w:rFonts w:ascii="Times New Roman" w:eastAsia="Times New Roman" w:hAnsi="Times New Roman" w:cs="Times New Roman"/>
          <w:b/>
          <w:color w:val="000000"/>
          <w:lang w:eastAsia="fr-FR"/>
        </w:rPr>
        <w:t xml:space="preserve"> dix propositions pour dépasser la situation actuelle et s’engager vers un meilleur avenir urbain </w:t>
      </w:r>
      <w:bookmarkEnd w:id="11"/>
      <w:r w:rsidRPr="00D14C96">
        <w:rPr>
          <w:rFonts w:ascii="Times New Roman" w:eastAsia="Times New Roman" w:hAnsi="Times New Roman" w:cs="Times New Roman"/>
          <w:b/>
          <w:color w:val="000000"/>
          <w:lang w:eastAsia="fr-FR"/>
        </w:rPr>
        <w:t>:</w:t>
      </w:r>
      <w:r w:rsidRPr="00D14C96">
        <w:rPr>
          <w:rFonts w:ascii="Times New Roman" w:hAnsi="Times New Roman" w:cs="Times New Roman"/>
          <w:b/>
        </w:rPr>
        <w:t xml:space="preserve"> </w:t>
      </w:r>
    </w:p>
    <w:p w14:paraId="64F9F563" w14:textId="77777777" w:rsidR="000050E0" w:rsidRPr="00D14C96" w:rsidRDefault="000050E0" w:rsidP="00AA5E11">
      <w:pPr>
        <w:pStyle w:val="ListParagraph"/>
        <w:numPr>
          <w:ilvl w:val="0"/>
          <w:numId w:val="21"/>
        </w:numPr>
        <w:ind w:left="851" w:hanging="425"/>
        <w:rPr>
          <w:rFonts w:ascii="Times New Roman" w:hAnsi="Times New Roman" w:cs="Times New Roman"/>
          <w:sz w:val="24"/>
          <w:szCs w:val="24"/>
        </w:rPr>
      </w:pPr>
      <w:r w:rsidRPr="00D14C96">
        <w:rPr>
          <w:rFonts w:ascii="Times New Roman" w:hAnsi="Times New Roman" w:cs="Times New Roman"/>
          <w:sz w:val="24"/>
          <w:szCs w:val="24"/>
        </w:rPr>
        <w:t>Articuler et intégrer les différents niveaux de planification territoriale / urbaine / locale ;</w:t>
      </w:r>
    </w:p>
    <w:p w14:paraId="6447D212" w14:textId="77777777" w:rsidR="000050E0" w:rsidRPr="00D14C96" w:rsidRDefault="000050E0" w:rsidP="00AA5E11">
      <w:pPr>
        <w:pStyle w:val="ListParagraph"/>
        <w:numPr>
          <w:ilvl w:val="0"/>
          <w:numId w:val="21"/>
        </w:numPr>
        <w:ind w:left="851" w:hanging="425"/>
        <w:rPr>
          <w:rFonts w:ascii="Times New Roman" w:hAnsi="Times New Roman" w:cs="Times New Roman"/>
          <w:sz w:val="24"/>
          <w:szCs w:val="24"/>
        </w:rPr>
      </w:pPr>
      <w:r w:rsidRPr="00D14C96">
        <w:rPr>
          <w:rFonts w:ascii="Times New Roman" w:hAnsi="Times New Roman" w:cs="Times New Roman"/>
          <w:sz w:val="24"/>
          <w:szCs w:val="24"/>
        </w:rPr>
        <w:t>Adapter et moderniser l’exercice de la planification urbaine ;</w:t>
      </w:r>
    </w:p>
    <w:p w14:paraId="3252F579" w14:textId="77777777" w:rsidR="000050E0" w:rsidRPr="00D14C96" w:rsidRDefault="000050E0" w:rsidP="00AA5E11">
      <w:pPr>
        <w:pStyle w:val="ListParagraph"/>
        <w:numPr>
          <w:ilvl w:val="0"/>
          <w:numId w:val="21"/>
        </w:numPr>
        <w:ind w:left="851" w:hanging="425"/>
        <w:rPr>
          <w:rFonts w:ascii="Times New Roman" w:hAnsi="Times New Roman" w:cs="Times New Roman"/>
          <w:sz w:val="24"/>
          <w:szCs w:val="24"/>
        </w:rPr>
      </w:pPr>
      <w:r w:rsidRPr="00D14C96">
        <w:rPr>
          <w:rFonts w:ascii="Times New Roman" w:hAnsi="Times New Roman" w:cs="Times New Roman"/>
          <w:sz w:val="24"/>
          <w:szCs w:val="24"/>
        </w:rPr>
        <w:t>Adopter un cadre de gestion et de mise en œuvre des grands projets d’intérêt national ;</w:t>
      </w:r>
    </w:p>
    <w:p w14:paraId="33A0033E" w14:textId="7F3CE62D" w:rsidR="000050E0" w:rsidRPr="00D14C96" w:rsidRDefault="000050E0" w:rsidP="00AA5E11">
      <w:pPr>
        <w:pStyle w:val="ListParagraph"/>
        <w:numPr>
          <w:ilvl w:val="0"/>
          <w:numId w:val="21"/>
        </w:numPr>
        <w:ind w:left="851" w:hanging="425"/>
        <w:rPr>
          <w:rFonts w:ascii="Times New Roman" w:hAnsi="Times New Roman" w:cs="Times New Roman"/>
          <w:sz w:val="24"/>
          <w:szCs w:val="24"/>
        </w:rPr>
      </w:pPr>
      <w:r w:rsidRPr="00D14C96">
        <w:rPr>
          <w:rFonts w:ascii="Times New Roman" w:hAnsi="Times New Roman" w:cs="Times New Roman"/>
          <w:sz w:val="24"/>
          <w:szCs w:val="24"/>
        </w:rPr>
        <w:lastRenderedPageBreak/>
        <w:t>Encourager la territorialisation et la mise en cohérence des actions publiques sur l’urbain (urbanisme, habitat, déplacement, etc.)</w:t>
      </w:r>
      <w:r w:rsidR="000462E3" w:rsidRPr="00D14C96">
        <w:rPr>
          <w:rFonts w:ascii="Times New Roman" w:hAnsi="Times New Roman" w:cs="Times New Roman"/>
          <w:sz w:val="24"/>
          <w:szCs w:val="24"/>
        </w:rPr>
        <w:t> ;</w:t>
      </w:r>
    </w:p>
    <w:p w14:paraId="1CA924A9" w14:textId="77777777" w:rsidR="000050E0" w:rsidRPr="00D14C96" w:rsidRDefault="000050E0" w:rsidP="00AA5E11">
      <w:pPr>
        <w:pStyle w:val="ListParagraph"/>
        <w:numPr>
          <w:ilvl w:val="0"/>
          <w:numId w:val="21"/>
        </w:numPr>
        <w:ind w:left="851" w:hanging="425"/>
        <w:rPr>
          <w:rFonts w:ascii="Times New Roman" w:hAnsi="Times New Roman" w:cs="Times New Roman"/>
          <w:sz w:val="24"/>
          <w:szCs w:val="24"/>
        </w:rPr>
      </w:pPr>
      <w:r w:rsidRPr="00D14C96">
        <w:rPr>
          <w:rFonts w:ascii="Times New Roman" w:hAnsi="Times New Roman" w:cs="Times New Roman"/>
          <w:sz w:val="24"/>
          <w:szCs w:val="24"/>
        </w:rPr>
        <w:t>Renforcer les capacités d’aménagement opérationnel et foncier au niveau local ;</w:t>
      </w:r>
    </w:p>
    <w:p w14:paraId="1FF037A5" w14:textId="77777777" w:rsidR="000050E0" w:rsidRPr="00D14C96" w:rsidRDefault="000050E0" w:rsidP="00AA5E11">
      <w:pPr>
        <w:pStyle w:val="ListParagraph"/>
        <w:numPr>
          <w:ilvl w:val="0"/>
          <w:numId w:val="21"/>
        </w:numPr>
        <w:ind w:left="851" w:hanging="425"/>
        <w:rPr>
          <w:rFonts w:ascii="Times New Roman" w:hAnsi="Times New Roman" w:cs="Times New Roman"/>
          <w:sz w:val="24"/>
          <w:szCs w:val="24"/>
        </w:rPr>
      </w:pPr>
      <w:r w:rsidRPr="00D14C96">
        <w:rPr>
          <w:rFonts w:ascii="Times New Roman" w:hAnsi="Times New Roman" w:cs="Times New Roman"/>
          <w:sz w:val="24"/>
          <w:szCs w:val="24"/>
        </w:rPr>
        <w:t>Améliorer la gestion foncière ;</w:t>
      </w:r>
    </w:p>
    <w:p w14:paraId="5D937D05" w14:textId="77777777" w:rsidR="000050E0" w:rsidRPr="00D14C96" w:rsidRDefault="000050E0" w:rsidP="00AA5E11">
      <w:pPr>
        <w:pStyle w:val="ListParagraph"/>
        <w:numPr>
          <w:ilvl w:val="0"/>
          <w:numId w:val="21"/>
        </w:numPr>
        <w:ind w:left="851" w:hanging="425"/>
        <w:rPr>
          <w:rFonts w:ascii="Times New Roman" w:hAnsi="Times New Roman" w:cs="Times New Roman"/>
          <w:sz w:val="24"/>
          <w:szCs w:val="24"/>
        </w:rPr>
      </w:pPr>
      <w:r w:rsidRPr="00D14C96">
        <w:rPr>
          <w:rFonts w:ascii="Times New Roman" w:hAnsi="Times New Roman" w:cs="Times New Roman"/>
          <w:sz w:val="24"/>
          <w:szCs w:val="24"/>
        </w:rPr>
        <w:t>Assurer une meilleure contribution financière au développement urbain ;</w:t>
      </w:r>
    </w:p>
    <w:p w14:paraId="7E301EFA" w14:textId="77777777" w:rsidR="000050E0" w:rsidRPr="00D14C96" w:rsidRDefault="000050E0" w:rsidP="00AA5E11">
      <w:pPr>
        <w:pStyle w:val="ListParagraph"/>
        <w:numPr>
          <w:ilvl w:val="0"/>
          <w:numId w:val="21"/>
        </w:numPr>
        <w:ind w:left="851" w:hanging="425"/>
        <w:rPr>
          <w:rFonts w:ascii="Times New Roman" w:hAnsi="Times New Roman" w:cs="Times New Roman"/>
          <w:sz w:val="24"/>
          <w:szCs w:val="24"/>
        </w:rPr>
      </w:pPr>
      <w:r w:rsidRPr="00D14C96">
        <w:rPr>
          <w:rFonts w:ascii="Times New Roman" w:hAnsi="Times New Roman" w:cs="Times New Roman"/>
          <w:sz w:val="24"/>
          <w:szCs w:val="24"/>
        </w:rPr>
        <w:t>Positionner le Wali en tant qu’acteur pivot de la déconcentration administrative ;</w:t>
      </w:r>
    </w:p>
    <w:p w14:paraId="172147D2" w14:textId="45FF6D43" w:rsidR="000050E0" w:rsidRPr="00D14C96" w:rsidRDefault="000050E0" w:rsidP="00AA5E11">
      <w:pPr>
        <w:pStyle w:val="ListParagraph"/>
        <w:numPr>
          <w:ilvl w:val="0"/>
          <w:numId w:val="21"/>
        </w:numPr>
        <w:ind w:left="851" w:hanging="425"/>
        <w:rPr>
          <w:rFonts w:ascii="Times New Roman" w:hAnsi="Times New Roman" w:cs="Times New Roman"/>
          <w:sz w:val="24"/>
          <w:szCs w:val="24"/>
        </w:rPr>
      </w:pPr>
      <w:r w:rsidRPr="00D14C96">
        <w:rPr>
          <w:rFonts w:ascii="Times New Roman" w:hAnsi="Times New Roman" w:cs="Times New Roman"/>
          <w:sz w:val="24"/>
          <w:szCs w:val="24"/>
        </w:rPr>
        <w:t xml:space="preserve">Faire de l’échelle de l’agglomération le niveau incontournable de la définition et de la mise en œuvre </w:t>
      </w:r>
      <w:r w:rsidR="00C41CE8" w:rsidRPr="00D14C96">
        <w:rPr>
          <w:rFonts w:ascii="Times New Roman" w:hAnsi="Times New Roman" w:cs="Times New Roman"/>
          <w:sz w:val="24"/>
          <w:szCs w:val="24"/>
        </w:rPr>
        <w:t>de politiques urbaines intégrées</w:t>
      </w:r>
      <w:r w:rsidRPr="00D14C96">
        <w:rPr>
          <w:rFonts w:ascii="Times New Roman" w:hAnsi="Times New Roman" w:cs="Times New Roman"/>
          <w:sz w:val="24"/>
          <w:szCs w:val="24"/>
        </w:rPr>
        <w:t>; et</w:t>
      </w:r>
    </w:p>
    <w:p w14:paraId="4400C061" w14:textId="12A24E21" w:rsidR="00425795" w:rsidRPr="00D14C96" w:rsidRDefault="000050E0" w:rsidP="00AA5E11">
      <w:pPr>
        <w:pStyle w:val="ListParagraph"/>
        <w:numPr>
          <w:ilvl w:val="0"/>
          <w:numId w:val="21"/>
        </w:numPr>
        <w:ind w:left="851" w:hanging="425"/>
        <w:rPr>
          <w:rFonts w:ascii="Times New Roman" w:hAnsi="Times New Roman" w:cs="Times New Roman"/>
          <w:sz w:val="24"/>
          <w:szCs w:val="24"/>
        </w:rPr>
      </w:pPr>
      <w:r w:rsidRPr="00D14C96">
        <w:rPr>
          <w:rFonts w:ascii="Times New Roman" w:hAnsi="Times New Roman" w:cs="Times New Roman"/>
          <w:sz w:val="24"/>
          <w:szCs w:val="24"/>
        </w:rPr>
        <w:t xml:space="preserve">Transformer les Agences urbaines </w:t>
      </w:r>
      <w:r w:rsidR="00425795" w:rsidRPr="00D14C96">
        <w:rPr>
          <w:rFonts w:ascii="Times New Roman" w:hAnsi="Times New Roman" w:cs="Times New Roman"/>
          <w:sz w:val="24"/>
          <w:szCs w:val="24"/>
        </w:rPr>
        <w:t xml:space="preserve">en outil technique et d’appui clef à la nouvelle organisation territoriale </w:t>
      </w:r>
    </w:p>
    <w:p w14:paraId="72CD0573" w14:textId="77777777" w:rsidR="000050E0" w:rsidRPr="00D14C96" w:rsidRDefault="000050E0" w:rsidP="00BA2773">
      <w:pPr>
        <w:pStyle w:val="ListParagraph"/>
        <w:spacing w:after="0"/>
        <w:rPr>
          <w:rFonts w:ascii="Times New Roman" w:hAnsi="Times New Roman" w:cs="Times New Roman"/>
          <w:sz w:val="24"/>
          <w:szCs w:val="24"/>
        </w:rPr>
      </w:pPr>
    </w:p>
    <w:p w14:paraId="3E56F587" w14:textId="77777777" w:rsidR="000050E0" w:rsidRPr="00D14C96" w:rsidRDefault="000050E0" w:rsidP="00B4544E">
      <w:pPr>
        <w:pStyle w:val="Numberedparagraph"/>
        <w:ind w:left="0" w:firstLine="0"/>
        <w:rPr>
          <w:rFonts w:ascii="Times New Roman" w:eastAsia="Times New Roman" w:hAnsi="Times New Roman" w:cs="Times New Roman"/>
          <w:color w:val="000000"/>
          <w:lang w:eastAsia="fr-FR"/>
        </w:rPr>
      </w:pPr>
      <w:r w:rsidRPr="00D14C96">
        <w:rPr>
          <w:rFonts w:ascii="Times New Roman" w:hAnsi="Times New Roman" w:cs="Times New Roman"/>
          <w:b/>
        </w:rPr>
        <w:t>Les pistes de propositions et leviers d’action développés doivent cependant pouvoir s’inscrire dans le cadre d’une vision nationale sur la ville et les territoires</w:t>
      </w:r>
      <w:r w:rsidRPr="00D14C96">
        <w:rPr>
          <w:rFonts w:ascii="Times New Roman" w:hAnsi="Times New Roman" w:cs="Times New Roman"/>
        </w:rPr>
        <w:t xml:space="preserve">, et se traduire par un engagement des parties prenantes institutionnelles et des dispositifs d’impulsion multi acteurs. Une première ligne d’action prioritaire serait donc l’adoption </w:t>
      </w:r>
      <w:r w:rsidRPr="00D14C96">
        <w:rPr>
          <w:rFonts w:ascii="Times New Roman" w:eastAsia="Times New Roman" w:hAnsi="Times New Roman" w:cs="Times New Roman"/>
          <w:color w:val="000000"/>
          <w:lang w:eastAsia="fr-FR"/>
        </w:rPr>
        <w:t>d’un cadre d’orientations et de référence pour les villes et les territoires. Les réformes proposées reposent également sur la modernisation du cadre législatif de la planification territoriale et urbaine et de l’aménagement.</w:t>
      </w:r>
    </w:p>
    <w:p w14:paraId="2916137C" w14:textId="77777777" w:rsidR="000050E0" w:rsidRPr="00D14C96" w:rsidRDefault="000050E0" w:rsidP="000050E0">
      <w:pPr>
        <w:jc w:val="both"/>
        <w:rPr>
          <w:rFonts w:ascii="Times New Roman" w:hAnsi="Times New Roman" w:cs="Times New Roman"/>
        </w:rPr>
      </w:pPr>
    </w:p>
    <w:p w14:paraId="5A8EBD6B" w14:textId="77777777" w:rsidR="00C41CE8" w:rsidRPr="00D14C96" w:rsidRDefault="00C41CE8" w:rsidP="00C41CE8">
      <w:pPr>
        <w:pStyle w:val="Heading1"/>
        <w:widowControl w:val="0"/>
        <w:rPr>
          <w:sz w:val="24"/>
          <w:szCs w:val="24"/>
        </w:rPr>
        <w:sectPr w:rsidR="00C41CE8" w:rsidRPr="00D14C96" w:rsidSect="000050E0">
          <w:pgSz w:w="11906" w:h="16838"/>
          <w:pgMar w:top="1418" w:right="1418" w:bottom="1418" w:left="1701" w:header="709" w:footer="709" w:gutter="0"/>
          <w:cols w:space="708"/>
          <w:docGrid w:linePitch="360"/>
        </w:sectPr>
      </w:pPr>
    </w:p>
    <w:p w14:paraId="310589EF" w14:textId="77777777" w:rsidR="00C41CE8" w:rsidRPr="00D14C96" w:rsidRDefault="00C41CE8" w:rsidP="00BA2773">
      <w:pPr>
        <w:pStyle w:val="Heading1"/>
        <w:widowControl w:val="0"/>
        <w:rPr>
          <w:sz w:val="24"/>
          <w:szCs w:val="24"/>
        </w:rPr>
      </w:pPr>
    </w:p>
    <w:p w14:paraId="7B1591E6" w14:textId="77777777" w:rsidR="00C41CE8" w:rsidRPr="00D14C96" w:rsidRDefault="00C41CE8" w:rsidP="00BA2773">
      <w:pPr>
        <w:pStyle w:val="Heading1"/>
        <w:widowControl w:val="0"/>
        <w:rPr>
          <w:sz w:val="24"/>
          <w:szCs w:val="24"/>
        </w:rPr>
      </w:pPr>
    </w:p>
    <w:p w14:paraId="3BE45025" w14:textId="0F85769A" w:rsidR="000050E0" w:rsidRPr="00D14C96" w:rsidRDefault="00510961" w:rsidP="000050E0">
      <w:pPr>
        <w:widowControl w:val="0"/>
        <w:autoSpaceDE w:val="0"/>
        <w:autoSpaceDN w:val="0"/>
        <w:adjustRightInd w:val="0"/>
        <w:spacing w:after="0" w:line="240" w:lineRule="auto"/>
        <w:rPr>
          <w:rFonts w:ascii="Times New Roman" w:eastAsia="Times New Roman" w:hAnsi="Times New Roman" w:cs="Times New Roman"/>
          <w:b/>
          <w:bCs/>
          <w:i/>
          <w:color w:val="2E74B5" w:themeColor="accent1" w:themeShade="BF"/>
          <w:kern w:val="36"/>
          <w:sz w:val="28"/>
          <w:szCs w:val="24"/>
          <w:lang w:eastAsia="fr-FR"/>
        </w:rPr>
      </w:pPr>
      <w:r>
        <w:rPr>
          <w:rFonts w:ascii="Times New Roman" w:eastAsia="Times New Roman" w:hAnsi="Times New Roman" w:cs="Times New Roman"/>
          <w:b/>
          <w:bCs/>
          <w:i/>
          <w:color w:val="2E74B5" w:themeColor="accent1" w:themeShade="BF"/>
          <w:kern w:val="36"/>
          <w:sz w:val="28"/>
          <w:szCs w:val="24"/>
          <w:lang w:eastAsia="fr-FR"/>
        </w:rPr>
        <w:t>P</w:t>
      </w:r>
      <w:r w:rsidR="00982BCE">
        <w:rPr>
          <w:rFonts w:ascii="Times New Roman" w:eastAsia="Times New Roman" w:hAnsi="Times New Roman" w:cs="Times New Roman"/>
          <w:b/>
          <w:bCs/>
          <w:i/>
          <w:color w:val="2E74B5" w:themeColor="accent1" w:themeShade="BF"/>
          <w:kern w:val="36"/>
          <w:sz w:val="28"/>
          <w:szCs w:val="24"/>
          <w:lang w:eastAsia="fr-FR"/>
        </w:rPr>
        <w:t>our une nouvelle stratégie de mise en œuvre et de gouvernance de l’urbanisme et de l’aménagement urbain</w:t>
      </w:r>
    </w:p>
    <w:p w14:paraId="40E3670B" w14:textId="77777777" w:rsidR="000050E0" w:rsidRPr="00D14C96" w:rsidRDefault="000050E0" w:rsidP="000050E0">
      <w:pPr>
        <w:widowControl w:val="0"/>
        <w:autoSpaceDE w:val="0"/>
        <w:autoSpaceDN w:val="0"/>
        <w:adjustRightInd w:val="0"/>
        <w:spacing w:after="0" w:line="240" w:lineRule="auto"/>
        <w:rPr>
          <w:rFonts w:ascii="Times New Roman" w:eastAsia="Times New Roman" w:hAnsi="Times New Roman" w:cs="Times New Roman"/>
          <w:b/>
          <w:bCs/>
          <w:i/>
          <w:color w:val="2E74B5" w:themeColor="accent1" w:themeShade="BF"/>
          <w:kern w:val="36"/>
          <w:sz w:val="28"/>
          <w:szCs w:val="24"/>
          <w:lang w:eastAsia="fr-FR"/>
        </w:rPr>
      </w:pPr>
      <w:r w:rsidRPr="00D14C96">
        <w:rPr>
          <w:rFonts w:ascii="Times New Roman" w:eastAsia="Times New Roman" w:hAnsi="Times New Roman" w:cs="Times New Roman"/>
          <w:b/>
          <w:bCs/>
          <w:i/>
          <w:color w:val="2E74B5" w:themeColor="accent1" w:themeShade="BF"/>
          <w:kern w:val="36"/>
          <w:sz w:val="28"/>
          <w:szCs w:val="24"/>
          <w:lang w:eastAsia="fr-FR"/>
        </w:rPr>
        <w:t>Défis, contraintes et leviers d’action</w:t>
      </w:r>
    </w:p>
    <w:p w14:paraId="6EF4F566" w14:textId="77777777" w:rsidR="000050E0" w:rsidRPr="00D14C96" w:rsidRDefault="000050E0" w:rsidP="000050E0">
      <w:pPr>
        <w:widowControl w:val="0"/>
        <w:autoSpaceDE w:val="0"/>
        <w:autoSpaceDN w:val="0"/>
        <w:adjustRightInd w:val="0"/>
        <w:spacing w:after="0" w:line="240" w:lineRule="auto"/>
        <w:rPr>
          <w:rFonts w:ascii="Times New Roman" w:hAnsi="Times New Roman" w:cs="Times New Roman"/>
          <w:sz w:val="24"/>
          <w:szCs w:val="24"/>
        </w:rPr>
      </w:pPr>
    </w:p>
    <w:p w14:paraId="4677332E" w14:textId="77777777" w:rsidR="000050E0" w:rsidRPr="00D14C96" w:rsidRDefault="000050E0" w:rsidP="000050E0">
      <w:pPr>
        <w:pStyle w:val="Heading1"/>
        <w:rPr>
          <w:b w:val="0"/>
          <w:color w:val="2E74B5" w:themeColor="accent1" w:themeShade="BF"/>
          <w:sz w:val="24"/>
          <w:szCs w:val="24"/>
          <w:u w:val="single"/>
        </w:rPr>
      </w:pPr>
      <w:bookmarkStart w:id="12" w:name="_Toc515875109"/>
      <w:r w:rsidRPr="00D14C96">
        <w:rPr>
          <w:color w:val="2E74B5" w:themeColor="accent1" w:themeShade="BF"/>
          <w:sz w:val="24"/>
          <w:szCs w:val="24"/>
          <w:u w:val="single"/>
        </w:rPr>
        <w:t>Contexte</w:t>
      </w:r>
      <w:r w:rsidRPr="00D14C96">
        <w:rPr>
          <w:rFonts w:eastAsiaTheme="majorEastAsia"/>
          <w:b w:val="0"/>
          <w:color w:val="2E74B5" w:themeColor="accent1" w:themeShade="BF"/>
          <w:sz w:val="24"/>
          <w:szCs w:val="24"/>
        </w:rPr>
        <w:t> : L’urbanisation en marche au Maroc, perspectives et défis</w:t>
      </w:r>
      <w:bookmarkEnd w:id="12"/>
      <w:r w:rsidRPr="00D14C96">
        <w:rPr>
          <w:rFonts w:eastAsiaTheme="majorEastAsia"/>
          <w:b w:val="0"/>
          <w:color w:val="2E74B5" w:themeColor="accent1" w:themeShade="BF"/>
          <w:sz w:val="24"/>
          <w:szCs w:val="24"/>
        </w:rPr>
        <w:t xml:space="preserve"> </w:t>
      </w:r>
    </w:p>
    <w:p w14:paraId="65F33F8E" w14:textId="630C75FB" w:rsidR="000050E0" w:rsidRPr="00D14C96" w:rsidRDefault="000050E0" w:rsidP="00B4544E">
      <w:pPr>
        <w:pStyle w:val="Numberedparagraph"/>
        <w:ind w:left="0" w:firstLine="0"/>
        <w:rPr>
          <w:rFonts w:ascii="Times New Roman" w:hAnsi="Times New Roman" w:cs="Times New Roman"/>
        </w:rPr>
      </w:pPr>
      <w:bookmarkStart w:id="13" w:name="_Hlk510685349"/>
      <w:r w:rsidRPr="00D14C96">
        <w:rPr>
          <w:rFonts w:ascii="Times New Roman" w:eastAsia="Times New Roman" w:hAnsi="Times New Roman" w:cs="Times New Roman"/>
          <w:i/>
          <w:snapToGrid w:val="0"/>
          <w:color w:val="000000"/>
          <w:lang w:eastAsia="fr-FR"/>
        </w:rPr>
        <w:t xml:space="preserve">La dynamique démographique, bien que moins soutenue que par le passé, </w:t>
      </w:r>
      <w:r w:rsidR="00664C8E" w:rsidRPr="00D14C96">
        <w:rPr>
          <w:rFonts w:ascii="Times New Roman" w:eastAsia="Times New Roman" w:hAnsi="Times New Roman" w:cs="Times New Roman"/>
          <w:i/>
          <w:snapToGrid w:val="0"/>
          <w:color w:val="000000"/>
          <w:lang w:eastAsia="fr-FR"/>
        </w:rPr>
        <w:t>représente toujours</w:t>
      </w:r>
      <w:r w:rsidRPr="00D14C96">
        <w:rPr>
          <w:rFonts w:ascii="Times New Roman" w:eastAsia="Times New Roman" w:hAnsi="Times New Roman" w:cs="Times New Roman"/>
          <w:i/>
          <w:snapToGrid w:val="0"/>
          <w:color w:val="000000"/>
          <w:lang w:eastAsia="fr-FR"/>
        </w:rPr>
        <w:t xml:space="preserve"> un considérable défi pour le Maroc et un puissant </w:t>
      </w:r>
      <w:r w:rsidRPr="00D14C96">
        <w:rPr>
          <w:rFonts w:ascii="Times New Roman" w:hAnsi="Times New Roman" w:cs="Times New Roman"/>
        </w:rPr>
        <w:t>déterminant</w:t>
      </w:r>
      <w:r w:rsidRPr="00D14C96">
        <w:rPr>
          <w:rFonts w:ascii="Times New Roman" w:eastAsia="Times New Roman" w:hAnsi="Times New Roman" w:cs="Times New Roman"/>
          <w:i/>
          <w:snapToGrid w:val="0"/>
          <w:color w:val="000000"/>
          <w:lang w:eastAsia="fr-FR"/>
        </w:rPr>
        <w:t xml:space="preserve"> des choix et des politiques de développement social, économique et territorial. A cette</w:t>
      </w:r>
      <w:r w:rsidR="003F303B" w:rsidRPr="00D14C96">
        <w:rPr>
          <w:rFonts w:ascii="Times New Roman" w:eastAsia="Times New Roman" w:hAnsi="Times New Roman" w:cs="Times New Roman"/>
          <w:i/>
          <w:snapToGrid w:val="0"/>
          <w:color w:val="000000"/>
          <w:lang w:eastAsia="fr-FR"/>
        </w:rPr>
        <w:t xml:space="preserve"> pression démographique</w:t>
      </w:r>
      <w:r w:rsidR="00710A92" w:rsidRPr="00D14C96">
        <w:rPr>
          <w:rFonts w:ascii="Times New Roman" w:eastAsia="Times New Roman" w:hAnsi="Times New Roman" w:cs="Times New Roman"/>
          <w:i/>
          <w:snapToGrid w:val="0"/>
          <w:color w:val="000000"/>
          <w:lang w:eastAsia="fr-FR"/>
        </w:rPr>
        <w:t>,</w:t>
      </w:r>
      <w:r w:rsidRPr="00D14C96">
        <w:rPr>
          <w:rFonts w:ascii="Times New Roman" w:eastAsia="Times New Roman" w:hAnsi="Times New Roman" w:cs="Times New Roman"/>
          <w:i/>
          <w:snapToGrid w:val="0"/>
          <w:color w:val="000000"/>
          <w:lang w:eastAsia="fr-FR"/>
        </w:rPr>
        <w:t xml:space="preserve"> s’ajoute</w:t>
      </w:r>
      <w:r w:rsidRPr="00D14C96">
        <w:rPr>
          <w:rFonts w:ascii="Times New Roman" w:hAnsi="Times New Roman" w:cs="Times New Roman"/>
        </w:rPr>
        <w:t xml:space="preserve"> </w:t>
      </w:r>
      <w:r w:rsidRPr="00D14C96">
        <w:rPr>
          <w:rFonts w:ascii="Times New Roman" w:hAnsi="Times New Roman" w:cs="Times New Roman"/>
          <w:i/>
        </w:rPr>
        <w:t xml:space="preserve">un processus d’urbanisation accéléré, qui </w:t>
      </w:r>
      <w:r w:rsidR="003F303B" w:rsidRPr="00D14C96">
        <w:rPr>
          <w:rFonts w:ascii="Times New Roman" w:hAnsi="Times New Roman" w:cs="Times New Roman"/>
          <w:i/>
        </w:rPr>
        <w:t>s’accompagne</w:t>
      </w:r>
      <w:r w:rsidR="00710A92" w:rsidRPr="00D14C96">
        <w:rPr>
          <w:rFonts w:ascii="Times New Roman" w:hAnsi="Times New Roman" w:cs="Times New Roman"/>
          <w:i/>
        </w:rPr>
        <w:t xml:space="preserve"> </w:t>
      </w:r>
      <w:r w:rsidRPr="00D14C96">
        <w:rPr>
          <w:rFonts w:ascii="Times New Roman" w:hAnsi="Times New Roman" w:cs="Times New Roman"/>
          <w:i/>
        </w:rPr>
        <w:t>de nouvelles formes et dynamiques de développement (</w:t>
      </w:r>
      <w:r w:rsidR="003F303B" w:rsidRPr="00D14C96">
        <w:rPr>
          <w:rFonts w:ascii="Times New Roman" w:hAnsi="Times New Roman" w:cs="Times New Roman"/>
          <w:i/>
        </w:rPr>
        <w:t xml:space="preserve">du </w:t>
      </w:r>
      <w:r w:rsidRPr="00D14C96">
        <w:rPr>
          <w:rFonts w:ascii="Times New Roman" w:hAnsi="Times New Roman" w:cs="Times New Roman"/>
          <w:i/>
        </w:rPr>
        <w:t xml:space="preserve">rural vers </w:t>
      </w:r>
      <w:r w:rsidR="003F303B" w:rsidRPr="00D14C96">
        <w:rPr>
          <w:rFonts w:ascii="Times New Roman" w:hAnsi="Times New Roman" w:cs="Times New Roman"/>
          <w:i/>
        </w:rPr>
        <w:t xml:space="preserve">le </w:t>
      </w:r>
      <w:r w:rsidRPr="00D14C96">
        <w:rPr>
          <w:rFonts w:ascii="Times New Roman" w:hAnsi="Times New Roman" w:cs="Times New Roman"/>
          <w:i/>
        </w:rPr>
        <w:t xml:space="preserve">périurbain, </w:t>
      </w:r>
      <w:r w:rsidR="003F303B" w:rsidRPr="00D14C96">
        <w:rPr>
          <w:rFonts w:ascii="Times New Roman" w:hAnsi="Times New Roman" w:cs="Times New Roman"/>
          <w:i/>
        </w:rPr>
        <w:t>de l’</w:t>
      </w:r>
      <w:r w:rsidRPr="00D14C96">
        <w:rPr>
          <w:rFonts w:ascii="Times New Roman" w:hAnsi="Times New Roman" w:cs="Times New Roman"/>
          <w:i/>
        </w:rPr>
        <w:t xml:space="preserve">urbain vers </w:t>
      </w:r>
      <w:r w:rsidR="003F303B" w:rsidRPr="00D14C96">
        <w:rPr>
          <w:rFonts w:ascii="Times New Roman" w:hAnsi="Times New Roman" w:cs="Times New Roman"/>
          <w:i/>
        </w:rPr>
        <w:t xml:space="preserve">le </w:t>
      </w:r>
      <w:r w:rsidRPr="00D14C96">
        <w:rPr>
          <w:rFonts w:ascii="Times New Roman" w:hAnsi="Times New Roman" w:cs="Times New Roman"/>
          <w:i/>
        </w:rPr>
        <w:t xml:space="preserve">périurbain), et </w:t>
      </w:r>
      <w:r w:rsidR="003F303B" w:rsidRPr="00D14C96">
        <w:rPr>
          <w:rFonts w:ascii="Times New Roman" w:hAnsi="Times New Roman" w:cs="Times New Roman"/>
          <w:i/>
        </w:rPr>
        <w:t>d’</w:t>
      </w:r>
      <w:r w:rsidRPr="00D14C96">
        <w:rPr>
          <w:rFonts w:ascii="Times New Roman" w:hAnsi="Times New Roman" w:cs="Times New Roman"/>
          <w:i/>
        </w:rPr>
        <w:t>une évolution des modèles de production</w:t>
      </w:r>
      <w:r w:rsidR="00FD05E3" w:rsidRPr="00D14C96">
        <w:rPr>
          <w:rFonts w:ascii="Times New Roman" w:hAnsi="Times New Roman" w:cs="Times New Roman"/>
          <w:i/>
        </w:rPr>
        <w:t xml:space="preserve"> des territoires urbains</w:t>
      </w:r>
      <w:r w:rsidRPr="00D14C96">
        <w:rPr>
          <w:rFonts w:ascii="Times New Roman" w:hAnsi="Times New Roman" w:cs="Times New Roman"/>
          <w:i/>
        </w:rPr>
        <w:t xml:space="preserve">, de mobilité et d’habitat (grands projets, villes nouvelles, etc.) qui bouleversent les équilibres </w:t>
      </w:r>
      <w:r w:rsidR="00FD05E3" w:rsidRPr="00D14C96">
        <w:rPr>
          <w:rFonts w:ascii="Times New Roman" w:hAnsi="Times New Roman" w:cs="Times New Roman"/>
          <w:i/>
        </w:rPr>
        <w:t xml:space="preserve">territoriaux </w:t>
      </w:r>
      <w:r w:rsidRPr="00D14C96">
        <w:rPr>
          <w:rFonts w:ascii="Times New Roman" w:hAnsi="Times New Roman" w:cs="Times New Roman"/>
          <w:i/>
        </w:rPr>
        <w:t>et les modes de gestion traditionnels</w:t>
      </w:r>
      <w:r w:rsidR="00FD05E3" w:rsidRPr="00D14C96">
        <w:rPr>
          <w:rFonts w:ascii="Times New Roman" w:hAnsi="Times New Roman" w:cs="Times New Roman"/>
          <w:i/>
        </w:rPr>
        <w:t xml:space="preserve"> de la croissance urbaine</w:t>
      </w:r>
      <w:r w:rsidRPr="00D14C96">
        <w:rPr>
          <w:rFonts w:ascii="Times New Roman" w:hAnsi="Times New Roman" w:cs="Times New Roman"/>
          <w:i/>
        </w:rPr>
        <w:t xml:space="preserve">. </w:t>
      </w:r>
    </w:p>
    <w:bookmarkEnd w:id="13"/>
    <w:p w14:paraId="3FDA0E3E" w14:textId="5047CE76" w:rsidR="000050E0" w:rsidRPr="00D14C96" w:rsidRDefault="000050E0" w:rsidP="000050E0">
      <w:pPr>
        <w:widowControl w:val="0"/>
        <w:autoSpaceDE w:val="0"/>
        <w:autoSpaceDN w:val="0"/>
        <w:adjustRightInd w:val="0"/>
        <w:spacing w:after="0" w:line="240" w:lineRule="auto"/>
        <w:jc w:val="both"/>
        <w:rPr>
          <w:rFonts w:ascii="Times New Roman" w:eastAsia="Times New Roman" w:hAnsi="Times New Roman" w:cs="Times New Roman"/>
          <w:i/>
          <w:snapToGrid w:val="0"/>
          <w:color w:val="000000"/>
          <w:sz w:val="24"/>
          <w:szCs w:val="24"/>
          <w:lang w:eastAsia="fr-FR"/>
        </w:rPr>
      </w:pPr>
    </w:p>
    <w:p w14:paraId="2B612A54" w14:textId="77777777" w:rsidR="000050E0" w:rsidRPr="00D14C96" w:rsidRDefault="000050E0" w:rsidP="009C2620">
      <w:pPr>
        <w:pStyle w:val="Heading3"/>
        <w:numPr>
          <w:ilvl w:val="0"/>
          <w:numId w:val="2"/>
        </w:numPr>
        <w:spacing w:line="240" w:lineRule="auto"/>
        <w:ind w:left="720"/>
        <w:rPr>
          <w:rFonts w:ascii="Times New Roman" w:hAnsi="Times New Roman" w:cs="Times New Roman"/>
          <w:b/>
          <w:color w:val="C00000"/>
          <w:lang w:eastAsia="fr-FR"/>
        </w:rPr>
      </w:pPr>
      <w:bookmarkStart w:id="14" w:name="_Toc510620837"/>
      <w:bookmarkStart w:id="15" w:name="_Toc510685295"/>
      <w:bookmarkStart w:id="16" w:name="_Toc510732360"/>
      <w:bookmarkStart w:id="17" w:name="_Toc510732602"/>
      <w:bookmarkStart w:id="18" w:name="_Toc510732825"/>
      <w:bookmarkStart w:id="19" w:name="_Toc510736651"/>
      <w:bookmarkStart w:id="20" w:name="_Toc515875110"/>
      <w:bookmarkEnd w:id="14"/>
      <w:bookmarkEnd w:id="15"/>
      <w:bookmarkEnd w:id="16"/>
      <w:bookmarkEnd w:id="17"/>
      <w:bookmarkEnd w:id="18"/>
      <w:bookmarkEnd w:id="19"/>
      <w:r w:rsidRPr="00D14C96">
        <w:rPr>
          <w:rFonts w:ascii="Times New Roman" w:hAnsi="Times New Roman" w:cs="Times New Roman"/>
          <w:b/>
          <w:color w:val="C00000"/>
          <w:lang w:eastAsia="fr-FR"/>
        </w:rPr>
        <w:t>Dynamique démographique et poids de la croissance des ménages</w:t>
      </w:r>
      <w:bookmarkEnd w:id="20"/>
      <w:r w:rsidRPr="00D14C96">
        <w:rPr>
          <w:rFonts w:ascii="Times New Roman" w:hAnsi="Times New Roman" w:cs="Times New Roman"/>
          <w:b/>
          <w:color w:val="C00000"/>
          <w:lang w:eastAsia="fr-FR"/>
        </w:rPr>
        <w:t xml:space="preserve"> </w:t>
      </w:r>
    </w:p>
    <w:p w14:paraId="49A1AF22" w14:textId="77777777" w:rsidR="000050E0" w:rsidRPr="00D14C96" w:rsidRDefault="000050E0" w:rsidP="000050E0">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lang w:eastAsia="fr-FR"/>
        </w:rPr>
      </w:pPr>
    </w:p>
    <w:p w14:paraId="5AC8844A" w14:textId="593D0442" w:rsidR="001E0FA9" w:rsidRPr="00D14C96" w:rsidRDefault="000050E0" w:rsidP="00B4544E">
      <w:pPr>
        <w:pStyle w:val="Numberedparagraph"/>
        <w:ind w:left="0" w:firstLine="0"/>
        <w:rPr>
          <w:rFonts w:ascii="Times New Roman" w:hAnsi="Times New Roman" w:cs="Times New Roman"/>
          <w:snapToGrid w:val="0"/>
          <w:color w:val="000000"/>
          <w:lang w:eastAsia="fr-FR"/>
        </w:rPr>
      </w:pPr>
      <w:r w:rsidRPr="00D14C96">
        <w:rPr>
          <w:rFonts w:ascii="Times New Roman" w:hAnsi="Times New Roman" w:cs="Times New Roman"/>
          <w:b/>
          <w:snapToGrid w:val="0"/>
          <w:color w:val="000000"/>
          <w:lang w:eastAsia="fr-FR"/>
        </w:rPr>
        <w:t xml:space="preserve">La croissance démographique au Maroc est essentiellement urbaine. </w:t>
      </w:r>
      <w:r w:rsidRPr="00D14C96">
        <w:rPr>
          <w:rFonts w:ascii="Times New Roman" w:hAnsi="Times New Roman" w:cs="Times New Roman"/>
          <w:snapToGrid w:val="0"/>
          <w:color w:val="000000"/>
          <w:lang w:eastAsia="fr-FR"/>
        </w:rPr>
        <w:t xml:space="preserve">Ceci s’explique </w:t>
      </w:r>
      <w:r w:rsidR="00710A92" w:rsidRPr="00D14C96">
        <w:rPr>
          <w:rFonts w:ascii="Times New Roman" w:hAnsi="Times New Roman" w:cs="Times New Roman"/>
          <w:snapToGrid w:val="0"/>
          <w:color w:val="000000"/>
          <w:lang w:eastAsia="fr-FR"/>
        </w:rPr>
        <w:t xml:space="preserve">en grande partie </w:t>
      </w:r>
      <w:r w:rsidRPr="00D14C96">
        <w:rPr>
          <w:rFonts w:ascii="Times New Roman" w:hAnsi="Times New Roman" w:cs="Times New Roman"/>
          <w:snapToGrid w:val="0"/>
          <w:color w:val="000000"/>
          <w:lang w:eastAsia="fr-FR"/>
        </w:rPr>
        <w:t>par</w:t>
      </w:r>
      <w:r w:rsidRPr="00D14C96">
        <w:rPr>
          <w:rFonts w:ascii="Times New Roman" w:hAnsi="Times New Roman" w:cs="Times New Roman"/>
          <w:b/>
          <w:snapToGrid w:val="0"/>
          <w:color w:val="000000"/>
          <w:lang w:eastAsia="fr-FR"/>
        </w:rPr>
        <w:t xml:space="preserve"> </w:t>
      </w:r>
      <w:r w:rsidRPr="00D14C96">
        <w:rPr>
          <w:rFonts w:ascii="Times New Roman" w:hAnsi="Times New Roman" w:cs="Times New Roman"/>
          <w:snapToGrid w:val="0"/>
          <w:color w:val="000000"/>
          <w:lang w:eastAsia="fr-FR"/>
        </w:rPr>
        <w:t xml:space="preserve">l’exode rural et l’extension des périmètres urbains sur les campagnes. </w:t>
      </w:r>
      <w:r w:rsidR="00CE77C5" w:rsidRPr="00D14C96">
        <w:rPr>
          <w:rFonts w:ascii="Times New Roman" w:hAnsi="Times New Roman" w:cs="Times New Roman"/>
          <w:snapToGrid w:val="0"/>
          <w:color w:val="000000"/>
          <w:lang w:eastAsia="fr-FR"/>
        </w:rPr>
        <w:t xml:space="preserve">Bien que le </w:t>
      </w:r>
      <w:r w:rsidRPr="00D14C96">
        <w:rPr>
          <w:rFonts w:ascii="Times New Roman" w:hAnsi="Times New Roman" w:cs="Times New Roman"/>
          <w:snapToGrid w:val="0"/>
          <w:color w:val="000000"/>
          <w:lang w:eastAsia="fr-FR"/>
        </w:rPr>
        <w:t xml:space="preserve">taux d’accroissement </w:t>
      </w:r>
      <w:r w:rsidR="00CE77C5" w:rsidRPr="00D14C96">
        <w:rPr>
          <w:rFonts w:ascii="Times New Roman" w:hAnsi="Times New Roman" w:cs="Times New Roman"/>
          <w:snapToGrid w:val="0"/>
          <w:color w:val="000000"/>
          <w:lang w:eastAsia="fr-FR"/>
        </w:rPr>
        <w:t xml:space="preserve">de la population marocaine soit </w:t>
      </w:r>
      <w:r w:rsidRPr="00D14C96">
        <w:rPr>
          <w:rFonts w:ascii="Times New Roman" w:hAnsi="Times New Roman" w:cs="Times New Roman"/>
          <w:snapToGrid w:val="0"/>
          <w:color w:val="000000"/>
          <w:lang w:eastAsia="fr-FR"/>
        </w:rPr>
        <w:t>en baisse (</w:t>
      </w:r>
      <w:r w:rsidR="00CE77C5" w:rsidRPr="00D14C96">
        <w:rPr>
          <w:rFonts w:ascii="Times New Roman" w:hAnsi="Times New Roman" w:cs="Times New Roman"/>
          <w:snapToGrid w:val="0"/>
          <w:color w:val="000000"/>
          <w:lang w:eastAsia="fr-FR"/>
        </w:rPr>
        <w:t xml:space="preserve">il est passé </w:t>
      </w:r>
      <w:r w:rsidRPr="00D14C96">
        <w:rPr>
          <w:rFonts w:ascii="Times New Roman" w:hAnsi="Times New Roman" w:cs="Times New Roman"/>
          <w:snapToGrid w:val="0"/>
          <w:color w:val="000000"/>
          <w:lang w:eastAsia="fr-FR"/>
        </w:rPr>
        <w:t>de 1,38% à 1,25% entre 2004 et 2014</w:t>
      </w:r>
      <w:r w:rsidR="00CE77C5" w:rsidRPr="00D14C96">
        <w:rPr>
          <w:rFonts w:ascii="Times New Roman" w:hAnsi="Times New Roman" w:cs="Times New Roman"/>
          <w:snapToGrid w:val="0"/>
          <w:color w:val="000000"/>
          <w:lang w:eastAsia="fr-FR"/>
        </w:rPr>
        <w:t xml:space="preserve"> dans le sillage d’une transition démographique rapide</w:t>
      </w:r>
      <w:r w:rsidRPr="00D14C96">
        <w:rPr>
          <w:rFonts w:ascii="Times New Roman" w:hAnsi="Times New Roman" w:cs="Times New Roman"/>
          <w:snapToGrid w:val="0"/>
          <w:color w:val="000000"/>
          <w:lang w:eastAsia="fr-FR"/>
        </w:rPr>
        <w:t xml:space="preserve">), la </w:t>
      </w:r>
      <w:r w:rsidR="003F303B" w:rsidRPr="00D14C96">
        <w:rPr>
          <w:rFonts w:ascii="Times New Roman" w:hAnsi="Times New Roman" w:cs="Times New Roman"/>
          <w:snapToGrid w:val="0"/>
          <w:color w:val="000000"/>
          <w:lang w:eastAsia="fr-FR"/>
        </w:rPr>
        <w:t>population</w:t>
      </w:r>
      <w:r w:rsidR="00CE77C5" w:rsidRPr="00D14C96">
        <w:rPr>
          <w:rFonts w:ascii="Times New Roman" w:hAnsi="Times New Roman" w:cs="Times New Roman"/>
          <w:snapToGrid w:val="0"/>
          <w:color w:val="000000"/>
          <w:lang w:eastAsia="fr-FR"/>
        </w:rPr>
        <w:t xml:space="preserve"> </w:t>
      </w:r>
      <w:r w:rsidRPr="00D14C96">
        <w:rPr>
          <w:rFonts w:ascii="Times New Roman" w:hAnsi="Times New Roman" w:cs="Times New Roman"/>
          <w:snapToGrid w:val="0"/>
          <w:color w:val="000000"/>
          <w:lang w:eastAsia="fr-FR"/>
        </w:rPr>
        <w:t xml:space="preserve">marocaine continue à s’urbaniser. </w:t>
      </w:r>
      <w:r w:rsidR="00410A21" w:rsidRPr="00D14C96">
        <w:rPr>
          <w:rFonts w:ascii="Times New Roman" w:hAnsi="Times New Roman" w:cs="Times New Roman"/>
          <w:snapToGrid w:val="0"/>
          <w:color w:val="000000"/>
          <w:lang w:eastAsia="fr-FR"/>
        </w:rPr>
        <w:t xml:space="preserve">Les villes abriteraient </w:t>
      </w:r>
      <w:r w:rsidR="00410A21" w:rsidRPr="00D14C96">
        <w:rPr>
          <w:rFonts w:ascii="Times New Roman" w:hAnsi="Times New Roman" w:cs="Times New Roman"/>
        </w:rPr>
        <w:t>ainsi</w:t>
      </w:r>
      <w:r w:rsidR="00410A21" w:rsidRPr="00D14C96">
        <w:rPr>
          <w:rFonts w:ascii="Times New Roman" w:hAnsi="Times New Roman" w:cs="Times New Roman"/>
          <w:snapToGrid w:val="0"/>
          <w:color w:val="000000"/>
          <w:lang w:eastAsia="fr-FR"/>
        </w:rPr>
        <w:t xml:space="preserve"> actuellement près des trois quarts des Marocains contre 60,3% en 2014. </w:t>
      </w:r>
      <w:r w:rsidRPr="00D14C96">
        <w:rPr>
          <w:rFonts w:ascii="Times New Roman" w:hAnsi="Times New Roman" w:cs="Times New Roman"/>
          <w:snapToGrid w:val="0"/>
          <w:color w:val="000000"/>
          <w:lang w:eastAsia="fr-FR"/>
        </w:rPr>
        <w:t>Quelques 5,8 millions urbains</w:t>
      </w:r>
      <w:r w:rsidR="001E0FA9" w:rsidRPr="00D14C96">
        <w:rPr>
          <w:rStyle w:val="FootnoteReference"/>
          <w:rFonts w:ascii="Times New Roman" w:hAnsi="Times New Roman" w:cs="Times New Roman"/>
        </w:rPr>
        <w:footnoteReference w:id="1"/>
      </w:r>
      <w:r w:rsidR="001E0FA9" w:rsidRPr="00D14C96">
        <w:rPr>
          <w:rFonts w:ascii="Times New Roman" w:hAnsi="Times New Roman" w:cs="Times New Roman"/>
        </w:rPr>
        <w:t xml:space="preserve"> </w:t>
      </w:r>
      <w:r w:rsidR="001E0FA9" w:rsidRPr="00D14C96">
        <w:rPr>
          <w:rFonts w:ascii="Times New Roman" w:hAnsi="Times New Roman" w:cs="Times New Roman"/>
          <w:snapToGrid w:val="0"/>
          <w:color w:val="000000"/>
          <w:lang w:eastAsia="fr-FR"/>
        </w:rPr>
        <w:t xml:space="preserve"> vont ainsi s’ajouter aux villes dans les 15 ans à venir, dont au moins 50% iront dans les plus grandes d’entre elles. </w:t>
      </w:r>
    </w:p>
    <w:p w14:paraId="5987FC06" w14:textId="77777777" w:rsidR="001E0FA9" w:rsidRPr="00D14C96" w:rsidRDefault="001E0FA9" w:rsidP="000050E0">
      <w:pPr>
        <w:widowControl w:val="0"/>
        <w:autoSpaceDE w:val="0"/>
        <w:autoSpaceDN w:val="0"/>
        <w:adjustRightInd w:val="0"/>
        <w:spacing w:after="0" w:line="240" w:lineRule="auto"/>
        <w:jc w:val="both"/>
        <w:rPr>
          <w:rFonts w:ascii="Times New Roman" w:hAnsi="Times New Roman" w:cs="Times New Roman"/>
          <w:snapToGrid w:val="0"/>
          <w:color w:val="000000"/>
          <w:sz w:val="24"/>
          <w:szCs w:val="24"/>
          <w:lang w:eastAsia="fr-FR"/>
        </w:rPr>
      </w:pPr>
    </w:p>
    <w:p w14:paraId="50DC56A8" w14:textId="77777777" w:rsidR="001E0FA9" w:rsidRPr="00D14C96" w:rsidRDefault="001E0FA9" w:rsidP="000050E0">
      <w:pPr>
        <w:widowControl w:val="0"/>
        <w:autoSpaceDE w:val="0"/>
        <w:autoSpaceDN w:val="0"/>
        <w:adjustRightInd w:val="0"/>
        <w:spacing w:after="0" w:line="240" w:lineRule="auto"/>
        <w:jc w:val="both"/>
        <w:rPr>
          <w:rFonts w:ascii="Times New Roman" w:hAnsi="Times New Roman" w:cs="Times New Roman"/>
          <w:b/>
          <w:snapToGrid w:val="0"/>
          <w:color w:val="000000"/>
          <w:sz w:val="24"/>
          <w:szCs w:val="24"/>
          <w:lang w:eastAsia="fr-FR"/>
        </w:rPr>
      </w:pPr>
      <w:r w:rsidRPr="00D14C96">
        <w:rPr>
          <w:rFonts w:ascii="Times New Roman" w:hAnsi="Times New Roman" w:cs="Times New Roman"/>
          <w:b/>
          <w:snapToGrid w:val="0"/>
          <w:color w:val="000000"/>
          <w:sz w:val="20"/>
          <w:szCs w:val="20"/>
          <w:lang w:eastAsia="fr-FR"/>
        </w:rPr>
        <w:t>Graphique 1 : Indice de l’évolution de la population et des ménages urbains à l’horizon 2030 (indice Base 100 : 1982)</w:t>
      </w:r>
    </w:p>
    <w:p w14:paraId="2FF55B20" w14:textId="77777777" w:rsidR="001E0FA9" w:rsidRPr="00D14C96" w:rsidRDefault="001E0FA9" w:rsidP="000050E0">
      <w:pPr>
        <w:widowControl w:val="0"/>
        <w:autoSpaceDE w:val="0"/>
        <w:autoSpaceDN w:val="0"/>
        <w:adjustRightInd w:val="0"/>
        <w:spacing w:after="0" w:line="240" w:lineRule="auto"/>
        <w:rPr>
          <w:rFonts w:ascii="Times New Roman" w:hAnsi="Times New Roman" w:cs="Times New Roman"/>
          <w:sz w:val="24"/>
          <w:szCs w:val="24"/>
        </w:rPr>
      </w:pPr>
      <w:r w:rsidRPr="00D14C96">
        <w:rPr>
          <w:rFonts w:ascii="Times New Roman" w:hAnsi="Times New Roman" w:cs="Times New Roman"/>
          <w:noProof/>
          <w:sz w:val="24"/>
          <w:szCs w:val="24"/>
          <w:lang w:eastAsia="fr-FR"/>
        </w:rPr>
        <w:drawing>
          <wp:inline distT="0" distB="0" distL="0" distR="0" wp14:anchorId="2E4A5121" wp14:editId="741725B8">
            <wp:extent cx="4943475" cy="2466975"/>
            <wp:effectExtent l="0" t="0" r="9525" b="9525"/>
            <wp:docPr id="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B5AA45" w14:textId="77777777" w:rsidR="001E0FA9" w:rsidRPr="00D14C96" w:rsidRDefault="001E0FA9" w:rsidP="000050E0">
      <w:pPr>
        <w:widowControl w:val="0"/>
        <w:autoSpaceDE w:val="0"/>
        <w:autoSpaceDN w:val="0"/>
        <w:adjustRightInd w:val="0"/>
        <w:spacing w:after="0" w:line="240" w:lineRule="auto"/>
        <w:jc w:val="both"/>
        <w:rPr>
          <w:rFonts w:ascii="Times New Roman" w:hAnsi="Times New Roman" w:cs="Times New Roman"/>
          <w:snapToGrid w:val="0"/>
          <w:color w:val="000000"/>
          <w:sz w:val="20"/>
          <w:szCs w:val="24"/>
          <w:lang w:eastAsia="fr-FR"/>
        </w:rPr>
      </w:pPr>
      <w:r w:rsidRPr="00D14C96">
        <w:rPr>
          <w:rFonts w:ascii="Times New Roman" w:hAnsi="Times New Roman" w:cs="Times New Roman"/>
          <w:snapToGrid w:val="0"/>
          <w:color w:val="000000"/>
          <w:sz w:val="20"/>
          <w:szCs w:val="24"/>
          <w:lang w:eastAsia="fr-FR"/>
        </w:rPr>
        <w:t xml:space="preserve">Source : HCP / Etude SPU </w:t>
      </w:r>
    </w:p>
    <w:p w14:paraId="3E521C7E" w14:textId="77777777" w:rsidR="001E0FA9" w:rsidRPr="00D14C96" w:rsidRDefault="001E0FA9" w:rsidP="000050E0">
      <w:pPr>
        <w:widowControl w:val="0"/>
        <w:autoSpaceDE w:val="0"/>
        <w:autoSpaceDN w:val="0"/>
        <w:adjustRightInd w:val="0"/>
        <w:spacing w:after="0" w:line="240" w:lineRule="auto"/>
        <w:jc w:val="both"/>
        <w:rPr>
          <w:rFonts w:ascii="Times New Roman" w:hAnsi="Times New Roman" w:cs="Times New Roman"/>
          <w:snapToGrid w:val="0"/>
          <w:color w:val="000000"/>
          <w:sz w:val="20"/>
          <w:szCs w:val="24"/>
          <w:lang w:eastAsia="fr-FR"/>
        </w:rPr>
      </w:pPr>
    </w:p>
    <w:p w14:paraId="6F1BD853" w14:textId="77777777" w:rsidR="001E0FA9" w:rsidRPr="00D14C96" w:rsidRDefault="001E0FA9" w:rsidP="00C45F83">
      <w:pPr>
        <w:spacing w:after="0"/>
        <w:rPr>
          <w:rFonts w:ascii="Times New Roman" w:hAnsi="Times New Roman" w:cs="Times New Roman"/>
          <w:sz w:val="20"/>
          <w:szCs w:val="20"/>
        </w:rPr>
      </w:pPr>
    </w:p>
    <w:p w14:paraId="5719FCEB" w14:textId="14D94467"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 xml:space="preserve">Les évolutions de la structure démographique et le tempo de la croissance des ménages génèrent des besoins sans précédent. </w:t>
      </w:r>
      <w:r w:rsidRPr="00D14C96">
        <w:rPr>
          <w:rFonts w:ascii="Times New Roman" w:hAnsi="Times New Roman" w:cs="Times New Roman"/>
          <w:snapToGrid w:val="0"/>
          <w:color w:val="000000"/>
          <w:lang w:eastAsia="fr-FR"/>
        </w:rPr>
        <w:t>Le Maroc va devoir non seulement gérer la transition démographique mais aussi la forte croissance des ménages et l’augmentation de la part de la population en âge de travailler</w:t>
      </w:r>
      <w:r w:rsidRPr="00D14C96">
        <w:rPr>
          <w:rStyle w:val="FootnoteReference"/>
          <w:rFonts w:ascii="Times New Roman" w:hAnsi="Times New Roman" w:cs="Times New Roman"/>
        </w:rPr>
        <w:footnoteReference w:id="2"/>
      </w:r>
      <w:r w:rsidRPr="00D14C96">
        <w:rPr>
          <w:rFonts w:ascii="Times New Roman" w:hAnsi="Times New Roman" w:cs="Times New Roman"/>
          <w:snapToGrid w:val="0"/>
          <w:color w:val="000000"/>
          <w:lang w:eastAsia="fr-FR"/>
        </w:rPr>
        <w:t xml:space="preserve"> (</w:t>
      </w:r>
      <w:r w:rsidR="00EE5B92">
        <w:rPr>
          <w:rFonts w:ascii="Times New Roman" w:hAnsi="Times New Roman" w:cs="Times New Roman"/>
          <w:snapToGrid w:val="0"/>
          <w:color w:val="000000"/>
          <w:lang w:eastAsia="fr-FR"/>
        </w:rPr>
        <w:t xml:space="preserve">dans l’urbain, </w:t>
      </w:r>
      <w:r w:rsidRPr="00D14C96">
        <w:rPr>
          <w:rFonts w:ascii="Times New Roman" w:hAnsi="Times New Roman" w:cs="Times New Roman"/>
        </w:rPr>
        <w:t>le taux de croissance annuel des ménages entre 2004 et 2014 est de 3,48% contre 2,1% pour l’accroissement de population annuel moyen - Graphique 1). Ces évolutions</w:t>
      </w:r>
      <w:r w:rsidRPr="00D14C96">
        <w:rPr>
          <w:rFonts w:ascii="Times New Roman" w:hAnsi="Times New Roman" w:cs="Times New Roman"/>
          <w:b/>
          <w:snapToGrid w:val="0"/>
          <w:color w:val="000000"/>
          <w:lang w:eastAsia="fr-FR"/>
        </w:rPr>
        <w:t xml:space="preserve"> </w:t>
      </w:r>
      <w:r w:rsidRPr="00D14C96">
        <w:rPr>
          <w:rFonts w:ascii="Times New Roman" w:hAnsi="Times New Roman" w:cs="Times New Roman"/>
          <w:snapToGrid w:val="0"/>
          <w:color w:val="000000"/>
          <w:lang w:eastAsia="fr-FR"/>
        </w:rPr>
        <w:t xml:space="preserve">ont un impact considérable sur la demande en logements, en équipements, en emplois, et en services (éducation et santé, transport, et infrastructures de base). </w:t>
      </w:r>
      <w:r w:rsidRPr="00D14C96">
        <w:rPr>
          <w:rFonts w:ascii="Times New Roman" w:hAnsi="Times New Roman" w:cs="Times New Roman"/>
        </w:rPr>
        <w:t xml:space="preserve"> </w:t>
      </w:r>
    </w:p>
    <w:p w14:paraId="35C8C3AD" w14:textId="77777777" w:rsidR="001E0FA9" w:rsidRPr="00D14C96" w:rsidRDefault="001E0FA9" w:rsidP="000050E0">
      <w:pPr>
        <w:widowControl w:val="0"/>
        <w:autoSpaceDE w:val="0"/>
        <w:autoSpaceDN w:val="0"/>
        <w:adjustRightInd w:val="0"/>
        <w:spacing w:after="0" w:line="240" w:lineRule="auto"/>
        <w:jc w:val="both"/>
        <w:rPr>
          <w:rFonts w:ascii="Times New Roman" w:hAnsi="Times New Roman" w:cs="Times New Roman"/>
          <w:snapToGrid w:val="0"/>
          <w:color w:val="000000"/>
          <w:sz w:val="24"/>
          <w:szCs w:val="24"/>
          <w:lang w:eastAsia="fr-FR"/>
        </w:rPr>
      </w:pPr>
    </w:p>
    <w:p w14:paraId="720797EA" w14:textId="77777777" w:rsidR="001E0FA9" w:rsidRPr="00D14C96" w:rsidRDefault="001E0FA9" w:rsidP="009C2620">
      <w:pPr>
        <w:pStyle w:val="Heading3"/>
        <w:numPr>
          <w:ilvl w:val="0"/>
          <w:numId w:val="2"/>
        </w:numPr>
        <w:spacing w:line="240" w:lineRule="auto"/>
        <w:ind w:left="720"/>
        <w:rPr>
          <w:rFonts w:ascii="Times New Roman" w:hAnsi="Times New Roman" w:cs="Times New Roman"/>
          <w:b/>
          <w:color w:val="C00000"/>
          <w:lang w:eastAsia="fr-FR"/>
        </w:rPr>
      </w:pPr>
      <w:bookmarkStart w:id="21" w:name="_Toc510620839"/>
      <w:bookmarkStart w:id="22" w:name="_Toc510685297"/>
      <w:bookmarkStart w:id="23" w:name="_Toc510732362"/>
      <w:bookmarkStart w:id="24" w:name="_Toc510732604"/>
      <w:bookmarkStart w:id="25" w:name="_Toc510732827"/>
      <w:bookmarkStart w:id="26" w:name="_Toc510736653"/>
      <w:bookmarkStart w:id="27" w:name="_Toc510620840"/>
      <w:bookmarkStart w:id="28" w:name="_Toc510685298"/>
      <w:bookmarkStart w:id="29" w:name="_Toc510732363"/>
      <w:bookmarkStart w:id="30" w:name="_Toc510732605"/>
      <w:bookmarkStart w:id="31" w:name="_Toc510732828"/>
      <w:bookmarkStart w:id="32" w:name="_Toc510736654"/>
      <w:bookmarkStart w:id="33" w:name="_Toc510620841"/>
      <w:bookmarkStart w:id="34" w:name="_Toc510685299"/>
      <w:bookmarkStart w:id="35" w:name="_Toc510732364"/>
      <w:bookmarkStart w:id="36" w:name="_Toc510732606"/>
      <w:bookmarkStart w:id="37" w:name="_Toc510732829"/>
      <w:bookmarkStart w:id="38" w:name="_Toc510736655"/>
      <w:bookmarkStart w:id="39" w:name="_Toc510620842"/>
      <w:bookmarkStart w:id="40" w:name="_Toc510685300"/>
      <w:bookmarkStart w:id="41" w:name="_Toc510732365"/>
      <w:bookmarkStart w:id="42" w:name="_Toc510732607"/>
      <w:bookmarkStart w:id="43" w:name="_Toc510732830"/>
      <w:bookmarkStart w:id="44" w:name="_Toc510736656"/>
      <w:bookmarkStart w:id="45" w:name="_Toc510620843"/>
      <w:bookmarkStart w:id="46" w:name="_Toc510685301"/>
      <w:bookmarkStart w:id="47" w:name="_Toc510732366"/>
      <w:bookmarkStart w:id="48" w:name="_Toc510732608"/>
      <w:bookmarkStart w:id="49" w:name="_Toc510732831"/>
      <w:bookmarkStart w:id="50" w:name="_Toc510736657"/>
      <w:bookmarkStart w:id="51" w:name="_Toc515875111"/>
      <w:bookmarkStart w:id="52" w:name="_Hlk51073649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D14C96">
        <w:rPr>
          <w:rFonts w:ascii="Times New Roman" w:hAnsi="Times New Roman" w:cs="Times New Roman"/>
          <w:b/>
          <w:color w:val="C00000"/>
          <w:lang w:eastAsia="fr-FR"/>
        </w:rPr>
        <w:t>Accélération de l’extension des villes et bouleversement des modes de gestion traditionnels</w:t>
      </w:r>
      <w:bookmarkEnd w:id="51"/>
      <w:r w:rsidRPr="00D14C96">
        <w:rPr>
          <w:rFonts w:ascii="Times New Roman" w:hAnsi="Times New Roman" w:cs="Times New Roman"/>
          <w:b/>
          <w:color w:val="C00000"/>
          <w:lang w:eastAsia="fr-FR"/>
        </w:rPr>
        <w:t xml:space="preserve"> </w:t>
      </w:r>
    </w:p>
    <w:bookmarkEnd w:id="52"/>
    <w:p w14:paraId="285BE492"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685C728E" w14:textId="59AF7D2D" w:rsidR="001E0FA9" w:rsidRPr="00D14C96" w:rsidRDefault="001E0FA9" w:rsidP="00B4544E">
      <w:pPr>
        <w:pStyle w:val="Numberedparagraph"/>
        <w:ind w:left="0" w:firstLine="0"/>
        <w:rPr>
          <w:rFonts w:ascii="Times New Roman" w:hAnsi="Times New Roman" w:cs="Times New Roman"/>
          <w:i/>
        </w:rPr>
      </w:pPr>
      <w:r w:rsidRPr="00D14C96">
        <w:rPr>
          <w:rFonts w:ascii="Times New Roman" w:hAnsi="Times New Roman" w:cs="Times New Roman"/>
          <w:b/>
        </w:rPr>
        <w:t>L’urbanisation du Maroc s’accompagne d’un processus inédit d’accroissement des villes et de formation d’aires métropolitaines.</w:t>
      </w:r>
      <w:r w:rsidRPr="00D14C96">
        <w:rPr>
          <w:rFonts w:ascii="Times New Roman" w:hAnsi="Times New Roman" w:cs="Times New Roman"/>
        </w:rPr>
        <w:t xml:space="preserve"> En 2014, les deux tiers (68,2%) de la population urbaine du pays étaient concentrés dans des villes de plus de 100 000 habitants, bien que le poids démographique des huit métropoles nationales par rapport à la population marocaine ait diminué depuis 1971 (Graphique 2). Cette apparente stabilisation de la population des grandes villes ne signifie ni une baisse de l’attractivité de ces villes, ni une perte de leur influence - on assiste au contraire depuis quelques années à un redéploiement spatial des « villes métropoles » qui trouve son expression la plus avancée au niveau des métropoles de Tanger, du Grand Casablanca -Rabat Salé et du Grand Agadir. Cette tendance s’est traduite par</w:t>
      </w:r>
      <w:r w:rsidRPr="00D14C96">
        <w:rPr>
          <w:rFonts w:ascii="Times New Roman" w:hAnsi="Times New Roman" w:cs="Times New Roman"/>
          <w:i/>
        </w:rPr>
        <w:t xml:space="preserve"> </w:t>
      </w:r>
      <w:r w:rsidRPr="00D14C96">
        <w:rPr>
          <w:rFonts w:ascii="Times New Roman" w:hAnsi="Times New Roman" w:cs="Times New Roman"/>
        </w:rPr>
        <w:t>la formation d’aires métropolitaines ou de conurbations autour des villes et des agglomérations (Tanger, Agadir), des phénomènes de périurbanisation diffuse sur de vastes espaces territoriaux (Kénitra, Fès, Meknès), ainsi que par la poursuite de l’expansion de l’axe urbain atlantique (El Jadida, Casablanca, Rabat Salé, Kénitra).</w:t>
      </w:r>
      <w:r w:rsidRPr="00D14C96">
        <w:rPr>
          <w:rFonts w:ascii="Times New Roman" w:hAnsi="Times New Roman" w:cs="Times New Roman"/>
          <w:i/>
        </w:rPr>
        <w:t xml:space="preserve">  </w:t>
      </w:r>
    </w:p>
    <w:p w14:paraId="3DA3904C" w14:textId="77777777" w:rsidR="001E0FA9" w:rsidRPr="00D14C96" w:rsidRDefault="001E0FA9" w:rsidP="000050E0">
      <w:pPr>
        <w:widowControl w:val="0"/>
        <w:spacing w:after="0" w:line="240" w:lineRule="auto"/>
        <w:jc w:val="both"/>
        <w:rPr>
          <w:rFonts w:ascii="Times New Roman" w:hAnsi="Times New Roman" w:cs="Times New Roman"/>
          <w:sz w:val="24"/>
        </w:rPr>
      </w:pPr>
    </w:p>
    <w:p w14:paraId="4AE8ACAC" w14:textId="746D4B46" w:rsidR="001E0FA9" w:rsidRPr="00D14C96" w:rsidRDefault="001E0FA9" w:rsidP="00B4544E">
      <w:pPr>
        <w:pStyle w:val="Numberedparagraph"/>
        <w:ind w:left="0" w:firstLine="0"/>
        <w:rPr>
          <w:rFonts w:ascii="Times New Roman" w:hAnsi="Times New Roman" w:cs="Times New Roman"/>
          <w:snapToGrid w:val="0"/>
          <w:color w:val="000000"/>
          <w:lang w:eastAsia="fr-FR"/>
        </w:rPr>
      </w:pPr>
      <w:r w:rsidRPr="00D14C96">
        <w:rPr>
          <w:rFonts w:ascii="Times New Roman" w:hAnsi="Times New Roman" w:cs="Times New Roman"/>
          <w:b/>
        </w:rPr>
        <w:t xml:space="preserve">Dans les grands pôles urbains, le rythme d’extension des villes s’avère nettement plus rapide que celui de la croissance de la population urbaine. </w:t>
      </w:r>
      <w:r w:rsidRPr="00D14C96">
        <w:rPr>
          <w:rFonts w:ascii="Times New Roman" w:hAnsi="Times New Roman" w:cs="Times New Roman"/>
        </w:rPr>
        <w:t>Ceci tient à la séparation des fonctions (économiques, résidentielles, etc.) et à l’augmentation de l’espace moyen consommé par habitant. Une analyse réalisée au niveau du Grand Casablanca, de Rabat-Salé-Témara et du Grand Marrakech, souligne ainsi la dynamique de l’extension des zones bâties dans les trois grandes agglomérations au cours de la période 2010-2016, et une tendance généralisée à la baisse des densités urbaines.</w:t>
      </w:r>
      <w:r w:rsidRPr="00D14C96">
        <w:rPr>
          <w:rFonts w:ascii="Times New Roman" w:hAnsi="Times New Roman" w:cs="Times New Roman"/>
          <w:snapToGrid w:val="0"/>
          <w:color w:val="000000"/>
          <w:lang w:eastAsia="fr-FR"/>
        </w:rPr>
        <w:t xml:space="preserve"> Le décrochage entre l’étalement urbain et l’accroissement démographique est considérable : le taux de croissance des aires urbanisées a ainsi été plus de 5 fois supérieure à celui de la démographie à Marrakech (de 2,21 à 12,25%), plus de 3 fois pour l’ensemble Rabat-Salé-Témara (de 1,96 à 5,85%), et plus de 1,7 pour le Grand Casablanca (de 1,64 à 2,78%), au cours de la période de comparaison</w:t>
      </w:r>
      <w:r w:rsidRPr="00D14C96">
        <w:rPr>
          <w:rStyle w:val="FootnoteReference"/>
          <w:rFonts w:ascii="Times New Roman" w:hAnsi="Times New Roman" w:cs="Times New Roman"/>
          <w:snapToGrid w:val="0"/>
          <w:lang w:eastAsia="fr-FR"/>
        </w:rPr>
        <w:footnoteReference w:id="3"/>
      </w:r>
      <w:r w:rsidRPr="00D14C96">
        <w:rPr>
          <w:rFonts w:ascii="Times New Roman" w:hAnsi="Times New Roman" w:cs="Times New Roman"/>
          <w:snapToGrid w:val="0"/>
          <w:color w:val="000000"/>
          <w:lang w:eastAsia="fr-FR"/>
        </w:rPr>
        <w:t xml:space="preserve"> (cf. figure 1). A Marrakech, la superficie urbanisée de l’agglomération a pratiquement doublé en une décennie (de 16 000 à 32 000ha) ce qui en fait un cas unique en grande partie dû à la dynamique d’investissement et aux projets touristiques et résidentiels. De même, le Grand Casablanca a vu sa superficie bâtie multipliée par 3,5 (de 10 000 à 36 069 hectares) entre 1980 à 2016. </w:t>
      </w:r>
    </w:p>
    <w:p w14:paraId="5B3511D5" w14:textId="77777777" w:rsidR="001E0FA9" w:rsidRPr="00D14C96" w:rsidRDefault="001E0FA9" w:rsidP="000050E0">
      <w:pPr>
        <w:widowControl w:val="0"/>
        <w:autoSpaceDE w:val="0"/>
        <w:autoSpaceDN w:val="0"/>
        <w:adjustRightInd w:val="0"/>
        <w:spacing w:after="0" w:line="240" w:lineRule="auto"/>
        <w:jc w:val="both"/>
        <w:rPr>
          <w:rFonts w:ascii="Times New Roman" w:hAnsi="Times New Roman" w:cs="Times New Roman"/>
          <w:i/>
          <w:sz w:val="24"/>
          <w:szCs w:val="24"/>
        </w:rPr>
      </w:pPr>
    </w:p>
    <w:p w14:paraId="1DF9FFEF" w14:textId="6E21D086"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 xml:space="preserve">Ce phénomène d’étalement urbain s’accompagne d’importants besoins </w:t>
      </w:r>
      <w:r w:rsidRPr="00D14C96">
        <w:rPr>
          <w:rFonts w:ascii="Times New Roman" w:hAnsi="Times New Roman" w:cs="Times New Roman"/>
          <w:b/>
        </w:rPr>
        <w:lastRenderedPageBreak/>
        <w:t xml:space="preserve">fonciers. </w:t>
      </w:r>
      <w:r w:rsidRPr="00D14C96">
        <w:rPr>
          <w:rFonts w:ascii="Times New Roman" w:hAnsi="Times New Roman" w:cs="Times New Roman"/>
        </w:rPr>
        <w:t xml:space="preserve">La demande en foncier urbain annuel est </w:t>
      </w:r>
      <w:r w:rsidRPr="008D760A">
        <w:rPr>
          <w:rFonts w:ascii="Times New Roman" w:hAnsi="Times New Roman" w:cs="Times New Roman"/>
        </w:rPr>
        <w:t xml:space="preserve">estimée à </w:t>
      </w:r>
      <w:r w:rsidR="00EE5B92" w:rsidRPr="009B72D2">
        <w:rPr>
          <w:rFonts w:ascii="Times New Roman" w:hAnsi="Times New Roman" w:cs="Times New Roman"/>
        </w:rPr>
        <w:t>7</w:t>
      </w:r>
      <w:r w:rsidRPr="008D760A">
        <w:rPr>
          <w:rFonts w:ascii="Times New Roman" w:hAnsi="Times New Roman" w:cs="Times New Roman"/>
        </w:rPr>
        <w:t>.000 Ha</w:t>
      </w:r>
      <w:r w:rsidR="00EE5B92">
        <w:rPr>
          <w:rStyle w:val="FootnoteReference"/>
          <w:rFonts w:cs="Times New Roman"/>
        </w:rPr>
        <w:footnoteReference w:id="4"/>
      </w:r>
      <w:r w:rsidRPr="008D760A">
        <w:rPr>
          <w:rFonts w:ascii="Times New Roman" w:hAnsi="Times New Roman" w:cs="Times New Roman"/>
        </w:rPr>
        <w:t>, pour</w:t>
      </w:r>
      <w:r w:rsidRPr="00D14C96">
        <w:rPr>
          <w:rFonts w:ascii="Times New Roman" w:hAnsi="Times New Roman" w:cs="Times New Roman"/>
        </w:rPr>
        <w:t xml:space="preserve"> </w:t>
      </w:r>
      <w:r w:rsidRPr="00D14C96">
        <w:rPr>
          <w:rFonts w:ascii="Times New Roman" w:eastAsia="Times New Roman" w:hAnsi="Times New Roman" w:cs="Times New Roman"/>
          <w:snapToGrid w:val="0"/>
          <w:color w:val="000000"/>
          <w:lang w:eastAsia="fr-FR"/>
        </w:rPr>
        <w:t>accueillir la population dans les décennies à venir</w:t>
      </w:r>
      <w:r w:rsidRPr="00D14C96">
        <w:rPr>
          <w:rFonts w:ascii="Times New Roman" w:hAnsi="Times New Roman" w:cs="Times New Roman"/>
        </w:rPr>
        <w:t xml:space="preserve"> et répondre aux besoins de logements, d’équipements et de zones d’activités économiques (CERED), soit un coût de 1,8 milliards Dh</w:t>
      </w:r>
      <w:r w:rsidRPr="00D14C96">
        <w:rPr>
          <w:rStyle w:val="FootnoteReference"/>
          <w:rFonts w:ascii="Times New Roman" w:hAnsi="Times New Roman" w:cs="Times New Roman"/>
        </w:rPr>
        <w:footnoteReference w:id="5"/>
      </w:r>
      <w:r w:rsidRPr="00D14C96">
        <w:rPr>
          <w:rFonts w:ascii="Times New Roman" w:hAnsi="Times New Roman" w:cs="Times New Roman"/>
        </w:rPr>
        <w:t xml:space="preserve">. Une très grande partie de ce croît ira se reporter sur les grandes agglomérations, en premier lieu, Casablanca, qui continue à être au centre du dispositif urbain national, mais aussi depuis plus récemment Tanger qui voit exploser son hinterland urbain, ainsi que Marrakech et l’ensemble Témara Rabat Salé Kénitra. </w:t>
      </w:r>
    </w:p>
    <w:p w14:paraId="68F56330" w14:textId="77777777" w:rsidR="001E0FA9" w:rsidRPr="00D14C96" w:rsidRDefault="001E0FA9" w:rsidP="000050E0">
      <w:pPr>
        <w:widowControl w:val="0"/>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393"/>
        <w:gridCol w:w="4394"/>
      </w:tblGrid>
      <w:tr w:rsidR="001E0FA9" w:rsidRPr="00D14C96" w14:paraId="55134F7B" w14:textId="77777777" w:rsidTr="00EA56F8">
        <w:tc>
          <w:tcPr>
            <w:tcW w:w="8777" w:type="dxa"/>
            <w:gridSpan w:val="2"/>
            <w:tcBorders>
              <w:top w:val="nil"/>
              <w:left w:val="nil"/>
              <w:bottom w:val="nil"/>
              <w:right w:val="nil"/>
            </w:tcBorders>
            <w:shd w:val="clear" w:color="auto" w:fill="auto"/>
          </w:tcPr>
          <w:p w14:paraId="5F8038E3" w14:textId="58CCBE75" w:rsidR="001E0FA9" w:rsidRPr="00D14C96" w:rsidRDefault="001E0FA9" w:rsidP="00D33865">
            <w:pPr>
              <w:pStyle w:val="ListParagraph"/>
              <w:tabs>
                <w:tab w:val="left" w:pos="426"/>
              </w:tabs>
              <w:autoSpaceDE w:val="0"/>
              <w:autoSpaceDN w:val="0"/>
              <w:adjustRightInd w:val="0"/>
              <w:spacing w:after="120" w:line="276" w:lineRule="auto"/>
              <w:ind w:left="0"/>
              <w:contextualSpacing w:val="0"/>
              <w:rPr>
                <w:rFonts w:ascii="Times New Roman" w:hAnsi="Times New Roman" w:cs="Times New Roman"/>
                <w:b/>
                <w:noProof/>
                <w:lang w:eastAsia="zh-CN"/>
              </w:rPr>
            </w:pPr>
            <w:r w:rsidRPr="00D14C96">
              <w:rPr>
                <w:rFonts w:ascii="Times New Roman" w:hAnsi="Times New Roman" w:cs="Times New Roman"/>
                <w:b/>
                <w:noProof/>
                <w:lang w:eastAsia="zh-CN"/>
              </w:rPr>
              <w:t>Figure 1. Evolution des extensions urbaines dans les grandes agglomérations entre 1975 et 2014</w:t>
            </w:r>
          </w:p>
        </w:tc>
      </w:tr>
      <w:tr w:rsidR="001E0FA9" w:rsidRPr="00D14C96" w14:paraId="406D7F41" w14:textId="77777777" w:rsidTr="00EA56F8">
        <w:tc>
          <w:tcPr>
            <w:tcW w:w="4388" w:type="dxa"/>
            <w:tcBorders>
              <w:top w:val="nil"/>
            </w:tcBorders>
          </w:tcPr>
          <w:p w14:paraId="60DCF48D" w14:textId="5A722ECC" w:rsidR="001E0FA9" w:rsidRPr="00D14C96" w:rsidRDefault="001E0FA9" w:rsidP="00D33865">
            <w:pPr>
              <w:pStyle w:val="ListParagraph"/>
              <w:tabs>
                <w:tab w:val="left" w:pos="426"/>
              </w:tabs>
              <w:autoSpaceDE w:val="0"/>
              <w:autoSpaceDN w:val="0"/>
              <w:adjustRightInd w:val="0"/>
              <w:spacing w:after="120" w:line="276" w:lineRule="auto"/>
              <w:ind w:left="0"/>
              <w:contextualSpacing w:val="0"/>
              <w:rPr>
                <w:rFonts w:ascii="Times New Roman" w:hAnsi="Times New Roman" w:cs="Times New Roman"/>
                <w:b/>
                <w:noProof/>
                <w:lang w:eastAsia="zh-CN"/>
              </w:rPr>
            </w:pPr>
            <w:r w:rsidRPr="00D14C96">
              <w:rPr>
                <w:rFonts w:ascii="Times New Roman" w:hAnsi="Times New Roman" w:cs="Times New Roman"/>
                <w:b/>
                <w:noProof/>
                <w:lang w:eastAsia="zh-CN"/>
              </w:rPr>
              <w:t xml:space="preserve">Casablanca </w:t>
            </w:r>
          </w:p>
        </w:tc>
        <w:tc>
          <w:tcPr>
            <w:tcW w:w="4389" w:type="dxa"/>
            <w:tcBorders>
              <w:top w:val="nil"/>
            </w:tcBorders>
          </w:tcPr>
          <w:p w14:paraId="179EC162" w14:textId="1BAD17AE" w:rsidR="001E0FA9" w:rsidRPr="00D14C96" w:rsidRDefault="001E0FA9" w:rsidP="00D33865">
            <w:pPr>
              <w:pStyle w:val="ListParagraph"/>
              <w:tabs>
                <w:tab w:val="left" w:pos="426"/>
              </w:tabs>
              <w:autoSpaceDE w:val="0"/>
              <w:autoSpaceDN w:val="0"/>
              <w:adjustRightInd w:val="0"/>
              <w:spacing w:after="120" w:line="276" w:lineRule="auto"/>
              <w:ind w:left="0"/>
              <w:contextualSpacing w:val="0"/>
              <w:rPr>
                <w:rFonts w:ascii="Times New Roman" w:hAnsi="Times New Roman" w:cs="Times New Roman"/>
                <w:b/>
                <w:noProof/>
                <w:lang w:eastAsia="zh-CN"/>
              </w:rPr>
            </w:pPr>
            <w:r w:rsidRPr="00D14C96">
              <w:rPr>
                <w:rFonts w:ascii="Times New Roman" w:hAnsi="Times New Roman" w:cs="Times New Roman"/>
                <w:b/>
                <w:noProof/>
                <w:lang w:eastAsia="zh-CN"/>
              </w:rPr>
              <w:t xml:space="preserve">Rabat Sale </w:t>
            </w:r>
          </w:p>
        </w:tc>
      </w:tr>
      <w:tr w:rsidR="001E0FA9" w:rsidRPr="00D14C96" w14:paraId="0094E9C4" w14:textId="77777777" w:rsidTr="00D33865">
        <w:tc>
          <w:tcPr>
            <w:tcW w:w="4388" w:type="dxa"/>
          </w:tcPr>
          <w:p w14:paraId="43B7B25C" w14:textId="77777777" w:rsidR="001E0FA9" w:rsidRPr="00D14C96" w:rsidRDefault="001E0FA9" w:rsidP="00AD322F">
            <w:pPr>
              <w:pStyle w:val="ListParagraph"/>
              <w:tabs>
                <w:tab w:val="left" w:pos="426"/>
              </w:tabs>
              <w:autoSpaceDE w:val="0"/>
              <w:autoSpaceDN w:val="0"/>
              <w:adjustRightInd w:val="0"/>
              <w:spacing w:after="120" w:line="276" w:lineRule="auto"/>
              <w:ind w:left="0"/>
              <w:contextualSpacing w:val="0"/>
              <w:rPr>
                <w:rFonts w:ascii="Times New Roman" w:hAnsi="Times New Roman" w:cs="Times New Roman"/>
                <w:b/>
                <w:noProof/>
                <w:lang w:eastAsia="zh-CN"/>
              </w:rPr>
            </w:pPr>
            <w:r w:rsidRPr="00D14C96">
              <w:rPr>
                <w:rFonts w:ascii="Times New Roman" w:hAnsi="Times New Roman" w:cs="Times New Roman"/>
                <w:noProof/>
                <w:lang w:eastAsia="fr-FR"/>
              </w:rPr>
              <w:drawing>
                <wp:inline distT="0" distB="0" distL="0" distR="0" wp14:anchorId="5DED9B27" wp14:editId="7F6617A2">
                  <wp:extent cx="3999652" cy="2249805"/>
                  <wp:effectExtent l="0" t="0" r="127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4012915" cy="2257266"/>
                          </a:xfrm>
                          <a:prstGeom prst="rect">
                            <a:avLst/>
                          </a:prstGeom>
                        </pic:spPr>
                      </pic:pic>
                    </a:graphicData>
                  </a:graphic>
                </wp:inline>
              </w:drawing>
            </w:r>
          </w:p>
        </w:tc>
        <w:tc>
          <w:tcPr>
            <w:tcW w:w="4389" w:type="dxa"/>
          </w:tcPr>
          <w:p w14:paraId="794253C7" w14:textId="77777777" w:rsidR="001E0FA9" w:rsidRPr="00D14C96" w:rsidRDefault="001E0FA9" w:rsidP="00AD322F">
            <w:pPr>
              <w:pStyle w:val="ListParagraph"/>
              <w:tabs>
                <w:tab w:val="left" w:pos="426"/>
              </w:tabs>
              <w:autoSpaceDE w:val="0"/>
              <w:autoSpaceDN w:val="0"/>
              <w:adjustRightInd w:val="0"/>
              <w:spacing w:after="120" w:line="276" w:lineRule="auto"/>
              <w:ind w:left="0"/>
              <w:contextualSpacing w:val="0"/>
              <w:rPr>
                <w:rFonts w:ascii="Times New Roman" w:hAnsi="Times New Roman" w:cs="Times New Roman"/>
                <w:b/>
                <w:noProof/>
                <w:lang w:eastAsia="zh-CN"/>
              </w:rPr>
            </w:pPr>
            <w:r w:rsidRPr="00D14C96">
              <w:rPr>
                <w:rFonts w:ascii="Times New Roman" w:hAnsi="Times New Roman" w:cs="Times New Roman"/>
                <w:b/>
                <w:noProof/>
                <w:lang w:eastAsia="fr-FR"/>
              </w:rPr>
              <w:drawing>
                <wp:inline distT="0" distB="0" distL="0" distR="0" wp14:anchorId="0AA59458" wp14:editId="0D38BC6E">
                  <wp:extent cx="4000500" cy="2249854"/>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9862" cy="2255119"/>
                          </a:xfrm>
                          <a:prstGeom prst="rect">
                            <a:avLst/>
                          </a:prstGeom>
                        </pic:spPr>
                      </pic:pic>
                    </a:graphicData>
                  </a:graphic>
                </wp:inline>
              </w:drawing>
            </w:r>
          </w:p>
        </w:tc>
      </w:tr>
      <w:tr w:rsidR="001E0FA9" w:rsidRPr="00D14C96" w14:paraId="0D5AFDEF" w14:textId="77777777" w:rsidTr="00D33865">
        <w:tc>
          <w:tcPr>
            <w:tcW w:w="4388" w:type="dxa"/>
          </w:tcPr>
          <w:p w14:paraId="6BD8AA0A" w14:textId="10C252EE" w:rsidR="001E0FA9" w:rsidRPr="00D14C96" w:rsidRDefault="001E0FA9" w:rsidP="00D33865">
            <w:pPr>
              <w:pStyle w:val="ListParagraph"/>
              <w:tabs>
                <w:tab w:val="left" w:pos="426"/>
              </w:tabs>
              <w:autoSpaceDE w:val="0"/>
              <w:autoSpaceDN w:val="0"/>
              <w:adjustRightInd w:val="0"/>
              <w:spacing w:after="120" w:line="276" w:lineRule="auto"/>
              <w:ind w:left="0"/>
              <w:contextualSpacing w:val="0"/>
              <w:rPr>
                <w:rFonts w:ascii="Times New Roman" w:hAnsi="Times New Roman" w:cs="Times New Roman"/>
                <w:b/>
                <w:noProof/>
                <w:lang w:eastAsia="zh-CN"/>
              </w:rPr>
            </w:pPr>
            <w:r w:rsidRPr="00D14C96">
              <w:rPr>
                <w:rFonts w:ascii="Times New Roman" w:hAnsi="Times New Roman" w:cs="Times New Roman"/>
                <w:b/>
                <w:noProof/>
                <w:lang w:eastAsia="zh-CN"/>
              </w:rPr>
              <w:t xml:space="preserve">Marrakech </w:t>
            </w:r>
          </w:p>
        </w:tc>
        <w:tc>
          <w:tcPr>
            <w:tcW w:w="4389" w:type="dxa"/>
          </w:tcPr>
          <w:p w14:paraId="7200376B" w14:textId="697A37FA" w:rsidR="001E0FA9" w:rsidRPr="00D14C96" w:rsidRDefault="001E0FA9" w:rsidP="00D33865">
            <w:pPr>
              <w:pStyle w:val="ListParagraph"/>
              <w:tabs>
                <w:tab w:val="left" w:pos="426"/>
              </w:tabs>
              <w:autoSpaceDE w:val="0"/>
              <w:autoSpaceDN w:val="0"/>
              <w:adjustRightInd w:val="0"/>
              <w:spacing w:after="120" w:line="276" w:lineRule="auto"/>
              <w:ind w:left="0"/>
              <w:contextualSpacing w:val="0"/>
              <w:rPr>
                <w:rFonts w:ascii="Times New Roman" w:hAnsi="Times New Roman" w:cs="Times New Roman"/>
                <w:b/>
                <w:noProof/>
                <w:lang w:eastAsia="zh-CN"/>
              </w:rPr>
            </w:pPr>
            <w:r w:rsidRPr="00D14C96">
              <w:rPr>
                <w:rFonts w:ascii="Times New Roman" w:hAnsi="Times New Roman" w:cs="Times New Roman"/>
                <w:b/>
                <w:noProof/>
                <w:lang w:eastAsia="zh-CN"/>
              </w:rPr>
              <w:t xml:space="preserve">Tanger </w:t>
            </w:r>
          </w:p>
        </w:tc>
      </w:tr>
      <w:tr w:rsidR="001E0FA9" w:rsidRPr="00D14C96" w14:paraId="53A0E13C" w14:textId="77777777" w:rsidTr="00D33865">
        <w:tc>
          <w:tcPr>
            <w:tcW w:w="4388" w:type="dxa"/>
          </w:tcPr>
          <w:p w14:paraId="76CC6940" w14:textId="77777777" w:rsidR="001E0FA9" w:rsidRPr="00D14C96" w:rsidRDefault="001E0FA9" w:rsidP="00AD322F">
            <w:pPr>
              <w:pStyle w:val="ListParagraph"/>
              <w:tabs>
                <w:tab w:val="left" w:pos="426"/>
              </w:tabs>
              <w:autoSpaceDE w:val="0"/>
              <w:autoSpaceDN w:val="0"/>
              <w:adjustRightInd w:val="0"/>
              <w:spacing w:after="120" w:line="276" w:lineRule="auto"/>
              <w:ind w:left="0"/>
              <w:contextualSpacing w:val="0"/>
              <w:rPr>
                <w:rFonts w:ascii="Times New Roman" w:hAnsi="Times New Roman" w:cs="Times New Roman"/>
                <w:b/>
                <w:noProof/>
                <w:lang w:eastAsia="zh-CN"/>
              </w:rPr>
            </w:pPr>
            <w:r w:rsidRPr="00D14C96">
              <w:rPr>
                <w:rFonts w:ascii="Times New Roman" w:hAnsi="Times New Roman" w:cs="Times New Roman"/>
                <w:noProof/>
                <w:lang w:eastAsia="fr-FR"/>
              </w:rPr>
              <w:drawing>
                <wp:inline distT="0" distB="0" distL="0" distR="0" wp14:anchorId="54A16DE0" wp14:editId="500100C4">
                  <wp:extent cx="3538609" cy="1990090"/>
                  <wp:effectExtent l="0" t="0" r="508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552671" cy="1997998"/>
                          </a:xfrm>
                          <a:prstGeom prst="rect">
                            <a:avLst/>
                          </a:prstGeom>
                        </pic:spPr>
                      </pic:pic>
                    </a:graphicData>
                  </a:graphic>
                </wp:inline>
              </w:drawing>
            </w:r>
          </w:p>
        </w:tc>
        <w:tc>
          <w:tcPr>
            <w:tcW w:w="4389" w:type="dxa"/>
          </w:tcPr>
          <w:p w14:paraId="1AEEBBA1" w14:textId="77777777" w:rsidR="001E0FA9" w:rsidRPr="00D14C96" w:rsidRDefault="001E0FA9" w:rsidP="00AD322F">
            <w:pPr>
              <w:pStyle w:val="ListParagraph"/>
              <w:tabs>
                <w:tab w:val="left" w:pos="426"/>
              </w:tabs>
              <w:autoSpaceDE w:val="0"/>
              <w:autoSpaceDN w:val="0"/>
              <w:adjustRightInd w:val="0"/>
              <w:spacing w:after="120" w:line="276" w:lineRule="auto"/>
              <w:ind w:left="0"/>
              <w:contextualSpacing w:val="0"/>
              <w:rPr>
                <w:rFonts w:ascii="Times New Roman" w:hAnsi="Times New Roman" w:cs="Times New Roman"/>
                <w:b/>
                <w:noProof/>
                <w:lang w:eastAsia="zh-CN"/>
              </w:rPr>
            </w:pPr>
            <w:r w:rsidRPr="00D14C96">
              <w:rPr>
                <w:rFonts w:ascii="Times New Roman" w:hAnsi="Times New Roman" w:cs="Times New Roman"/>
                <w:b/>
                <w:noProof/>
                <w:lang w:eastAsia="fr-FR"/>
              </w:rPr>
              <w:drawing>
                <wp:inline distT="0" distB="0" distL="0" distR="0" wp14:anchorId="5187499A" wp14:editId="4E1F7016">
                  <wp:extent cx="3543300" cy="1993106"/>
                  <wp:effectExtent l="0" t="0" r="0" b="7620"/>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3555093" cy="1999740"/>
                          </a:xfrm>
                          <a:prstGeom prst="rect">
                            <a:avLst/>
                          </a:prstGeom>
                        </pic:spPr>
                      </pic:pic>
                    </a:graphicData>
                  </a:graphic>
                </wp:inline>
              </w:drawing>
            </w:r>
          </w:p>
        </w:tc>
      </w:tr>
    </w:tbl>
    <w:p w14:paraId="55875C1F" w14:textId="77777777" w:rsidR="001E0FA9" w:rsidRPr="00D14C96" w:rsidRDefault="001E0FA9" w:rsidP="00552510">
      <w:pPr>
        <w:spacing w:after="0"/>
        <w:rPr>
          <w:rFonts w:ascii="Times New Roman" w:hAnsi="Times New Roman" w:cs="Times New Roman"/>
          <w:i/>
        </w:rPr>
      </w:pPr>
      <w:r w:rsidRPr="00D14C96">
        <w:rPr>
          <w:rFonts w:ascii="Times New Roman" w:hAnsi="Times New Roman" w:cs="Times New Roman"/>
          <w:i/>
        </w:rPr>
        <w:t>Source: Banque Mondiale en utilisant les cartes ArcScene</w:t>
      </w:r>
    </w:p>
    <w:p w14:paraId="31C4D186" w14:textId="77777777" w:rsidR="001E0FA9" w:rsidRPr="00D14C96" w:rsidRDefault="001E0FA9">
      <w:pPr>
        <w:rPr>
          <w:rFonts w:ascii="Times New Roman" w:eastAsia="Times New Roman" w:hAnsi="Times New Roman" w:cs="Times New Roman"/>
          <w:b/>
          <w:bCs/>
          <w:color w:val="2E74B5" w:themeColor="accent1" w:themeShade="BF"/>
          <w:kern w:val="36"/>
          <w:sz w:val="24"/>
          <w:szCs w:val="24"/>
          <w:u w:val="single"/>
          <w:lang w:eastAsia="fr-FR"/>
        </w:rPr>
      </w:pPr>
      <w:r w:rsidRPr="00D14C96">
        <w:rPr>
          <w:rFonts w:ascii="Times New Roman" w:hAnsi="Times New Roman" w:cs="Times New Roman"/>
          <w:color w:val="2E74B5" w:themeColor="accent1" w:themeShade="BF"/>
          <w:sz w:val="24"/>
          <w:szCs w:val="24"/>
          <w:u w:val="single"/>
        </w:rPr>
        <w:br w:type="page"/>
      </w:r>
    </w:p>
    <w:p w14:paraId="1ADC285A" w14:textId="585AE30A" w:rsidR="001E0FA9" w:rsidRPr="00D14C96" w:rsidRDefault="001E0FA9" w:rsidP="00552510">
      <w:pPr>
        <w:pStyle w:val="Heading1"/>
        <w:rPr>
          <w:b w:val="0"/>
          <w:color w:val="2E74B5" w:themeColor="accent1" w:themeShade="BF"/>
          <w:sz w:val="24"/>
          <w:szCs w:val="24"/>
          <w:u w:val="single"/>
        </w:rPr>
      </w:pPr>
      <w:bookmarkStart w:id="53" w:name="_Toc515875112"/>
      <w:r w:rsidRPr="00D14C96">
        <w:rPr>
          <w:color w:val="2E74B5" w:themeColor="accent1" w:themeShade="BF"/>
          <w:sz w:val="24"/>
          <w:szCs w:val="24"/>
          <w:u w:val="single"/>
        </w:rPr>
        <w:lastRenderedPageBreak/>
        <w:t>Contraintes du système d’encadrement, de régulation et de mise en œuvre du développement urbain</w:t>
      </w:r>
      <w:bookmarkEnd w:id="53"/>
      <w:r w:rsidRPr="00D14C96">
        <w:rPr>
          <w:color w:val="2E74B5" w:themeColor="accent1" w:themeShade="BF"/>
          <w:sz w:val="24"/>
          <w:szCs w:val="24"/>
          <w:u w:val="single"/>
        </w:rPr>
        <w:t xml:space="preserve"> </w:t>
      </w:r>
    </w:p>
    <w:p w14:paraId="0B04C4D6" w14:textId="7311E1F7" w:rsidR="001E0FA9" w:rsidRPr="00D14C96" w:rsidRDefault="001E0FA9" w:rsidP="00B4544E">
      <w:pPr>
        <w:pStyle w:val="Numberedparagraph"/>
        <w:ind w:left="0" w:firstLine="0"/>
        <w:rPr>
          <w:rFonts w:ascii="Times New Roman" w:hAnsi="Times New Roman" w:cs="Times New Roman"/>
          <w:i/>
        </w:rPr>
      </w:pPr>
      <w:bookmarkStart w:id="54" w:name="_Hlk510685401"/>
      <w:r w:rsidRPr="00D14C96">
        <w:rPr>
          <w:rFonts w:ascii="Times New Roman" w:hAnsi="Times New Roman" w:cs="Times New Roman"/>
          <w:i/>
        </w:rPr>
        <w:t>Malgré des avancées et des succès indéniables, le Maroc pourrait tirer davantage tirer profit des opportunités économiques et du potentiel des villes pour en faire des leviers de progrès économique et social</w:t>
      </w:r>
      <w:r w:rsidRPr="00D14C96">
        <w:rPr>
          <w:rFonts w:ascii="Times New Roman" w:hAnsi="Times New Roman" w:cs="Times New Roman"/>
          <w:i/>
          <w:vertAlign w:val="superscript"/>
        </w:rPr>
        <w:footnoteReference w:id="6"/>
      </w:r>
      <w:r w:rsidRPr="00D14C96">
        <w:rPr>
          <w:rFonts w:ascii="Times New Roman" w:hAnsi="Times New Roman" w:cs="Times New Roman"/>
          <w:i/>
        </w:rPr>
        <w:t xml:space="preserve">. Les contraintes et les dysfonctionnements du système (planification, foncier, financier, opérationnel, législatif, de gouvernance, etc.) compromettent actuellement la capacité du pays à correctement accompagner et gérer le processus d’urbanisation. </w:t>
      </w:r>
    </w:p>
    <w:p w14:paraId="1016BE63" w14:textId="77777777" w:rsidR="001E0FA9" w:rsidRPr="00D14C96" w:rsidRDefault="001E0FA9" w:rsidP="001E0FA9">
      <w:pPr>
        <w:rPr>
          <w:rFonts w:ascii="Times New Roman" w:hAnsi="Times New Roman" w:cs="Times New Roman"/>
        </w:rPr>
      </w:pPr>
    </w:p>
    <w:p w14:paraId="51000BCD" w14:textId="77777777" w:rsidR="001E0FA9" w:rsidRPr="00D14C96" w:rsidRDefault="001E0FA9" w:rsidP="009C2620">
      <w:pPr>
        <w:pStyle w:val="Heading3"/>
        <w:numPr>
          <w:ilvl w:val="0"/>
          <w:numId w:val="3"/>
        </w:numPr>
        <w:spacing w:line="240" w:lineRule="auto"/>
        <w:ind w:left="720"/>
        <w:rPr>
          <w:rFonts w:ascii="Times New Roman" w:hAnsi="Times New Roman" w:cs="Times New Roman"/>
          <w:b/>
          <w:color w:val="C00000"/>
          <w:lang w:eastAsia="fr-FR"/>
        </w:rPr>
      </w:pPr>
      <w:bookmarkStart w:id="55" w:name="_Toc510620846"/>
      <w:bookmarkStart w:id="56" w:name="_Toc510685304"/>
      <w:bookmarkStart w:id="57" w:name="_Toc510732369"/>
      <w:bookmarkStart w:id="58" w:name="_Toc510732611"/>
      <w:bookmarkStart w:id="59" w:name="_Toc510732834"/>
      <w:bookmarkStart w:id="60" w:name="_Toc510736660"/>
      <w:bookmarkStart w:id="61" w:name="_Toc510620847"/>
      <w:bookmarkStart w:id="62" w:name="_Toc510685305"/>
      <w:bookmarkStart w:id="63" w:name="_Toc510732370"/>
      <w:bookmarkStart w:id="64" w:name="_Toc510732612"/>
      <w:bookmarkStart w:id="65" w:name="_Toc510732835"/>
      <w:bookmarkStart w:id="66" w:name="_Toc510736661"/>
      <w:bookmarkStart w:id="67" w:name="_Toc510620848"/>
      <w:bookmarkStart w:id="68" w:name="_Toc510685306"/>
      <w:bookmarkStart w:id="69" w:name="_Toc510732371"/>
      <w:bookmarkStart w:id="70" w:name="_Toc510732613"/>
      <w:bookmarkStart w:id="71" w:name="_Toc510732836"/>
      <w:bookmarkStart w:id="72" w:name="_Toc510736662"/>
      <w:bookmarkStart w:id="73" w:name="_Toc510620849"/>
      <w:bookmarkStart w:id="74" w:name="_Toc510685307"/>
      <w:bookmarkStart w:id="75" w:name="_Toc510732372"/>
      <w:bookmarkStart w:id="76" w:name="_Toc510732614"/>
      <w:bookmarkStart w:id="77" w:name="_Toc510732837"/>
      <w:bookmarkStart w:id="78" w:name="_Toc510736663"/>
      <w:bookmarkStart w:id="79" w:name="_Toc510620850"/>
      <w:bookmarkStart w:id="80" w:name="_Toc510685308"/>
      <w:bookmarkStart w:id="81" w:name="_Toc510732373"/>
      <w:bookmarkStart w:id="82" w:name="_Toc510732615"/>
      <w:bookmarkStart w:id="83" w:name="_Toc510732838"/>
      <w:bookmarkStart w:id="84" w:name="_Toc510736664"/>
      <w:bookmarkStart w:id="85" w:name="_Toc510620851"/>
      <w:bookmarkStart w:id="86" w:name="_Toc510685309"/>
      <w:bookmarkStart w:id="87" w:name="_Toc510732374"/>
      <w:bookmarkStart w:id="88" w:name="_Toc510732616"/>
      <w:bookmarkStart w:id="89" w:name="_Toc510732839"/>
      <w:bookmarkStart w:id="90" w:name="_Toc510736665"/>
      <w:bookmarkStart w:id="91" w:name="_Toc515875113"/>
      <w:bookmarkStart w:id="92" w:name="_Hlk51073468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D14C96">
        <w:rPr>
          <w:rFonts w:ascii="Times New Roman" w:hAnsi="Times New Roman" w:cs="Times New Roman"/>
          <w:b/>
          <w:color w:val="C00000"/>
          <w:lang w:eastAsia="fr-FR"/>
        </w:rPr>
        <w:t>Dysfonctionnements et contraintes du système foncier</w:t>
      </w:r>
      <w:bookmarkEnd w:id="91"/>
      <w:r w:rsidRPr="00D14C96">
        <w:rPr>
          <w:rFonts w:ascii="Times New Roman" w:hAnsi="Times New Roman" w:cs="Times New Roman"/>
          <w:b/>
          <w:color w:val="C00000"/>
          <w:lang w:eastAsia="fr-FR"/>
        </w:rPr>
        <w:t xml:space="preserve"> </w:t>
      </w:r>
    </w:p>
    <w:bookmarkEnd w:id="92"/>
    <w:p w14:paraId="09D18AF2"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46CC26BA" w14:textId="17D0FFE8" w:rsidR="001E0FA9" w:rsidRPr="00D14C96" w:rsidRDefault="001E0FA9" w:rsidP="00B4544E">
      <w:pPr>
        <w:pStyle w:val="Numberedparagraph"/>
        <w:ind w:left="0" w:firstLine="0"/>
        <w:rPr>
          <w:rFonts w:ascii="Times New Roman" w:hAnsi="Times New Roman" w:cs="Times New Roman"/>
        </w:rPr>
      </w:pPr>
      <w:bookmarkStart w:id="93" w:name="_Hlk510602131"/>
      <w:r w:rsidRPr="00D14C96">
        <w:rPr>
          <w:rFonts w:ascii="Times New Roman" w:hAnsi="Times New Roman" w:cs="Times New Roman"/>
          <w:b/>
        </w:rPr>
        <w:t xml:space="preserve">Le système foncier marocain présente d’importantes contraintes </w:t>
      </w:r>
      <w:bookmarkStart w:id="94" w:name="_Hlk510734725"/>
      <w:r w:rsidRPr="00D14C96">
        <w:rPr>
          <w:rFonts w:ascii="Times New Roman" w:hAnsi="Times New Roman" w:cs="Times New Roman"/>
          <w:b/>
        </w:rPr>
        <w:t>juridiques comme dans sa gestion et ses pratiques (connaissance, disponibilité, sécurisation)</w:t>
      </w:r>
      <w:bookmarkEnd w:id="94"/>
      <w:r w:rsidRPr="00D14C96">
        <w:rPr>
          <w:rFonts w:ascii="Times New Roman" w:hAnsi="Times New Roman" w:cs="Times New Roman"/>
          <w:b/>
        </w:rPr>
        <w:t>.</w:t>
      </w:r>
      <w:r w:rsidRPr="00D14C96">
        <w:rPr>
          <w:rFonts w:ascii="Times New Roman" w:hAnsi="Times New Roman" w:cs="Times New Roman"/>
        </w:rPr>
        <w:t xml:space="preserve"> Ces contraintes sont au cœur des difficultés rencontrées dans la mise en cohérence</w:t>
      </w:r>
      <w:r w:rsidRPr="00D14C96">
        <w:rPr>
          <w:rFonts w:ascii="Times New Roman" w:hAnsi="Times New Roman" w:cs="Times New Roman"/>
          <w:i/>
        </w:rPr>
        <w:t xml:space="preserve"> </w:t>
      </w:r>
      <w:r w:rsidRPr="00D14C96">
        <w:rPr>
          <w:rFonts w:ascii="Times New Roman" w:hAnsi="Times New Roman" w:cs="Times New Roman"/>
        </w:rPr>
        <w:t>du développement urbain et l’intégration économique et sociale des populations concernées. Elles résident principalement dans la complexité et la lourdeur des dispositions juridiques adoptées, la multiplicité des régimes fonciers, la faiblesse de la proportion des biens immobiliers immatriculés (environ 10% dans les communes rurales</w:t>
      </w:r>
      <w:r w:rsidRPr="00D14C96">
        <w:rPr>
          <w:rStyle w:val="FootnoteReference"/>
          <w:rFonts w:ascii="Times New Roman" w:hAnsi="Times New Roman" w:cs="Times New Roman"/>
        </w:rPr>
        <w:footnoteReference w:id="7"/>
      </w:r>
      <w:r w:rsidRPr="00D14C96">
        <w:rPr>
          <w:rFonts w:ascii="Times New Roman" w:hAnsi="Times New Roman" w:cs="Times New Roman"/>
        </w:rPr>
        <w:t>),</w:t>
      </w:r>
      <w:r w:rsidRPr="00D14C96">
        <w:rPr>
          <w:rFonts w:ascii="Times New Roman" w:hAnsi="Times New Roman" w:cs="Times New Roman"/>
          <w:i/>
        </w:rPr>
        <w:t xml:space="preserve"> </w:t>
      </w:r>
      <w:r w:rsidRPr="00D14C96">
        <w:rPr>
          <w:rFonts w:ascii="Times New Roman" w:hAnsi="Times New Roman" w:cs="Times New Roman"/>
        </w:rPr>
        <w:t>et la non-actualisation de la carte foncière. </w:t>
      </w:r>
    </w:p>
    <w:bookmarkEnd w:id="93"/>
    <w:p w14:paraId="20F68BFB"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2D64F0EE" w14:textId="73F6358B" w:rsidR="001E0FA9" w:rsidRPr="00D14C96" w:rsidRDefault="001E0FA9" w:rsidP="00B4544E">
      <w:pPr>
        <w:pStyle w:val="Numberedparagraph"/>
        <w:ind w:left="0" w:firstLine="0"/>
        <w:rPr>
          <w:rFonts w:ascii="Times New Roman" w:hAnsi="Times New Roman" w:cs="Times New Roman"/>
        </w:rPr>
      </w:pPr>
      <w:bookmarkStart w:id="95" w:name="_Hlk510685465"/>
      <w:r w:rsidRPr="00D14C96">
        <w:rPr>
          <w:rFonts w:ascii="Times New Roman" w:hAnsi="Times New Roman" w:cs="Times New Roman"/>
          <w:b/>
        </w:rPr>
        <w:t>L’accès au foncier reste un frein majeur à l’investissement privé et à la croissance économique.</w:t>
      </w:r>
      <w:r w:rsidRPr="00D14C96">
        <w:rPr>
          <w:rFonts w:ascii="Times New Roman" w:hAnsi="Times New Roman" w:cs="Times New Roman"/>
        </w:rPr>
        <w:t xml:space="preserve"> </w:t>
      </w:r>
      <w:bookmarkEnd w:id="95"/>
      <w:r w:rsidRPr="00D14C96">
        <w:rPr>
          <w:rFonts w:ascii="Times New Roman" w:hAnsi="Times New Roman" w:cs="Times New Roman"/>
        </w:rPr>
        <w:t xml:space="preserve">Le poids des contingences rencontrées interpelle aujourd'hui sur la nature des réponses à apporter et sur les leviers à actionner aux plans juridique, institutionnel, managérial et financier pour fluidifier les marchés, activer la mise à disposition des terrains équipés et mettre en place un cadre sécurisé pour les activités économiques. </w:t>
      </w:r>
    </w:p>
    <w:p w14:paraId="147B9EA6"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65820505" w14:textId="47711AA5" w:rsidR="001E0FA9" w:rsidRPr="00D14C96" w:rsidRDefault="001E0FA9" w:rsidP="009C2620">
      <w:pPr>
        <w:pStyle w:val="Heading3"/>
        <w:numPr>
          <w:ilvl w:val="0"/>
          <w:numId w:val="3"/>
        </w:numPr>
        <w:spacing w:line="240" w:lineRule="auto"/>
        <w:ind w:left="720"/>
        <w:rPr>
          <w:rFonts w:ascii="Times New Roman" w:hAnsi="Times New Roman" w:cs="Times New Roman"/>
          <w:b/>
          <w:color w:val="C00000"/>
          <w:lang w:eastAsia="fr-FR"/>
        </w:rPr>
      </w:pPr>
      <w:bookmarkStart w:id="96" w:name="_Toc515875114"/>
      <w:r w:rsidRPr="00D14C96">
        <w:rPr>
          <w:rFonts w:ascii="Times New Roman" w:hAnsi="Times New Roman" w:cs="Times New Roman"/>
          <w:b/>
          <w:color w:val="C00000"/>
          <w:lang w:eastAsia="fr-FR"/>
        </w:rPr>
        <w:t>Faible pertinence des instruments classiques de planification urbaine et d’aménagement</w:t>
      </w:r>
      <w:bookmarkEnd w:id="96"/>
    </w:p>
    <w:p w14:paraId="48076BEE"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5FC45E81" w14:textId="333C5FEA"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 xml:space="preserve">Malgré les efforts entrepris pour couvrir le territoire, la planification urbaine (PU) n’est pas aujourd’hui un outil pertinent et adapté pour traiter des enjeux environnementaux, économiques et sociaux et réguler le développement urbain. </w:t>
      </w:r>
      <w:r w:rsidRPr="00D14C96">
        <w:rPr>
          <w:rFonts w:ascii="Times New Roman" w:hAnsi="Times New Roman" w:cs="Times New Roman"/>
        </w:rPr>
        <w:t>La PU ne parvient pas à être un cadre cohérent de coordination des actions sectorielles (logements, équipements publics, activité, mobilité et transport, etc.) ni un levier de leur mise en œuvre. Elle</w:t>
      </w:r>
      <w:r w:rsidRPr="00D14C96">
        <w:rPr>
          <w:rFonts w:ascii="Times New Roman" w:hAnsi="Times New Roman" w:cs="Times New Roman"/>
          <w:b/>
        </w:rPr>
        <w:t xml:space="preserve"> </w:t>
      </w:r>
      <w:r w:rsidRPr="00D14C96">
        <w:rPr>
          <w:rFonts w:ascii="Times New Roman" w:hAnsi="Times New Roman" w:cs="Times New Roman"/>
        </w:rPr>
        <w:t>est en effet plus conçue comme un produit final rigide que comme un processus souple et évolutif d’accompagnement et de régulation du développement urbain. La planification urbaine est dans ce contexte contournée par d’autres pratiques et modes de faire (stratégies sectorielles, grands projets, plans de développement stratégique de villes, dérogation, urbanisation non contrôlée) ‘‘</w:t>
      </w:r>
      <w:r w:rsidRPr="00D14C96">
        <w:rPr>
          <w:rFonts w:ascii="Times New Roman" w:hAnsi="Times New Roman" w:cs="Times New Roman"/>
          <w:i/>
        </w:rPr>
        <w:t>qui constituent des éléments de régulation et des réponses aux attentes économiques et sociales’’</w:t>
      </w:r>
      <w:r w:rsidRPr="00D14C96">
        <w:rPr>
          <w:rStyle w:val="FootnoteReference"/>
          <w:rFonts w:ascii="Times New Roman" w:hAnsi="Times New Roman" w:cs="Times New Roman"/>
          <w:i/>
        </w:rPr>
        <w:footnoteReference w:id="8"/>
      </w:r>
      <w:r w:rsidRPr="00D14C96">
        <w:rPr>
          <w:rFonts w:ascii="Times New Roman" w:hAnsi="Times New Roman" w:cs="Times New Roman"/>
          <w:i/>
        </w:rPr>
        <w:t xml:space="preserve"> </w:t>
      </w:r>
      <w:r w:rsidRPr="00D14C96">
        <w:rPr>
          <w:rFonts w:ascii="Times New Roman" w:hAnsi="Times New Roman" w:cs="Times New Roman"/>
        </w:rPr>
        <w:t xml:space="preserve">mais dont les impacts et les coûts à long terme ne sont pas correctement évalués. </w:t>
      </w:r>
    </w:p>
    <w:p w14:paraId="0B6A5AED" w14:textId="0679DBA6" w:rsidR="001E0FA9" w:rsidRDefault="001E0FA9" w:rsidP="000050E0">
      <w:pPr>
        <w:widowControl w:val="0"/>
        <w:spacing w:after="0" w:line="240" w:lineRule="auto"/>
        <w:jc w:val="both"/>
        <w:rPr>
          <w:rFonts w:ascii="Times New Roman" w:hAnsi="Times New Roman" w:cs="Times New Roman"/>
          <w:sz w:val="24"/>
          <w:szCs w:val="24"/>
        </w:rPr>
      </w:pPr>
    </w:p>
    <w:p w14:paraId="0BEC17FF" w14:textId="5862EA22" w:rsidR="00982BCE" w:rsidRDefault="00982BCE" w:rsidP="000050E0">
      <w:pPr>
        <w:widowControl w:val="0"/>
        <w:spacing w:after="0" w:line="240" w:lineRule="auto"/>
        <w:jc w:val="both"/>
        <w:rPr>
          <w:rFonts w:ascii="Times New Roman" w:hAnsi="Times New Roman" w:cs="Times New Roman"/>
          <w:sz w:val="24"/>
          <w:szCs w:val="24"/>
        </w:rPr>
      </w:pPr>
    </w:p>
    <w:p w14:paraId="65BCF311" w14:textId="3E9A2D00" w:rsidR="00982BCE" w:rsidRDefault="00982BCE" w:rsidP="000050E0">
      <w:pPr>
        <w:widowControl w:val="0"/>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777"/>
      </w:tblGrid>
      <w:tr w:rsidR="002C108B" w14:paraId="4A39B915" w14:textId="77777777" w:rsidTr="002C108B">
        <w:tc>
          <w:tcPr>
            <w:tcW w:w="8777" w:type="dxa"/>
          </w:tcPr>
          <w:p w14:paraId="48485097" w14:textId="3E2865C7" w:rsidR="002C108B" w:rsidRPr="00EF6135" w:rsidRDefault="002C108B" w:rsidP="002C108B">
            <w:pPr>
              <w:widowControl w:val="0"/>
              <w:rPr>
                <w:rFonts w:ascii="Times New Roman" w:hAnsi="Times New Roman" w:cs="Times New Roman"/>
                <w:b/>
                <w:sz w:val="24"/>
                <w:szCs w:val="24"/>
              </w:rPr>
            </w:pPr>
            <w:r w:rsidRPr="00EF6135">
              <w:rPr>
                <w:rFonts w:ascii="Times New Roman" w:hAnsi="Times New Roman" w:cs="Times New Roman"/>
                <w:b/>
                <w:sz w:val="24"/>
                <w:szCs w:val="24"/>
              </w:rPr>
              <w:lastRenderedPageBreak/>
              <w:t xml:space="preserve">Encadré 1. </w:t>
            </w:r>
            <w:r>
              <w:rPr>
                <w:rFonts w:ascii="Times New Roman" w:hAnsi="Times New Roman" w:cs="Times New Roman"/>
                <w:b/>
                <w:sz w:val="24"/>
                <w:szCs w:val="24"/>
              </w:rPr>
              <w:t xml:space="preserve">Principaux instruments </w:t>
            </w:r>
            <w:r w:rsidR="00C92C44">
              <w:rPr>
                <w:rFonts w:ascii="Times New Roman" w:hAnsi="Times New Roman" w:cs="Times New Roman"/>
                <w:b/>
                <w:sz w:val="24"/>
                <w:szCs w:val="24"/>
              </w:rPr>
              <w:t xml:space="preserve">et acteurs de la </w:t>
            </w:r>
            <w:r>
              <w:rPr>
                <w:rFonts w:ascii="Times New Roman" w:hAnsi="Times New Roman" w:cs="Times New Roman"/>
                <w:b/>
                <w:sz w:val="24"/>
                <w:szCs w:val="24"/>
              </w:rPr>
              <w:t>p</w:t>
            </w:r>
            <w:r w:rsidRPr="00EF6135">
              <w:rPr>
                <w:rFonts w:ascii="Times New Roman" w:hAnsi="Times New Roman" w:cs="Times New Roman"/>
                <w:b/>
                <w:sz w:val="24"/>
                <w:szCs w:val="24"/>
              </w:rPr>
              <w:t>lanification</w:t>
            </w:r>
            <w:r>
              <w:rPr>
                <w:rFonts w:ascii="Times New Roman" w:hAnsi="Times New Roman" w:cs="Times New Roman"/>
                <w:b/>
                <w:sz w:val="24"/>
                <w:szCs w:val="24"/>
              </w:rPr>
              <w:t xml:space="preserve"> territoriale</w:t>
            </w:r>
            <w:r w:rsidR="00971E07">
              <w:rPr>
                <w:rFonts w:ascii="Times New Roman" w:hAnsi="Times New Roman" w:cs="Times New Roman"/>
                <w:b/>
                <w:sz w:val="24"/>
                <w:szCs w:val="24"/>
              </w:rPr>
              <w:t xml:space="preserve"> et de </w:t>
            </w:r>
            <w:r w:rsidR="00146862">
              <w:rPr>
                <w:rFonts w:ascii="Times New Roman" w:hAnsi="Times New Roman" w:cs="Times New Roman"/>
                <w:b/>
                <w:sz w:val="24"/>
                <w:szCs w:val="24"/>
              </w:rPr>
              <w:t>l’aménagement urbain</w:t>
            </w:r>
            <w:r w:rsidR="00884564">
              <w:rPr>
                <w:rStyle w:val="FootnoteReference"/>
                <w:rFonts w:cs="Times New Roman"/>
                <w:b/>
                <w:szCs w:val="24"/>
              </w:rPr>
              <w:footnoteReference w:id="9"/>
            </w:r>
            <w:r>
              <w:rPr>
                <w:rFonts w:ascii="Times New Roman" w:hAnsi="Times New Roman" w:cs="Times New Roman"/>
                <w:b/>
                <w:sz w:val="24"/>
                <w:szCs w:val="24"/>
              </w:rPr>
              <w:t> </w:t>
            </w:r>
            <w:r w:rsidRPr="00EF6135">
              <w:rPr>
                <w:rFonts w:ascii="Times New Roman" w:hAnsi="Times New Roman" w:cs="Times New Roman"/>
                <w:b/>
                <w:sz w:val="24"/>
                <w:szCs w:val="24"/>
              </w:rPr>
              <w:t xml:space="preserve"> </w:t>
            </w:r>
          </w:p>
          <w:p w14:paraId="19489749" w14:textId="77777777" w:rsidR="002C108B" w:rsidRDefault="002C108B" w:rsidP="002C108B">
            <w:pPr>
              <w:widowControl w:val="0"/>
              <w:rPr>
                <w:rFonts w:ascii="Times New Roman" w:hAnsi="Times New Roman" w:cs="Times New Roman"/>
                <w:sz w:val="24"/>
                <w:szCs w:val="24"/>
              </w:rPr>
            </w:pPr>
          </w:p>
          <w:p w14:paraId="10E08A9D" w14:textId="51D3D184" w:rsidR="002C108B" w:rsidRDefault="00852676" w:rsidP="009B72D2">
            <w:pPr>
              <w:widowControl w:val="0"/>
              <w:spacing w:after="120"/>
              <w:ind w:left="0"/>
              <w:rPr>
                <w:rFonts w:ascii="Times New Roman" w:hAnsi="Times New Roman" w:cs="Times New Roman"/>
                <w:sz w:val="24"/>
                <w:szCs w:val="24"/>
              </w:rPr>
            </w:pPr>
            <w:r w:rsidRPr="009B72D2">
              <w:rPr>
                <w:rFonts w:ascii="Times New Roman" w:hAnsi="Times New Roman" w:cs="Times New Roman"/>
                <w:i/>
                <w:smallCaps/>
                <w:sz w:val="24"/>
                <w:szCs w:val="24"/>
              </w:rPr>
              <w:t>Instruments</w:t>
            </w:r>
            <w:r>
              <w:rPr>
                <w:rFonts w:ascii="Times New Roman" w:hAnsi="Times New Roman" w:cs="Times New Roman"/>
                <w:sz w:val="24"/>
                <w:szCs w:val="24"/>
              </w:rPr>
              <w:t xml:space="preserve">. </w:t>
            </w:r>
            <w:r w:rsidR="002C108B">
              <w:rPr>
                <w:rFonts w:ascii="Times New Roman" w:hAnsi="Times New Roman" w:cs="Times New Roman"/>
                <w:sz w:val="24"/>
                <w:szCs w:val="24"/>
              </w:rPr>
              <w:t xml:space="preserve">Le système de planification territoriale marocain, qui porte une vision de développement du territoire à </w:t>
            </w:r>
            <w:r w:rsidR="009C1B7C">
              <w:rPr>
                <w:rFonts w:ascii="Times New Roman" w:hAnsi="Times New Roman" w:cs="Times New Roman"/>
                <w:sz w:val="24"/>
                <w:szCs w:val="24"/>
              </w:rPr>
              <w:t xml:space="preserve">moyen et </w:t>
            </w:r>
            <w:r w:rsidR="002C108B">
              <w:rPr>
                <w:rFonts w:ascii="Times New Roman" w:hAnsi="Times New Roman" w:cs="Times New Roman"/>
                <w:sz w:val="24"/>
                <w:szCs w:val="24"/>
              </w:rPr>
              <w:t>long terme</w:t>
            </w:r>
            <w:r w:rsidR="009C1B7C">
              <w:rPr>
                <w:rFonts w:ascii="Times New Roman" w:hAnsi="Times New Roman" w:cs="Times New Roman"/>
                <w:sz w:val="24"/>
                <w:szCs w:val="24"/>
              </w:rPr>
              <w:t>s</w:t>
            </w:r>
            <w:r w:rsidR="002C108B">
              <w:rPr>
                <w:rFonts w:ascii="Times New Roman" w:hAnsi="Times New Roman" w:cs="Times New Roman"/>
                <w:sz w:val="24"/>
                <w:szCs w:val="24"/>
              </w:rPr>
              <w:t xml:space="preserve">, comprend des instruments déclinés à </w:t>
            </w:r>
            <w:r w:rsidR="000178A7">
              <w:rPr>
                <w:rFonts w:ascii="Times New Roman" w:hAnsi="Times New Roman" w:cs="Times New Roman"/>
                <w:sz w:val="24"/>
                <w:szCs w:val="24"/>
              </w:rPr>
              <w:t xml:space="preserve">différentes </w:t>
            </w:r>
            <w:r w:rsidR="002C108B">
              <w:rPr>
                <w:rFonts w:ascii="Times New Roman" w:hAnsi="Times New Roman" w:cs="Times New Roman"/>
                <w:sz w:val="24"/>
                <w:szCs w:val="24"/>
              </w:rPr>
              <w:t>échelles</w:t>
            </w:r>
            <w:r w:rsidR="00C92C44">
              <w:rPr>
                <w:rFonts w:ascii="Times New Roman" w:hAnsi="Times New Roman" w:cs="Times New Roman"/>
                <w:sz w:val="24"/>
                <w:szCs w:val="24"/>
              </w:rPr>
              <w:t xml:space="preserve">, </w:t>
            </w:r>
            <w:r w:rsidR="000178A7">
              <w:rPr>
                <w:rFonts w:ascii="Times New Roman" w:hAnsi="Times New Roman" w:cs="Times New Roman"/>
                <w:sz w:val="24"/>
                <w:szCs w:val="24"/>
              </w:rPr>
              <w:t xml:space="preserve">dont </w:t>
            </w:r>
            <w:r w:rsidR="009C1B7C">
              <w:rPr>
                <w:rFonts w:ascii="Times New Roman" w:hAnsi="Times New Roman" w:cs="Times New Roman"/>
                <w:sz w:val="24"/>
                <w:szCs w:val="24"/>
              </w:rPr>
              <w:t xml:space="preserve">la mise en œuvre et l’impact sur le terrain </w:t>
            </w:r>
            <w:r w:rsidR="000178A7">
              <w:rPr>
                <w:rFonts w:ascii="Times New Roman" w:hAnsi="Times New Roman" w:cs="Times New Roman"/>
                <w:sz w:val="24"/>
                <w:szCs w:val="24"/>
              </w:rPr>
              <w:t>reste</w:t>
            </w:r>
            <w:r w:rsidR="009C1B7C">
              <w:rPr>
                <w:rFonts w:ascii="Times New Roman" w:hAnsi="Times New Roman" w:cs="Times New Roman"/>
                <w:sz w:val="24"/>
                <w:szCs w:val="24"/>
              </w:rPr>
              <w:t>nt</w:t>
            </w:r>
            <w:r w:rsidR="000178A7">
              <w:rPr>
                <w:rFonts w:ascii="Times New Roman" w:hAnsi="Times New Roman" w:cs="Times New Roman"/>
                <w:sz w:val="24"/>
                <w:szCs w:val="24"/>
              </w:rPr>
              <w:t xml:space="preserve"> cependant globalement très limité</w:t>
            </w:r>
            <w:r w:rsidR="009C1B7C">
              <w:rPr>
                <w:rFonts w:ascii="Times New Roman" w:hAnsi="Times New Roman" w:cs="Times New Roman"/>
                <w:sz w:val="24"/>
                <w:szCs w:val="24"/>
              </w:rPr>
              <w:t>s</w:t>
            </w:r>
            <w:r w:rsidR="004B37B7">
              <w:rPr>
                <w:rFonts w:ascii="Times New Roman" w:hAnsi="Times New Roman" w:cs="Times New Roman"/>
                <w:sz w:val="24"/>
                <w:szCs w:val="24"/>
              </w:rPr>
              <w:t>, comme le montrent plusieurs études récentes qui soulignent notamment leur instabilité</w:t>
            </w:r>
            <w:r w:rsidR="004B37B7">
              <w:rPr>
                <w:rStyle w:val="FootnoteReference"/>
                <w:rFonts w:cs="Times New Roman"/>
                <w:szCs w:val="24"/>
              </w:rPr>
              <w:footnoteReference w:id="10"/>
            </w:r>
            <w:r w:rsidR="002C108B">
              <w:rPr>
                <w:rFonts w:ascii="Times New Roman" w:hAnsi="Times New Roman" w:cs="Times New Roman"/>
                <w:sz w:val="24"/>
                <w:szCs w:val="24"/>
              </w:rPr>
              <w:t>:</w:t>
            </w:r>
          </w:p>
          <w:p w14:paraId="11325A44" w14:textId="520594A0" w:rsidR="002C108B" w:rsidRDefault="000178A7" w:rsidP="009B72D2">
            <w:pPr>
              <w:pStyle w:val="ListParagraph"/>
              <w:widowControl w:val="0"/>
              <w:numPr>
                <w:ilvl w:val="0"/>
                <w:numId w:val="25"/>
              </w:numPr>
              <w:spacing w:after="60"/>
              <w:ind w:left="714" w:hanging="357"/>
              <w:contextualSpacing w:val="0"/>
              <w:rPr>
                <w:rFonts w:ascii="Times New Roman" w:hAnsi="Times New Roman" w:cs="Times New Roman"/>
                <w:sz w:val="24"/>
                <w:szCs w:val="24"/>
              </w:rPr>
            </w:pPr>
            <w:r>
              <w:rPr>
                <w:rFonts w:ascii="Times New Roman" w:hAnsi="Times New Roman" w:cs="Times New Roman"/>
                <w:sz w:val="24"/>
                <w:szCs w:val="24"/>
              </w:rPr>
              <w:t xml:space="preserve">échelle </w:t>
            </w:r>
            <w:r w:rsidR="002C108B">
              <w:rPr>
                <w:rFonts w:ascii="Times New Roman" w:hAnsi="Times New Roman" w:cs="Times New Roman"/>
                <w:sz w:val="24"/>
                <w:szCs w:val="24"/>
              </w:rPr>
              <w:t xml:space="preserve">nationale, via le </w:t>
            </w:r>
            <w:r w:rsidR="002C108B" w:rsidRPr="009C1B7C">
              <w:rPr>
                <w:rFonts w:ascii="Times New Roman" w:hAnsi="Times New Roman" w:cs="Times New Roman"/>
                <w:b/>
                <w:i/>
                <w:sz w:val="24"/>
                <w:szCs w:val="24"/>
              </w:rPr>
              <w:t>Schéma national d’aménagement du territoire</w:t>
            </w:r>
            <w:r w:rsidR="002C108B">
              <w:rPr>
                <w:rFonts w:ascii="Times New Roman" w:hAnsi="Times New Roman" w:cs="Times New Roman"/>
                <w:sz w:val="24"/>
                <w:szCs w:val="24"/>
              </w:rPr>
              <w:t xml:space="preserve"> (SNAT). </w:t>
            </w:r>
            <w:r w:rsidR="00582D14">
              <w:rPr>
                <w:rFonts w:ascii="Times New Roman" w:hAnsi="Times New Roman" w:cs="Times New Roman"/>
                <w:sz w:val="24"/>
                <w:szCs w:val="24"/>
              </w:rPr>
              <w:t>Finalisé en 2004</w:t>
            </w:r>
            <w:r w:rsidR="002C108B">
              <w:rPr>
                <w:rFonts w:ascii="Times New Roman" w:hAnsi="Times New Roman" w:cs="Times New Roman"/>
                <w:sz w:val="24"/>
                <w:szCs w:val="24"/>
              </w:rPr>
              <w:t xml:space="preserve">, </w:t>
            </w:r>
            <w:r w:rsidR="00582D14">
              <w:rPr>
                <w:rFonts w:ascii="Times New Roman" w:hAnsi="Times New Roman" w:cs="Times New Roman"/>
                <w:sz w:val="24"/>
                <w:szCs w:val="24"/>
              </w:rPr>
              <w:t>le premier SRAT</w:t>
            </w:r>
            <w:r w:rsidR="002C108B">
              <w:rPr>
                <w:rFonts w:ascii="Times New Roman" w:hAnsi="Times New Roman" w:cs="Times New Roman"/>
                <w:sz w:val="24"/>
                <w:szCs w:val="24"/>
              </w:rPr>
              <w:t xml:space="preserve"> n’a pas été opérationnalisé</w:t>
            </w:r>
            <w:r w:rsidR="00C92C44">
              <w:rPr>
                <w:rFonts w:ascii="Times New Roman" w:hAnsi="Times New Roman" w:cs="Times New Roman"/>
                <w:sz w:val="24"/>
                <w:szCs w:val="24"/>
              </w:rPr>
              <w:t>, ses recommandations sont aujourd’hui obsolètes</w:t>
            </w:r>
            <w:r w:rsidR="002C108B">
              <w:rPr>
                <w:rFonts w:ascii="Times New Roman" w:hAnsi="Times New Roman" w:cs="Times New Roman"/>
                <w:sz w:val="24"/>
                <w:szCs w:val="24"/>
              </w:rPr>
              <w:t xml:space="preserve"> et </w:t>
            </w:r>
            <w:r w:rsidR="00C92C44">
              <w:rPr>
                <w:rFonts w:ascii="Times New Roman" w:hAnsi="Times New Roman" w:cs="Times New Roman"/>
                <w:sz w:val="24"/>
                <w:szCs w:val="24"/>
              </w:rPr>
              <w:t>il semble être</w:t>
            </w:r>
            <w:r w:rsidR="002C108B">
              <w:rPr>
                <w:rFonts w:ascii="Times New Roman" w:hAnsi="Times New Roman" w:cs="Times New Roman"/>
                <w:sz w:val="24"/>
                <w:szCs w:val="24"/>
              </w:rPr>
              <w:t xml:space="preserve"> tombé dans l’oubli</w:t>
            </w:r>
            <w:r w:rsidR="000C4C1A">
              <w:rPr>
                <w:rFonts w:ascii="Times New Roman" w:hAnsi="Times New Roman" w:cs="Times New Roman"/>
                <w:sz w:val="24"/>
                <w:szCs w:val="24"/>
              </w:rPr>
              <w:t xml:space="preserve">. La loi 111-14 de 2015 relative aux régions évoque une « politique publique d’Aménagement du Territoire adoptée au niveau national » </w:t>
            </w:r>
            <w:r w:rsidR="00BF1F86">
              <w:rPr>
                <w:rFonts w:ascii="Times New Roman" w:hAnsi="Times New Roman" w:cs="Times New Roman"/>
                <w:sz w:val="24"/>
                <w:szCs w:val="24"/>
              </w:rPr>
              <w:t xml:space="preserve">qui aurait dû précéder la mise en place des nouveaux SRAT (cf. ci-dessous) </w:t>
            </w:r>
            <w:r w:rsidR="000C4C1A">
              <w:rPr>
                <w:rFonts w:ascii="Times New Roman" w:hAnsi="Times New Roman" w:cs="Times New Roman"/>
                <w:sz w:val="24"/>
                <w:szCs w:val="24"/>
              </w:rPr>
              <w:t>sans se référer directement au SNAT, ce qui illustre bien le flou entourant aujourd’hui cet instrument ;</w:t>
            </w:r>
          </w:p>
          <w:p w14:paraId="2C7EC152" w14:textId="22498BDC" w:rsidR="00386F09" w:rsidRDefault="000178A7" w:rsidP="009B72D2">
            <w:pPr>
              <w:pStyle w:val="ListParagraph"/>
              <w:widowControl w:val="0"/>
              <w:numPr>
                <w:ilvl w:val="0"/>
                <w:numId w:val="25"/>
              </w:numPr>
              <w:contextualSpacing w:val="0"/>
              <w:rPr>
                <w:rFonts w:ascii="Times New Roman" w:hAnsi="Times New Roman" w:cs="Times New Roman"/>
                <w:sz w:val="24"/>
                <w:szCs w:val="24"/>
              </w:rPr>
            </w:pPr>
            <w:r>
              <w:rPr>
                <w:rFonts w:ascii="Times New Roman" w:hAnsi="Times New Roman" w:cs="Times New Roman"/>
                <w:sz w:val="24"/>
                <w:szCs w:val="24"/>
              </w:rPr>
              <w:t xml:space="preserve">échelle </w:t>
            </w:r>
            <w:r w:rsidR="002C108B">
              <w:rPr>
                <w:rFonts w:ascii="Times New Roman" w:hAnsi="Times New Roman" w:cs="Times New Roman"/>
                <w:sz w:val="24"/>
                <w:szCs w:val="24"/>
              </w:rPr>
              <w:t>régionale, via</w:t>
            </w:r>
            <w:r w:rsidR="00386F09">
              <w:rPr>
                <w:rFonts w:ascii="Times New Roman" w:hAnsi="Times New Roman" w:cs="Times New Roman"/>
                <w:sz w:val="24"/>
                <w:szCs w:val="24"/>
              </w:rPr>
              <w:t> :</w:t>
            </w:r>
          </w:p>
          <w:p w14:paraId="696C6732" w14:textId="35711EDA" w:rsidR="00386F09" w:rsidRDefault="002C108B" w:rsidP="009B72D2">
            <w:pPr>
              <w:pStyle w:val="ListParagraph"/>
              <w:widowControl w:val="0"/>
              <w:numPr>
                <w:ilvl w:val="0"/>
                <w:numId w:val="27"/>
              </w:numPr>
              <w:ind w:left="1163" w:hanging="425"/>
              <w:contextualSpacing w:val="0"/>
              <w:rPr>
                <w:rFonts w:ascii="Times New Roman" w:hAnsi="Times New Roman" w:cs="Times New Roman"/>
                <w:sz w:val="24"/>
                <w:szCs w:val="24"/>
              </w:rPr>
            </w:pPr>
            <w:r>
              <w:rPr>
                <w:rFonts w:ascii="Times New Roman" w:hAnsi="Times New Roman" w:cs="Times New Roman"/>
                <w:sz w:val="24"/>
                <w:szCs w:val="24"/>
              </w:rPr>
              <w:t xml:space="preserve">les </w:t>
            </w:r>
            <w:r w:rsidR="00DB55DE" w:rsidRPr="009C1B7C">
              <w:rPr>
                <w:rFonts w:ascii="Times New Roman" w:hAnsi="Times New Roman" w:cs="Times New Roman"/>
                <w:b/>
                <w:i/>
                <w:sz w:val="24"/>
                <w:szCs w:val="24"/>
              </w:rPr>
              <w:t>Schémas régionaux d’aménagement du territoire</w:t>
            </w:r>
            <w:r w:rsidR="00DB55DE" w:rsidRPr="000178A7">
              <w:rPr>
                <w:rFonts w:ascii="Times New Roman" w:hAnsi="Times New Roman" w:cs="Times New Roman"/>
                <w:sz w:val="24"/>
                <w:szCs w:val="24"/>
              </w:rPr>
              <w:t xml:space="preserve"> (SRAT)</w:t>
            </w:r>
            <w:r w:rsidR="00BF1F86">
              <w:rPr>
                <w:rFonts w:ascii="Times New Roman" w:hAnsi="Times New Roman" w:cs="Times New Roman"/>
                <w:sz w:val="24"/>
                <w:szCs w:val="24"/>
              </w:rPr>
              <w:t>, documents en cours de remplacement suite au nouveau découpage régional mis en œuvre depuis la réforme constitutionnelle de 2011</w:t>
            </w:r>
            <w:r w:rsidR="00852676">
              <w:rPr>
                <w:rFonts w:ascii="Times New Roman" w:hAnsi="Times New Roman" w:cs="Times New Roman"/>
                <w:sz w:val="24"/>
                <w:szCs w:val="24"/>
              </w:rPr>
              <w:t> ;</w:t>
            </w:r>
            <w:r w:rsidR="00BF1F86">
              <w:rPr>
                <w:rFonts w:ascii="Times New Roman" w:hAnsi="Times New Roman" w:cs="Times New Roman"/>
                <w:sz w:val="24"/>
                <w:szCs w:val="24"/>
              </w:rPr>
              <w:t xml:space="preserve">. </w:t>
            </w:r>
          </w:p>
          <w:p w14:paraId="53BDA324" w14:textId="137D95C9" w:rsidR="002C108B" w:rsidRPr="000178A7" w:rsidRDefault="00386F09" w:rsidP="009B72D2">
            <w:pPr>
              <w:pStyle w:val="ListParagraph"/>
              <w:widowControl w:val="0"/>
              <w:numPr>
                <w:ilvl w:val="0"/>
                <w:numId w:val="27"/>
              </w:numPr>
              <w:spacing w:after="60"/>
              <w:ind w:left="1163" w:hanging="425"/>
              <w:contextualSpacing w:val="0"/>
              <w:rPr>
                <w:rFonts w:ascii="Times New Roman" w:hAnsi="Times New Roman" w:cs="Times New Roman"/>
                <w:sz w:val="24"/>
                <w:szCs w:val="24"/>
              </w:rPr>
            </w:pPr>
            <w:r>
              <w:rPr>
                <w:rFonts w:ascii="Times New Roman" w:hAnsi="Times New Roman" w:cs="Times New Roman"/>
                <w:sz w:val="24"/>
                <w:szCs w:val="24"/>
              </w:rPr>
              <w:t xml:space="preserve">les </w:t>
            </w:r>
            <w:r w:rsidR="002C108B" w:rsidRPr="00386F09">
              <w:rPr>
                <w:rFonts w:ascii="Times New Roman" w:hAnsi="Times New Roman" w:cs="Times New Roman"/>
                <w:b/>
                <w:i/>
                <w:sz w:val="24"/>
                <w:szCs w:val="24"/>
              </w:rPr>
              <w:t>Plans de développement régional</w:t>
            </w:r>
            <w:r w:rsidR="002C108B">
              <w:rPr>
                <w:rFonts w:ascii="Times New Roman" w:hAnsi="Times New Roman" w:cs="Times New Roman"/>
                <w:sz w:val="24"/>
                <w:szCs w:val="24"/>
              </w:rPr>
              <w:t xml:space="preserve"> (P</w:t>
            </w:r>
            <w:r w:rsidR="00DB55DE">
              <w:rPr>
                <w:rFonts w:ascii="Times New Roman" w:hAnsi="Times New Roman" w:cs="Times New Roman"/>
                <w:sz w:val="24"/>
                <w:szCs w:val="24"/>
              </w:rPr>
              <w:t xml:space="preserve">DR) </w:t>
            </w:r>
            <w:r w:rsidR="00BF1F86">
              <w:rPr>
                <w:rFonts w:ascii="Times New Roman" w:hAnsi="Times New Roman" w:cs="Times New Roman"/>
                <w:sz w:val="24"/>
                <w:szCs w:val="24"/>
              </w:rPr>
              <w:t>instaurés en 2015</w:t>
            </w:r>
            <w:r>
              <w:rPr>
                <w:rFonts w:ascii="Times New Roman" w:hAnsi="Times New Roman" w:cs="Times New Roman"/>
                <w:sz w:val="24"/>
                <w:szCs w:val="24"/>
              </w:rPr>
              <w:t xml:space="preserve"> et qui</w:t>
            </w:r>
            <w:r w:rsidR="00DB55DE">
              <w:rPr>
                <w:rFonts w:ascii="Times New Roman" w:hAnsi="Times New Roman" w:cs="Times New Roman"/>
                <w:sz w:val="24"/>
                <w:szCs w:val="24"/>
              </w:rPr>
              <w:t>dressent la liste des projets d’investissement à réaliser à court terme ;</w:t>
            </w:r>
          </w:p>
          <w:p w14:paraId="2D287E03" w14:textId="47681DF5" w:rsidR="002C108B" w:rsidRPr="000178A7" w:rsidRDefault="000178A7" w:rsidP="009B72D2">
            <w:pPr>
              <w:pStyle w:val="ListParagraph"/>
              <w:widowControl w:val="0"/>
              <w:numPr>
                <w:ilvl w:val="0"/>
                <w:numId w:val="25"/>
              </w:numPr>
              <w:spacing w:after="60"/>
              <w:contextualSpacing w:val="0"/>
              <w:rPr>
                <w:rFonts w:ascii="Times New Roman" w:hAnsi="Times New Roman" w:cs="Times New Roman"/>
                <w:sz w:val="24"/>
                <w:szCs w:val="24"/>
              </w:rPr>
            </w:pPr>
            <w:r w:rsidRPr="000178A7">
              <w:rPr>
                <w:rFonts w:ascii="Times New Roman" w:hAnsi="Times New Roman" w:cs="Times New Roman"/>
                <w:sz w:val="24"/>
                <w:szCs w:val="24"/>
              </w:rPr>
              <w:t xml:space="preserve">échelle </w:t>
            </w:r>
            <w:r w:rsidR="002C108B" w:rsidRPr="000178A7">
              <w:rPr>
                <w:rFonts w:ascii="Times New Roman" w:hAnsi="Times New Roman" w:cs="Times New Roman"/>
                <w:sz w:val="24"/>
                <w:szCs w:val="24"/>
              </w:rPr>
              <w:t xml:space="preserve">métropolitaine, via le </w:t>
            </w:r>
            <w:r w:rsidR="002C108B" w:rsidRPr="009C1B7C">
              <w:rPr>
                <w:rFonts w:ascii="Times New Roman" w:hAnsi="Times New Roman" w:cs="Times New Roman"/>
                <w:b/>
                <w:i/>
                <w:sz w:val="24"/>
                <w:szCs w:val="24"/>
              </w:rPr>
              <w:t>Schéma d’organisation fonctionnelle et d’aménagement</w:t>
            </w:r>
            <w:r w:rsidR="002C108B" w:rsidRPr="000178A7">
              <w:rPr>
                <w:rFonts w:ascii="Times New Roman" w:hAnsi="Times New Roman" w:cs="Times New Roman"/>
                <w:sz w:val="24"/>
                <w:szCs w:val="24"/>
              </w:rPr>
              <w:t xml:space="preserve"> (SOFA), outil permettant </w:t>
            </w:r>
            <w:r w:rsidR="00971E07">
              <w:rPr>
                <w:rFonts w:ascii="Times New Roman" w:hAnsi="Times New Roman" w:cs="Times New Roman"/>
                <w:sz w:val="24"/>
                <w:szCs w:val="24"/>
              </w:rPr>
              <w:t xml:space="preserve">d’articuler planification territoriale et urbanisme en réalisant notamment la liaison </w:t>
            </w:r>
            <w:r w:rsidR="002C108B" w:rsidRPr="000178A7">
              <w:rPr>
                <w:rFonts w:ascii="Times New Roman" w:hAnsi="Times New Roman" w:cs="Times New Roman"/>
                <w:sz w:val="24"/>
                <w:szCs w:val="24"/>
              </w:rPr>
              <w:t xml:space="preserve">entre le SNAT et les SDAU. </w:t>
            </w:r>
            <w:r w:rsidR="00386F09">
              <w:rPr>
                <w:rFonts w:ascii="Times New Roman" w:hAnsi="Times New Roman" w:cs="Times New Roman"/>
                <w:sz w:val="24"/>
                <w:szCs w:val="24"/>
              </w:rPr>
              <w:t xml:space="preserve">Seul celui de </w:t>
            </w:r>
            <w:r w:rsidR="00386F09" w:rsidRPr="000178A7">
              <w:rPr>
                <w:rFonts w:ascii="Times New Roman" w:hAnsi="Times New Roman" w:cs="Times New Roman"/>
                <w:sz w:val="24"/>
                <w:szCs w:val="24"/>
              </w:rPr>
              <w:t xml:space="preserve">l’aire métropolitaine centrale </w:t>
            </w:r>
            <w:r w:rsidR="00386F09">
              <w:rPr>
                <w:rFonts w:ascii="Times New Roman" w:hAnsi="Times New Roman" w:cs="Times New Roman"/>
                <w:sz w:val="24"/>
                <w:szCs w:val="24"/>
              </w:rPr>
              <w:t xml:space="preserve">Casablanca - </w:t>
            </w:r>
            <w:r w:rsidR="00386F09" w:rsidRPr="000178A7">
              <w:rPr>
                <w:rFonts w:ascii="Times New Roman" w:hAnsi="Times New Roman" w:cs="Times New Roman"/>
                <w:sz w:val="24"/>
                <w:szCs w:val="24"/>
              </w:rPr>
              <w:t xml:space="preserve">Rabat. </w:t>
            </w:r>
            <w:r w:rsidR="002C108B" w:rsidRPr="000178A7">
              <w:rPr>
                <w:rFonts w:ascii="Times New Roman" w:hAnsi="Times New Roman" w:cs="Times New Roman"/>
                <w:sz w:val="24"/>
                <w:szCs w:val="24"/>
              </w:rPr>
              <w:t>a jusqu’à présent été élaboré (fin 2008)</w:t>
            </w:r>
            <w:r w:rsidR="00852676">
              <w:rPr>
                <w:rFonts w:ascii="Times New Roman" w:hAnsi="Times New Roman" w:cs="Times New Roman"/>
                <w:sz w:val="24"/>
                <w:szCs w:val="24"/>
              </w:rPr>
              <w:t>.</w:t>
            </w:r>
            <w:r w:rsidR="002C108B" w:rsidRPr="000178A7">
              <w:rPr>
                <w:rFonts w:ascii="Times New Roman" w:hAnsi="Times New Roman" w:cs="Times New Roman"/>
                <w:sz w:val="24"/>
                <w:szCs w:val="24"/>
              </w:rPr>
              <w:t xml:space="preserve"> Comme le SNAT, ce premier pilote n’a pas été opérationnalisé (pas de montage institutionnel dédié ni de financements alloués)</w:t>
            </w:r>
            <w:r w:rsidR="00971E07">
              <w:rPr>
                <w:rFonts w:ascii="Times New Roman" w:hAnsi="Times New Roman" w:cs="Times New Roman"/>
                <w:sz w:val="24"/>
                <w:szCs w:val="24"/>
              </w:rPr>
              <w:t>, même s’il a contribué à l’enrichissement du dernier SDAU de Casablanca (2009)</w:t>
            </w:r>
            <w:r w:rsidR="002C108B" w:rsidRPr="000178A7">
              <w:rPr>
                <w:rFonts w:ascii="Times New Roman" w:hAnsi="Times New Roman" w:cs="Times New Roman"/>
                <w:sz w:val="24"/>
                <w:szCs w:val="24"/>
              </w:rPr>
              <w:t> ;</w:t>
            </w:r>
          </w:p>
          <w:p w14:paraId="0576FC14" w14:textId="2BEBBF37" w:rsidR="002C108B" w:rsidRPr="000178A7" w:rsidRDefault="000178A7" w:rsidP="009B72D2">
            <w:pPr>
              <w:pStyle w:val="ListParagraph"/>
              <w:widowControl w:val="0"/>
              <w:numPr>
                <w:ilvl w:val="0"/>
                <w:numId w:val="25"/>
              </w:numPr>
              <w:spacing w:after="60"/>
              <w:ind w:left="714" w:hanging="357"/>
              <w:contextualSpacing w:val="0"/>
              <w:rPr>
                <w:rFonts w:ascii="Times New Roman" w:hAnsi="Times New Roman" w:cs="Times New Roman"/>
                <w:sz w:val="24"/>
                <w:szCs w:val="24"/>
              </w:rPr>
            </w:pPr>
            <w:r w:rsidRPr="000178A7">
              <w:rPr>
                <w:rFonts w:ascii="Times New Roman" w:hAnsi="Times New Roman" w:cs="Times New Roman"/>
                <w:sz w:val="24"/>
                <w:szCs w:val="24"/>
              </w:rPr>
              <w:t xml:space="preserve">échelle </w:t>
            </w:r>
            <w:r w:rsidR="002C108B" w:rsidRPr="000178A7">
              <w:rPr>
                <w:rFonts w:ascii="Times New Roman" w:hAnsi="Times New Roman" w:cs="Times New Roman"/>
                <w:sz w:val="24"/>
                <w:szCs w:val="24"/>
              </w:rPr>
              <w:t>urbaine</w:t>
            </w:r>
            <w:r>
              <w:rPr>
                <w:rFonts w:ascii="Times New Roman" w:hAnsi="Times New Roman" w:cs="Times New Roman"/>
                <w:sz w:val="24"/>
                <w:szCs w:val="24"/>
              </w:rPr>
              <w:t>/intercommunale</w:t>
            </w:r>
            <w:r w:rsidR="002C108B" w:rsidRPr="000178A7">
              <w:rPr>
                <w:rFonts w:ascii="Times New Roman" w:hAnsi="Times New Roman" w:cs="Times New Roman"/>
                <w:sz w:val="24"/>
                <w:szCs w:val="24"/>
              </w:rPr>
              <w:t xml:space="preserve">, via les </w:t>
            </w:r>
            <w:r w:rsidR="002C108B" w:rsidRPr="009C1B7C">
              <w:rPr>
                <w:rFonts w:ascii="Times New Roman" w:hAnsi="Times New Roman" w:cs="Times New Roman"/>
                <w:b/>
                <w:i/>
                <w:sz w:val="24"/>
                <w:szCs w:val="24"/>
              </w:rPr>
              <w:t>Schémas Directeurs d’Aménagement Urbain</w:t>
            </w:r>
            <w:r w:rsidR="002C108B" w:rsidRPr="000178A7">
              <w:rPr>
                <w:rFonts w:ascii="Times New Roman" w:hAnsi="Times New Roman" w:cs="Times New Roman"/>
                <w:sz w:val="24"/>
                <w:szCs w:val="24"/>
              </w:rPr>
              <w:t xml:space="preserve"> (SDAU)</w:t>
            </w:r>
            <w:r w:rsidR="00386F09">
              <w:rPr>
                <w:rFonts w:ascii="Times New Roman" w:hAnsi="Times New Roman" w:cs="Times New Roman"/>
                <w:sz w:val="24"/>
                <w:szCs w:val="24"/>
              </w:rPr>
              <w:t>,</w:t>
            </w:r>
            <w:r w:rsidR="00852676">
              <w:rPr>
                <w:rFonts w:ascii="Times New Roman" w:hAnsi="Times New Roman" w:cs="Times New Roman"/>
                <w:sz w:val="24"/>
                <w:szCs w:val="24"/>
              </w:rPr>
              <w:t xml:space="preserve"> </w:t>
            </w:r>
            <w:r w:rsidR="002C108B" w:rsidRPr="000178A7">
              <w:rPr>
                <w:rFonts w:ascii="Times New Roman" w:hAnsi="Times New Roman" w:cs="Times New Roman"/>
                <w:sz w:val="24"/>
                <w:szCs w:val="24"/>
              </w:rPr>
              <w:t>documents d’orientation visant à planifier l’organisation du développement urbain à l’échelle d’un territoire pouvant comporter plusieurs communes, notamment à travers la définition d’options d’aménagement, de zones nouvelles d’urbanisation, la fixation de la destination générale des sols, etc. Les SDAU sont élaborés par l’autorité gouvernementale chargée de l’urbanisme avec la participation des collectivités locales. Bien que ces dernières n’aient pas de pouvoir décisionnel pour la préparation des SDAU, elles sont chargées de les mettre en œuvre ;</w:t>
            </w:r>
          </w:p>
          <w:p w14:paraId="7FB80F40" w14:textId="36B0BA8C" w:rsidR="000178A7" w:rsidRDefault="000178A7" w:rsidP="000178A7">
            <w:pPr>
              <w:pStyle w:val="ListParagraph"/>
              <w:widowControl w:val="0"/>
              <w:numPr>
                <w:ilvl w:val="0"/>
                <w:numId w:val="25"/>
              </w:numPr>
              <w:rPr>
                <w:rFonts w:ascii="Times New Roman" w:hAnsi="Times New Roman" w:cs="Times New Roman"/>
                <w:sz w:val="24"/>
                <w:szCs w:val="24"/>
              </w:rPr>
            </w:pPr>
            <w:r>
              <w:rPr>
                <w:rFonts w:ascii="Times New Roman" w:hAnsi="Times New Roman" w:cs="Times New Roman"/>
                <w:sz w:val="24"/>
                <w:szCs w:val="24"/>
              </w:rPr>
              <w:t>échelle communale</w:t>
            </w:r>
            <w:r w:rsidR="00E01971">
              <w:rPr>
                <w:rFonts w:ascii="Times New Roman" w:hAnsi="Times New Roman" w:cs="Times New Roman"/>
                <w:sz w:val="24"/>
                <w:szCs w:val="24"/>
              </w:rPr>
              <w:t xml:space="preserve"> ou infra-communale</w:t>
            </w:r>
            <w:r w:rsidR="007510D8">
              <w:rPr>
                <w:rFonts w:ascii="Times New Roman" w:hAnsi="Times New Roman" w:cs="Times New Roman"/>
                <w:sz w:val="24"/>
                <w:szCs w:val="24"/>
              </w:rPr>
              <w:t xml:space="preserve">, via </w:t>
            </w:r>
            <w:r w:rsidR="002C108B" w:rsidRPr="000178A7">
              <w:rPr>
                <w:rFonts w:ascii="Times New Roman" w:hAnsi="Times New Roman" w:cs="Times New Roman"/>
                <w:sz w:val="24"/>
                <w:szCs w:val="24"/>
              </w:rPr>
              <w:t xml:space="preserve">les </w:t>
            </w:r>
            <w:r w:rsidR="002C108B" w:rsidRPr="009C1B7C">
              <w:rPr>
                <w:rFonts w:ascii="Times New Roman" w:hAnsi="Times New Roman" w:cs="Times New Roman"/>
                <w:b/>
                <w:i/>
                <w:sz w:val="24"/>
                <w:szCs w:val="24"/>
              </w:rPr>
              <w:t>plans d’aménagement</w:t>
            </w:r>
            <w:r w:rsidR="002C108B" w:rsidRPr="000178A7">
              <w:rPr>
                <w:rFonts w:ascii="Times New Roman" w:hAnsi="Times New Roman" w:cs="Times New Roman"/>
                <w:sz w:val="24"/>
                <w:szCs w:val="24"/>
              </w:rPr>
              <w:t xml:space="preserve"> (PA)</w:t>
            </w:r>
            <w:r w:rsidR="00E01971">
              <w:rPr>
                <w:rFonts w:ascii="Times New Roman" w:hAnsi="Times New Roman" w:cs="Times New Roman"/>
                <w:sz w:val="24"/>
                <w:szCs w:val="24"/>
              </w:rPr>
              <w:t xml:space="preserve">, qui fixent l’affectation des sols et définissent les possibilités ou restrictions/interdictions de construire. </w:t>
            </w:r>
            <w:r w:rsidR="002C108B" w:rsidRPr="000178A7">
              <w:rPr>
                <w:rFonts w:ascii="Times New Roman" w:hAnsi="Times New Roman" w:cs="Times New Roman"/>
                <w:sz w:val="24"/>
                <w:szCs w:val="24"/>
              </w:rPr>
              <w:t xml:space="preserve"> </w:t>
            </w:r>
          </w:p>
          <w:p w14:paraId="3EBE92C8" w14:textId="196DFD23" w:rsidR="000178A7" w:rsidRDefault="000178A7" w:rsidP="009C1B7C">
            <w:pPr>
              <w:widowControl w:val="0"/>
              <w:ind w:left="0"/>
              <w:rPr>
                <w:rFonts w:ascii="Times New Roman" w:hAnsi="Times New Roman" w:cs="Times New Roman"/>
                <w:sz w:val="24"/>
                <w:szCs w:val="24"/>
              </w:rPr>
            </w:pPr>
          </w:p>
          <w:p w14:paraId="53591AED" w14:textId="0EB20393" w:rsidR="00852676" w:rsidRPr="009B72D2" w:rsidRDefault="00852676" w:rsidP="009C1B7C">
            <w:pPr>
              <w:widowControl w:val="0"/>
              <w:ind w:left="0"/>
              <w:rPr>
                <w:rFonts w:ascii="Times New Roman" w:hAnsi="Times New Roman" w:cs="Times New Roman"/>
                <w:i/>
                <w:smallCaps/>
                <w:sz w:val="24"/>
                <w:szCs w:val="24"/>
              </w:rPr>
            </w:pPr>
            <w:r w:rsidRPr="009B72D2">
              <w:rPr>
                <w:rFonts w:ascii="Times New Roman" w:hAnsi="Times New Roman" w:cs="Times New Roman"/>
                <w:i/>
                <w:smallCaps/>
                <w:sz w:val="24"/>
                <w:szCs w:val="24"/>
              </w:rPr>
              <w:t>Acteurs</w:t>
            </w:r>
          </w:p>
          <w:p w14:paraId="71C29DA1" w14:textId="023D442A" w:rsidR="006E25B1" w:rsidRDefault="00817ED6" w:rsidP="009C1B7C">
            <w:pPr>
              <w:widowControl w:val="0"/>
              <w:ind w:left="0"/>
              <w:rPr>
                <w:rFonts w:ascii="Times New Roman" w:hAnsi="Times New Roman" w:cs="Times New Roman"/>
                <w:sz w:val="24"/>
                <w:szCs w:val="24"/>
              </w:rPr>
            </w:pPr>
            <w:r>
              <w:rPr>
                <w:rFonts w:ascii="Times New Roman" w:hAnsi="Times New Roman" w:cs="Times New Roman"/>
                <w:sz w:val="24"/>
                <w:szCs w:val="24"/>
              </w:rPr>
              <w:t>Etablissements publics sous tutelle d</w:t>
            </w:r>
            <w:r w:rsidR="00386F09">
              <w:rPr>
                <w:rFonts w:ascii="Times New Roman" w:hAnsi="Times New Roman" w:cs="Times New Roman"/>
                <w:sz w:val="24"/>
                <w:szCs w:val="24"/>
              </w:rPr>
              <w:t xml:space="preserve">u département </w:t>
            </w:r>
            <w:r>
              <w:rPr>
                <w:rFonts w:ascii="Times New Roman" w:hAnsi="Times New Roman" w:cs="Times New Roman"/>
                <w:sz w:val="24"/>
                <w:szCs w:val="24"/>
              </w:rPr>
              <w:t>de l’urbanisme, l</w:t>
            </w:r>
            <w:r w:rsidR="000178A7">
              <w:rPr>
                <w:rFonts w:ascii="Times New Roman" w:hAnsi="Times New Roman" w:cs="Times New Roman"/>
                <w:sz w:val="24"/>
                <w:szCs w:val="24"/>
              </w:rPr>
              <w:t xml:space="preserve">es </w:t>
            </w:r>
            <w:r w:rsidR="009C1B7C" w:rsidRPr="00DC2642">
              <w:rPr>
                <w:rFonts w:ascii="Times New Roman" w:hAnsi="Times New Roman" w:cs="Times New Roman"/>
                <w:b/>
                <w:i/>
                <w:sz w:val="24"/>
                <w:szCs w:val="24"/>
              </w:rPr>
              <w:t>agences urbaines</w:t>
            </w:r>
            <w:r w:rsidR="009C1B7C">
              <w:rPr>
                <w:rFonts w:ascii="Times New Roman" w:hAnsi="Times New Roman" w:cs="Times New Roman"/>
                <w:sz w:val="24"/>
                <w:szCs w:val="24"/>
              </w:rPr>
              <w:t xml:space="preserve"> sont </w:t>
            </w:r>
            <w:r>
              <w:rPr>
                <w:rFonts w:ascii="Times New Roman" w:hAnsi="Times New Roman" w:cs="Times New Roman"/>
                <w:sz w:val="24"/>
                <w:szCs w:val="24"/>
              </w:rPr>
              <w:t>responsables</w:t>
            </w:r>
            <w:r w:rsidR="000178A7">
              <w:rPr>
                <w:rFonts w:ascii="Times New Roman" w:hAnsi="Times New Roman" w:cs="Times New Roman"/>
                <w:sz w:val="24"/>
                <w:szCs w:val="24"/>
              </w:rPr>
              <w:t xml:space="preserve"> de </w:t>
            </w:r>
            <w:r w:rsidR="00315EC3">
              <w:rPr>
                <w:rFonts w:ascii="Times New Roman" w:hAnsi="Times New Roman" w:cs="Times New Roman"/>
                <w:sz w:val="24"/>
                <w:szCs w:val="24"/>
              </w:rPr>
              <w:t>l</w:t>
            </w:r>
            <w:r>
              <w:rPr>
                <w:rFonts w:ascii="Times New Roman" w:hAnsi="Times New Roman" w:cs="Times New Roman"/>
                <w:sz w:val="24"/>
                <w:szCs w:val="24"/>
              </w:rPr>
              <w:t>’</w:t>
            </w:r>
            <w:r w:rsidR="00622435">
              <w:rPr>
                <w:rFonts w:ascii="Times New Roman" w:hAnsi="Times New Roman" w:cs="Times New Roman"/>
                <w:sz w:val="24"/>
                <w:szCs w:val="24"/>
              </w:rPr>
              <w:t>élaboration des documents d’urbanisme</w:t>
            </w:r>
            <w:r>
              <w:rPr>
                <w:rFonts w:ascii="Times New Roman" w:hAnsi="Times New Roman" w:cs="Times New Roman"/>
                <w:sz w:val="24"/>
                <w:szCs w:val="24"/>
              </w:rPr>
              <w:t xml:space="preserve"> (et en </w:t>
            </w:r>
            <w:r>
              <w:rPr>
                <w:rFonts w:ascii="Times New Roman" w:hAnsi="Times New Roman" w:cs="Times New Roman"/>
                <w:sz w:val="24"/>
                <w:szCs w:val="24"/>
              </w:rPr>
              <w:lastRenderedPageBreak/>
              <w:t>particulier des SDAU et PA</w:t>
            </w:r>
            <w:r w:rsidR="00913F4C">
              <w:rPr>
                <w:rFonts w:ascii="Times New Roman" w:hAnsi="Times New Roman" w:cs="Times New Roman"/>
                <w:sz w:val="24"/>
                <w:szCs w:val="24"/>
              </w:rPr>
              <w:t>)</w:t>
            </w:r>
            <w:r w:rsidR="00146862">
              <w:rPr>
                <w:rFonts w:ascii="Times New Roman" w:hAnsi="Times New Roman" w:cs="Times New Roman"/>
                <w:sz w:val="24"/>
                <w:szCs w:val="24"/>
              </w:rPr>
              <w:t xml:space="preserve">. </w:t>
            </w:r>
            <w:r w:rsidR="00913F4C">
              <w:rPr>
                <w:rFonts w:ascii="Times New Roman" w:hAnsi="Times New Roman" w:cs="Times New Roman"/>
                <w:sz w:val="24"/>
                <w:szCs w:val="24"/>
              </w:rPr>
              <w:t>Elles</w:t>
            </w:r>
            <w:r w:rsidR="00146862">
              <w:rPr>
                <w:rFonts w:ascii="Times New Roman" w:hAnsi="Times New Roman" w:cs="Times New Roman"/>
                <w:sz w:val="24"/>
                <w:szCs w:val="24"/>
              </w:rPr>
              <w:t xml:space="preserve"> </w:t>
            </w:r>
            <w:r w:rsidR="00913F4C">
              <w:rPr>
                <w:rFonts w:ascii="Times New Roman" w:hAnsi="Times New Roman" w:cs="Times New Roman"/>
                <w:sz w:val="24"/>
                <w:szCs w:val="24"/>
              </w:rPr>
              <w:t xml:space="preserve">ont également des prérogatives en matière de gestion urbaine (instruction des demandes d’autorisation de construire, délivrance des avis conformes, contrôles de conformité, etc.) qui s’avèrent d’autant plus lourdes que les documents d’urbanisme (PA) sont </w:t>
            </w:r>
            <w:r w:rsidR="006C3FEA">
              <w:rPr>
                <w:rFonts w:ascii="Times New Roman" w:hAnsi="Times New Roman" w:cs="Times New Roman"/>
                <w:sz w:val="24"/>
                <w:szCs w:val="24"/>
              </w:rPr>
              <w:t xml:space="preserve">souvent </w:t>
            </w:r>
            <w:r w:rsidR="00913F4C">
              <w:rPr>
                <w:rFonts w:ascii="Times New Roman" w:hAnsi="Times New Roman" w:cs="Times New Roman"/>
                <w:sz w:val="24"/>
                <w:szCs w:val="24"/>
              </w:rPr>
              <w:t xml:space="preserve">considérés comme des références intangibles sans possibilité d’adaptation. Les Agences urbaines sont également </w:t>
            </w:r>
            <w:r w:rsidR="006C3FEA">
              <w:rPr>
                <w:rFonts w:ascii="Times New Roman" w:hAnsi="Times New Roman" w:cs="Times New Roman"/>
                <w:sz w:val="24"/>
                <w:szCs w:val="24"/>
              </w:rPr>
              <w:t xml:space="preserve">des acteurs </w:t>
            </w:r>
            <w:r w:rsidR="00913F4C">
              <w:rPr>
                <w:rFonts w:ascii="Times New Roman" w:hAnsi="Times New Roman" w:cs="Times New Roman"/>
                <w:sz w:val="24"/>
                <w:szCs w:val="24"/>
              </w:rPr>
              <w:t xml:space="preserve">clé </w:t>
            </w:r>
            <w:r w:rsidR="006E25B1">
              <w:rPr>
                <w:rFonts w:ascii="Times New Roman" w:hAnsi="Times New Roman" w:cs="Times New Roman"/>
                <w:sz w:val="24"/>
                <w:szCs w:val="24"/>
              </w:rPr>
              <w:t xml:space="preserve">du développement local </w:t>
            </w:r>
            <w:r w:rsidR="00007266">
              <w:rPr>
                <w:rFonts w:ascii="Times New Roman" w:hAnsi="Times New Roman" w:cs="Times New Roman"/>
                <w:sz w:val="24"/>
                <w:szCs w:val="24"/>
              </w:rPr>
              <w:t xml:space="preserve">à travers la production d’études thématiques </w:t>
            </w:r>
            <w:r w:rsidR="00007266" w:rsidRPr="00007266">
              <w:rPr>
                <w:rFonts w:ascii="Times New Roman" w:hAnsi="Times New Roman" w:cs="Times New Roman"/>
                <w:sz w:val="24"/>
                <w:szCs w:val="24"/>
              </w:rPr>
              <w:t>(plan vert, plan d’ordonnancement, charte architecturale, projet de renouvellement urbain) mais également</w:t>
            </w:r>
            <w:r w:rsidR="00007266">
              <w:rPr>
                <w:rFonts w:ascii="Times New Roman" w:hAnsi="Times New Roman" w:cs="Times New Roman"/>
                <w:sz w:val="24"/>
                <w:szCs w:val="24"/>
              </w:rPr>
              <w:t xml:space="preserve"> via leur </w:t>
            </w:r>
            <w:r w:rsidR="00007266" w:rsidRPr="00007266">
              <w:rPr>
                <w:rFonts w:ascii="Times New Roman" w:hAnsi="Times New Roman" w:cs="Times New Roman"/>
                <w:sz w:val="24"/>
                <w:szCs w:val="24"/>
              </w:rPr>
              <w:t>implication dans les différents programmes existants (programmes de mise à niveau DGCL ou MATUHPV, Plans d’action communaux, plans de développement des grandes villes, ...).</w:t>
            </w:r>
            <w:r w:rsidR="006E25B1">
              <w:rPr>
                <w:rFonts w:ascii="Times New Roman" w:hAnsi="Times New Roman" w:cs="Times New Roman"/>
                <w:sz w:val="24"/>
                <w:szCs w:val="24"/>
              </w:rPr>
              <w:t xml:space="preserve"> Seule l’Agence urbaine de Casablanca </w:t>
            </w:r>
            <w:r w:rsidR="00884564">
              <w:rPr>
                <w:rFonts w:ascii="Times New Roman" w:hAnsi="Times New Roman" w:cs="Times New Roman"/>
                <w:sz w:val="24"/>
                <w:szCs w:val="24"/>
              </w:rPr>
              <w:t xml:space="preserve">s’est </w:t>
            </w:r>
            <w:r w:rsidR="006C3FEA">
              <w:rPr>
                <w:rFonts w:ascii="Times New Roman" w:hAnsi="Times New Roman" w:cs="Times New Roman"/>
                <w:sz w:val="24"/>
                <w:szCs w:val="24"/>
              </w:rPr>
              <w:t xml:space="preserve">récemment </w:t>
            </w:r>
            <w:r w:rsidR="00884564">
              <w:rPr>
                <w:rFonts w:ascii="Times New Roman" w:hAnsi="Times New Roman" w:cs="Times New Roman"/>
                <w:sz w:val="24"/>
                <w:szCs w:val="24"/>
              </w:rPr>
              <w:t xml:space="preserve">vu confier </w:t>
            </w:r>
            <w:r w:rsidR="006E25B1">
              <w:rPr>
                <w:rFonts w:ascii="Times New Roman" w:hAnsi="Times New Roman" w:cs="Times New Roman"/>
                <w:sz w:val="24"/>
                <w:szCs w:val="24"/>
              </w:rPr>
              <w:t>un rôle d’aménageur urbain.</w:t>
            </w:r>
          </w:p>
          <w:p w14:paraId="58818181" w14:textId="5AB37095" w:rsidR="00007266" w:rsidRDefault="00007266" w:rsidP="009C1B7C">
            <w:pPr>
              <w:widowControl w:val="0"/>
              <w:ind w:left="0"/>
              <w:rPr>
                <w:rFonts w:ascii="Times New Roman" w:hAnsi="Times New Roman" w:cs="Times New Roman"/>
                <w:sz w:val="24"/>
                <w:szCs w:val="24"/>
              </w:rPr>
            </w:pPr>
          </w:p>
          <w:p w14:paraId="5C606B5F" w14:textId="7BC40B76" w:rsidR="00007266" w:rsidRDefault="00007266" w:rsidP="009C1B7C">
            <w:pPr>
              <w:widowControl w:val="0"/>
              <w:ind w:left="0"/>
              <w:rPr>
                <w:rFonts w:ascii="Times New Roman" w:hAnsi="Times New Roman" w:cs="Times New Roman"/>
                <w:sz w:val="24"/>
                <w:szCs w:val="24"/>
              </w:rPr>
            </w:pPr>
            <w:r>
              <w:rPr>
                <w:rFonts w:ascii="Times New Roman" w:hAnsi="Times New Roman" w:cs="Times New Roman"/>
                <w:sz w:val="24"/>
                <w:szCs w:val="24"/>
              </w:rPr>
              <w:t>Bien que n’ayant qu’un r</w:t>
            </w:r>
            <w:r w:rsidR="003A223C">
              <w:rPr>
                <w:rFonts w:ascii="Times New Roman" w:hAnsi="Times New Roman" w:cs="Times New Roman"/>
                <w:sz w:val="24"/>
                <w:szCs w:val="24"/>
              </w:rPr>
              <w:t>ôle consu</w:t>
            </w:r>
            <w:r w:rsidR="006E25B1">
              <w:rPr>
                <w:rFonts w:ascii="Times New Roman" w:hAnsi="Times New Roman" w:cs="Times New Roman"/>
                <w:sz w:val="24"/>
                <w:szCs w:val="24"/>
              </w:rPr>
              <w:t>l</w:t>
            </w:r>
            <w:r w:rsidR="003A223C">
              <w:rPr>
                <w:rFonts w:ascii="Times New Roman" w:hAnsi="Times New Roman" w:cs="Times New Roman"/>
                <w:sz w:val="24"/>
                <w:szCs w:val="24"/>
              </w:rPr>
              <w:t>tatif</w:t>
            </w:r>
            <w:r>
              <w:rPr>
                <w:rFonts w:ascii="Times New Roman" w:hAnsi="Times New Roman" w:cs="Times New Roman"/>
                <w:sz w:val="24"/>
                <w:szCs w:val="24"/>
              </w:rPr>
              <w:t xml:space="preserve"> dans l’élaboration des SDAU et des PA, les </w:t>
            </w:r>
            <w:r w:rsidRPr="00007266">
              <w:rPr>
                <w:rFonts w:ascii="Times New Roman" w:hAnsi="Times New Roman" w:cs="Times New Roman"/>
                <w:b/>
                <w:i/>
                <w:sz w:val="24"/>
                <w:szCs w:val="24"/>
              </w:rPr>
              <w:t>communes</w:t>
            </w:r>
            <w:r>
              <w:rPr>
                <w:rFonts w:ascii="Times New Roman" w:hAnsi="Times New Roman" w:cs="Times New Roman"/>
                <w:b/>
                <w:i/>
                <w:sz w:val="24"/>
                <w:szCs w:val="24"/>
              </w:rPr>
              <w:t xml:space="preserve"> </w:t>
            </w:r>
            <w:r>
              <w:rPr>
                <w:rFonts w:ascii="Times New Roman" w:hAnsi="Times New Roman" w:cs="Times New Roman"/>
                <w:sz w:val="24"/>
                <w:szCs w:val="24"/>
              </w:rPr>
              <w:t xml:space="preserve">sont chargées de leur mise en œuvre. En matière d’aménagement urbain, elles participent aux programmes de mise à niveau urbaine des infrastructures municipales dans les quartiers sous-équipés </w:t>
            </w:r>
            <w:r w:rsidR="006E25B1">
              <w:rPr>
                <w:rFonts w:ascii="Times New Roman" w:hAnsi="Times New Roman" w:cs="Times New Roman"/>
                <w:sz w:val="24"/>
                <w:szCs w:val="24"/>
              </w:rPr>
              <w:t xml:space="preserve">via </w:t>
            </w:r>
            <w:r>
              <w:rPr>
                <w:rFonts w:ascii="Times New Roman" w:hAnsi="Times New Roman" w:cs="Times New Roman"/>
                <w:sz w:val="24"/>
                <w:szCs w:val="24"/>
              </w:rPr>
              <w:t xml:space="preserve">des programmes </w:t>
            </w:r>
            <w:r w:rsidR="006C3FEA">
              <w:rPr>
                <w:rFonts w:ascii="Times New Roman" w:hAnsi="Times New Roman" w:cs="Times New Roman"/>
                <w:sz w:val="24"/>
                <w:szCs w:val="24"/>
              </w:rPr>
              <w:t>spécifiques</w:t>
            </w:r>
            <w:r>
              <w:rPr>
                <w:rFonts w:ascii="Times New Roman" w:hAnsi="Times New Roman" w:cs="Times New Roman"/>
                <w:sz w:val="24"/>
                <w:szCs w:val="24"/>
              </w:rPr>
              <w:t xml:space="preserve"> ou les budgets communaux. </w:t>
            </w:r>
          </w:p>
          <w:p w14:paraId="712C6F60" w14:textId="77777777" w:rsidR="00007266" w:rsidRDefault="00007266" w:rsidP="009C1B7C">
            <w:pPr>
              <w:widowControl w:val="0"/>
              <w:ind w:left="0"/>
              <w:rPr>
                <w:rFonts w:ascii="Times New Roman" w:hAnsi="Times New Roman" w:cs="Times New Roman"/>
                <w:sz w:val="24"/>
                <w:szCs w:val="24"/>
              </w:rPr>
            </w:pPr>
          </w:p>
          <w:p w14:paraId="09E93BB5" w14:textId="7009F801" w:rsidR="006E25B1" w:rsidRDefault="00007266" w:rsidP="009C1B7C">
            <w:pPr>
              <w:widowControl w:val="0"/>
              <w:ind w:left="0"/>
              <w:rPr>
                <w:rFonts w:ascii="Times New Roman" w:hAnsi="Times New Roman" w:cs="Times New Roman"/>
                <w:sz w:val="24"/>
                <w:szCs w:val="24"/>
              </w:rPr>
            </w:pPr>
            <w:r>
              <w:rPr>
                <w:rFonts w:ascii="Times New Roman" w:hAnsi="Times New Roman" w:cs="Times New Roman"/>
                <w:sz w:val="24"/>
                <w:szCs w:val="24"/>
              </w:rPr>
              <w:t xml:space="preserve">Plusieurs </w:t>
            </w:r>
            <w:r w:rsidRPr="00007266">
              <w:rPr>
                <w:rFonts w:ascii="Times New Roman" w:hAnsi="Times New Roman" w:cs="Times New Roman"/>
                <w:b/>
                <w:i/>
                <w:sz w:val="24"/>
                <w:szCs w:val="24"/>
              </w:rPr>
              <w:t>établissements publics</w:t>
            </w:r>
            <w:r>
              <w:rPr>
                <w:rFonts w:ascii="Times New Roman" w:hAnsi="Times New Roman" w:cs="Times New Roman"/>
                <w:sz w:val="24"/>
                <w:szCs w:val="24"/>
              </w:rPr>
              <w:t xml:space="preserve"> de droit privé </w:t>
            </w:r>
            <w:r w:rsidR="003A223C">
              <w:rPr>
                <w:rFonts w:ascii="Times New Roman" w:hAnsi="Times New Roman" w:cs="Times New Roman"/>
                <w:sz w:val="24"/>
                <w:szCs w:val="24"/>
              </w:rPr>
              <w:t xml:space="preserve">constituent également des </w:t>
            </w:r>
            <w:r w:rsidR="00141BAF">
              <w:rPr>
                <w:rFonts w:ascii="Times New Roman" w:hAnsi="Times New Roman" w:cs="Times New Roman"/>
                <w:sz w:val="24"/>
                <w:szCs w:val="24"/>
              </w:rPr>
              <w:t>acteurs clés de l’aménagement urbain</w:t>
            </w:r>
            <w:r w:rsidR="003A223C">
              <w:rPr>
                <w:rFonts w:ascii="Times New Roman" w:hAnsi="Times New Roman" w:cs="Times New Roman"/>
                <w:sz w:val="24"/>
                <w:szCs w:val="24"/>
              </w:rPr>
              <w:t xml:space="preserve"> (Holding Al Omrane, Caisse de Dépôt et de Gestion et ses démembrements</w:t>
            </w:r>
            <w:r w:rsidR="00141BAF">
              <w:rPr>
                <w:rFonts w:ascii="Times New Roman" w:hAnsi="Times New Roman" w:cs="Times New Roman"/>
                <w:sz w:val="24"/>
                <w:szCs w:val="24"/>
              </w:rPr>
              <w:t>),</w:t>
            </w:r>
            <w:r w:rsidR="006E25B1">
              <w:rPr>
                <w:rFonts w:ascii="Times New Roman" w:hAnsi="Times New Roman" w:cs="Times New Roman"/>
                <w:sz w:val="24"/>
                <w:szCs w:val="24"/>
              </w:rPr>
              <w:t xml:space="preserve"> sur d’ambitieux projets de </w:t>
            </w:r>
            <w:r w:rsidR="003A223C">
              <w:rPr>
                <w:rFonts w:ascii="Times New Roman" w:hAnsi="Times New Roman" w:cs="Times New Roman"/>
                <w:sz w:val="24"/>
                <w:szCs w:val="24"/>
              </w:rPr>
              <w:t xml:space="preserve">villes nouvelles, </w:t>
            </w:r>
            <w:r w:rsidR="00141BAF">
              <w:rPr>
                <w:rFonts w:ascii="Times New Roman" w:hAnsi="Times New Roman" w:cs="Times New Roman"/>
                <w:sz w:val="24"/>
                <w:szCs w:val="24"/>
              </w:rPr>
              <w:t>d</w:t>
            </w:r>
            <w:r w:rsidR="003A223C">
              <w:rPr>
                <w:rFonts w:ascii="Times New Roman" w:hAnsi="Times New Roman" w:cs="Times New Roman"/>
                <w:sz w:val="24"/>
                <w:szCs w:val="24"/>
              </w:rPr>
              <w:t>’</w:t>
            </w:r>
            <w:r w:rsidR="00141BAF">
              <w:rPr>
                <w:rFonts w:ascii="Times New Roman" w:hAnsi="Times New Roman" w:cs="Times New Roman"/>
                <w:sz w:val="24"/>
                <w:szCs w:val="24"/>
              </w:rPr>
              <w:t>h</w:t>
            </w:r>
            <w:r w:rsidR="003A223C">
              <w:rPr>
                <w:rFonts w:ascii="Times New Roman" w:hAnsi="Times New Roman" w:cs="Times New Roman"/>
                <w:sz w:val="24"/>
                <w:szCs w:val="24"/>
              </w:rPr>
              <w:t>abitat</w:t>
            </w:r>
            <w:r w:rsidR="00141BAF">
              <w:rPr>
                <w:rFonts w:ascii="Times New Roman" w:hAnsi="Times New Roman" w:cs="Times New Roman"/>
                <w:sz w:val="24"/>
                <w:szCs w:val="24"/>
              </w:rPr>
              <w:t xml:space="preserve"> social</w:t>
            </w:r>
            <w:r w:rsidR="003A223C">
              <w:rPr>
                <w:rFonts w:ascii="Times New Roman" w:hAnsi="Times New Roman" w:cs="Times New Roman"/>
                <w:sz w:val="24"/>
                <w:szCs w:val="24"/>
              </w:rPr>
              <w:t>, et</w:t>
            </w:r>
            <w:r w:rsidR="006E25B1">
              <w:rPr>
                <w:rFonts w:ascii="Times New Roman" w:hAnsi="Times New Roman" w:cs="Times New Roman"/>
                <w:sz w:val="24"/>
                <w:szCs w:val="24"/>
              </w:rPr>
              <w:t>c.</w:t>
            </w:r>
          </w:p>
          <w:p w14:paraId="5D4DC4D8" w14:textId="77777777" w:rsidR="00884564" w:rsidRDefault="00884564" w:rsidP="009C1B7C">
            <w:pPr>
              <w:widowControl w:val="0"/>
              <w:ind w:left="0"/>
              <w:rPr>
                <w:rFonts w:ascii="Times New Roman" w:hAnsi="Times New Roman" w:cs="Times New Roman"/>
                <w:sz w:val="24"/>
                <w:szCs w:val="24"/>
              </w:rPr>
            </w:pPr>
          </w:p>
          <w:p w14:paraId="6A04839B" w14:textId="2AF89A6E" w:rsidR="002C108B" w:rsidRPr="000178A7" w:rsidRDefault="006C3FEA" w:rsidP="000178A7">
            <w:pPr>
              <w:widowControl w:val="0"/>
              <w:ind w:left="360"/>
              <w:rPr>
                <w:rFonts w:ascii="Times New Roman" w:hAnsi="Times New Roman" w:cs="Times New Roman"/>
                <w:sz w:val="24"/>
                <w:szCs w:val="24"/>
              </w:rPr>
            </w:pPr>
            <w:r>
              <w:rPr>
                <w:rFonts w:ascii="Times New Roman" w:hAnsi="Times New Roman" w:cs="Times New Roman"/>
                <w:sz w:val="24"/>
                <w:szCs w:val="24"/>
              </w:rPr>
              <w:t xml:space="preserve">Plus </w:t>
            </w:r>
            <w:r w:rsidRPr="009B72D2">
              <w:rPr>
                <w:rFonts w:ascii="Times New Roman" w:hAnsi="Times New Roman" w:cs="Times New Roman"/>
                <w:sz w:val="24"/>
                <w:szCs w:val="24"/>
              </w:rPr>
              <w:t>récemment,</w:t>
            </w:r>
            <w:r w:rsidR="00884564" w:rsidRPr="009B72D2">
              <w:rPr>
                <w:rFonts w:ascii="Times New Roman" w:hAnsi="Times New Roman" w:cs="Times New Roman"/>
                <w:sz w:val="24"/>
                <w:szCs w:val="24"/>
              </w:rPr>
              <w:t xml:space="preserve"> des </w:t>
            </w:r>
            <w:r w:rsidRPr="009B72D2">
              <w:rPr>
                <w:rFonts w:ascii="Times New Roman" w:hAnsi="Times New Roman" w:cs="Times New Roman"/>
                <w:sz w:val="24"/>
                <w:szCs w:val="24"/>
              </w:rPr>
              <w:t xml:space="preserve">structures dédiées sous forme de SDL ou de SA contribuent </w:t>
            </w:r>
            <w:r w:rsidR="00884564" w:rsidRPr="009B72D2">
              <w:rPr>
                <w:rFonts w:ascii="Times New Roman" w:hAnsi="Times New Roman" w:cs="Times New Roman"/>
                <w:sz w:val="24"/>
                <w:szCs w:val="24"/>
              </w:rPr>
              <w:t xml:space="preserve">à la </w:t>
            </w:r>
            <w:r w:rsidRPr="009B72D2">
              <w:rPr>
                <w:rFonts w:ascii="Times New Roman" w:hAnsi="Times New Roman" w:cs="Times New Roman"/>
                <w:sz w:val="24"/>
                <w:szCs w:val="24"/>
              </w:rPr>
              <w:t>mise en œuvre</w:t>
            </w:r>
            <w:r w:rsidR="00884564" w:rsidRPr="009B72D2">
              <w:rPr>
                <w:rFonts w:ascii="Times New Roman" w:hAnsi="Times New Roman" w:cs="Times New Roman"/>
                <w:sz w:val="24"/>
                <w:szCs w:val="24"/>
              </w:rPr>
              <w:t xml:space="preserve"> des plans stratégiques des grandes villes</w:t>
            </w:r>
            <w:r w:rsidRPr="009B72D2">
              <w:rPr>
                <w:rFonts w:ascii="Times New Roman" w:hAnsi="Times New Roman" w:cs="Times New Roman"/>
                <w:sz w:val="24"/>
                <w:szCs w:val="24"/>
              </w:rPr>
              <w:t xml:space="preserve">. </w:t>
            </w:r>
            <w:r w:rsidR="004F4E78" w:rsidRPr="009B72D2">
              <w:rPr>
                <w:rFonts w:ascii="Times New Roman" w:hAnsi="Times New Roman" w:cs="Times New Roman"/>
                <w:sz w:val="24"/>
                <w:szCs w:val="24"/>
              </w:rPr>
              <w:t>Il s’agit par exemple de la s</w:t>
            </w:r>
            <w:r w:rsidR="00884564" w:rsidRPr="009B72D2">
              <w:rPr>
                <w:rFonts w:ascii="Times New Roman" w:hAnsi="Times New Roman" w:cs="Times New Roman"/>
                <w:sz w:val="24"/>
                <w:szCs w:val="24"/>
              </w:rPr>
              <w:t xml:space="preserve">ociété Rabat </w:t>
            </w:r>
            <w:r w:rsidR="004F4E78" w:rsidRPr="009B72D2">
              <w:rPr>
                <w:rFonts w:ascii="Times New Roman" w:hAnsi="Times New Roman" w:cs="Times New Roman"/>
                <w:sz w:val="24"/>
                <w:szCs w:val="24"/>
              </w:rPr>
              <w:t>Région Aménagement</w:t>
            </w:r>
            <w:r w:rsidR="004F4E78" w:rsidRPr="008D760A">
              <w:rPr>
                <w:rFonts w:ascii="Times New Roman" w:hAnsi="Times New Roman" w:cs="Times New Roman"/>
                <w:sz w:val="24"/>
                <w:szCs w:val="24"/>
              </w:rPr>
              <w:t xml:space="preserve"> </w:t>
            </w:r>
            <w:r w:rsidR="00884564" w:rsidRPr="009B72D2">
              <w:rPr>
                <w:rFonts w:ascii="Times New Roman" w:hAnsi="Times New Roman" w:cs="Times New Roman"/>
                <w:sz w:val="24"/>
                <w:szCs w:val="24"/>
              </w:rPr>
              <w:t xml:space="preserve">chargée de </w:t>
            </w:r>
            <w:r w:rsidR="004F4E78">
              <w:rPr>
                <w:rFonts w:ascii="Times New Roman" w:hAnsi="Times New Roman" w:cs="Times New Roman"/>
                <w:sz w:val="24"/>
                <w:szCs w:val="24"/>
              </w:rPr>
              <w:t>la réalisation</w:t>
            </w:r>
            <w:r w:rsidR="00884564" w:rsidRPr="009B72D2">
              <w:rPr>
                <w:rFonts w:ascii="Times New Roman" w:hAnsi="Times New Roman" w:cs="Times New Roman"/>
                <w:sz w:val="24"/>
                <w:szCs w:val="24"/>
              </w:rPr>
              <w:t xml:space="preserve"> </w:t>
            </w:r>
            <w:r w:rsidR="004F4E78">
              <w:rPr>
                <w:rFonts w:ascii="Times New Roman" w:hAnsi="Times New Roman" w:cs="Times New Roman"/>
                <w:sz w:val="24"/>
                <w:szCs w:val="24"/>
              </w:rPr>
              <w:t xml:space="preserve">du </w:t>
            </w:r>
            <w:r w:rsidR="004F4E78" w:rsidRPr="005F403F">
              <w:rPr>
                <w:rFonts w:ascii="Times New Roman" w:hAnsi="Times New Roman" w:cs="Times New Roman"/>
                <w:sz w:val="24"/>
                <w:szCs w:val="24"/>
              </w:rPr>
              <w:t>Plan Rabat Ville Lumière</w:t>
            </w:r>
            <w:r w:rsidR="004F4E78">
              <w:rPr>
                <w:rFonts w:ascii="Times New Roman" w:hAnsi="Times New Roman" w:cs="Times New Roman"/>
                <w:sz w:val="24"/>
                <w:szCs w:val="24"/>
              </w:rPr>
              <w:t xml:space="preserve"> </w:t>
            </w:r>
            <w:r w:rsidR="004F4E78" w:rsidRPr="008D760A">
              <w:rPr>
                <w:rFonts w:ascii="Times New Roman" w:hAnsi="Times New Roman" w:cs="Times New Roman"/>
                <w:sz w:val="24"/>
                <w:szCs w:val="24"/>
              </w:rPr>
              <w:t xml:space="preserve">sous l’autorité du Wali ou encore des SDL </w:t>
            </w:r>
            <w:r w:rsidR="004F4E78">
              <w:rPr>
                <w:rFonts w:ascii="Times New Roman" w:hAnsi="Times New Roman" w:cs="Times New Roman"/>
                <w:sz w:val="24"/>
                <w:szCs w:val="24"/>
              </w:rPr>
              <w:t xml:space="preserve">Casa Aménagement, Casa Prestations, Casa Transport pour le Programme de Développement stratégique du grand Casablanca (PDGC). </w:t>
            </w:r>
          </w:p>
        </w:tc>
      </w:tr>
    </w:tbl>
    <w:p w14:paraId="439DCE31" w14:textId="77777777" w:rsidR="002E7C1C" w:rsidRDefault="002E7C1C" w:rsidP="000050E0">
      <w:pPr>
        <w:widowControl w:val="0"/>
        <w:spacing w:after="0" w:line="240" w:lineRule="auto"/>
        <w:jc w:val="both"/>
        <w:rPr>
          <w:rFonts w:ascii="Times New Roman" w:hAnsi="Times New Roman" w:cs="Times New Roman"/>
          <w:sz w:val="24"/>
          <w:szCs w:val="24"/>
        </w:rPr>
      </w:pPr>
    </w:p>
    <w:p w14:paraId="3BBD1E3C" w14:textId="60C701FE" w:rsidR="00982BCE" w:rsidRPr="00D14C96" w:rsidRDefault="00982BCE" w:rsidP="000050E0">
      <w:pPr>
        <w:widowControl w:val="0"/>
        <w:spacing w:after="0" w:line="240" w:lineRule="auto"/>
        <w:jc w:val="both"/>
        <w:rPr>
          <w:rFonts w:ascii="Times New Roman" w:hAnsi="Times New Roman" w:cs="Times New Roman"/>
          <w:sz w:val="24"/>
          <w:szCs w:val="24"/>
        </w:rPr>
      </w:pPr>
    </w:p>
    <w:p w14:paraId="0A2EE455" w14:textId="11F6D613" w:rsidR="001E0FA9" w:rsidRPr="00D14C96" w:rsidRDefault="001E0FA9" w:rsidP="00B4544E">
      <w:pPr>
        <w:pStyle w:val="Numberedparagraph"/>
        <w:ind w:left="0" w:firstLine="0"/>
        <w:rPr>
          <w:rFonts w:ascii="Times New Roman" w:hAnsi="Times New Roman" w:cs="Times New Roman"/>
        </w:rPr>
      </w:pPr>
      <w:bookmarkStart w:id="97" w:name="_Hlk510621050"/>
      <w:r w:rsidRPr="00D14C96">
        <w:rPr>
          <w:rFonts w:ascii="Times New Roman" w:hAnsi="Times New Roman" w:cs="Times New Roman"/>
          <w:b/>
        </w:rPr>
        <w:t>P</w:t>
      </w:r>
      <w:r w:rsidR="00C92C44">
        <w:rPr>
          <w:rFonts w:ascii="Times New Roman" w:hAnsi="Times New Roman" w:cs="Times New Roman"/>
          <w:b/>
        </w:rPr>
        <w:t xml:space="preserve">ar ailleurs, son </w:t>
      </w:r>
      <w:r w:rsidRPr="00D14C96">
        <w:rPr>
          <w:rFonts w:ascii="Times New Roman" w:hAnsi="Times New Roman" w:cs="Times New Roman"/>
          <w:b/>
        </w:rPr>
        <w:t>cadre de mise en œuvre est dépourvu d’instruments d’aménagement urbain</w:t>
      </w:r>
      <w:bookmarkEnd w:id="97"/>
      <w:r w:rsidRPr="00D14C96">
        <w:rPr>
          <w:rFonts w:ascii="Times New Roman" w:hAnsi="Times New Roman" w:cs="Times New Roman"/>
        </w:rPr>
        <w:t xml:space="preserve"> </w:t>
      </w:r>
      <w:r w:rsidRPr="00D14C96">
        <w:rPr>
          <w:rFonts w:ascii="Times New Roman" w:hAnsi="Times New Roman" w:cs="Times New Roman"/>
          <w:b/>
        </w:rPr>
        <w:t>en dehors des outils et procédures classiques (lotissement, expropriation).</w:t>
      </w:r>
      <w:r w:rsidRPr="00D14C96">
        <w:rPr>
          <w:rFonts w:ascii="Times New Roman" w:hAnsi="Times New Roman" w:cs="Times New Roman"/>
        </w:rPr>
        <w:t xml:space="preserve"> Le Maroc ne dispose pas aujourd’hui d’outils juridiques, opérationnels, et fonciers lui permettant d’organiser de façon cohérente, volontariste et/ou négociée des opérations d’aménagement et/ou de renouvellement urbain</w:t>
      </w:r>
      <w:r w:rsidRPr="00D14C96">
        <w:rPr>
          <w:rStyle w:val="FootnoteReference"/>
          <w:rFonts w:ascii="Times New Roman" w:hAnsi="Times New Roman" w:cs="Times New Roman"/>
        </w:rPr>
        <w:footnoteReference w:id="11"/>
      </w:r>
      <w:r w:rsidRPr="00D14C96">
        <w:rPr>
          <w:rFonts w:ascii="Times New Roman" w:hAnsi="Times New Roman" w:cs="Times New Roman"/>
        </w:rPr>
        <w:t>. Il ne tire pas non plus pleinement partie des possibilités de contribution du foncier urbain au coût de l’urbanisation en s’inspirant des nombreuses expériences et formules de PPP dans l’aménagement urbain à travers le monde. L’échappatoire du foncier public (dont la consommation a presque quadruplé entre les années 1980 et 2000 à un rythme annuel moyen de 5 000 ha</w:t>
      </w:r>
      <w:r w:rsidRPr="00D14C96">
        <w:rPr>
          <w:rStyle w:val="FootnoteReference"/>
          <w:rFonts w:ascii="Times New Roman" w:hAnsi="Times New Roman" w:cs="Times New Roman"/>
        </w:rPr>
        <w:footnoteReference w:id="12"/>
      </w:r>
      <w:r w:rsidRPr="00D14C96">
        <w:rPr>
          <w:rFonts w:ascii="Times New Roman" w:hAnsi="Times New Roman" w:cs="Times New Roman"/>
        </w:rPr>
        <w:t xml:space="preserve">) ou de la dérogation, hors des zones d’urbanisation prévues, n’est pas à l’échelle des besoins (voir l’exemple de Casablanca dans l’encadré). </w:t>
      </w:r>
    </w:p>
    <w:p w14:paraId="43FA4721"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738783F1" w14:textId="1E494029" w:rsidR="001E0FA9" w:rsidRPr="00D14C96" w:rsidRDefault="001E0FA9" w:rsidP="000050E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D14C96">
        <w:rPr>
          <w:rFonts w:ascii="Times New Roman" w:hAnsi="Times New Roman" w:cs="Times New Roman"/>
          <w:b/>
          <w:sz w:val="24"/>
          <w:szCs w:val="24"/>
          <w:u w:val="single"/>
        </w:rPr>
        <w:t xml:space="preserve">Encadré </w:t>
      </w:r>
      <w:r w:rsidR="00982BCE">
        <w:rPr>
          <w:rFonts w:ascii="Times New Roman" w:hAnsi="Times New Roman" w:cs="Times New Roman"/>
          <w:b/>
          <w:sz w:val="24"/>
          <w:szCs w:val="24"/>
          <w:u w:val="single"/>
        </w:rPr>
        <w:t>2</w:t>
      </w:r>
      <w:r w:rsidRPr="00D14C96">
        <w:rPr>
          <w:rFonts w:ascii="Times New Roman" w:hAnsi="Times New Roman" w:cs="Times New Roman"/>
          <w:b/>
          <w:sz w:val="24"/>
          <w:szCs w:val="24"/>
        </w:rPr>
        <w:t xml:space="preserve">. Importance des surcoûts entrainés par les développements urbains hors SDAU à Casablanca </w:t>
      </w:r>
    </w:p>
    <w:p w14:paraId="30DDB547"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p>
    <w:p w14:paraId="44804108"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14C96">
        <w:rPr>
          <w:rFonts w:ascii="Times New Roman" w:hAnsi="Times New Roman" w:cs="Times New Roman"/>
          <w:sz w:val="24"/>
          <w:szCs w:val="24"/>
        </w:rPr>
        <w:t xml:space="preserve">Les analyses économiques effectuées par le délégataire LYDEC ont montré l’importance </w:t>
      </w:r>
      <w:r w:rsidRPr="00D14C96">
        <w:rPr>
          <w:rFonts w:ascii="Times New Roman" w:hAnsi="Times New Roman" w:cs="Times New Roman"/>
          <w:sz w:val="24"/>
          <w:szCs w:val="24"/>
        </w:rPr>
        <w:lastRenderedPageBreak/>
        <w:t>des surcoûts entrainés par les développements urbains hors SDAU à Casablanca, soit 1000 ha entre 2009 et 2012. L’équipement de ces nouvelles zones d’extension a en effet nécessité la mise en place de ‘‘</w:t>
      </w:r>
      <w:r w:rsidRPr="00D14C96">
        <w:rPr>
          <w:rFonts w:ascii="Times New Roman" w:hAnsi="Times New Roman" w:cs="Times New Roman"/>
          <w:i/>
          <w:sz w:val="24"/>
          <w:szCs w:val="24"/>
        </w:rPr>
        <w:t>solutions isolées et provisoires, parfois très éloignées de l’optimum technico-économique défini par les schémas directeurs qui ont contribué à augmenter de manière significative les coûts d’équipement liés à leur mise en œuvre ainsi que des surcoûts de gestion et d’exploitation par rapport au choix initialement définis</w:t>
      </w:r>
      <w:r w:rsidRPr="00D14C96">
        <w:rPr>
          <w:rFonts w:ascii="Times New Roman" w:hAnsi="Times New Roman" w:cs="Times New Roman"/>
          <w:sz w:val="24"/>
          <w:szCs w:val="24"/>
        </w:rPr>
        <w:t>’’</w:t>
      </w:r>
      <w:r w:rsidRPr="00D14C96">
        <w:rPr>
          <w:rStyle w:val="FootnoteReference"/>
          <w:rFonts w:ascii="Times New Roman" w:hAnsi="Times New Roman" w:cs="Times New Roman"/>
          <w:sz w:val="24"/>
          <w:szCs w:val="24"/>
        </w:rPr>
        <w:footnoteReference w:id="13"/>
      </w:r>
      <w:r w:rsidRPr="00D14C96">
        <w:rPr>
          <w:rFonts w:ascii="Times New Roman" w:hAnsi="Times New Roman" w:cs="Times New Roman"/>
          <w:sz w:val="24"/>
          <w:szCs w:val="24"/>
        </w:rPr>
        <w:t xml:space="preserve">. </w:t>
      </w:r>
    </w:p>
    <w:p w14:paraId="074B9A64"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14:paraId="7A6E9091" w14:textId="6AF4ED60" w:rsidR="001E0FA9" w:rsidRPr="00D14C96" w:rsidRDefault="001E0FA9" w:rsidP="000050E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14C96">
        <w:rPr>
          <w:rFonts w:ascii="Times New Roman" w:hAnsi="Times New Roman" w:cs="Times New Roman"/>
          <w:sz w:val="24"/>
          <w:szCs w:val="24"/>
        </w:rPr>
        <w:t xml:space="preserve">L’observation par LYDEC des coûts complets (foncier, équipement, gestion, etc.) des opérations en dérogation a fait ressortir que le gain dû à l’opportunité foncière était contrebalancé par les surcoûts entrainés. De ce fait, l’investissement global se rapprochait de celui d’une opération en ‘‘situation urbanistique normale’’ (c'est-à-dire inscrite dans un document d’urbanisme). </w:t>
      </w:r>
    </w:p>
    <w:p w14:paraId="7EAD0B40"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14:paraId="4F958AC3" w14:textId="4D8033BF" w:rsidR="001E0FA9" w:rsidRDefault="001E0FA9" w:rsidP="000050E0">
      <w:pPr>
        <w:widowControl w:val="0"/>
        <w:spacing w:after="0" w:line="240" w:lineRule="auto"/>
        <w:jc w:val="both"/>
        <w:rPr>
          <w:rFonts w:ascii="Times New Roman" w:hAnsi="Times New Roman" w:cs="Times New Roman"/>
          <w:sz w:val="24"/>
          <w:szCs w:val="24"/>
        </w:rPr>
      </w:pPr>
    </w:p>
    <w:p w14:paraId="4A4DF955" w14:textId="05C53371" w:rsidR="00C92C44" w:rsidRDefault="00C92C44" w:rsidP="000050E0">
      <w:pPr>
        <w:widowControl w:val="0"/>
        <w:spacing w:after="0" w:line="240" w:lineRule="auto"/>
        <w:jc w:val="both"/>
        <w:rPr>
          <w:rFonts w:ascii="Times New Roman" w:hAnsi="Times New Roman" w:cs="Times New Roman"/>
          <w:sz w:val="24"/>
          <w:szCs w:val="24"/>
        </w:rPr>
      </w:pPr>
    </w:p>
    <w:p w14:paraId="7EEAD964" w14:textId="77777777" w:rsidR="00C92C44" w:rsidRPr="00D14C96" w:rsidRDefault="00C92C44" w:rsidP="000050E0">
      <w:pPr>
        <w:widowControl w:val="0"/>
        <w:spacing w:after="0" w:line="240" w:lineRule="auto"/>
        <w:jc w:val="both"/>
        <w:rPr>
          <w:rFonts w:ascii="Times New Roman" w:hAnsi="Times New Roman" w:cs="Times New Roman"/>
          <w:sz w:val="24"/>
          <w:szCs w:val="24"/>
        </w:rPr>
      </w:pPr>
    </w:p>
    <w:p w14:paraId="36F94610" w14:textId="77777777" w:rsidR="001E0FA9" w:rsidRPr="00D14C96" w:rsidRDefault="001E0FA9" w:rsidP="009C2620">
      <w:pPr>
        <w:pStyle w:val="Heading3"/>
        <w:numPr>
          <w:ilvl w:val="0"/>
          <w:numId w:val="3"/>
        </w:numPr>
        <w:spacing w:line="240" w:lineRule="auto"/>
        <w:ind w:left="720"/>
        <w:rPr>
          <w:rFonts w:ascii="Times New Roman" w:hAnsi="Times New Roman" w:cs="Times New Roman"/>
          <w:b/>
          <w:color w:val="C00000"/>
          <w:lang w:eastAsia="fr-FR"/>
        </w:rPr>
      </w:pPr>
      <w:bookmarkStart w:id="98" w:name="_Toc515875115"/>
      <w:r w:rsidRPr="00D14C96">
        <w:rPr>
          <w:rFonts w:ascii="Times New Roman" w:hAnsi="Times New Roman" w:cs="Times New Roman"/>
          <w:b/>
          <w:color w:val="C00000"/>
          <w:lang w:eastAsia="fr-FR"/>
        </w:rPr>
        <w:t>Difficultés de l’action collective et de la gouvernance des territoires</w:t>
      </w:r>
      <w:bookmarkEnd w:id="98"/>
    </w:p>
    <w:p w14:paraId="1401AAE2" w14:textId="77777777" w:rsidR="001E0FA9" w:rsidRPr="00D14C96" w:rsidRDefault="001E0FA9" w:rsidP="000050E0">
      <w:pPr>
        <w:pStyle w:val="NormalWeb"/>
        <w:widowControl w:val="0"/>
        <w:spacing w:before="0" w:beforeAutospacing="0" w:after="0" w:afterAutospacing="0"/>
        <w:jc w:val="both"/>
        <w:rPr>
          <w:b/>
        </w:rPr>
      </w:pPr>
    </w:p>
    <w:p w14:paraId="1F055621" w14:textId="531F50CF"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 xml:space="preserve">Le </w:t>
      </w:r>
      <w:bookmarkStart w:id="99" w:name="_Hlk510621410"/>
      <w:r w:rsidRPr="00D14C96">
        <w:rPr>
          <w:rFonts w:ascii="Times New Roman" w:hAnsi="Times New Roman" w:cs="Times New Roman"/>
          <w:b/>
        </w:rPr>
        <w:t>développement des villes et des territoires est fortement entravé par le déficit de coordination multi-acteurs et multi-niveaux. Les stratégies sectorielles</w:t>
      </w:r>
      <w:r w:rsidRPr="00D14C96">
        <w:rPr>
          <w:rFonts w:ascii="Times New Roman" w:hAnsi="Times New Roman" w:cs="Times New Roman"/>
        </w:rPr>
        <w:t xml:space="preserve"> (économique, logement, tourisme, environnement, etc.) restent souvent cloisonnées et les nécessaires synergies entre elles sont rarement mises en œuvre. Au-delà de la faible coordination multisectorielle, la gouvernance des territoires reste peu articulée aux différentes échelles d’intervention (régional et urbain, intercommunal, etc.) </w:t>
      </w:r>
      <w:r w:rsidRPr="00D14C96">
        <w:rPr>
          <w:rFonts w:ascii="Times New Roman" w:hAnsi="Times New Roman" w:cs="Times New Roman"/>
          <w:b/>
        </w:rPr>
        <w:t xml:space="preserve"> </w:t>
      </w:r>
      <w:r w:rsidRPr="00D14C96">
        <w:rPr>
          <w:rFonts w:ascii="Times New Roman" w:hAnsi="Times New Roman" w:cs="Times New Roman"/>
        </w:rPr>
        <w:t xml:space="preserve"> </w:t>
      </w:r>
      <w:bookmarkEnd w:id="99"/>
      <w:r w:rsidRPr="00D14C96">
        <w:rPr>
          <w:rFonts w:ascii="Times New Roman" w:hAnsi="Times New Roman" w:cs="Times New Roman"/>
        </w:rPr>
        <w:t xml:space="preserve">Le développement urbain et territorial pâtit également de la multiplicité des acteurs institutionnels dans ce domaine, du chevauchement des prérogatives et de l’absence de territorialisation de l’action et de mise en cohérence des politiques publiques au niveau local. </w:t>
      </w:r>
    </w:p>
    <w:p w14:paraId="2AC5E20B" w14:textId="77777777" w:rsidR="001E0FA9" w:rsidRPr="00D14C96" w:rsidRDefault="001E0FA9" w:rsidP="000050E0">
      <w:pPr>
        <w:pStyle w:val="NormalWeb"/>
        <w:widowControl w:val="0"/>
        <w:spacing w:before="0" w:beforeAutospacing="0" w:after="0" w:afterAutospacing="0"/>
        <w:jc w:val="both"/>
        <w:rPr>
          <w:rFonts w:eastAsiaTheme="minorHAnsi"/>
          <w:lang w:eastAsia="en-US"/>
        </w:rPr>
      </w:pPr>
    </w:p>
    <w:p w14:paraId="047D805D" w14:textId="1C4CF484" w:rsidR="001E0FA9" w:rsidRDefault="001E0FA9" w:rsidP="00B4544E">
      <w:pPr>
        <w:pStyle w:val="Numberedparagraph"/>
        <w:ind w:left="0" w:firstLine="0"/>
        <w:rPr>
          <w:rFonts w:ascii="Times New Roman" w:hAnsi="Times New Roman" w:cs="Times New Roman"/>
        </w:rPr>
      </w:pPr>
      <w:bookmarkStart w:id="100" w:name="_Hlk510621637"/>
      <w:r w:rsidRPr="00D14C96">
        <w:rPr>
          <w:rFonts w:ascii="Times New Roman" w:hAnsi="Times New Roman" w:cs="Times New Roman"/>
          <w:b/>
        </w:rPr>
        <w:t>L’organisation et le fonctionnement des territoires restent largement dominés par l’Etat central et par des logiques descendantes.</w:t>
      </w:r>
      <w:r w:rsidRPr="00D14C96">
        <w:rPr>
          <w:rFonts w:ascii="Times New Roman" w:hAnsi="Times New Roman" w:cs="Times New Roman"/>
        </w:rPr>
        <w:t xml:space="preserve"> </w:t>
      </w:r>
      <w:bookmarkEnd w:id="100"/>
      <w:r w:rsidRPr="00D14C96">
        <w:rPr>
          <w:rFonts w:ascii="Times New Roman" w:hAnsi="Times New Roman" w:cs="Times New Roman"/>
        </w:rPr>
        <w:t>La réforme de la déconcentration reste le maillon faible d’une gouvernance territoriale souhaitée plus efficiente (la Charte de la déconcentration étant toujours en projet). Les municipalités de leur côté, n’ont pas de pouvoir sur des processus d’urbanisation qui sont largement sorties de leurs limites et dont les charges sont reportées sur des communes rurales dans l’incapacité d’y faire face. Ces transformations rapides interpellent les pouvoirs publics sur la gouvernance à l’échelon intercommunal et métropolitain (où se jouent aujourd’hui les grands enjeux du développement urbain) et sur les réponses à apporter aux plans institutionnel, financier, de la planification, etc.</w:t>
      </w:r>
    </w:p>
    <w:p w14:paraId="5DB22462" w14:textId="77777777" w:rsidR="001E0FA9" w:rsidRPr="00D14C96" w:rsidRDefault="001E0FA9" w:rsidP="000050E0">
      <w:pPr>
        <w:pStyle w:val="NormalWeb"/>
        <w:widowControl w:val="0"/>
        <w:spacing w:before="0" w:beforeAutospacing="0" w:after="0" w:afterAutospacing="0"/>
        <w:jc w:val="both"/>
        <w:rPr>
          <w:rFonts w:eastAsiaTheme="minorHAnsi"/>
          <w:lang w:eastAsia="en-US"/>
        </w:rPr>
      </w:pPr>
    </w:p>
    <w:p w14:paraId="162AB113" w14:textId="6609B600" w:rsidR="001E0FA9" w:rsidRPr="00D14C96" w:rsidRDefault="001E0FA9" w:rsidP="009C2620">
      <w:pPr>
        <w:pStyle w:val="Heading3"/>
        <w:numPr>
          <w:ilvl w:val="0"/>
          <w:numId w:val="3"/>
        </w:numPr>
        <w:spacing w:line="240" w:lineRule="auto"/>
        <w:ind w:left="720"/>
        <w:rPr>
          <w:rFonts w:ascii="Times New Roman" w:hAnsi="Times New Roman" w:cs="Times New Roman"/>
          <w:b/>
          <w:color w:val="C00000"/>
          <w:lang w:eastAsia="fr-FR"/>
        </w:rPr>
      </w:pPr>
      <w:bookmarkStart w:id="101" w:name="_Toc515875116"/>
      <w:r w:rsidRPr="00D14C96">
        <w:rPr>
          <w:rFonts w:ascii="Times New Roman" w:hAnsi="Times New Roman" w:cs="Times New Roman"/>
          <w:b/>
          <w:color w:val="C00000"/>
          <w:lang w:eastAsia="fr-FR"/>
        </w:rPr>
        <w:t>Insuffisance du financement et trop faibles ressources humaines</w:t>
      </w:r>
      <w:bookmarkEnd w:id="101"/>
      <w:r w:rsidRPr="00D14C96">
        <w:rPr>
          <w:rFonts w:ascii="Times New Roman" w:hAnsi="Times New Roman" w:cs="Times New Roman"/>
          <w:b/>
          <w:color w:val="C00000"/>
          <w:lang w:eastAsia="fr-FR"/>
        </w:rPr>
        <w:t xml:space="preserve"> </w:t>
      </w:r>
    </w:p>
    <w:p w14:paraId="7ED7E7D6" w14:textId="77777777" w:rsidR="001E0FA9" w:rsidRPr="00D14C96" w:rsidRDefault="001E0FA9" w:rsidP="000050E0">
      <w:pPr>
        <w:pStyle w:val="NormalWeb"/>
        <w:widowControl w:val="0"/>
        <w:spacing w:before="0" w:beforeAutospacing="0" w:after="0" w:afterAutospacing="0"/>
        <w:jc w:val="both"/>
        <w:rPr>
          <w:rFonts w:eastAsiaTheme="minorHAnsi"/>
          <w:lang w:eastAsia="en-US"/>
        </w:rPr>
      </w:pPr>
    </w:p>
    <w:p w14:paraId="3BE5F6F3" w14:textId="0AA4FA5D"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Les volumes et leviers de financement de l’urbanisation sont largement insuffisants et le foncier y contribue peu.</w:t>
      </w:r>
      <w:r w:rsidRPr="00D14C96">
        <w:rPr>
          <w:rFonts w:ascii="Times New Roman" w:hAnsi="Times New Roman" w:cs="Times New Roman"/>
        </w:rPr>
        <w:t xml:space="preserve"> Les villes ne peuvent plus aujourd’hui compter sur les mécanismes classiques tels que la mobilisation du foncier public ou la péréquation, ou encore sur les mécanismes dérogatoires pour répondre à la demande en financement de leur développement et de leur équipement</w:t>
      </w:r>
      <w:r w:rsidRPr="00D14C96">
        <w:rPr>
          <w:rFonts w:ascii="Times New Roman" w:hAnsi="Times New Roman" w:cs="Times New Roman"/>
          <w:i/>
        </w:rPr>
        <w:t xml:space="preserve">. </w:t>
      </w:r>
      <w:r w:rsidRPr="00D14C96">
        <w:rPr>
          <w:rFonts w:ascii="Times New Roman" w:hAnsi="Times New Roman" w:cs="Times New Roman"/>
        </w:rPr>
        <w:t xml:space="preserve">Les besoins en investissements estimés pour les </w:t>
      </w:r>
      <w:r w:rsidRPr="00D14C96">
        <w:rPr>
          <w:rFonts w:ascii="Times New Roman" w:hAnsi="Times New Roman" w:cs="Times New Roman"/>
        </w:rPr>
        <w:lastRenderedPageBreak/>
        <w:t>infrastructures urbaines dans les villes marocaines se montent à environ 320 milliards DHs sur la période 2017-2027, dont plus des deux tiers devront être financés par les municipalités</w:t>
      </w:r>
      <w:r w:rsidRPr="00D14C96">
        <w:rPr>
          <w:rFonts w:ascii="Times New Roman" w:hAnsi="Times New Roman" w:cs="Times New Roman"/>
          <w:vertAlign w:val="superscript"/>
        </w:rPr>
        <w:footnoteReference w:id="14"/>
      </w:r>
      <w:r w:rsidRPr="00D14C96">
        <w:rPr>
          <w:rFonts w:ascii="Times New Roman" w:hAnsi="Times New Roman" w:cs="Times New Roman"/>
        </w:rPr>
        <w:t xml:space="preserve"> (part estimée à 222 milliards DHs soit 22,2 milliards DHs /an)</w:t>
      </w:r>
      <w:r w:rsidRPr="00D14C96">
        <w:rPr>
          <w:rStyle w:val="FootnoteReference"/>
          <w:rFonts w:ascii="Times New Roman" w:hAnsi="Times New Roman" w:cs="Times New Roman"/>
        </w:rPr>
        <w:footnoteReference w:id="15"/>
      </w:r>
      <w:r w:rsidRPr="00D14C96">
        <w:rPr>
          <w:rFonts w:ascii="Times New Roman" w:hAnsi="Times New Roman" w:cs="Times New Roman"/>
        </w:rPr>
        <w:t xml:space="preserve">. Celles-ci ne pourront pas assumer ces dépenses sur les bases actuelles. Elles sont par ailleurs dans l’incapacité financière de répondre aux exigences « d’exécution des dispositions du plan d’aménagement’’ et « d’ouverture de nouvelles zones à l’urbanisation » définies par la loi 113-14 (art 85) au titre des compétences transférées. La fiscalité locale apparait aussi déconnectée et contribue peu aux dépenses d’aménagement urbain. Il n’y a pas non plus de dispositifs dédiés de financement de l’urbanisation, ni de mécanisme liant le foncier au financement (ou à la participation) des dépenses d’équipement et d’aménagement.  </w:t>
      </w:r>
    </w:p>
    <w:p w14:paraId="003FAC03" w14:textId="77777777" w:rsidR="001E0FA9" w:rsidRPr="00D14C96" w:rsidRDefault="001E0FA9" w:rsidP="000050E0">
      <w:pPr>
        <w:widowControl w:val="0"/>
        <w:spacing w:after="0" w:line="240" w:lineRule="auto"/>
        <w:jc w:val="both"/>
        <w:rPr>
          <w:rFonts w:ascii="Times New Roman" w:hAnsi="Times New Roman" w:cs="Times New Roman"/>
          <w:sz w:val="24"/>
          <w:szCs w:val="24"/>
          <w:highlight w:val="yellow"/>
        </w:rPr>
      </w:pPr>
      <w:bookmarkStart w:id="102" w:name="_Hlk510643472"/>
    </w:p>
    <w:p w14:paraId="25B69980" w14:textId="1F41058F"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Les ressources humaines, les compétences ainsi que le management stratégique des agences urbaines ne sont pas en phase avec les besoins et les évolutions en cours</w:t>
      </w:r>
      <w:bookmarkEnd w:id="102"/>
      <w:r w:rsidRPr="00D14C96">
        <w:rPr>
          <w:rFonts w:ascii="Times New Roman" w:hAnsi="Times New Roman" w:cs="Times New Roman"/>
          <w:b/>
        </w:rPr>
        <w:t>.</w:t>
      </w:r>
      <w:r w:rsidRPr="00D14C96">
        <w:rPr>
          <w:rFonts w:ascii="Times New Roman" w:hAnsi="Times New Roman" w:cs="Times New Roman"/>
        </w:rPr>
        <w:t xml:space="preserve"> Malgré leur ancrage territorial, leurs acquis et les réels progrès accomplis dans la gestion urbaine</w:t>
      </w:r>
      <w:r w:rsidRPr="00D14C96">
        <w:rPr>
          <w:rStyle w:val="FootnoteReference"/>
          <w:rFonts w:ascii="Times New Roman" w:hAnsi="Times New Roman" w:cs="Times New Roman"/>
        </w:rPr>
        <w:footnoteReference w:id="16"/>
      </w:r>
      <w:r w:rsidRPr="00D14C96">
        <w:rPr>
          <w:rFonts w:ascii="Times New Roman" w:hAnsi="Times New Roman" w:cs="Times New Roman"/>
        </w:rPr>
        <w:t>, les agences urbaines ne parviennent pas à faire évoluer les pratiques de planification urbaine, à prendre en compte des démarches et des projets plus complexes et à anticiper sur des sujets d’avenir (prospective, changement climatique et résilience urbaine, animation territoriale, urbanisme durable, etc</w:t>
      </w:r>
      <w:r w:rsidRPr="00042428">
        <w:rPr>
          <w:rFonts w:ascii="Times New Roman" w:hAnsi="Times New Roman" w:cs="Times New Roman"/>
        </w:rPr>
        <w:t xml:space="preserve">.). </w:t>
      </w:r>
      <w:r w:rsidR="00042428" w:rsidRPr="00042428">
        <w:rPr>
          <w:rFonts w:ascii="Times New Roman" w:hAnsi="Times New Roman" w:cs="Times New Roman"/>
        </w:rPr>
        <w:t>Même si elles peuvent être sans le formaliser des acteurs du développement local à travers un appui aux acteurs locaux, la réalisation d’études, l’identification de projets et</w:t>
      </w:r>
      <w:r w:rsidR="00042428">
        <w:rPr>
          <w:rFonts w:ascii="Times New Roman" w:hAnsi="Times New Roman" w:cs="Times New Roman"/>
        </w:rPr>
        <w:t>c., e</w:t>
      </w:r>
      <w:r w:rsidRPr="00D14C96">
        <w:rPr>
          <w:rFonts w:ascii="Times New Roman" w:hAnsi="Times New Roman" w:cs="Times New Roman"/>
        </w:rPr>
        <w:t>lles éprouvent aussi des difficultés à mettre en</w:t>
      </w:r>
      <w:r w:rsidRPr="00D14C96">
        <w:rPr>
          <w:rFonts w:ascii="Times New Roman" w:hAnsi="Times New Roman" w:cs="Times New Roman"/>
          <w:i/>
        </w:rPr>
        <w:t xml:space="preserve"> </w:t>
      </w:r>
      <w:r w:rsidRPr="00D14C96">
        <w:rPr>
          <w:rFonts w:ascii="Times New Roman" w:hAnsi="Times New Roman" w:cs="Times New Roman"/>
        </w:rPr>
        <w:t>relation les acteurs du développement territorial et à être « moteur</w:t>
      </w:r>
      <w:r w:rsidR="00042428">
        <w:rPr>
          <w:rFonts w:ascii="Times New Roman" w:hAnsi="Times New Roman" w:cs="Times New Roman"/>
        </w:rPr>
        <w:t>s</w:t>
      </w:r>
      <w:r w:rsidRPr="00D14C96">
        <w:rPr>
          <w:rFonts w:ascii="Times New Roman" w:hAnsi="Times New Roman" w:cs="Times New Roman"/>
        </w:rPr>
        <w:t xml:space="preserve"> » et « manageurs » d’une concertation multi acteurs. Elles établissent notamment peu de rapports de coopération et de partenariat pour faciliter la mise en œuvre des documents d'urbanisme, initier des approches pré-opérationnelles et appuyer les collectivités locales et les opérateurs publics et privés au montage de projets d'aménagement en amont des procédures d’autorisation. </w:t>
      </w:r>
    </w:p>
    <w:p w14:paraId="692B95FF" w14:textId="14AECCEC" w:rsidR="001E0FA9" w:rsidRPr="00D14C96" w:rsidRDefault="001E0FA9" w:rsidP="000050E0">
      <w:pPr>
        <w:pStyle w:val="Heading1"/>
        <w:rPr>
          <w:b w:val="0"/>
          <w:color w:val="C00000"/>
          <w:sz w:val="24"/>
          <w:szCs w:val="24"/>
        </w:rPr>
      </w:pPr>
      <w:bookmarkStart w:id="103" w:name="_Toc515875117"/>
      <w:bookmarkStart w:id="104" w:name="_Hlk510733435"/>
      <w:r w:rsidRPr="00D14C96">
        <w:rPr>
          <w:color w:val="2E74B5" w:themeColor="accent1" w:themeShade="BF"/>
          <w:sz w:val="24"/>
          <w:szCs w:val="24"/>
          <w:u w:val="single"/>
        </w:rPr>
        <w:t>Problématique </w:t>
      </w:r>
      <w:r w:rsidRPr="00D14C96">
        <w:rPr>
          <w:color w:val="2E74B5" w:themeColor="accent1" w:themeShade="BF"/>
          <w:sz w:val="24"/>
          <w:szCs w:val="24"/>
        </w:rPr>
        <w:t>: les réponses apportées au manque de financement de l’urbanisation ne sont pas à la mesure des enjeux à venir</w:t>
      </w:r>
      <w:bookmarkEnd w:id="103"/>
      <w:r w:rsidRPr="00D14C96">
        <w:rPr>
          <w:color w:val="C00000"/>
        </w:rPr>
        <w:t xml:space="preserve"> </w:t>
      </w:r>
    </w:p>
    <w:p w14:paraId="48263F56" w14:textId="51435F74" w:rsidR="001E0FA9" w:rsidRPr="00D14C96" w:rsidRDefault="001E0FA9" w:rsidP="00B4544E">
      <w:pPr>
        <w:pStyle w:val="Numberedparagraph"/>
        <w:ind w:left="0" w:firstLine="0"/>
        <w:rPr>
          <w:rFonts w:ascii="Times New Roman" w:hAnsi="Times New Roman" w:cs="Times New Roman"/>
          <w:i/>
        </w:rPr>
      </w:pPr>
      <w:bookmarkStart w:id="105" w:name="_Hlk510643684"/>
      <w:bookmarkEnd w:id="104"/>
      <w:r w:rsidRPr="00D14C96">
        <w:rPr>
          <w:rFonts w:ascii="Times New Roman" w:hAnsi="Times New Roman" w:cs="Times New Roman"/>
          <w:i/>
        </w:rPr>
        <w:t xml:space="preserve">Le Maroc consacre des efforts importants au secteur de l’urbain mais les réalisations entreprises soulèvent plusieurs questions quant à leurs déterminants, à la convergence des approches et des actions qui les structurent et leur </w:t>
      </w:r>
      <w:r w:rsidRPr="00D14C96">
        <w:rPr>
          <w:rFonts w:ascii="Times New Roman" w:hAnsi="Times New Roman" w:cs="Times New Roman"/>
        </w:rPr>
        <w:t>intégration</w:t>
      </w:r>
      <w:r w:rsidRPr="00D14C96">
        <w:rPr>
          <w:rFonts w:ascii="Times New Roman" w:hAnsi="Times New Roman" w:cs="Times New Roman"/>
          <w:i/>
        </w:rPr>
        <w:t xml:space="preserve"> urbaine et territoriale. </w:t>
      </w:r>
    </w:p>
    <w:bookmarkEnd w:id="105"/>
    <w:p w14:paraId="7E58AF10" w14:textId="77777777" w:rsidR="001E0FA9" w:rsidRPr="00D14C96" w:rsidRDefault="001E0FA9" w:rsidP="000050E0">
      <w:pPr>
        <w:widowControl w:val="0"/>
        <w:spacing w:after="0" w:line="240" w:lineRule="auto"/>
        <w:jc w:val="both"/>
        <w:rPr>
          <w:rFonts w:ascii="Times New Roman" w:hAnsi="Times New Roman" w:cs="Times New Roman"/>
          <w:b/>
          <w:sz w:val="24"/>
          <w:szCs w:val="24"/>
        </w:rPr>
      </w:pPr>
    </w:p>
    <w:p w14:paraId="2B40FD70" w14:textId="77777777" w:rsidR="001E0FA9" w:rsidRPr="00D14C96" w:rsidRDefault="001E0FA9" w:rsidP="009C2620">
      <w:pPr>
        <w:pStyle w:val="Heading3"/>
        <w:numPr>
          <w:ilvl w:val="0"/>
          <w:numId w:val="4"/>
        </w:numPr>
        <w:spacing w:line="240" w:lineRule="auto"/>
        <w:ind w:left="720"/>
        <w:rPr>
          <w:rFonts w:ascii="Times New Roman" w:hAnsi="Times New Roman" w:cs="Times New Roman"/>
          <w:b/>
          <w:color w:val="C00000"/>
          <w:lang w:eastAsia="fr-FR"/>
        </w:rPr>
      </w:pPr>
      <w:bookmarkStart w:id="106" w:name="_Toc515875118"/>
      <w:r w:rsidRPr="00D14C96">
        <w:rPr>
          <w:rFonts w:ascii="Times New Roman" w:hAnsi="Times New Roman" w:cs="Times New Roman"/>
          <w:b/>
          <w:color w:val="C00000"/>
          <w:lang w:eastAsia="fr-FR"/>
        </w:rPr>
        <w:t>Envergure des efforts entrepris</w:t>
      </w:r>
      <w:bookmarkEnd w:id="106"/>
      <w:r w:rsidRPr="00D14C96">
        <w:rPr>
          <w:rFonts w:ascii="Times New Roman" w:hAnsi="Times New Roman" w:cs="Times New Roman"/>
          <w:b/>
          <w:color w:val="C00000"/>
          <w:lang w:eastAsia="fr-FR"/>
        </w:rPr>
        <w:t xml:space="preserve"> </w:t>
      </w:r>
    </w:p>
    <w:p w14:paraId="774778A4" w14:textId="77777777" w:rsidR="001E0FA9" w:rsidRPr="00D14C96" w:rsidRDefault="001E0FA9" w:rsidP="000050E0">
      <w:pPr>
        <w:widowControl w:val="0"/>
        <w:spacing w:after="0" w:line="240" w:lineRule="auto"/>
        <w:jc w:val="both"/>
        <w:rPr>
          <w:rFonts w:ascii="Times New Roman" w:hAnsi="Times New Roman" w:cs="Times New Roman"/>
          <w:b/>
          <w:sz w:val="24"/>
          <w:szCs w:val="24"/>
        </w:rPr>
      </w:pPr>
    </w:p>
    <w:p w14:paraId="0BEC2C4F" w14:textId="200832E2" w:rsidR="001E0FA9" w:rsidRPr="00D14C96" w:rsidRDefault="001E0FA9" w:rsidP="00B4544E">
      <w:pPr>
        <w:pStyle w:val="Numberedparagraph"/>
        <w:ind w:left="0" w:firstLine="0"/>
        <w:rPr>
          <w:rFonts w:ascii="Times New Roman" w:hAnsi="Times New Roman" w:cs="Times New Roman"/>
          <w:color w:val="000000" w:themeColor="text1"/>
        </w:rPr>
      </w:pPr>
      <w:r w:rsidRPr="00D14C96">
        <w:rPr>
          <w:rFonts w:ascii="Times New Roman" w:hAnsi="Times New Roman" w:cs="Times New Roman"/>
          <w:b/>
        </w:rPr>
        <w:t>Le Maroc a sur la période récente entrepris des efforts considérables pour répondre à la pression des villes et aux besoins de développement.</w:t>
      </w:r>
      <w:r w:rsidRPr="00D14C96">
        <w:rPr>
          <w:rFonts w:ascii="Times New Roman" w:hAnsi="Times New Roman" w:cs="Times New Roman"/>
        </w:rPr>
        <w:t xml:space="preserve"> Des moyens financiers </w:t>
      </w:r>
      <w:r w:rsidRPr="00D14C96">
        <w:rPr>
          <w:rFonts w:ascii="Times New Roman" w:hAnsi="Times New Roman" w:cs="Times New Roman"/>
          <w:color w:val="000000" w:themeColor="text1"/>
        </w:rPr>
        <w:t xml:space="preserve">importants </w:t>
      </w:r>
      <w:r w:rsidRPr="00D14C96">
        <w:rPr>
          <w:rFonts w:ascii="Times New Roman" w:hAnsi="Times New Roman" w:cs="Times New Roman"/>
        </w:rPr>
        <w:t>ont ainsi été consacrés à l’amélioration des infrastructures</w:t>
      </w:r>
      <w:r w:rsidRPr="00D14C96">
        <w:rPr>
          <w:rFonts w:ascii="Times New Roman" w:hAnsi="Times New Roman" w:cs="Times New Roman"/>
          <w:color w:val="000000" w:themeColor="text1"/>
        </w:rPr>
        <w:t>, à la requalification / réhabilitation urbaine, aux équipements publics, à la résorption des bidonvilles, etc. à travers les programmes de mise à niveau, le PVSB (</w:t>
      </w:r>
      <w:r w:rsidRPr="00D14C96">
        <w:rPr>
          <w:rFonts w:ascii="Times New Roman" w:hAnsi="Times New Roman" w:cs="Times New Roman"/>
        </w:rPr>
        <w:t>Programme</w:t>
      </w:r>
      <w:r w:rsidRPr="00D14C96">
        <w:rPr>
          <w:rFonts w:ascii="Times New Roman" w:hAnsi="Times New Roman" w:cs="Times New Roman"/>
          <w:color w:val="000000" w:themeColor="text1"/>
        </w:rPr>
        <w:t xml:space="preserve"> Villes Sans Bidonvilles), les plans de développement stratégique de villes</w:t>
      </w:r>
      <w:r w:rsidRPr="00D14C96">
        <w:rPr>
          <w:rStyle w:val="FootnoteReference"/>
          <w:rFonts w:ascii="Times New Roman" w:hAnsi="Times New Roman" w:cs="Times New Roman"/>
        </w:rPr>
        <w:footnoteReference w:id="17"/>
      </w:r>
      <w:r w:rsidRPr="00D14C96">
        <w:rPr>
          <w:rFonts w:ascii="Times New Roman" w:hAnsi="Times New Roman" w:cs="Times New Roman"/>
          <w:color w:val="000000" w:themeColor="text1"/>
        </w:rPr>
        <w:t xml:space="preserve">. </w:t>
      </w:r>
    </w:p>
    <w:p w14:paraId="7E6C8892" w14:textId="77777777" w:rsidR="001E0FA9" w:rsidRPr="00D14C96" w:rsidRDefault="001E0FA9" w:rsidP="000050E0">
      <w:pPr>
        <w:pStyle w:val="NormalWeb"/>
        <w:widowControl w:val="0"/>
        <w:spacing w:before="0" w:beforeAutospacing="0" w:after="0" w:afterAutospacing="0"/>
        <w:jc w:val="both"/>
        <w:rPr>
          <w:rFonts w:eastAsiaTheme="minorHAnsi"/>
          <w:lang w:eastAsia="en-US"/>
        </w:rPr>
      </w:pPr>
    </w:p>
    <w:p w14:paraId="24C039E2" w14:textId="743AFB53"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lastRenderedPageBreak/>
        <w:t>De grands projets ont été également réalisés au titre des stratégies sectorielles</w:t>
      </w:r>
      <w:r w:rsidRPr="00D14C96">
        <w:rPr>
          <w:rStyle w:val="FootnoteReference"/>
          <w:rFonts w:ascii="Times New Roman" w:hAnsi="Times New Roman" w:cs="Times New Roman"/>
          <w:b/>
        </w:rPr>
        <w:footnoteReference w:id="18"/>
      </w:r>
      <w:r w:rsidRPr="00D14C96">
        <w:rPr>
          <w:rFonts w:ascii="Times New Roman" w:hAnsi="Times New Roman" w:cs="Times New Roman"/>
          <w:b/>
        </w:rPr>
        <w:t xml:space="preserve">. </w:t>
      </w:r>
      <w:r w:rsidRPr="00D14C96">
        <w:rPr>
          <w:rFonts w:ascii="Times New Roman" w:hAnsi="Times New Roman" w:cs="Times New Roman"/>
        </w:rPr>
        <w:t>Ces réalisations ont pour objectif de répondre aux besoins de la diversification et de la spécialisation de l’économie nationale ; d’assurer une offre de qualité</w:t>
      </w:r>
      <w:r w:rsidRPr="00D14C96">
        <w:rPr>
          <w:rFonts w:ascii="Times New Roman" w:hAnsi="Times New Roman" w:cs="Times New Roman"/>
          <w:i/>
        </w:rPr>
        <w:t xml:space="preserve"> </w:t>
      </w:r>
      <w:r w:rsidRPr="00D14C96">
        <w:rPr>
          <w:rFonts w:ascii="Times New Roman" w:hAnsi="Times New Roman" w:cs="Times New Roman"/>
        </w:rPr>
        <w:t xml:space="preserve">en foncier industriel, en logements et en équipements en nombre suffisant à travers les villes nouvelles ; et de se connecter aux circuits de l’économie mondiale par le biais de grandes infrastructures, de ports, de plateformes logistiques, etc. </w:t>
      </w:r>
    </w:p>
    <w:p w14:paraId="7D795BDA" w14:textId="77777777" w:rsidR="001E0FA9" w:rsidRPr="00D14C96" w:rsidRDefault="001E0FA9" w:rsidP="000050E0">
      <w:pPr>
        <w:pStyle w:val="NormalWeb"/>
        <w:widowControl w:val="0"/>
        <w:spacing w:before="0" w:beforeAutospacing="0" w:after="0" w:afterAutospacing="0"/>
        <w:jc w:val="both"/>
        <w:rPr>
          <w:rFonts w:eastAsiaTheme="minorHAnsi"/>
          <w:lang w:eastAsia="en-US"/>
        </w:rPr>
      </w:pPr>
    </w:p>
    <w:p w14:paraId="33C5C8B6" w14:textId="2742D600" w:rsidR="001E0FA9" w:rsidRPr="00D14C96" w:rsidRDefault="001E0FA9" w:rsidP="000050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sz w:val="24"/>
          <w:szCs w:val="24"/>
        </w:rPr>
      </w:pPr>
      <w:r w:rsidRPr="00D14C96">
        <w:rPr>
          <w:rFonts w:ascii="Times New Roman" w:hAnsi="Times New Roman" w:cs="Times New Roman"/>
          <w:b/>
          <w:sz w:val="24"/>
          <w:szCs w:val="24"/>
          <w:u w:val="single"/>
        </w:rPr>
        <w:t xml:space="preserve">Encadré </w:t>
      </w:r>
      <w:r w:rsidR="00F664CB">
        <w:rPr>
          <w:rFonts w:ascii="Times New Roman" w:hAnsi="Times New Roman" w:cs="Times New Roman"/>
          <w:b/>
          <w:sz w:val="24"/>
          <w:szCs w:val="24"/>
          <w:u w:val="single"/>
        </w:rPr>
        <w:t>3</w:t>
      </w:r>
      <w:r w:rsidRPr="00D14C96">
        <w:rPr>
          <w:rFonts w:ascii="Times New Roman" w:hAnsi="Times New Roman" w:cs="Times New Roman"/>
          <w:b/>
          <w:sz w:val="24"/>
          <w:szCs w:val="24"/>
          <w:u w:val="single"/>
        </w:rPr>
        <w:t>.</w:t>
      </w:r>
      <w:r w:rsidRPr="00D14C96">
        <w:rPr>
          <w:rFonts w:ascii="Times New Roman" w:hAnsi="Times New Roman" w:cs="Times New Roman"/>
          <w:b/>
          <w:sz w:val="24"/>
          <w:szCs w:val="24"/>
        </w:rPr>
        <w:t xml:space="preserve"> A Tanger et Kénitra, le développement économique accompagne la croissance urbaine</w:t>
      </w:r>
    </w:p>
    <w:p w14:paraId="45B1B42D"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sz w:val="24"/>
          <w:szCs w:val="24"/>
        </w:rPr>
      </w:pPr>
      <w:r w:rsidRPr="00D14C96">
        <w:rPr>
          <w:rFonts w:ascii="Times New Roman" w:hAnsi="Times New Roman" w:cs="Times New Roman"/>
          <w:b/>
          <w:sz w:val="24"/>
          <w:szCs w:val="24"/>
        </w:rPr>
        <w:t xml:space="preserve"> </w:t>
      </w:r>
    </w:p>
    <w:p w14:paraId="4D59F5D1" w14:textId="38ED4F1B" w:rsidR="001E0FA9" w:rsidRPr="00D14C96" w:rsidRDefault="001E0FA9" w:rsidP="000050E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14C96">
        <w:rPr>
          <w:rFonts w:ascii="Times New Roman" w:hAnsi="Times New Roman" w:cs="Times New Roman"/>
          <w:sz w:val="24"/>
          <w:szCs w:val="24"/>
        </w:rPr>
        <w:t>Plusieurs exemples témoignent au Maroc des impacts positifs des choix publics effectués en lien avec le développement urbain et/ou territorial et de leurs effets de levier sur la croissance économique et l’amélioration des conditions de vie. C’est en particulier le cas de Tanger, ‘‘</w:t>
      </w:r>
      <w:r w:rsidRPr="00D14C96">
        <w:rPr>
          <w:rFonts w:ascii="Times New Roman" w:hAnsi="Times New Roman" w:cs="Times New Roman"/>
          <w:i/>
          <w:sz w:val="24"/>
          <w:szCs w:val="24"/>
        </w:rPr>
        <w:t>ville en plein emploi</w:t>
      </w:r>
      <w:r w:rsidRPr="00D14C96">
        <w:rPr>
          <w:rFonts w:ascii="Times New Roman" w:hAnsi="Times New Roman" w:cs="Times New Roman"/>
          <w:sz w:val="24"/>
          <w:szCs w:val="24"/>
        </w:rPr>
        <w:t>’’</w:t>
      </w:r>
      <w:r w:rsidRPr="00D14C96">
        <w:rPr>
          <w:rStyle w:val="FootnoteReference"/>
          <w:rFonts w:ascii="Times New Roman" w:hAnsi="Times New Roman" w:cs="Times New Roman"/>
          <w:sz w:val="24"/>
          <w:szCs w:val="24"/>
        </w:rPr>
        <w:footnoteReference w:id="19"/>
      </w:r>
      <w:r w:rsidRPr="00D14C96">
        <w:rPr>
          <w:rFonts w:ascii="Times New Roman" w:hAnsi="Times New Roman" w:cs="Times New Roman"/>
          <w:sz w:val="24"/>
          <w:szCs w:val="24"/>
        </w:rPr>
        <w:t xml:space="preserve">, et qui s’érige en pôle économique majeur au sein de l’espace national sous l’effet d’une dynamique de transformation sans précédent et des investissements publics et privés opérés (comme par exemple Tanger Med ou Renault). </w:t>
      </w:r>
    </w:p>
    <w:p w14:paraId="0F383A1B"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14:paraId="7B19D5DA" w14:textId="23E0BAB0" w:rsidR="001E0FA9" w:rsidRPr="00D14C96" w:rsidRDefault="001E0FA9" w:rsidP="000050E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D14C96">
        <w:rPr>
          <w:rFonts w:ascii="Times New Roman" w:hAnsi="Times New Roman" w:cs="Times New Roman"/>
          <w:sz w:val="24"/>
          <w:szCs w:val="24"/>
        </w:rPr>
        <w:t>C’est aussi celui de Kénitra dont la dynamique d’urbanisation est liée au développement économique et à la réalisation d’Atlantic free zone, de la future usine PSA</w:t>
      </w:r>
      <w:r w:rsidRPr="00D14C96">
        <w:rPr>
          <w:rFonts w:ascii="Times New Roman" w:hAnsi="Times New Roman" w:cs="Times New Roman"/>
          <w:color w:val="222222"/>
          <w:shd w:val="clear" w:color="auto" w:fill="FFFFFF"/>
        </w:rPr>
        <w:t> (</w:t>
      </w:r>
      <w:r w:rsidRPr="00D14C96">
        <w:rPr>
          <w:rFonts w:ascii="Times New Roman" w:hAnsi="Times New Roman" w:cs="Times New Roman"/>
          <w:sz w:val="24"/>
          <w:szCs w:val="24"/>
        </w:rPr>
        <w:t xml:space="preserve">Peugeot Société Anonyme), et du prochain port Atlantique ce qui ne manquera pas d’entrainer une redistribution de richesses à l’échelle de la région. </w:t>
      </w:r>
    </w:p>
    <w:p w14:paraId="292E074E"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p>
    <w:p w14:paraId="65DAFF98" w14:textId="77777777" w:rsidR="001E0FA9" w:rsidRPr="00D14C96" w:rsidRDefault="001E0FA9" w:rsidP="000050E0">
      <w:pPr>
        <w:pStyle w:val="NormalWeb"/>
        <w:widowControl w:val="0"/>
        <w:spacing w:before="0" w:beforeAutospacing="0" w:after="0" w:afterAutospacing="0"/>
        <w:jc w:val="both"/>
        <w:rPr>
          <w:b/>
          <w:color w:val="000000" w:themeColor="text1"/>
        </w:rPr>
      </w:pPr>
    </w:p>
    <w:p w14:paraId="1D8C5645" w14:textId="0F9584A2" w:rsidR="001E0FA9" w:rsidRPr="00D14C96" w:rsidRDefault="001E0FA9" w:rsidP="00B4544E">
      <w:pPr>
        <w:pStyle w:val="Numberedparagraph"/>
        <w:ind w:left="0" w:firstLine="0"/>
        <w:rPr>
          <w:rFonts w:ascii="Times New Roman" w:hAnsi="Times New Roman" w:cs="Times New Roman"/>
          <w:color w:val="000000" w:themeColor="text1"/>
        </w:rPr>
      </w:pPr>
      <w:bookmarkStart w:id="107" w:name="_Hlk510733475"/>
      <w:r w:rsidRPr="00D14C96">
        <w:rPr>
          <w:rFonts w:ascii="Times New Roman" w:hAnsi="Times New Roman" w:cs="Times New Roman"/>
          <w:b/>
          <w:color w:val="000000" w:themeColor="text1"/>
        </w:rPr>
        <w:t>La plupart de ces projets sectoriels apparaissent cependant peu articulés avec la planification territoriale et urbaine</w:t>
      </w:r>
      <w:bookmarkEnd w:id="107"/>
      <w:r w:rsidRPr="00D14C96">
        <w:rPr>
          <w:rFonts w:ascii="Times New Roman" w:hAnsi="Times New Roman" w:cs="Times New Roman"/>
          <w:b/>
          <w:color w:val="000000" w:themeColor="text1"/>
        </w:rPr>
        <w:t xml:space="preserve">. </w:t>
      </w:r>
      <w:r w:rsidRPr="00D14C96">
        <w:rPr>
          <w:rFonts w:ascii="Times New Roman" w:hAnsi="Times New Roman" w:cs="Times New Roman"/>
          <w:color w:val="000000" w:themeColor="text1"/>
        </w:rPr>
        <w:t>Ils ‘‘</w:t>
      </w:r>
      <w:r w:rsidRPr="00D14C96">
        <w:rPr>
          <w:rFonts w:ascii="Times New Roman" w:hAnsi="Times New Roman" w:cs="Times New Roman"/>
          <w:i/>
          <w:color w:val="000000" w:themeColor="text1"/>
        </w:rPr>
        <w:t>se déclinent en général à côté des villes en évitant d’affronter directement la complexité urbaine</w:t>
      </w:r>
      <w:r w:rsidRPr="00D14C96">
        <w:rPr>
          <w:rFonts w:ascii="Times New Roman" w:hAnsi="Times New Roman" w:cs="Times New Roman"/>
          <w:color w:val="000000" w:themeColor="text1"/>
        </w:rPr>
        <w:t>’’</w:t>
      </w:r>
      <w:r w:rsidRPr="00D14C96">
        <w:rPr>
          <w:rStyle w:val="FootnoteReference"/>
          <w:rFonts w:ascii="Times New Roman" w:hAnsi="Times New Roman" w:cs="Times New Roman"/>
        </w:rPr>
        <w:footnoteReference w:id="20"/>
      </w:r>
      <w:r w:rsidRPr="00D14C96">
        <w:rPr>
          <w:rFonts w:ascii="Times New Roman" w:hAnsi="Times New Roman" w:cs="Times New Roman"/>
          <w:color w:val="000000" w:themeColor="text1"/>
        </w:rPr>
        <w:t xml:space="preserve"> (foncière, politique, institutionnelle, etc). Cette mise à distance et le</w:t>
      </w:r>
      <w:r w:rsidRPr="00D14C96">
        <w:rPr>
          <w:rFonts w:ascii="Times New Roman" w:hAnsi="Times New Roman" w:cs="Times New Roman"/>
        </w:rPr>
        <w:t xml:space="preserve"> contournement des procédures classiques d’intervention (</w:t>
      </w:r>
      <w:r w:rsidRPr="00D14C96">
        <w:rPr>
          <w:rFonts w:ascii="Times New Roman" w:hAnsi="Times New Roman" w:cs="Times New Roman"/>
          <w:color w:val="000000" w:themeColor="text1"/>
        </w:rPr>
        <w:t xml:space="preserve">via le recours fréquent à la dérogation) posent à terme la question de leur impact sur les territoires et de leur efficience qui apparaissent au final parfois très relatifs par rapport aux objectifs initiaux du fait des difficultés de leur intégration territoriale. Ces modes de faire ont eu également pour effets d’ouvrir inconsidérément les périmètres d’urbanisation, de disséminer les efforts et les moyens financiers et d’accroitre les coûts de gestion urbaine. Cette situation qui renvoie </w:t>
      </w:r>
      <w:r w:rsidRPr="00D14C96">
        <w:rPr>
          <w:rFonts w:ascii="Times New Roman" w:hAnsi="Times New Roman" w:cs="Times New Roman"/>
        </w:rPr>
        <w:t xml:space="preserve">au manque de visibilité et de coordination des acteurs du développement urbain dans l’espace pose à terme la question clé de l’arbitrage entre </w:t>
      </w:r>
      <w:r w:rsidRPr="00D14C96">
        <w:rPr>
          <w:rFonts w:ascii="Times New Roman" w:hAnsi="Times New Roman" w:cs="Times New Roman"/>
          <w:color w:val="000000" w:themeColor="text1"/>
        </w:rPr>
        <w:t xml:space="preserve">les impératifs à court terme du développement et ceux de l’optimisation des ressources publiques.  </w:t>
      </w:r>
    </w:p>
    <w:p w14:paraId="2BD645B2" w14:textId="77777777" w:rsidR="001E0FA9" w:rsidRPr="00D14C96" w:rsidRDefault="001E0FA9" w:rsidP="000050E0">
      <w:pPr>
        <w:pStyle w:val="Heading3"/>
        <w:spacing w:line="240" w:lineRule="auto"/>
        <w:rPr>
          <w:rFonts w:ascii="Times New Roman" w:hAnsi="Times New Roman" w:cs="Times New Roman"/>
          <w:b/>
          <w:color w:val="C00000"/>
          <w:lang w:eastAsia="fr-FR"/>
        </w:rPr>
      </w:pPr>
    </w:p>
    <w:p w14:paraId="563C9315" w14:textId="77777777" w:rsidR="001E0FA9" w:rsidRPr="00D14C96" w:rsidRDefault="001E0FA9" w:rsidP="009C2620">
      <w:pPr>
        <w:pStyle w:val="Heading3"/>
        <w:numPr>
          <w:ilvl w:val="0"/>
          <w:numId w:val="4"/>
        </w:numPr>
        <w:spacing w:line="240" w:lineRule="auto"/>
        <w:ind w:left="720"/>
        <w:rPr>
          <w:rFonts w:ascii="Times New Roman" w:hAnsi="Times New Roman" w:cs="Times New Roman"/>
          <w:b/>
          <w:color w:val="C00000"/>
          <w:lang w:eastAsia="fr-FR"/>
        </w:rPr>
      </w:pPr>
      <w:bookmarkStart w:id="108" w:name="_Toc515875119"/>
      <w:r w:rsidRPr="00D14C96">
        <w:rPr>
          <w:rFonts w:ascii="Times New Roman" w:hAnsi="Times New Roman" w:cs="Times New Roman"/>
          <w:b/>
          <w:color w:val="C00000"/>
          <w:lang w:eastAsia="fr-FR"/>
        </w:rPr>
        <w:t>Défis institutionnels et absence de lignes directrices</w:t>
      </w:r>
      <w:bookmarkEnd w:id="108"/>
    </w:p>
    <w:p w14:paraId="6CE3692A" w14:textId="77777777" w:rsidR="001E0FA9" w:rsidRPr="00D14C96" w:rsidRDefault="001E0FA9" w:rsidP="000050E0">
      <w:pPr>
        <w:widowControl w:val="0"/>
        <w:autoSpaceDE w:val="0"/>
        <w:autoSpaceDN w:val="0"/>
        <w:adjustRightInd w:val="0"/>
        <w:spacing w:after="0" w:line="240" w:lineRule="auto"/>
        <w:jc w:val="both"/>
        <w:rPr>
          <w:rFonts w:ascii="Times New Roman" w:hAnsi="Times New Roman" w:cs="Times New Roman"/>
          <w:sz w:val="24"/>
          <w:szCs w:val="24"/>
        </w:rPr>
      </w:pPr>
    </w:p>
    <w:p w14:paraId="6B46569C" w14:textId="0F743E94"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Les tentatives pour faire évoluer le système n’ont pas abouti faute de réformes et de consensus institutionnels</w:t>
      </w:r>
      <w:r w:rsidRPr="00D14C96">
        <w:rPr>
          <w:rFonts w:ascii="Times New Roman" w:hAnsi="Times New Roman" w:cs="Times New Roman"/>
        </w:rPr>
        <w:t xml:space="preserve">. </w:t>
      </w:r>
      <w:bookmarkStart w:id="109" w:name="_Hlk510733613"/>
      <w:r w:rsidRPr="00D14C96">
        <w:rPr>
          <w:rFonts w:ascii="Times New Roman" w:hAnsi="Times New Roman" w:cs="Times New Roman"/>
        </w:rPr>
        <w:t xml:space="preserve">De nombreuses stratégies, initiatives et démarches innovantes (Stratégie nationale d’aménagement du territoire (SNAT), PLHDU, projet de Code de l’Urbanisme, Stratégie Nationale de Développement urbain - SNDU, politique de la ville dans sa version initiale, projets de villes,.. ) ont été engagées ces 20 dernières années à différentes échelles territoriale et institutionnelles afin de faire évoluer le système existant </w:t>
      </w:r>
      <w:r w:rsidRPr="00D14C96">
        <w:rPr>
          <w:rFonts w:ascii="Times New Roman" w:hAnsi="Times New Roman" w:cs="Times New Roman"/>
        </w:rPr>
        <w:lastRenderedPageBreak/>
        <w:t xml:space="preserve">(cadre législatif, outils opérationnels, démarches de planification et de programmation, ciblage des actions, etc.). Ces tentatives n’ont toutefois pas eu de suite ou ont été détournées de leurs objectifs initiaux faute de réformes et de consensus institutionnels. </w:t>
      </w:r>
      <w:bookmarkEnd w:id="109"/>
      <w:r w:rsidRPr="00D14C96">
        <w:rPr>
          <w:rFonts w:ascii="Times New Roman" w:hAnsi="Times New Roman" w:cs="Times New Roman"/>
        </w:rPr>
        <w:t>Notamment, les efforts de départements tels que la Direction de l’Urbanisme pour améliorer la situation à son niveau et avec la marge de manœuvre possible ont une portée limitée à défaut des préalables politiques et institutionnels.</w:t>
      </w:r>
    </w:p>
    <w:p w14:paraId="04757D4F" w14:textId="77777777" w:rsidR="001E0FA9" w:rsidRPr="00D14C96" w:rsidRDefault="001E0FA9" w:rsidP="000050E0">
      <w:pPr>
        <w:pStyle w:val="ListParagraph"/>
        <w:widowControl w:val="0"/>
        <w:spacing w:after="0" w:line="240" w:lineRule="auto"/>
        <w:ind w:left="1080"/>
        <w:jc w:val="both"/>
        <w:rPr>
          <w:rFonts w:ascii="Times New Roman" w:hAnsi="Times New Roman" w:cs="Times New Roman"/>
          <w:b/>
          <w:sz w:val="24"/>
          <w:szCs w:val="24"/>
        </w:rPr>
      </w:pPr>
    </w:p>
    <w:p w14:paraId="2A550310" w14:textId="77777777" w:rsidR="001E0FA9" w:rsidRPr="00D14C96" w:rsidRDefault="001E0FA9" w:rsidP="00B4544E">
      <w:pPr>
        <w:pStyle w:val="Numberedparagraph"/>
        <w:ind w:left="0" w:firstLine="0"/>
        <w:rPr>
          <w:rFonts w:ascii="Times New Roman" w:hAnsi="Times New Roman" w:cs="Times New Roman"/>
        </w:rPr>
      </w:pPr>
      <w:bookmarkStart w:id="110" w:name="_Hlk510733638"/>
      <w:r w:rsidRPr="00D14C96">
        <w:rPr>
          <w:rFonts w:ascii="Times New Roman" w:hAnsi="Times New Roman" w:cs="Times New Roman"/>
          <w:b/>
        </w:rPr>
        <w:t xml:space="preserve">A ceci s’ajoute une absence de vision et de lignes directrices sur la question des villes. </w:t>
      </w:r>
      <w:bookmarkEnd w:id="110"/>
      <w:r w:rsidRPr="00D14C96">
        <w:rPr>
          <w:rFonts w:ascii="Times New Roman" w:hAnsi="Times New Roman" w:cs="Times New Roman"/>
        </w:rPr>
        <w:t>En dépit des engagements internationaux du Maroc en faveur du développement urbain durable, l’Etat n’a pas aujourd’hui de stratégie ni de vision sur les villes.  Il n’existe pas de cadre de référence ou de lignes directrices pour la planification urbaine et territoriale</w:t>
      </w:r>
      <w:r w:rsidRPr="00D14C96">
        <w:rPr>
          <w:rFonts w:ascii="Times New Roman" w:hAnsi="Times New Roman" w:cs="Times New Roman"/>
          <w:b/>
        </w:rPr>
        <w:t xml:space="preserve"> </w:t>
      </w:r>
      <w:r w:rsidRPr="00D14C96">
        <w:rPr>
          <w:rFonts w:ascii="Times New Roman" w:hAnsi="Times New Roman" w:cs="Times New Roman"/>
        </w:rPr>
        <w:t xml:space="preserve">à même de définir des perspectives et des orientations de développement intégrant les dimensions nationale, régionale et locale, les défis de l’urbanisation accélérée et de la mondialisation et les impératifs de la cohésion sociale. Cette absence d’un point de vue national explicite pour le développement urbain durable autour d'un Nouvel Agenda Urbain pose question alors que les institutions marocaines ont pu définir des orientations stratégiques, voire légiférer sur des sujets majeurs (Stratégie énergétique 2030, Maroc Numérique, Stratégie de promotion de la logistique, Loi sur l’eau, Charte Nationale de l’Environnement et du Développement Durable, etc.). </w:t>
      </w:r>
    </w:p>
    <w:p w14:paraId="1A633B9B"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6BF26506" w14:textId="6A2AEE61" w:rsidR="001E0FA9" w:rsidRPr="00D14C96" w:rsidRDefault="001E0FA9" w:rsidP="00B4544E">
      <w:pPr>
        <w:pStyle w:val="Numberedparagraph"/>
        <w:ind w:left="0" w:firstLine="0"/>
        <w:rPr>
          <w:rFonts w:ascii="Times New Roman" w:hAnsi="Times New Roman" w:cs="Times New Roman"/>
        </w:rPr>
      </w:pPr>
      <w:bookmarkStart w:id="111" w:name="_Hlk510733655"/>
      <w:r w:rsidRPr="00D14C96">
        <w:rPr>
          <w:rFonts w:ascii="Times New Roman" w:hAnsi="Times New Roman" w:cs="Times New Roman"/>
          <w:b/>
        </w:rPr>
        <w:t xml:space="preserve">La difficulté de cette entreprise tient à sa dimension transversale. </w:t>
      </w:r>
      <w:bookmarkEnd w:id="111"/>
      <w:r w:rsidRPr="00D14C96">
        <w:rPr>
          <w:rFonts w:ascii="Times New Roman" w:hAnsi="Times New Roman" w:cs="Times New Roman"/>
        </w:rPr>
        <w:t xml:space="preserve">Elle implique en particulier différents acteurs entre lesquels un consensus sur la question des villes et du développement urbain peut s’avérer complexe. Elle n’est pas que l’affaire des départements de l’Urbanisme, de l’Aménagement du Territoire ou de l’Intérieur mais relève du Chef du Gouvernement et de l’ensemble des départements sectoriels impliqués dans l’action publique urbaine. </w:t>
      </w:r>
    </w:p>
    <w:p w14:paraId="4D1A8E77"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0ED84BAB" w14:textId="77777777" w:rsidR="001E0FA9" w:rsidRPr="00D14C96" w:rsidRDefault="001E0FA9" w:rsidP="009C2620">
      <w:pPr>
        <w:pStyle w:val="Heading3"/>
        <w:numPr>
          <w:ilvl w:val="0"/>
          <w:numId w:val="4"/>
        </w:numPr>
        <w:spacing w:line="240" w:lineRule="auto"/>
        <w:ind w:left="720"/>
        <w:rPr>
          <w:rFonts w:ascii="Times New Roman" w:hAnsi="Times New Roman" w:cs="Times New Roman"/>
          <w:b/>
          <w:color w:val="C00000"/>
          <w:lang w:eastAsia="fr-FR"/>
        </w:rPr>
      </w:pPr>
      <w:bookmarkStart w:id="112" w:name="_Toc515875120"/>
      <w:r w:rsidRPr="00D14C96">
        <w:rPr>
          <w:rFonts w:ascii="Times New Roman" w:hAnsi="Times New Roman" w:cs="Times New Roman"/>
          <w:b/>
          <w:color w:val="C00000"/>
          <w:lang w:eastAsia="fr-FR"/>
        </w:rPr>
        <w:t>Une volonté de réforme au plus haut niveau</w:t>
      </w:r>
      <w:bookmarkEnd w:id="112"/>
      <w:r w:rsidRPr="00D14C96">
        <w:rPr>
          <w:rFonts w:ascii="Times New Roman" w:hAnsi="Times New Roman" w:cs="Times New Roman"/>
          <w:b/>
          <w:color w:val="C00000"/>
          <w:lang w:eastAsia="fr-FR"/>
        </w:rPr>
        <w:t xml:space="preserve"> </w:t>
      </w:r>
    </w:p>
    <w:p w14:paraId="1ADB89D5" w14:textId="77777777" w:rsidR="001E0FA9" w:rsidRPr="00D14C96" w:rsidRDefault="001E0FA9" w:rsidP="000050E0">
      <w:pPr>
        <w:pStyle w:val="ListParagraph"/>
        <w:widowControl w:val="0"/>
        <w:spacing w:after="0" w:line="240" w:lineRule="auto"/>
        <w:ind w:left="284"/>
        <w:jc w:val="both"/>
        <w:rPr>
          <w:rFonts w:ascii="Times New Roman" w:hAnsi="Times New Roman" w:cs="Times New Roman"/>
          <w:b/>
          <w:sz w:val="24"/>
          <w:szCs w:val="24"/>
        </w:rPr>
      </w:pPr>
    </w:p>
    <w:p w14:paraId="73437862" w14:textId="0C07E153" w:rsidR="001E0FA9" w:rsidRPr="00D14C96" w:rsidRDefault="001E0FA9" w:rsidP="00B4544E">
      <w:pPr>
        <w:pStyle w:val="Numberedparagraph"/>
        <w:ind w:left="0" w:firstLine="0"/>
        <w:rPr>
          <w:rFonts w:ascii="Times New Roman" w:hAnsi="Times New Roman" w:cs="Times New Roman"/>
        </w:rPr>
      </w:pPr>
      <w:bookmarkStart w:id="113" w:name="_Hlk510733675"/>
      <w:r w:rsidRPr="00D14C96">
        <w:rPr>
          <w:rFonts w:ascii="Times New Roman" w:hAnsi="Times New Roman" w:cs="Times New Roman"/>
          <w:b/>
        </w:rPr>
        <w:t>La régionalisation avancée et la réforme du mode de gouvernance territoriale est une opportunité majeure au regard des difficultés identifiées.</w:t>
      </w:r>
      <w:r w:rsidRPr="00D14C96">
        <w:rPr>
          <w:rFonts w:ascii="Times New Roman" w:hAnsi="Times New Roman" w:cs="Times New Roman"/>
        </w:rPr>
        <w:t xml:space="preserve"> </w:t>
      </w:r>
      <w:bookmarkEnd w:id="113"/>
      <w:r w:rsidRPr="00D14C96">
        <w:rPr>
          <w:rFonts w:ascii="Times New Roman" w:hAnsi="Times New Roman" w:cs="Times New Roman"/>
        </w:rPr>
        <w:t>Elles sont l’occasion d’un changement d’échelle et d’un renforcement de l’adéquation et de l’impact des politiques publiques dans les territoires. En prenant acte des contraintes et des difficultés existantes, elles invitent à tirer parti des possibilités qu’offre la nouvelle configuration institutionnelle pour définir les modalités d’un nouveau système et de modes de faire plus en phase avec les principes et les objectifs de la Constitution.</w:t>
      </w:r>
    </w:p>
    <w:p w14:paraId="7E6E36CB" w14:textId="77777777" w:rsidR="001E0FA9" w:rsidRPr="00D14C96" w:rsidRDefault="001E0FA9" w:rsidP="000050E0">
      <w:pPr>
        <w:widowControl w:val="0"/>
        <w:autoSpaceDE w:val="0"/>
        <w:autoSpaceDN w:val="0"/>
        <w:adjustRightInd w:val="0"/>
        <w:spacing w:after="0" w:line="240" w:lineRule="auto"/>
        <w:jc w:val="both"/>
        <w:rPr>
          <w:rFonts w:ascii="Times New Roman" w:hAnsi="Times New Roman" w:cs="Times New Roman"/>
          <w:sz w:val="24"/>
          <w:szCs w:val="24"/>
        </w:rPr>
      </w:pPr>
    </w:p>
    <w:p w14:paraId="608F5477" w14:textId="1741774E" w:rsidR="00510961" w:rsidRDefault="001E0FA9" w:rsidP="00B4544E">
      <w:pPr>
        <w:pStyle w:val="Numberedparagraph"/>
        <w:ind w:left="0" w:firstLine="0"/>
        <w:rPr>
          <w:rFonts w:ascii="Times New Roman" w:hAnsi="Times New Roman" w:cs="Times New Roman"/>
        </w:rPr>
      </w:pPr>
      <w:bookmarkStart w:id="114" w:name="_Hlk510733698"/>
      <w:r w:rsidRPr="00D14C96">
        <w:rPr>
          <w:rFonts w:ascii="Times New Roman" w:hAnsi="Times New Roman" w:cs="Times New Roman"/>
          <w:b/>
        </w:rPr>
        <w:t xml:space="preserve">De même, l’attention renouvelée au plus haut niveau sur la nécessité de mieux appréhender le développement urbain est une opportunité pour engager (ou faire avancer) les réformes nécessaires et traduire dans les faits, les décisions et orientations stratégiques. </w:t>
      </w:r>
      <w:bookmarkEnd w:id="114"/>
      <w:r w:rsidRPr="00D14C96">
        <w:rPr>
          <w:rFonts w:ascii="Times New Roman" w:hAnsi="Times New Roman" w:cs="Times New Roman"/>
        </w:rPr>
        <w:t>L’invitation Royale récente à élaborer une vision commune autour ‘‘</w:t>
      </w:r>
      <w:r w:rsidRPr="00D14C96">
        <w:rPr>
          <w:rFonts w:ascii="Times New Roman" w:hAnsi="Times New Roman" w:cs="Times New Roman"/>
          <w:i/>
        </w:rPr>
        <w:t>d’un système intégré d’aménagement du territoire</w:t>
      </w:r>
      <w:r w:rsidRPr="00D14C96">
        <w:rPr>
          <w:rFonts w:ascii="Times New Roman" w:hAnsi="Times New Roman" w:cs="Times New Roman"/>
        </w:rPr>
        <w:t>’’ et à adopter ‘‘</w:t>
      </w:r>
      <w:r w:rsidRPr="00D14C96">
        <w:rPr>
          <w:rFonts w:ascii="Times New Roman" w:hAnsi="Times New Roman" w:cs="Times New Roman"/>
          <w:i/>
        </w:rPr>
        <w:t xml:space="preserve">des mécanismes inédits et innovants, permettant la conception d’un nouveau système urbain propre à assurer une meilleure qualité de vie au profit des citoyens’’ </w:t>
      </w:r>
      <w:r w:rsidRPr="00D14C96">
        <w:rPr>
          <w:rStyle w:val="FootnoteReference"/>
          <w:rFonts w:ascii="Times New Roman" w:hAnsi="Times New Roman" w:cs="Times New Roman"/>
          <w:color w:val="000000" w:themeColor="text1"/>
        </w:rPr>
        <w:footnoteReference w:id="21"/>
      </w:r>
      <w:r w:rsidRPr="00D14C96">
        <w:rPr>
          <w:rFonts w:ascii="Times New Roman" w:hAnsi="Times New Roman" w:cs="Times New Roman"/>
          <w:i/>
        </w:rPr>
        <w:t xml:space="preserve"> </w:t>
      </w:r>
      <w:r w:rsidRPr="00D14C96">
        <w:rPr>
          <w:rFonts w:ascii="Times New Roman" w:hAnsi="Times New Roman" w:cs="Times New Roman"/>
        </w:rPr>
        <w:t xml:space="preserve">est un signal fort. En outre, l’annonce d’une politique urbaine nationale parmi les objectifs du programme gouvernemental participe de cet élan et laisse préfigurer la volonté de changements et d’inscrire la question urbaine dans l’agenda politique. </w:t>
      </w:r>
    </w:p>
    <w:p w14:paraId="75A84101" w14:textId="3AF72EB2" w:rsidR="001E0FA9" w:rsidRPr="00D14C96" w:rsidRDefault="00510961" w:rsidP="00510961">
      <w:pPr>
        <w:rPr>
          <w:color w:val="2E74B5" w:themeColor="accent1" w:themeShade="BF"/>
          <w:sz w:val="24"/>
          <w:szCs w:val="24"/>
          <w:u w:val="single"/>
        </w:rPr>
      </w:pPr>
      <w:r>
        <w:rPr>
          <w:rFonts w:ascii="Times New Roman" w:hAnsi="Times New Roman" w:cs="Times New Roman"/>
        </w:rPr>
        <w:br w:type="page"/>
      </w:r>
      <w:bookmarkStart w:id="115" w:name="_Toc515875121"/>
      <w:bookmarkStart w:id="116" w:name="_Hlk510733796"/>
      <w:r w:rsidR="001E0FA9" w:rsidRPr="00D14C96">
        <w:rPr>
          <w:color w:val="2E74B5" w:themeColor="accent1" w:themeShade="BF"/>
          <w:sz w:val="24"/>
          <w:szCs w:val="24"/>
          <w:u w:val="single"/>
        </w:rPr>
        <w:lastRenderedPageBreak/>
        <w:t>Propositions</w:t>
      </w:r>
      <w:r w:rsidR="001E0FA9" w:rsidRPr="00D14C96">
        <w:rPr>
          <w:color w:val="2E74B5" w:themeColor="accent1" w:themeShade="BF"/>
          <w:sz w:val="24"/>
          <w:szCs w:val="24"/>
        </w:rPr>
        <w:t xml:space="preserve"> : </w:t>
      </w:r>
      <w:r w:rsidR="001E0FA9" w:rsidRPr="00D14C96">
        <w:rPr>
          <w:b/>
          <w:color w:val="2E74B5" w:themeColor="accent1" w:themeShade="BF"/>
          <w:sz w:val="24"/>
          <w:szCs w:val="24"/>
        </w:rPr>
        <w:t>Vers un meilleur avenir urbain ?</w:t>
      </w:r>
      <w:bookmarkEnd w:id="115"/>
      <w:r w:rsidR="001E0FA9" w:rsidRPr="00D14C96">
        <w:rPr>
          <w:b/>
          <w:color w:val="2E74B5" w:themeColor="accent1" w:themeShade="BF"/>
          <w:sz w:val="24"/>
          <w:szCs w:val="24"/>
        </w:rPr>
        <w:t xml:space="preserve"> </w:t>
      </w:r>
      <w:bookmarkEnd w:id="116"/>
    </w:p>
    <w:p w14:paraId="52D2B328" w14:textId="03038846" w:rsidR="001E0FA9" w:rsidRPr="00D14C96" w:rsidRDefault="001E0FA9" w:rsidP="00B4544E">
      <w:pPr>
        <w:pStyle w:val="Numberedparagraph"/>
        <w:ind w:left="0" w:firstLine="0"/>
        <w:rPr>
          <w:rFonts w:ascii="Times New Roman" w:eastAsia="Times New Roman" w:hAnsi="Times New Roman" w:cs="Times New Roman"/>
          <w:i/>
        </w:rPr>
      </w:pPr>
      <w:r w:rsidRPr="00D14C96">
        <w:rPr>
          <w:rFonts w:ascii="Times New Roman" w:eastAsia="Times New Roman" w:hAnsi="Times New Roman" w:cs="Times New Roman"/>
          <w:i/>
        </w:rPr>
        <w:t xml:space="preserve">Les propositions présentées dans cette partie ont pour but d’avancer des pistes et des leviers d’actions, de réformes, d’adaptations et de révisions sur plusieurs des éléments du système </w:t>
      </w:r>
      <w:r w:rsidRPr="00D14C96">
        <w:rPr>
          <w:rFonts w:ascii="Times New Roman" w:hAnsi="Times New Roman" w:cs="Times New Roman"/>
          <w:i/>
        </w:rPr>
        <w:t>de planification et d’aménagement urbain</w:t>
      </w:r>
      <w:r w:rsidRPr="00D14C96">
        <w:rPr>
          <w:rFonts w:ascii="Times New Roman" w:eastAsia="Times New Roman" w:hAnsi="Times New Roman" w:cs="Times New Roman"/>
          <w:i/>
        </w:rPr>
        <w:t xml:space="preserve"> et territorial.  Elles font écho à un certain nombre de recommandations issues de réflexions </w:t>
      </w:r>
      <w:r w:rsidRPr="00D14C96">
        <w:rPr>
          <w:rFonts w:ascii="Times New Roman" w:hAnsi="Times New Roman" w:cs="Times New Roman"/>
        </w:rPr>
        <w:t>stratégiques</w:t>
      </w:r>
      <w:r w:rsidRPr="00D14C96">
        <w:rPr>
          <w:rFonts w:ascii="Times New Roman" w:eastAsia="Times New Roman" w:hAnsi="Times New Roman" w:cs="Times New Roman"/>
          <w:i/>
        </w:rPr>
        <w:t xml:space="preserve"> et d’études</w:t>
      </w:r>
      <w:r w:rsidRPr="00D14C96">
        <w:rPr>
          <w:rStyle w:val="FootnoteReference"/>
          <w:rFonts w:ascii="Times New Roman" w:eastAsia="Times New Roman" w:hAnsi="Times New Roman" w:cs="Times New Roman"/>
          <w:i/>
        </w:rPr>
        <w:footnoteReference w:id="22"/>
      </w:r>
      <w:r w:rsidRPr="00D14C96">
        <w:rPr>
          <w:rFonts w:ascii="Times New Roman" w:eastAsia="Times New Roman" w:hAnsi="Times New Roman" w:cs="Times New Roman"/>
          <w:i/>
        </w:rPr>
        <w:t xml:space="preserve"> en les situant dans le cadre global </w:t>
      </w:r>
      <w:r w:rsidRPr="00D14C96">
        <w:rPr>
          <w:rFonts w:ascii="Times New Roman" w:hAnsi="Times New Roman" w:cs="Times New Roman"/>
          <w:i/>
        </w:rPr>
        <w:t>de la planification territoriale et urbaine et de l’aménagement urbain</w:t>
      </w:r>
      <w:r w:rsidRPr="00D14C96">
        <w:rPr>
          <w:rFonts w:ascii="Times New Roman" w:eastAsia="Times New Roman" w:hAnsi="Times New Roman" w:cs="Times New Roman"/>
          <w:i/>
        </w:rPr>
        <w:t xml:space="preserve"> et des évolutions et tendances de développement intervenues dans la période récente. </w:t>
      </w:r>
    </w:p>
    <w:p w14:paraId="782FDFAB" w14:textId="77777777" w:rsidR="001E0FA9" w:rsidRPr="00D14C96" w:rsidRDefault="001E0FA9" w:rsidP="000050E0">
      <w:pPr>
        <w:widowControl w:val="0"/>
        <w:spacing w:after="0" w:line="240" w:lineRule="auto"/>
        <w:jc w:val="both"/>
        <w:rPr>
          <w:rFonts w:ascii="Times New Roman" w:eastAsia="Times New Roman" w:hAnsi="Times New Roman" w:cs="Times New Roman"/>
          <w:i/>
          <w:sz w:val="24"/>
          <w:szCs w:val="24"/>
        </w:rPr>
      </w:pPr>
    </w:p>
    <w:p w14:paraId="5FA490AA" w14:textId="77777777" w:rsidR="001E0FA9" w:rsidRPr="00D14C96" w:rsidRDefault="001E0FA9" w:rsidP="009C2620">
      <w:pPr>
        <w:pStyle w:val="Heading3"/>
        <w:numPr>
          <w:ilvl w:val="0"/>
          <w:numId w:val="5"/>
        </w:numPr>
        <w:spacing w:line="240" w:lineRule="auto"/>
        <w:ind w:left="720"/>
        <w:rPr>
          <w:rFonts w:ascii="Times New Roman" w:hAnsi="Times New Roman" w:cs="Times New Roman"/>
          <w:b/>
          <w:color w:val="C00000"/>
          <w:lang w:eastAsia="fr-FR"/>
        </w:rPr>
      </w:pPr>
      <w:bookmarkStart w:id="117" w:name="_Toc515875122"/>
      <w:r w:rsidRPr="00D14C96">
        <w:rPr>
          <w:rFonts w:ascii="Times New Roman" w:hAnsi="Times New Roman" w:cs="Times New Roman"/>
          <w:b/>
          <w:color w:val="C00000"/>
          <w:lang w:eastAsia="fr-FR"/>
        </w:rPr>
        <w:t>Instruments et régulation</w:t>
      </w:r>
      <w:bookmarkEnd w:id="117"/>
      <w:r w:rsidRPr="00D14C96">
        <w:rPr>
          <w:rFonts w:ascii="Times New Roman" w:hAnsi="Times New Roman" w:cs="Times New Roman"/>
          <w:b/>
          <w:color w:val="C00000"/>
          <w:lang w:eastAsia="fr-FR"/>
        </w:rPr>
        <w:t xml:space="preserve"> </w:t>
      </w:r>
      <w:bookmarkStart w:id="118" w:name="_Toc510732385"/>
      <w:bookmarkStart w:id="119" w:name="_Toc510732627"/>
      <w:bookmarkStart w:id="120" w:name="_Toc510732850"/>
      <w:bookmarkStart w:id="121" w:name="_Toc510736676"/>
      <w:bookmarkEnd w:id="118"/>
      <w:bookmarkEnd w:id="119"/>
      <w:bookmarkEnd w:id="120"/>
      <w:bookmarkEnd w:id="121"/>
    </w:p>
    <w:p w14:paraId="474EB92D" w14:textId="77777777" w:rsidR="001E0FA9" w:rsidRPr="00D14C96" w:rsidRDefault="001E0FA9" w:rsidP="000050E0">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fr-FR"/>
        </w:rPr>
      </w:pPr>
    </w:p>
    <w:p w14:paraId="3222D102" w14:textId="77777777" w:rsidR="001E0FA9" w:rsidRPr="00D14C96" w:rsidRDefault="001E0FA9" w:rsidP="000050E0">
      <w:pPr>
        <w:pStyle w:val="Heading3"/>
        <w:rPr>
          <w:rFonts w:ascii="Times New Roman" w:eastAsia="Times New Roman" w:hAnsi="Times New Roman" w:cs="Times New Roman"/>
          <w:b/>
          <w:color w:val="000000"/>
          <w:lang w:eastAsia="fr-FR"/>
        </w:rPr>
      </w:pPr>
      <w:bookmarkStart w:id="122" w:name="_Toc515875123"/>
      <w:r w:rsidRPr="00D14C96">
        <w:rPr>
          <w:rFonts w:ascii="Times New Roman" w:eastAsia="Times New Roman" w:hAnsi="Times New Roman" w:cs="Times New Roman"/>
          <w:b/>
          <w:color w:val="000000"/>
          <w:u w:val="single"/>
          <w:lang w:eastAsia="fr-FR"/>
        </w:rPr>
        <w:t>Proposition #1</w:t>
      </w:r>
      <w:r w:rsidRPr="00D14C96">
        <w:rPr>
          <w:rFonts w:ascii="Times New Roman" w:eastAsia="Times New Roman" w:hAnsi="Times New Roman" w:cs="Times New Roman"/>
          <w:b/>
          <w:color w:val="000000"/>
          <w:lang w:eastAsia="fr-FR"/>
        </w:rPr>
        <w:t> : Articuler et intégrer les différents niveaux de planification territoriale / urbaine / locale</w:t>
      </w:r>
      <w:bookmarkEnd w:id="122"/>
      <w:r w:rsidRPr="00D14C96">
        <w:rPr>
          <w:rFonts w:ascii="Times New Roman" w:eastAsia="Times New Roman" w:hAnsi="Times New Roman" w:cs="Times New Roman"/>
          <w:b/>
          <w:color w:val="000000"/>
          <w:lang w:eastAsia="fr-FR"/>
        </w:rPr>
        <w:t> </w:t>
      </w:r>
    </w:p>
    <w:p w14:paraId="7CB91583" w14:textId="77777777" w:rsidR="001E0FA9" w:rsidRPr="00D14C96" w:rsidRDefault="001E0FA9" w:rsidP="000050E0">
      <w:pPr>
        <w:pStyle w:val="ListParagraph"/>
        <w:widowControl w:val="0"/>
        <w:spacing w:after="0" w:line="240" w:lineRule="auto"/>
        <w:ind w:left="426"/>
        <w:rPr>
          <w:rFonts w:ascii="Times New Roman" w:eastAsia="Times New Roman" w:hAnsi="Times New Roman" w:cs="Times New Roman"/>
          <w:b/>
          <w:color w:val="000000"/>
          <w:sz w:val="24"/>
          <w:szCs w:val="24"/>
          <w:lang w:eastAsia="fr-FR"/>
        </w:rPr>
      </w:pPr>
    </w:p>
    <w:p w14:paraId="637B2FFC" w14:textId="66508D4F"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Faute d’un cadre législatif et réglementaire clair</w:t>
      </w:r>
      <w:r w:rsidRPr="00D14C96">
        <w:rPr>
          <w:rFonts w:ascii="Times New Roman" w:hAnsi="Times New Roman" w:cs="Times New Roman"/>
          <w:b/>
          <w:i/>
        </w:rPr>
        <w:t>,</w:t>
      </w:r>
      <w:r w:rsidRPr="00D14C96">
        <w:rPr>
          <w:rFonts w:ascii="Times New Roman" w:hAnsi="Times New Roman" w:cs="Times New Roman"/>
          <w:b/>
        </w:rPr>
        <w:t xml:space="preserve"> les éléments du système de planification marocain sont insuffisamment articulés les uns avec les autres.</w:t>
      </w:r>
      <w:r w:rsidRPr="00D14C96">
        <w:rPr>
          <w:rFonts w:ascii="Times New Roman" w:hAnsi="Times New Roman" w:cs="Times New Roman"/>
        </w:rPr>
        <w:t xml:space="preserve"> Ce système repose sur un ensemble d’outils et de dispositifs (SNAT, SNAU, SRAT, SDAU, PA, PDAR) structurés à partir de différents niveaux d’échelle (territoriale / urbaine / locale). Ainsi le SNAT censé servir de cadre de référence aux SRAT</w:t>
      </w:r>
      <w:r w:rsidRPr="00D14C96">
        <w:rPr>
          <w:rStyle w:val="FootnoteReference"/>
          <w:rFonts w:ascii="Times New Roman" w:hAnsi="Times New Roman" w:cs="Times New Roman"/>
        </w:rPr>
        <w:footnoteReference w:id="23"/>
      </w:r>
      <w:r w:rsidRPr="00D14C96">
        <w:rPr>
          <w:rFonts w:ascii="Times New Roman" w:hAnsi="Times New Roman" w:cs="Times New Roman"/>
        </w:rPr>
        <w:t>, est par exemple ‘‘sorti de l’actualité’’</w:t>
      </w:r>
      <w:r w:rsidRPr="00D14C96">
        <w:rPr>
          <w:rStyle w:val="FootnoteReference"/>
          <w:rFonts w:ascii="Times New Roman" w:hAnsi="Times New Roman" w:cs="Times New Roman"/>
        </w:rPr>
        <w:footnoteReference w:id="24"/>
      </w:r>
      <w:r w:rsidRPr="00D14C96">
        <w:rPr>
          <w:rFonts w:ascii="Times New Roman" w:hAnsi="Times New Roman" w:cs="Times New Roman"/>
        </w:rPr>
        <w:t xml:space="preserve">, les SDAU et les SRAT voient leurs territoires souvent se chevaucher sans que leurs articulations soient clarifiées, et les PA prennent souvent peu en compte les SDAU, les premiers ayant enfin très peu de relation avec les Plans d’aménagement communaux (PAC). Ce défaut de cohérence globale s’explique aussi par l’absence de mécanisme à même de coordonner les différentes actions et objectifs de </w:t>
      </w:r>
      <w:r w:rsidR="00997BFC">
        <w:rPr>
          <w:rFonts w:ascii="Times New Roman" w:hAnsi="Times New Roman" w:cs="Times New Roman"/>
        </w:rPr>
        <w:t xml:space="preserve">planification et de </w:t>
      </w:r>
      <w:r w:rsidRPr="00D14C96">
        <w:rPr>
          <w:rFonts w:ascii="Times New Roman" w:hAnsi="Times New Roman" w:cs="Times New Roman"/>
        </w:rPr>
        <w:t>développement territorial / local entre les principales parties prenantes institutionnelle</w:t>
      </w:r>
      <w:r w:rsidR="007E4D90">
        <w:rPr>
          <w:rFonts w:ascii="Times New Roman" w:hAnsi="Times New Roman" w:cs="Times New Roman"/>
        </w:rPr>
        <w:t>s</w:t>
      </w:r>
      <w:r w:rsidRPr="00D14C96">
        <w:rPr>
          <w:rFonts w:ascii="Times New Roman" w:hAnsi="Times New Roman" w:cs="Times New Roman"/>
        </w:rPr>
        <w:t xml:space="preserve">. Il s’ensuit une importante déperdition de moyens, et un manque d’efficience des actions publiques. </w:t>
      </w:r>
    </w:p>
    <w:p w14:paraId="07ECB7E2"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1F570AB5" w14:textId="77777777" w:rsidR="001E0FA9" w:rsidRPr="00D14C96" w:rsidRDefault="001E0FA9" w:rsidP="006E68F4">
      <w:pPr>
        <w:widowControl w:val="0"/>
        <w:shd w:val="clear" w:color="auto" w:fill="BFBFBF" w:themeFill="background1" w:themeFillShade="BF"/>
        <w:spacing w:after="120" w:line="240" w:lineRule="auto"/>
        <w:jc w:val="both"/>
        <w:rPr>
          <w:rFonts w:ascii="Times New Roman" w:hAnsi="Times New Roman" w:cs="Times New Roman"/>
          <w:b/>
          <w:color w:val="2E74B5" w:themeColor="accent1" w:themeShade="BF"/>
          <w:sz w:val="24"/>
          <w:szCs w:val="24"/>
          <w:u w:val="single"/>
        </w:rPr>
      </w:pPr>
      <w:r w:rsidRPr="00D14C96">
        <w:rPr>
          <w:rFonts w:ascii="Times New Roman" w:hAnsi="Times New Roman" w:cs="Times New Roman"/>
          <w:b/>
          <w:color w:val="2E74B5" w:themeColor="accent1" w:themeShade="BF"/>
          <w:sz w:val="24"/>
          <w:szCs w:val="24"/>
          <w:u w:val="single"/>
        </w:rPr>
        <w:t>Quelles pistes ?</w:t>
      </w:r>
    </w:p>
    <w:p w14:paraId="69427EAB" w14:textId="77777777" w:rsidR="001E0FA9" w:rsidRPr="00D14C96" w:rsidRDefault="001E0FA9" w:rsidP="00AC73A7">
      <w:pPr>
        <w:widowControl w:val="0"/>
        <w:shd w:val="clear" w:color="auto" w:fill="BFBFBF" w:themeFill="background1" w:themeFillShade="BF"/>
        <w:spacing w:after="120" w:line="240" w:lineRule="auto"/>
        <w:jc w:val="both"/>
        <w:rPr>
          <w:rFonts w:ascii="Times New Roman" w:hAnsi="Times New Roman" w:cs="Times New Roman"/>
          <w:sz w:val="24"/>
          <w:szCs w:val="24"/>
        </w:rPr>
      </w:pPr>
      <w:r w:rsidRPr="00D14C96">
        <w:rPr>
          <w:rFonts w:ascii="Times New Roman" w:hAnsi="Times New Roman" w:cs="Times New Roman"/>
          <w:sz w:val="24"/>
          <w:szCs w:val="24"/>
        </w:rPr>
        <w:t>Le moment apparait donc propice pour :</w:t>
      </w:r>
    </w:p>
    <w:p w14:paraId="370259D0" w14:textId="1A27AE06" w:rsidR="001E0FA9" w:rsidRPr="00D14C96" w:rsidRDefault="001E0FA9" w:rsidP="006E68F4">
      <w:pPr>
        <w:pStyle w:val="ListParagraph"/>
        <w:widowControl w:val="0"/>
        <w:numPr>
          <w:ilvl w:val="0"/>
          <w:numId w:val="7"/>
        </w:numPr>
        <w:shd w:val="clear" w:color="auto" w:fill="BFBFBF" w:themeFill="background1" w:themeFillShade="BF"/>
        <w:spacing w:after="60" w:line="240" w:lineRule="auto"/>
        <w:ind w:left="360"/>
        <w:jc w:val="both"/>
        <w:rPr>
          <w:rFonts w:ascii="Times New Roman" w:hAnsi="Times New Roman" w:cs="Times New Roman"/>
          <w:sz w:val="24"/>
          <w:szCs w:val="24"/>
        </w:rPr>
      </w:pPr>
      <w:r w:rsidRPr="00D14C96">
        <w:rPr>
          <w:rFonts w:ascii="Times New Roman" w:hAnsi="Times New Roman" w:cs="Times New Roman"/>
          <w:b/>
          <w:sz w:val="24"/>
          <w:szCs w:val="24"/>
        </w:rPr>
        <w:t>Définir un document / cadre d’orientation au niveau national</w:t>
      </w:r>
      <w:r w:rsidRPr="00D14C96">
        <w:rPr>
          <w:rFonts w:ascii="Times New Roman" w:hAnsi="Times New Roman" w:cs="Times New Roman"/>
          <w:sz w:val="24"/>
          <w:szCs w:val="24"/>
        </w:rPr>
        <w:t xml:space="preserve"> à même d’arrêter une vision prospective de l’aménagement du territoire et de servir de référence aux SRAT (et aux PDR)</w:t>
      </w:r>
    </w:p>
    <w:p w14:paraId="703C456B" w14:textId="4A18784B" w:rsidR="001E0FA9" w:rsidRPr="00D14C96" w:rsidRDefault="001E0FA9" w:rsidP="006E68F4">
      <w:pPr>
        <w:pStyle w:val="ListParagraph"/>
        <w:widowControl w:val="0"/>
        <w:numPr>
          <w:ilvl w:val="0"/>
          <w:numId w:val="7"/>
        </w:numPr>
        <w:shd w:val="clear" w:color="auto" w:fill="BFBFBF" w:themeFill="background1" w:themeFillShade="BF"/>
        <w:spacing w:after="6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Préciser et organiser les </w:t>
      </w:r>
      <w:r w:rsidRPr="00D14C96">
        <w:rPr>
          <w:rFonts w:ascii="Times New Roman" w:hAnsi="Times New Roman" w:cs="Times New Roman"/>
          <w:b/>
          <w:sz w:val="24"/>
          <w:szCs w:val="24"/>
        </w:rPr>
        <w:t>liens hiérarchiques et les rapports normatifs</w:t>
      </w:r>
      <w:r w:rsidRPr="00D14C96">
        <w:rPr>
          <w:rFonts w:ascii="Times New Roman" w:hAnsi="Times New Roman" w:cs="Times New Roman"/>
          <w:sz w:val="24"/>
          <w:szCs w:val="24"/>
        </w:rPr>
        <w:t xml:space="preserve"> (conformité, compatibilité, prise en compte, cohérence) organisant les relations entre les différents niveaux / documents de planification territoriale / urbaine / locale : SNAT, SRAT, SDAU, PA,</w:t>
      </w:r>
      <w:r w:rsidR="00997BFC">
        <w:rPr>
          <w:rFonts w:ascii="Times New Roman" w:hAnsi="Times New Roman" w:cs="Times New Roman"/>
          <w:sz w:val="24"/>
          <w:szCs w:val="24"/>
        </w:rPr>
        <w:t xml:space="preserve"> PAC</w:t>
      </w:r>
      <w:r w:rsidRPr="00D14C96">
        <w:rPr>
          <w:rFonts w:ascii="Times New Roman" w:hAnsi="Times New Roman" w:cs="Times New Roman"/>
          <w:sz w:val="24"/>
          <w:szCs w:val="24"/>
        </w:rPr>
        <w:t>.</w:t>
      </w:r>
    </w:p>
    <w:p w14:paraId="5340174D" w14:textId="77777777" w:rsidR="001E0FA9" w:rsidRPr="00D14C96" w:rsidRDefault="001E0FA9" w:rsidP="009C2620">
      <w:pPr>
        <w:pStyle w:val="ListParagraph"/>
        <w:widowControl w:val="0"/>
        <w:numPr>
          <w:ilvl w:val="0"/>
          <w:numId w:val="7"/>
        </w:numPr>
        <w:shd w:val="clear" w:color="auto" w:fill="BFBFBF" w:themeFill="background1" w:themeFillShade="BF"/>
        <w:spacing w:after="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sz w:val="24"/>
          <w:szCs w:val="24"/>
        </w:rPr>
        <w:t>Mettre en place</w:t>
      </w:r>
      <w:r w:rsidRPr="00D14C96">
        <w:rPr>
          <w:rFonts w:ascii="Times New Roman" w:hAnsi="Times New Roman" w:cs="Times New Roman"/>
          <w:i/>
          <w:sz w:val="24"/>
          <w:szCs w:val="24"/>
        </w:rPr>
        <w:t xml:space="preserve"> </w:t>
      </w:r>
      <w:r w:rsidRPr="00D14C96">
        <w:rPr>
          <w:rFonts w:ascii="Times New Roman" w:hAnsi="Times New Roman" w:cs="Times New Roman"/>
          <w:sz w:val="24"/>
          <w:szCs w:val="24"/>
        </w:rPr>
        <w:t xml:space="preserve">un </w:t>
      </w:r>
      <w:r w:rsidRPr="00D14C96">
        <w:rPr>
          <w:rFonts w:ascii="Times New Roman" w:hAnsi="Times New Roman" w:cs="Times New Roman"/>
          <w:b/>
          <w:sz w:val="24"/>
          <w:szCs w:val="24"/>
        </w:rPr>
        <w:t>cadre / mécanisme</w:t>
      </w:r>
      <w:r w:rsidRPr="00D14C96">
        <w:rPr>
          <w:rFonts w:ascii="Times New Roman" w:hAnsi="Times New Roman" w:cs="Times New Roman"/>
          <w:b/>
          <w:i/>
          <w:sz w:val="24"/>
          <w:szCs w:val="24"/>
        </w:rPr>
        <w:t xml:space="preserve"> </w:t>
      </w:r>
      <w:r w:rsidRPr="00D14C96">
        <w:rPr>
          <w:rFonts w:ascii="Times New Roman" w:hAnsi="Times New Roman" w:cs="Times New Roman"/>
          <w:b/>
          <w:sz w:val="24"/>
          <w:szCs w:val="24"/>
        </w:rPr>
        <w:t>de régulation et de renforcement de la coordination</w:t>
      </w:r>
      <w:r w:rsidRPr="00D14C96">
        <w:rPr>
          <w:rFonts w:ascii="Times New Roman" w:hAnsi="Times New Roman" w:cs="Times New Roman"/>
          <w:sz w:val="24"/>
          <w:szCs w:val="24"/>
        </w:rPr>
        <w:t xml:space="preserve"> et de la cohérence de l’action de l’Etat en matière de planification territoriale et urbaine </w:t>
      </w:r>
    </w:p>
    <w:p w14:paraId="38F07128" w14:textId="77777777" w:rsidR="007302F7" w:rsidRPr="00D14C96" w:rsidRDefault="007302F7" w:rsidP="000050E0">
      <w:pPr>
        <w:pStyle w:val="Heading3"/>
        <w:rPr>
          <w:rFonts w:ascii="Times New Roman" w:eastAsia="Times New Roman" w:hAnsi="Times New Roman" w:cs="Times New Roman"/>
          <w:b/>
          <w:color w:val="000000"/>
          <w:u w:val="single"/>
          <w:lang w:eastAsia="fr-FR"/>
        </w:rPr>
      </w:pPr>
    </w:p>
    <w:p w14:paraId="696E7E94" w14:textId="086F8290" w:rsidR="001E0FA9" w:rsidRPr="00D14C96" w:rsidRDefault="001E0FA9" w:rsidP="000050E0">
      <w:pPr>
        <w:pStyle w:val="Heading3"/>
        <w:rPr>
          <w:rFonts w:ascii="Times New Roman" w:eastAsia="Times New Roman" w:hAnsi="Times New Roman" w:cs="Times New Roman"/>
          <w:b/>
          <w:color w:val="000000"/>
          <w:lang w:eastAsia="fr-FR"/>
        </w:rPr>
      </w:pPr>
      <w:bookmarkStart w:id="123" w:name="_Toc515875124"/>
      <w:r w:rsidRPr="00D14C96">
        <w:rPr>
          <w:rFonts w:ascii="Times New Roman" w:eastAsia="Times New Roman" w:hAnsi="Times New Roman" w:cs="Times New Roman"/>
          <w:b/>
          <w:color w:val="000000"/>
          <w:u w:val="single"/>
          <w:lang w:eastAsia="fr-FR"/>
        </w:rPr>
        <w:t>Proposition #2</w:t>
      </w:r>
      <w:r w:rsidRPr="00D14C96">
        <w:rPr>
          <w:rFonts w:ascii="Times New Roman" w:eastAsia="Times New Roman" w:hAnsi="Times New Roman" w:cs="Times New Roman"/>
          <w:b/>
          <w:color w:val="000000"/>
          <w:lang w:eastAsia="fr-FR"/>
        </w:rPr>
        <w:t> : Adapter et moderniser l’exercice de la planification urbaine</w:t>
      </w:r>
      <w:bookmarkEnd w:id="123"/>
    </w:p>
    <w:p w14:paraId="4EFAD240"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0760BCF7" w14:textId="77777777"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Les documents d’urbanisme ne parviennent pas aujourd’hui à être des cadres de mise en cohérence et de convergence des actions de développement urbain.</w:t>
      </w:r>
      <w:r w:rsidRPr="00D14C96">
        <w:rPr>
          <w:rFonts w:ascii="Times New Roman" w:hAnsi="Times New Roman" w:cs="Times New Roman"/>
        </w:rPr>
        <w:t xml:space="preserve"> Le Maroc consacre un effort important à la planification urbaine (PU), tant au niveau des documents d’orientation (SDAU) que réglementaires (Plans d’aménagement opposables au tiers). Malgré cet engagement, la PU ne parvient pas à s’adapter aux enjeux économiques et aux transformations des modes de faire et de gouvernance</w:t>
      </w:r>
      <w:r w:rsidRPr="00D14C96">
        <w:rPr>
          <w:rFonts w:ascii="Times New Roman" w:hAnsi="Times New Roman" w:cs="Times New Roman"/>
          <w:i/>
        </w:rPr>
        <w:t xml:space="preserve">. </w:t>
      </w:r>
    </w:p>
    <w:p w14:paraId="253E0FCC"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58F0C433" w14:textId="77777777" w:rsidR="001E0FA9" w:rsidRPr="00D14C96" w:rsidRDefault="001E0FA9" w:rsidP="006E68F4">
      <w:pPr>
        <w:widowControl w:val="0"/>
        <w:shd w:val="clear" w:color="auto" w:fill="BFBFBF" w:themeFill="background1" w:themeFillShade="BF"/>
        <w:spacing w:after="60" w:line="240" w:lineRule="auto"/>
        <w:jc w:val="both"/>
        <w:rPr>
          <w:rFonts w:ascii="Times New Roman" w:hAnsi="Times New Roman" w:cs="Times New Roman"/>
          <w:b/>
          <w:color w:val="2E74B5" w:themeColor="accent1" w:themeShade="BF"/>
          <w:sz w:val="24"/>
          <w:szCs w:val="24"/>
          <w:u w:val="single"/>
        </w:rPr>
      </w:pPr>
      <w:r w:rsidRPr="00D14C96">
        <w:rPr>
          <w:rFonts w:ascii="Times New Roman" w:hAnsi="Times New Roman" w:cs="Times New Roman"/>
          <w:b/>
          <w:color w:val="2E74B5" w:themeColor="accent1" w:themeShade="BF"/>
          <w:sz w:val="24"/>
          <w:szCs w:val="24"/>
          <w:u w:val="single"/>
        </w:rPr>
        <w:t>Quelles pistes ?</w:t>
      </w:r>
    </w:p>
    <w:p w14:paraId="27A3B01F" w14:textId="56399D26" w:rsidR="001E0FA9" w:rsidRPr="00D14C96" w:rsidRDefault="001E0FA9" w:rsidP="00AC73A7">
      <w:pPr>
        <w:widowControl w:val="0"/>
        <w:shd w:val="clear" w:color="auto" w:fill="BFBFBF" w:themeFill="background1" w:themeFillShade="BF"/>
        <w:spacing w:after="120" w:line="240" w:lineRule="auto"/>
        <w:jc w:val="both"/>
        <w:rPr>
          <w:rFonts w:ascii="Times New Roman" w:hAnsi="Times New Roman" w:cs="Times New Roman"/>
          <w:sz w:val="24"/>
          <w:szCs w:val="24"/>
        </w:rPr>
      </w:pPr>
      <w:r w:rsidRPr="00D14C96">
        <w:rPr>
          <w:rFonts w:ascii="Times New Roman" w:hAnsi="Times New Roman" w:cs="Times New Roman"/>
          <w:sz w:val="24"/>
          <w:szCs w:val="24"/>
        </w:rPr>
        <w:t xml:space="preserve">Les dysfonctionnements rencontrés ainsi que l’accélération de l’urbanisation justifient aujourd’hui l’adaptation et la modernisation de la planification urbaine tant au niveau de son contenu, que du processus d’élaboration, de sa mise en œuvre et du suivi </w:t>
      </w:r>
      <w:r w:rsidR="007302F7" w:rsidRPr="00D14C96">
        <w:rPr>
          <w:rFonts w:ascii="Times New Roman" w:hAnsi="Times New Roman" w:cs="Times New Roman"/>
          <w:sz w:val="24"/>
          <w:szCs w:val="24"/>
        </w:rPr>
        <w:t>évaluation. Il s’agit de :</w:t>
      </w:r>
    </w:p>
    <w:p w14:paraId="4DA855B3" w14:textId="634F82AF" w:rsidR="001E0FA9" w:rsidRPr="00D14C96" w:rsidRDefault="001E0FA9" w:rsidP="006E68F4">
      <w:pPr>
        <w:pStyle w:val="ListParagraph"/>
        <w:widowControl w:val="0"/>
        <w:numPr>
          <w:ilvl w:val="0"/>
          <w:numId w:val="20"/>
        </w:numPr>
        <w:shd w:val="clear" w:color="auto" w:fill="BFBFBF" w:themeFill="background1" w:themeFillShade="BF"/>
        <w:spacing w:after="6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b/>
          <w:sz w:val="24"/>
          <w:szCs w:val="24"/>
        </w:rPr>
        <w:t>Faire en sorte que les plans d’urbanisme (SDAU, PA) puissent accompagner l’urbanisation</w:t>
      </w:r>
      <w:r w:rsidRPr="00D14C96">
        <w:rPr>
          <w:rFonts w:ascii="Times New Roman" w:hAnsi="Times New Roman" w:cs="Times New Roman"/>
          <w:sz w:val="24"/>
          <w:szCs w:val="24"/>
        </w:rPr>
        <w:t xml:space="preserve"> en ne cherchant pas à tout planifier au préalable et pour très longtemps</w:t>
      </w:r>
      <w:r w:rsidRPr="00D14C96">
        <w:rPr>
          <w:rFonts w:ascii="Times New Roman" w:hAnsi="Times New Roman" w:cs="Times New Roman"/>
          <w:vertAlign w:val="superscript"/>
        </w:rPr>
        <w:footnoteReference w:id="25"/>
      </w:r>
      <w:r w:rsidRPr="00D14C96">
        <w:rPr>
          <w:rFonts w:ascii="Times New Roman" w:hAnsi="Times New Roman" w:cs="Times New Roman"/>
          <w:sz w:val="24"/>
          <w:szCs w:val="24"/>
        </w:rPr>
        <w:t>. Cela nécessite de reconsidérer les contenus des documents de façon à préserver et structurer l’essentiel (grande trame de voirie, grands équipements, milieux naturels ou protégés, terrains à risque, etc.) en laissant des souplesses et des marges de manœuvre à l’intérieur des espaces ouverts.</w:t>
      </w:r>
    </w:p>
    <w:p w14:paraId="4DEC95F5" w14:textId="77777777" w:rsidR="001E0FA9" w:rsidRPr="00D14C96" w:rsidRDefault="001E0FA9" w:rsidP="006E68F4">
      <w:pPr>
        <w:pStyle w:val="ListParagraph"/>
        <w:widowControl w:val="0"/>
        <w:numPr>
          <w:ilvl w:val="0"/>
          <w:numId w:val="7"/>
        </w:numPr>
        <w:shd w:val="clear" w:color="auto" w:fill="BFBFBF" w:themeFill="background1" w:themeFillShade="BF"/>
        <w:spacing w:after="6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b/>
          <w:sz w:val="24"/>
          <w:szCs w:val="24"/>
        </w:rPr>
        <w:t>Faire évoluer la planification règlementaire classique vers une planification plus engageante</w:t>
      </w:r>
      <w:r w:rsidRPr="00D14C96">
        <w:rPr>
          <w:rFonts w:ascii="Times New Roman" w:hAnsi="Times New Roman" w:cs="Times New Roman"/>
          <w:sz w:val="24"/>
          <w:szCs w:val="24"/>
        </w:rPr>
        <w:t xml:space="preserve"> à partir de programmations et de dispositifs de mise en œuvre et de contractualisation à différentes échelles. Il s’agit de favoriser une planification stratégique intersectorielle permettant d’inscrire des dynamiques territoriales et urbaines à partir d’une vision commune de développement et de principes de convergence et de gouvernance multi acteurs. </w:t>
      </w:r>
    </w:p>
    <w:p w14:paraId="0841C15B" w14:textId="77777777" w:rsidR="001E0FA9" w:rsidRPr="00D14C96" w:rsidRDefault="001E0FA9" w:rsidP="006E68F4">
      <w:pPr>
        <w:pStyle w:val="ListParagraph"/>
        <w:widowControl w:val="0"/>
        <w:numPr>
          <w:ilvl w:val="0"/>
          <w:numId w:val="7"/>
        </w:numPr>
        <w:shd w:val="clear" w:color="auto" w:fill="BFBFBF" w:themeFill="background1" w:themeFillShade="BF"/>
        <w:spacing w:after="6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b/>
          <w:sz w:val="24"/>
          <w:szCs w:val="24"/>
        </w:rPr>
        <w:t>Simplifier les règles et conditions de modifications des documents d’urbanisme</w:t>
      </w:r>
      <w:r w:rsidRPr="00D14C96">
        <w:rPr>
          <w:rFonts w:ascii="Times New Roman" w:hAnsi="Times New Roman" w:cs="Times New Roman"/>
          <w:sz w:val="24"/>
          <w:szCs w:val="24"/>
        </w:rPr>
        <w:t xml:space="preserve"> (SDAU / plans d’aménagement) qui doivent pouvoir s’adapter aux contextes et aux évolutions (il faudrait en particulier faire davantage usage de l’article 19 qui permet des modifications particulières au niveau des PA</w:t>
      </w:r>
      <w:r w:rsidRPr="00D14C96">
        <w:rPr>
          <w:rFonts w:ascii="Times New Roman" w:hAnsi="Times New Roman" w:cs="Times New Roman"/>
          <w:vertAlign w:val="superscript"/>
        </w:rPr>
        <w:footnoteReference w:id="26"/>
      </w:r>
      <w:r w:rsidRPr="00D14C96">
        <w:rPr>
          <w:rFonts w:ascii="Times New Roman" w:hAnsi="Times New Roman" w:cs="Times New Roman"/>
          <w:sz w:val="24"/>
          <w:szCs w:val="24"/>
        </w:rPr>
        <w:t>). Cela doit en même temps donner lieu à une généralisation du suivi / évaluation des documents d’urbanisme (SDAU / plans d’aménagement).</w:t>
      </w:r>
    </w:p>
    <w:p w14:paraId="5DA3825E" w14:textId="231005C1" w:rsidR="001E0FA9" w:rsidRPr="00D14C96" w:rsidRDefault="001E0FA9" w:rsidP="006E68F4">
      <w:pPr>
        <w:pStyle w:val="ListParagraph"/>
        <w:widowControl w:val="0"/>
        <w:numPr>
          <w:ilvl w:val="0"/>
          <w:numId w:val="7"/>
        </w:numPr>
        <w:shd w:val="clear" w:color="auto" w:fill="BFBFBF" w:themeFill="background1" w:themeFillShade="BF"/>
        <w:spacing w:after="6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b/>
          <w:sz w:val="24"/>
          <w:szCs w:val="24"/>
        </w:rPr>
        <w:t>Encadrer davantage le recours à la dérogation</w:t>
      </w:r>
      <w:r w:rsidRPr="00D14C96">
        <w:rPr>
          <w:rFonts w:ascii="Times New Roman" w:hAnsi="Times New Roman" w:cs="Times New Roman"/>
          <w:sz w:val="24"/>
          <w:szCs w:val="24"/>
        </w:rPr>
        <w:t xml:space="preserve"> (en restreignant cette possibilité en dehors des documents d’urbanisme, en renforçant leur suivi et la mise en œuvre des clauses et contreparties prévues aux conventions de dérogation, etc.,..  ) </w:t>
      </w:r>
    </w:p>
    <w:p w14:paraId="64CD46D5" w14:textId="4995ED41" w:rsidR="001E0FA9" w:rsidRPr="00D14C96" w:rsidRDefault="001E0FA9" w:rsidP="006E68F4">
      <w:pPr>
        <w:pStyle w:val="ListParagraph"/>
        <w:widowControl w:val="0"/>
        <w:numPr>
          <w:ilvl w:val="0"/>
          <w:numId w:val="7"/>
        </w:numPr>
        <w:shd w:val="clear" w:color="auto" w:fill="BFBFBF" w:themeFill="background1" w:themeFillShade="BF"/>
        <w:spacing w:after="6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b/>
          <w:sz w:val="24"/>
          <w:szCs w:val="24"/>
        </w:rPr>
        <w:t>Améliorer les procédures d’instruction et d’approbation des documents d’urbanisme</w:t>
      </w:r>
      <w:r w:rsidRPr="00D14C96">
        <w:rPr>
          <w:rFonts w:ascii="Times New Roman" w:hAnsi="Times New Roman" w:cs="Times New Roman"/>
          <w:sz w:val="24"/>
          <w:szCs w:val="24"/>
        </w:rPr>
        <w:t xml:space="preserve"> (SDAU / plans d’aménagement) en fluidifiant la chaine de décision administrative (CTL, enquête publique, instruction, adoption), en fixant des délais (ou en faisant respecter ceux qui existent) à chaque étape réglementaire, en engageant la responsabilité des walis et des gouverneurs, etc. </w:t>
      </w:r>
    </w:p>
    <w:p w14:paraId="32234ECB" w14:textId="77777777" w:rsidR="001E0FA9" w:rsidRPr="00D14C96" w:rsidRDefault="001E0FA9" w:rsidP="009C2620">
      <w:pPr>
        <w:pStyle w:val="ListParagraph"/>
        <w:widowControl w:val="0"/>
        <w:numPr>
          <w:ilvl w:val="0"/>
          <w:numId w:val="7"/>
        </w:numPr>
        <w:shd w:val="clear" w:color="auto" w:fill="BFBFBF" w:themeFill="background1" w:themeFillShade="BF"/>
        <w:spacing w:after="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b/>
          <w:sz w:val="24"/>
          <w:szCs w:val="24"/>
        </w:rPr>
        <w:t>Renforcer le rôle et l’importance du SDAU, seule véritable occasion aujourd’hui pour les acteurs locaux de débattre d’une stratégie globale de développement</w:t>
      </w:r>
      <w:r w:rsidRPr="00D14C96">
        <w:rPr>
          <w:rFonts w:ascii="Times New Roman" w:hAnsi="Times New Roman" w:cs="Times New Roman"/>
          <w:sz w:val="24"/>
          <w:szCs w:val="24"/>
        </w:rPr>
        <w:t xml:space="preserve"> autour d’une vision commune en le rendant obligatoire pour les grandes agglomérations. Les évolutions institutionnelles justifieraient également que leur maitrise d’ouvrage (actuellement au niveau du département de l’Urbanisme qui devrait cependant garder un </w:t>
      </w:r>
      <w:r w:rsidRPr="00D14C96">
        <w:rPr>
          <w:rFonts w:ascii="Times New Roman" w:hAnsi="Times New Roman" w:cs="Times New Roman"/>
          <w:sz w:val="24"/>
          <w:szCs w:val="24"/>
        </w:rPr>
        <w:lastRenderedPageBreak/>
        <w:t xml:space="preserve">pouvoir d’arbitrage) soient déconcentrée au niveau des walis et des gouverneurs ce qui encouragerait une plus forte appropriation par les parties prenantes. </w:t>
      </w:r>
    </w:p>
    <w:p w14:paraId="0F928D6D" w14:textId="77777777" w:rsidR="001E0FA9" w:rsidRPr="00D14C96" w:rsidRDefault="001E0FA9" w:rsidP="000050E0">
      <w:pPr>
        <w:pStyle w:val="ListParagraph"/>
        <w:widowControl w:val="0"/>
        <w:spacing w:after="0" w:line="240" w:lineRule="auto"/>
        <w:ind w:left="426"/>
        <w:contextualSpacing w:val="0"/>
        <w:jc w:val="both"/>
        <w:rPr>
          <w:rFonts w:ascii="Times New Roman" w:hAnsi="Times New Roman" w:cs="Times New Roman"/>
          <w:sz w:val="24"/>
          <w:szCs w:val="24"/>
        </w:rPr>
      </w:pPr>
    </w:p>
    <w:p w14:paraId="0448539C" w14:textId="40173F73" w:rsidR="001E0FA9" w:rsidRPr="00D14C96" w:rsidRDefault="001E0FA9" w:rsidP="000050E0">
      <w:pPr>
        <w:pStyle w:val="Heading3"/>
        <w:rPr>
          <w:rFonts w:ascii="Times New Roman" w:eastAsia="Times New Roman" w:hAnsi="Times New Roman" w:cs="Times New Roman"/>
          <w:b/>
          <w:color w:val="000000"/>
          <w:lang w:eastAsia="fr-FR"/>
        </w:rPr>
      </w:pPr>
      <w:bookmarkStart w:id="124" w:name="_Toc515875125"/>
      <w:r w:rsidRPr="00D14C96">
        <w:rPr>
          <w:rFonts w:ascii="Times New Roman" w:eastAsia="Times New Roman" w:hAnsi="Times New Roman" w:cs="Times New Roman"/>
          <w:b/>
          <w:color w:val="000000"/>
          <w:u w:val="single"/>
          <w:lang w:eastAsia="fr-FR"/>
        </w:rPr>
        <w:t>Proposition #3</w:t>
      </w:r>
      <w:r w:rsidRPr="00D14C96">
        <w:rPr>
          <w:rFonts w:ascii="Times New Roman" w:eastAsia="Times New Roman" w:hAnsi="Times New Roman" w:cs="Times New Roman"/>
          <w:b/>
          <w:color w:val="000000"/>
          <w:lang w:eastAsia="fr-FR"/>
        </w:rPr>
        <w:t> : Mettre en place un cadre d’accompagnement et de mise en œuvre des grands projets d’intérêt national</w:t>
      </w:r>
      <w:bookmarkEnd w:id="124"/>
      <w:r w:rsidRPr="00D14C96">
        <w:rPr>
          <w:rFonts w:ascii="Times New Roman" w:eastAsia="Times New Roman" w:hAnsi="Times New Roman" w:cs="Times New Roman"/>
          <w:b/>
          <w:color w:val="000000"/>
          <w:lang w:eastAsia="fr-FR"/>
        </w:rPr>
        <w:t> </w:t>
      </w:r>
    </w:p>
    <w:p w14:paraId="65BC464F" w14:textId="77777777" w:rsidR="001E0FA9" w:rsidRPr="00D14C96" w:rsidRDefault="001E0FA9" w:rsidP="000050E0">
      <w:pPr>
        <w:widowControl w:val="0"/>
        <w:spacing w:after="0" w:line="240" w:lineRule="auto"/>
        <w:rPr>
          <w:rFonts w:ascii="Times New Roman" w:eastAsia="Times New Roman" w:hAnsi="Times New Roman" w:cs="Times New Roman"/>
          <w:b/>
          <w:color w:val="000000"/>
          <w:sz w:val="24"/>
          <w:szCs w:val="24"/>
          <w:lang w:eastAsia="fr-FR"/>
        </w:rPr>
      </w:pPr>
    </w:p>
    <w:p w14:paraId="02E23F36" w14:textId="4D5DA233" w:rsidR="001E0FA9" w:rsidRPr="00D14C96" w:rsidRDefault="001E0FA9" w:rsidP="00B4544E">
      <w:pPr>
        <w:pStyle w:val="Numberedparagraph"/>
        <w:ind w:left="0" w:firstLine="0"/>
        <w:rPr>
          <w:rFonts w:ascii="Times New Roman" w:eastAsia="Times New Roman" w:hAnsi="Times New Roman" w:cs="Times New Roman"/>
          <w:color w:val="000000"/>
          <w:lang w:eastAsia="fr-FR"/>
        </w:rPr>
      </w:pPr>
      <w:r w:rsidRPr="00D14C96">
        <w:rPr>
          <w:rFonts w:ascii="Times New Roman" w:hAnsi="Times New Roman" w:cs="Times New Roman"/>
          <w:b/>
        </w:rPr>
        <w:t>De plus en plus de grands projets sont réalisés au Maroc aujourd’hui en réponse aux enjeux de stratégies sectorielles ou de développements urbains/territoriaux, sans correctement intégrer leur échelle de développement et leur impact sur le territoire.</w:t>
      </w:r>
      <w:r w:rsidRPr="00D14C96">
        <w:rPr>
          <w:rFonts w:ascii="Times New Roman" w:eastAsia="Times New Roman" w:hAnsi="Times New Roman" w:cs="Times New Roman"/>
          <w:color w:val="000000"/>
          <w:lang w:eastAsia="fr-FR"/>
        </w:rPr>
        <w:t xml:space="preserve"> </w:t>
      </w:r>
      <w:r w:rsidRPr="00D14C96">
        <w:rPr>
          <w:rFonts w:ascii="Times New Roman" w:hAnsi="Times New Roman" w:cs="Times New Roman"/>
        </w:rPr>
        <w:t xml:space="preserve">Ces projets </w:t>
      </w:r>
      <w:r w:rsidRPr="00D14C96">
        <w:rPr>
          <w:rFonts w:ascii="Times New Roman" w:eastAsia="Times New Roman" w:hAnsi="Times New Roman" w:cs="Times New Roman"/>
          <w:color w:val="000000"/>
          <w:lang w:eastAsia="fr-FR"/>
        </w:rPr>
        <w:t>d’intérêt national, régional ou métropolitain sont cependant souvent traités comme de grands lotissements dont les implications ne sont pas prises en compte en termes de transport et de mobilité, d’accès au logement pour tous, de gestion urbaine, de centralité, d’environnement, etc. Ils ne bénéficient aussi parfois pas de tout le soutien nécessaire des parties prenantes locales.</w:t>
      </w:r>
    </w:p>
    <w:p w14:paraId="3C9FAD6B" w14:textId="77777777" w:rsidR="001E0FA9" w:rsidRPr="00D14C96" w:rsidRDefault="001E0FA9" w:rsidP="000050E0">
      <w:pPr>
        <w:widowControl w:val="0"/>
        <w:spacing w:after="0" w:line="240" w:lineRule="auto"/>
        <w:jc w:val="both"/>
        <w:rPr>
          <w:rFonts w:ascii="Times New Roman" w:eastAsia="Times New Roman" w:hAnsi="Times New Roman" w:cs="Times New Roman"/>
          <w:color w:val="000000"/>
          <w:sz w:val="24"/>
          <w:szCs w:val="24"/>
          <w:lang w:eastAsia="fr-FR"/>
        </w:rPr>
      </w:pPr>
    </w:p>
    <w:p w14:paraId="54CCC18E" w14:textId="77777777" w:rsidR="001E0FA9" w:rsidRPr="00D14C96" w:rsidRDefault="001E0FA9" w:rsidP="006E68F4">
      <w:pPr>
        <w:widowControl w:val="0"/>
        <w:shd w:val="clear" w:color="auto" w:fill="BFBFBF" w:themeFill="background1" w:themeFillShade="BF"/>
        <w:spacing w:after="120" w:line="240" w:lineRule="auto"/>
        <w:jc w:val="both"/>
        <w:rPr>
          <w:rFonts w:ascii="Times New Roman" w:hAnsi="Times New Roman" w:cs="Times New Roman"/>
          <w:b/>
          <w:color w:val="2E74B5" w:themeColor="accent1" w:themeShade="BF"/>
          <w:sz w:val="24"/>
          <w:szCs w:val="24"/>
          <w:u w:val="single"/>
        </w:rPr>
      </w:pPr>
      <w:r w:rsidRPr="00D14C96">
        <w:rPr>
          <w:rFonts w:ascii="Times New Roman" w:hAnsi="Times New Roman" w:cs="Times New Roman"/>
          <w:b/>
          <w:color w:val="2E74B5" w:themeColor="accent1" w:themeShade="BF"/>
          <w:sz w:val="24"/>
          <w:szCs w:val="24"/>
          <w:u w:val="single"/>
        </w:rPr>
        <w:t>Quelles pistes ?</w:t>
      </w:r>
    </w:p>
    <w:p w14:paraId="4E2A53B4" w14:textId="77777777" w:rsidR="001E0FA9" w:rsidRPr="00D14C96" w:rsidRDefault="001E0FA9" w:rsidP="00CB0762">
      <w:pPr>
        <w:widowControl w:val="0"/>
        <w:shd w:val="clear" w:color="auto" w:fill="BFBFBF" w:themeFill="background1" w:themeFillShade="BF"/>
        <w:spacing w:after="120" w:line="240" w:lineRule="auto"/>
        <w:jc w:val="both"/>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color w:val="000000"/>
          <w:sz w:val="24"/>
          <w:szCs w:val="24"/>
          <w:lang w:eastAsia="fr-FR"/>
        </w:rPr>
        <w:t>Il convient donc de pouvoir les doter d’un cadre de traitement et de régulation approprié (conception, instruction, gestion, suivi, etc.)</w:t>
      </w:r>
      <w:r w:rsidRPr="00D14C96">
        <w:rPr>
          <w:rStyle w:val="FootnoteReference"/>
          <w:rFonts w:ascii="Times New Roman" w:eastAsia="Times New Roman" w:hAnsi="Times New Roman" w:cs="Times New Roman"/>
          <w:sz w:val="24"/>
          <w:szCs w:val="24"/>
          <w:lang w:eastAsia="fr-FR"/>
        </w:rPr>
        <w:footnoteReference w:id="27"/>
      </w:r>
      <w:r w:rsidRPr="00D14C96">
        <w:rPr>
          <w:rFonts w:ascii="Times New Roman" w:eastAsia="Times New Roman" w:hAnsi="Times New Roman" w:cs="Times New Roman"/>
          <w:color w:val="000000"/>
          <w:sz w:val="24"/>
          <w:szCs w:val="24"/>
          <w:lang w:eastAsia="fr-FR"/>
        </w:rPr>
        <w:t xml:space="preserve"> ce qui requiert : </w:t>
      </w:r>
    </w:p>
    <w:p w14:paraId="48DA088A" w14:textId="77777777" w:rsidR="001E0FA9" w:rsidRPr="00D14C96" w:rsidRDefault="001E0FA9" w:rsidP="006E68F4">
      <w:pPr>
        <w:pStyle w:val="ListParagraph"/>
        <w:widowControl w:val="0"/>
        <w:numPr>
          <w:ilvl w:val="0"/>
          <w:numId w:val="8"/>
        </w:numPr>
        <w:shd w:val="clear" w:color="auto" w:fill="BFBFBF" w:themeFill="background1" w:themeFillShade="BF"/>
        <w:spacing w:after="6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De les </w:t>
      </w:r>
      <w:r w:rsidRPr="00D14C96">
        <w:rPr>
          <w:rFonts w:ascii="Times New Roman" w:hAnsi="Times New Roman" w:cs="Times New Roman"/>
          <w:b/>
          <w:sz w:val="24"/>
          <w:szCs w:val="24"/>
        </w:rPr>
        <w:t>définir</w:t>
      </w:r>
      <w:r w:rsidRPr="00D14C96">
        <w:rPr>
          <w:rFonts w:ascii="Times New Roman" w:hAnsi="Times New Roman" w:cs="Times New Roman"/>
          <w:sz w:val="24"/>
          <w:szCs w:val="24"/>
        </w:rPr>
        <w:t xml:space="preserve"> (grands projets d’intérêt national, régional ou métropolitain) selon des critères d’importance ou de complexité, d’intérêt stratégique ou d’importance des financements publics à mobiliser</w:t>
      </w:r>
    </w:p>
    <w:p w14:paraId="6F868267" w14:textId="77777777" w:rsidR="001E0FA9" w:rsidRPr="00D14C96" w:rsidRDefault="001E0FA9" w:rsidP="006E68F4">
      <w:pPr>
        <w:pStyle w:val="ListParagraph"/>
        <w:widowControl w:val="0"/>
        <w:numPr>
          <w:ilvl w:val="0"/>
          <w:numId w:val="8"/>
        </w:numPr>
        <w:shd w:val="clear" w:color="auto" w:fill="BFBFBF" w:themeFill="background1" w:themeFillShade="BF"/>
        <w:spacing w:after="6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De pouvoir les </w:t>
      </w:r>
      <w:r w:rsidRPr="00D14C96">
        <w:rPr>
          <w:rFonts w:ascii="Times New Roman" w:hAnsi="Times New Roman" w:cs="Times New Roman"/>
          <w:b/>
          <w:sz w:val="24"/>
          <w:szCs w:val="24"/>
        </w:rPr>
        <w:t>accompagner</w:t>
      </w:r>
      <w:r w:rsidRPr="00D14C96">
        <w:rPr>
          <w:rFonts w:ascii="Times New Roman" w:hAnsi="Times New Roman" w:cs="Times New Roman"/>
          <w:sz w:val="24"/>
          <w:szCs w:val="24"/>
        </w:rPr>
        <w:t xml:space="preserve"> et les instruire de façon appropriée au plan urbanistique aux moyens de zonages (par exemple secteur de grands projets ou grandes opérations à réaliser en tranches, projet d’ensemble d’initiative publique ou privé), d’une démarche de « projet intégré » et de procédures d’instruction et réglementaires adaptées (aux différentes catégories de projets). Un dispositif spécifique de régulation devrait pour cela être prévu de façon à généraliser l’étape de pré instruction des grands projets</w:t>
      </w:r>
      <w:r w:rsidRPr="00D14C96">
        <w:rPr>
          <w:rStyle w:val="FootnoteReference"/>
          <w:rFonts w:ascii="Times New Roman" w:hAnsi="Times New Roman" w:cs="Times New Roman"/>
          <w:sz w:val="24"/>
          <w:szCs w:val="24"/>
        </w:rPr>
        <w:footnoteReference w:id="28"/>
      </w:r>
      <w:r w:rsidRPr="00D14C96">
        <w:rPr>
          <w:rFonts w:ascii="Times New Roman" w:hAnsi="Times New Roman" w:cs="Times New Roman"/>
          <w:sz w:val="24"/>
          <w:szCs w:val="24"/>
        </w:rPr>
        <w:t xml:space="preserve"> par les agences urbaines, définir les études complémentaires nécessaires et les modalités d’engagement et de suivi des maitrises d’ouvrage aux niveaux environnemental, de la mobilité et du transport, de la gestion urbaine post opérationnelle, etc.</w:t>
      </w:r>
    </w:p>
    <w:p w14:paraId="16459551" w14:textId="77777777" w:rsidR="001E0FA9" w:rsidRPr="00D14C96" w:rsidRDefault="001E0FA9" w:rsidP="006E68F4">
      <w:pPr>
        <w:pStyle w:val="ListParagraph"/>
        <w:widowControl w:val="0"/>
        <w:numPr>
          <w:ilvl w:val="0"/>
          <w:numId w:val="8"/>
        </w:numPr>
        <w:shd w:val="clear" w:color="auto" w:fill="BFBFBF" w:themeFill="background1" w:themeFillShade="BF"/>
        <w:spacing w:after="6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De les doter de </w:t>
      </w:r>
      <w:r w:rsidRPr="00D14C96">
        <w:rPr>
          <w:rFonts w:ascii="Times New Roman" w:hAnsi="Times New Roman" w:cs="Times New Roman"/>
          <w:b/>
          <w:sz w:val="24"/>
          <w:szCs w:val="24"/>
        </w:rPr>
        <w:t>dispositifs effectifs de pilotage et de suivi multi acteurs</w:t>
      </w:r>
      <w:r w:rsidRPr="00D14C96">
        <w:rPr>
          <w:rFonts w:ascii="Times New Roman" w:hAnsi="Times New Roman" w:cs="Times New Roman"/>
          <w:sz w:val="24"/>
          <w:szCs w:val="24"/>
        </w:rPr>
        <w:t>, au niveau central (via un comité interministériel) comme local (via un comité au niveau du Wali de région)</w:t>
      </w:r>
    </w:p>
    <w:p w14:paraId="067E0D7C" w14:textId="210981AC" w:rsidR="001E0FA9" w:rsidRPr="00D14C96" w:rsidRDefault="001E0FA9" w:rsidP="009C2620">
      <w:pPr>
        <w:pStyle w:val="ListParagraph"/>
        <w:widowControl w:val="0"/>
        <w:numPr>
          <w:ilvl w:val="0"/>
          <w:numId w:val="8"/>
        </w:numPr>
        <w:shd w:val="clear" w:color="auto" w:fill="BFBFBF" w:themeFill="background1" w:themeFillShade="BF"/>
        <w:spacing w:after="0" w:line="240" w:lineRule="auto"/>
        <w:ind w:left="360"/>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De prévoir des </w:t>
      </w:r>
      <w:r w:rsidRPr="00D14C96">
        <w:rPr>
          <w:rFonts w:ascii="Times New Roman" w:hAnsi="Times New Roman" w:cs="Times New Roman"/>
          <w:b/>
          <w:sz w:val="24"/>
          <w:szCs w:val="24"/>
        </w:rPr>
        <w:t>dispositions adaptées en matière de fiscalité locale urbaine</w:t>
      </w:r>
      <w:r w:rsidRPr="00D14C96">
        <w:rPr>
          <w:rFonts w:ascii="Times New Roman" w:hAnsi="Times New Roman" w:cs="Times New Roman"/>
          <w:sz w:val="24"/>
          <w:szCs w:val="24"/>
        </w:rPr>
        <w:t xml:space="preserve"> notamment au niveau de la TNB</w:t>
      </w:r>
      <w:r w:rsidRPr="00D14C96">
        <w:rPr>
          <w:rStyle w:val="FootnoteReference"/>
          <w:rFonts w:ascii="Times New Roman" w:hAnsi="Times New Roman" w:cs="Times New Roman"/>
          <w:sz w:val="24"/>
          <w:szCs w:val="24"/>
        </w:rPr>
        <w:t xml:space="preserve"> </w:t>
      </w:r>
      <w:r w:rsidRPr="00D14C96">
        <w:rPr>
          <w:rStyle w:val="FootnoteReference"/>
          <w:rFonts w:ascii="Times New Roman" w:hAnsi="Times New Roman" w:cs="Times New Roman"/>
          <w:sz w:val="24"/>
          <w:szCs w:val="24"/>
        </w:rPr>
        <w:footnoteReference w:id="29"/>
      </w:r>
      <w:r w:rsidRPr="00D14C96">
        <w:rPr>
          <w:rFonts w:ascii="Times New Roman" w:hAnsi="Times New Roman" w:cs="Times New Roman"/>
          <w:sz w:val="24"/>
          <w:szCs w:val="24"/>
        </w:rPr>
        <w:t xml:space="preserve">. </w:t>
      </w:r>
    </w:p>
    <w:p w14:paraId="2CD80558"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13A9A81D" w14:textId="77777777" w:rsidR="007302F7" w:rsidRPr="00D14C96" w:rsidRDefault="007302F7">
      <w:pPr>
        <w:rPr>
          <w:rFonts w:ascii="Times New Roman" w:eastAsia="Times New Roman" w:hAnsi="Times New Roman" w:cs="Times New Roman"/>
          <w:b/>
          <w:color w:val="000000"/>
          <w:sz w:val="24"/>
          <w:szCs w:val="24"/>
          <w:u w:val="single"/>
          <w:lang w:eastAsia="fr-FR"/>
        </w:rPr>
      </w:pPr>
      <w:r w:rsidRPr="00D14C96">
        <w:rPr>
          <w:rFonts w:ascii="Times New Roman" w:eastAsia="Times New Roman" w:hAnsi="Times New Roman" w:cs="Times New Roman"/>
          <w:b/>
          <w:color w:val="000000"/>
          <w:u w:val="single"/>
          <w:lang w:eastAsia="fr-FR"/>
        </w:rPr>
        <w:br w:type="page"/>
      </w:r>
    </w:p>
    <w:p w14:paraId="7651DCC1" w14:textId="15F5D99A" w:rsidR="001E0FA9" w:rsidRPr="00D14C96" w:rsidRDefault="001E0FA9" w:rsidP="000050E0">
      <w:pPr>
        <w:pStyle w:val="Heading3"/>
        <w:rPr>
          <w:rFonts w:ascii="Times New Roman" w:eastAsia="Times New Roman" w:hAnsi="Times New Roman" w:cs="Times New Roman"/>
          <w:b/>
          <w:color w:val="000000"/>
          <w:lang w:eastAsia="fr-FR"/>
        </w:rPr>
      </w:pPr>
      <w:bookmarkStart w:id="125" w:name="_Toc515875126"/>
      <w:r w:rsidRPr="00D14C96">
        <w:rPr>
          <w:rFonts w:ascii="Times New Roman" w:eastAsia="Times New Roman" w:hAnsi="Times New Roman" w:cs="Times New Roman"/>
          <w:b/>
          <w:color w:val="000000"/>
          <w:u w:val="single"/>
          <w:lang w:eastAsia="fr-FR"/>
        </w:rPr>
        <w:lastRenderedPageBreak/>
        <w:t>Proposition #4</w:t>
      </w:r>
      <w:r w:rsidRPr="00D14C96">
        <w:rPr>
          <w:rFonts w:ascii="Times New Roman" w:eastAsia="Times New Roman" w:hAnsi="Times New Roman" w:cs="Times New Roman"/>
          <w:b/>
          <w:color w:val="000000"/>
          <w:lang w:eastAsia="fr-FR"/>
        </w:rPr>
        <w:t> : Encourager la territorialisation et la mise en cohérence de l’action publique en matière de développement urbain (urbanisme, habitat, déplacement, etc.)</w:t>
      </w:r>
      <w:bookmarkEnd w:id="125"/>
      <w:r w:rsidRPr="00D14C96">
        <w:rPr>
          <w:rFonts w:ascii="Times New Roman" w:eastAsia="Times New Roman" w:hAnsi="Times New Roman" w:cs="Times New Roman"/>
          <w:b/>
          <w:color w:val="000000"/>
          <w:lang w:eastAsia="fr-FR"/>
        </w:rPr>
        <w:t> </w:t>
      </w:r>
    </w:p>
    <w:p w14:paraId="3D8EC582" w14:textId="77777777" w:rsidR="001E0FA9" w:rsidRPr="00D14C96" w:rsidRDefault="001E0FA9" w:rsidP="000050E0">
      <w:pPr>
        <w:widowControl w:val="0"/>
        <w:spacing w:after="0" w:line="240" w:lineRule="auto"/>
        <w:rPr>
          <w:rFonts w:ascii="Times New Roman" w:eastAsia="Times New Roman" w:hAnsi="Times New Roman" w:cs="Times New Roman"/>
          <w:b/>
          <w:color w:val="000000"/>
          <w:sz w:val="24"/>
          <w:szCs w:val="24"/>
          <w:lang w:eastAsia="fr-FR"/>
        </w:rPr>
      </w:pPr>
    </w:p>
    <w:p w14:paraId="293BED8F" w14:textId="65573E24"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L’action publique sur les villes reste marquée par des logiques sectorielles, verticales et descendantes souvent cloisonnées et peu adaptées à la spécificité des enjeux territoriaux.</w:t>
      </w:r>
      <w:r w:rsidRPr="00D14C96">
        <w:rPr>
          <w:rFonts w:ascii="Times New Roman" w:hAnsi="Times New Roman" w:cs="Times New Roman"/>
        </w:rPr>
        <w:t xml:space="preserve"> Cette situation interpelle quant aux objectifs attendus, à la capacité d’intégration économique et sociale effective de ces programmes et projets et sur l’impact au final de l’intervention publique. La réforme territoriale et la nouvelle </w:t>
      </w:r>
      <w:r w:rsidRPr="00D14C96">
        <w:rPr>
          <w:rFonts w:ascii="Times New Roman" w:eastAsia="Times New Roman" w:hAnsi="Times New Roman" w:cs="Times New Roman"/>
          <w:color w:val="000000"/>
          <w:lang w:eastAsia="fr-FR"/>
        </w:rPr>
        <w:t>configuration</w:t>
      </w:r>
      <w:r w:rsidRPr="00D14C96">
        <w:rPr>
          <w:rFonts w:ascii="Times New Roman" w:hAnsi="Times New Roman" w:cs="Times New Roman"/>
        </w:rPr>
        <w:t xml:space="preserve"> d’acteurs (nouveau découpage territorial de 2015, projet de </w:t>
      </w:r>
      <w:hyperlink r:id="rId16" w:tooltip="Régionalisation" w:history="1">
        <w:r w:rsidRPr="00D14C96">
          <w:rPr>
            <w:rFonts w:ascii="Times New Roman" w:hAnsi="Times New Roman" w:cs="Times New Roman"/>
          </w:rPr>
          <w:t>régionalisation</w:t>
        </w:r>
      </w:hyperlink>
      <w:r w:rsidRPr="00D14C96">
        <w:rPr>
          <w:rFonts w:ascii="Times New Roman" w:hAnsi="Times New Roman" w:cs="Times New Roman"/>
        </w:rPr>
        <w:t xml:space="preserve"> avancée de 2011, consécration des trois niveaux de collectivités territoriales) invitent à de nouvelles manières d’appréhender l’action collective sur les territoires et à une meilleure articulation planification / stratégies de développement urbain. Elles sont l’occasion d’encourager un nouveau mode de planification active permettant d’inscrire sur le territoire des stratégies communes et négociées de développement articulées avec les différentes programmations sectorielles et avec les enjeux (urbains, économiques, environnementaux, sociaux) considérés comme essentiels. </w:t>
      </w:r>
    </w:p>
    <w:p w14:paraId="7B155EE9" w14:textId="77777777" w:rsidR="001E0FA9" w:rsidRPr="00D14C96" w:rsidRDefault="001E0FA9" w:rsidP="000050E0">
      <w:pPr>
        <w:widowControl w:val="0"/>
        <w:shd w:val="clear" w:color="auto" w:fill="FFFFFF"/>
        <w:spacing w:after="0" w:line="240" w:lineRule="auto"/>
        <w:jc w:val="both"/>
        <w:rPr>
          <w:rFonts w:ascii="Times New Roman" w:hAnsi="Times New Roman" w:cs="Times New Roman"/>
          <w:sz w:val="24"/>
          <w:szCs w:val="24"/>
        </w:rPr>
      </w:pPr>
    </w:p>
    <w:p w14:paraId="7DE71A49" w14:textId="77777777" w:rsidR="001E0FA9" w:rsidRPr="00D14C96" w:rsidRDefault="001E0FA9" w:rsidP="006E68F4">
      <w:pPr>
        <w:widowControl w:val="0"/>
        <w:shd w:val="clear" w:color="auto" w:fill="BFBFBF" w:themeFill="background1" w:themeFillShade="BF"/>
        <w:spacing w:after="120" w:line="240" w:lineRule="auto"/>
        <w:jc w:val="both"/>
        <w:rPr>
          <w:rFonts w:ascii="Times New Roman" w:hAnsi="Times New Roman" w:cs="Times New Roman"/>
          <w:b/>
          <w:color w:val="2E74B5" w:themeColor="accent1" w:themeShade="BF"/>
          <w:sz w:val="24"/>
          <w:szCs w:val="24"/>
          <w:u w:val="single"/>
        </w:rPr>
      </w:pPr>
      <w:r w:rsidRPr="00D14C96">
        <w:rPr>
          <w:rFonts w:ascii="Times New Roman" w:hAnsi="Times New Roman" w:cs="Times New Roman"/>
          <w:b/>
          <w:color w:val="2E74B5" w:themeColor="accent1" w:themeShade="BF"/>
          <w:sz w:val="24"/>
          <w:szCs w:val="24"/>
          <w:u w:val="single"/>
        </w:rPr>
        <w:t>Quelles pistes ?</w:t>
      </w:r>
    </w:p>
    <w:p w14:paraId="5D42FA6C" w14:textId="702F45C6"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r w:rsidRPr="00D14C96">
        <w:rPr>
          <w:rFonts w:ascii="Times New Roman" w:eastAsia="Times New Roman" w:hAnsi="Times New Roman" w:cs="Times New Roman"/>
          <w:b/>
          <w:color w:val="000000"/>
          <w:sz w:val="24"/>
          <w:szCs w:val="24"/>
          <w:lang w:eastAsia="fr-FR"/>
        </w:rPr>
        <w:t>Il convient de relancer l’initiative de stratégies concertées de développement de ville.</w:t>
      </w:r>
      <w:r w:rsidRPr="00D14C96">
        <w:rPr>
          <w:rFonts w:ascii="Times New Roman" w:hAnsi="Times New Roman" w:cs="Times New Roman"/>
          <w:sz w:val="24"/>
          <w:szCs w:val="24"/>
        </w:rPr>
        <w:t xml:space="preserve"> Les plans stratégiques de développement de villes (Plan de Développement du Grand Casablanca, PDGC</w:t>
      </w:r>
      <w:r w:rsidRPr="00D14C96">
        <w:rPr>
          <w:rFonts w:ascii="Times New Roman" w:hAnsi="Times New Roman" w:cs="Times New Roman"/>
          <w:sz w:val="24"/>
          <w:szCs w:val="24"/>
          <w:vertAlign w:val="superscript"/>
        </w:rPr>
        <w:footnoteReference w:id="30"/>
      </w:r>
      <w:r w:rsidRPr="00D14C96">
        <w:rPr>
          <w:rFonts w:ascii="Times New Roman" w:hAnsi="Times New Roman" w:cs="Times New Roman"/>
          <w:sz w:val="24"/>
          <w:szCs w:val="24"/>
          <w:vertAlign w:val="superscript"/>
        </w:rPr>
        <w:t xml:space="preserve"> </w:t>
      </w:r>
      <w:r w:rsidRPr="00D14C96">
        <w:rPr>
          <w:rFonts w:ascii="Times New Roman" w:hAnsi="Times New Roman" w:cs="Times New Roman"/>
          <w:sz w:val="24"/>
          <w:szCs w:val="24"/>
        </w:rPr>
        <w:t xml:space="preserve">2015-2022, Programme «Rabat ville lumière», programme Tanger Métropole, etc.) constituent de nouveaux modes d’action publique qui s’inscrivent pour partie dans cette logique mais qui concernent plus la mise à niveau de l’urbain existant que les nouvelles extensions à organiser et à équiper. </w:t>
      </w:r>
    </w:p>
    <w:p w14:paraId="6D8DDB25" w14:textId="77777777" w:rsidR="001E0FA9" w:rsidRPr="00D14C96" w:rsidRDefault="001E0FA9" w:rsidP="000050E0">
      <w:pPr>
        <w:widowControl w:val="0"/>
        <w:shd w:val="clear" w:color="auto" w:fill="BFBFBF" w:themeFill="background1" w:themeFillShade="BF"/>
        <w:autoSpaceDE w:val="0"/>
        <w:autoSpaceDN w:val="0"/>
        <w:adjustRightInd w:val="0"/>
        <w:spacing w:after="0" w:line="240" w:lineRule="auto"/>
        <w:jc w:val="both"/>
        <w:rPr>
          <w:rFonts w:ascii="Times New Roman" w:hAnsi="Times New Roman" w:cs="Times New Roman"/>
          <w:sz w:val="24"/>
          <w:szCs w:val="24"/>
        </w:rPr>
      </w:pPr>
    </w:p>
    <w:p w14:paraId="761D1971" w14:textId="1CDB4E4E"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r w:rsidRPr="00D14C96">
        <w:rPr>
          <w:rFonts w:ascii="Times New Roman" w:hAnsi="Times New Roman" w:cs="Times New Roman"/>
          <w:b/>
          <w:sz w:val="24"/>
          <w:szCs w:val="24"/>
        </w:rPr>
        <w:t>Plus globalement, il faudrait initier des démarches de développement urbain stratégique</w:t>
      </w:r>
      <w:r w:rsidRPr="00D14C96">
        <w:rPr>
          <w:rFonts w:ascii="Times New Roman" w:hAnsi="Times New Roman" w:cs="Times New Roman"/>
          <w:b/>
          <w:i/>
          <w:sz w:val="24"/>
          <w:szCs w:val="24"/>
        </w:rPr>
        <w:t xml:space="preserve"> </w:t>
      </w:r>
      <w:r w:rsidRPr="00D14C96">
        <w:rPr>
          <w:rFonts w:ascii="Times New Roman" w:hAnsi="Times New Roman" w:cs="Times New Roman"/>
          <w:b/>
          <w:sz w:val="24"/>
          <w:szCs w:val="24"/>
        </w:rPr>
        <w:t>ou des programmes d’actions territorialisés et concertés</w:t>
      </w:r>
      <w:r w:rsidRPr="00D14C96">
        <w:rPr>
          <w:rFonts w:ascii="Times New Roman" w:hAnsi="Times New Roman" w:cs="Times New Roman"/>
          <w:i/>
          <w:sz w:val="24"/>
          <w:szCs w:val="24"/>
        </w:rPr>
        <w:t xml:space="preserve"> </w:t>
      </w:r>
      <w:r w:rsidRPr="00D14C96">
        <w:rPr>
          <w:rFonts w:ascii="Times New Roman" w:hAnsi="Times New Roman" w:cs="Times New Roman"/>
          <w:sz w:val="24"/>
          <w:szCs w:val="24"/>
        </w:rPr>
        <w:t xml:space="preserve">intégrant à l’échelle de l’agglomération, la planification urbaine, le logement, le transport et la mobilité, le foncier, les activités économiques, l’environnement, etc., à travers une vision commune et des dispositifs de programmation et de pilotage multi acteurs. </w:t>
      </w:r>
    </w:p>
    <w:p w14:paraId="5565FFC2"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eastAsia="Times New Roman" w:hAnsi="Times New Roman" w:cs="Times New Roman"/>
          <w:color w:val="000000"/>
          <w:sz w:val="24"/>
          <w:szCs w:val="24"/>
          <w:lang w:eastAsia="fr-FR"/>
        </w:rPr>
      </w:pPr>
    </w:p>
    <w:p w14:paraId="45118B1F" w14:textId="30A6A981"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r w:rsidRPr="00D14C96">
        <w:rPr>
          <w:rFonts w:ascii="Times New Roman" w:eastAsia="Times New Roman" w:hAnsi="Times New Roman" w:cs="Times New Roman"/>
          <w:b/>
          <w:color w:val="000000"/>
          <w:sz w:val="24"/>
          <w:szCs w:val="24"/>
          <w:lang w:eastAsia="fr-FR"/>
        </w:rPr>
        <w:t xml:space="preserve">Le </w:t>
      </w:r>
      <w:r w:rsidRPr="00D14C96">
        <w:rPr>
          <w:rFonts w:ascii="Times New Roman" w:hAnsi="Times New Roman" w:cs="Times New Roman"/>
          <w:b/>
          <w:sz w:val="24"/>
          <w:szCs w:val="24"/>
        </w:rPr>
        <w:t>ministère MATUHPV est au premier plan concerné par cette proposition.</w:t>
      </w:r>
      <w:r w:rsidRPr="00D14C96">
        <w:rPr>
          <w:rFonts w:ascii="Times New Roman" w:hAnsi="Times New Roman" w:cs="Times New Roman"/>
          <w:sz w:val="24"/>
          <w:szCs w:val="24"/>
        </w:rPr>
        <w:t xml:space="preserve"> Ses compétences élargies (aménagement du territoire, urbanisme, habitat, politique de la Ville) sont l’opportunité d’un élargissement du cadre de traitement des problèmes et d’une meilleure articulation entre les différents niveaux d’intervention. Il a ainsi toute la légitimé pour renouveler en partenariat avec le département de l’Intérieur (DGCL) les approches de planification intégrée telle que les Plans locaux d’habitat et de développement urbain (PLHDU) ou les «Plans Stratégiques de Développement urbain» envisagés par la SNDU. </w:t>
      </w:r>
    </w:p>
    <w:p w14:paraId="4D12EF57"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p>
    <w:p w14:paraId="6A74B698" w14:textId="2079D3FC"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r w:rsidRPr="00D14C96">
        <w:rPr>
          <w:rFonts w:ascii="Times New Roman" w:hAnsi="Times New Roman" w:cs="Times New Roman"/>
          <w:b/>
          <w:sz w:val="24"/>
          <w:szCs w:val="24"/>
        </w:rPr>
        <w:t xml:space="preserve">Une ou deux villes pourraient être pilotes pour expérimenter des démarches de développement stratégique local </w:t>
      </w:r>
      <w:r w:rsidRPr="00D14C96">
        <w:rPr>
          <w:rFonts w:ascii="Times New Roman" w:hAnsi="Times New Roman" w:cs="Times New Roman"/>
          <w:sz w:val="24"/>
          <w:szCs w:val="24"/>
        </w:rPr>
        <w:t>en mettant en place des dispositifs d’impulsion</w:t>
      </w:r>
      <w:r w:rsidR="009C53D1">
        <w:rPr>
          <w:rFonts w:ascii="Times New Roman" w:hAnsi="Times New Roman" w:cs="Times New Roman"/>
          <w:sz w:val="24"/>
          <w:szCs w:val="24"/>
        </w:rPr>
        <w:t>,</w:t>
      </w:r>
      <w:r w:rsidRPr="00D14C96">
        <w:rPr>
          <w:rFonts w:ascii="Times New Roman" w:hAnsi="Times New Roman" w:cs="Times New Roman"/>
          <w:sz w:val="24"/>
          <w:szCs w:val="24"/>
        </w:rPr>
        <w:t xml:space="preserve"> de concertation</w:t>
      </w:r>
      <w:r w:rsidR="009C53D1">
        <w:rPr>
          <w:rFonts w:ascii="Times New Roman" w:hAnsi="Times New Roman" w:cs="Times New Roman"/>
          <w:sz w:val="24"/>
          <w:szCs w:val="24"/>
        </w:rPr>
        <w:t>, et de</w:t>
      </w:r>
      <w:r w:rsidRPr="00D14C96">
        <w:rPr>
          <w:rFonts w:ascii="Times New Roman" w:hAnsi="Times New Roman" w:cs="Times New Roman"/>
          <w:sz w:val="24"/>
          <w:szCs w:val="24"/>
        </w:rPr>
        <w:t xml:space="preserve"> coordination </w:t>
      </w:r>
      <w:bookmarkStart w:id="126" w:name="_GoBack"/>
      <w:bookmarkEnd w:id="126"/>
      <w:r w:rsidRPr="00D14C96">
        <w:rPr>
          <w:rFonts w:ascii="Times New Roman" w:hAnsi="Times New Roman" w:cs="Times New Roman"/>
          <w:sz w:val="24"/>
          <w:szCs w:val="24"/>
        </w:rPr>
        <w:t>des actions (acteurs sectoriels déconcentrés, collectivités territoriales, etc.).</w:t>
      </w:r>
    </w:p>
    <w:p w14:paraId="1A8DC4D4" w14:textId="77777777" w:rsidR="001E0FA9" w:rsidRPr="00D14C96" w:rsidRDefault="001E0FA9" w:rsidP="000050E0">
      <w:pPr>
        <w:widowControl w:val="0"/>
        <w:shd w:val="clear" w:color="auto" w:fill="FFFFFF"/>
        <w:spacing w:after="0" w:line="240" w:lineRule="auto"/>
        <w:jc w:val="both"/>
        <w:rPr>
          <w:rFonts w:ascii="Times New Roman" w:hAnsi="Times New Roman" w:cs="Times New Roman"/>
          <w:sz w:val="24"/>
          <w:szCs w:val="24"/>
        </w:rPr>
      </w:pPr>
    </w:p>
    <w:p w14:paraId="4BC4CA2A" w14:textId="77777777" w:rsidR="001E0FA9" w:rsidRPr="00D14C96" w:rsidRDefault="001E0FA9" w:rsidP="000050E0">
      <w:pPr>
        <w:pStyle w:val="Heading3"/>
        <w:rPr>
          <w:rFonts w:ascii="Times New Roman" w:eastAsia="Times New Roman" w:hAnsi="Times New Roman" w:cs="Times New Roman"/>
          <w:b/>
          <w:color w:val="000000"/>
          <w:lang w:eastAsia="fr-FR"/>
        </w:rPr>
      </w:pPr>
      <w:bookmarkStart w:id="127" w:name="_Toc515875127"/>
      <w:r w:rsidRPr="00D14C96">
        <w:rPr>
          <w:rFonts w:ascii="Times New Roman" w:eastAsia="Times New Roman" w:hAnsi="Times New Roman" w:cs="Times New Roman"/>
          <w:b/>
          <w:color w:val="000000"/>
          <w:u w:val="single"/>
          <w:lang w:eastAsia="fr-FR"/>
        </w:rPr>
        <w:lastRenderedPageBreak/>
        <w:t xml:space="preserve">Proposition #5 </w:t>
      </w:r>
      <w:r w:rsidRPr="00D14C96">
        <w:rPr>
          <w:rFonts w:ascii="Times New Roman" w:eastAsia="Times New Roman" w:hAnsi="Times New Roman" w:cs="Times New Roman"/>
          <w:b/>
          <w:color w:val="000000"/>
          <w:lang w:eastAsia="fr-FR"/>
        </w:rPr>
        <w:t>: Renforcer les capacités d’aménagement opérationnel et foncier au niveau local</w:t>
      </w:r>
      <w:bookmarkEnd w:id="127"/>
      <w:r w:rsidRPr="00D14C96">
        <w:rPr>
          <w:rFonts w:ascii="Times New Roman" w:eastAsia="Times New Roman" w:hAnsi="Times New Roman" w:cs="Times New Roman"/>
          <w:b/>
          <w:color w:val="000000"/>
          <w:lang w:eastAsia="fr-FR"/>
        </w:rPr>
        <w:t xml:space="preserve"> </w:t>
      </w:r>
    </w:p>
    <w:p w14:paraId="578C7C3B" w14:textId="77777777" w:rsidR="001E0FA9" w:rsidRPr="00D14C96" w:rsidRDefault="001E0FA9" w:rsidP="000050E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lang w:eastAsia="fr-FR"/>
        </w:rPr>
      </w:pPr>
    </w:p>
    <w:p w14:paraId="4386CE82" w14:textId="5EF7C5AA" w:rsidR="001E0FA9" w:rsidRPr="00D14C96" w:rsidRDefault="001E0FA9" w:rsidP="00B4544E">
      <w:pPr>
        <w:pStyle w:val="Numberedparagraph"/>
        <w:ind w:left="0" w:firstLine="0"/>
        <w:rPr>
          <w:rFonts w:ascii="Times New Roman" w:eastAsia="Times New Roman" w:hAnsi="Times New Roman" w:cs="Times New Roman"/>
          <w:color w:val="000000"/>
          <w:lang w:eastAsia="fr-FR"/>
        </w:rPr>
      </w:pPr>
      <w:r w:rsidRPr="00D14C96">
        <w:rPr>
          <w:rFonts w:ascii="Times New Roman" w:eastAsia="Times New Roman" w:hAnsi="Times New Roman" w:cs="Times New Roman"/>
          <w:b/>
          <w:color w:val="000000"/>
          <w:lang w:eastAsia="fr-FR"/>
        </w:rPr>
        <w:t>Les besoins d’extension en zone périurbaine comme ceux du renouvellement exigent une panoplie d’outils pré opérationnels et opérationnels,</w:t>
      </w:r>
      <w:r w:rsidRPr="00D14C96">
        <w:rPr>
          <w:rFonts w:ascii="Times New Roman" w:eastAsia="Times New Roman" w:hAnsi="Times New Roman" w:cs="Times New Roman"/>
          <w:color w:val="000000"/>
          <w:lang w:eastAsia="fr-FR"/>
        </w:rPr>
        <w:t xml:space="preserve"> pour assurer une maîtrise foncière (ou la facilitation de sa mise à disposition) et une mise en œuvre des projets par les acteurs publics concernés pour atteindre les objectifs fixés par les documents d’urbanisme. Il faut pour cela pouvoir intervenir de façon cohérente sur toute la chaine de production. </w:t>
      </w:r>
    </w:p>
    <w:p w14:paraId="25AD1A5C" w14:textId="77777777" w:rsidR="001E0FA9" w:rsidRPr="00D14C96" w:rsidRDefault="001E0FA9" w:rsidP="000050E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7CD8F9AF" w14:textId="77777777" w:rsidR="001E0FA9" w:rsidRPr="00D14C96" w:rsidRDefault="001E0FA9" w:rsidP="006E68F4">
      <w:pPr>
        <w:widowControl w:val="0"/>
        <w:shd w:val="clear" w:color="auto" w:fill="BFBFBF" w:themeFill="background1" w:themeFillShade="BF"/>
        <w:spacing w:after="120" w:line="240" w:lineRule="auto"/>
        <w:jc w:val="both"/>
        <w:rPr>
          <w:rFonts w:ascii="Times New Roman" w:hAnsi="Times New Roman" w:cs="Times New Roman"/>
          <w:b/>
          <w:color w:val="2E74B5" w:themeColor="accent1" w:themeShade="BF"/>
          <w:sz w:val="24"/>
          <w:szCs w:val="24"/>
          <w:u w:val="single"/>
        </w:rPr>
      </w:pPr>
      <w:r w:rsidRPr="00D14C96">
        <w:rPr>
          <w:rFonts w:ascii="Times New Roman" w:hAnsi="Times New Roman" w:cs="Times New Roman"/>
          <w:b/>
          <w:color w:val="2E74B5" w:themeColor="accent1" w:themeShade="BF"/>
          <w:sz w:val="24"/>
          <w:szCs w:val="24"/>
          <w:u w:val="single"/>
        </w:rPr>
        <w:t>Quelles pistes ?</w:t>
      </w:r>
    </w:p>
    <w:p w14:paraId="47BD7DDD"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b/>
          <w:color w:val="000000"/>
          <w:sz w:val="24"/>
          <w:szCs w:val="24"/>
          <w:lang w:eastAsia="fr-FR"/>
        </w:rPr>
        <w:t>Il s’agit d’accompagner et mieux armer les acteurs publics locaux</w:t>
      </w:r>
      <w:r w:rsidRPr="00D14C96">
        <w:rPr>
          <w:rFonts w:ascii="Times New Roman" w:eastAsia="Times New Roman" w:hAnsi="Times New Roman" w:cs="Times New Roman"/>
          <w:color w:val="000000"/>
          <w:sz w:val="24"/>
          <w:szCs w:val="24"/>
          <w:lang w:eastAsia="fr-FR"/>
        </w:rPr>
        <w:t>. Ceci suppose de renforcer la capacité d’initiative publique locale et de maîtrise d’ouvrage et d’aménagement opérationnel pour pouvoir mobiliser en quantité suffisante et là où le prévoient les documents d’urbanisme et les terrains constructibles. Ceci est d’autant plus essentiel que la loi 113 14 a chargé les communes de</w:t>
      </w:r>
      <w:r w:rsidRPr="00D14C96">
        <w:rPr>
          <w:rFonts w:ascii="Times New Roman" w:eastAsia="Times New Roman" w:hAnsi="Times New Roman" w:cs="Times New Roman"/>
          <w:i/>
          <w:color w:val="000000"/>
          <w:sz w:val="24"/>
          <w:szCs w:val="24"/>
          <w:lang w:eastAsia="fr-FR"/>
        </w:rPr>
        <w:t xml:space="preserve"> </w:t>
      </w:r>
      <w:r w:rsidRPr="00D14C96">
        <w:rPr>
          <w:rFonts w:ascii="Times New Roman" w:eastAsia="Times New Roman" w:hAnsi="Times New Roman" w:cs="Times New Roman"/>
          <w:color w:val="000000"/>
          <w:sz w:val="24"/>
          <w:szCs w:val="24"/>
          <w:lang w:eastAsia="fr-FR"/>
        </w:rPr>
        <w:t xml:space="preserve">‘‘l’exécution des dispositions du Plan d’aménagement’’ et de ‘‘l’ouverture de nouvelles zones à l’urbanisation’’. </w:t>
      </w:r>
    </w:p>
    <w:p w14:paraId="4B927308"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eastAsia="Times New Roman" w:hAnsi="Times New Roman" w:cs="Times New Roman"/>
          <w:color w:val="000000"/>
          <w:sz w:val="24"/>
          <w:szCs w:val="24"/>
          <w:lang w:eastAsia="fr-FR"/>
        </w:rPr>
      </w:pPr>
    </w:p>
    <w:p w14:paraId="4C53DB63"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eastAsia="Times New Roman" w:hAnsi="Times New Roman" w:cs="Times New Roman"/>
          <w:b/>
          <w:color w:val="000000"/>
          <w:sz w:val="24"/>
          <w:szCs w:val="24"/>
          <w:lang w:eastAsia="fr-FR"/>
        </w:rPr>
      </w:pPr>
      <w:r w:rsidRPr="00D14C96">
        <w:rPr>
          <w:rFonts w:ascii="Times New Roman" w:eastAsia="Times New Roman" w:hAnsi="Times New Roman" w:cs="Times New Roman"/>
          <w:b/>
          <w:color w:val="000000"/>
          <w:sz w:val="24"/>
          <w:szCs w:val="24"/>
          <w:lang w:eastAsia="fr-FR"/>
        </w:rPr>
        <w:t xml:space="preserve">Trois pistes devraient être explorées pour y parvenir : </w:t>
      </w:r>
    </w:p>
    <w:p w14:paraId="48144ADE" w14:textId="77777777" w:rsidR="001E0FA9" w:rsidRPr="00D14C96" w:rsidRDefault="001E0FA9" w:rsidP="000050E0">
      <w:pPr>
        <w:widowControl w:val="0"/>
        <w:shd w:val="clear" w:color="auto" w:fill="BFBFBF" w:themeFill="background1" w:themeFillShade="BF"/>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4D8901B0" w14:textId="77777777" w:rsidR="001E0FA9" w:rsidRPr="00D14C96" w:rsidRDefault="001E0FA9" w:rsidP="009C2620">
      <w:pPr>
        <w:pStyle w:val="ListParagraph"/>
        <w:widowControl w:val="0"/>
        <w:numPr>
          <w:ilvl w:val="0"/>
          <w:numId w:val="6"/>
        </w:numPr>
        <w:shd w:val="clear" w:color="auto" w:fill="BFBFBF" w:themeFill="background1" w:themeFillShade="BF"/>
        <w:spacing w:after="0" w:line="240" w:lineRule="auto"/>
        <w:ind w:left="360"/>
        <w:rPr>
          <w:rFonts w:ascii="Times New Roman" w:eastAsia="Times New Roman" w:hAnsi="Times New Roman" w:cs="Times New Roman"/>
          <w:b/>
          <w:color w:val="000000"/>
          <w:sz w:val="24"/>
          <w:szCs w:val="24"/>
          <w:lang w:eastAsia="fr-FR"/>
        </w:rPr>
      </w:pPr>
      <w:r w:rsidRPr="00D14C96">
        <w:rPr>
          <w:rFonts w:ascii="Times New Roman" w:eastAsia="Times New Roman" w:hAnsi="Times New Roman" w:cs="Times New Roman"/>
          <w:b/>
          <w:color w:val="000000"/>
          <w:sz w:val="24"/>
          <w:szCs w:val="24"/>
          <w:lang w:eastAsia="fr-FR"/>
        </w:rPr>
        <w:t>Le renforcement de l’ingénierie foncière et l'organisation d'opérateurs dédiés au niveau régional ou local </w:t>
      </w:r>
    </w:p>
    <w:p w14:paraId="1C128B04" w14:textId="77777777" w:rsidR="001E0FA9" w:rsidRPr="00D14C96" w:rsidRDefault="001E0FA9" w:rsidP="000050E0">
      <w:pPr>
        <w:widowControl w:val="0"/>
        <w:shd w:val="clear" w:color="auto" w:fill="BFBFBF" w:themeFill="background1" w:themeFillShade="BF"/>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0E6BD646" w14:textId="77777777" w:rsidR="001E0FA9" w:rsidRPr="00D14C96" w:rsidRDefault="001E0FA9" w:rsidP="000050E0">
      <w:pPr>
        <w:widowControl w:val="0"/>
        <w:shd w:val="clear" w:color="auto" w:fill="BFBFBF" w:themeFill="background1" w:themeFillShade="BF"/>
        <w:autoSpaceDE w:val="0"/>
        <w:autoSpaceDN w:val="0"/>
        <w:adjustRightInd w:val="0"/>
        <w:spacing w:after="0" w:line="240" w:lineRule="auto"/>
        <w:jc w:val="both"/>
        <w:rPr>
          <w:rFonts w:ascii="Times New Roman" w:hAnsi="Times New Roman" w:cs="Times New Roman"/>
          <w:i/>
          <w:color w:val="222222"/>
          <w:sz w:val="24"/>
          <w:szCs w:val="24"/>
          <w:shd w:val="clear" w:color="auto" w:fill="FFFFFF"/>
        </w:rPr>
      </w:pPr>
      <w:r w:rsidRPr="00D14C96">
        <w:rPr>
          <w:rFonts w:ascii="Times New Roman" w:eastAsia="Times New Roman" w:hAnsi="Times New Roman" w:cs="Times New Roman"/>
          <w:i/>
          <w:color w:val="000000"/>
          <w:sz w:val="24"/>
          <w:szCs w:val="24"/>
          <w:lang w:eastAsia="fr-FR"/>
        </w:rPr>
        <w:t xml:space="preserve">Une bonne maitrise du développement urbain passe en premier lieu par une bonne connaissance du foncier, des capacités d’expertise technique et </w:t>
      </w:r>
      <w:r w:rsidRPr="00D14C96">
        <w:rPr>
          <w:rFonts w:ascii="Times New Roman" w:hAnsi="Times New Roman" w:cs="Times New Roman"/>
          <w:i/>
          <w:sz w:val="24"/>
          <w:szCs w:val="24"/>
        </w:rPr>
        <w:t>juridique, de négociation et de portage. Ces aspects justifient de pouvoir disposer d’instruments et de moyens permettant de mener une action foncière locale préalablement à l’aménagement urbain ou immobilier.</w:t>
      </w:r>
    </w:p>
    <w:p w14:paraId="5A07E949" w14:textId="77777777" w:rsidR="001E0FA9" w:rsidRPr="00D14C96" w:rsidRDefault="001E0FA9" w:rsidP="000050E0">
      <w:pPr>
        <w:widowControl w:val="0"/>
        <w:shd w:val="clear" w:color="auto" w:fill="BFBFBF" w:themeFill="background1" w:themeFillShade="BF"/>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lang w:eastAsia="fr-FR"/>
        </w:rPr>
      </w:pPr>
    </w:p>
    <w:p w14:paraId="7C8D75A6" w14:textId="6E986EA1" w:rsidR="001E0FA9" w:rsidRPr="00D14C96" w:rsidRDefault="001E0FA9" w:rsidP="000050E0">
      <w:pPr>
        <w:widowControl w:val="0"/>
        <w:shd w:val="clear" w:color="auto" w:fill="BFBFBF" w:themeFill="background1" w:themeFillShade="BF"/>
        <w:autoSpaceDE w:val="0"/>
        <w:autoSpaceDN w:val="0"/>
        <w:adjustRightInd w:val="0"/>
        <w:spacing w:after="0" w:line="240" w:lineRule="auto"/>
        <w:jc w:val="both"/>
        <w:rPr>
          <w:rFonts w:ascii="Times New Roman" w:hAnsi="Times New Roman" w:cs="Times New Roman"/>
          <w:sz w:val="24"/>
          <w:szCs w:val="24"/>
        </w:rPr>
      </w:pPr>
      <w:r w:rsidRPr="00D14C96">
        <w:rPr>
          <w:rFonts w:ascii="Times New Roman" w:hAnsi="Times New Roman" w:cs="Times New Roman"/>
          <w:b/>
          <w:sz w:val="24"/>
          <w:szCs w:val="24"/>
        </w:rPr>
        <w:t>Une des voies à explorer pour cela serait d’encourager les grandes villes à se doter d’outils fonciers propres</w:t>
      </w:r>
      <w:r w:rsidRPr="00D14C96">
        <w:rPr>
          <w:rFonts w:ascii="Times New Roman" w:hAnsi="Times New Roman" w:cs="Times New Roman"/>
          <w:sz w:val="24"/>
          <w:szCs w:val="24"/>
        </w:rPr>
        <w:t xml:space="preserve"> (agence foncière, établissement public foncier, SDL, voire éventuellement via des partenariats avec l’administration des Domaines qui a développé des capacités et des savoir-faire) disposant de la personnalité morale, de l’autonomie budgétaire et financière, du droit d’expropriation pour cause d’utilité publique. </w:t>
      </w:r>
    </w:p>
    <w:p w14:paraId="59E7633B" w14:textId="77777777" w:rsidR="001E0FA9" w:rsidRPr="00D14C96" w:rsidRDefault="001E0FA9" w:rsidP="000050E0">
      <w:pPr>
        <w:widowControl w:val="0"/>
        <w:shd w:val="clear" w:color="auto" w:fill="BFBFBF" w:themeFill="background1" w:themeFillShade="BF"/>
        <w:autoSpaceDE w:val="0"/>
        <w:autoSpaceDN w:val="0"/>
        <w:adjustRightInd w:val="0"/>
        <w:spacing w:after="0" w:line="240" w:lineRule="auto"/>
        <w:jc w:val="both"/>
        <w:rPr>
          <w:rFonts w:ascii="Times New Roman" w:hAnsi="Times New Roman" w:cs="Times New Roman"/>
          <w:sz w:val="24"/>
          <w:szCs w:val="24"/>
        </w:rPr>
      </w:pPr>
    </w:p>
    <w:p w14:paraId="1CD6A714" w14:textId="27CBBB3A" w:rsidR="001E0FA9" w:rsidRPr="00D14C96" w:rsidRDefault="006165F2" w:rsidP="00CB0762">
      <w:pPr>
        <w:widowControl w:val="0"/>
        <w:shd w:val="clear" w:color="auto" w:fill="BFBFBF" w:themeFill="background1" w:themeFillShade="BF"/>
        <w:autoSpaceDE w:val="0"/>
        <w:autoSpaceDN w:val="0"/>
        <w:adjustRightInd w:val="0"/>
        <w:spacing w:after="120" w:line="24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sz w:val="24"/>
          <w:szCs w:val="24"/>
        </w:rPr>
        <w:t>Organisés à l’échelle des villes et intercommunalités et/ou à l’échelle des régions, c</w:t>
      </w:r>
      <w:r w:rsidR="001E0FA9" w:rsidRPr="00D14C96">
        <w:rPr>
          <w:rFonts w:ascii="Times New Roman" w:hAnsi="Times New Roman" w:cs="Times New Roman"/>
          <w:b/>
          <w:sz w:val="24"/>
          <w:szCs w:val="24"/>
        </w:rPr>
        <w:t xml:space="preserve">es opérateurs </w:t>
      </w:r>
      <w:r w:rsidR="002828F8">
        <w:rPr>
          <w:rFonts w:ascii="Times New Roman" w:hAnsi="Times New Roman" w:cs="Times New Roman"/>
          <w:b/>
          <w:sz w:val="24"/>
          <w:szCs w:val="24"/>
        </w:rPr>
        <w:t xml:space="preserve">fonciers </w:t>
      </w:r>
      <w:r w:rsidR="001E0FA9" w:rsidRPr="00D14C96">
        <w:rPr>
          <w:rFonts w:ascii="Times New Roman" w:hAnsi="Times New Roman" w:cs="Times New Roman"/>
          <w:b/>
          <w:sz w:val="24"/>
          <w:szCs w:val="24"/>
        </w:rPr>
        <w:t xml:space="preserve">auraient pour mission : </w:t>
      </w:r>
    </w:p>
    <w:p w14:paraId="71D4592B" w14:textId="77777777" w:rsidR="001E0FA9" w:rsidRPr="00D14C96" w:rsidRDefault="001E0FA9" w:rsidP="006E68F4">
      <w:pPr>
        <w:pStyle w:val="ListParagraph"/>
        <w:widowControl w:val="0"/>
        <w:numPr>
          <w:ilvl w:val="0"/>
          <w:numId w:val="9"/>
        </w:numPr>
        <w:shd w:val="clear" w:color="auto" w:fill="BFBFBF" w:themeFill="background1" w:themeFillShade="BF"/>
        <w:autoSpaceDE w:val="0"/>
        <w:autoSpaceDN w:val="0"/>
        <w:adjustRightInd w:val="0"/>
        <w:spacing w:after="0" w:line="240" w:lineRule="auto"/>
        <w:ind w:left="426" w:hanging="426"/>
        <w:contextualSpacing w:val="0"/>
        <w:jc w:val="both"/>
        <w:rPr>
          <w:rFonts w:ascii="Times New Roman" w:hAnsi="Times New Roman" w:cs="Times New Roman"/>
          <w:sz w:val="24"/>
          <w:szCs w:val="24"/>
        </w:rPr>
      </w:pPr>
      <w:r w:rsidRPr="00D14C96">
        <w:rPr>
          <w:rFonts w:ascii="Times New Roman" w:hAnsi="Times New Roman" w:cs="Times New Roman"/>
          <w:sz w:val="24"/>
          <w:szCs w:val="24"/>
        </w:rPr>
        <w:t>De réaliser des diagnostics fonciers, de mener et de négocier des procédures d’acquisitions foncières à l’amiable ou par voie d’expropriation en vue d’opérations d’aménagement ou de renouvèlement urbain pour le compte des collectivités territoriales et ou d’un organisme public ou d'un aménageur.</w:t>
      </w:r>
    </w:p>
    <w:p w14:paraId="7A6DBB95" w14:textId="77777777" w:rsidR="001E0FA9" w:rsidRPr="00D14C96" w:rsidRDefault="001E0FA9" w:rsidP="006E68F4">
      <w:pPr>
        <w:pStyle w:val="ListParagraph"/>
        <w:widowControl w:val="0"/>
        <w:numPr>
          <w:ilvl w:val="0"/>
          <w:numId w:val="9"/>
        </w:numPr>
        <w:shd w:val="clear" w:color="auto" w:fill="BFBFBF" w:themeFill="background1" w:themeFillShade="BF"/>
        <w:autoSpaceDE w:val="0"/>
        <w:autoSpaceDN w:val="0"/>
        <w:adjustRightInd w:val="0"/>
        <w:spacing w:after="0" w:line="240" w:lineRule="auto"/>
        <w:ind w:left="426" w:hanging="426"/>
        <w:contextualSpacing w:val="0"/>
        <w:jc w:val="both"/>
        <w:rPr>
          <w:rFonts w:ascii="Times New Roman" w:hAnsi="Times New Roman" w:cs="Times New Roman"/>
          <w:sz w:val="24"/>
          <w:szCs w:val="24"/>
        </w:rPr>
      </w:pPr>
      <w:r w:rsidRPr="00D14C96">
        <w:rPr>
          <w:rFonts w:ascii="Times New Roman" w:hAnsi="Times New Roman" w:cs="Times New Roman"/>
          <w:sz w:val="24"/>
          <w:szCs w:val="24"/>
        </w:rPr>
        <w:t>De constituer pendant une durée déterminée des réserves foncières en vue de les rétrocéder aux collectivités au moyen d’un éventuel droit de priorité</w:t>
      </w:r>
    </w:p>
    <w:p w14:paraId="5EC231CC" w14:textId="77777777" w:rsidR="001E0FA9" w:rsidRPr="00D14C96" w:rsidRDefault="001E0FA9" w:rsidP="006E68F4">
      <w:pPr>
        <w:pStyle w:val="ListParagraph"/>
        <w:widowControl w:val="0"/>
        <w:numPr>
          <w:ilvl w:val="0"/>
          <w:numId w:val="9"/>
        </w:numPr>
        <w:shd w:val="clear" w:color="auto" w:fill="BFBFBF" w:themeFill="background1" w:themeFillShade="BF"/>
        <w:autoSpaceDE w:val="0"/>
        <w:autoSpaceDN w:val="0"/>
        <w:adjustRightInd w:val="0"/>
        <w:spacing w:after="0" w:line="240" w:lineRule="auto"/>
        <w:ind w:left="426" w:hanging="426"/>
        <w:contextualSpacing w:val="0"/>
        <w:jc w:val="both"/>
        <w:rPr>
          <w:rFonts w:ascii="Times New Roman" w:hAnsi="Times New Roman" w:cs="Times New Roman"/>
          <w:sz w:val="24"/>
          <w:szCs w:val="24"/>
        </w:rPr>
      </w:pPr>
      <w:r w:rsidRPr="00D14C96">
        <w:rPr>
          <w:rFonts w:ascii="Times New Roman" w:hAnsi="Times New Roman" w:cs="Times New Roman"/>
          <w:sz w:val="24"/>
          <w:szCs w:val="24"/>
        </w:rPr>
        <w:t>D’inciter à la création et d’accompagner des syndicats de propriétaires fonciers urbains;</w:t>
      </w:r>
    </w:p>
    <w:p w14:paraId="5AFD43E3" w14:textId="77777777" w:rsidR="001E0FA9" w:rsidRPr="00D14C96" w:rsidRDefault="001E0FA9" w:rsidP="006E68F4">
      <w:pPr>
        <w:pStyle w:val="ListParagraph"/>
        <w:widowControl w:val="0"/>
        <w:numPr>
          <w:ilvl w:val="0"/>
          <w:numId w:val="9"/>
        </w:numPr>
        <w:shd w:val="clear" w:color="auto" w:fill="BFBFBF" w:themeFill="background1" w:themeFillShade="BF"/>
        <w:autoSpaceDE w:val="0"/>
        <w:autoSpaceDN w:val="0"/>
        <w:adjustRightInd w:val="0"/>
        <w:spacing w:after="0" w:line="240" w:lineRule="auto"/>
        <w:ind w:left="426" w:hanging="426"/>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D’engager en partenariat avec les agences urbaines des opérations de remembrement foncier urbain et d’intervenir en assistance à maîtrise d’ouvrage auprès des associations des propriétaires </w:t>
      </w:r>
    </w:p>
    <w:p w14:paraId="41224111"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p>
    <w:p w14:paraId="5A270EB4"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r w:rsidRPr="00D14C96">
        <w:rPr>
          <w:rFonts w:ascii="Times New Roman" w:hAnsi="Times New Roman" w:cs="Times New Roman"/>
          <w:b/>
          <w:sz w:val="24"/>
          <w:szCs w:val="24"/>
        </w:rPr>
        <w:t>Les questions à considérer pour cela sont </w:t>
      </w:r>
      <w:r w:rsidRPr="00D14C96">
        <w:rPr>
          <w:rFonts w:ascii="Times New Roman" w:hAnsi="Times New Roman" w:cs="Times New Roman"/>
          <w:sz w:val="24"/>
          <w:szCs w:val="24"/>
        </w:rPr>
        <w:t xml:space="preserve">: celles de la maîtrise d’ouvrage publique à la bonne échelle (échelle régionale versus communes et ECI, ce dernier étant sans doute </w:t>
      </w:r>
      <w:r w:rsidRPr="00D14C96">
        <w:rPr>
          <w:rFonts w:ascii="Times New Roman" w:hAnsi="Times New Roman" w:cs="Times New Roman"/>
          <w:sz w:val="24"/>
          <w:szCs w:val="24"/>
        </w:rPr>
        <w:lastRenderedPageBreak/>
        <w:t xml:space="preserve">l’échelon le plus opérationnel), du statut </w:t>
      </w:r>
      <w:r w:rsidRPr="00D14C96">
        <w:rPr>
          <w:rFonts w:ascii="Times New Roman" w:eastAsia="Times New Roman" w:hAnsi="Times New Roman" w:cs="Times New Roman"/>
          <w:color w:val="000000"/>
          <w:sz w:val="24"/>
          <w:szCs w:val="24"/>
          <w:lang w:eastAsia="fr-FR"/>
        </w:rPr>
        <w:t xml:space="preserve">(SDL, Régies, établissements publics ou opérateurs) </w:t>
      </w:r>
      <w:r w:rsidRPr="00D14C96">
        <w:rPr>
          <w:rFonts w:ascii="Times New Roman" w:hAnsi="Times New Roman" w:cs="Times New Roman"/>
          <w:sz w:val="24"/>
          <w:szCs w:val="24"/>
        </w:rPr>
        <w:t xml:space="preserve">et des missions (acquisition, remembrement, aménagement), des ressources financières, etc. en fonction des contextes et moyens locaux. </w:t>
      </w:r>
    </w:p>
    <w:p w14:paraId="276BEDF4" w14:textId="77777777" w:rsidR="001E0FA9" w:rsidRPr="00D14C96" w:rsidRDefault="001E0FA9" w:rsidP="000050E0">
      <w:pPr>
        <w:widowControl w:val="0"/>
        <w:shd w:val="clear" w:color="auto" w:fill="BFBFBF" w:themeFill="background1" w:themeFillShade="BF"/>
        <w:autoSpaceDE w:val="0"/>
        <w:autoSpaceDN w:val="0"/>
        <w:adjustRightInd w:val="0"/>
        <w:spacing w:after="0" w:line="240" w:lineRule="auto"/>
        <w:jc w:val="both"/>
        <w:rPr>
          <w:rFonts w:ascii="Times New Roman" w:hAnsi="Times New Roman" w:cs="Times New Roman"/>
          <w:i/>
          <w:sz w:val="24"/>
          <w:szCs w:val="24"/>
        </w:rPr>
      </w:pPr>
    </w:p>
    <w:p w14:paraId="729465F5" w14:textId="77777777" w:rsidR="001E0FA9" w:rsidRPr="00D14C96" w:rsidRDefault="001E0FA9" w:rsidP="009C2620">
      <w:pPr>
        <w:pStyle w:val="ListParagraph"/>
        <w:widowControl w:val="0"/>
        <w:numPr>
          <w:ilvl w:val="0"/>
          <w:numId w:val="6"/>
        </w:numPr>
        <w:shd w:val="clear" w:color="auto" w:fill="BFBFBF" w:themeFill="background1" w:themeFillShade="BF"/>
        <w:spacing w:after="0" w:line="240" w:lineRule="auto"/>
        <w:ind w:left="360"/>
        <w:rPr>
          <w:rFonts w:ascii="Times New Roman" w:eastAsia="Times New Roman" w:hAnsi="Times New Roman" w:cs="Times New Roman"/>
          <w:b/>
          <w:color w:val="000000"/>
          <w:sz w:val="24"/>
          <w:szCs w:val="24"/>
          <w:lang w:eastAsia="fr-FR"/>
        </w:rPr>
      </w:pPr>
      <w:r w:rsidRPr="00D14C96">
        <w:rPr>
          <w:rFonts w:ascii="Times New Roman" w:eastAsia="Times New Roman" w:hAnsi="Times New Roman" w:cs="Times New Roman"/>
          <w:b/>
          <w:color w:val="000000"/>
          <w:sz w:val="24"/>
          <w:szCs w:val="24"/>
          <w:lang w:eastAsia="fr-FR"/>
        </w:rPr>
        <w:t xml:space="preserve">L’opérationnalisation des zones à urbaniser </w:t>
      </w:r>
    </w:p>
    <w:p w14:paraId="42184A4F" w14:textId="77777777" w:rsidR="001E0FA9" w:rsidRPr="00D14C96" w:rsidRDefault="001E0FA9" w:rsidP="000050E0">
      <w:pPr>
        <w:widowControl w:val="0"/>
        <w:shd w:val="clear" w:color="auto" w:fill="BFBFBF" w:themeFill="background1" w:themeFillShade="BF"/>
        <w:spacing w:after="0" w:line="240" w:lineRule="auto"/>
        <w:rPr>
          <w:rFonts w:ascii="Times New Roman" w:eastAsia="Times New Roman" w:hAnsi="Times New Roman" w:cs="Times New Roman"/>
          <w:b/>
          <w:color w:val="000000"/>
          <w:sz w:val="24"/>
          <w:szCs w:val="24"/>
          <w:lang w:eastAsia="fr-FR"/>
        </w:rPr>
      </w:pPr>
    </w:p>
    <w:p w14:paraId="38E79E87"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i/>
          <w:sz w:val="24"/>
          <w:szCs w:val="24"/>
        </w:rPr>
      </w:pPr>
      <w:r w:rsidRPr="00D14C96">
        <w:rPr>
          <w:rFonts w:ascii="Times New Roman" w:hAnsi="Times New Roman" w:cs="Times New Roman"/>
          <w:i/>
          <w:sz w:val="24"/>
          <w:szCs w:val="24"/>
        </w:rPr>
        <w:t>De nombreuses zones d’urbanisation future (ou de zones d’urbanisation nouvelle - ZUN) sont prévues dans les documents d’urbanisme en vue de répondre aux besoins d’extension et de développement résidentiel, économique, etc., des villes</w:t>
      </w:r>
      <w:r w:rsidRPr="00D14C96">
        <w:rPr>
          <w:rStyle w:val="FootnoteReference"/>
          <w:rFonts w:ascii="Times New Roman" w:hAnsi="Times New Roman" w:cs="Times New Roman"/>
          <w:i/>
          <w:sz w:val="24"/>
          <w:szCs w:val="24"/>
        </w:rPr>
        <w:footnoteReference w:id="31"/>
      </w:r>
      <w:r w:rsidRPr="00D14C96">
        <w:rPr>
          <w:rFonts w:ascii="Times New Roman" w:hAnsi="Times New Roman" w:cs="Times New Roman"/>
          <w:i/>
          <w:sz w:val="24"/>
          <w:szCs w:val="24"/>
        </w:rPr>
        <w:t>. L’opérationnalisation des ZUN apparait cependant très en deçà des attentes et des besoins et celles-ci restent largement sous-développées alors que s’urbanisent en parallèle (et souvent en dérogation) des secteurs en dehors des plans d’aménagement. Cette dispersion de l’urbanisation entraine un gel des zones couvertes par les documents d’urbanisme, un dérèglement du marché foncier ainsi que des coûts indirects importants.</w:t>
      </w:r>
    </w:p>
    <w:p w14:paraId="28B9751D" w14:textId="77777777" w:rsidR="001E0FA9" w:rsidRPr="00D14C96" w:rsidRDefault="001E0FA9" w:rsidP="000050E0">
      <w:pPr>
        <w:widowControl w:val="0"/>
        <w:shd w:val="clear" w:color="auto" w:fill="BFBFBF" w:themeFill="background1" w:themeFillShade="BF"/>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6C1F1266" w14:textId="665C5809" w:rsidR="001E0FA9" w:rsidRPr="00D14C96" w:rsidRDefault="001E0FA9" w:rsidP="007302F7">
      <w:pPr>
        <w:widowControl w:val="0"/>
        <w:shd w:val="clear" w:color="auto" w:fill="BFBFBF" w:themeFill="background1" w:themeFillShade="BF"/>
        <w:spacing w:after="0" w:line="240" w:lineRule="auto"/>
        <w:jc w:val="both"/>
        <w:rPr>
          <w:rFonts w:ascii="Times New Roman" w:hAnsi="Times New Roman" w:cs="Times New Roman"/>
          <w:sz w:val="24"/>
          <w:szCs w:val="24"/>
        </w:rPr>
      </w:pPr>
      <w:r w:rsidRPr="00D14C96">
        <w:rPr>
          <w:rFonts w:ascii="Times New Roman" w:hAnsi="Times New Roman" w:cs="Times New Roman"/>
          <w:b/>
          <w:sz w:val="24"/>
          <w:szCs w:val="24"/>
        </w:rPr>
        <w:t xml:space="preserve">Une plus grande maitrise de l’extension urbaine des villes et l’optimisation des ressources requièrent des mesures pour une mise en œuvre cohérente des Plans d’aménagement. </w:t>
      </w:r>
      <w:r w:rsidRPr="00D14C96">
        <w:rPr>
          <w:rFonts w:ascii="Times New Roman" w:hAnsi="Times New Roman" w:cs="Times New Roman"/>
          <w:sz w:val="24"/>
          <w:szCs w:val="24"/>
        </w:rPr>
        <w:t>Les propositions concrètes qui pourraient être avancées pour cela sont :</w:t>
      </w:r>
    </w:p>
    <w:p w14:paraId="7F11C7CA" w14:textId="77777777" w:rsidR="001E0FA9" w:rsidRPr="00D14C96" w:rsidRDefault="001E0FA9" w:rsidP="006E68F4">
      <w:pPr>
        <w:pStyle w:val="ListParagraph"/>
        <w:widowControl w:val="0"/>
        <w:numPr>
          <w:ilvl w:val="0"/>
          <w:numId w:val="10"/>
        </w:numPr>
        <w:shd w:val="clear" w:color="auto" w:fill="BFBFBF" w:themeFill="background1" w:themeFillShade="BF"/>
        <w:spacing w:after="60" w:line="240" w:lineRule="auto"/>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De prévoir dans les PA des </w:t>
      </w:r>
      <w:r w:rsidRPr="00D14C96">
        <w:rPr>
          <w:rFonts w:ascii="Times New Roman" w:hAnsi="Times New Roman" w:cs="Times New Roman"/>
          <w:b/>
          <w:sz w:val="24"/>
          <w:szCs w:val="24"/>
        </w:rPr>
        <w:t>zones d’urbanisation future «à règlement alternatif »</w:t>
      </w:r>
      <w:r w:rsidRPr="00D14C96">
        <w:rPr>
          <w:rFonts w:ascii="Times New Roman" w:hAnsi="Times New Roman" w:cs="Times New Roman"/>
          <w:sz w:val="24"/>
          <w:szCs w:val="24"/>
        </w:rPr>
        <w:t xml:space="preserve"> destinées à la réalisation d’opérations d’ensemble cohérentes sur la base d’une programmation et d’un mécanisme de financement négocié des équipements publics par les aménageurs / promoteurs. Il s’agit en cela de faire évoluer les anciennes zones RS aujourd’hui peu utilisées en les assortissant de mesures incitatives (modalités adaptées d’autorisation du projet ou de modification du PA via un partenariat d’aménagement public/privé, possibilité d’accès à des programmes d’immatriculation groupée, fiscalité favorable</w:t>
      </w:r>
      <w:r w:rsidRPr="00D14C96">
        <w:rPr>
          <w:rFonts w:ascii="Times New Roman" w:eastAsia="Times New Roman" w:hAnsi="Times New Roman" w:cs="Times New Roman"/>
          <w:color w:val="000000"/>
          <w:sz w:val="24"/>
          <w:szCs w:val="24"/>
          <w:lang w:eastAsia="fr-FR"/>
        </w:rPr>
        <w:t>)</w:t>
      </w:r>
      <w:r w:rsidRPr="00D14C96">
        <w:rPr>
          <w:rFonts w:ascii="Times New Roman" w:hAnsi="Times New Roman" w:cs="Times New Roman"/>
          <w:sz w:val="24"/>
          <w:szCs w:val="24"/>
        </w:rPr>
        <w:t xml:space="preserve"> et/ou coercitives (recours possible à la DUP</w:t>
      </w:r>
      <w:r w:rsidRPr="00D14C96">
        <w:rPr>
          <w:rStyle w:val="FootnoteReference"/>
          <w:rFonts w:ascii="Times New Roman" w:hAnsi="Times New Roman" w:cs="Times New Roman"/>
          <w:sz w:val="24"/>
          <w:szCs w:val="24"/>
        </w:rPr>
        <w:footnoteReference w:id="32"/>
      </w:r>
      <w:r w:rsidRPr="00D14C96">
        <w:rPr>
          <w:rFonts w:ascii="Times New Roman" w:hAnsi="Times New Roman" w:cs="Times New Roman"/>
          <w:sz w:val="24"/>
          <w:szCs w:val="24"/>
        </w:rPr>
        <w:t>, surveillance foncière, voire possibilité de recours à un droit de préemption simplifié sur les mutations foncières)</w:t>
      </w:r>
      <w:r w:rsidRPr="00D14C96">
        <w:rPr>
          <w:rStyle w:val="FootnoteReference"/>
          <w:rFonts w:ascii="Times New Roman" w:hAnsi="Times New Roman" w:cs="Times New Roman"/>
          <w:sz w:val="24"/>
          <w:szCs w:val="24"/>
        </w:rPr>
        <w:footnoteReference w:id="33"/>
      </w:r>
      <w:r w:rsidRPr="00D14C96">
        <w:rPr>
          <w:rFonts w:ascii="Times New Roman" w:hAnsi="Times New Roman" w:cs="Times New Roman"/>
          <w:sz w:val="24"/>
          <w:szCs w:val="24"/>
        </w:rPr>
        <w:t>.</w:t>
      </w:r>
    </w:p>
    <w:p w14:paraId="682A9095" w14:textId="77777777" w:rsidR="001E0FA9" w:rsidRPr="00D14C96" w:rsidRDefault="001E0FA9" w:rsidP="006E68F4">
      <w:pPr>
        <w:pStyle w:val="ListParagraph"/>
        <w:widowControl w:val="0"/>
        <w:numPr>
          <w:ilvl w:val="0"/>
          <w:numId w:val="10"/>
        </w:numPr>
        <w:shd w:val="clear" w:color="auto" w:fill="BFBFBF" w:themeFill="background1" w:themeFillShade="BF"/>
        <w:spacing w:after="60" w:line="240" w:lineRule="auto"/>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D’instaurer un </w:t>
      </w:r>
      <w:r w:rsidRPr="00D14C96">
        <w:rPr>
          <w:rFonts w:ascii="Times New Roman" w:hAnsi="Times New Roman" w:cs="Times New Roman"/>
          <w:b/>
          <w:sz w:val="24"/>
          <w:szCs w:val="24"/>
        </w:rPr>
        <w:t>outil opérationnel permettant de répondre aux objectifs des ZUN sous la forme de zones d’aménagement ou de programme d’aménagement d’ensemble négocié</w:t>
      </w:r>
      <w:r w:rsidRPr="00D14C96">
        <w:rPr>
          <w:rFonts w:ascii="Times New Roman" w:hAnsi="Times New Roman" w:cs="Times New Roman"/>
          <w:sz w:val="24"/>
          <w:szCs w:val="24"/>
        </w:rPr>
        <w:t>, de projet urbain partenarial - PUP, etc. Une des propositions concrètes serait d’établir un dispositif de remembrement urbain et de prélèvement gratuit des emprises des voiries et des équipements publics prévues aux ZUN à l’initiative de propriétaires privés et via le principe de la dation</w:t>
      </w:r>
      <w:r w:rsidRPr="00D14C96">
        <w:rPr>
          <w:rStyle w:val="FootnoteReference"/>
          <w:rFonts w:ascii="Times New Roman" w:hAnsi="Times New Roman" w:cs="Times New Roman"/>
          <w:sz w:val="24"/>
          <w:szCs w:val="24"/>
        </w:rPr>
        <w:footnoteReference w:id="34"/>
      </w:r>
      <w:r w:rsidRPr="00D14C96">
        <w:rPr>
          <w:rFonts w:ascii="Times New Roman" w:hAnsi="Times New Roman" w:cs="Times New Roman"/>
          <w:sz w:val="24"/>
          <w:szCs w:val="24"/>
        </w:rPr>
        <w:t xml:space="preserve"> et un partenariat avec la collectivité en s’inspirant du benchmark (et notamment des expériences du TPS - Town Planning Scheme indien)</w:t>
      </w:r>
      <w:r w:rsidRPr="00D14C96">
        <w:rPr>
          <w:rStyle w:val="FootnoteReference"/>
          <w:rFonts w:ascii="Times New Roman" w:hAnsi="Times New Roman" w:cs="Times New Roman"/>
          <w:sz w:val="24"/>
          <w:szCs w:val="24"/>
        </w:rPr>
        <w:footnoteReference w:id="35"/>
      </w:r>
      <w:r w:rsidRPr="00D14C96">
        <w:rPr>
          <w:rFonts w:ascii="Times New Roman" w:hAnsi="Times New Roman" w:cs="Times New Roman"/>
          <w:sz w:val="24"/>
          <w:szCs w:val="24"/>
        </w:rPr>
        <w:t xml:space="preserve">. </w:t>
      </w:r>
    </w:p>
    <w:p w14:paraId="43F99C3D" w14:textId="77777777" w:rsidR="001E0FA9" w:rsidRPr="00D14C96" w:rsidRDefault="001E0FA9" w:rsidP="009C2620">
      <w:pPr>
        <w:pStyle w:val="ListParagraph"/>
        <w:widowControl w:val="0"/>
        <w:numPr>
          <w:ilvl w:val="0"/>
          <w:numId w:val="10"/>
        </w:numPr>
        <w:shd w:val="clear" w:color="auto" w:fill="BFBFBF" w:themeFill="background1" w:themeFillShade="BF"/>
        <w:autoSpaceDE w:val="0"/>
        <w:autoSpaceDN w:val="0"/>
        <w:adjustRightInd w:val="0"/>
        <w:spacing w:after="0" w:line="240" w:lineRule="auto"/>
        <w:contextualSpacing w:val="0"/>
        <w:jc w:val="both"/>
        <w:rPr>
          <w:rFonts w:ascii="Times New Roman" w:eastAsia="Times New Roman" w:hAnsi="Times New Roman" w:cs="Times New Roman"/>
          <w:color w:val="000000"/>
          <w:sz w:val="24"/>
          <w:szCs w:val="24"/>
          <w:lang w:eastAsia="fr-FR"/>
        </w:rPr>
      </w:pPr>
      <w:r w:rsidRPr="00D14C96">
        <w:rPr>
          <w:rFonts w:ascii="Times New Roman" w:hAnsi="Times New Roman" w:cs="Times New Roman"/>
          <w:sz w:val="24"/>
          <w:szCs w:val="24"/>
        </w:rPr>
        <w:t xml:space="preserve">D’adapter le </w:t>
      </w:r>
      <w:r w:rsidRPr="00D14C96">
        <w:rPr>
          <w:rFonts w:ascii="Times New Roman" w:hAnsi="Times New Roman" w:cs="Times New Roman"/>
          <w:b/>
          <w:sz w:val="24"/>
          <w:szCs w:val="24"/>
        </w:rPr>
        <w:t xml:space="preserve">texte régissant les associations syndicales des propriétaires fonciers </w:t>
      </w:r>
      <w:r w:rsidRPr="00D14C96">
        <w:rPr>
          <w:rFonts w:ascii="Times New Roman" w:hAnsi="Times New Roman" w:cs="Times New Roman"/>
          <w:b/>
          <w:sz w:val="24"/>
          <w:szCs w:val="24"/>
        </w:rPr>
        <w:lastRenderedPageBreak/>
        <w:t>urbains</w:t>
      </w:r>
      <w:r w:rsidRPr="00D14C96">
        <w:rPr>
          <w:rStyle w:val="FootnoteReference"/>
          <w:rFonts w:ascii="Times New Roman" w:hAnsi="Times New Roman" w:cs="Times New Roman"/>
          <w:sz w:val="24"/>
          <w:szCs w:val="24"/>
        </w:rPr>
        <w:footnoteReference w:id="36"/>
      </w:r>
      <w:r w:rsidRPr="00D14C96">
        <w:rPr>
          <w:rFonts w:ascii="Times New Roman" w:hAnsi="Times New Roman" w:cs="Times New Roman"/>
          <w:sz w:val="24"/>
          <w:szCs w:val="24"/>
        </w:rPr>
        <w:t xml:space="preserve"> de façon à lui donner un cadre plus adapté et proche de celui des associations foncières urbaines (AFU)</w:t>
      </w:r>
      <w:r w:rsidRPr="00D14C96">
        <w:rPr>
          <w:rStyle w:val="FootnoteReference"/>
          <w:rFonts w:ascii="Times New Roman" w:hAnsi="Times New Roman" w:cs="Times New Roman"/>
          <w:sz w:val="24"/>
          <w:szCs w:val="24"/>
        </w:rPr>
        <w:footnoteReference w:id="37"/>
      </w:r>
      <w:r w:rsidRPr="00D14C96">
        <w:rPr>
          <w:rFonts w:ascii="Times New Roman" w:hAnsi="Times New Roman" w:cs="Times New Roman"/>
          <w:sz w:val="24"/>
          <w:szCs w:val="24"/>
        </w:rPr>
        <w:t xml:space="preserve"> en France ou des ‘‘junta de compensación"</w:t>
      </w:r>
      <w:r w:rsidRPr="00D14C96">
        <w:rPr>
          <w:rStyle w:val="FootnoteReference"/>
          <w:rFonts w:ascii="Times New Roman" w:hAnsi="Times New Roman" w:cs="Times New Roman"/>
          <w:sz w:val="24"/>
          <w:szCs w:val="24"/>
        </w:rPr>
        <w:footnoteReference w:id="38"/>
      </w:r>
      <w:r w:rsidRPr="00D14C96">
        <w:rPr>
          <w:rFonts w:ascii="Times New Roman" w:hAnsi="Times New Roman" w:cs="Times New Roman"/>
          <w:sz w:val="24"/>
          <w:szCs w:val="24"/>
        </w:rPr>
        <w:t xml:space="preserve"> en Espagne.</w:t>
      </w:r>
    </w:p>
    <w:p w14:paraId="59EBB084" w14:textId="77777777" w:rsidR="001E0FA9" w:rsidRPr="00D14C96" w:rsidRDefault="001E0FA9" w:rsidP="000050E0">
      <w:pPr>
        <w:widowControl w:val="0"/>
        <w:shd w:val="clear" w:color="auto" w:fill="BFBFBF" w:themeFill="background1" w:themeFillShade="BF"/>
        <w:autoSpaceDE w:val="0"/>
        <w:autoSpaceDN w:val="0"/>
        <w:adjustRightInd w:val="0"/>
        <w:spacing w:after="0" w:line="240" w:lineRule="auto"/>
        <w:rPr>
          <w:rFonts w:ascii="Times New Roman" w:hAnsi="Times New Roman" w:cs="Times New Roman"/>
          <w:sz w:val="24"/>
          <w:szCs w:val="24"/>
        </w:rPr>
      </w:pPr>
    </w:p>
    <w:p w14:paraId="41DFA86C" w14:textId="77777777" w:rsidR="001E0FA9" w:rsidRPr="00D14C96" w:rsidRDefault="001E0FA9" w:rsidP="009C2620">
      <w:pPr>
        <w:pStyle w:val="ListParagraph"/>
        <w:widowControl w:val="0"/>
        <w:numPr>
          <w:ilvl w:val="0"/>
          <w:numId w:val="6"/>
        </w:numPr>
        <w:shd w:val="clear" w:color="auto" w:fill="BFBFBF" w:themeFill="background1" w:themeFillShade="BF"/>
        <w:spacing w:after="0" w:line="240" w:lineRule="auto"/>
        <w:ind w:left="360"/>
        <w:rPr>
          <w:rFonts w:ascii="Times New Roman" w:eastAsia="Times New Roman" w:hAnsi="Times New Roman" w:cs="Times New Roman"/>
          <w:b/>
          <w:color w:val="000000"/>
          <w:sz w:val="24"/>
          <w:szCs w:val="24"/>
          <w:lang w:eastAsia="fr-FR"/>
        </w:rPr>
      </w:pPr>
      <w:r w:rsidRPr="00D14C96">
        <w:rPr>
          <w:rFonts w:ascii="Times New Roman" w:eastAsia="Times New Roman" w:hAnsi="Times New Roman" w:cs="Times New Roman"/>
          <w:b/>
          <w:color w:val="000000"/>
          <w:sz w:val="24"/>
          <w:szCs w:val="24"/>
          <w:lang w:eastAsia="fr-FR"/>
        </w:rPr>
        <w:t>Doter les grandes villes d’opérateurs-aménageurs</w:t>
      </w:r>
    </w:p>
    <w:p w14:paraId="3C4D035D" w14:textId="77777777" w:rsidR="001E0FA9" w:rsidRPr="00D14C96" w:rsidRDefault="001E0FA9" w:rsidP="000050E0">
      <w:pPr>
        <w:widowControl w:val="0"/>
        <w:shd w:val="clear" w:color="auto" w:fill="BFBFBF" w:themeFill="background1" w:themeFillShade="BF"/>
        <w:spacing w:after="0" w:line="240" w:lineRule="auto"/>
        <w:rPr>
          <w:rFonts w:ascii="Times New Roman" w:eastAsia="Times New Roman" w:hAnsi="Times New Roman" w:cs="Times New Roman"/>
          <w:b/>
          <w:color w:val="000000"/>
          <w:sz w:val="24"/>
          <w:szCs w:val="24"/>
          <w:lang w:eastAsia="fr-FR"/>
        </w:rPr>
      </w:pPr>
    </w:p>
    <w:p w14:paraId="7186CF3D" w14:textId="6266FBBF"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i/>
          <w:sz w:val="24"/>
          <w:szCs w:val="24"/>
        </w:rPr>
      </w:pPr>
      <w:r w:rsidRPr="00D14C96">
        <w:rPr>
          <w:rFonts w:ascii="Times New Roman" w:hAnsi="Times New Roman" w:cs="Times New Roman"/>
          <w:i/>
          <w:sz w:val="24"/>
          <w:szCs w:val="24"/>
        </w:rPr>
        <w:t xml:space="preserve">En dehors des grandes opérations maitrisées presque toutes sur des terrains publics, </w:t>
      </w:r>
      <w:r w:rsidRPr="00D14C96">
        <w:rPr>
          <w:rFonts w:ascii="Times New Roman" w:eastAsia="Times New Roman" w:hAnsi="Times New Roman" w:cs="Times New Roman"/>
          <w:i/>
          <w:color w:val="000000"/>
          <w:sz w:val="24"/>
          <w:szCs w:val="24"/>
          <w:lang w:eastAsia="fr-FR"/>
        </w:rPr>
        <w:t xml:space="preserve">il n’y a pas aujourd’hui d’opérateurs publics dédiés à l’aménagement urbain et </w:t>
      </w:r>
      <w:r w:rsidRPr="00D14C96">
        <w:rPr>
          <w:rFonts w:ascii="Times New Roman" w:hAnsi="Times New Roman" w:cs="Times New Roman"/>
          <w:i/>
          <w:sz w:val="24"/>
          <w:szCs w:val="24"/>
        </w:rPr>
        <w:t xml:space="preserve">foncier ‘courant’ au Maroc ou à la mise en œuvre des plans d’aménagement. Les communes ne sont notamment pas impliquées dans le métier d’aménageur et n’investissent pas dans l’extension des réseaux, l’ouverture et l’équipement des voies dans les nouvelles zones d’urbanisation qu’elles laissent faire au privé en ordre dispersé. </w:t>
      </w:r>
    </w:p>
    <w:p w14:paraId="5BC949CD"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p>
    <w:p w14:paraId="54211404" w14:textId="63A13786"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r w:rsidRPr="00D14C96">
        <w:rPr>
          <w:rFonts w:ascii="Times New Roman" w:hAnsi="Times New Roman" w:cs="Times New Roman"/>
          <w:b/>
          <w:sz w:val="24"/>
          <w:szCs w:val="24"/>
        </w:rPr>
        <w:t>Deux évolutions majeures justifient toutefois d’améliorer la situation :</w:t>
      </w:r>
      <w:r w:rsidRPr="00D14C96">
        <w:rPr>
          <w:rFonts w:ascii="Times New Roman" w:hAnsi="Times New Roman" w:cs="Times New Roman"/>
          <w:sz w:val="24"/>
          <w:szCs w:val="24"/>
        </w:rPr>
        <w:t xml:space="preserve"> (i) la raréfaction du foncier public stratégique (c’est à dire à proximité des aménités urbaines) ; et (ii) la confirmation par la loi 113 14 du transfert aux communes de ‘‘l’ouverture de nouvelles zones à l’urbanisation’’ et de ‘‘l’exécution des dispositions du PA’’. Les villes et les agglomérations vont de ce fait avoir un rôle important à jouer en tant qu’acteurs de l’aménagement urbain, à même de conduire et piloter des</w:t>
      </w:r>
      <w:r w:rsidRPr="00D14C96">
        <w:rPr>
          <w:rFonts w:ascii="Times New Roman" w:hAnsi="Times New Roman" w:cs="Times New Roman"/>
          <w:i/>
          <w:sz w:val="24"/>
          <w:szCs w:val="24"/>
        </w:rPr>
        <w:t xml:space="preserve"> </w:t>
      </w:r>
      <w:r w:rsidRPr="00D14C96">
        <w:rPr>
          <w:rFonts w:ascii="Times New Roman" w:hAnsi="Times New Roman" w:cs="Times New Roman"/>
          <w:sz w:val="24"/>
          <w:szCs w:val="24"/>
        </w:rPr>
        <w:t xml:space="preserve">études pré-opérationnelles et mettre en œuvre des opérations d’aménagement (telles que les ZUN) ou de renouvellement urbain, ouvrir les voies prévues aux PA, etc. </w:t>
      </w:r>
    </w:p>
    <w:p w14:paraId="1409AF6D"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p>
    <w:p w14:paraId="529BB77F" w14:textId="77777777" w:rsidR="001E0FA9" w:rsidRPr="00D14C96" w:rsidRDefault="001E0FA9" w:rsidP="000050E0">
      <w:pPr>
        <w:widowControl w:val="0"/>
        <w:shd w:val="clear" w:color="auto" w:fill="BFBFBF" w:themeFill="background1" w:themeFillShade="BF"/>
        <w:autoSpaceDE w:val="0"/>
        <w:autoSpaceDN w:val="0"/>
        <w:adjustRightInd w:val="0"/>
        <w:spacing w:after="0" w:line="240" w:lineRule="auto"/>
        <w:jc w:val="both"/>
        <w:rPr>
          <w:rFonts w:ascii="Times New Roman" w:hAnsi="Times New Roman" w:cs="Times New Roman"/>
          <w:sz w:val="24"/>
          <w:szCs w:val="24"/>
        </w:rPr>
      </w:pPr>
      <w:r w:rsidRPr="00D14C96">
        <w:rPr>
          <w:rFonts w:ascii="Times New Roman" w:hAnsi="Times New Roman" w:cs="Times New Roman"/>
          <w:b/>
          <w:sz w:val="24"/>
          <w:szCs w:val="24"/>
        </w:rPr>
        <w:t xml:space="preserve">Les villes devront pour cela se doter de véhicules et moyens </w:t>
      </w:r>
      <w:r w:rsidRPr="00D14C96">
        <w:rPr>
          <w:rFonts w:ascii="Times New Roman" w:eastAsia="Times New Roman" w:hAnsi="Times New Roman" w:cs="Times New Roman"/>
          <w:b/>
          <w:color w:val="000000"/>
          <w:sz w:val="24"/>
          <w:szCs w:val="24"/>
          <w:lang w:eastAsia="fr-FR"/>
        </w:rPr>
        <w:t xml:space="preserve">à travers </w:t>
      </w:r>
      <w:r w:rsidRPr="00D14C96">
        <w:rPr>
          <w:rFonts w:ascii="Times New Roman" w:hAnsi="Times New Roman" w:cs="Times New Roman"/>
          <w:b/>
          <w:sz w:val="24"/>
          <w:szCs w:val="24"/>
        </w:rPr>
        <w:t>des sociétés publiques d’aménagement local</w:t>
      </w:r>
      <w:r w:rsidRPr="00D14C96">
        <w:rPr>
          <w:rFonts w:ascii="Times New Roman" w:hAnsi="Times New Roman" w:cs="Times New Roman"/>
          <w:sz w:val="24"/>
          <w:szCs w:val="24"/>
        </w:rPr>
        <w:t xml:space="preserve">, soit en maitrise d’ouvrage délégué (MOD) des acquisitions foncières et des aménagements, soit en assistance à maîtrise d’ouvrage, </w:t>
      </w:r>
      <w:r w:rsidRPr="00D14C96">
        <w:rPr>
          <w:rFonts w:ascii="Times New Roman" w:eastAsia="Times New Roman" w:hAnsi="Times New Roman" w:cs="Times New Roman"/>
          <w:color w:val="000000"/>
          <w:sz w:val="24"/>
          <w:szCs w:val="24"/>
          <w:lang w:eastAsia="fr-FR"/>
        </w:rPr>
        <w:t xml:space="preserve">soit </w:t>
      </w:r>
      <w:r w:rsidRPr="00D14C96">
        <w:rPr>
          <w:rFonts w:ascii="Times New Roman" w:hAnsi="Times New Roman" w:cs="Times New Roman"/>
          <w:sz w:val="24"/>
          <w:szCs w:val="24"/>
        </w:rPr>
        <w:t>encore pour des associations de propriétaires.</w:t>
      </w:r>
    </w:p>
    <w:p w14:paraId="3ADB673E"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p>
    <w:p w14:paraId="0E1482C7" w14:textId="3D47BBB9"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r w:rsidRPr="00D14C96">
        <w:rPr>
          <w:rFonts w:ascii="Times New Roman" w:hAnsi="Times New Roman" w:cs="Times New Roman"/>
          <w:b/>
          <w:sz w:val="24"/>
          <w:szCs w:val="24"/>
        </w:rPr>
        <w:t>La Société de Développement Local (SDL)</w:t>
      </w:r>
      <w:r w:rsidRPr="00D14C96">
        <w:rPr>
          <w:rStyle w:val="FootnoteReference"/>
          <w:rFonts w:ascii="Times New Roman" w:hAnsi="Times New Roman" w:cs="Times New Roman"/>
          <w:b/>
          <w:sz w:val="24"/>
          <w:szCs w:val="24"/>
        </w:rPr>
        <w:footnoteReference w:id="39"/>
      </w:r>
      <w:r w:rsidRPr="00D14C96">
        <w:rPr>
          <w:rFonts w:ascii="Times New Roman" w:hAnsi="Times New Roman" w:cs="Times New Roman"/>
          <w:b/>
          <w:sz w:val="24"/>
          <w:szCs w:val="24"/>
        </w:rPr>
        <w:t>, société de développement publique (de droit privé) en réunissant des collectivités territoriales</w:t>
      </w:r>
      <w:r w:rsidRPr="00D14C96">
        <w:rPr>
          <w:rStyle w:val="FootnoteReference"/>
          <w:rFonts w:ascii="Times New Roman" w:hAnsi="Times New Roman" w:cs="Times New Roman"/>
          <w:b/>
          <w:sz w:val="24"/>
          <w:szCs w:val="24"/>
        </w:rPr>
        <w:footnoteReference w:id="40"/>
      </w:r>
      <w:r w:rsidRPr="00D14C96">
        <w:rPr>
          <w:rFonts w:ascii="Times New Roman" w:hAnsi="Times New Roman" w:cs="Times New Roman"/>
          <w:b/>
          <w:sz w:val="24"/>
          <w:szCs w:val="24"/>
        </w:rPr>
        <w:t>, peut constituer un cadre approprié pour porter et réaliser des programmes d’aménagement urbain.</w:t>
      </w:r>
      <w:r w:rsidRPr="00D14C96">
        <w:rPr>
          <w:rFonts w:ascii="Times New Roman" w:hAnsi="Times New Roman" w:cs="Times New Roman"/>
          <w:sz w:val="24"/>
          <w:szCs w:val="24"/>
        </w:rPr>
        <w:t xml:space="preserve"> C’est par exemple le cas de « Casa Aménagement » qui agit aujourd’hui comme maître d’ouvrage délégué de la Commune de Casablanca pour des projets et investissements publics (grand théâtre de Casablanca, super collecteur ouest, ..) mais pas encore comme aménageur opérateur du développement bien que ses statuts le lui permettent (voir l’encadré). </w:t>
      </w:r>
    </w:p>
    <w:p w14:paraId="43E9CA2F" w14:textId="77777777"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p>
    <w:p w14:paraId="7AFE4842" w14:textId="23D4CB4B" w:rsidR="001E0FA9" w:rsidRPr="00D14C96" w:rsidRDefault="001E0FA9" w:rsidP="000050E0">
      <w:pPr>
        <w:widowControl w:val="0"/>
        <w:shd w:val="clear" w:color="auto" w:fill="BFBFBF" w:themeFill="background1" w:themeFillShade="BF"/>
        <w:spacing w:after="0" w:line="240" w:lineRule="auto"/>
        <w:jc w:val="both"/>
        <w:rPr>
          <w:rFonts w:ascii="Times New Roman" w:hAnsi="Times New Roman" w:cs="Times New Roman"/>
          <w:sz w:val="24"/>
          <w:szCs w:val="24"/>
        </w:rPr>
      </w:pPr>
      <w:r w:rsidRPr="00D14C96">
        <w:rPr>
          <w:rFonts w:ascii="Times New Roman" w:hAnsi="Times New Roman" w:cs="Times New Roman"/>
          <w:b/>
          <w:sz w:val="24"/>
          <w:szCs w:val="24"/>
        </w:rPr>
        <w:t>Une des recommandations serait de doter les établissements de coopération intercommunale des grandes agglomérations de plus de 200 000 habitants</w:t>
      </w:r>
      <w:r w:rsidRPr="00D14C96">
        <w:rPr>
          <w:rFonts w:ascii="Times New Roman" w:hAnsi="Times New Roman" w:cs="Times New Roman"/>
          <w:b/>
          <w:i/>
          <w:sz w:val="24"/>
          <w:szCs w:val="24"/>
        </w:rPr>
        <w:t xml:space="preserve"> </w:t>
      </w:r>
      <w:r w:rsidRPr="00D14C96">
        <w:rPr>
          <w:rFonts w:ascii="Times New Roman" w:hAnsi="Times New Roman" w:cs="Times New Roman"/>
          <w:b/>
          <w:sz w:val="24"/>
          <w:szCs w:val="24"/>
        </w:rPr>
        <w:t>d’une SDL d’aménagement.</w:t>
      </w:r>
      <w:r w:rsidRPr="00D14C96">
        <w:rPr>
          <w:rFonts w:ascii="Times New Roman" w:hAnsi="Times New Roman" w:cs="Times New Roman"/>
          <w:sz w:val="24"/>
          <w:szCs w:val="24"/>
        </w:rPr>
        <w:t xml:space="preserve"> Ces SDL dont le tour de table comprendrait les Collectivités Territoriales, les Agences Urbaines, les gestionnaires de réseaux et les opérateurs publics spécialisés </w:t>
      </w:r>
      <w:r w:rsidRPr="00D14C96">
        <w:rPr>
          <w:rFonts w:ascii="Times New Roman" w:hAnsi="Times New Roman" w:cs="Times New Roman"/>
          <w:sz w:val="24"/>
          <w:szCs w:val="24"/>
        </w:rPr>
        <w:lastRenderedPageBreak/>
        <w:t xml:space="preserve">seraient notamment chargées de l’aménagement urbain, de l’ouverture à l’urbanisation de ZUN prévues aux plans d’aménagement, d’opérations de mise à niveau ou de renouvèlement urbain, etc.  </w:t>
      </w:r>
    </w:p>
    <w:p w14:paraId="08270E5B" w14:textId="77777777" w:rsidR="001E0FA9" w:rsidRPr="00D14C96" w:rsidRDefault="001E0FA9" w:rsidP="000050E0">
      <w:pPr>
        <w:widowControl w:val="0"/>
        <w:shd w:val="clear" w:color="auto" w:fill="FFFFFF"/>
        <w:spacing w:after="0" w:line="240" w:lineRule="auto"/>
        <w:jc w:val="both"/>
        <w:rPr>
          <w:rFonts w:ascii="Times New Roman" w:hAnsi="Times New Roman" w:cs="Times New Roman"/>
          <w:sz w:val="24"/>
          <w:szCs w:val="24"/>
        </w:rPr>
      </w:pPr>
    </w:p>
    <w:p w14:paraId="5D5E6EA2" w14:textId="4DDA5BB6" w:rsidR="001E0FA9" w:rsidRPr="00D14C96" w:rsidRDefault="001E0FA9" w:rsidP="000050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color w:val="000000"/>
          <w:sz w:val="24"/>
          <w:szCs w:val="24"/>
          <w:lang w:eastAsia="fr-FR"/>
        </w:rPr>
      </w:pPr>
      <w:r w:rsidRPr="00D14C96">
        <w:rPr>
          <w:rFonts w:ascii="Times New Roman" w:eastAsia="Times New Roman" w:hAnsi="Times New Roman" w:cs="Times New Roman"/>
          <w:b/>
          <w:color w:val="000000"/>
          <w:sz w:val="24"/>
          <w:szCs w:val="24"/>
          <w:u w:val="single"/>
          <w:lang w:eastAsia="fr-FR"/>
        </w:rPr>
        <w:t xml:space="preserve">Encadré </w:t>
      </w:r>
      <w:r w:rsidR="00765C90">
        <w:rPr>
          <w:rFonts w:ascii="Times New Roman" w:eastAsia="Times New Roman" w:hAnsi="Times New Roman" w:cs="Times New Roman"/>
          <w:b/>
          <w:color w:val="000000"/>
          <w:sz w:val="24"/>
          <w:szCs w:val="24"/>
          <w:u w:val="single"/>
          <w:lang w:eastAsia="fr-FR"/>
        </w:rPr>
        <w:t>4</w:t>
      </w:r>
      <w:r w:rsidRPr="00D14C96">
        <w:rPr>
          <w:rFonts w:ascii="Times New Roman" w:eastAsia="Times New Roman" w:hAnsi="Times New Roman" w:cs="Times New Roman"/>
          <w:b/>
          <w:color w:val="000000"/>
          <w:sz w:val="24"/>
          <w:szCs w:val="24"/>
          <w:lang w:eastAsia="fr-FR"/>
        </w:rPr>
        <w:t>. Des réponses à donner en fonction des contextes propres à chaque agglomération</w:t>
      </w:r>
    </w:p>
    <w:p w14:paraId="0AC711D3"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b/>
          <w:color w:val="000000"/>
          <w:sz w:val="24"/>
          <w:szCs w:val="24"/>
          <w:lang w:eastAsia="fr-FR"/>
        </w:rPr>
      </w:pPr>
    </w:p>
    <w:p w14:paraId="12037E62" w14:textId="1596AD03" w:rsidR="001E0FA9" w:rsidRPr="00D14C96" w:rsidRDefault="001E0FA9" w:rsidP="000050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14C96">
        <w:rPr>
          <w:rFonts w:ascii="Times New Roman" w:eastAsia="Times New Roman" w:hAnsi="Times New Roman" w:cs="Times New Roman"/>
          <w:color w:val="000000"/>
          <w:sz w:val="24"/>
          <w:szCs w:val="24"/>
          <w:lang w:eastAsia="fr-FR"/>
        </w:rPr>
        <w:t xml:space="preserve">Les réponses à donner pour doter les grandes villes de capacités d’aménagement urbain et </w:t>
      </w:r>
      <w:r w:rsidRPr="00D14C96">
        <w:rPr>
          <w:rFonts w:ascii="Times New Roman" w:hAnsi="Times New Roman" w:cs="Times New Roman"/>
          <w:sz w:val="24"/>
          <w:szCs w:val="24"/>
        </w:rPr>
        <w:t xml:space="preserve">foncier doivent dépendre du contexte local, de leurs moyens ainsi que des acteurs et institutions en place dans chacune d’elles.  </w:t>
      </w:r>
    </w:p>
    <w:p w14:paraId="2B1427F4"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p>
    <w:p w14:paraId="3F4D97E1" w14:textId="35FF093F" w:rsidR="001E0FA9" w:rsidRPr="00D14C96" w:rsidRDefault="001E0FA9" w:rsidP="000050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rPr>
      </w:pPr>
      <w:r w:rsidRPr="00D14C96">
        <w:rPr>
          <w:rFonts w:ascii="Times New Roman" w:hAnsi="Times New Roman" w:cs="Times New Roman"/>
          <w:sz w:val="24"/>
          <w:szCs w:val="24"/>
        </w:rPr>
        <w:t xml:space="preserve">Si la SDL d’aménagement semble la formule appropriée, des partenariats avec des opérateurs aménageurs publics comme Al Omrane ou la CDG pourraient également être envisagés dans le cadre de conventions de maitrise d’ouvrage déléguée et de programmes d’actions avec les régions ou des ECI. </w:t>
      </w:r>
    </w:p>
    <w:p w14:paraId="1EC85D38"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07ACF5F4"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color w:val="000000"/>
          <w:sz w:val="24"/>
          <w:szCs w:val="24"/>
          <w:lang w:eastAsia="fr-FR"/>
        </w:rPr>
        <w:t>Dans le cas spécifique de Casablanca, un dispositif à plusieurs acteurs (</w:t>
      </w:r>
      <w:r w:rsidRPr="00D14C96">
        <w:rPr>
          <w:rFonts w:ascii="Times New Roman" w:hAnsi="Times New Roman" w:cs="Times New Roman"/>
          <w:sz w:val="24"/>
          <w:szCs w:val="24"/>
        </w:rPr>
        <w:t>Casa Aménagement dont on peut penser que sa mission sera étendue à l’aménagement, l’Agence urbaine de Casablanca qui a déjà développé une expérience d’aménageur foncier, voire d’autres acteurs</w:t>
      </w:r>
      <w:r w:rsidRPr="00D14C96">
        <w:rPr>
          <w:rFonts w:ascii="Times New Roman" w:eastAsia="Times New Roman" w:hAnsi="Times New Roman" w:cs="Times New Roman"/>
          <w:color w:val="000000"/>
          <w:sz w:val="24"/>
          <w:szCs w:val="24"/>
          <w:lang w:eastAsia="fr-FR"/>
        </w:rPr>
        <w:t xml:space="preserve">) peut sembler approprié au regard des besoins et du territoire considéré. </w:t>
      </w:r>
    </w:p>
    <w:p w14:paraId="1164457F" w14:textId="77777777" w:rsidR="001E0FA9" w:rsidRPr="00D14C96" w:rsidRDefault="001E0FA9" w:rsidP="000050E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4ECAC0EC" w14:textId="77777777" w:rsidR="001E0FA9" w:rsidRPr="00D14C96" w:rsidRDefault="001E0FA9" w:rsidP="000050E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535808E2" w14:textId="77777777" w:rsidR="001E0FA9" w:rsidRPr="00D14C96" w:rsidRDefault="001E0FA9" w:rsidP="000050E0">
      <w:pPr>
        <w:pStyle w:val="Heading3"/>
        <w:rPr>
          <w:rFonts w:ascii="Times New Roman" w:eastAsia="Times New Roman" w:hAnsi="Times New Roman" w:cs="Times New Roman"/>
          <w:b/>
          <w:color w:val="000000"/>
          <w:lang w:eastAsia="fr-FR"/>
        </w:rPr>
      </w:pPr>
      <w:bookmarkStart w:id="128" w:name="_Toc515875128"/>
      <w:r w:rsidRPr="00D14C96">
        <w:rPr>
          <w:rFonts w:ascii="Times New Roman" w:eastAsia="Times New Roman" w:hAnsi="Times New Roman" w:cs="Times New Roman"/>
          <w:b/>
          <w:color w:val="000000"/>
          <w:u w:val="single"/>
          <w:lang w:eastAsia="fr-FR"/>
        </w:rPr>
        <w:t>Proposition #6 </w:t>
      </w:r>
      <w:r w:rsidRPr="00D14C96">
        <w:rPr>
          <w:rFonts w:ascii="Times New Roman" w:eastAsia="Times New Roman" w:hAnsi="Times New Roman" w:cs="Times New Roman"/>
          <w:b/>
          <w:color w:val="000000"/>
          <w:lang w:eastAsia="fr-FR"/>
        </w:rPr>
        <w:t>: Améliorer la gestion foncière</w:t>
      </w:r>
      <w:bookmarkEnd w:id="128"/>
      <w:r w:rsidRPr="00D14C96">
        <w:rPr>
          <w:rFonts w:ascii="Times New Roman" w:eastAsia="Times New Roman" w:hAnsi="Times New Roman" w:cs="Times New Roman"/>
          <w:b/>
          <w:color w:val="000000"/>
          <w:lang w:eastAsia="fr-FR"/>
        </w:rPr>
        <w:t xml:space="preserve"> </w:t>
      </w:r>
    </w:p>
    <w:p w14:paraId="73599632" w14:textId="77777777" w:rsidR="001E0FA9" w:rsidRPr="00D14C96" w:rsidRDefault="001E0FA9" w:rsidP="000050E0">
      <w:pPr>
        <w:widowControl w:val="0"/>
        <w:spacing w:after="0" w:line="240" w:lineRule="auto"/>
        <w:rPr>
          <w:rFonts w:ascii="Times New Roman" w:eastAsia="Times New Roman" w:hAnsi="Times New Roman" w:cs="Times New Roman"/>
          <w:b/>
          <w:color w:val="000000"/>
          <w:sz w:val="24"/>
          <w:szCs w:val="24"/>
          <w:lang w:eastAsia="fr-FR"/>
        </w:rPr>
      </w:pPr>
    </w:p>
    <w:p w14:paraId="4EE40309" w14:textId="1D05615B" w:rsidR="001E0FA9" w:rsidRPr="00D14C96" w:rsidRDefault="001E0FA9" w:rsidP="00B4544E">
      <w:pPr>
        <w:pStyle w:val="Numberedparagraph"/>
        <w:ind w:left="0" w:firstLine="0"/>
        <w:rPr>
          <w:rFonts w:ascii="Times New Roman" w:eastAsia="Times New Roman" w:hAnsi="Times New Roman" w:cs="Times New Roman"/>
          <w:color w:val="000000"/>
          <w:lang w:eastAsia="fr-FR"/>
        </w:rPr>
      </w:pPr>
      <w:r w:rsidRPr="00D14C96">
        <w:rPr>
          <w:rFonts w:ascii="Times New Roman" w:eastAsia="Times New Roman" w:hAnsi="Times New Roman" w:cs="Times New Roman"/>
          <w:b/>
          <w:color w:val="000000"/>
          <w:lang w:eastAsia="fr-FR"/>
        </w:rPr>
        <w:t>Le foncier est au cœur des difficultés de la fabrication urbaine.</w:t>
      </w:r>
      <w:r w:rsidRPr="00D14C96">
        <w:rPr>
          <w:rFonts w:ascii="Times New Roman" w:eastAsia="Times New Roman" w:hAnsi="Times New Roman" w:cs="Times New Roman"/>
          <w:color w:val="000000"/>
          <w:lang w:eastAsia="fr-FR"/>
        </w:rPr>
        <w:t xml:space="preserve"> Il constitue du fait de la complexité de ses aspects (juridique, économique, sociétaux, sociaux, ..) un obstacle considérable à la mise en œuvre maitrisée de l’extension des villes et des agglomérations. La mobilisation du foncier public (dans des limites toujours plus repoussées) n’est par ailleurs pas à la mesure des besoins de croissance urbaine</w:t>
      </w:r>
      <w:r w:rsidRPr="00D14C96">
        <w:rPr>
          <w:rFonts w:ascii="Times New Roman" w:eastAsia="Times New Roman" w:hAnsi="Times New Roman" w:cs="Times New Roman"/>
          <w:i/>
          <w:color w:val="000000"/>
          <w:lang w:eastAsia="fr-FR"/>
        </w:rPr>
        <w:t xml:space="preserve"> </w:t>
      </w:r>
      <w:r w:rsidRPr="00D14C96">
        <w:rPr>
          <w:rFonts w:ascii="Times New Roman" w:eastAsia="Times New Roman" w:hAnsi="Times New Roman" w:cs="Times New Roman"/>
          <w:color w:val="000000"/>
          <w:lang w:eastAsia="fr-FR"/>
        </w:rPr>
        <w:t>futurs (environ 7000 ha/an d’ici 2030</w:t>
      </w:r>
      <w:r w:rsidRPr="00D14C96">
        <w:rPr>
          <w:rStyle w:val="FootnoteReference"/>
          <w:rFonts w:ascii="Times New Roman" w:eastAsia="Times New Roman" w:hAnsi="Times New Roman" w:cs="Times New Roman"/>
          <w:color w:val="000000"/>
          <w:lang w:eastAsia="fr-FR"/>
        </w:rPr>
        <w:footnoteReference w:id="41"/>
      </w:r>
      <w:r w:rsidRPr="00D14C96">
        <w:rPr>
          <w:rFonts w:ascii="Times New Roman" w:eastAsia="Times New Roman" w:hAnsi="Times New Roman" w:cs="Times New Roman"/>
          <w:color w:val="000000"/>
          <w:lang w:eastAsia="fr-FR"/>
        </w:rPr>
        <w:t>) et n’est pas durable en terme</w:t>
      </w:r>
      <w:r w:rsidR="007E4D90">
        <w:rPr>
          <w:rFonts w:ascii="Times New Roman" w:eastAsia="Times New Roman" w:hAnsi="Times New Roman" w:cs="Times New Roman"/>
          <w:color w:val="000000"/>
          <w:lang w:eastAsia="fr-FR"/>
        </w:rPr>
        <w:t>s</w:t>
      </w:r>
      <w:r w:rsidRPr="00D14C96">
        <w:rPr>
          <w:rFonts w:ascii="Times New Roman" w:eastAsia="Times New Roman" w:hAnsi="Times New Roman" w:cs="Times New Roman"/>
          <w:color w:val="000000"/>
          <w:lang w:eastAsia="fr-FR"/>
        </w:rPr>
        <w:t xml:space="preserve"> de coût et de gestion. </w:t>
      </w:r>
    </w:p>
    <w:p w14:paraId="1C554850" w14:textId="77777777" w:rsidR="001E0FA9" w:rsidRPr="00D14C96" w:rsidRDefault="001E0FA9" w:rsidP="000050E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0EC3E8F3" w14:textId="60EC2087" w:rsidR="001E0FA9" w:rsidRPr="00D14C96" w:rsidRDefault="001E0FA9" w:rsidP="00B4544E">
      <w:pPr>
        <w:pStyle w:val="Numberedparagraph"/>
        <w:ind w:left="0" w:firstLine="0"/>
        <w:rPr>
          <w:rFonts w:ascii="Times New Roman" w:eastAsia="Times New Roman" w:hAnsi="Times New Roman" w:cs="Times New Roman"/>
          <w:color w:val="000000"/>
          <w:lang w:eastAsia="fr-FR"/>
        </w:rPr>
      </w:pPr>
      <w:r w:rsidRPr="00D14C96">
        <w:rPr>
          <w:rFonts w:ascii="Times New Roman" w:eastAsia="Times New Roman" w:hAnsi="Times New Roman" w:cs="Times New Roman"/>
          <w:b/>
          <w:color w:val="000000"/>
          <w:lang w:eastAsia="fr-FR"/>
        </w:rPr>
        <w:t>Les « assises nationales de la politique foncière de l’Etat »</w:t>
      </w:r>
      <w:r w:rsidRPr="00D14C96">
        <w:rPr>
          <w:rStyle w:val="FootnoteReference"/>
          <w:rFonts w:ascii="Times New Roman" w:eastAsia="Times New Roman" w:hAnsi="Times New Roman" w:cs="Times New Roman"/>
          <w:b/>
          <w:lang w:eastAsia="fr-FR"/>
        </w:rPr>
        <w:footnoteReference w:id="42"/>
      </w:r>
      <w:r w:rsidRPr="00D14C96">
        <w:rPr>
          <w:rFonts w:ascii="Times New Roman" w:eastAsia="Times New Roman" w:hAnsi="Times New Roman" w:cs="Times New Roman"/>
          <w:b/>
          <w:color w:val="000000"/>
          <w:lang w:eastAsia="fr-FR"/>
        </w:rPr>
        <w:t xml:space="preserve"> tenues en 2015 ont reconnu le rôle essentiel joué par le foncier dans le développement économique et social et la nécessité de réformer ce secteur.</w:t>
      </w:r>
      <w:r w:rsidRPr="00D14C96">
        <w:rPr>
          <w:rFonts w:ascii="Times New Roman" w:eastAsia="Times New Roman" w:hAnsi="Times New Roman" w:cs="Times New Roman"/>
          <w:color w:val="000000"/>
          <w:lang w:eastAsia="fr-FR"/>
        </w:rPr>
        <w:t xml:space="preserve"> C’est l’objet de la stratégie nationale foncière</w:t>
      </w:r>
      <w:r w:rsidRPr="00D14C96">
        <w:rPr>
          <w:rStyle w:val="FootnoteReference"/>
          <w:rFonts w:ascii="Times New Roman" w:eastAsia="Times New Roman" w:hAnsi="Times New Roman" w:cs="Times New Roman"/>
          <w:lang w:eastAsia="fr-FR"/>
        </w:rPr>
        <w:footnoteReference w:id="43"/>
      </w:r>
      <w:r w:rsidRPr="00D14C96">
        <w:rPr>
          <w:rFonts w:ascii="Times New Roman" w:eastAsia="Times New Roman" w:hAnsi="Times New Roman" w:cs="Times New Roman"/>
          <w:color w:val="000000"/>
          <w:lang w:eastAsia="fr-FR"/>
        </w:rPr>
        <w:t xml:space="preserve"> et des plans d'actions qui en découleront pour accroitre l'efficience de la politique de l'Etat en la matière et en améliorer la gouvernance.</w:t>
      </w:r>
    </w:p>
    <w:p w14:paraId="0CCC7B7C" w14:textId="77777777" w:rsidR="001E0FA9" w:rsidRPr="00D14C96" w:rsidRDefault="001E0FA9" w:rsidP="000050E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1BAA0948" w14:textId="77777777" w:rsidR="001E0FA9" w:rsidRPr="00D14C96" w:rsidRDefault="001E0FA9" w:rsidP="006E68F4">
      <w:pPr>
        <w:widowControl w:val="0"/>
        <w:shd w:val="clear" w:color="auto" w:fill="D9D9D9" w:themeFill="background1" w:themeFillShade="D9"/>
        <w:spacing w:after="120" w:line="240" w:lineRule="auto"/>
        <w:jc w:val="both"/>
        <w:rPr>
          <w:rFonts w:ascii="Times New Roman" w:hAnsi="Times New Roman" w:cs="Times New Roman"/>
          <w:b/>
          <w:color w:val="2E74B5" w:themeColor="accent1" w:themeShade="BF"/>
          <w:sz w:val="24"/>
          <w:szCs w:val="24"/>
          <w:u w:val="single"/>
        </w:rPr>
      </w:pPr>
      <w:r w:rsidRPr="00D14C96">
        <w:rPr>
          <w:rFonts w:ascii="Times New Roman" w:hAnsi="Times New Roman" w:cs="Times New Roman"/>
          <w:b/>
          <w:color w:val="2E74B5" w:themeColor="accent1" w:themeShade="BF"/>
          <w:sz w:val="24"/>
          <w:szCs w:val="24"/>
          <w:u w:val="single"/>
        </w:rPr>
        <w:t>Quelles pistes ?</w:t>
      </w:r>
    </w:p>
    <w:p w14:paraId="6C2FDB2B" w14:textId="77777777" w:rsidR="001E0FA9" w:rsidRPr="00D14C96" w:rsidRDefault="001E0FA9" w:rsidP="000050E0">
      <w:pPr>
        <w:widowControl w:val="0"/>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color w:val="000000"/>
          <w:sz w:val="24"/>
          <w:szCs w:val="24"/>
          <w:lang w:eastAsia="fr-FR"/>
        </w:rPr>
        <w:t>Des améliorations sur 3 aspects en lien direct avec l’urbanisme méritent l’attention :</w:t>
      </w:r>
    </w:p>
    <w:p w14:paraId="02F80147" w14:textId="77777777" w:rsidR="001E0FA9" w:rsidRPr="00D14C96" w:rsidRDefault="001E0FA9" w:rsidP="000050E0">
      <w:pPr>
        <w:widowControl w:val="0"/>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7F55AF9F" w14:textId="4CC4DDB6" w:rsidR="001E0FA9" w:rsidRPr="00D14C96" w:rsidRDefault="001E0FA9" w:rsidP="006E68F4">
      <w:pPr>
        <w:pStyle w:val="ListParagraph"/>
        <w:widowControl w:val="0"/>
        <w:numPr>
          <w:ilvl w:val="0"/>
          <w:numId w:val="11"/>
        </w:numPr>
        <w:shd w:val="clear" w:color="auto" w:fill="D9D9D9" w:themeFill="background1" w:themeFillShade="D9"/>
        <w:spacing w:after="120" w:line="240" w:lineRule="auto"/>
        <w:ind w:left="360"/>
        <w:rPr>
          <w:rFonts w:ascii="Times New Roman" w:eastAsia="Times New Roman" w:hAnsi="Times New Roman" w:cs="Times New Roman"/>
          <w:b/>
          <w:color w:val="000000"/>
          <w:sz w:val="24"/>
          <w:szCs w:val="24"/>
          <w:lang w:eastAsia="fr-FR"/>
        </w:rPr>
      </w:pPr>
      <w:r w:rsidRPr="00D14C96">
        <w:rPr>
          <w:rFonts w:ascii="Times New Roman" w:eastAsia="Times New Roman" w:hAnsi="Times New Roman" w:cs="Times New Roman"/>
          <w:b/>
          <w:color w:val="000000"/>
          <w:sz w:val="24"/>
          <w:szCs w:val="24"/>
          <w:lang w:eastAsia="fr-FR"/>
        </w:rPr>
        <w:t>L’accélération de l’immatriculation dans les zones urbaines et périurbaines</w:t>
      </w:r>
      <w:r w:rsidR="001527A8">
        <w:rPr>
          <w:rFonts w:ascii="Times New Roman" w:eastAsia="Times New Roman" w:hAnsi="Times New Roman" w:cs="Times New Roman"/>
          <w:b/>
          <w:color w:val="000000"/>
          <w:sz w:val="24"/>
          <w:szCs w:val="24"/>
          <w:lang w:eastAsia="fr-FR"/>
        </w:rPr>
        <w:t xml:space="preserve"> </w:t>
      </w:r>
      <w:r w:rsidR="001527A8">
        <w:rPr>
          <w:rFonts w:ascii="Times New Roman" w:eastAsia="Times New Roman" w:hAnsi="Times New Roman" w:cs="Times New Roman"/>
          <w:color w:val="000000"/>
          <w:sz w:val="24"/>
          <w:szCs w:val="24"/>
          <w:lang w:eastAsia="fr-FR"/>
        </w:rPr>
        <w:t xml:space="preserve">(Agence nationale de la conservation foncière, du cadastre et de la cartographie </w:t>
      </w:r>
      <w:r w:rsidR="001527A8">
        <w:rPr>
          <w:rFonts w:ascii="Times New Roman" w:eastAsia="Times New Roman" w:hAnsi="Times New Roman" w:cs="Times New Roman"/>
          <w:color w:val="000000"/>
          <w:sz w:val="24"/>
          <w:szCs w:val="24"/>
          <w:lang w:eastAsia="fr-FR"/>
        </w:rPr>
        <w:lastRenderedPageBreak/>
        <w:t>(ANCFCC)</w:t>
      </w:r>
    </w:p>
    <w:p w14:paraId="39A379E8"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eastAsia="Times New Roman" w:hAnsi="Times New Roman" w:cs="Times New Roman"/>
          <w:i/>
          <w:color w:val="000000"/>
          <w:sz w:val="24"/>
          <w:szCs w:val="24"/>
          <w:lang w:eastAsia="fr-FR"/>
        </w:rPr>
      </w:pPr>
      <w:r w:rsidRPr="00D14C96">
        <w:rPr>
          <w:rFonts w:ascii="Times New Roman" w:eastAsia="Times New Roman" w:hAnsi="Times New Roman" w:cs="Times New Roman"/>
          <w:i/>
          <w:color w:val="000000"/>
          <w:sz w:val="24"/>
          <w:szCs w:val="24"/>
          <w:lang w:eastAsia="fr-FR"/>
        </w:rPr>
        <w:t>La non immatriculation des terrains est une source de blocage des marchés fonciers et économiques, d’insécurité juridique et d’inefficience des documents d’urbanisme. L’immatriculation individuelle n’est par ailleurs pas envisageable au regard de la situation et des besoins (10% seulement de terrains immatriculés dans le rural)</w:t>
      </w:r>
      <w:r w:rsidRPr="00D14C96">
        <w:rPr>
          <w:rStyle w:val="FootnoteReference"/>
          <w:rFonts w:ascii="Times New Roman" w:eastAsia="Times New Roman" w:hAnsi="Times New Roman" w:cs="Times New Roman"/>
          <w:i/>
          <w:sz w:val="24"/>
          <w:szCs w:val="24"/>
          <w:lang w:eastAsia="fr-FR"/>
        </w:rPr>
        <w:footnoteReference w:id="44"/>
      </w:r>
      <w:r w:rsidRPr="00D14C96">
        <w:rPr>
          <w:rFonts w:ascii="Times New Roman" w:eastAsia="Times New Roman" w:hAnsi="Times New Roman" w:cs="Times New Roman"/>
          <w:i/>
          <w:color w:val="000000"/>
          <w:sz w:val="24"/>
          <w:szCs w:val="24"/>
          <w:lang w:eastAsia="fr-FR"/>
        </w:rPr>
        <w:t xml:space="preserve">. </w:t>
      </w:r>
    </w:p>
    <w:p w14:paraId="4F88948B"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eastAsia="Times New Roman" w:hAnsi="Times New Roman" w:cs="Times New Roman"/>
          <w:color w:val="000000"/>
          <w:sz w:val="24"/>
          <w:szCs w:val="24"/>
          <w:lang w:eastAsia="fr-FR"/>
        </w:rPr>
      </w:pPr>
    </w:p>
    <w:p w14:paraId="45B77B7A"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b/>
          <w:color w:val="000000"/>
          <w:sz w:val="24"/>
          <w:szCs w:val="24"/>
          <w:lang w:eastAsia="fr-FR"/>
        </w:rPr>
        <w:t>Il s’agit d’engager un vaste programme d’immatriculation groupée dans les secteurs stratégiques,</w:t>
      </w:r>
      <w:r w:rsidRPr="00D14C96">
        <w:rPr>
          <w:rFonts w:ascii="Times New Roman" w:eastAsia="Times New Roman" w:hAnsi="Times New Roman" w:cs="Times New Roman"/>
          <w:color w:val="000000"/>
          <w:sz w:val="24"/>
          <w:szCs w:val="24"/>
          <w:lang w:eastAsia="fr-FR"/>
        </w:rPr>
        <w:t xml:space="preserve"> notamment dans les périphéries des grandes agglomérations, les ZUN, les communes littorales, les espaces de développement économique, la région Nord, etc. Cette procédure devrait permettre de passer du caractère facultatif de l’immatriculation à </w:t>
      </w:r>
      <w:r w:rsidRPr="00D14C96">
        <w:rPr>
          <w:rFonts w:ascii="Times New Roman" w:eastAsia="Times New Roman" w:hAnsi="Times New Roman" w:cs="Times New Roman"/>
          <w:b/>
          <w:color w:val="000000"/>
          <w:sz w:val="24"/>
          <w:szCs w:val="24"/>
          <w:lang w:eastAsia="fr-FR"/>
        </w:rPr>
        <w:t>l’immatriculation collective obligatoire</w:t>
      </w:r>
      <w:r w:rsidRPr="00D14C96">
        <w:rPr>
          <w:rFonts w:ascii="Times New Roman" w:eastAsia="Times New Roman" w:hAnsi="Times New Roman" w:cs="Times New Roman"/>
          <w:color w:val="000000"/>
          <w:sz w:val="24"/>
          <w:szCs w:val="24"/>
          <w:lang w:eastAsia="fr-FR"/>
        </w:rPr>
        <w:t xml:space="preserve"> qui consiste à traiter simultanément l’ensemble des parcelles situées à l’intérieur d’un périmètre fixé par l’administration. Ce dispositif plus rapide et moins coûteux que l’immatriculation individuelle est déjà appliqué aux périmètres irrigués, notamment dans le Gharb où un programme de melkisation des terrains collectifs est en cours avec l’appui du programme "Compact2" du Millennium challenge account (MCA)</w:t>
      </w:r>
      <w:r w:rsidRPr="00D14C96">
        <w:rPr>
          <w:rStyle w:val="FootnoteReference"/>
          <w:rFonts w:ascii="Times New Roman" w:eastAsia="Times New Roman" w:hAnsi="Times New Roman" w:cs="Times New Roman"/>
          <w:sz w:val="24"/>
          <w:szCs w:val="24"/>
          <w:lang w:eastAsia="fr-FR"/>
        </w:rPr>
        <w:footnoteReference w:id="45"/>
      </w:r>
      <w:r w:rsidRPr="00D14C96">
        <w:rPr>
          <w:rFonts w:ascii="Times New Roman" w:eastAsia="Times New Roman" w:hAnsi="Times New Roman" w:cs="Times New Roman"/>
          <w:color w:val="000000"/>
          <w:sz w:val="24"/>
          <w:szCs w:val="24"/>
          <w:lang w:eastAsia="fr-FR"/>
        </w:rPr>
        <w:t xml:space="preserve">. </w:t>
      </w:r>
    </w:p>
    <w:p w14:paraId="2B08CF23"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eastAsia="Times New Roman" w:hAnsi="Times New Roman" w:cs="Times New Roman"/>
          <w:color w:val="000000"/>
          <w:sz w:val="24"/>
          <w:szCs w:val="24"/>
          <w:lang w:eastAsia="fr-FR"/>
        </w:rPr>
      </w:pPr>
    </w:p>
    <w:p w14:paraId="0BFF4710" w14:textId="77777777" w:rsidR="001E0FA9" w:rsidRPr="00D14C96" w:rsidRDefault="001E0FA9" w:rsidP="006E68F4">
      <w:pPr>
        <w:pStyle w:val="ListParagraph"/>
        <w:widowControl w:val="0"/>
        <w:numPr>
          <w:ilvl w:val="0"/>
          <w:numId w:val="11"/>
        </w:numPr>
        <w:shd w:val="clear" w:color="auto" w:fill="D9D9D9" w:themeFill="background1" w:themeFillShade="D9"/>
        <w:spacing w:after="120" w:line="240" w:lineRule="auto"/>
        <w:ind w:left="360"/>
        <w:rPr>
          <w:rFonts w:ascii="Times New Roman" w:eastAsia="Times New Roman" w:hAnsi="Times New Roman" w:cs="Times New Roman"/>
          <w:b/>
          <w:color w:val="000000"/>
          <w:sz w:val="24"/>
          <w:szCs w:val="24"/>
          <w:lang w:eastAsia="fr-FR"/>
        </w:rPr>
      </w:pPr>
      <w:r w:rsidRPr="00D14C96">
        <w:rPr>
          <w:rFonts w:ascii="Times New Roman" w:eastAsia="Times New Roman" w:hAnsi="Times New Roman" w:cs="Times New Roman"/>
          <w:b/>
          <w:color w:val="000000"/>
          <w:sz w:val="24"/>
          <w:szCs w:val="24"/>
          <w:lang w:eastAsia="fr-FR"/>
        </w:rPr>
        <w:t xml:space="preserve">L’amélioration de la qualité de l'information sur le foncier </w:t>
      </w:r>
    </w:p>
    <w:p w14:paraId="087FE3EE" w14:textId="77777777" w:rsidR="001E0FA9" w:rsidRPr="00D14C96" w:rsidRDefault="001E0FA9" w:rsidP="000050E0">
      <w:pPr>
        <w:widowControl w:val="0"/>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i/>
          <w:color w:val="000000"/>
          <w:sz w:val="24"/>
          <w:szCs w:val="24"/>
          <w:lang w:eastAsia="fr-FR"/>
        </w:rPr>
      </w:pPr>
      <w:r w:rsidRPr="00D14C96">
        <w:rPr>
          <w:rFonts w:ascii="Times New Roman" w:eastAsia="Times New Roman" w:hAnsi="Times New Roman" w:cs="Times New Roman"/>
          <w:i/>
          <w:color w:val="000000"/>
          <w:sz w:val="24"/>
          <w:szCs w:val="24"/>
          <w:lang w:eastAsia="fr-FR"/>
        </w:rPr>
        <w:t>La gestion du foncier souffre au Maroc de la vétusté ou de l’absence d’un cadastre économique et fiscal actualisé. Il faut pouvoir délimiter les propriété</w:t>
      </w:r>
      <w:r w:rsidRPr="00D14C96">
        <w:rPr>
          <w:rFonts w:ascii="Times New Roman" w:hAnsi="Times New Roman" w:cs="Times New Roman"/>
          <w:i/>
          <w:sz w:val="24"/>
          <w:szCs w:val="24"/>
        </w:rPr>
        <w:t xml:space="preserve">s et </w:t>
      </w:r>
      <w:r w:rsidRPr="00D14C96">
        <w:rPr>
          <w:rFonts w:ascii="Times New Roman" w:eastAsia="Times New Roman" w:hAnsi="Times New Roman" w:cs="Times New Roman"/>
          <w:i/>
          <w:color w:val="000000"/>
          <w:sz w:val="24"/>
          <w:szCs w:val="24"/>
          <w:lang w:eastAsia="fr-FR"/>
        </w:rPr>
        <w:t xml:space="preserve">les structures foncières </w:t>
      </w:r>
      <w:r w:rsidRPr="00D14C96">
        <w:rPr>
          <w:rFonts w:ascii="Times New Roman" w:hAnsi="Times New Roman" w:cs="Times New Roman"/>
          <w:i/>
          <w:sz w:val="24"/>
          <w:szCs w:val="24"/>
        </w:rPr>
        <w:t xml:space="preserve">et </w:t>
      </w:r>
      <w:r w:rsidRPr="00D14C96">
        <w:rPr>
          <w:rFonts w:ascii="Times New Roman" w:eastAsia="Times New Roman" w:hAnsi="Times New Roman" w:cs="Times New Roman"/>
          <w:i/>
          <w:color w:val="000000"/>
          <w:sz w:val="24"/>
          <w:szCs w:val="24"/>
          <w:lang w:eastAsia="fr-FR"/>
        </w:rPr>
        <w:t xml:space="preserve">disposer des informations (physiques, géographiques, économiques, urbaines, agricoles) associées à jour (notamment pour optimiser le produit de la taxe sur les terrains non bâtis, pour servir de support à l’immatriculation groupée, etc,.). </w:t>
      </w:r>
    </w:p>
    <w:p w14:paraId="2D57D936" w14:textId="77777777" w:rsidR="001E0FA9" w:rsidRPr="00D14C96" w:rsidRDefault="001E0FA9" w:rsidP="000050E0">
      <w:pPr>
        <w:widowControl w:val="0"/>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1E34A57D" w14:textId="77777777" w:rsidR="001E0FA9" w:rsidRPr="00D14C96" w:rsidRDefault="001E0FA9" w:rsidP="00520E79">
      <w:pPr>
        <w:widowControl w:val="0"/>
        <w:shd w:val="clear" w:color="auto" w:fill="D9D9D9" w:themeFill="background1" w:themeFillShade="D9"/>
        <w:autoSpaceDE w:val="0"/>
        <w:autoSpaceDN w:val="0"/>
        <w:adjustRightInd w:val="0"/>
        <w:spacing w:after="120" w:line="240" w:lineRule="auto"/>
        <w:jc w:val="both"/>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color w:val="000000"/>
          <w:sz w:val="24"/>
          <w:szCs w:val="24"/>
          <w:lang w:eastAsia="fr-FR"/>
        </w:rPr>
        <w:t xml:space="preserve">Des mesures concrètes peuvent être adoptées à cet effet notamment : </w:t>
      </w:r>
    </w:p>
    <w:p w14:paraId="64BD8114" w14:textId="59886CEB" w:rsidR="001E0FA9" w:rsidRDefault="001E0FA9" w:rsidP="006E68F4">
      <w:pPr>
        <w:pStyle w:val="ListParagraph"/>
        <w:widowControl w:val="0"/>
        <w:numPr>
          <w:ilvl w:val="0"/>
          <w:numId w:val="12"/>
        </w:numPr>
        <w:shd w:val="clear" w:color="auto" w:fill="D9D9D9" w:themeFill="background1" w:themeFillShade="D9"/>
        <w:spacing w:after="0" w:line="240" w:lineRule="auto"/>
        <w:ind w:left="426" w:hanging="426"/>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color w:val="000000"/>
          <w:sz w:val="24"/>
          <w:szCs w:val="24"/>
          <w:lang w:eastAsia="fr-FR"/>
        </w:rPr>
        <w:t xml:space="preserve">La </w:t>
      </w:r>
      <w:r w:rsidRPr="00D14C96">
        <w:rPr>
          <w:rFonts w:ascii="Times New Roman" w:eastAsia="Times New Roman" w:hAnsi="Times New Roman" w:cs="Times New Roman"/>
          <w:b/>
          <w:color w:val="000000"/>
          <w:sz w:val="24"/>
          <w:szCs w:val="24"/>
          <w:lang w:eastAsia="fr-FR"/>
        </w:rPr>
        <w:t>généralisation du cadastre dans les zones prioritaires</w:t>
      </w:r>
      <w:r w:rsidRPr="00D14C96">
        <w:rPr>
          <w:rFonts w:ascii="Times New Roman" w:eastAsia="Times New Roman" w:hAnsi="Times New Roman" w:cs="Times New Roman"/>
          <w:color w:val="000000"/>
          <w:sz w:val="24"/>
          <w:szCs w:val="24"/>
          <w:lang w:eastAsia="fr-FR"/>
        </w:rPr>
        <w:t xml:space="preserve"> (en particulier dans les communes périurbaines) au moyen de la technologie informatique et de procédur</w:t>
      </w:r>
      <w:r w:rsidR="001527A8">
        <w:rPr>
          <w:rFonts w:ascii="Times New Roman" w:eastAsia="Times New Roman" w:hAnsi="Times New Roman" w:cs="Times New Roman"/>
          <w:color w:val="000000"/>
          <w:sz w:val="24"/>
          <w:szCs w:val="24"/>
          <w:lang w:eastAsia="fr-FR"/>
        </w:rPr>
        <w:t>es d’enregistrement modernisées (ANCFCC)</w:t>
      </w:r>
    </w:p>
    <w:p w14:paraId="40E866BF" w14:textId="0E0A4888" w:rsidR="001527A8" w:rsidRPr="00D14C96" w:rsidRDefault="001527A8" w:rsidP="001527A8">
      <w:pPr>
        <w:pStyle w:val="ListParagraph"/>
        <w:widowControl w:val="0"/>
        <w:numPr>
          <w:ilvl w:val="0"/>
          <w:numId w:val="12"/>
        </w:numPr>
        <w:shd w:val="clear" w:color="auto" w:fill="D9D9D9" w:themeFill="background1" w:themeFillShade="D9"/>
        <w:spacing w:after="0" w:line="240" w:lineRule="auto"/>
        <w:ind w:left="426" w:hanging="426"/>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b/>
          <w:color w:val="000000"/>
          <w:sz w:val="24"/>
          <w:szCs w:val="24"/>
          <w:lang w:eastAsia="fr-FR"/>
        </w:rPr>
        <w:t>L’accès libre à l’information cadastrale et foncière</w:t>
      </w:r>
      <w:r>
        <w:rPr>
          <w:rFonts w:ascii="Times New Roman" w:eastAsia="Times New Roman" w:hAnsi="Times New Roman" w:cs="Times New Roman"/>
          <w:color w:val="000000"/>
          <w:sz w:val="24"/>
          <w:szCs w:val="24"/>
          <w:lang w:eastAsia="fr-FR"/>
        </w:rPr>
        <w:t xml:space="preserve"> (ANCFCC)</w:t>
      </w:r>
    </w:p>
    <w:p w14:paraId="550DBFD8" w14:textId="0660A90C" w:rsidR="001E0FA9" w:rsidRPr="00D14C96" w:rsidRDefault="001E0FA9" w:rsidP="006E68F4">
      <w:pPr>
        <w:pStyle w:val="ListParagraph"/>
        <w:widowControl w:val="0"/>
        <w:numPr>
          <w:ilvl w:val="0"/>
          <w:numId w:val="12"/>
        </w:numPr>
        <w:shd w:val="clear" w:color="auto" w:fill="D9D9D9" w:themeFill="background1" w:themeFillShade="D9"/>
        <w:spacing w:after="0" w:line="240" w:lineRule="auto"/>
        <w:ind w:left="426" w:hanging="426"/>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color w:val="000000"/>
          <w:sz w:val="24"/>
          <w:szCs w:val="24"/>
          <w:lang w:eastAsia="fr-FR"/>
        </w:rPr>
        <w:t xml:space="preserve">L’inventaire et la </w:t>
      </w:r>
      <w:r w:rsidRPr="00D14C96">
        <w:rPr>
          <w:rFonts w:ascii="Times New Roman" w:eastAsia="Times New Roman" w:hAnsi="Times New Roman" w:cs="Times New Roman"/>
          <w:b/>
          <w:color w:val="000000"/>
          <w:sz w:val="24"/>
          <w:szCs w:val="24"/>
          <w:lang w:eastAsia="fr-FR"/>
        </w:rPr>
        <w:t>mise à disposition de l’information sur le patrimoine public existant</w:t>
      </w:r>
      <w:r w:rsidR="001527A8">
        <w:rPr>
          <w:rFonts w:ascii="Times New Roman" w:eastAsia="Times New Roman" w:hAnsi="Times New Roman" w:cs="Times New Roman"/>
          <w:b/>
          <w:color w:val="000000"/>
          <w:sz w:val="24"/>
          <w:szCs w:val="24"/>
          <w:lang w:eastAsia="fr-FR"/>
        </w:rPr>
        <w:t xml:space="preserve">. </w:t>
      </w:r>
      <w:r w:rsidR="001527A8">
        <w:rPr>
          <w:rFonts w:ascii="Times New Roman" w:eastAsia="Times New Roman" w:hAnsi="Times New Roman" w:cs="Times New Roman"/>
          <w:color w:val="000000"/>
          <w:sz w:val="24"/>
          <w:szCs w:val="24"/>
          <w:lang w:eastAsia="fr-FR"/>
        </w:rPr>
        <w:t xml:space="preserve">Cette mission pourrait être menée par un opérateur foncier à définir, qui soit en mesure d’établir des partenariats avec les représentations déconcentrées de la Direction des Domaines </w:t>
      </w:r>
      <w:r w:rsidR="00F21A58">
        <w:rPr>
          <w:rFonts w:ascii="Times New Roman" w:eastAsia="Times New Roman" w:hAnsi="Times New Roman" w:cs="Times New Roman"/>
          <w:color w:val="000000"/>
          <w:sz w:val="24"/>
          <w:szCs w:val="24"/>
          <w:lang w:eastAsia="fr-FR"/>
        </w:rPr>
        <w:t xml:space="preserve">(ministère de l’Economie et des Finances) </w:t>
      </w:r>
      <w:r w:rsidR="001527A8">
        <w:rPr>
          <w:rFonts w:ascii="Times New Roman" w:eastAsia="Times New Roman" w:hAnsi="Times New Roman" w:cs="Times New Roman"/>
          <w:color w:val="000000"/>
          <w:sz w:val="24"/>
          <w:szCs w:val="24"/>
          <w:lang w:eastAsia="fr-FR"/>
        </w:rPr>
        <w:t>et de la Direction des Affaires Rura</w:t>
      </w:r>
      <w:r w:rsidR="00F21A58">
        <w:rPr>
          <w:rFonts w:ascii="Times New Roman" w:eastAsia="Times New Roman" w:hAnsi="Times New Roman" w:cs="Times New Roman"/>
          <w:color w:val="000000"/>
          <w:sz w:val="24"/>
          <w:szCs w:val="24"/>
          <w:lang w:eastAsia="fr-FR"/>
        </w:rPr>
        <w:t>l</w:t>
      </w:r>
      <w:r w:rsidR="001527A8">
        <w:rPr>
          <w:rFonts w:ascii="Times New Roman" w:eastAsia="Times New Roman" w:hAnsi="Times New Roman" w:cs="Times New Roman"/>
          <w:color w:val="000000"/>
          <w:sz w:val="24"/>
          <w:szCs w:val="24"/>
          <w:lang w:eastAsia="fr-FR"/>
        </w:rPr>
        <w:t xml:space="preserve">es </w:t>
      </w:r>
      <w:r w:rsidR="00F21A58">
        <w:rPr>
          <w:rFonts w:ascii="Times New Roman" w:eastAsia="Times New Roman" w:hAnsi="Times New Roman" w:cs="Times New Roman"/>
          <w:color w:val="000000"/>
          <w:sz w:val="24"/>
          <w:szCs w:val="24"/>
          <w:lang w:eastAsia="fr-FR"/>
        </w:rPr>
        <w:t xml:space="preserve">(ministère de l’Intérieur) pour générer une information à jour sur l’état des lieux du patrimoine public </w:t>
      </w:r>
      <w:r w:rsidR="002828F8">
        <w:rPr>
          <w:rFonts w:ascii="Times New Roman" w:eastAsia="Times New Roman" w:hAnsi="Times New Roman" w:cs="Times New Roman"/>
          <w:color w:val="000000"/>
          <w:sz w:val="24"/>
          <w:szCs w:val="24"/>
          <w:lang w:eastAsia="fr-FR"/>
        </w:rPr>
        <w:t>à différentes échelles</w:t>
      </w:r>
    </w:p>
    <w:p w14:paraId="0B85AAAC" w14:textId="5E8D6B65" w:rsidR="001E0FA9" w:rsidRPr="00D14C96" w:rsidRDefault="001E0FA9" w:rsidP="006E68F4">
      <w:pPr>
        <w:pStyle w:val="ListParagraph"/>
        <w:widowControl w:val="0"/>
        <w:numPr>
          <w:ilvl w:val="0"/>
          <w:numId w:val="12"/>
        </w:numPr>
        <w:shd w:val="clear" w:color="auto" w:fill="D9D9D9" w:themeFill="background1" w:themeFillShade="D9"/>
        <w:spacing w:after="0" w:line="240" w:lineRule="auto"/>
        <w:ind w:left="426" w:hanging="426"/>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b/>
          <w:color w:val="000000"/>
          <w:sz w:val="24"/>
          <w:szCs w:val="24"/>
          <w:lang w:eastAsia="fr-FR"/>
        </w:rPr>
        <w:t>L’intégration des différentes sources de données</w:t>
      </w:r>
      <w:r w:rsidR="002828F8">
        <w:rPr>
          <w:rFonts w:ascii="Times New Roman" w:eastAsia="Times New Roman" w:hAnsi="Times New Roman" w:cs="Times New Roman"/>
          <w:b/>
          <w:color w:val="000000"/>
          <w:sz w:val="24"/>
          <w:szCs w:val="24"/>
          <w:lang w:eastAsia="fr-FR"/>
        </w:rPr>
        <w:t xml:space="preserve"> </w:t>
      </w:r>
      <w:r w:rsidR="002828F8">
        <w:rPr>
          <w:rFonts w:ascii="Times New Roman" w:eastAsia="Times New Roman" w:hAnsi="Times New Roman" w:cs="Times New Roman"/>
          <w:color w:val="000000"/>
          <w:sz w:val="24"/>
          <w:szCs w:val="24"/>
          <w:lang w:eastAsia="fr-FR"/>
        </w:rPr>
        <w:t>(sous l’égide de l’opérateur foncier mentionné au point précédent ainsi que dans la proposition n°5)</w:t>
      </w:r>
      <w:r w:rsidRPr="00D14C96">
        <w:rPr>
          <w:rFonts w:ascii="Times New Roman" w:eastAsia="Times New Roman" w:hAnsi="Times New Roman" w:cs="Times New Roman"/>
          <w:color w:val="000000"/>
          <w:sz w:val="24"/>
          <w:szCs w:val="24"/>
          <w:lang w:eastAsia="fr-FR"/>
        </w:rPr>
        <w:t xml:space="preserve"> et la facilitation des échanges d'information afin d'assurer la mise en relation de la base de données cadastrales avec d’autres fichiers (conservation foncière, cartes topographiques, Domaines, enregistrement, etc.) à des fins de programmation et de planification.</w:t>
      </w:r>
    </w:p>
    <w:p w14:paraId="21F13CDD" w14:textId="77777777" w:rsidR="001E0FA9" w:rsidRPr="00D14C96" w:rsidRDefault="001E0FA9" w:rsidP="006E68F4">
      <w:pPr>
        <w:pStyle w:val="ListParagraph"/>
        <w:widowControl w:val="0"/>
        <w:numPr>
          <w:ilvl w:val="0"/>
          <w:numId w:val="12"/>
        </w:numPr>
        <w:shd w:val="clear" w:color="auto" w:fill="D9D9D9" w:themeFill="background1" w:themeFillShade="D9"/>
        <w:spacing w:after="0" w:line="240" w:lineRule="auto"/>
        <w:ind w:left="426" w:hanging="426"/>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color w:val="000000"/>
          <w:sz w:val="24"/>
          <w:szCs w:val="24"/>
          <w:lang w:eastAsia="fr-FR"/>
        </w:rPr>
        <w:t xml:space="preserve">La </w:t>
      </w:r>
      <w:r w:rsidRPr="00D14C96">
        <w:rPr>
          <w:rFonts w:ascii="Times New Roman" w:eastAsia="Times New Roman" w:hAnsi="Times New Roman" w:cs="Times New Roman"/>
          <w:b/>
          <w:color w:val="000000"/>
          <w:sz w:val="24"/>
          <w:szCs w:val="24"/>
          <w:lang w:eastAsia="fr-FR"/>
        </w:rPr>
        <w:t>création d’observatoires fonciers régionaux</w:t>
      </w:r>
      <w:r w:rsidRPr="00D14C96">
        <w:rPr>
          <w:rFonts w:ascii="Times New Roman" w:eastAsia="Times New Roman" w:hAnsi="Times New Roman" w:cs="Times New Roman"/>
          <w:color w:val="000000"/>
          <w:sz w:val="24"/>
          <w:szCs w:val="24"/>
          <w:lang w:eastAsia="fr-FR"/>
        </w:rPr>
        <w:t xml:space="preserve"> </w:t>
      </w:r>
    </w:p>
    <w:p w14:paraId="4B5835B6"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eastAsia="Times New Roman" w:hAnsi="Times New Roman" w:cs="Times New Roman"/>
          <w:color w:val="000000"/>
          <w:sz w:val="24"/>
          <w:szCs w:val="24"/>
          <w:highlight w:val="yellow"/>
          <w:lang w:eastAsia="fr-FR"/>
        </w:rPr>
      </w:pPr>
    </w:p>
    <w:p w14:paraId="121159D7" w14:textId="77777777" w:rsidR="001E0FA9" w:rsidRPr="00D14C96" w:rsidRDefault="001E0FA9" w:rsidP="009C2620">
      <w:pPr>
        <w:pStyle w:val="ListParagraph"/>
        <w:widowControl w:val="0"/>
        <w:numPr>
          <w:ilvl w:val="0"/>
          <w:numId w:val="11"/>
        </w:numPr>
        <w:shd w:val="clear" w:color="auto" w:fill="D9D9D9" w:themeFill="background1" w:themeFillShade="D9"/>
        <w:spacing w:after="0" w:line="240" w:lineRule="auto"/>
        <w:ind w:left="360"/>
        <w:rPr>
          <w:rFonts w:ascii="Times New Roman" w:eastAsia="Times New Roman" w:hAnsi="Times New Roman" w:cs="Times New Roman"/>
          <w:b/>
          <w:color w:val="000000"/>
          <w:sz w:val="24"/>
          <w:szCs w:val="24"/>
          <w:lang w:eastAsia="fr-FR"/>
        </w:rPr>
      </w:pPr>
      <w:r w:rsidRPr="00D14C96">
        <w:rPr>
          <w:rFonts w:ascii="Times New Roman" w:eastAsia="Times New Roman" w:hAnsi="Times New Roman" w:cs="Times New Roman"/>
          <w:b/>
          <w:color w:val="000000"/>
          <w:sz w:val="24"/>
          <w:szCs w:val="24"/>
          <w:lang w:eastAsia="fr-FR"/>
        </w:rPr>
        <w:t xml:space="preserve">Sécuriser la propriété privée traditionnelle </w:t>
      </w:r>
    </w:p>
    <w:p w14:paraId="3EB054F6" w14:textId="77777777" w:rsidR="001E0FA9" w:rsidRPr="00D14C96" w:rsidRDefault="001E0FA9" w:rsidP="000050E0">
      <w:pPr>
        <w:widowControl w:val="0"/>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0DB842A1" w14:textId="77777777" w:rsidR="001E0FA9" w:rsidRPr="00D14C96" w:rsidRDefault="001E0FA9" w:rsidP="000050E0">
      <w:pPr>
        <w:widowControl w:val="0"/>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i/>
          <w:color w:val="000000"/>
          <w:sz w:val="24"/>
          <w:szCs w:val="24"/>
          <w:lang w:eastAsia="fr-FR"/>
        </w:rPr>
      </w:pPr>
      <w:r w:rsidRPr="00D14C96">
        <w:rPr>
          <w:rFonts w:ascii="Times New Roman" w:eastAsia="Times New Roman" w:hAnsi="Times New Roman" w:cs="Times New Roman"/>
          <w:i/>
          <w:color w:val="000000"/>
          <w:sz w:val="24"/>
          <w:szCs w:val="24"/>
          <w:lang w:eastAsia="fr-FR"/>
        </w:rPr>
        <w:t xml:space="preserve">Les terrains sous le régime de la propriété privée traditionnelle dite melk restent pour la </w:t>
      </w:r>
      <w:r w:rsidRPr="00D14C96">
        <w:rPr>
          <w:rFonts w:ascii="Times New Roman" w:eastAsia="Times New Roman" w:hAnsi="Times New Roman" w:cs="Times New Roman"/>
          <w:i/>
          <w:color w:val="000000"/>
          <w:sz w:val="24"/>
          <w:szCs w:val="24"/>
          <w:lang w:eastAsia="fr-FR"/>
        </w:rPr>
        <w:lastRenderedPageBreak/>
        <w:t>plupart inconstructibles du fait de leur insécurité juridique et de leur non-conformité à la législation urbaine</w:t>
      </w:r>
      <w:r w:rsidRPr="00D14C96">
        <w:rPr>
          <w:rStyle w:val="FootnoteReference"/>
          <w:rFonts w:ascii="Times New Roman" w:eastAsia="Times New Roman" w:hAnsi="Times New Roman" w:cs="Times New Roman"/>
          <w:i/>
          <w:sz w:val="24"/>
          <w:szCs w:val="24"/>
          <w:lang w:eastAsia="fr-FR"/>
        </w:rPr>
        <w:footnoteReference w:id="46"/>
      </w:r>
      <w:r w:rsidRPr="00D14C96">
        <w:rPr>
          <w:rFonts w:ascii="Times New Roman" w:eastAsia="Times New Roman" w:hAnsi="Times New Roman" w:cs="Times New Roman"/>
          <w:i/>
          <w:color w:val="000000"/>
          <w:sz w:val="24"/>
          <w:szCs w:val="24"/>
          <w:lang w:eastAsia="fr-FR"/>
        </w:rPr>
        <w:t xml:space="preserve"> (obligation d’immatriculation préalable)</w:t>
      </w:r>
      <w:r w:rsidRPr="00D14C96">
        <w:rPr>
          <w:rStyle w:val="FootnoteReference"/>
          <w:rFonts w:ascii="Times New Roman" w:eastAsia="Times New Roman" w:hAnsi="Times New Roman" w:cs="Times New Roman"/>
          <w:i/>
          <w:sz w:val="24"/>
          <w:szCs w:val="24"/>
          <w:lang w:eastAsia="fr-FR"/>
        </w:rPr>
        <w:footnoteReference w:id="47"/>
      </w:r>
      <w:r w:rsidRPr="00D14C96">
        <w:rPr>
          <w:rFonts w:ascii="Times New Roman" w:eastAsia="Times New Roman" w:hAnsi="Times New Roman" w:cs="Times New Roman"/>
          <w:i/>
          <w:color w:val="000000"/>
          <w:sz w:val="24"/>
          <w:szCs w:val="24"/>
          <w:lang w:eastAsia="fr-FR"/>
        </w:rPr>
        <w:t xml:space="preserve">. Si l’immatriculation groupée peut être dans certains secteurs stratégiques une solution, il est cependant illusoire de répondre aux besoins au rythme actuel des immatriculations. </w:t>
      </w:r>
    </w:p>
    <w:p w14:paraId="70E0C51F" w14:textId="77777777" w:rsidR="001E0FA9" w:rsidRPr="00D14C96" w:rsidRDefault="001E0FA9" w:rsidP="000050E0">
      <w:pPr>
        <w:widowControl w:val="0"/>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79F71DA9" w14:textId="77777777" w:rsidR="001E0FA9" w:rsidRPr="00D14C96" w:rsidRDefault="001E0FA9" w:rsidP="00520E79">
      <w:pPr>
        <w:widowControl w:val="0"/>
        <w:shd w:val="clear" w:color="auto" w:fill="D9D9D9" w:themeFill="background1" w:themeFillShade="D9"/>
        <w:autoSpaceDE w:val="0"/>
        <w:autoSpaceDN w:val="0"/>
        <w:adjustRightInd w:val="0"/>
        <w:spacing w:after="120" w:line="240" w:lineRule="auto"/>
        <w:jc w:val="both"/>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b/>
          <w:color w:val="000000"/>
          <w:sz w:val="24"/>
          <w:szCs w:val="24"/>
          <w:lang w:eastAsia="fr-FR"/>
        </w:rPr>
        <w:t>Il importe donc d'adopter des dispositions / réformes visant à proposer une méthode destinée à mieux encadrer et sécuriser les procédures de mutation de la propriété traditionnelle</w:t>
      </w:r>
      <w:r w:rsidRPr="00D14C96">
        <w:rPr>
          <w:rStyle w:val="FootnoteReference"/>
          <w:rFonts w:ascii="Times New Roman" w:eastAsia="Times New Roman" w:hAnsi="Times New Roman" w:cs="Times New Roman"/>
          <w:b/>
          <w:sz w:val="24"/>
          <w:szCs w:val="24"/>
          <w:lang w:eastAsia="fr-FR"/>
        </w:rPr>
        <w:footnoteReference w:id="48"/>
      </w:r>
      <w:r w:rsidRPr="00D14C96">
        <w:rPr>
          <w:rFonts w:ascii="Times New Roman" w:eastAsia="Times New Roman" w:hAnsi="Times New Roman" w:cs="Times New Roman"/>
          <w:b/>
          <w:color w:val="000000"/>
          <w:sz w:val="24"/>
          <w:szCs w:val="24"/>
          <w:lang w:eastAsia="fr-FR"/>
        </w:rPr>
        <w:t>.</w:t>
      </w:r>
      <w:r w:rsidRPr="00D14C96">
        <w:rPr>
          <w:rFonts w:ascii="Times New Roman" w:eastAsia="Times New Roman" w:hAnsi="Times New Roman" w:cs="Times New Roman"/>
          <w:color w:val="000000"/>
          <w:sz w:val="24"/>
          <w:szCs w:val="24"/>
          <w:lang w:eastAsia="fr-FR"/>
        </w:rPr>
        <w:t xml:space="preserve"> Cette méthode devrait par ailleurs se rapprocher des dispositions relatives à l’immatriculation, à travers notamment :</w:t>
      </w:r>
    </w:p>
    <w:p w14:paraId="1839CFB6" w14:textId="77777777" w:rsidR="001E0FA9" w:rsidRPr="00D14C96" w:rsidRDefault="001E0FA9" w:rsidP="006E68F4">
      <w:pPr>
        <w:pStyle w:val="ListParagraph"/>
        <w:widowControl w:val="0"/>
        <w:numPr>
          <w:ilvl w:val="0"/>
          <w:numId w:val="13"/>
        </w:numPr>
        <w:shd w:val="clear" w:color="auto" w:fill="D9D9D9" w:themeFill="background1" w:themeFillShade="D9"/>
        <w:autoSpaceDE w:val="0"/>
        <w:autoSpaceDN w:val="0"/>
        <w:adjustRightInd w:val="0"/>
        <w:spacing w:after="60" w:line="240" w:lineRule="auto"/>
        <w:ind w:left="360"/>
        <w:contextualSpacing w:val="0"/>
        <w:jc w:val="both"/>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color w:val="000000"/>
          <w:sz w:val="24"/>
          <w:szCs w:val="24"/>
          <w:lang w:eastAsia="fr-FR"/>
        </w:rPr>
        <w:t xml:space="preserve">Un </w:t>
      </w:r>
      <w:r w:rsidRPr="00D14C96">
        <w:rPr>
          <w:rFonts w:ascii="Times New Roman" w:eastAsia="Times New Roman" w:hAnsi="Times New Roman" w:cs="Times New Roman"/>
          <w:b/>
          <w:color w:val="000000"/>
          <w:sz w:val="24"/>
          <w:szCs w:val="24"/>
          <w:lang w:eastAsia="fr-FR"/>
        </w:rPr>
        <w:t xml:space="preserve">dispositif de publicité approprié préalable à l’établissement des actes de propriété traditionnels </w:t>
      </w:r>
      <w:r w:rsidRPr="00D14C96">
        <w:rPr>
          <w:rFonts w:ascii="Times New Roman" w:eastAsia="Times New Roman" w:hAnsi="Times New Roman" w:cs="Times New Roman"/>
          <w:color w:val="000000"/>
          <w:sz w:val="24"/>
          <w:szCs w:val="24"/>
          <w:lang w:eastAsia="fr-FR"/>
        </w:rPr>
        <w:t xml:space="preserve">afin de limiter les oppositions et litiges </w:t>
      </w:r>
    </w:p>
    <w:p w14:paraId="7CE24192" w14:textId="2F6D0696" w:rsidR="001E0FA9" w:rsidRDefault="001E0FA9" w:rsidP="009C2620">
      <w:pPr>
        <w:pStyle w:val="ListParagraph"/>
        <w:widowControl w:val="0"/>
        <w:numPr>
          <w:ilvl w:val="0"/>
          <w:numId w:val="13"/>
        </w:numPr>
        <w:shd w:val="clear" w:color="auto" w:fill="D9D9D9" w:themeFill="background1" w:themeFillShade="D9"/>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color w:val="000000"/>
          <w:sz w:val="24"/>
          <w:szCs w:val="24"/>
          <w:lang w:eastAsia="fr-FR"/>
        </w:rPr>
        <w:t xml:space="preserve">L’établissement par un topographe agrée d’un </w:t>
      </w:r>
      <w:r w:rsidRPr="00D14C96">
        <w:rPr>
          <w:rFonts w:ascii="Times New Roman" w:eastAsia="Times New Roman" w:hAnsi="Times New Roman" w:cs="Times New Roman"/>
          <w:b/>
          <w:color w:val="000000"/>
          <w:sz w:val="24"/>
          <w:szCs w:val="24"/>
          <w:lang w:eastAsia="fr-FR"/>
        </w:rPr>
        <w:t>plan délimitant la propriété d’une manière incontestable</w:t>
      </w:r>
      <w:r w:rsidRPr="00D14C96">
        <w:rPr>
          <w:rFonts w:ascii="Times New Roman" w:eastAsia="Times New Roman" w:hAnsi="Times New Roman" w:cs="Times New Roman"/>
          <w:color w:val="000000"/>
          <w:sz w:val="24"/>
          <w:szCs w:val="24"/>
          <w:lang w:eastAsia="fr-FR"/>
        </w:rPr>
        <w:t xml:space="preserve"> en accompagnement de l’acte de cession</w:t>
      </w:r>
      <w:r w:rsidRPr="00D14C96">
        <w:rPr>
          <w:rStyle w:val="FootnoteReference"/>
          <w:rFonts w:ascii="Times New Roman" w:eastAsia="Times New Roman" w:hAnsi="Times New Roman" w:cs="Times New Roman"/>
          <w:sz w:val="24"/>
          <w:szCs w:val="24"/>
          <w:lang w:eastAsia="fr-FR"/>
        </w:rPr>
        <w:footnoteReference w:id="49"/>
      </w:r>
      <w:r w:rsidRPr="00D14C96">
        <w:rPr>
          <w:rFonts w:ascii="Times New Roman" w:eastAsia="Times New Roman" w:hAnsi="Times New Roman" w:cs="Times New Roman"/>
          <w:color w:val="000000"/>
          <w:sz w:val="24"/>
          <w:szCs w:val="24"/>
          <w:lang w:eastAsia="fr-FR"/>
        </w:rPr>
        <w:t>.</w:t>
      </w:r>
    </w:p>
    <w:p w14:paraId="1616209E" w14:textId="2CD8556B" w:rsidR="002828F8" w:rsidRPr="002828F8" w:rsidRDefault="00CD02A6" w:rsidP="002828F8">
      <w:pPr>
        <w:widowControl w:val="0"/>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C</w:t>
      </w:r>
      <w:r w:rsidR="002828F8">
        <w:rPr>
          <w:rFonts w:ascii="Times New Roman" w:eastAsia="Times New Roman" w:hAnsi="Times New Roman" w:cs="Times New Roman"/>
          <w:color w:val="000000"/>
          <w:sz w:val="24"/>
          <w:szCs w:val="24"/>
          <w:lang w:eastAsia="fr-FR"/>
        </w:rPr>
        <w:t>es deux mesures pourraient être conjointement mises en œuvre par la Conservation foncière (ANCFCC) et le ministère de la Justice.</w:t>
      </w:r>
    </w:p>
    <w:p w14:paraId="0EFA70AF" w14:textId="77777777" w:rsidR="001E0FA9" w:rsidRPr="00D14C96" w:rsidRDefault="001E0FA9" w:rsidP="000050E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38C199C1" w14:textId="77777777" w:rsidR="001E0FA9" w:rsidRPr="00D14C96" w:rsidRDefault="001E0FA9" w:rsidP="000050E0">
      <w:pPr>
        <w:pStyle w:val="Heading3"/>
        <w:rPr>
          <w:rFonts w:ascii="Times New Roman" w:eastAsia="Times New Roman" w:hAnsi="Times New Roman" w:cs="Times New Roman"/>
          <w:b/>
          <w:color w:val="000000"/>
          <w:lang w:eastAsia="fr-FR"/>
        </w:rPr>
      </w:pPr>
      <w:bookmarkStart w:id="129" w:name="_Toc515875129"/>
      <w:r w:rsidRPr="00D14C96">
        <w:rPr>
          <w:rFonts w:ascii="Times New Roman" w:eastAsia="Times New Roman" w:hAnsi="Times New Roman" w:cs="Times New Roman"/>
          <w:b/>
          <w:color w:val="000000"/>
          <w:u w:val="single"/>
          <w:lang w:eastAsia="fr-FR"/>
        </w:rPr>
        <w:t>Proposition #7 </w:t>
      </w:r>
      <w:r w:rsidRPr="00D14C96">
        <w:rPr>
          <w:rFonts w:ascii="Times New Roman" w:eastAsia="Times New Roman" w:hAnsi="Times New Roman" w:cs="Times New Roman"/>
          <w:b/>
          <w:color w:val="000000"/>
          <w:lang w:eastAsia="fr-FR"/>
        </w:rPr>
        <w:t>: Assurer une meilleure contribution financière au développement urbain</w:t>
      </w:r>
      <w:bookmarkEnd w:id="129"/>
    </w:p>
    <w:p w14:paraId="76345315" w14:textId="77777777" w:rsidR="001E0FA9" w:rsidRPr="00D14C96" w:rsidRDefault="001E0FA9" w:rsidP="000050E0">
      <w:pPr>
        <w:widowControl w:val="0"/>
        <w:shd w:val="clear" w:color="auto" w:fill="FFFFFF"/>
        <w:spacing w:after="0" w:line="240" w:lineRule="auto"/>
        <w:jc w:val="both"/>
        <w:rPr>
          <w:rFonts w:ascii="Times New Roman" w:hAnsi="Times New Roman" w:cs="Times New Roman"/>
          <w:sz w:val="24"/>
          <w:szCs w:val="24"/>
        </w:rPr>
      </w:pPr>
    </w:p>
    <w:p w14:paraId="506441E4" w14:textId="22EAB4BE"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L’amélioration du financement de l’urbanisation fait aujourd’hui l’objet de toutes les attentions</w:t>
      </w:r>
      <w:r w:rsidRPr="00D14C96">
        <w:rPr>
          <w:rFonts w:ascii="Times New Roman" w:hAnsi="Times New Roman" w:cs="Times New Roman"/>
          <w:b/>
          <w:i/>
        </w:rPr>
        <w:t>.</w:t>
      </w:r>
      <w:r w:rsidRPr="00D14C96">
        <w:rPr>
          <w:rFonts w:ascii="Times New Roman" w:hAnsi="Times New Roman" w:cs="Times New Roman"/>
          <w:i/>
        </w:rPr>
        <w:t xml:space="preserve"> </w:t>
      </w:r>
      <w:r w:rsidRPr="00D14C96">
        <w:rPr>
          <w:rFonts w:ascii="Times New Roman" w:hAnsi="Times New Roman" w:cs="Times New Roman"/>
        </w:rPr>
        <w:t xml:space="preserve">Cette </w:t>
      </w:r>
      <w:r w:rsidRPr="00D14C96">
        <w:rPr>
          <w:rFonts w:ascii="Times New Roman" w:eastAsia="Times New Roman" w:hAnsi="Times New Roman" w:cs="Times New Roman"/>
          <w:color w:val="000000"/>
          <w:lang w:eastAsia="fr-FR"/>
        </w:rPr>
        <w:t>orientation</w:t>
      </w:r>
      <w:r w:rsidRPr="00D14C96">
        <w:rPr>
          <w:rFonts w:ascii="Times New Roman" w:hAnsi="Times New Roman" w:cs="Times New Roman"/>
          <w:i/>
        </w:rPr>
        <w:t xml:space="preserve"> </w:t>
      </w:r>
      <w:r w:rsidRPr="00D14C96">
        <w:rPr>
          <w:rFonts w:ascii="Times New Roman" w:hAnsi="Times New Roman" w:cs="Times New Roman"/>
        </w:rPr>
        <w:t xml:space="preserve">s’appuie sur la nécessité d’adapter les outils et les moyens qui ne sont aujourd’hui plus en phase avec les évolutions urbaines et l’échelle des montants à mobiliser pour répondre au croît urbain.  </w:t>
      </w:r>
    </w:p>
    <w:p w14:paraId="3140AC02" w14:textId="77777777" w:rsidR="001E0FA9" w:rsidRPr="00D14C96" w:rsidRDefault="001E0FA9" w:rsidP="000050E0">
      <w:pPr>
        <w:widowControl w:val="0"/>
        <w:shd w:val="clear" w:color="auto" w:fill="FFFFFF"/>
        <w:spacing w:after="0" w:line="240" w:lineRule="auto"/>
        <w:jc w:val="both"/>
        <w:rPr>
          <w:rFonts w:ascii="Times New Roman" w:hAnsi="Times New Roman" w:cs="Times New Roman"/>
          <w:sz w:val="24"/>
          <w:szCs w:val="24"/>
        </w:rPr>
      </w:pPr>
    </w:p>
    <w:p w14:paraId="19139CF3" w14:textId="77777777" w:rsidR="001E0FA9" w:rsidRPr="00D14C96" w:rsidRDefault="001E0FA9" w:rsidP="00B4544E">
      <w:pPr>
        <w:pStyle w:val="Numberedparagraph"/>
        <w:ind w:left="0" w:firstLine="0"/>
        <w:rPr>
          <w:rFonts w:ascii="Times New Roman" w:hAnsi="Times New Roman" w:cs="Times New Roman"/>
          <w:i/>
        </w:rPr>
      </w:pPr>
      <w:r w:rsidRPr="00D14C96">
        <w:rPr>
          <w:rFonts w:ascii="Times New Roman" w:hAnsi="Times New Roman" w:cs="Times New Roman"/>
          <w:b/>
        </w:rPr>
        <w:t>C’est l’objectif que s’est fixée la réforme de la fiscalité locale en cours de préparation au niveau du ministère de l’intérieur.</w:t>
      </w:r>
      <w:r w:rsidRPr="00D14C96">
        <w:rPr>
          <w:rFonts w:ascii="Times New Roman" w:hAnsi="Times New Roman" w:cs="Times New Roman"/>
        </w:rPr>
        <w:t xml:space="preserve"> Un appui technique de la Banque Mondiale a été dans cette perspective proposé afin de nourrir la réflexion. L’un des attendus de cette réforme est de chercher à </w:t>
      </w:r>
      <w:r w:rsidRPr="00D14C96">
        <w:rPr>
          <w:rFonts w:ascii="Times New Roman" w:eastAsia="Times New Roman" w:hAnsi="Times New Roman" w:cs="Times New Roman"/>
          <w:color w:val="000000"/>
          <w:lang w:eastAsia="fr-FR"/>
        </w:rPr>
        <w:t>optimiser</w:t>
      </w:r>
      <w:r w:rsidRPr="00D14C96">
        <w:rPr>
          <w:rFonts w:ascii="Times New Roman" w:hAnsi="Times New Roman" w:cs="Times New Roman"/>
        </w:rPr>
        <w:t xml:space="preserve"> le potentiel fiscal des communes à travers l’adaptation des bases d’imposition des impôts locaux, l’élargissement de l’assiette, l’amélioration du recensement des contribuables et des constructions, de l’information sur le foncier, l’engagement des communes, etc.</w:t>
      </w:r>
      <w:r w:rsidRPr="00D14C96">
        <w:rPr>
          <w:rFonts w:ascii="Times New Roman" w:hAnsi="Times New Roman" w:cs="Times New Roman"/>
          <w:i/>
        </w:rPr>
        <w:t xml:space="preserve"> </w:t>
      </w:r>
    </w:p>
    <w:p w14:paraId="2078D00D" w14:textId="77777777" w:rsidR="001E0FA9" w:rsidRPr="00D14C96" w:rsidRDefault="001E0FA9" w:rsidP="000050E0">
      <w:pPr>
        <w:widowControl w:val="0"/>
        <w:shd w:val="clear" w:color="auto" w:fill="FFFFFF"/>
        <w:spacing w:after="0" w:line="240" w:lineRule="auto"/>
        <w:jc w:val="both"/>
        <w:rPr>
          <w:rFonts w:ascii="Times New Roman" w:hAnsi="Times New Roman" w:cs="Times New Roman"/>
          <w:sz w:val="24"/>
          <w:szCs w:val="24"/>
        </w:rPr>
      </w:pPr>
    </w:p>
    <w:p w14:paraId="55D237EC" w14:textId="77777777" w:rsidR="001E0FA9" w:rsidRPr="00D14C96" w:rsidRDefault="001E0FA9" w:rsidP="006E68F4">
      <w:pPr>
        <w:widowControl w:val="0"/>
        <w:shd w:val="clear" w:color="auto" w:fill="D9D9D9" w:themeFill="background1" w:themeFillShade="D9"/>
        <w:spacing w:after="120" w:line="240" w:lineRule="auto"/>
        <w:jc w:val="both"/>
        <w:rPr>
          <w:rFonts w:ascii="Times New Roman" w:hAnsi="Times New Roman" w:cs="Times New Roman"/>
          <w:b/>
          <w:color w:val="2E74B5" w:themeColor="accent1" w:themeShade="BF"/>
          <w:sz w:val="24"/>
          <w:szCs w:val="24"/>
          <w:u w:val="single"/>
        </w:rPr>
      </w:pPr>
      <w:r w:rsidRPr="00D14C96">
        <w:rPr>
          <w:rFonts w:ascii="Times New Roman" w:hAnsi="Times New Roman" w:cs="Times New Roman"/>
          <w:b/>
          <w:color w:val="2E74B5" w:themeColor="accent1" w:themeShade="BF"/>
          <w:sz w:val="24"/>
          <w:szCs w:val="24"/>
          <w:u w:val="single"/>
        </w:rPr>
        <w:t>Quelles pistes ?</w:t>
      </w:r>
    </w:p>
    <w:p w14:paraId="560B3739" w14:textId="34B17C6B" w:rsidR="001E0FA9" w:rsidRPr="00D14C96" w:rsidRDefault="001E0FA9" w:rsidP="00520E79">
      <w:pPr>
        <w:widowControl w:val="0"/>
        <w:shd w:val="clear" w:color="auto" w:fill="D9D9D9" w:themeFill="background1" w:themeFillShade="D9"/>
        <w:spacing w:after="120" w:line="240" w:lineRule="auto"/>
        <w:jc w:val="both"/>
        <w:rPr>
          <w:rFonts w:ascii="Times New Roman" w:hAnsi="Times New Roman" w:cs="Times New Roman"/>
          <w:b/>
          <w:sz w:val="24"/>
          <w:szCs w:val="24"/>
        </w:rPr>
      </w:pPr>
      <w:r w:rsidRPr="00D14C96">
        <w:rPr>
          <w:rFonts w:ascii="Times New Roman" w:hAnsi="Times New Roman" w:cs="Times New Roman"/>
          <w:b/>
          <w:sz w:val="24"/>
          <w:szCs w:val="24"/>
        </w:rPr>
        <w:t>Il est également important de réfléchir :</w:t>
      </w:r>
    </w:p>
    <w:p w14:paraId="41454567" w14:textId="07525942" w:rsidR="001E0FA9" w:rsidRPr="00D14C96" w:rsidRDefault="001E0FA9" w:rsidP="009C2620">
      <w:pPr>
        <w:pStyle w:val="ListParagraph"/>
        <w:widowControl w:val="0"/>
        <w:numPr>
          <w:ilvl w:val="0"/>
          <w:numId w:val="22"/>
        </w:numPr>
        <w:shd w:val="clear" w:color="auto" w:fill="D9D9D9" w:themeFill="background1" w:themeFillShade="D9"/>
        <w:spacing w:after="0" w:line="240" w:lineRule="auto"/>
        <w:ind w:left="426" w:hanging="426"/>
        <w:jc w:val="both"/>
        <w:rPr>
          <w:rFonts w:ascii="Times New Roman" w:hAnsi="Times New Roman" w:cs="Times New Roman"/>
          <w:sz w:val="24"/>
          <w:szCs w:val="24"/>
        </w:rPr>
      </w:pPr>
      <w:r w:rsidRPr="00D14C96">
        <w:rPr>
          <w:rFonts w:ascii="Times New Roman" w:hAnsi="Times New Roman" w:cs="Times New Roman"/>
          <w:b/>
          <w:sz w:val="24"/>
          <w:szCs w:val="24"/>
        </w:rPr>
        <w:t>aux participations financières des aménageurs constructeurs</w:t>
      </w:r>
      <w:r w:rsidRPr="00D14C96">
        <w:rPr>
          <w:rFonts w:ascii="Times New Roman" w:hAnsi="Times New Roman" w:cs="Times New Roman"/>
          <w:b/>
          <w:i/>
          <w:sz w:val="24"/>
          <w:szCs w:val="24"/>
        </w:rPr>
        <w:t>.</w:t>
      </w:r>
      <w:r w:rsidRPr="00D14C96">
        <w:rPr>
          <w:rFonts w:ascii="Times New Roman" w:hAnsi="Times New Roman" w:cs="Times New Roman"/>
          <w:i/>
          <w:sz w:val="24"/>
          <w:szCs w:val="24"/>
        </w:rPr>
        <w:t xml:space="preserve"> </w:t>
      </w:r>
      <w:r w:rsidRPr="00D14C96">
        <w:rPr>
          <w:rFonts w:ascii="Times New Roman" w:hAnsi="Times New Roman" w:cs="Times New Roman"/>
          <w:sz w:val="24"/>
          <w:szCs w:val="24"/>
        </w:rPr>
        <w:t xml:space="preserve">Il s’agit pour cela d’encourager la mise en place d’outils règlementaires (et/ou conventionnels) permettant d’exiger (ou de négocier) des propriétaires fonciers ou des opérateurs aménageurs leur participation au financement des équipements publics nécessaires à la réalisation des projets urbains à partir de la plus-value créée. </w:t>
      </w:r>
    </w:p>
    <w:p w14:paraId="19845743"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hAnsi="Times New Roman" w:cs="Times New Roman"/>
          <w:sz w:val="24"/>
          <w:szCs w:val="24"/>
        </w:rPr>
      </w:pPr>
    </w:p>
    <w:p w14:paraId="05146CD3" w14:textId="77777777" w:rsidR="001E0FA9" w:rsidRPr="00D14C96" w:rsidRDefault="001E0FA9" w:rsidP="00520E79">
      <w:pPr>
        <w:widowControl w:val="0"/>
        <w:shd w:val="clear" w:color="auto" w:fill="D9D9D9" w:themeFill="background1" w:themeFillShade="D9"/>
        <w:spacing w:after="120" w:line="240" w:lineRule="auto"/>
        <w:jc w:val="both"/>
        <w:rPr>
          <w:rFonts w:ascii="Times New Roman" w:hAnsi="Times New Roman" w:cs="Times New Roman"/>
          <w:sz w:val="24"/>
          <w:szCs w:val="24"/>
        </w:rPr>
      </w:pPr>
      <w:r w:rsidRPr="00D14C96">
        <w:rPr>
          <w:rFonts w:ascii="Times New Roman" w:hAnsi="Times New Roman" w:cs="Times New Roman"/>
          <w:b/>
          <w:sz w:val="24"/>
          <w:szCs w:val="24"/>
        </w:rPr>
        <w:t xml:space="preserve">Les mesures concrètes proposées à cet effet sont : </w:t>
      </w:r>
    </w:p>
    <w:p w14:paraId="7B9F9910" w14:textId="685737EE" w:rsidR="001E0FA9" w:rsidRPr="00D14C96" w:rsidRDefault="001E0FA9" w:rsidP="00385E89">
      <w:pPr>
        <w:pStyle w:val="ListParagraph"/>
        <w:widowControl w:val="0"/>
        <w:numPr>
          <w:ilvl w:val="0"/>
          <w:numId w:val="23"/>
        </w:numPr>
        <w:shd w:val="clear" w:color="auto" w:fill="D9D9D9" w:themeFill="background1" w:themeFillShade="D9"/>
        <w:spacing w:after="60" w:line="240" w:lineRule="auto"/>
        <w:ind w:left="425" w:hanging="425"/>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De </w:t>
      </w:r>
      <w:r w:rsidRPr="00D14C96">
        <w:rPr>
          <w:rFonts w:ascii="Times New Roman" w:hAnsi="Times New Roman" w:cs="Times New Roman"/>
          <w:b/>
          <w:sz w:val="24"/>
          <w:szCs w:val="24"/>
        </w:rPr>
        <w:t>faire évoluer la participation au premier établissement pour l’assainissement et l’eau</w:t>
      </w:r>
      <w:r w:rsidRPr="00D14C96">
        <w:rPr>
          <w:rFonts w:ascii="Times New Roman" w:hAnsi="Times New Roman" w:cs="Times New Roman"/>
          <w:sz w:val="24"/>
          <w:szCs w:val="24"/>
        </w:rPr>
        <w:t xml:space="preserve"> sur la base du coût réel du raccordement aux réseaux secondaires et primaires hors </w:t>
      </w:r>
      <w:r w:rsidRPr="00D14C96">
        <w:rPr>
          <w:rFonts w:ascii="Times New Roman" w:hAnsi="Times New Roman" w:cs="Times New Roman"/>
          <w:sz w:val="24"/>
          <w:szCs w:val="24"/>
        </w:rPr>
        <w:lastRenderedPageBreak/>
        <w:t>site (et non des m2 de planchers d’une opération comme c’est le cas actuellement)</w:t>
      </w:r>
      <w:r w:rsidRPr="00D14C96">
        <w:rPr>
          <w:rStyle w:val="FootnoteReference"/>
          <w:rFonts w:ascii="Times New Roman" w:hAnsi="Times New Roman" w:cs="Times New Roman"/>
          <w:sz w:val="24"/>
          <w:szCs w:val="24"/>
        </w:rPr>
        <w:footnoteReference w:id="50"/>
      </w:r>
      <w:r w:rsidRPr="00D14C96">
        <w:rPr>
          <w:rFonts w:ascii="Times New Roman" w:hAnsi="Times New Roman" w:cs="Times New Roman"/>
          <w:sz w:val="24"/>
          <w:szCs w:val="24"/>
        </w:rPr>
        <w:t xml:space="preserve"> </w:t>
      </w:r>
    </w:p>
    <w:p w14:paraId="34C006C8" w14:textId="77777777" w:rsidR="001E0FA9" w:rsidRPr="00D14C96" w:rsidRDefault="001E0FA9" w:rsidP="00385E89">
      <w:pPr>
        <w:pStyle w:val="ListParagraph"/>
        <w:widowControl w:val="0"/>
        <w:numPr>
          <w:ilvl w:val="0"/>
          <w:numId w:val="23"/>
        </w:numPr>
        <w:shd w:val="clear" w:color="auto" w:fill="D9D9D9" w:themeFill="background1" w:themeFillShade="D9"/>
        <w:spacing w:after="60" w:line="240" w:lineRule="auto"/>
        <w:ind w:left="425" w:hanging="425"/>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De </w:t>
      </w:r>
      <w:r w:rsidRPr="00D14C96">
        <w:rPr>
          <w:rFonts w:ascii="Times New Roman" w:hAnsi="Times New Roman" w:cs="Times New Roman"/>
          <w:b/>
          <w:sz w:val="24"/>
          <w:szCs w:val="24"/>
        </w:rPr>
        <w:t>confirmer le principe de la contribution obligatoire des lotisseurs aménageurs au foncier et aux dépenses d'équipement et d'aménagement des voiries</w:t>
      </w:r>
      <w:r w:rsidRPr="00D14C96">
        <w:rPr>
          <w:rFonts w:ascii="Times New Roman" w:hAnsi="Times New Roman" w:cs="Times New Roman"/>
          <w:sz w:val="24"/>
          <w:szCs w:val="24"/>
        </w:rPr>
        <w:t xml:space="preserve"> sur leur terrain en introduisant éventuellement une participation à la réalisation des grandes voies structurantes hors sites (reprise améliorée des anciens articles 76 et 77 de la loi 30/89</w:t>
      </w:r>
      <w:r w:rsidRPr="00D14C96">
        <w:rPr>
          <w:rFonts w:ascii="Times New Roman" w:hAnsi="Times New Roman" w:cs="Times New Roman"/>
          <w:sz w:val="24"/>
          <w:szCs w:val="24"/>
          <w:vertAlign w:val="superscript"/>
        </w:rPr>
        <w:footnoteReference w:id="51"/>
      </w:r>
      <w:r w:rsidRPr="00D14C96">
        <w:rPr>
          <w:rFonts w:ascii="Times New Roman" w:hAnsi="Times New Roman" w:cs="Times New Roman"/>
          <w:sz w:val="24"/>
          <w:szCs w:val="24"/>
        </w:rPr>
        <w:t xml:space="preserve">, supprimé par la loi 47-06) </w:t>
      </w:r>
    </w:p>
    <w:p w14:paraId="45D0E5D2" w14:textId="77777777" w:rsidR="001E0FA9" w:rsidRPr="00D14C96" w:rsidRDefault="001E0FA9" w:rsidP="00385E89">
      <w:pPr>
        <w:pStyle w:val="ListParagraph"/>
        <w:widowControl w:val="0"/>
        <w:numPr>
          <w:ilvl w:val="0"/>
          <w:numId w:val="23"/>
        </w:numPr>
        <w:shd w:val="clear" w:color="auto" w:fill="D9D9D9" w:themeFill="background1" w:themeFillShade="D9"/>
        <w:spacing w:after="60" w:line="240" w:lineRule="auto"/>
        <w:ind w:left="425" w:hanging="425"/>
        <w:contextualSpacing w:val="0"/>
        <w:jc w:val="both"/>
        <w:rPr>
          <w:rFonts w:ascii="Times New Roman" w:hAnsi="Times New Roman" w:cs="Times New Roman"/>
          <w:sz w:val="24"/>
          <w:szCs w:val="24"/>
        </w:rPr>
      </w:pPr>
      <w:r w:rsidRPr="00D14C96">
        <w:rPr>
          <w:rFonts w:ascii="Times New Roman" w:hAnsi="Times New Roman" w:cs="Times New Roman"/>
          <w:b/>
          <w:sz w:val="24"/>
          <w:szCs w:val="24"/>
        </w:rPr>
        <w:t>D’imposer la contribution gratuite au foncier des équipements socio-collectifs </w:t>
      </w:r>
      <w:r w:rsidRPr="00D14C96">
        <w:rPr>
          <w:rFonts w:ascii="Times New Roman" w:hAnsi="Times New Roman" w:cs="Times New Roman"/>
          <w:sz w:val="24"/>
          <w:szCs w:val="24"/>
        </w:rPr>
        <w:t xml:space="preserve">: (i) dans les grands projets maitrisés (villes nouvelles, nouveaux pôles urbains, etc.) et (ii) dans le cadre d’opérations de remembrements fonciers menées par des associations de propriétaires à travers des participations en nature et une répartition équitable des coûts et des bénéfices (cf. chapitre 5.1 L’opérationnalisation des zones à urbaniser) </w:t>
      </w:r>
    </w:p>
    <w:p w14:paraId="7A0D87D8" w14:textId="77777777" w:rsidR="001E0FA9" w:rsidRPr="00D14C96" w:rsidRDefault="001E0FA9" w:rsidP="00385E89">
      <w:pPr>
        <w:pStyle w:val="ListParagraph"/>
        <w:widowControl w:val="0"/>
        <w:numPr>
          <w:ilvl w:val="0"/>
          <w:numId w:val="23"/>
        </w:numPr>
        <w:shd w:val="clear" w:color="auto" w:fill="D9D9D9" w:themeFill="background1" w:themeFillShade="D9"/>
        <w:spacing w:after="0" w:line="240" w:lineRule="auto"/>
        <w:ind w:left="426" w:hanging="426"/>
        <w:contextualSpacing w:val="0"/>
        <w:jc w:val="both"/>
        <w:rPr>
          <w:rFonts w:ascii="Times New Roman" w:hAnsi="Times New Roman" w:cs="Times New Roman"/>
          <w:sz w:val="24"/>
          <w:szCs w:val="24"/>
          <w:vertAlign w:val="superscript"/>
        </w:rPr>
      </w:pPr>
      <w:r w:rsidRPr="00D14C96">
        <w:rPr>
          <w:rFonts w:ascii="Times New Roman" w:hAnsi="Times New Roman" w:cs="Times New Roman"/>
          <w:b/>
          <w:sz w:val="24"/>
          <w:szCs w:val="24"/>
        </w:rPr>
        <w:t>De permettre des participations négociées au coût des équipements hors sites</w:t>
      </w:r>
      <w:r w:rsidRPr="00D14C96">
        <w:rPr>
          <w:rFonts w:ascii="Times New Roman" w:hAnsi="Times New Roman" w:cs="Times New Roman"/>
          <w:sz w:val="24"/>
          <w:szCs w:val="24"/>
        </w:rPr>
        <w:t xml:space="preserve"> pour les grands projets maitrisés lorsqu’ils sont situés en dehors des plans d’aménagement</w:t>
      </w:r>
      <w:r w:rsidRPr="00D14C96">
        <w:rPr>
          <w:rFonts w:ascii="Times New Roman" w:hAnsi="Times New Roman" w:cs="Times New Roman"/>
          <w:sz w:val="24"/>
          <w:szCs w:val="24"/>
          <w:vertAlign w:val="superscript"/>
        </w:rPr>
        <w:footnoteReference w:id="52"/>
      </w:r>
      <w:r w:rsidRPr="00D14C96">
        <w:rPr>
          <w:rFonts w:ascii="Times New Roman" w:hAnsi="Times New Roman" w:cs="Times New Roman"/>
          <w:sz w:val="24"/>
          <w:szCs w:val="24"/>
        </w:rPr>
        <w:t>.</w:t>
      </w:r>
    </w:p>
    <w:p w14:paraId="50411D94" w14:textId="77777777" w:rsidR="001E0FA9" w:rsidRPr="00D14C96" w:rsidRDefault="001E0FA9" w:rsidP="00DF73A9">
      <w:pPr>
        <w:widowControl w:val="0"/>
        <w:shd w:val="clear" w:color="auto" w:fill="D9D9D9" w:themeFill="background1" w:themeFillShade="D9"/>
        <w:spacing w:after="0" w:line="240" w:lineRule="auto"/>
        <w:jc w:val="both"/>
        <w:rPr>
          <w:rFonts w:ascii="Times New Roman" w:hAnsi="Times New Roman" w:cs="Times New Roman"/>
          <w:sz w:val="24"/>
          <w:szCs w:val="24"/>
        </w:rPr>
      </w:pPr>
    </w:p>
    <w:p w14:paraId="6A20F0BC" w14:textId="464B3E7B" w:rsidR="001E0FA9" w:rsidRPr="00D14C96" w:rsidRDefault="001E0FA9" w:rsidP="009C2620">
      <w:pPr>
        <w:pStyle w:val="ListParagraph"/>
        <w:widowControl w:val="0"/>
        <w:numPr>
          <w:ilvl w:val="0"/>
          <w:numId w:val="22"/>
        </w:numPr>
        <w:shd w:val="clear" w:color="auto" w:fill="D9D9D9" w:themeFill="background1" w:themeFillShade="D9"/>
        <w:spacing w:after="0" w:line="240" w:lineRule="auto"/>
        <w:ind w:left="567" w:hanging="567"/>
        <w:jc w:val="both"/>
        <w:rPr>
          <w:rFonts w:ascii="Times New Roman" w:hAnsi="Times New Roman" w:cs="Times New Roman"/>
          <w:sz w:val="24"/>
          <w:szCs w:val="24"/>
        </w:rPr>
      </w:pPr>
      <w:r w:rsidRPr="00D14C96">
        <w:rPr>
          <w:rFonts w:ascii="Times New Roman" w:hAnsi="Times New Roman" w:cs="Times New Roman"/>
          <w:b/>
          <w:sz w:val="24"/>
          <w:szCs w:val="24"/>
        </w:rPr>
        <w:t xml:space="preserve">à la mise à disposition de ressources permettant de préfinancer des infrastructures hors site et secondaires </w:t>
      </w:r>
      <w:r w:rsidRPr="00D14C96">
        <w:rPr>
          <w:rFonts w:ascii="Times New Roman" w:hAnsi="Times New Roman" w:cs="Times New Roman"/>
          <w:sz w:val="24"/>
          <w:szCs w:val="24"/>
        </w:rPr>
        <w:t>sur le long terme (en particulier pour l’eau pluviale, nouvelle préoccupation, dont la charge revient à l’Etat) via par exemple un fonds de financement de l’infrastructure urbaine</w:t>
      </w:r>
    </w:p>
    <w:p w14:paraId="74217282" w14:textId="77777777" w:rsidR="001E0FA9" w:rsidRPr="00D14C96" w:rsidRDefault="001E0FA9" w:rsidP="000050E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4232EDF9" w14:textId="77777777" w:rsidR="001E0FA9" w:rsidRPr="00D14C96" w:rsidRDefault="001E0FA9" w:rsidP="009C2620">
      <w:pPr>
        <w:pStyle w:val="Heading3"/>
        <w:numPr>
          <w:ilvl w:val="0"/>
          <w:numId w:val="5"/>
        </w:numPr>
        <w:spacing w:line="240" w:lineRule="auto"/>
        <w:ind w:left="720"/>
        <w:rPr>
          <w:rFonts w:ascii="Times New Roman" w:hAnsi="Times New Roman" w:cs="Times New Roman"/>
          <w:b/>
          <w:color w:val="C00000"/>
          <w:lang w:eastAsia="fr-FR"/>
        </w:rPr>
      </w:pPr>
      <w:bookmarkStart w:id="130" w:name="_Toc515875130"/>
      <w:r w:rsidRPr="00D14C96">
        <w:rPr>
          <w:rFonts w:ascii="Times New Roman" w:hAnsi="Times New Roman" w:cs="Times New Roman"/>
          <w:b/>
          <w:color w:val="C00000"/>
          <w:lang w:eastAsia="fr-FR"/>
        </w:rPr>
        <w:t>Acteurs</w:t>
      </w:r>
      <w:bookmarkEnd w:id="130"/>
    </w:p>
    <w:p w14:paraId="36E02FF7" w14:textId="77777777" w:rsidR="001E0FA9" w:rsidRPr="00D14C96" w:rsidRDefault="001E0FA9" w:rsidP="000050E0">
      <w:pPr>
        <w:widowControl w:val="0"/>
        <w:spacing w:after="0" w:line="240" w:lineRule="auto"/>
        <w:rPr>
          <w:rFonts w:ascii="Times New Roman" w:eastAsia="Times New Roman" w:hAnsi="Times New Roman" w:cs="Times New Roman"/>
          <w:b/>
          <w:color w:val="000000"/>
          <w:sz w:val="24"/>
          <w:szCs w:val="24"/>
          <w:lang w:eastAsia="fr-FR"/>
        </w:rPr>
      </w:pPr>
    </w:p>
    <w:p w14:paraId="519CEDA6" w14:textId="0251C609" w:rsidR="001E0FA9" w:rsidRPr="00D14C96" w:rsidRDefault="001E0FA9" w:rsidP="000050E0">
      <w:pPr>
        <w:pStyle w:val="Heading3"/>
        <w:rPr>
          <w:rFonts w:ascii="Times New Roman" w:eastAsia="Times New Roman" w:hAnsi="Times New Roman" w:cs="Times New Roman"/>
          <w:b/>
          <w:color w:val="000000"/>
          <w:lang w:eastAsia="fr-FR"/>
        </w:rPr>
      </w:pPr>
      <w:bookmarkStart w:id="131" w:name="_Toc515875131"/>
      <w:r w:rsidRPr="00D14C96">
        <w:rPr>
          <w:rFonts w:ascii="Times New Roman" w:eastAsia="Times New Roman" w:hAnsi="Times New Roman" w:cs="Times New Roman"/>
          <w:b/>
          <w:color w:val="000000"/>
          <w:u w:val="single"/>
          <w:lang w:eastAsia="fr-FR"/>
        </w:rPr>
        <w:t>Proposition #8</w:t>
      </w:r>
      <w:r w:rsidRPr="00D14C96">
        <w:rPr>
          <w:rFonts w:ascii="Times New Roman" w:eastAsia="Times New Roman" w:hAnsi="Times New Roman" w:cs="Times New Roman"/>
          <w:b/>
          <w:color w:val="000000"/>
          <w:lang w:eastAsia="fr-FR"/>
        </w:rPr>
        <w:t xml:space="preserve"> : Positionner le Wali en tant qu’acteur pivot de la déconcentration administrative</w:t>
      </w:r>
      <w:r w:rsidR="00337B61">
        <w:rPr>
          <w:rFonts w:ascii="Times New Roman" w:eastAsia="Times New Roman" w:hAnsi="Times New Roman" w:cs="Times New Roman"/>
          <w:b/>
          <w:color w:val="000000"/>
          <w:lang w:eastAsia="fr-FR"/>
        </w:rPr>
        <w:t xml:space="preserve"> dans </w:t>
      </w:r>
      <w:r w:rsidR="00CD02A6">
        <w:rPr>
          <w:rFonts w:ascii="Times New Roman" w:eastAsia="Times New Roman" w:hAnsi="Times New Roman" w:cs="Times New Roman"/>
          <w:b/>
          <w:color w:val="000000"/>
          <w:lang w:eastAsia="fr-FR"/>
        </w:rPr>
        <w:t>le</w:t>
      </w:r>
      <w:r w:rsidR="00337B61">
        <w:rPr>
          <w:rFonts w:ascii="Times New Roman" w:eastAsia="Times New Roman" w:hAnsi="Times New Roman" w:cs="Times New Roman"/>
          <w:b/>
          <w:color w:val="000000"/>
          <w:lang w:eastAsia="fr-FR"/>
        </w:rPr>
        <w:t xml:space="preserve"> contexte de régionalisation avancée</w:t>
      </w:r>
      <w:bookmarkEnd w:id="131"/>
    </w:p>
    <w:p w14:paraId="0C55C7C2"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51DD17C5" w14:textId="77777777"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Les réformes et le processus de régionalisation / déconcentration engagés par le Maroc depuis 2011 vont remodeler la présence territoriale de l’Etat ainsi que l’organisation de ses services dans les régions et les villes.</w:t>
      </w:r>
      <w:r w:rsidRPr="00D14C96">
        <w:rPr>
          <w:rFonts w:ascii="Times New Roman" w:hAnsi="Times New Roman" w:cs="Times New Roman"/>
        </w:rPr>
        <w:t xml:space="preserve"> "</w:t>
      </w:r>
      <w:r w:rsidRPr="00D14C96">
        <w:rPr>
          <w:rFonts w:ascii="Times New Roman" w:hAnsi="Times New Roman" w:cs="Times New Roman"/>
          <w:i/>
        </w:rPr>
        <w:t>Deuxième pilier"</w:t>
      </w:r>
      <w:r w:rsidRPr="00D14C96">
        <w:rPr>
          <w:rFonts w:ascii="Times New Roman" w:hAnsi="Times New Roman" w:cs="Times New Roman"/>
        </w:rPr>
        <w:t xml:space="preserve"> de la décentralisation, la déconcentration administrative va autant consister à transférer des compétences aux services déconcentrés en provenance de l'échelon central qu’à renforcer les pouvoirs des représentants locaux de l'État (walis et gouverneurs) à leur égard. Ceci </w:t>
      </w:r>
      <w:r w:rsidRPr="00D14C96">
        <w:rPr>
          <w:rFonts w:ascii="Times New Roman" w:eastAsia="Times New Roman" w:hAnsi="Times New Roman" w:cs="Times New Roman"/>
          <w:color w:val="000000"/>
          <w:lang w:eastAsia="fr-FR"/>
        </w:rPr>
        <w:t>amène</w:t>
      </w:r>
      <w:r w:rsidRPr="00D14C96">
        <w:rPr>
          <w:rFonts w:ascii="Times New Roman" w:hAnsi="Times New Roman" w:cs="Times New Roman"/>
        </w:rPr>
        <w:t xml:space="preserve"> ainsi à une réorganisation de l’administration territoriale et à la recherche d’une plus grande mise en cohérence des politiques publiques et de la gestion</w:t>
      </w:r>
      <w:r w:rsidRPr="00D14C96">
        <w:rPr>
          <w:rFonts w:ascii="Times New Roman" w:hAnsi="Times New Roman" w:cs="Times New Roman"/>
          <w:i/>
        </w:rPr>
        <w:t xml:space="preserve"> </w:t>
      </w:r>
      <w:r w:rsidRPr="00D14C96">
        <w:rPr>
          <w:rFonts w:ascii="Times New Roman" w:hAnsi="Times New Roman" w:cs="Times New Roman"/>
        </w:rPr>
        <w:t>au niveau local</w:t>
      </w:r>
      <w:r w:rsidRPr="00D14C96">
        <w:rPr>
          <w:rFonts w:ascii="Times New Roman" w:hAnsi="Times New Roman" w:cs="Times New Roman"/>
          <w:i/>
        </w:rPr>
        <w:t>.</w:t>
      </w:r>
      <w:r w:rsidRPr="00D14C96">
        <w:rPr>
          <w:rFonts w:ascii="Times New Roman" w:hAnsi="Times New Roman" w:cs="Times New Roman"/>
        </w:rPr>
        <w:t xml:space="preserve"> </w:t>
      </w:r>
    </w:p>
    <w:p w14:paraId="29E5C68C"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6EFEA480" w14:textId="77777777" w:rsidR="001E0FA9" w:rsidRPr="00D14C96" w:rsidRDefault="001E0FA9" w:rsidP="006E68F4">
      <w:pPr>
        <w:widowControl w:val="0"/>
        <w:shd w:val="clear" w:color="auto" w:fill="D9D9D9" w:themeFill="background1" w:themeFillShade="D9"/>
        <w:spacing w:after="120" w:line="240" w:lineRule="auto"/>
        <w:jc w:val="both"/>
        <w:rPr>
          <w:rFonts w:ascii="Times New Roman" w:hAnsi="Times New Roman" w:cs="Times New Roman"/>
          <w:b/>
          <w:color w:val="2E74B5" w:themeColor="accent1" w:themeShade="BF"/>
          <w:sz w:val="24"/>
          <w:szCs w:val="24"/>
          <w:u w:val="single"/>
        </w:rPr>
      </w:pPr>
      <w:r w:rsidRPr="00D14C96">
        <w:rPr>
          <w:rFonts w:ascii="Times New Roman" w:hAnsi="Times New Roman" w:cs="Times New Roman"/>
          <w:b/>
          <w:color w:val="2E74B5" w:themeColor="accent1" w:themeShade="BF"/>
          <w:sz w:val="24"/>
          <w:szCs w:val="24"/>
          <w:u w:val="single"/>
        </w:rPr>
        <w:t>Quelles pistes ?</w:t>
      </w:r>
    </w:p>
    <w:p w14:paraId="3B4DE08E" w14:textId="45073366" w:rsidR="001E0FA9" w:rsidRPr="00D14C96" w:rsidRDefault="001E0FA9" w:rsidP="000050E0">
      <w:pPr>
        <w:widowControl w:val="0"/>
        <w:shd w:val="clear" w:color="auto" w:fill="D9D9D9" w:themeFill="background1" w:themeFillShade="D9"/>
        <w:spacing w:after="0" w:line="240" w:lineRule="auto"/>
        <w:jc w:val="both"/>
        <w:rPr>
          <w:rFonts w:ascii="Times New Roman" w:hAnsi="Times New Roman" w:cs="Times New Roman"/>
          <w:sz w:val="24"/>
          <w:szCs w:val="24"/>
        </w:rPr>
      </w:pPr>
      <w:r w:rsidRPr="00D14C96">
        <w:rPr>
          <w:rFonts w:ascii="Times New Roman" w:hAnsi="Times New Roman" w:cs="Times New Roman"/>
          <w:b/>
          <w:sz w:val="24"/>
          <w:szCs w:val="24"/>
        </w:rPr>
        <w:t>Le préalable de cette réforme sera d’assurer les conditions d’une mise en œuvre effective de la déconcentration en donnant corps à l’intersectorialité à l‘échelon local.</w:t>
      </w:r>
      <w:r w:rsidRPr="00D14C96">
        <w:rPr>
          <w:rFonts w:ascii="Times New Roman" w:hAnsi="Times New Roman" w:cs="Times New Roman"/>
          <w:sz w:val="24"/>
          <w:szCs w:val="24"/>
        </w:rPr>
        <w:t xml:space="preserve"> Le Maroc devra pour cela définir le modèle et les réponses qui lui conviennent en fonction de ses acquis, de ses moyens et spécificités et des ambitions arrêtées. </w:t>
      </w:r>
    </w:p>
    <w:p w14:paraId="35AC7F41"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hAnsi="Times New Roman" w:cs="Times New Roman"/>
          <w:sz w:val="24"/>
          <w:szCs w:val="24"/>
        </w:rPr>
      </w:pPr>
    </w:p>
    <w:p w14:paraId="359AA805" w14:textId="77777777" w:rsidR="001E0FA9" w:rsidRPr="00D14C96" w:rsidRDefault="001E0FA9" w:rsidP="00520E79">
      <w:pPr>
        <w:widowControl w:val="0"/>
        <w:shd w:val="clear" w:color="auto" w:fill="D9D9D9" w:themeFill="background1" w:themeFillShade="D9"/>
        <w:spacing w:after="120" w:line="240" w:lineRule="auto"/>
        <w:jc w:val="both"/>
        <w:rPr>
          <w:rFonts w:ascii="Times New Roman" w:hAnsi="Times New Roman" w:cs="Times New Roman"/>
          <w:b/>
          <w:sz w:val="24"/>
          <w:szCs w:val="24"/>
        </w:rPr>
      </w:pPr>
      <w:r w:rsidRPr="00D14C96">
        <w:rPr>
          <w:rFonts w:ascii="Times New Roman" w:hAnsi="Times New Roman" w:cs="Times New Roman"/>
          <w:sz w:val="24"/>
          <w:szCs w:val="24"/>
        </w:rPr>
        <w:lastRenderedPageBreak/>
        <w:t xml:space="preserve">En attendant la nouvelle configuration envisagée par la charte de la déconcentration, </w:t>
      </w:r>
      <w:r w:rsidRPr="00D14C96">
        <w:rPr>
          <w:rFonts w:ascii="Times New Roman" w:hAnsi="Times New Roman" w:cs="Times New Roman"/>
          <w:b/>
          <w:sz w:val="24"/>
          <w:szCs w:val="24"/>
        </w:rPr>
        <w:t>les principes qu’il semble important de soutenir reposent sur :</w:t>
      </w:r>
    </w:p>
    <w:p w14:paraId="092CA5A1" w14:textId="3DFB857F" w:rsidR="001E0FA9" w:rsidRPr="00D14C96" w:rsidRDefault="001E0FA9" w:rsidP="006E68F4">
      <w:pPr>
        <w:pStyle w:val="ListParagraph"/>
        <w:widowControl w:val="0"/>
        <w:numPr>
          <w:ilvl w:val="0"/>
          <w:numId w:val="14"/>
        </w:numPr>
        <w:shd w:val="clear" w:color="auto" w:fill="D9D9D9" w:themeFill="background1" w:themeFillShade="D9"/>
        <w:spacing w:after="60" w:line="240" w:lineRule="auto"/>
        <w:ind w:left="360"/>
        <w:contextualSpacing w:val="0"/>
        <w:rPr>
          <w:rFonts w:ascii="Times New Roman" w:hAnsi="Times New Roman" w:cs="Times New Roman"/>
          <w:sz w:val="24"/>
          <w:szCs w:val="24"/>
        </w:rPr>
      </w:pPr>
      <w:r w:rsidRPr="00D14C96">
        <w:rPr>
          <w:rFonts w:ascii="Times New Roman" w:hAnsi="Times New Roman" w:cs="Times New Roman"/>
          <w:b/>
          <w:sz w:val="24"/>
          <w:szCs w:val="24"/>
        </w:rPr>
        <w:t>Un positionnement fort du Wali</w:t>
      </w:r>
      <w:r w:rsidRPr="00D14C96">
        <w:rPr>
          <w:rStyle w:val="FootnoteReference"/>
          <w:rFonts w:ascii="Times New Roman" w:hAnsi="Times New Roman" w:cs="Times New Roman"/>
          <w:sz w:val="24"/>
          <w:szCs w:val="24"/>
        </w:rPr>
        <w:footnoteReference w:id="53"/>
      </w:r>
      <w:r w:rsidRPr="00D14C96">
        <w:rPr>
          <w:rFonts w:ascii="Times New Roman" w:hAnsi="Times New Roman" w:cs="Times New Roman"/>
          <w:sz w:val="24"/>
          <w:szCs w:val="24"/>
        </w:rPr>
        <w:t xml:space="preserve"> avec un pouvoir hiérarchique et de coordination des services déconcentrés et agences de l’Etat et des compétences</w:t>
      </w:r>
      <w:r w:rsidR="00337B61">
        <w:rPr>
          <w:rFonts w:ascii="Times New Roman" w:hAnsi="Times New Roman" w:cs="Times New Roman"/>
          <w:sz w:val="24"/>
          <w:szCs w:val="24"/>
        </w:rPr>
        <w:t> : il s’agit pour le Wali d’être en mesure de s’engager en tant que coordinateur effectif et échelon hiérarchique par rapport aux services extérieurs de l’Etat vis-à-vis des régions dans le cadre des contrats de plan</w:t>
      </w:r>
      <w:r w:rsidRPr="00D14C96">
        <w:rPr>
          <w:rFonts w:ascii="Times New Roman" w:hAnsi="Times New Roman" w:cs="Times New Roman"/>
          <w:sz w:val="24"/>
          <w:szCs w:val="24"/>
        </w:rPr>
        <w:t xml:space="preserve"> </w:t>
      </w:r>
      <w:r w:rsidR="00337B61">
        <w:rPr>
          <w:rFonts w:ascii="Times New Roman" w:hAnsi="Times New Roman" w:cs="Times New Roman"/>
          <w:sz w:val="24"/>
          <w:szCs w:val="24"/>
        </w:rPr>
        <w:t>qui seront élaborés entre l’Etat et les régions.</w:t>
      </w:r>
      <w:r w:rsidRPr="00D14C96">
        <w:rPr>
          <w:rFonts w:ascii="Times New Roman" w:hAnsi="Times New Roman" w:cs="Times New Roman"/>
          <w:color w:val="545454"/>
          <w:sz w:val="24"/>
          <w:szCs w:val="24"/>
          <w:shd w:val="clear" w:color="auto" w:fill="FFFFFF"/>
        </w:rPr>
        <w:t xml:space="preserve"> </w:t>
      </w:r>
    </w:p>
    <w:p w14:paraId="10DAD4DA" w14:textId="05564F0F" w:rsidR="001E0FA9" w:rsidRPr="00D14C96" w:rsidRDefault="001E0FA9" w:rsidP="006E68F4">
      <w:pPr>
        <w:pStyle w:val="ListParagraph"/>
        <w:widowControl w:val="0"/>
        <w:numPr>
          <w:ilvl w:val="0"/>
          <w:numId w:val="14"/>
        </w:numPr>
        <w:shd w:val="clear" w:color="auto" w:fill="D9D9D9" w:themeFill="background1" w:themeFillShade="D9"/>
        <w:spacing w:after="60" w:line="240" w:lineRule="auto"/>
        <w:ind w:left="426" w:hanging="426"/>
        <w:contextualSpacing w:val="0"/>
        <w:rPr>
          <w:rFonts w:ascii="Times New Roman" w:hAnsi="Times New Roman" w:cs="Times New Roman"/>
          <w:sz w:val="24"/>
          <w:szCs w:val="24"/>
        </w:rPr>
      </w:pPr>
      <w:r w:rsidRPr="00D14C96">
        <w:rPr>
          <w:rFonts w:ascii="Times New Roman" w:hAnsi="Times New Roman" w:cs="Times New Roman"/>
          <w:sz w:val="24"/>
          <w:szCs w:val="24"/>
        </w:rPr>
        <w:t>Le regroupe</w:t>
      </w:r>
      <w:r w:rsidRPr="00D14C96">
        <w:rPr>
          <w:rFonts w:ascii="Times New Roman" w:hAnsi="Times New Roman" w:cs="Times New Roman"/>
          <w:b/>
          <w:sz w:val="24"/>
          <w:szCs w:val="24"/>
        </w:rPr>
        <w:t>ment des services de l’Etat au sein de pôles régionaux interministériels mutualisés</w:t>
      </w:r>
      <w:r w:rsidRPr="00D14C96">
        <w:rPr>
          <w:rFonts w:ascii="Times New Roman" w:hAnsi="Times New Roman" w:cs="Times New Roman"/>
          <w:sz w:val="24"/>
          <w:szCs w:val="24"/>
        </w:rPr>
        <w:t xml:space="preserve"> avec instauration d’une fonction transversale dédiée au développement territorial et urbain  </w:t>
      </w:r>
    </w:p>
    <w:p w14:paraId="36246DFC" w14:textId="77777777" w:rsidR="001E0FA9" w:rsidRPr="00D14C96" w:rsidRDefault="001E0FA9" w:rsidP="006E68F4">
      <w:pPr>
        <w:pStyle w:val="ListParagraph"/>
        <w:widowControl w:val="0"/>
        <w:numPr>
          <w:ilvl w:val="0"/>
          <w:numId w:val="14"/>
        </w:numPr>
        <w:shd w:val="clear" w:color="auto" w:fill="D9D9D9" w:themeFill="background1" w:themeFillShade="D9"/>
        <w:spacing w:after="0" w:line="240" w:lineRule="auto"/>
        <w:ind w:left="426" w:hanging="426"/>
        <w:contextualSpacing w:val="0"/>
        <w:rPr>
          <w:rFonts w:ascii="Times New Roman" w:hAnsi="Times New Roman" w:cs="Times New Roman"/>
          <w:sz w:val="24"/>
          <w:szCs w:val="24"/>
        </w:rPr>
      </w:pPr>
      <w:r w:rsidRPr="00D14C96">
        <w:rPr>
          <w:rFonts w:ascii="Times New Roman" w:hAnsi="Times New Roman" w:cs="Times New Roman"/>
          <w:sz w:val="24"/>
          <w:szCs w:val="24"/>
        </w:rPr>
        <w:t>La mise en place sous l’autorité du Wali d’une</w:t>
      </w:r>
      <w:r w:rsidRPr="00D14C96">
        <w:rPr>
          <w:rFonts w:ascii="Times New Roman" w:hAnsi="Times New Roman" w:cs="Times New Roman"/>
          <w:b/>
          <w:sz w:val="24"/>
          <w:szCs w:val="24"/>
        </w:rPr>
        <w:t xml:space="preserve"> structure de coordination</w:t>
      </w:r>
      <w:r w:rsidRPr="00D14C96">
        <w:rPr>
          <w:rStyle w:val="FootnoteReference"/>
          <w:rFonts w:ascii="Times New Roman" w:hAnsi="Times New Roman" w:cs="Times New Roman"/>
          <w:b/>
          <w:sz w:val="24"/>
          <w:szCs w:val="24"/>
        </w:rPr>
        <w:footnoteReference w:id="54"/>
      </w:r>
      <w:r w:rsidRPr="00D14C96">
        <w:rPr>
          <w:rFonts w:ascii="Times New Roman" w:hAnsi="Times New Roman" w:cs="Times New Roman"/>
          <w:b/>
          <w:sz w:val="24"/>
          <w:szCs w:val="24"/>
        </w:rPr>
        <w:t xml:space="preserve"> et de pilotage</w:t>
      </w:r>
      <w:r w:rsidRPr="00D14C96">
        <w:rPr>
          <w:rFonts w:ascii="Times New Roman" w:hAnsi="Times New Roman" w:cs="Times New Roman"/>
          <w:sz w:val="24"/>
          <w:szCs w:val="24"/>
        </w:rPr>
        <w:t xml:space="preserve"> des politiques publiques et d’animation / impulsion de la planification territoriale comme outil de la gouvernance multi acteurs </w:t>
      </w:r>
    </w:p>
    <w:p w14:paraId="2E9C3EA1" w14:textId="77777777" w:rsidR="001E0FA9" w:rsidRPr="00D14C96" w:rsidRDefault="001E0FA9" w:rsidP="006E68F4">
      <w:pPr>
        <w:pStyle w:val="ListParagraph"/>
        <w:widowControl w:val="0"/>
        <w:numPr>
          <w:ilvl w:val="0"/>
          <w:numId w:val="14"/>
        </w:numPr>
        <w:shd w:val="clear" w:color="auto" w:fill="D9D9D9" w:themeFill="background1" w:themeFillShade="D9"/>
        <w:spacing w:after="60" w:line="240" w:lineRule="auto"/>
        <w:ind w:left="284" w:hanging="284"/>
        <w:contextualSpacing w:val="0"/>
        <w:rPr>
          <w:rFonts w:ascii="Times New Roman" w:hAnsi="Times New Roman" w:cs="Times New Roman"/>
          <w:sz w:val="24"/>
          <w:szCs w:val="24"/>
        </w:rPr>
      </w:pPr>
      <w:r w:rsidRPr="00D14C96">
        <w:rPr>
          <w:rFonts w:ascii="Times New Roman" w:hAnsi="Times New Roman" w:cs="Times New Roman"/>
          <w:sz w:val="24"/>
          <w:szCs w:val="24"/>
        </w:rPr>
        <w:t xml:space="preserve">Des </w:t>
      </w:r>
      <w:r w:rsidRPr="00D14C96">
        <w:rPr>
          <w:rFonts w:ascii="Times New Roman" w:hAnsi="Times New Roman" w:cs="Times New Roman"/>
          <w:b/>
          <w:sz w:val="24"/>
          <w:szCs w:val="24"/>
        </w:rPr>
        <w:t>mesures d’accompagnement au niveau des ressources humaines de l’Etat</w:t>
      </w:r>
      <w:r w:rsidRPr="00D14C96">
        <w:rPr>
          <w:rFonts w:ascii="Times New Roman" w:hAnsi="Times New Roman" w:cs="Times New Roman"/>
          <w:sz w:val="24"/>
          <w:szCs w:val="24"/>
        </w:rPr>
        <w:t xml:space="preserve">, à la déconcentration géographique et à la mobilité des fonctionnaires (salaires, primes d'accompagnement, indemnités, procédures de mise à disposition), à la formation et à la conduite du changement, aux regroupements fonctionnels et à la réorganisation des méthodes de travail des services extérieurs de l'État (schéma de réorganisation, etc.) </w:t>
      </w:r>
    </w:p>
    <w:p w14:paraId="3B1B7769" w14:textId="77777777" w:rsidR="001E0FA9" w:rsidRPr="00D14C96" w:rsidRDefault="001E0FA9" w:rsidP="009C2620">
      <w:pPr>
        <w:pStyle w:val="ListParagraph"/>
        <w:widowControl w:val="0"/>
        <w:numPr>
          <w:ilvl w:val="0"/>
          <w:numId w:val="14"/>
        </w:numPr>
        <w:shd w:val="clear" w:color="auto" w:fill="D9D9D9" w:themeFill="background1" w:themeFillShade="D9"/>
        <w:tabs>
          <w:tab w:val="left" w:pos="1080"/>
        </w:tabs>
        <w:spacing w:after="0" w:line="240" w:lineRule="auto"/>
        <w:ind w:left="284" w:hanging="284"/>
        <w:contextualSpacing w:val="0"/>
        <w:rPr>
          <w:rFonts w:ascii="Times New Roman" w:eastAsia="Times New Roman" w:hAnsi="Times New Roman" w:cs="Times New Roman"/>
          <w:color w:val="26282A"/>
          <w:sz w:val="24"/>
          <w:szCs w:val="24"/>
          <w:lang w:eastAsia="fr-FR"/>
        </w:rPr>
      </w:pPr>
      <w:r w:rsidRPr="00D14C96">
        <w:rPr>
          <w:rFonts w:ascii="Times New Roman" w:hAnsi="Times New Roman" w:cs="Times New Roman"/>
          <w:sz w:val="24"/>
          <w:szCs w:val="24"/>
        </w:rPr>
        <w:t xml:space="preserve">Une </w:t>
      </w:r>
      <w:r w:rsidRPr="00D14C96">
        <w:rPr>
          <w:rFonts w:ascii="Times New Roman" w:hAnsi="Times New Roman" w:cs="Times New Roman"/>
          <w:b/>
          <w:sz w:val="24"/>
          <w:szCs w:val="24"/>
        </w:rPr>
        <w:t>déconcentration effective des crédits d'investissement</w:t>
      </w:r>
      <w:r w:rsidRPr="00D14C96">
        <w:rPr>
          <w:rFonts w:ascii="Times New Roman" w:hAnsi="Times New Roman" w:cs="Times New Roman"/>
          <w:sz w:val="24"/>
          <w:szCs w:val="24"/>
        </w:rPr>
        <w:t>.</w:t>
      </w:r>
    </w:p>
    <w:p w14:paraId="27C0D794" w14:textId="77777777" w:rsidR="001E0FA9" w:rsidRPr="00D14C96" w:rsidRDefault="001E0FA9" w:rsidP="000050E0">
      <w:pPr>
        <w:widowControl w:val="0"/>
        <w:shd w:val="clear" w:color="auto" w:fill="FFFFFF"/>
        <w:tabs>
          <w:tab w:val="left" w:pos="1080"/>
        </w:tabs>
        <w:spacing w:after="0" w:line="240" w:lineRule="auto"/>
        <w:rPr>
          <w:rFonts w:ascii="Times New Roman" w:eastAsia="Times New Roman" w:hAnsi="Times New Roman" w:cs="Times New Roman"/>
          <w:color w:val="26282A"/>
          <w:sz w:val="24"/>
          <w:szCs w:val="24"/>
          <w:lang w:eastAsia="fr-FR"/>
        </w:rPr>
      </w:pPr>
    </w:p>
    <w:p w14:paraId="2C1B19D7" w14:textId="77777777" w:rsidR="001E0FA9" w:rsidRPr="00D14C96" w:rsidRDefault="001E0FA9" w:rsidP="000050E0">
      <w:pPr>
        <w:pStyle w:val="Heading3"/>
        <w:rPr>
          <w:rFonts w:ascii="Times New Roman" w:eastAsia="Times New Roman" w:hAnsi="Times New Roman" w:cs="Times New Roman"/>
          <w:b/>
          <w:color w:val="000000"/>
          <w:lang w:eastAsia="fr-FR"/>
        </w:rPr>
      </w:pPr>
      <w:bookmarkStart w:id="132" w:name="_Toc515875132"/>
      <w:r w:rsidRPr="00D14C96">
        <w:rPr>
          <w:rFonts w:ascii="Times New Roman" w:eastAsia="Times New Roman" w:hAnsi="Times New Roman" w:cs="Times New Roman"/>
          <w:b/>
          <w:color w:val="000000"/>
          <w:u w:val="single"/>
          <w:lang w:eastAsia="fr-FR"/>
        </w:rPr>
        <w:t>Proposition #9 </w:t>
      </w:r>
      <w:r w:rsidRPr="00D14C96">
        <w:rPr>
          <w:rFonts w:ascii="Times New Roman" w:eastAsia="Times New Roman" w:hAnsi="Times New Roman" w:cs="Times New Roman"/>
          <w:b/>
          <w:color w:val="000000"/>
          <w:lang w:eastAsia="fr-FR"/>
        </w:rPr>
        <w:t>: Faire de l’échelle de l’agglomération le niveau incontournable de la définition et de la mise en œuvre de la politique urbaine</w:t>
      </w:r>
      <w:bookmarkEnd w:id="132"/>
    </w:p>
    <w:p w14:paraId="26BB151D" w14:textId="77777777" w:rsidR="001E0FA9" w:rsidRPr="00D14C96" w:rsidRDefault="001E0FA9" w:rsidP="000050E0">
      <w:pPr>
        <w:widowControl w:val="0"/>
        <w:spacing w:after="0" w:line="240" w:lineRule="auto"/>
        <w:rPr>
          <w:rFonts w:ascii="Times New Roman" w:eastAsia="Times New Roman" w:hAnsi="Times New Roman" w:cs="Times New Roman"/>
          <w:b/>
          <w:color w:val="000000"/>
          <w:sz w:val="24"/>
          <w:szCs w:val="24"/>
          <w:lang w:eastAsia="fr-FR"/>
        </w:rPr>
      </w:pPr>
    </w:p>
    <w:p w14:paraId="7225C25D" w14:textId="77777777" w:rsidR="001E0FA9" w:rsidRPr="00D14C96" w:rsidRDefault="001E0FA9" w:rsidP="00B4544E">
      <w:pPr>
        <w:pStyle w:val="Numberedparagraph"/>
        <w:ind w:left="0" w:firstLine="0"/>
        <w:rPr>
          <w:rFonts w:ascii="Times New Roman" w:eastAsia="Times New Roman" w:hAnsi="Times New Roman" w:cs="Times New Roman"/>
          <w:color w:val="000000"/>
          <w:lang w:eastAsia="fr-FR"/>
        </w:rPr>
      </w:pPr>
      <w:r w:rsidRPr="00D14C96">
        <w:rPr>
          <w:rFonts w:ascii="Times New Roman" w:eastAsia="Times New Roman" w:hAnsi="Times New Roman" w:cs="Times New Roman"/>
          <w:b/>
          <w:color w:val="000000"/>
          <w:lang w:eastAsia="fr-FR"/>
        </w:rPr>
        <w:t>La croissance urbaine se reporte aujourd’hui sur des espaces périphériques beaucoup plus vastes et sous la forme d’une périurbanisation diffuse.</w:t>
      </w:r>
      <w:r w:rsidRPr="00D14C96">
        <w:rPr>
          <w:rFonts w:ascii="Times New Roman" w:eastAsia="Times New Roman" w:hAnsi="Times New Roman" w:cs="Times New Roman"/>
          <w:color w:val="000000"/>
          <w:lang w:eastAsia="fr-FR"/>
        </w:rPr>
        <w:t xml:space="preserve"> Ce phénomène voit les plus grandes villes croître largement au-delà des limites municipales. Le Maroc compte aujourd’hui huit villes de plus de 500 000 habitants (Casablanca, Rabat-Salé-Temara, Tanger, Fès, Marrakech, Agadir, Meknès et Oujda), qui pourraient correspondre au critère de population retenu dans la définition UE-OCDE des aires métropolitaines fonctionnelles</w:t>
      </w:r>
      <w:r w:rsidRPr="00D14C96">
        <w:rPr>
          <w:rStyle w:val="FootnoteReference"/>
          <w:rFonts w:ascii="Times New Roman" w:eastAsia="Times New Roman" w:hAnsi="Times New Roman" w:cs="Times New Roman"/>
          <w:lang w:eastAsia="fr-FR"/>
        </w:rPr>
        <w:footnoteReference w:id="55"/>
      </w:r>
      <w:r w:rsidRPr="00D14C96">
        <w:rPr>
          <w:rFonts w:ascii="Times New Roman" w:eastAsia="Times New Roman" w:hAnsi="Times New Roman" w:cs="Times New Roman"/>
          <w:color w:val="000000"/>
          <w:lang w:eastAsia="fr-FR"/>
        </w:rPr>
        <w:t xml:space="preserve">. </w:t>
      </w:r>
    </w:p>
    <w:p w14:paraId="2D9E58E8" w14:textId="77777777" w:rsidR="001E0FA9" w:rsidRPr="00D14C96" w:rsidRDefault="001E0FA9" w:rsidP="000050E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2EC57E25" w14:textId="21249AEB" w:rsidR="001E0FA9" w:rsidRPr="00D14C96" w:rsidRDefault="001E0FA9" w:rsidP="00B4544E">
      <w:pPr>
        <w:pStyle w:val="Numberedparagraph"/>
        <w:ind w:left="0" w:firstLine="0"/>
        <w:rPr>
          <w:rFonts w:ascii="Times New Roman" w:eastAsia="Times New Roman" w:hAnsi="Times New Roman" w:cs="Times New Roman"/>
          <w:color w:val="000000"/>
          <w:lang w:eastAsia="fr-FR"/>
        </w:rPr>
      </w:pPr>
      <w:r w:rsidRPr="00D14C96">
        <w:rPr>
          <w:rFonts w:ascii="Times New Roman" w:eastAsia="Times New Roman" w:hAnsi="Times New Roman" w:cs="Times New Roman"/>
          <w:b/>
          <w:color w:val="000000"/>
          <w:lang w:eastAsia="fr-FR"/>
        </w:rPr>
        <w:t>L’échelle intercommunale apparait de ce fait comme le niveau incontournable de la définition et de la mise en œuvre des</w:t>
      </w:r>
      <w:r w:rsidRPr="00D14C96">
        <w:rPr>
          <w:rFonts w:ascii="Times New Roman" w:eastAsia="Times New Roman" w:hAnsi="Times New Roman" w:cs="Times New Roman"/>
          <w:b/>
          <w:i/>
          <w:color w:val="000000"/>
          <w:lang w:eastAsia="fr-FR"/>
        </w:rPr>
        <w:t xml:space="preserve"> </w:t>
      </w:r>
      <w:r w:rsidRPr="00D14C96">
        <w:rPr>
          <w:rFonts w:ascii="Times New Roman" w:eastAsia="Times New Roman" w:hAnsi="Times New Roman" w:cs="Times New Roman"/>
          <w:b/>
          <w:color w:val="000000"/>
          <w:lang w:eastAsia="fr-FR"/>
        </w:rPr>
        <w:t>politiques urbaines ce qui nécessite une gouvernance et des moyens d’action adaptés.</w:t>
      </w:r>
      <w:r w:rsidRPr="00D14C96">
        <w:rPr>
          <w:rFonts w:ascii="Times New Roman" w:eastAsia="Times New Roman" w:hAnsi="Times New Roman" w:cs="Times New Roman"/>
          <w:color w:val="000000"/>
          <w:lang w:eastAsia="fr-FR"/>
        </w:rPr>
        <w:t xml:space="preserve"> La coopération et la solidarité entre les collectivités ressort comme un des principes forts de l‘organisation territoriale de la Constitution</w:t>
      </w:r>
      <w:r w:rsidRPr="00D14C96">
        <w:rPr>
          <w:rStyle w:val="FootnoteReference"/>
          <w:rFonts w:ascii="Times New Roman" w:eastAsia="Times New Roman" w:hAnsi="Times New Roman" w:cs="Times New Roman"/>
          <w:lang w:eastAsia="fr-FR"/>
        </w:rPr>
        <w:footnoteReference w:id="56"/>
      </w:r>
      <w:r w:rsidRPr="00D14C96">
        <w:rPr>
          <w:rFonts w:ascii="Times New Roman" w:eastAsia="Times New Roman" w:hAnsi="Times New Roman" w:cs="Times New Roman"/>
          <w:color w:val="000000"/>
          <w:lang w:eastAsia="fr-FR"/>
        </w:rPr>
        <w:t xml:space="preserve">. La loi 113-14 sur les communes a pour cela prévu les Etablissements de </w:t>
      </w:r>
      <w:r w:rsidRPr="00D14C96">
        <w:rPr>
          <w:rFonts w:ascii="Times New Roman" w:eastAsia="Times New Roman" w:hAnsi="Times New Roman" w:cs="Times New Roman"/>
          <w:color w:val="000000"/>
          <w:lang w:eastAsia="fr-FR"/>
        </w:rPr>
        <w:lastRenderedPageBreak/>
        <w:t>coopération intercommunale (ECI) et plusieurs d’entre eux existent et s’emploient déjà</w:t>
      </w:r>
      <w:r w:rsidRPr="00D14C96">
        <w:rPr>
          <w:rStyle w:val="FootnoteReference"/>
          <w:rFonts w:ascii="Times New Roman" w:eastAsia="Times New Roman" w:hAnsi="Times New Roman" w:cs="Times New Roman"/>
          <w:color w:val="000000"/>
          <w:lang w:eastAsia="fr-FR"/>
        </w:rPr>
        <w:footnoteReference w:id="57"/>
      </w:r>
      <w:r w:rsidRPr="00D14C96">
        <w:rPr>
          <w:rFonts w:ascii="Times New Roman" w:eastAsia="Times New Roman" w:hAnsi="Times New Roman" w:cs="Times New Roman"/>
          <w:color w:val="000000"/>
          <w:lang w:eastAsia="fr-FR"/>
        </w:rPr>
        <w:t xml:space="preserve"> à Casablanca (Al Baida)</w:t>
      </w:r>
      <w:r w:rsidRPr="00D14C96">
        <w:rPr>
          <w:rStyle w:val="FootnoteReference"/>
          <w:rFonts w:ascii="Times New Roman" w:eastAsia="Times New Roman" w:hAnsi="Times New Roman" w:cs="Times New Roman"/>
          <w:lang w:eastAsia="fr-FR"/>
        </w:rPr>
        <w:footnoteReference w:id="58"/>
      </w:r>
      <w:r w:rsidRPr="00D14C96">
        <w:rPr>
          <w:rFonts w:ascii="Times New Roman" w:eastAsia="Times New Roman" w:hAnsi="Times New Roman" w:cs="Times New Roman"/>
          <w:color w:val="000000"/>
          <w:lang w:eastAsia="fr-FR"/>
        </w:rPr>
        <w:t>, à Rabat (Assima)</w:t>
      </w:r>
      <w:r w:rsidRPr="00D14C96">
        <w:rPr>
          <w:rStyle w:val="FootnoteReference"/>
          <w:rFonts w:ascii="Times New Roman" w:eastAsia="Times New Roman" w:hAnsi="Times New Roman" w:cs="Times New Roman"/>
          <w:lang w:eastAsia="fr-FR"/>
        </w:rPr>
        <w:footnoteReference w:id="59"/>
      </w:r>
      <w:r w:rsidRPr="00D14C96">
        <w:rPr>
          <w:rFonts w:ascii="Times New Roman" w:eastAsia="Times New Roman" w:hAnsi="Times New Roman" w:cs="Times New Roman"/>
          <w:color w:val="000000"/>
          <w:lang w:eastAsia="fr-FR"/>
        </w:rPr>
        <w:t xml:space="preserve">, à Tanger, à Agadir même si leur moyens organisationnels et financiers sont limités. </w:t>
      </w:r>
    </w:p>
    <w:p w14:paraId="69851E51" w14:textId="77777777" w:rsidR="001E0FA9" w:rsidRPr="00D14C96" w:rsidRDefault="001E0FA9" w:rsidP="000050E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32E8F134" w14:textId="77777777" w:rsidR="001E0FA9" w:rsidRPr="00D14C96" w:rsidRDefault="001E0FA9" w:rsidP="00B4544E">
      <w:pPr>
        <w:pStyle w:val="Numberedparagraph"/>
        <w:ind w:left="0" w:firstLine="0"/>
        <w:rPr>
          <w:rFonts w:ascii="Times New Roman" w:hAnsi="Times New Roman" w:cs="Times New Roman"/>
          <w:b/>
        </w:rPr>
      </w:pPr>
      <w:r w:rsidRPr="00D14C96">
        <w:rPr>
          <w:rFonts w:ascii="Times New Roman" w:hAnsi="Times New Roman" w:cs="Times New Roman"/>
          <w:b/>
        </w:rPr>
        <w:t xml:space="preserve">Par ailleurs, la formation d’aires métropolitaines au-delà des limites administratives et de système de développement à beaucoup plus large échelle a modifié le rapport au cadre de planification et de gouvernance de ces territoires. </w:t>
      </w:r>
      <w:r w:rsidRPr="00D14C96">
        <w:rPr>
          <w:rFonts w:ascii="Times New Roman" w:hAnsi="Times New Roman" w:cs="Times New Roman"/>
        </w:rPr>
        <w:t xml:space="preserve">Les SDAU les plus récents (Tanger, Marrakech, Agadir, Rabat) et conçus comme ‘‘projets de territoire’’ traduisent le souci de pouvoir apporter des réponses adaptées aux échelles concernées. Si le passage à l'échelon de la métropole s’avère pertinent, il ne s’agit toutefois pas que d’une question spatiale. L’élaboration de SDAU à l’échelle de configurations administratives et territoriales plus complexes pose ainsi la question de leur portage institutionnel et de leur appropriation par les collectivités locales concernées. </w:t>
      </w:r>
    </w:p>
    <w:p w14:paraId="2D7A2152" w14:textId="77777777" w:rsidR="001E0FA9" w:rsidRPr="00D14C96" w:rsidRDefault="001E0FA9" w:rsidP="000050E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415D20EE" w14:textId="77777777" w:rsidR="001E0FA9" w:rsidRPr="00D14C96" w:rsidRDefault="001E0FA9" w:rsidP="006E68F4">
      <w:pPr>
        <w:widowControl w:val="0"/>
        <w:shd w:val="clear" w:color="auto" w:fill="D9D9D9" w:themeFill="background1" w:themeFillShade="D9"/>
        <w:spacing w:after="120" w:line="240" w:lineRule="auto"/>
        <w:jc w:val="both"/>
        <w:rPr>
          <w:rFonts w:ascii="Times New Roman" w:hAnsi="Times New Roman" w:cs="Times New Roman"/>
          <w:b/>
          <w:color w:val="2E74B5" w:themeColor="accent1" w:themeShade="BF"/>
          <w:sz w:val="24"/>
          <w:szCs w:val="24"/>
          <w:u w:val="single"/>
        </w:rPr>
      </w:pPr>
      <w:r w:rsidRPr="00D14C96">
        <w:rPr>
          <w:rFonts w:ascii="Times New Roman" w:hAnsi="Times New Roman" w:cs="Times New Roman"/>
          <w:b/>
          <w:color w:val="2E74B5" w:themeColor="accent1" w:themeShade="BF"/>
          <w:sz w:val="24"/>
          <w:szCs w:val="24"/>
          <w:u w:val="single"/>
        </w:rPr>
        <w:t>Quelles pistes ?</w:t>
      </w:r>
    </w:p>
    <w:p w14:paraId="1F42AFD9" w14:textId="77777777" w:rsidR="001E0FA9" w:rsidRPr="00D14C96" w:rsidRDefault="001E0FA9" w:rsidP="000050E0">
      <w:pPr>
        <w:widowControl w:val="0"/>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r w:rsidRPr="00D14C96">
        <w:rPr>
          <w:rFonts w:ascii="Times New Roman" w:eastAsia="Times New Roman" w:hAnsi="Times New Roman" w:cs="Times New Roman"/>
          <w:b/>
          <w:color w:val="000000"/>
          <w:sz w:val="24"/>
          <w:szCs w:val="24"/>
          <w:lang w:eastAsia="fr-FR"/>
        </w:rPr>
        <w:t>Il s’agit d’impulser davantage la coopération intercommunale à travers un cadre d’action, juridique et institutionnel plus favorable, une viabilité financière et une extension de ses responsabilités.</w:t>
      </w:r>
      <w:r w:rsidRPr="00D14C96">
        <w:rPr>
          <w:rFonts w:ascii="Times New Roman" w:eastAsia="Times New Roman" w:hAnsi="Times New Roman" w:cs="Times New Roman"/>
          <w:color w:val="000000"/>
          <w:sz w:val="24"/>
          <w:szCs w:val="24"/>
          <w:lang w:eastAsia="fr-FR"/>
        </w:rPr>
        <w:t xml:space="preserve"> Deux niveaux d’action différents pourraient traduire cet engagement : </w:t>
      </w:r>
    </w:p>
    <w:p w14:paraId="5C60E78E" w14:textId="77777777" w:rsidR="001E0FA9" w:rsidRPr="00D14C96" w:rsidRDefault="001E0FA9" w:rsidP="000050E0">
      <w:pPr>
        <w:widowControl w:val="0"/>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color w:val="000000"/>
          <w:sz w:val="24"/>
          <w:szCs w:val="24"/>
          <w:lang w:eastAsia="fr-FR"/>
        </w:rPr>
      </w:pPr>
    </w:p>
    <w:p w14:paraId="749071AE" w14:textId="5AC2653F" w:rsidR="001E0FA9" w:rsidRPr="00D14C96" w:rsidRDefault="001E0FA9" w:rsidP="00CB0762">
      <w:pPr>
        <w:pStyle w:val="ListParagraph"/>
        <w:widowControl w:val="0"/>
        <w:numPr>
          <w:ilvl w:val="0"/>
          <w:numId w:val="15"/>
        </w:numPr>
        <w:shd w:val="clear" w:color="auto" w:fill="D9D9D9" w:themeFill="background1" w:themeFillShade="D9"/>
        <w:spacing w:after="120" w:line="240" w:lineRule="auto"/>
        <w:ind w:left="357" w:hanging="357"/>
        <w:contextualSpacing w:val="0"/>
        <w:rPr>
          <w:rFonts w:ascii="Times New Roman" w:eastAsia="Times New Roman" w:hAnsi="Times New Roman" w:cs="Times New Roman"/>
          <w:b/>
          <w:color w:val="000000"/>
          <w:sz w:val="24"/>
          <w:szCs w:val="24"/>
          <w:lang w:eastAsia="fr-FR"/>
        </w:rPr>
      </w:pPr>
      <w:r w:rsidRPr="00D14C96">
        <w:rPr>
          <w:rFonts w:ascii="Times New Roman" w:eastAsia="Times New Roman" w:hAnsi="Times New Roman" w:cs="Times New Roman"/>
          <w:b/>
          <w:color w:val="000000"/>
          <w:sz w:val="24"/>
          <w:szCs w:val="24"/>
          <w:lang w:eastAsia="fr-FR"/>
        </w:rPr>
        <w:t>L’impulsion à la constitution d’établissements de coopération intercommunale (ECI) sur le territoire national</w:t>
      </w:r>
      <w:r w:rsidRPr="00D14C96">
        <w:rPr>
          <w:rFonts w:ascii="Times New Roman" w:eastAsia="Times New Roman" w:hAnsi="Times New Roman" w:cs="Times New Roman"/>
          <w:color w:val="000000"/>
          <w:sz w:val="24"/>
          <w:szCs w:val="24"/>
          <w:lang w:eastAsia="fr-FR"/>
        </w:rPr>
        <w:t xml:space="preserve"> à travers</w:t>
      </w:r>
      <w:r w:rsidRPr="00D14C96">
        <w:rPr>
          <w:rFonts w:ascii="Times New Roman" w:eastAsia="Times New Roman" w:hAnsi="Times New Roman" w:cs="Times New Roman"/>
          <w:b/>
          <w:color w:val="000000"/>
          <w:sz w:val="24"/>
          <w:szCs w:val="24"/>
          <w:lang w:eastAsia="fr-FR"/>
        </w:rPr>
        <w:t xml:space="preserve"> : </w:t>
      </w:r>
    </w:p>
    <w:p w14:paraId="64660896" w14:textId="77777777" w:rsidR="001E0FA9" w:rsidRPr="00D14C96" w:rsidRDefault="001E0FA9" w:rsidP="006E68F4">
      <w:pPr>
        <w:pStyle w:val="ListParagraph"/>
        <w:widowControl w:val="0"/>
        <w:numPr>
          <w:ilvl w:val="0"/>
          <w:numId w:val="16"/>
        </w:numPr>
        <w:shd w:val="clear" w:color="auto" w:fill="D9D9D9" w:themeFill="background1" w:themeFillShade="D9"/>
        <w:spacing w:after="60" w:line="240" w:lineRule="auto"/>
        <w:ind w:left="450" w:hanging="450"/>
        <w:jc w:val="both"/>
        <w:rPr>
          <w:rFonts w:ascii="Times New Roman" w:hAnsi="Times New Roman" w:cs="Times New Roman"/>
          <w:sz w:val="24"/>
          <w:szCs w:val="24"/>
        </w:rPr>
      </w:pPr>
      <w:r w:rsidRPr="00D14C96">
        <w:rPr>
          <w:rFonts w:ascii="Times New Roman" w:hAnsi="Times New Roman" w:cs="Times New Roman"/>
          <w:sz w:val="24"/>
          <w:szCs w:val="24"/>
        </w:rPr>
        <w:t xml:space="preserve">La définition des </w:t>
      </w:r>
      <w:r w:rsidRPr="00D14C96">
        <w:rPr>
          <w:rFonts w:ascii="Times New Roman" w:hAnsi="Times New Roman" w:cs="Times New Roman"/>
          <w:b/>
          <w:sz w:val="24"/>
          <w:szCs w:val="24"/>
        </w:rPr>
        <w:t>critères et périmètres d’intercommunalité</w:t>
      </w:r>
      <w:r w:rsidRPr="00D14C96">
        <w:rPr>
          <w:rFonts w:ascii="Times New Roman" w:hAnsi="Times New Roman" w:cs="Times New Roman"/>
          <w:sz w:val="24"/>
          <w:szCs w:val="24"/>
        </w:rPr>
        <w:t xml:space="preserve"> et l’établissement d’une carte les définissant à l’échelle nationale.</w:t>
      </w:r>
    </w:p>
    <w:p w14:paraId="39643D62" w14:textId="77777777" w:rsidR="001E0FA9" w:rsidRPr="00D14C96" w:rsidRDefault="001E0FA9" w:rsidP="006E68F4">
      <w:pPr>
        <w:pStyle w:val="ListParagraph"/>
        <w:widowControl w:val="0"/>
        <w:numPr>
          <w:ilvl w:val="0"/>
          <w:numId w:val="16"/>
        </w:numPr>
        <w:shd w:val="clear" w:color="auto" w:fill="D9D9D9" w:themeFill="background1" w:themeFillShade="D9"/>
        <w:spacing w:after="60" w:line="240" w:lineRule="auto"/>
        <w:ind w:left="425" w:hanging="425"/>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L’adoption </w:t>
      </w:r>
      <w:r w:rsidRPr="00D14C96">
        <w:rPr>
          <w:rFonts w:ascii="Times New Roman" w:hAnsi="Times New Roman" w:cs="Times New Roman"/>
          <w:b/>
          <w:sz w:val="24"/>
          <w:szCs w:val="24"/>
        </w:rPr>
        <w:t>d’incitations à la formation d’ECI</w:t>
      </w:r>
      <w:r w:rsidRPr="00D14C96">
        <w:rPr>
          <w:rFonts w:ascii="Times New Roman" w:hAnsi="Times New Roman" w:cs="Times New Roman"/>
          <w:sz w:val="24"/>
          <w:szCs w:val="24"/>
        </w:rPr>
        <w:t xml:space="preserve"> via des allocations budgétaires et des mesures fiscales, d’accompagnement et d’appui aux communes (pour la formation de leur administration, le recrutement des personnels, l’établissement des conventions de partenariats avec l’Etat, les agences urbaines, etc.) </w:t>
      </w:r>
    </w:p>
    <w:p w14:paraId="559398BD" w14:textId="77777777" w:rsidR="001E0FA9" w:rsidRPr="00D14C96" w:rsidRDefault="001E0FA9" w:rsidP="006E68F4">
      <w:pPr>
        <w:pStyle w:val="ListParagraph"/>
        <w:widowControl w:val="0"/>
        <w:numPr>
          <w:ilvl w:val="0"/>
          <w:numId w:val="16"/>
        </w:numPr>
        <w:shd w:val="clear" w:color="auto" w:fill="D9D9D9" w:themeFill="background1" w:themeFillShade="D9"/>
        <w:spacing w:after="60" w:line="240" w:lineRule="auto"/>
        <w:ind w:left="425" w:hanging="425"/>
        <w:contextualSpacing w:val="0"/>
        <w:jc w:val="both"/>
        <w:rPr>
          <w:rFonts w:ascii="Times New Roman" w:hAnsi="Times New Roman" w:cs="Times New Roman"/>
          <w:sz w:val="24"/>
          <w:szCs w:val="24"/>
        </w:rPr>
      </w:pPr>
      <w:r w:rsidRPr="00D14C96">
        <w:rPr>
          <w:rFonts w:ascii="Times New Roman" w:hAnsi="Times New Roman" w:cs="Times New Roman"/>
          <w:b/>
          <w:sz w:val="24"/>
          <w:szCs w:val="24"/>
        </w:rPr>
        <w:t>L’attribution automatique aux ECI de plus de 500.000 habitants d’un bloc de compétences minimal</w:t>
      </w:r>
      <w:r w:rsidRPr="00D14C96">
        <w:rPr>
          <w:rFonts w:ascii="Times New Roman" w:hAnsi="Times New Roman" w:cs="Times New Roman"/>
          <w:sz w:val="24"/>
          <w:szCs w:val="24"/>
        </w:rPr>
        <w:t xml:space="preserve"> (distribution en eau, assainissement, transport, collecte des déchets, etc. )</w:t>
      </w:r>
    </w:p>
    <w:p w14:paraId="1A577716" w14:textId="77777777" w:rsidR="001E0FA9" w:rsidRPr="00D14C96" w:rsidRDefault="001E0FA9" w:rsidP="009C2620">
      <w:pPr>
        <w:pStyle w:val="ListParagraph"/>
        <w:widowControl w:val="0"/>
        <w:numPr>
          <w:ilvl w:val="0"/>
          <w:numId w:val="16"/>
        </w:numPr>
        <w:shd w:val="clear" w:color="auto" w:fill="D9D9D9" w:themeFill="background1" w:themeFillShade="D9"/>
        <w:spacing w:after="0" w:line="240" w:lineRule="auto"/>
        <w:ind w:left="425" w:hanging="425"/>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La création d’un </w:t>
      </w:r>
      <w:r w:rsidRPr="00D14C96">
        <w:rPr>
          <w:rFonts w:ascii="Times New Roman" w:hAnsi="Times New Roman" w:cs="Times New Roman"/>
          <w:b/>
          <w:sz w:val="24"/>
          <w:szCs w:val="24"/>
        </w:rPr>
        <w:t>mécanisme de péréquation</w:t>
      </w:r>
      <w:r w:rsidRPr="00D14C96">
        <w:rPr>
          <w:rFonts w:ascii="Times New Roman" w:hAnsi="Times New Roman" w:cs="Times New Roman"/>
          <w:sz w:val="24"/>
          <w:szCs w:val="24"/>
        </w:rPr>
        <w:t xml:space="preserve"> à leur profit. </w:t>
      </w:r>
    </w:p>
    <w:p w14:paraId="2880341A" w14:textId="77777777" w:rsidR="001E0FA9" w:rsidRPr="00D14C96" w:rsidRDefault="001E0FA9" w:rsidP="000050E0">
      <w:pPr>
        <w:widowControl w:val="0"/>
        <w:shd w:val="clear" w:color="auto" w:fill="D9D9D9" w:themeFill="background1" w:themeFillShade="D9"/>
        <w:spacing w:after="0" w:line="240" w:lineRule="auto"/>
        <w:rPr>
          <w:rFonts w:ascii="Times New Roman" w:hAnsi="Times New Roman" w:cs="Times New Roman"/>
          <w:sz w:val="24"/>
          <w:szCs w:val="24"/>
        </w:rPr>
      </w:pPr>
    </w:p>
    <w:p w14:paraId="595B8A42" w14:textId="77777777" w:rsidR="001E0FA9" w:rsidRPr="00D14C96" w:rsidRDefault="001E0FA9" w:rsidP="009C2620">
      <w:pPr>
        <w:pStyle w:val="ListParagraph"/>
        <w:widowControl w:val="0"/>
        <w:numPr>
          <w:ilvl w:val="0"/>
          <w:numId w:val="15"/>
        </w:numPr>
        <w:shd w:val="clear" w:color="auto" w:fill="D9D9D9" w:themeFill="background1" w:themeFillShade="D9"/>
        <w:spacing w:after="0" w:line="240" w:lineRule="auto"/>
        <w:ind w:left="360"/>
        <w:rPr>
          <w:rFonts w:ascii="Times New Roman" w:eastAsia="Times New Roman" w:hAnsi="Times New Roman" w:cs="Times New Roman"/>
          <w:b/>
          <w:color w:val="000000"/>
          <w:sz w:val="24"/>
          <w:szCs w:val="24"/>
          <w:lang w:eastAsia="fr-FR"/>
        </w:rPr>
      </w:pPr>
      <w:r w:rsidRPr="00D14C96">
        <w:rPr>
          <w:rFonts w:ascii="Times New Roman" w:eastAsia="Times New Roman" w:hAnsi="Times New Roman" w:cs="Times New Roman"/>
          <w:b/>
          <w:color w:val="000000"/>
          <w:sz w:val="24"/>
          <w:szCs w:val="24"/>
          <w:lang w:eastAsia="fr-FR"/>
        </w:rPr>
        <w:t>La montée en puissance à terme d’un échelon intercommunal métropolitain ayant la prérogative de planification urbaine</w:t>
      </w:r>
    </w:p>
    <w:p w14:paraId="27D3E463"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hAnsi="Times New Roman" w:cs="Times New Roman"/>
          <w:sz w:val="24"/>
          <w:szCs w:val="24"/>
        </w:rPr>
      </w:pPr>
    </w:p>
    <w:p w14:paraId="06ED7EB6"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hAnsi="Times New Roman" w:cs="Times New Roman"/>
          <w:b/>
          <w:sz w:val="24"/>
          <w:szCs w:val="24"/>
        </w:rPr>
      </w:pPr>
      <w:r w:rsidRPr="00D14C96">
        <w:rPr>
          <w:rFonts w:ascii="Times New Roman" w:hAnsi="Times New Roman" w:cs="Times New Roman"/>
          <w:b/>
          <w:sz w:val="24"/>
          <w:szCs w:val="24"/>
        </w:rPr>
        <w:t xml:space="preserve">L’élaboration de SDAU à l’échelle de configurations administratives et territoriales n’entraine pas aujourd’hui leur adhésion. </w:t>
      </w:r>
      <w:r w:rsidRPr="00D14C96">
        <w:rPr>
          <w:rFonts w:ascii="Times New Roman" w:hAnsi="Times New Roman" w:cs="Times New Roman"/>
          <w:sz w:val="24"/>
          <w:szCs w:val="24"/>
        </w:rPr>
        <w:t>Ceci s’explique du fait des très faibles prérogatives qui leur sont confiées dans ce domaine et qu’elles ne sont pas véritablement impliquées dans leur définition et élaboration.</w:t>
      </w:r>
    </w:p>
    <w:p w14:paraId="6022D04D"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hAnsi="Times New Roman" w:cs="Times New Roman"/>
          <w:b/>
          <w:sz w:val="24"/>
          <w:szCs w:val="24"/>
        </w:rPr>
      </w:pPr>
    </w:p>
    <w:p w14:paraId="329DFF0D"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eastAsia="Times New Roman" w:hAnsi="Times New Roman" w:cs="Times New Roman"/>
          <w:color w:val="000000"/>
          <w:sz w:val="24"/>
          <w:szCs w:val="24"/>
          <w:lang w:eastAsia="fr-FR"/>
        </w:rPr>
      </w:pPr>
      <w:r w:rsidRPr="00D14C96">
        <w:rPr>
          <w:rFonts w:ascii="Times New Roman" w:hAnsi="Times New Roman" w:cs="Times New Roman"/>
          <w:b/>
          <w:sz w:val="24"/>
          <w:szCs w:val="24"/>
        </w:rPr>
        <w:t>Une réelle avancée à terme serait de transférer tout ou partie de cette responsabilité aux grandes intercommunalités</w:t>
      </w:r>
      <w:r w:rsidRPr="00D14C96">
        <w:rPr>
          <w:rFonts w:ascii="Times New Roman" w:hAnsi="Times New Roman" w:cs="Times New Roman"/>
          <w:sz w:val="24"/>
          <w:szCs w:val="24"/>
        </w:rPr>
        <w:t xml:space="preserve"> </w:t>
      </w:r>
      <w:r w:rsidRPr="00D14C96">
        <w:rPr>
          <w:rFonts w:ascii="Times New Roman" w:hAnsi="Times New Roman" w:cs="Times New Roman"/>
          <w:b/>
          <w:sz w:val="24"/>
          <w:szCs w:val="24"/>
        </w:rPr>
        <w:t xml:space="preserve">ou à des </w:t>
      </w:r>
      <w:r w:rsidRPr="00D14C96">
        <w:rPr>
          <w:rFonts w:ascii="Times New Roman" w:eastAsia="Times New Roman" w:hAnsi="Times New Roman" w:cs="Times New Roman"/>
          <w:b/>
          <w:color w:val="000000"/>
          <w:sz w:val="24"/>
          <w:szCs w:val="24"/>
          <w:lang w:eastAsia="fr-FR"/>
        </w:rPr>
        <w:t>entités métropolitaines</w:t>
      </w:r>
      <w:r w:rsidRPr="00D14C96">
        <w:rPr>
          <w:rFonts w:ascii="Times New Roman" w:hAnsi="Times New Roman" w:cs="Times New Roman"/>
          <w:sz w:val="24"/>
          <w:szCs w:val="24"/>
        </w:rPr>
        <w:t xml:space="preserve">, selon le principe de ‘‘compétences partagées’’ et sur une base conventionnelle impliquant l’Etat et </w:t>
      </w:r>
      <w:r w:rsidRPr="00D14C96">
        <w:rPr>
          <w:rFonts w:ascii="Times New Roman" w:eastAsia="Times New Roman" w:hAnsi="Times New Roman" w:cs="Times New Roman"/>
          <w:color w:val="000000"/>
          <w:sz w:val="24"/>
          <w:szCs w:val="24"/>
          <w:lang w:eastAsia="fr-FR"/>
        </w:rPr>
        <w:t xml:space="preserve">les </w:t>
      </w:r>
      <w:r w:rsidRPr="00D14C96">
        <w:rPr>
          <w:rFonts w:ascii="Times New Roman" w:hAnsi="Times New Roman" w:cs="Times New Roman"/>
          <w:sz w:val="24"/>
          <w:szCs w:val="24"/>
        </w:rPr>
        <w:lastRenderedPageBreak/>
        <w:t>collectivités locales concernées</w:t>
      </w:r>
      <w:r w:rsidRPr="00D14C96">
        <w:rPr>
          <w:rStyle w:val="FootnoteReference"/>
          <w:rFonts w:ascii="Times New Roman" w:hAnsi="Times New Roman" w:cs="Times New Roman"/>
          <w:sz w:val="24"/>
          <w:szCs w:val="24"/>
        </w:rPr>
        <w:footnoteReference w:id="60"/>
      </w:r>
      <w:r w:rsidRPr="00D14C96">
        <w:rPr>
          <w:rFonts w:ascii="Times New Roman" w:hAnsi="Times New Roman" w:cs="Times New Roman"/>
          <w:sz w:val="24"/>
          <w:szCs w:val="24"/>
        </w:rPr>
        <w:t>. Cette mesure qui reviendrait aux dispositions de la charte communale 17-08 (2009)</w:t>
      </w:r>
      <w:r w:rsidRPr="00D14C96">
        <w:rPr>
          <w:rStyle w:val="FootnoteReference"/>
          <w:rFonts w:ascii="Times New Roman" w:hAnsi="Times New Roman" w:cs="Times New Roman"/>
          <w:sz w:val="24"/>
          <w:szCs w:val="24"/>
        </w:rPr>
        <w:footnoteReference w:id="61"/>
      </w:r>
      <w:r w:rsidRPr="00D14C96">
        <w:rPr>
          <w:rFonts w:ascii="Times New Roman" w:hAnsi="Times New Roman" w:cs="Times New Roman"/>
          <w:sz w:val="24"/>
          <w:szCs w:val="24"/>
        </w:rPr>
        <w:t xml:space="preserve"> permettrait d’améliorer la coordination à travers l’institution intercommunale,</w:t>
      </w:r>
      <w:r w:rsidRPr="00D14C96">
        <w:rPr>
          <w:rFonts w:ascii="Times New Roman" w:hAnsi="Times New Roman" w:cs="Times New Roman"/>
          <w:i/>
          <w:sz w:val="24"/>
          <w:szCs w:val="24"/>
        </w:rPr>
        <w:t xml:space="preserve"> </w:t>
      </w:r>
      <w:r w:rsidRPr="00D14C96">
        <w:rPr>
          <w:rFonts w:ascii="Times New Roman" w:eastAsia="Times New Roman" w:hAnsi="Times New Roman" w:cs="Times New Roman"/>
          <w:color w:val="000000"/>
          <w:sz w:val="24"/>
          <w:szCs w:val="24"/>
          <w:lang w:eastAsia="fr-FR"/>
        </w:rPr>
        <w:t xml:space="preserve">interlocuteur désigné en matière de planification tout en recherchant l’articulation nécessaire avec les régions dans une dynamique de complémentarité. </w:t>
      </w:r>
    </w:p>
    <w:p w14:paraId="724E70D5" w14:textId="77777777" w:rsidR="001E0FA9" w:rsidRPr="00D14C96" w:rsidRDefault="001E0FA9" w:rsidP="000050E0">
      <w:pPr>
        <w:widowControl w:val="0"/>
        <w:shd w:val="clear" w:color="auto" w:fill="FFFFFF"/>
        <w:spacing w:after="0" w:line="240" w:lineRule="auto"/>
        <w:jc w:val="both"/>
        <w:rPr>
          <w:rFonts w:ascii="Times New Roman" w:hAnsi="Times New Roman" w:cs="Times New Roman"/>
          <w:sz w:val="24"/>
          <w:szCs w:val="24"/>
        </w:rPr>
      </w:pPr>
    </w:p>
    <w:p w14:paraId="464B96C9" w14:textId="1457DE33" w:rsidR="001E0FA9" w:rsidRPr="00D14C96" w:rsidRDefault="001E0FA9" w:rsidP="000050E0">
      <w:pPr>
        <w:pStyle w:val="Heading3"/>
        <w:rPr>
          <w:rFonts w:ascii="Times New Roman" w:eastAsia="Times New Roman" w:hAnsi="Times New Roman" w:cs="Times New Roman"/>
          <w:b/>
          <w:color w:val="000000"/>
          <w:lang w:eastAsia="fr-FR"/>
        </w:rPr>
      </w:pPr>
      <w:bookmarkStart w:id="133" w:name="_Toc515875133"/>
      <w:r w:rsidRPr="00D14C96">
        <w:rPr>
          <w:rFonts w:ascii="Times New Roman" w:eastAsia="Times New Roman" w:hAnsi="Times New Roman" w:cs="Times New Roman"/>
          <w:b/>
          <w:color w:val="000000"/>
          <w:u w:val="single"/>
          <w:lang w:eastAsia="fr-FR"/>
        </w:rPr>
        <w:t>Proposition #10 </w:t>
      </w:r>
      <w:r w:rsidRPr="00D14C96">
        <w:rPr>
          <w:rFonts w:ascii="Times New Roman" w:eastAsia="Times New Roman" w:hAnsi="Times New Roman" w:cs="Times New Roman"/>
          <w:b/>
          <w:color w:val="000000"/>
          <w:lang w:eastAsia="fr-FR"/>
        </w:rPr>
        <w:t>: Transformer les Agences urbaines en outil technique et d’appui clef à la nouvelle organisation territoriale</w:t>
      </w:r>
      <w:bookmarkEnd w:id="133"/>
      <w:r w:rsidRPr="00D14C96">
        <w:rPr>
          <w:rFonts w:ascii="Times New Roman" w:eastAsia="Times New Roman" w:hAnsi="Times New Roman" w:cs="Times New Roman"/>
          <w:b/>
          <w:color w:val="000000"/>
          <w:lang w:eastAsia="fr-FR"/>
        </w:rPr>
        <w:t xml:space="preserve"> </w:t>
      </w:r>
    </w:p>
    <w:p w14:paraId="5CE47D27"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44A21CBB" w14:textId="6EBE46F6"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 xml:space="preserve">Les agences urbaines sont aujourd’hui à un tournant lié à la réforme territoriale et à son accompagnement. </w:t>
      </w:r>
      <w:r w:rsidRPr="00D14C96">
        <w:rPr>
          <w:rFonts w:ascii="Times New Roman" w:hAnsi="Times New Roman" w:cs="Times New Roman"/>
        </w:rPr>
        <w:t>Les agences urbaines sont des acteurs clefs de l’organisation territoriale, à travers leur expertise, leur ancrage local et leur participation directe ou indirecte à la planification et au développement urbain. Elles forment aujourd’hui un réseau d’acteurs publics reconnus, ‘‘</w:t>
      </w:r>
      <w:r w:rsidRPr="00D14C96">
        <w:rPr>
          <w:rFonts w:ascii="Times New Roman" w:hAnsi="Times New Roman" w:cs="Times New Roman"/>
          <w:i/>
        </w:rPr>
        <w:t>déjà fonctionnellement déconcentrés</w:t>
      </w:r>
      <w:r w:rsidRPr="00D14C96">
        <w:rPr>
          <w:rFonts w:ascii="Times New Roman" w:hAnsi="Times New Roman" w:cs="Times New Roman"/>
        </w:rPr>
        <w:t>’’</w:t>
      </w:r>
      <w:r w:rsidRPr="00D14C96">
        <w:rPr>
          <w:rStyle w:val="FootnoteReference"/>
          <w:rFonts w:ascii="Times New Roman" w:hAnsi="Times New Roman" w:cs="Times New Roman"/>
        </w:rPr>
        <w:footnoteReference w:id="62"/>
      </w:r>
      <w:r w:rsidRPr="00D14C96">
        <w:rPr>
          <w:rFonts w:ascii="Times New Roman" w:hAnsi="Times New Roman" w:cs="Times New Roman"/>
        </w:rPr>
        <w:t xml:space="preserve"> et qui ont accumulé une expérience importante dans le domaine de la planification et de la gestion urbaine. Elles font en même temps face à des contraintes dues au poids </w:t>
      </w:r>
      <w:r w:rsidRPr="00D14C96">
        <w:rPr>
          <w:rFonts w:ascii="Times New Roman" w:eastAsia="Times New Roman" w:hAnsi="Times New Roman" w:cs="Times New Roman"/>
          <w:color w:val="000000"/>
          <w:lang w:eastAsia="fr-FR"/>
        </w:rPr>
        <w:t>considérable</w:t>
      </w:r>
      <w:r w:rsidRPr="00D14C96">
        <w:rPr>
          <w:rFonts w:ascii="Times New Roman" w:hAnsi="Times New Roman" w:cs="Times New Roman"/>
        </w:rPr>
        <w:t xml:space="preserve"> des activités de ( gestion urbaine</w:t>
      </w:r>
      <w:r w:rsidRPr="00D14C96">
        <w:rPr>
          <w:rStyle w:val="FootnoteReference"/>
          <w:rFonts w:ascii="Times New Roman" w:hAnsi="Times New Roman" w:cs="Times New Roman"/>
        </w:rPr>
        <w:footnoteReference w:id="63"/>
      </w:r>
      <w:r w:rsidRPr="00D14C96">
        <w:rPr>
          <w:rFonts w:ascii="Times New Roman" w:hAnsi="Times New Roman" w:cs="Times New Roman"/>
        </w:rPr>
        <w:t xml:space="preserve"> au détriment de la prospective et de la veille, à la multiplication du nombre d’agences (30) et à leur difficulté à accompagner les évolutions et faire évoluer leurs pratiques pour s’adapter aux nouvelles exigences (coordination multi acteurs, urbanisme négocié, accompagnement des promoteurs investisseurs).</w:t>
      </w:r>
    </w:p>
    <w:p w14:paraId="1A350A6D" w14:textId="77777777" w:rsidR="001E0FA9" w:rsidRPr="00D14C96" w:rsidRDefault="001E0FA9" w:rsidP="000050E0">
      <w:pPr>
        <w:widowControl w:val="0"/>
        <w:spacing w:after="0" w:line="240" w:lineRule="auto"/>
        <w:jc w:val="both"/>
        <w:rPr>
          <w:rFonts w:ascii="Times New Roman" w:hAnsi="Times New Roman" w:cs="Times New Roman"/>
          <w:sz w:val="24"/>
          <w:szCs w:val="24"/>
        </w:rPr>
      </w:pPr>
    </w:p>
    <w:p w14:paraId="7FDDBEED" w14:textId="77777777" w:rsidR="001E0FA9" w:rsidRPr="00D14C96" w:rsidRDefault="001E0FA9" w:rsidP="006E68F4">
      <w:pPr>
        <w:widowControl w:val="0"/>
        <w:shd w:val="clear" w:color="auto" w:fill="D9D9D9" w:themeFill="background1" w:themeFillShade="D9"/>
        <w:spacing w:after="120" w:line="240" w:lineRule="auto"/>
        <w:jc w:val="both"/>
        <w:rPr>
          <w:rFonts w:ascii="Times New Roman" w:hAnsi="Times New Roman" w:cs="Times New Roman"/>
          <w:b/>
          <w:color w:val="2E74B5" w:themeColor="accent1" w:themeShade="BF"/>
          <w:sz w:val="24"/>
          <w:szCs w:val="24"/>
          <w:u w:val="single"/>
        </w:rPr>
      </w:pPr>
      <w:r w:rsidRPr="00D14C96">
        <w:rPr>
          <w:rFonts w:ascii="Times New Roman" w:hAnsi="Times New Roman" w:cs="Times New Roman"/>
          <w:b/>
          <w:color w:val="2E74B5" w:themeColor="accent1" w:themeShade="BF"/>
          <w:sz w:val="24"/>
          <w:szCs w:val="24"/>
          <w:u w:val="single"/>
        </w:rPr>
        <w:t>Quelles pistes ?</w:t>
      </w:r>
    </w:p>
    <w:p w14:paraId="0B3D82E5"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hAnsi="Times New Roman" w:cs="Times New Roman"/>
          <w:sz w:val="24"/>
          <w:szCs w:val="24"/>
        </w:rPr>
      </w:pPr>
      <w:r w:rsidRPr="00D14C96">
        <w:rPr>
          <w:rFonts w:ascii="Times New Roman" w:hAnsi="Times New Roman" w:cs="Times New Roman"/>
          <w:b/>
          <w:sz w:val="24"/>
          <w:szCs w:val="24"/>
        </w:rPr>
        <w:t>Il s’agit de redéfinir le rôle et le positionnement des agences urbaines dans l’organisation territoriale.</w:t>
      </w:r>
      <w:r w:rsidRPr="00D14C96">
        <w:rPr>
          <w:rFonts w:ascii="Times New Roman" w:hAnsi="Times New Roman" w:cs="Times New Roman"/>
          <w:sz w:val="24"/>
          <w:szCs w:val="24"/>
        </w:rPr>
        <w:t xml:space="preserve"> La nouvelle organisation institutionnelle et le déplacement du centre de gravité vers l’échelon régional sont l’occasion d’une redéfinition de leur rôle et de leur positionnement. </w:t>
      </w:r>
    </w:p>
    <w:p w14:paraId="51D350A6" w14:textId="77777777" w:rsidR="001E0FA9" w:rsidRPr="00D14C96" w:rsidRDefault="001E0FA9" w:rsidP="000050E0">
      <w:pPr>
        <w:widowControl w:val="0"/>
        <w:shd w:val="clear" w:color="auto" w:fill="D9D9D9" w:themeFill="background1" w:themeFillShade="D9"/>
        <w:spacing w:after="0" w:line="240" w:lineRule="auto"/>
        <w:jc w:val="both"/>
        <w:rPr>
          <w:rFonts w:ascii="Times New Roman" w:hAnsi="Times New Roman" w:cs="Times New Roman"/>
          <w:sz w:val="24"/>
          <w:szCs w:val="24"/>
        </w:rPr>
      </w:pPr>
    </w:p>
    <w:p w14:paraId="32C9D8C1" w14:textId="77777777" w:rsidR="001E0FA9" w:rsidRPr="00D14C96" w:rsidRDefault="001E0FA9" w:rsidP="00CB0762">
      <w:pPr>
        <w:widowControl w:val="0"/>
        <w:shd w:val="clear" w:color="auto" w:fill="D9D9D9" w:themeFill="background1" w:themeFillShade="D9"/>
        <w:spacing w:after="120" w:line="240" w:lineRule="auto"/>
        <w:jc w:val="both"/>
        <w:rPr>
          <w:rFonts w:ascii="Times New Roman" w:hAnsi="Times New Roman" w:cs="Times New Roman"/>
          <w:b/>
          <w:sz w:val="24"/>
          <w:szCs w:val="24"/>
        </w:rPr>
      </w:pPr>
      <w:r w:rsidRPr="00D14C96">
        <w:rPr>
          <w:rFonts w:ascii="Times New Roman" w:hAnsi="Times New Roman" w:cs="Times New Roman"/>
          <w:b/>
          <w:sz w:val="24"/>
          <w:szCs w:val="24"/>
        </w:rPr>
        <w:t>Cela nécessite de faire évoluer :</w:t>
      </w:r>
    </w:p>
    <w:p w14:paraId="048D45E6" w14:textId="77777777" w:rsidR="001E0FA9" w:rsidRPr="00D14C96" w:rsidRDefault="001E0FA9" w:rsidP="009C2620">
      <w:pPr>
        <w:pStyle w:val="ListParagraph"/>
        <w:widowControl w:val="0"/>
        <w:numPr>
          <w:ilvl w:val="0"/>
          <w:numId w:val="18"/>
        </w:numPr>
        <w:shd w:val="clear" w:color="auto" w:fill="D9D9D9" w:themeFill="background1" w:themeFillShade="D9"/>
        <w:spacing w:after="0" w:line="240" w:lineRule="auto"/>
        <w:ind w:left="720"/>
        <w:contextualSpacing w:val="0"/>
        <w:jc w:val="both"/>
        <w:rPr>
          <w:rFonts w:ascii="Times New Roman" w:hAnsi="Times New Roman" w:cs="Times New Roman"/>
          <w:sz w:val="24"/>
          <w:szCs w:val="24"/>
        </w:rPr>
      </w:pPr>
      <w:r w:rsidRPr="00D14C96">
        <w:rPr>
          <w:rFonts w:ascii="Times New Roman" w:hAnsi="Times New Roman" w:cs="Times New Roman"/>
          <w:b/>
          <w:sz w:val="24"/>
          <w:szCs w:val="24"/>
        </w:rPr>
        <w:t>leur</w:t>
      </w:r>
      <w:r w:rsidRPr="00D14C96">
        <w:rPr>
          <w:rFonts w:ascii="Times New Roman" w:eastAsia="Times New Roman" w:hAnsi="Times New Roman" w:cs="Times New Roman"/>
          <w:b/>
          <w:snapToGrid w:val="0"/>
          <w:color w:val="000000"/>
          <w:sz w:val="24"/>
          <w:szCs w:val="24"/>
          <w:lang w:eastAsia="fr-FR"/>
        </w:rPr>
        <w:t xml:space="preserve"> positionnement territorial</w:t>
      </w:r>
      <w:r w:rsidRPr="00D14C96">
        <w:rPr>
          <w:rFonts w:ascii="Times New Roman" w:hAnsi="Times New Roman" w:cs="Times New Roman"/>
          <w:sz w:val="24"/>
          <w:szCs w:val="24"/>
        </w:rPr>
        <w:t xml:space="preserve"> : les AU gagneraient à élargir leur champ d’intervention et se positionner en grandes agences régionales. Cette configuration aurait l’avantage de favoriser </w:t>
      </w:r>
      <w:r w:rsidRPr="00D14C96">
        <w:rPr>
          <w:rFonts w:ascii="Times New Roman" w:eastAsia="Calibri" w:hAnsi="Times New Roman" w:cs="Times New Roman"/>
          <w:sz w:val="24"/>
          <w:szCs w:val="24"/>
        </w:rPr>
        <w:t xml:space="preserve">une meilleure intégration des échelles et des niveaux de planification (entre SRAT, SDAU, PA) </w:t>
      </w:r>
      <w:r w:rsidRPr="00D14C96">
        <w:rPr>
          <w:rFonts w:ascii="Times New Roman" w:hAnsi="Times New Roman" w:cs="Times New Roman"/>
          <w:sz w:val="24"/>
          <w:szCs w:val="24"/>
        </w:rPr>
        <w:t xml:space="preserve">et de rapprocher les régions, les agglomérations et les villes. </w:t>
      </w:r>
    </w:p>
    <w:p w14:paraId="3ABF3D9B" w14:textId="77777777" w:rsidR="001E0FA9" w:rsidRPr="00D14C96" w:rsidRDefault="001E0FA9" w:rsidP="009C2620">
      <w:pPr>
        <w:pStyle w:val="ListParagraph"/>
        <w:widowControl w:val="0"/>
        <w:numPr>
          <w:ilvl w:val="0"/>
          <w:numId w:val="18"/>
        </w:numPr>
        <w:shd w:val="clear" w:color="auto" w:fill="D9D9D9" w:themeFill="background1" w:themeFillShade="D9"/>
        <w:autoSpaceDE w:val="0"/>
        <w:autoSpaceDN w:val="0"/>
        <w:adjustRightInd w:val="0"/>
        <w:spacing w:after="0" w:line="240" w:lineRule="auto"/>
        <w:ind w:left="720"/>
        <w:contextualSpacing w:val="0"/>
        <w:jc w:val="both"/>
        <w:rPr>
          <w:rFonts w:ascii="Times New Roman" w:hAnsi="Times New Roman" w:cs="Times New Roman"/>
          <w:sz w:val="24"/>
          <w:szCs w:val="24"/>
        </w:rPr>
      </w:pPr>
      <w:r w:rsidRPr="00D14C96">
        <w:rPr>
          <w:rFonts w:ascii="Times New Roman" w:hAnsi="Times New Roman" w:cs="Times New Roman"/>
          <w:b/>
          <w:sz w:val="24"/>
          <w:szCs w:val="24"/>
        </w:rPr>
        <w:t>leur gouvernance</w:t>
      </w:r>
      <w:r w:rsidRPr="00D14C96">
        <w:rPr>
          <w:rFonts w:ascii="Times New Roman" w:hAnsi="Times New Roman" w:cs="Times New Roman"/>
          <w:sz w:val="24"/>
          <w:szCs w:val="24"/>
        </w:rPr>
        <w:t>, en améliorant leur pilotage politique et institutionnel, la portée et la constance des conseils administration, la représentativité des collectivités territoriales</w:t>
      </w:r>
      <w:r w:rsidRPr="00D14C96">
        <w:rPr>
          <w:rStyle w:val="FootnoteReference"/>
          <w:rFonts w:ascii="Times New Roman" w:hAnsi="Times New Roman" w:cs="Times New Roman"/>
          <w:sz w:val="24"/>
          <w:szCs w:val="24"/>
        </w:rPr>
        <w:footnoteReference w:id="64"/>
      </w:r>
      <w:r w:rsidRPr="00D14C96">
        <w:rPr>
          <w:rFonts w:ascii="Times New Roman" w:hAnsi="Times New Roman" w:cs="Times New Roman"/>
          <w:sz w:val="24"/>
          <w:szCs w:val="24"/>
        </w:rPr>
        <w:t>, en renforçant le rôle et la responsabilité du Wali dans leur portage</w:t>
      </w:r>
      <w:r w:rsidRPr="00D14C96">
        <w:rPr>
          <w:rStyle w:val="FootnoteReference"/>
          <w:rFonts w:ascii="Times New Roman" w:hAnsi="Times New Roman" w:cs="Times New Roman"/>
          <w:sz w:val="24"/>
          <w:szCs w:val="24"/>
        </w:rPr>
        <w:footnoteReference w:id="65"/>
      </w:r>
      <w:r w:rsidRPr="00D14C96">
        <w:rPr>
          <w:rFonts w:ascii="Times New Roman" w:hAnsi="Times New Roman" w:cs="Times New Roman"/>
          <w:sz w:val="24"/>
          <w:szCs w:val="24"/>
        </w:rPr>
        <w:t>, etc.,</w:t>
      </w:r>
      <w:r w:rsidRPr="00D14C96">
        <w:rPr>
          <w:rFonts w:ascii="Times New Roman" w:hAnsi="Times New Roman" w:cs="Times New Roman"/>
          <w:b/>
          <w:color w:val="FF0000"/>
          <w:sz w:val="24"/>
          <w:szCs w:val="24"/>
        </w:rPr>
        <w:t xml:space="preserve"> </w:t>
      </w:r>
    </w:p>
    <w:p w14:paraId="55AB2DDC" w14:textId="77777777" w:rsidR="001E0FA9" w:rsidRPr="00D14C96" w:rsidRDefault="001E0FA9" w:rsidP="009C2620">
      <w:pPr>
        <w:pStyle w:val="ListParagraph"/>
        <w:widowControl w:val="0"/>
        <w:numPr>
          <w:ilvl w:val="0"/>
          <w:numId w:val="18"/>
        </w:numPr>
        <w:shd w:val="clear" w:color="auto" w:fill="D9D9D9" w:themeFill="background1" w:themeFillShade="D9"/>
        <w:spacing w:after="0" w:line="240" w:lineRule="auto"/>
        <w:ind w:left="720"/>
        <w:jc w:val="both"/>
        <w:rPr>
          <w:rFonts w:ascii="Times New Roman" w:hAnsi="Times New Roman" w:cs="Times New Roman"/>
          <w:sz w:val="24"/>
          <w:szCs w:val="24"/>
        </w:rPr>
      </w:pPr>
      <w:r w:rsidRPr="00D14C96">
        <w:rPr>
          <w:rFonts w:ascii="Times New Roman" w:hAnsi="Times New Roman" w:cs="Times New Roman"/>
          <w:b/>
          <w:sz w:val="24"/>
          <w:szCs w:val="24"/>
        </w:rPr>
        <w:t>leurs qualifications et ressources humaines</w:t>
      </w:r>
      <w:r w:rsidRPr="00D14C96">
        <w:rPr>
          <w:rFonts w:ascii="Times New Roman" w:hAnsi="Times New Roman" w:cs="Times New Roman"/>
          <w:sz w:val="24"/>
          <w:szCs w:val="24"/>
        </w:rPr>
        <w:t xml:space="preserve"> : il n’est pas possible d’espérer une plus grande montée en puissance des AU sans un renforcement de leurs compétences techniques et managériales. Ceci est tributaire des ressources humaines qu’elles </w:t>
      </w:r>
      <w:r w:rsidRPr="00D14C96">
        <w:rPr>
          <w:rFonts w:ascii="Times New Roman" w:hAnsi="Times New Roman" w:cs="Times New Roman"/>
          <w:sz w:val="24"/>
          <w:szCs w:val="24"/>
        </w:rPr>
        <w:lastRenderedPageBreak/>
        <w:t xml:space="preserve">pourront mobiliser et des expertises nouvelles qu’elles devront développer dans les champs de la mobilité et du transport, de l’approche environnementale de l’urbanisme, du renouvellement urbain, etc. </w:t>
      </w:r>
    </w:p>
    <w:p w14:paraId="230B46DC" w14:textId="77777777" w:rsidR="001E0FA9" w:rsidRPr="00D14C96" w:rsidRDefault="001E0FA9" w:rsidP="009C2620">
      <w:pPr>
        <w:pStyle w:val="ListParagraph"/>
        <w:widowControl w:val="0"/>
        <w:numPr>
          <w:ilvl w:val="0"/>
          <w:numId w:val="18"/>
        </w:numPr>
        <w:shd w:val="clear" w:color="auto" w:fill="D9D9D9" w:themeFill="background1" w:themeFillShade="D9"/>
        <w:spacing w:after="0" w:line="240" w:lineRule="auto"/>
        <w:ind w:left="720"/>
        <w:jc w:val="both"/>
        <w:rPr>
          <w:rFonts w:ascii="Times New Roman" w:eastAsia="Calibri" w:hAnsi="Times New Roman" w:cs="Times New Roman"/>
          <w:sz w:val="24"/>
          <w:szCs w:val="24"/>
        </w:rPr>
      </w:pPr>
      <w:r w:rsidRPr="00D14C96">
        <w:rPr>
          <w:rFonts w:ascii="Times New Roman" w:hAnsi="Times New Roman" w:cs="Times New Roman"/>
          <w:b/>
          <w:sz w:val="24"/>
          <w:szCs w:val="24"/>
        </w:rPr>
        <w:t>leurs missions</w:t>
      </w:r>
      <w:r w:rsidRPr="00D14C96">
        <w:rPr>
          <w:rFonts w:ascii="Times New Roman" w:hAnsi="Times New Roman" w:cs="Times New Roman"/>
          <w:sz w:val="24"/>
          <w:szCs w:val="24"/>
        </w:rPr>
        <w:t> : les AU doivent se détacher progressivement de la gestion urbaine et recentrer leur action</w:t>
      </w:r>
      <w:r w:rsidRPr="00D14C96">
        <w:rPr>
          <w:rFonts w:ascii="Times New Roman" w:hAnsi="Times New Roman" w:cs="Times New Roman"/>
          <w:i/>
          <w:sz w:val="24"/>
          <w:szCs w:val="24"/>
        </w:rPr>
        <w:t xml:space="preserve"> </w:t>
      </w:r>
      <w:r w:rsidRPr="00D14C96">
        <w:rPr>
          <w:rFonts w:ascii="Times New Roman" w:hAnsi="Times New Roman" w:cs="Times New Roman"/>
          <w:sz w:val="24"/>
          <w:szCs w:val="24"/>
        </w:rPr>
        <w:t xml:space="preserve">sur la </w:t>
      </w:r>
      <w:r w:rsidRPr="00D14C96">
        <w:rPr>
          <w:rFonts w:ascii="Times New Roman" w:eastAsia="Calibri" w:hAnsi="Times New Roman" w:cs="Times New Roman"/>
          <w:sz w:val="24"/>
          <w:szCs w:val="24"/>
        </w:rPr>
        <w:t xml:space="preserve">prospective, les études et les </w:t>
      </w:r>
      <w:r w:rsidRPr="00D14C96">
        <w:rPr>
          <w:rFonts w:ascii="Times New Roman" w:hAnsi="Times New Roman" w:cs="Times New Roman"/>
          <w:sz w:val="24"/>
          <w:szCs w:val="24"/>
        </w:rPr>
        <w:t>stratégies urbaines et territoriales,</w:t>
      </w:r>
      <w:r w:rsidRPr="00D14C96">
        <w:rPr>
          <w:rFonts w:ascii="Times New Roman" w:eastAsia="Calibri" w:hAnsi="Times New Roman" w:cs="Times New Roman"/>
          <w:sz w:val="24"/>
          <w:szCs w:val="24"/>
        </w:rPr>
        <w:t xml:space="preserve"> </w:t>
      </w:r>
      <w:r w:rsidRPr="00D14C96">
        <w:rPr>
          <w:rFonts w:ascii="Times New Roman" w:hAnsi="Times New Roman" w:cs="Times New Roman"/>
          <w:sz w:val="24"/>
          <w:szCs w:val="24"/>
        </w:rPr>
        <w:t xml:space="preserve">la mise en relation des acteurs du développement, le pilotage des projets complexes, </w:t>
      </w:r>
      <w:r w:rsidRPr="00D14C96">
        <w:rPr>
          <w:rFonts w:ascii="Times New Roman" w:eastAsia="Calibri" w:hAnsi="Times New Roman" w:cs="Times New Roman"/>
          <w:sz w:val="24"/>
          <w:szCs w:val="24"/>
        </w:rPr>
        <w:t>la veille territoriale, le</w:t>
      </w:r>
      <w:r w:rsidRPr="00D14C96">
        <w:rPr>
          <w:rFonts w:ascii="Times New Roman" w:hAnsi="Times New Roman" w:cs="Times New Roman"/>
          <w:sz w:val="24"/>
          <w:szCs w:val="24"/>
        </w:rPr>
        <w:t xml:space="preserve"> suivi de l’urbanisation, etc. Elles gagneraient aussi à développer </w:t>
      </w:r>
      <w:r w:rsidRPr="00D14C96">
        <w:rPr>
          <w:rFonts w:ascii="Times New Roman" w:eastAsia="Calibri" w:hAnsi="Times New Roman" w:cs="Times New Roman"/>
          <w:sz w:val="24"/>
          <w:szCs w:val="24"/>
        </w:rPr>
        <w:t xml:space="preserve">des conventions de partenariat </w:t>
      </w:r>
      <w:r w:rsidRPr="00D14C96">
        <w:rPr>
          <w:rFonts w:ascii="Times New Roman" w:hAnsi="Times New Roman" w:cs="Times New Roman"/>
          <w:sz w:val="24"/>
          <w:szCs w:val="24"/>
        </w:rPr>
        <w:t xml:space="preserve">avec les collectivités territoriales (régions, intercommunalités, communes) </w:t>
      </w:r>
      <w:r w:rsidRPr="00D14C96">
        <w:rPr>
          <w:rFonts w:ascii="Times New Roman" w:eastAsia="Calibri" w:hAnsi="Times New Roman" w:cs="Times New Roman"/>
          <w:sz w:val="24"/>
          <w:szCs w:val="24"/>
        </w:rPr>
        <w:t>pour des prestations d’études, de</w:t>
      </w:r>
      <w:r w:rsidRPr="00D14C96">
        <w:rPr>
          <w:rFonts w:ascii="Times New Roman" w:hAnsi="Times New Roman" w:cs="Times New Roman"/>
          <w:sz w:val="24"/>
          <w:szCs w:val="24"/>
        </w:rPr>
        <w:t xml:space="preserve"> conseil et d’assistance à maîtrise d’ouvrage (appui à la planification des </w:t>
      </w:r>
      <w:r w:rsidRPr="00D14C96">
        <w:rPr>
          <w:rFonts w:ascii="Times New Roman" w:eastAsia="Calibri" w:hAnsi="Times New Roman" w:cs="Times New Roman"/>
          <w:sz w:val="24"/>
          <w:szCs w:val="24"/>
        </w:rPr>
        <w:t>SRAT,</w:t>
      </w:r>
      <w:r w:rsidRPr="00D14C96">
        <w:rPr>
          <w:rFonts w:ascii="Times New Roman" w:eastAsia="Calibri" w:hAnsi="Times New Roman" w:cs="Times New Roman"/>
          <w:color w:val="FF0000"/>
          <w:sz w:val="24"/>
          <w:szCs w:val="24"/>
        </w:rPr>
        <w:t xml:space="preserve"> </w:t>
      </w:r>
      <w:r w:rsidRPr="00D14C96">
        <w:rPr>
          <w:rFonts w:ascii="Times New Roman" w:eastAsia="Calibri" w:hAnsi="Times New Roman" w:cs="Times New Roman"/>
          <w:sz w:val="24"/>
          <w:szCs w:val="24"/>
        </w:rPr>
        <w:t>à l’élaboration des visions de développement régional, à l’accompagnement aux PAC, au suivi territorial, etc.).</w:t>
      </w:r>
    </w:p>
    <w:p w14:paraId="02AA3C05" w14:textId="77777777" w:rsidR="001E0FA9" w:rsidRPr="00D14C96" w:rsidRDefault="001E0FA9" w:rsidP="000050E0">
      <w:pPr>
        <w:widowControl w:val="0"/>
        <w:shd w:val="clear" w:color="auto" w:fill="D9D9D9" w:themeFill="background1" w:themeFillShade="D9"/>
        <w:autoSpaceDE w:val="0"/>
        <w:autoSpaceDN w:val="0"/>
        <w:adjustRightInd w:val="0"/>
        <w:spacing w:after="0" w:line="240" w:lineRule="auto"/>
        <w:jc w:val="both"/>
        <w:rPr>
          <w:rFonts w:ascii="Times New Roman" w:hAnsi="Times New Roman" w:cs="Times New Roman"/>
          <w:sz w:val="24"/>
          <w:szCs w:val="24"/>
        </w:rPr>
      </w:pPr>
    </w:p>
    <w:p w14:paraId="57CD33FA" w14:textId="77777777" w:rsidR="001E0FA9" w:rsidRPr="00D14C96" w:rsidRDefault="001E0FA9" w:rsidP="00CB0762">
      <w:pPr>
        <w:widowControl w:val="0"/>
        <w:shd w:val="clear" w:color="auto" w:fill="D9D9D9" w:themeFill="background1" w:themeFillShade="D9"/>
        <w:autoSpaceDE w:val="0"/>
        <w:autoSpaceDN w:val="0"/>
        <w:adjustRightInd w:val="0"/>
        <w:spacing w:after="120" w:line="240" w:lineRule="auto"/>
        <w:jc w:val="both"/>
        <w:rPr>
          <w:rFonts w:ascii="Times New Roman" w:hAnsi="Times New Roman" w:cs="Times New Roman"/>
          <w:sz w:val="24"/>
          <w:szCs w:val="24"/>
        </w:rPr>
      </w:pPr>
      <w:r w:rsidRPr="00D14C96">
        <w:rPr>
          <w:rFonts w:ascii="Times New Roman" w:hAnsi="Times New Roman" w:cs="Times New Roman"/>
          <w:sz w:val="24"/>
          <w:szCs w:val="24"/>
        </w:rPr>
        <w:t>Cet élargissement de leur champ d’intervention devrait donner lieu à une</w:t>
      </w:r>
      <w:r w:rsidRPr="00D14C96">
        <w:rPr>
          <w:rFonts w:ascii="Times New Roman" w:hAnsi="Times New Roman" w:cs="Times New Roman"/>
          <w:i/>
          <w:sz w:val="24"/>
          <w:szCs w:val="24"/>
        </w:rPr>
        <w:t xml:space="preserve"> </w:t>
      </w:r>
      <w:r w:rsidRPr="00D14C96">
        <w:rPr>
          <w:rFonts w:ascii="Times New Roman" w:hAnsi="Times New Roman" w:cs="Times New Roman"/>
          <w:sz w:val="24"/>
          <w:szCs w:val="24"/>
        </w:rPr>
        <w:t>réorganisation des agences</w:t>
      </w:r>
      <w:r w:rsidRPr="00D14C96">
        <w:rPr>
          <w:rFonts w:ascii="Times New Roman" w:hAnsi="Times New Roman" w:cs="Times New Roman"/>
          <w:i/>
          <w:sz w:val="24"/>
          <w:szCs w:val="24"/>
        </w:rPr>
        <w:t xml:space="preserve"> </w:t>
      </w:r>
      <w:r w:rsidRPr="00D14C96">
        <w:rPr>
          <w:rFonts w:ascii="Times New Roman" w:hAnsi="Times New Roman" w:cs="Times New Roman"/>
          <w:sz w:val="24"/>
          <w:szCs w:val="24"/>
        </w:rPr>
        <w:t xml:space="preserve">en deux niveaux d’importance et de prérogatives : </w:t>
      </w:r>
    </w:p>
    <w:p w14:paraId="764FE572" w14:textId="77777777" w:rsidR="001E0FA9" w:rsidRPr="00D14C96" w:rsidRDefault="001E0FA9" w:rsidP="00A43F5A">
      <w:pPr>
        <w:pStyle w:val="ListParagraph"/>
        <w:widowControl w:val="0"/>
        <w:numPr>
          <w:ilvl w:val="0"/>
          <w:numId w:val="17"/>
        </w:numPr>
        <w:shd w:val="clear" w:color="auto" w:fill="D9D9D9" w:themeFill="background1" w:themeFillShade="D9"/>
        <w:autoSpaceDE w:val="0"/>
        <w:autoSpaceDN w:val="0"/>
        <w:adjustRightInd w:val="0"/>
        <w:spacing w:after="60" w:line="240" w:lineRule="auto"/>
        <w:ind w:left="720"/>
        <w:contextualSpacing w:val="0"/>
        <w:jc w:val="both"/>
        <w:rPr>
          <w:rFonts w:ascii="Times New Roman" w:hAnsi="Times New Roman" w:cs="Times New Roman"/>
          <w:sz w:val="24"/>
          <w:szCs w:val="24"/>
        </w:rPr>
      </w:pPr>
      <w:r w:rsidRPr="00D14C96">
        <w:rPr>
          <w:rFonts w:ascii="Times New Roman" w:hAnsi="Times New Roman" w:cs="Times New Roman"/>
          <w:sz w:val="24"/>
          <w:szCs w:val="24"/>
        </w:rPr>
        <w:t>Un premier s’appuyant sur des</w:t>
      </w:r>
      <w:r w:rsidRPr="00D14C96">
        <w:rPr>
          <w:rFonts w:ascii="Times New Roman" w:hAnsi="Times New Roman" w:cs="Times New Roman"/>
          <w:b/>
          <w:sz w:val="24"/>
          <w:szCs w:val="24"/>
        </w:rPr>
        <w:t xml:space="preserve"> agences d’urbanisme et d’aménagement du territoire dans des pôles régionaux</w:t>
      </w:r>
      <w:r w:rsidRPr="00D14C96">
        <w:rPr>
          <w:rFonts w:ascii="Times New Roman" w:hAnsi="Times New Roman" w:cs="Times New Roman"/>
          <w:sz w:val="24"/>
          <w:szCs w:val="24"/>
        </w:rPr>
        <w:t xml:space="preserve"> chargées de la prospective, des études, de la veille stratégique, de l’observation et du suivi. Dans ce dispositif, ces agences seraient alors des prestataires, en amont, d’études générales ou de planification auprès des régions, les agences Régionales d’Exécution des Projets (AREP) étant de leur côté chargées en aval de la préparation et de l’exécution (comme leur nom l’indique) des projets et programmes de développement issus du PDR et/ou du SRAT.  </w:t>
      </w:r>
    </w:p>
    <w:p w14:paraId="72223F45" w14:textId="77777777" w:rsidR="001E0FA9" w:rsidRPr="00D14C96" w:rsidRDefault="001E0FA9" w:rsidP="009C2620">
      <w:pPr>
        <w:pStyle w:val="ListParagraph"/>
        <w:widowControl w:val="0"/>
        <w:numPr>
          <w:ilvl w:val="0"/>
          <w:numId w:val="17"/>
        </w:numPr>
        <w:shd w:val="clear" w:color="auto" w:fill="D9D9D9" w:themeFill="background1" w:themeFillShade="D9"/>
        <w:autoSpaceDE w:val="0"/>
        <w:autoSpaceDN w:val="0"/>
        <w:adjustRightInd w:val="0"/>
        <w:spacing w:after="0" w:line="240" w:lineRule="auto"/>
        <w:ind w:left="720"/>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Un second au niveau </w:t>
      </w:r>
      <w:r w:rsidRPr="00D14C96">
        <w:rPr>
          <w:rFonts w:ascii="Times New Roman" w:hAnsi="Times New Roman" w:cs="Times New Roman"/>
          <w:b/>
          <w:sz w:val="24"/>
          <w:szCs w:val="24"/>
        </w:rPr>
        <w:t>d’agences provinciales</w:t>
      </w:r>
      <w:r w:rsidRPr="00D14C96">
        <w:rPr>
          <w:rFonts w:ascii="Times New Roman" w:hAnsi="Times New Roman" w:cs="Times New Roman"/>
          <w:sz w:val="24"/>
          <w:szCs w:val="24"/>
        </w:rPr>
        <w:t>, chargées de la gestion urbaine et de la réglementation, de la facilitation administrative, du service à la clientèle et de l’appui aux acteurs économique en lien avec les CRI (à l’exemple de ce qui a été conjointement mis en place à Casablanca par la wilaya, le CRI et l’AUC avec la plateforme Casaurba</w:t>
      </w:r>
      <w:r w:rsidRPr="00D14C96">
        <w:rPr>
          <w:rStyle w:val="FootnoteReference"/>
          <w:rFonts w:ascii="Times New Roman" w:hAnsi="Times New Roman" w:cs="Times New Roman"/>
          <w:sz w:val="24"/>
          <w:szCs w:val="24"/>
        </w:rPr>
        <w:footnoteReference w:id="66"/>
      </w:r>
      <w:r w:rsidRPr="00D14C96">
        <w:rPr>
          <w:rFonts w:ascii="Times New Roman" w:hAnsi="Times New Roman" w:cs="Times New Roman"/>
          <w:sz w:val="24"/>
          <w:szCs w:val="24"/>
        </w:rPr>
        <w:t xml:space="preserve"> et le recours à un gestionnaire privé).</w:t>
      </w:r>
    </w:p>
    <w:p w14:paraId="26E239D2" w14:textId="77777777" w:rsidR="001E0FA9" w:rsidRPr="00D14C96" w:rsidRDefault="001E0FA9" w:rsidP="000050E0">
      <w:pPr>
        <w:widowControl w:val="0"/>
        <w:spacing w:after="0" w:line="240" w:lineRule="auto"/>
        <w:rPr>
          <w:rFonts w:ascii="Times New Roman" w:hAnsi="Times New Roman" w:cs="Times New Roman"/>
          <w:sz w:val="24"/>
          <w:szCs w:val="24"/>
        </w:rPr>
      </w:pPr>
    </w:p>
    <w:p w14:paraId="4FD0FB97" w14:textId="77777777" w:rsidR="001E0FA9" w:rsidRPr="00D14C96" w:rsidRDefault="001E0FA9" w:rsidP="00CB0762">
      <w:pPr>
        <w:pStyle w:val="Heading1"/>
        <w:rPr>
          <w:rFonts w:eastAsiaTheme="majorEastAsia"/>
          <w:b w:val="0"/>
          <w:color w:val="C00000"/>
          <w:sz w:val="24"/>
          <w:szCs w:val="24"/>
        </w:rPr>
      </w:pPr>
      <w:bookmarkStart w:id="134" w:name="_Toc515875134"/>
      <w:r w:rsidRPr="00D14C96">
        <w:rPr>
          <w:color w:val="2E74B5" w:themeColor="accent1" w:themeShade="BF"/>
          <w:sz w:val="24"/>
          <w:szCs w:val="24"/>
          <w:u w:val="single"/>
        </w:rPr>
        <w:t>Conclusion </w:t>
      </w:r>
      <w:r w:rsidRPr="00D14C96">
        <w:rPr>
          <w:color w:val="2E74B5" w:themeColor="accent1" w:themeShade="BF"/>
          <w:sz w:val="24"/>
          <w:szCs w:val="24"/>
        </w:rPr>
        <w:t>: De grandes références à revoir</w:t>
      </w:r>
      <w:bookmarkEnd w:id="134"/>
    </w:p>
    <w:p w14:paraId="1F50A294" w14:textId="77777777" w:rsidR="001E0FA9"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b/>
        </w:rPr>
        <w:t>Le système d’encadrement, de régulation et de mise en œuvre du développement urbain n’apparait plus en mesure de répondre aux contraintes qu’il affronte</w:t>
      </w:r>
      <w:r w:rsidRPr="00D14C96">
        <w:rPr>
          <w:rFonts w:ascii="Times New Roman" w:hAnsi="Times New Roman" w:cs="Times New Roman"/>
        </w:rPr>
        <w:t xml:space="preserve">, qui sont multidimensionnelles (institutionnelles, opérationnelles, foncières, financières, etc.), multi acteurs et </w:t>
      </w:r>
      <w:r w:rsidRPr="00D14C96">
        <w:rPr>
          <w:rFonts w:ascii="Times New Roman" w:eastAsia="Times New Roman" w:hAnsi="Times New Roman" w:cs="Times New Roman"/>
          <w:color w:val="000000"/>
          <w:lang w:eastAsia="fr-FR"/>
        </w:rPr>
        <w:t>interdépendantes</w:t>
      </w:r>
      <w:r w:rsidRPr="00D14C96">
        <w:rPr>
          <w:rFonts w:ascii="Times New Roman" w:hAnsi="Times New Roman" w:cs="Times New Roman"/>
        </w:rPr>
        <w:t xml:space="preserve">. Ces contingences compromettent la capacité du Maroc à tirer parti de la dynamique d’urbanisation (et en même temps de la transition démographique) pour durablement soutenir le développement économique et les transformations sociales, environnementales et technologiques. </w:t>
      </w:r>
    </w:p>
    <w:p w14:paraId="7379CF9E" w14:textId="77777777" w:rsidR="001E0FA9" w:rsidRPr="00D14C96" w:rsidRDefault="001E0FA9" w:rsidP="000050E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fr-FR"/>
        </w:rPr>
      </w:pPr>
    </w:p>
    <w:p w14:paraId="231EE805" w14:textId="50F9EE75" w:rsidR="001E0FA9" w:rsidRPr="00D14C96" w:rsidRDefault="001E0FA9" w:rsidP="00B4544E">
      <w:pPr>
        <w:pStyle w:val="Numberedparagraph"/>
        <w:ind w:left="0" w:firstLine="0"/>
        <w:rPr>
          <w:rFonts w:ascii="Times New Roman" w:hAnsi="Times New Roman" w:cs="Times New Roman"/>
        </w:rPr>
      </w:pPr>
      <w:r w:rsidRPr="00D14C96">
        <w:rPr>
          <w:rFonts w:ascii="Times New Roman" w:eastAsia="Times New Roman" w:hAnsi="Times New Roman" w:cs="Times New Roman"/>
          <w:b/>
          <w:color w:val="000000"/>
          <w:lang w:eastAsia="fr-FR"/>
        </w:rPr>
        <w:t xml:space="preserve">Cette note identifie dix propositions pour dépasser la situation actuelle et s’engager vers un meilleur avenir pour les villes. </w:t>
      </w:r>
      <w:r w:rsidRPr="00D14C96">
        <w:rPr>
          <w:rFonts w:ascii="Times New Roman" w:eastAsia="Times New Roman" w:hAnsi="Times New Roman" w:cs="Times New Roman"/>
          <w:color w:val="000000"/>
          <w:lang w:eastAsia="fr-FR"/>
        </w:rPr>
        <w:t>Ces</w:t>
      </w:r>
      <w:bookmarkStart w:id="135" w:name="_Hlk510733941"/>
      <w:r w:rsidRPr="00D14C96">
        <w:rPr>
          <w:rFonts w:ascii="Times New Roman" w:hAnsi="Times New Roman" w:cs="Times New Roman"/>
        </w:rPr>
        <w:t xml:space="preserve"> pistes et leviers d’action développés doivent cependant pouvoir s’inscrire dans le cadre d’une vision nationale sur la ville et les territoires, et se traduire par un engagement des parties prenantes institutionnelles et des dispositifs d’impulsion multi acteurs. </w:t>
      </w:r>
      <w:bookmarkEnd w:id="135"/>
    </w:p>
    <w:p w14:paraId="73B7D8F6" w14:textId="77777777" w:rsidR="001E0FA9" w:rsidRPr="00D14C96" w:rsidRDefault="001E0FA9" w:rsidP="000050E0">
      <w:pPr>
        <w:widowControl w:val="0"/>
        <w:autoSpaceDE w:val="0"/>
        <w:autoSpaceDN w:val="0"/>
        <w:adjustRightInd w:val="0"/>
        <w:spacing w:after="0" w:line="240" w:lineRule="auto"/>
        <w:jc w:val="both"/>
        <w:rPr>
          <w:rFonts w:ascii="Times New Roman" w:hAnsi="Times New Roman" w:cs="Times New Roman"/>
          <w:sz w:val="24"/>
          <w:szCs w:val="24"/>
        </w:rPr>
      </w:pPr>
    </w:p>
    <w:p w14:paraId="6F0B4AB4" w14:textId="77777777" w:rsidR="001E0FA9" w:rsidRPr="00D14C96" w:rsidRDefault="001E0FA9" w:rsidP="003E5319">
      <w:pPr>
        <w:widowControl w:val="0"/>
        <w:autoSpaceDE w:val="0"/>
        <w:autoSpaceDN w:val="0"/>
        <w:adjustRightInd w:val="0"/>
        <w:spacing w:after="120" w:line="240" w:lineRule="auto"/>
        <w:jc w:val="both"/>
        <w:rPr>
          <w:rFonts w:ascii="Times New Roman" w:hAnsi="Times New Roman" w:cs="Times New Roman"/>
          <w:sz w:val="24"/>
          <w:szCs w:val="24"/>
        </w:rPr>
      </w:pPr>
      <w:r w:rsidRPr="00D14C96">
        <w:rPr>
          <w:rFonts w:ascii="Times New Roman" w:hAnsi="Times New Roman" w:cs="Times New Roman"/>
          <w:sz w:val="24"/>
          <w:szCs w:val="24"/>
        </w:rPr>
        <w:t>C’est à ces enjeux que devraient répondre :</w:t>
      </w:r>
    </w:p>
    <w:p w14:paraId="39EC3DB4" w14:textId="7BB5A75E" w:rsidR="001E0FA9" w:rsidRPr="00D14C96" w:rsidRDefault="001E0FA9" w:rsidP="00A43F5A">
      <w:pPr>
        <w:pStyle w:val="ListParagraph"/>
        <w:widowControl w:val="0"/>
        <w:numPr>
          <w:ilvl w:val="0"/>
          <w:numId w:val="19"/>
        </w:numPr>
        <w:shd w:val="clear" w:color="auto" w:fill="FFFFFF"/>
        <w:spacing w:after="60" w:line="240" w:lineRule="auto"/>
        <w:ind w:left="720"/>
        <w:contextualSpacing w:val="0"/>
        <w:jc w:val="both"/>
        <w:rPr>
          <w:rFonts w:ascii="Times New Roman" w:hAnsi="Times New Roman" w:cs="Times New Roman"/>
          <w:sz w:val="24"/>
          <w:szCs w:val="24"/>
        </w:rPr>
      </w:pPr>
      <w:r w:rsidRPr="00D14C96">
        <w:rPr>
          <w:rFonts w:ascii="Times New Roman" w:hAnsi="Times New Roman" w:cs="Times New Roman"/>
          <w:b/>
          <w:sz w:val="24"/>
          <w:szCs w:val="24"/>
        </w:rPr>
        <w:t>L’adoption d’un cadre de référence à même de définir des orientations et des lignes directrices pour la planification urbaine et territoriale</w:t>
      </w:r>
      <w:r w:rsidRPr="00D14C96">
        <w:rPr>
          <w:rFonts w:ascii="Times New Roman" w:hAnsi="Times New Roman" w:cs="Times New Roman"/>
          <w:sz w:val="24"/>
          <w:szCs w:val="24"/>
        </w:rPr>
        <w:t xml:space="preserve"> en lien avec les défis du développement urbain durable, de la ressource énergétique, de la résilience et du réchauffement climatique, de la métropolisation, etc.</w:t>
      </w:r>
    </w:p>
    <w:p w14:paraId="3707F6B0" w14:textId="77777777" w:rsidR="001E0FA9" w:rsidRPr="00D14C96" w:rsidRDefault="001E0FA9" w:rsidP="00A43F5A">
      <w:pPr>
        <w:pStyle w:val="ListParagraph"/>
        <w:widowControl w:val="0"/>
        <w:numPr>
          <w:ilvl w:val="0"/>
          <w:numId w:val="19"/>
        </w:numPr>
        <w:shd w:val="clear" w:color="auto" w:fill="FFFFFF"/>
        <w:spacing w:after="60" w:line="240" w:lineRule="auto"/>
        <w:ind w:left="720"/>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La </w:t>
      </w:r>
      <w:r w:rsidRPr="00D14C96">
        <w:rPr>
          <w:rFonts w:ascii="Times New Roman" w:hAnsi="Times New Roman" w:cs="Times New Roman"/>
          <w:b/>
          <w:sz w:val="24"/>
          <w:szCs w:val="24"/>
        </w:rPr>
        <w:t>mise en place d’un mécanisme de coordination des réformes structurelles et d’organisation du dialogue à haut niveau</w:t>
      </w:r>
      <w:r w:rsidRPr="00D14C96">
        <w:rPr>
          <w:rStyle w:val="FootnoteReference"/>
          <w:rFonts w:ascii="Times New Roman" w:hAnsi="Times New Roman" w:cs="Times New Roman"/>
          <w:sz w:val="24"/>
          <w:szCs w:val="24"/>
        </w:rPr>
        <w:footnoteReference w:id="67"/>
      </w:r>
      <w:r w:rsidRPr="00D14C96">
        <w:rPr>
          <w:rFonts w:ascii="Times New Roman" w:hAnsi="Times New Roman" w:cs="Times New Roman"/>
          <w:sz w:val="24"/>
          <w:szCs w:val="24"/>
        </w:rPr>
        <w:t xml:space="preserve"> pouvant prendre la forme d’une commission interministérielle permanente et/ou d’une commission consultative en charge de la planification et du développement urbain </w:t>
      </w:r>
    </w:p>
    <w:p w14:paraId="478F7EAD" w14:textId="03372080" w:rsidR="001E0FA9" w:rsidRPr="00D14C96" w:rsidRDefault="001E0FA9" w:rsidP="009C2620">
      <w:pPr>
        <w:pStyle w:val="ListParagraph"/>
        <w:widowControl w:val="0"/>
        <w:numPr>
          <w:ilvl w:val="0"/>
          <w:numId w:val="19"/>
        </w:numPr>
        <w:shd w:val="clear" w:color="auto" w:fill="FFFFFF"/>
        <w:spacing w:after="0" w:line="240" w:lineRule="auto"/>
        <w:ind w:left="720"/>
        <w:contextualSpacing w:val="0"/>
        <w:jc w:val="both"/>
        <w:rPr>
          <w:rFonts w:ascii="Times New Roman" w:hAnsi="Times New Roman" w:cs="Times New Roman"/>
          <w:sz w:val="24"/>
          <w:szCs w:val="24"/>
        </w:rPr>
      </w:pPr>
      <w:r w:rsidRPr="00D14C96">
        <w:rPr>
          <w:rFonts w:ascii="Times New Roman" w:hAnsi="Times New Roman" w:cs="Times New Roman"/>
          <w:sz w:val="24"/>
          <w:szCs w:val="24"/>
        </w:rPr>
        <w:t xml:space="preserve">L’élaboration d’une </w:t>
      </w:r>
      <w:r w:rsidRPr="00D14C96">
        <w:rPr>
          <w:rFonts w:ascii="Times New Roman" w:hAnsi="Times New Roman" w:cs="Times New Roman"/>
          <w:b/>
          <w:sz w:val="24"/>
          <w:szCs w:val="24"/>
        </w:rPr>
        <w:t>stratégie d’actions touchant aux référentiels, aux modes de faire et à la modernisation de l’action publique</w:t>
      </w:r>
      <w:r w:rsidRPr="00D14C96">
        <w:rPr>
          <w:rFonts w:ascii="Times New Roman" w:hAnsi="Times New Roman" w:cs="Times New Roman"/>
          <w:sz w:val="24"/>
          <w:szCs w:val="24"/>
        </w:rPr>
        <w:t xml:space="preserve"> (au niveau central comme local) dans les villes et les territoires. Ceci pourrait se faire sous une forme adaptée de la Stratégie Nationale de Développement Urbain (SNDU), définie comme priorité nationale dans la déclaration du Gouvernement devant le Parlement en 2007, qui avait entre autre cherché à renforcer la décentralisation et à donner aux acteurs locaux plus d’initiative et de poids dans leur dialogue avec les acteurs centraux. Une telle stratégie devrait en outre prendre en compte les évolutions intervenues en l’espace de 10 ans.</w:t>
      </w:r>
    </w:p>
    <w:p w14:paraId="66FB8A49" w14:textId="77777777" w:rsidR="001E0FA9" w:rsidRPr="00D14C96" w:rsidRDefault="001E0FA9" w:rsidP="000050E0">
      <w:pPr>
        <w:widowControl w:val="0"/>
        <w:tabs>
          <w:tab w:val="left" w:pos="284"/>
          <w:tab w:val="left" w:pos="426"/>
        </w:tabs>
        <w:spacing w:after="0" w:line="240" w:lineRule="auto"/>
        <w:jc w:val="both"/>
        <w:rPr>
          <w:rFonts w:ascii="Times New Roman" w:hAnsi="Times New Roman" w:cs="Times New Roman"/>
          <w:sz w:val="24"/>
          <w:szCs w:val="24"/>
        </w:rPr>
      </w:pPr>
    </w:p>
    <w:p w14:paraId="5AF511BF" w14:textId="4B543724" w:rsidR="001E0FA9" w:rsidRPr="00D14C96" w:rsidRDefault="001E0FA9" w:rsidP="00B4544E">
      <w:pPr>
        <w:pStyle w:val="Numberedparagraph"/>
        <w:ind w:left="0" w:firstLine="0"/>
        <w:rPr>
          <w:rFonts w:ascii="Times New Roman" w:hAnsi="Times New Roman" w:cs="Times New Roman"/>
        </w:rPr>
      </w:pPr>
      <w:bookmarkStart w:id="136" w:name="_Hlk510733969"/>
      <w:r w:rsidRPr="00D14C96">
        <w:rPr>
          <w:rFonts w:ascii="Times New Roman" w:eastAsia="Times New Roman" w:hAnsi="Times New Roman" w:cs="Times New Roman"/>
          <w:b/>
          <w:color w:val="000000"/>
          <w:lang w:eastAsia="fr-FR"/>
        </w:rPr>
        <w:t xml:space="preserve">Les réformes proposées reposent également sur la modernisation du cadre législatif de la planification territoriale et urbaine et de l’aménagement. </w:t>
      </w:r>
      <w:bookmarkEnd w:id="136"/>
      <w:r w:rsidRPr="00D14C96">
        <w:rPr>
          <w:rFonts w:ascii="Times New Roman" w:hAnsi="Times New Roman" w:cs="Times New Roman"/>
        </w:rPr>
        <w:t xml:space="preserve">Un grand nombre des propositions et des adaptations proposées ci-dessus pose à un niveau supra la question de la mise à jour du cadre législatif et </w:t>
      </w:r>
      <w:r w:rsidRPr="00D14C96">
        <w:rPr>
          <w:rFonts w:ascii="Times New Roman" w:eastAsia="Times New Roman" w:hAnsi="Times New Roman" w:cs="Times New Roman"/>
          <w:color w:val="000000"/>
          <w:lang w:eastAsia="fr-FR"/>
        </w:rPr>
        <w:t>réglementaire</w:t>
      </w:r>
      <w:r w:rsidRPr="00D14C96">
        <w:rPr>
          <w:rFonts w:ascii="Times New Roman" w:hAnsi="Times New Roman" w:cs="Times New Roman"/>
        </w:rPr>
        <w:t xml:space="preserve"> au regard des avancées espérées. Les textes sur l’urbanisme et l’aménagement sont anciens et ne sont plus aujourd’hui en phase avec</w:t>
      </w:r>
      <w:r w:rsidRPr="00D14C96">
        <w:rPr>
          <w:rFonts w:ascii="Times New Roman" w:hAnsi="Times New Roman" w:cs="Times New Roman"/>
          <w:i/>
        </w:rPr>
        <w:t xml:space="preserve"> </w:t>
      </w:r>
      <w:r w:rsidRPr="00D14C96">
        <w:rPr>
          <w:rFonts w:ascii="Times New Roman" w:hAnsi="Times New Roman" w:cs="Times New Roman"/>
        </w:rPr>
        <w:t>les enjeux et les perspectives de développement. Si certaines des recommandations formulées peuvent être mises en œuvre à droit constant, d’autres appellent à moderniser le cadre législatif de la planification territoriale et urbaine et de l’aménagement et d’en redéfinir la portée, le contenu, la gouvernance, les outils de mise en œuvre etc., en lien avec les évolutions institutionnelles, urbaines, économiques, sociales (à l’égal de ce que le pays a par exemple entrepris sur la question de l’environnement).</w:t>
      </w:r>
    </w:p>
    <w:p w14:paraId="06B6B690" w14:textId="77777777" w:rsidR="001E0FA9" w:rsidRPr="00D14C96" w:rsidRDefault="001E0FA9" w:rsidP="000050E0">
      <w:pPr>
        <w:pStyle w:val="CommentText"/>
        <w:widowControl w:val="0"/>
        <w:spacing w:after="0"/>
        <w:ind w:firstLine="284"/>
        <w:rPr>
          <w:rFonts w:ascii="Times New Roman" w:hAnsi="Times New Roman" w:cs="Times New Roman"/>
          <w:i/>
          <w:sz w:val="24"/>
          <w:szCs w:val="24"/>
        </w:rPr>
      </w:pPr>
    </w:p>
    <w:p w14:paraId="2A86748D" w14:textId="4D5F753B" w:rsidR="001E0FA9" w:rsidRPr="00D14C96" w:rsidRDefault="001E0FA9" w:rsidP="00B4544E">
      <w:pPr>
        <w:pStyle w:val="Numberedparagraph"/>
        <w:ind w:left="0" w:firstLine="0"/>
        <w:rPr>
          <w:rFonts w:ascii="Times New Roman" w:hAnsi="Times New Roman" w:cs="Times New Roman"/>
          <w:b/>
        </w:rPr>
      </w:pPr>
      <w:r w:rsidRPr="00D14C96">
        <w:rPr>
          <w:rFonts w:ascii="Times New Roman" w:hAnsi="Times New Roman" w:cs="Times New Roman"/>
          <w:b/>
        </w:rPr>
        <w:t>Ces pistes pourraient aider le Maroc à mieux tirer avantage des opportunités économiques et du potentiel des villes pour en faire des leviers de progrès économique et social, sur fond des fortes dynamiques démographiques et urbaines, et des bouleversements entrainés au regard des modes de gestion traditionnels.</w:t>
      </w:r>
    </w:p>
    <w:p w14:paraId="514BBC0E" w14:textId="77777777" w:rsidR="001E0FA9" w:rsidRPr="00D14C96" w:rsidRDefault="001E0FA9" w:rsidP="000050E0">
      <w:pPr>
        <w:widowControl w:val="0"/>
        <w:spacing w:after="0" w:line="240" w:lineRule="auto"/>
        <w:jc w:val="both"/>
        <w:rPr>
          <w:rFonts w:ascii="Times New Roman" w:hAnsi="Times New Roman" w:cs="Times New Roman"/>
          <w:b/>
          <w:sz w:val="24"/>
          <w:szCs w:val="24"/>
        </w:rPr>
      </w:pPr>
    </w:p>
    <w:p w14:paraId="212CE5C8" w14:textId="06BE02C1" w:rsidR="00D9389E" w:rsidRPr="00D14C96" w:rsidRDefault="001E0FA9" w:rsidP="00B4544E">
      <w:pPr>
        <w:pStyle w:val="Numberedparagraph"/>
        <w:ind w:left="0" w:firstLine="0"/>
        <w:rPr>
          <w:rFonts w:ascii="Times New Roman" w:hAnsi="Times New Roman" w:cs="Times New Roman"/>
        </w:rPr>
      </w:pPr>
      <w:r w:rsidRPr="00D14C96">
        <w:rPr>
          <w:rFonts w:ascii="Times New Roman" w:hAnsi="Times New Roman" w:cs="Times New Roman"/>
        </w:rPr>
        <w:t xml:space="preserve">Les ‘‘défis à relever’’ soutiennent le principe d’agir dans le cadre global et inter institutionnel du système de planification territoriale et urbaine et d’aménagement urbain. Il parait en effet difficile d’envisager des améliorations significatives de ce système sans prendre en compte l’ensemble de ses éléments (vision et orientations, institutions et gouvernance, régulations, opérationnalisation, </w:t>
      </w:r>
      <w:r w:rsidRPr="00D14C96">
        <w:rPr>
          <w:rFonts w:ascii="Times New Roman" w:eastAsia="Times New Roman" w:hAnsi="Times New Roman" w:cs="Times New Roman"/>
          <w:color w:val="000000"/>
          <w:lang w:eastAsia="fr-FR"/>
        </w:rPr>
        <w:t>foncier</w:t>
      </w:r>
      <w:r w:rsidRPr="00D14C96">
        <w:rPr>
          <w:rFonts w:ascii="Times New Roman" w:hAnsi="Times New Roman" w:cs="Times New Roman"/>
        </w:rPr>
        <w:t xml:space="preserve">, financement, expertise et pratiques) et leur interrelation. Ces éléments définissent ensemble un cadre de politique et d’actions </w:t>
      </w:r>
      <w:r w:rsidRPr="00D14C96">
        <w:rPr>
          <w:rFonts w:ascii="Times New Roman" w:hAnsi="Times New Roman" w:cs="Times New Roman"/>
        </w:rPr>
        <w:lastRenderedPageBreak/>
        <w:t>cohérent dans lequel s’inscrivent plusieurs initiatives et actions en cours</w:t>
      </w:r>
      <w:r w:rsidRPr="00D14C96">
        <w:rPr>
          <w:rStyle w:val="FootnoteReference"/>
          <w:rFonts w:ascii="Times New Roman" w:hAnsi="Times New Roman" w:cs="Times New Roman"/>
        </w:rPr>
        <w:footnoteReference w:id="68"/>
      </w:r>
      <w:r w:rsidRPr="00D14C96">
        <w:rPr>
          <w:rFonts w:ascii="Times New Roman" w:hAnsi="Times New Roman" w:cs="Times New Roman"/>
        </w:rPr>
        <w:t xml:space="preserve"> </w:t>
      </w:r>
      <w:r w:rsidR="00D9389E" w:rsidRPr="00D14C96">
        <w:rPr>
          <w:rFonts w:ascii="Times New Roman" w:hAnsi="Times New Roman" w:cs="Times New Roman"/>
        </w:rPr>
        <w:t>en l</w:t>
      </w:r>
      <w:r w:rsidR="00A87F96" w:rsidRPr="00D14C96">
        <w:rPr>
          <w:rFonts w:ascii="Times New Roman" w:hAnsi="Times New Roman" w:cs="Times New Roman"/>
        </w:rPr>
        <w:t xml:space="preserve">ien avec le secteur de l’urbain et qu’il semble essentiel de mettre en cohérence. </w:t>
      </w:r>
    </w:p>
    <w:p w14:paraId="3156AC11" w14:textId="77777777" w:rsidR="00AC3BAB" w:rsidRDefault="00AC3BAB" w:rsidP="00D9389E">
      <w:pPr>
        <w:widowControl w:val="0"/>
        <w:spacing w:after="0" w:line="240" w:lineRule="auto"/>
        <w:jc w:val="both"/>
        <w:rPr>
          <w:rFonts w:ascii="Times New Roman" w:eastAsia="Times New Roman" w:hAnsi="Times New Roman" w:cs="Times New Roman"/>
          <w:sz w:val="24"/>
          <w:szCs w:val="24"/>
        </w:rPr>
        <w:sectPr w:rsidR="00AC3BAB" w:rsidSect="00AD322F">
          <w:endnotePr>
            <w:numFmt w:val="decimal"/>
          </w:endnotePr>
          <w:pgSz w:w="11906" w:h="16838"/>
          <w:pgMar w:top="1418" w:right="1418" w:bottom="1418" w:left="1701" w:header="709" w:footer="709" w:gutter="0"/>
          <w:cols w:space="708"/>
          <w:docGrid w:linePitch="360"/>
        </w:sectPr>
      </w:pPr>
    </w:p>
    <w:p w14:paraId="70BA49D5" w14:textId="74E93301" w:rsidR="00D9389E" w:rsidRPr="00D14C96" w:rsidRDefault="00D9389E" w:rsidP="00D9389E">
      <w:pPr>
        <w:widowControl w:val="0"/>
        <w:spacing w:after="0" w:line="240" w:lineRule="auto"/>
        <w:jc w:val="both"/>
        <w:rPr>
          <w:rFonts w:ascii="Times New Roman" w:eastAsia="Times New Roman" w:hAnsi="Times New Roman" w:cs="Times New Roman"/>
          <w:sz w:val="24"/>
          <w:szCs w:val="24"/>
        </w:rPr>
      </w:pPr>
    </w:p>
    <w:p w14:paraId="1ABF3DE1" w14:textId="1D4DFC9E" w:rsidR="00AC3BAB" w:rsidRPr="00AC3BAB" w:rsidRDefault="009D56FD" w:rsidP="00F65363">
      <w:pPr>
        <w:autoSpaceDE w:val="0"/>
        <w:autoSpaceDN w:val="0"/>
        <w:adjustRightInd w:val="0"/>
        <w:spacing w:after="240" w:line="240" w:lineRule="auto"/>
        <w:jc w:val="both"/>
        <w:rPr>
          <w:rStyle w:val="Hyperlink"/>
          <w:rFonts w:ascii="Times New Roman" w:eastAsia="Times New Roman" w:hAnsi="Times New Roman" w:cs="Times New Roman"/>
          <w:b/>
          <w:noProof/>
          <w:color w:val="000000" w:themeColor="text1"/>
          <w:u w:val="none"/>
          <w:lang w:eastAsia="fr-FR"/>
        </w:rPr>
      </w:pPr>
      <w:r>
        <w:rPr>
          <w:rStyle w:val="Hyperlink"/>
          <w:rFonts w:ascii="Times New Roman" w:eastAsia="Times New Roman" w:hAnsi="Times New Roman" w:cs="Times New Roman"/>
          <w:b/>
          <w:noProof/>
          <w:color w:val="000000" w:themeColor="text1"/>
          <w:u w:val="none"/>
          <w:lang w:eastAsia="fr-FR"/>
        </w:rPr>
        <w:t xml:space="preserve">Opportunités, leviers et horizon de mise en œuvre </w:t>
      </w:r>
      <w:r w:rsidR="00AC3BAB" w:rsidRPr="00AC3BAB">
        <w:rPr>
          <w:rStyle w:val="Hyperlink"/>
          <w:rFonts w:ascii="Times New Roman" w:eastAsia="Times New Roman" w:hAnsi="Times New Roman" w:cs="Times New Roman"/>
          <w:b/>
          <w:noProof/>
          <w:color w:val="000000" w:themeColor="text1"/>
          <w:u w:val="none"/>
          <w:lang w:eastAsia="fr-FR"/>
        </w:rPr>
        <w:t>des recommandations</w:t>
      </w:r>
    </w:p>
    <w:tbl>
      <w:tblPr>
        <w:tblStyle w:val="TableGrid"/>
        <w:tblW w:w="8789" w:type="dxa"/>
        <w:tblInd w:w="-5" w:type="dxa"/>
        <w:tblLook w:val="04A0" w:firstRow="1" w:lastRow="0" w:firstColumn="1" w:lastColumn="0" w:noHBand="0" w:noVBand="1"/>
      </w:tblPr>
      <w:tblGrid>
        <w:gridCol w:w="2552"/>
        <w:gridCol w:w="4820"/>
        <w:gridCol w:w="1417"/>
      </w:tblGrid>
      <w:tr w:rsidR="00F65363" w14:paraId="0D428FA2" w14:textId="77777777" w:rsidTr="00FC07BF">
        <w:tc>
          <w:tcPr>
            <w:tcW w:w="2552" w:type="dxa"/>
            <w:vAlign w:val="center"/>
          </w:tcPr>
          <w:p w14:paraId="28BEAA96" w14:textId="77777777" w:rsidR="00F65363" w:rsidRPr="00334838" w:rsidRDefault="00F65363" w:rsidP="00F65363">
            <w:pPr>
              <w:pStyle w:val="TOC3"/>
              <w:rPr>
                <w:rStyle w:val="Hyperlink"/>
                <w:rFonts w:ascii="Times New Roman" w:eastAsia="Times New Roman" w:hAnsi="Times New Roman" w:cs="Times New Roman"/>
                <w:b/>
                <w:noProof/>
                <w:color w:val="000000" w:themeColor="text1"/>
                <w:sz w:val="19"/>
                <w:szCs w:val="19"/>
                <w:u w:val="none"/>
                <w:lang w:eastAsia="fr-FR"/>
              </w:rPr>
            </w:pPr>
            <w:r w:rsidRPr="00334838">
              <w:rPr>
                <w:rStyle w:val="Hyperlink"/>
                <w:rFonts w:ascii="Times New Roman" w:hAnsi="Times New Roman" w:cs="Times New Roman"/>
                <w:b/>
                <w:color w:val="000000" w:themeColor="text1"/>
                <w:sz w:val="19"/>
                <w:szCs w:val="19"/>
                <w:u w:val="none"/>
                <w:lang w:eastAsia="fr-FR"/>
              </w:rPr>
              <w:t xml:space="preserve">RECOMMANDATIONS </w:t>
            </w:r>
            <w:hyperlink w:anchor="_Toc514949688" w:history="1"/>
          </w:p>
        </w:tc>
        <w:tc>
          <w:tcPr>
            <w:tcW w:w="4820" w:type="dxa"/>
            <w:vAlign w:val="center"/>
          </w:tcPr>
          <w:p w14:paraId="57D4E8CC" w14:textId="496DC944" w:rsidR="00F65363" w:rsidRPr="00334838" w:rsidRDefault="00F65363" w:rsidP="00F65363">
            <w:pPr>
              <w:pStyle w:val="TOC3"/>
              <w:rPr>
                <w:rStyle w:val="Hyperlink"/>
                <w:rFonts w:ascii="Times New Roman" w:eastAsia="Times New Roman" w:hAnsi="Times New Roman" w:cs="Times New Roman"/>
                <w:b/>
                <w:noProof/>
                <w:color w:val="000000" w:themeColor="text1"/>
                <w:sz w:val="19"/>
                <w:szCs w:val="19"/>
                <w:u w:val="none"/>
                <w:lang w:eastAsia="fr-FR"/>
              </w:rPr>
            </w:pPr>
            <w:r w:rsidRPr="00334838">
              <w:rPr>
                <w:rStyle w:val="Hyperlink"/>
                <w:rFonts w:ascii="Times New Roman" w:hAnsi="Times New Roman" w:cs="Times New Roman"/>
                <w:b/>
                <w:color w:val="000000" w:themeColor="text1"/>
                <w:sz w:val="19"/>
                <w:szCs w:val="19"/>
                <w:u w:val="none"/>
                <w:lang w:eastAsia="fr-FR"/>
              </w:rPr>
              <w:t xml:space="preserve">OPPORTUNITES / LEVIERS </w:t>
            </w:r>
          </w:p>
        </w:tc>
        <w:tc>
          <w:tcPr>
            <w:tcW w:w="1417" w:type="dxa"/>
            <w:vAlign w:val="center"/>
          </w:tcPr>
          <w:p w14:paraId="364DB44E" w14:textId="551067F8" w:rsidR="00F65363" w:rsidRPr="00334838" w:rsidRDefault="00F65363" w:rsidP="00F65363">
            <w:pPr>
              <w:pStyle w:val="TOC3"/>
              <w:rPr>
                <w:rStyle w:val="Hyperlink"/>
                <w:rFonts w:ascii="Times New Roman" w:eastAsia="Times New Roman" w:hAnsi="Times New Roman" w:cs="Times New Roman"/>
                <w:b/>
                <w:noProof/>
                <w:color w:val="000000" w:themeColor="text1"/>
                <w:sz w:val="19"/>
                <w:szCs w:val="19"/>
                <w:u w:val="none"/>
                <w:lang w:eastAsia="fr-FR"/>
              </w:rPr>
            </w:pPr>
            <w:r>
              <w:rPr>
                <w:rStyle w:val="Hyperlink"/>
                <w:rFonts w:ascii="Times New Roman" w:eastAsia="Times New Roman" w:hAnsi="Times New Roman" w:cs="Times New Roman"/>
                <w:b/>
                <w:noProof/>
                <w:color w:val="000000" w:themeColor="text1"/>
                <w:sz w:val="19"/>
                <w:szCs w:val="19"/>
                <w:u w:val="none"/>
                <w:lang w:eastAsia="fr-FR"/>
              </w:rPr>
              <w:t xml:space="preserve">HORIZON </w:t>
            </w:r>
          </w:p>
        </w:tc>
      </w:tr>
      <w:tr w:rsidR="00976971" w14:paraId="14C907F0" w14:textId="77777777" w:rsidTr="00FC07BF">
        <w:trPr>
          <w:trHeight w:val="454"/>
        </w:trPr>
        <w:tc>
          <w:tcPr>
            <w:tcW w:w="8789" w:type="dxa"/>
            <w:gridSpan w:val="3"/>
            <w:vAlign w:val="center"/>
          </w:tcPr>
          <w:p w14:paraId="61E7A278" w14:textId="64EF7A99" w:rsidR="00976971" w:rsidRPr="00334838" w:rsidRDefault="005D4AC5" w:rsidP="00FC07BF">
            <w:pPr>
              <w:pStyle w:val="TOC3"/>
              <w:rPr>
                <w:rStyle w:val="Hyperlink"/>
                <w:rFonts w:ascii="Times New Roman" w:eastAsia="Times New Roman" w:hAnsi="Times New Roman" w:cs="Times New Roman"/>
                <w:b/>
                <w:noProof/>
                <w:color w:val="000000" w:themeColor="text1"/>
                <w:sz w:val="19"/>
                <w:szCs w:val="19"/>
                <w:u w:val="none"/>
                <w:lang w:eastAsia="fr-FR"/>
              </w:rPr>
            </w:pPr>
            <w:hyperlink w:anchor="_Toc514949688" w:history="1">
              <w:r w:rsidR="00976971" w:rsidRPr="00FC07BF">
                <w:rPr>
                  <w:rStyle w:val="Hyperlink"/>
                  <w:rFonts w:ascii="Times New Roman" w:eastAsia="Times New Roman" w:hAnsi="Times New Roman" w:cs="Times New Roman"/>
                  <w:b/>
                  <w:i/>
                  <w:noProof/>
                  <w:color w:val="000000" w:themeColor="text1"/>
                  <w:sz w:val="19"/>
                  <w:szCs w:val="19"/>
                  <w:u w:val="none"/>
                  <w:lang w:eastAsia="fr-FR"/>
                </w:rPr>
                <w:t>Instruments et régulation</w:t>
              </w:r>
            </w:hyperlink>
            <w:r w:rsidR="00976971">
              <w:rPr>
                <w:rStyle w:val="Hyperlink"/>
                <w:rFonts w:ascii="Times New Roman" w:eastAsia="Times New Roman" w:hAnsi="Times New Roman" w:cs="Times New Roman"/>
                <w:b/>
                <w:noProof/>
                <w:color w:val="000000" w:themeColor="text1"/>
                <w:sz w:val="19"/>
                <w:szCs w:val="19"/>
                <w:u w:val="none"/>
                <w:lang w:eastAsia="fr-FR"/>
              </w:rPr>
              <w:t xml:space="preserve"> </w:t>
            </w:r>
          </w:p>
        </w:tc>
      </w:tr>
      <w:tr w:rsidR="00E612F4" w14:paraId="0E871F9E" w14:textId="77777777" w:rsidTr="00257FBA">
        <w:tc>
          <w:tcPr>
            <w:tcW w:w="2552" w:type="dxa"/>
            <w:vAlign w:val="center"/>
          </w:tcPr>
          <w:p w14:paraId="7F4251AF" w14:textId="77777777" w:rsidR="00E612F4" w:rsidRPr="00334838" w:rsidRDefault="00E612F4"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lang w:eastAsia="fr-FR"/>
              </w:rPr>
              <w:t>Articuler et intégrer les différents niveaux de planification territoriale / urbaine / locale</w:t>
            </w:r>
          </w:p>
        </w:tc>
        <w:tc>
          <w:tcPr>
            <w:tcW w:w="4820" w:type="dxa"/>
            <w:vAlign w:val="center"/>
          </w:tcPr>
          <w:p w14:paraId="3FA6D60A" w14:textId="268A7455" w:rsidR="00E612F4" w:rsidRPr="00E612F4" w:rsidRDefault="00E612F4" w:rsidP="00F65363">
            <w:pPr>
              <w:pStyle w:val="TOC3"/>
              <w:jc w:val="left"/>
              <w:rPr>
                <w:rStyle w:val="Hyperlink"/>
                <w:rFonts w:ascii="Times New Roman" w:eastAsia="Times New Roman" w:hAnsi="Times New Roman" w:cs="Times New Roman"/>
                <w:i/>
                <w:noProof/>
                <w:color w:val="000000" w:themeColor="text1"/>
                <w:sz w:val="19"/>
                <w:szCs w:val="19"/>
                <w:u w:val="none"/>
              </w:rPr>
            </w:pPr>
            <w:r w:rsidRPr="00E612F4">
              <w:rPr>
                <w:rStyle w:val="Hyperlink"/>
                <w:rFonts w:ascii="Times New Roman" w:eastAsia="Times New Roman" w:hAnsi="Times New Roman" w:cs="Times New Roman"/>
                <w:i/>
                <w:noProof/>
                <w:color w:val="000000" w:themeColor="text1"/>
                <w:sz w:val="19"/>
                <w:szCs w:val="19"/>
                <w:u w:val="none"/>
              </w:rPr>
              <w:t>Initiatives en cours</w:t>
            </w:r>
          </w:p>
          <w:p w14:paraId="6DB41FBF" w14:textId="641CCB0E" w:rsidR="00E612F4" w:rsidRPr="00334838" w:rsidRDefault="00E612F4"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rPr>
              <w:t>Orientations nationales en matiere d’aménagement du Territoire en cours d’élaboration par la Direction de l’aménagement du Territoire (DAT)</w:t>
            </w:r>
            <w:r w:rsidRPr="00334838">
              <w:rPr>
                <w:rStyle w:val="Hyperlink"/>
                <w:rFonts w:ascii="Times New Roman" w:eastAsia="Times New Roman" w:hAnsi="Times New Roman" w:cs="Times New Roman"/>
                <w:noProof/>
                <w:color w:val="000000" w:themeColor="text1"/>
                <w:sz w:val="19"/>
                <w:szCs w:val="19"/>
                <w:u w:val="none"/>
                <w:lang w:eastAsia="fr-FR"/>
              </w:rPr>
              <w:t xml:space="preserve"> </w:t>
            </w:r>
          </w:p>
          <w:p w14:paraId="3232D8ED" w14:textId="77777777" w:rsidR="00E612F4" w:rsidRPr="00334838" w:rsidRDefault="00E612F4" w:rsidP="00F65363">
            <w:pPr>
              <w:pStyle w:val="TOC3"/>
              <w:jc w:val="left"/>
              <w:rPr>
                <w:rStyle w:val="Hyperlink"/>
                <w:rFonts w:ascii="Times New Roman" w:eastAsia="Times New Roman" w:hAnsi="Times New Roman" w:cs="Times New Roman"/>
                <w:noProof/>
                <w:color w:val="000000" w:themeColor="text1"/>
                <w:sz w:val="19"/>
                <w:szCs w:val="19"/>
                <w:u w:val="none"/>
              </w:rPr>
            </w:pPr>
            <w:r w:rsidRPr="00334838">
              <w:rPr>
                <w:rStyle w:val="Hyperlink"/>
                <w:rFonts w:ascii="Times New Roman" w:eastAsia="Times New Roman" w:hAnsi="Times New Roman" w:cs="Times New Roman"/>
                <w:noProof/>
                <w:color w:val="000000" w:themeColor="text1"/>
                <w:sz w:val="19"/>
                <w:szCs w:val="19"/>
                <w:u w:val="none"/>
              </w:rPr>
              <w:t>Annonce d’une Politique urbaine nationale au programme du Gouvernement</w:t>
            </w:r>
          </w:p>
          <w:p w14:paraId="4A1A825F" w14:textId="63B8BD5C" w:rsidR="00E612F4" w:rsidRPr="00334838" w:rsidRDefault="00E612F4" w:rsidP="00E612F4">
            <w:pPr>
              <w:spacing w:after="120"/>
              <w:ind w:left="34" w:right="34"/>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rPr>
              <w:t>Etude en cours sur la refonte du système de planification urbaine – Direction de l’Urbanisme</w:t>
            </w:r>
          </w:p>
        </w:tc>
        <w:tc>
          <w:tcPr>
            <w:tcW w:w="1417" w:type="dxa"/>
            <w:vAlign w:val="center"/>
          </w:tcPr>
          <w:p w14:paraId="4BF91DDF" w14:textId="20DFBB6E"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Pr>
                <w:rStyle w:val="Hyperlink"/>
                <w:rFonts w:ascii="Times New Roman" w:eastAsia="Times New Roman" w:hAnsi="Times New Roman" w:cs="Times New Roman"/>
                <w:noProof/>
                <w:color w:val="000000" w:themeColor="text1"/>
                <w:sz w:val="19"/>
                <w:szCs w:val="19"/>
                <w:u w:val="none"/>
                <w:lang w:eastAsia="fr-FR"/>
              </w:rPr>
              <w:t>Court terme</w:t>
            </w:r>
          </w:p>
        </w:tc>
      </w:tr>
      <w:tr w:rsidR="00E612F4" w14:paraId="614166F2" w14:textId="77777777" w:rsidTr="00257FBA">
        <w:tc>
          <w:tcPr>
            <w:tcW w:w="2552" w:type="dxa"/>
            <w:vAlign w:val="center"/>
          </w:tcPr>
          <w:p w14:paraId="70D4AB97" w14:textId="77777777" w:rsidR="00E612F4" w:rsidRPr="00334838" w:rsidRDefault="005D4AC5"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hyperlink w:anchor="_Toc514949690" w:history="1">
              <w:r w:rsidR="00E612F4" w:rsidRPr="00334838">
                <w:rPr>
                  <w:rStyle w:val="Hyperlink"/>
                  <w:rFonts w:ascii="Times New Roman" w:eastAsia="Times New Roman" w:hAnsi="Times New Roman" w:cs="Times New Roman"/>
                  <w:noProof/>
                  <w:color w:val="000000" w:themeColor="text1"/>
                  <w:sz w:val="19"/>
                  <w:szCs w:val="19"/>
                  <w:u w:val="none"/>
                  <w:lang w:eastAsia="fr-FR"/>
                </w:rPr>
                <w:t>Adapter et moderniser l’exercice de la planification urbaine</w:t>
              </w:r>
            </w:hyperlink>
          </w:p>
        </w:tc>
        <w:tc>
          <w:tcPr>
            <w:tcW w:w="4820" w:type="dxa"/>
            <w:vAlign w:val="center"/>
          </w:tcPr>
          <w:p w14:paraId="40AD6990" w14:textId="77777777" w:rsidR="00E612F4" w:rsidRPr="001F7E12" w:rsidRDefault="00E612F4" w:rsidP="00E612F4">
            <w:pPr>
              <w:pStyle w:val="TOC3"/>
              <w:jc w:val="left"/>
              <w:rPr>
                <w:rStyle w:val="Hyperlink"/>
                <w:rFonts w:ascii="Times New Roman" w:eastAsia="Times New Roman" w:hAnsi="Times New Roman" w:cs="Times New Roman"/>
                <w:i/>
                <w:noProof/>
                <w:color w:val="000000" w:themeColor="text1"/>
                <w:sz w:val="19"/>
                <w:szCs w:val="19"/>
                <w:u w:val="none"/>
              </w:rPr>
            </w:pPr>
            <w:r w:rsidRPr="001F7E12">
              <w:rPr>
                <w:rStyle w:val="Hyperlink"/>
                <w:rFonts w:ascii="Times New Roman" w:eastAsia="Times New Roman" w:hAnsi="Times New Roman" w:cs="Times New Roman"/>
                <w:i/>
                <w:noProof/>
                <w:color w:val="000000" w:themeColor="text1"/>
                <w:sz w:val="19"/>
                <w:szCs w:val="19"/>
                <w:u w:val="none"/>
              </w:rPr>
              <w:t>Initiatives en cours</w:t>
            </w:r>
          </w:p>
          <w:p w14:paraId="3616B45A" w14:textId="7176B238" w:rsidR="00E612F4" w:rsidRPr="00334838" w:rsidRDefault="00E612F4" w:rsidP="00F65363">
            <w:pPr>
              <w:pStyle w:val="TOC3"/>
              <w:jc w:val="left"/>
              <w:rPr>
                <w:rStyle w:val="Hyperlink"/>
                <w:rFonts w:ascii="Times New Roman" w:eastAsia="Times New Roman" w:hAnsi="Times New Roman" w:cs="Times New Roman"/>
                <w:noProof/>
                <w:color w:val="000000" w:themeColor="text1"/>
                <w:sz w:val="19"/>
                <w:szCs w:val="19"/>
                <w:u w:val="none"/>
              </w:rPr>
            </w:pPr>
            <w:r w:rsidRPr="00334838">
              <w:rPr>
                <w:rStyle w:val="Hyperlink"/>
                <w:rFonts w:ascii="Times New Roman" w:eastAsia="Times New Roman" w:hAnsi="Times New Roman" w:cs="Times New Roman"/>
                <w:noProof/>
                <w:color w:val="000000" w:themeColor="text1"/>
                <w:sz w:val="19"/>
                <w:szCs w:val="19"/>
                <w:u w:val="none"/>
                <w:lang w:eastAsia="fr-FR"/>
              </w:rPr>
              <w:t>Etude en cours sur la refonte du système de planification urbaine (SPU) – Direction de l’Urbanisme</w:t>
            </w:r>
          </w:p>
        </w:tc>
        <w:tc>
          <w:tcPr>
            <w:tcW w:w="1417" w:type="dxa"/>
            <w:vAlign w:val="center"/>
          </w:tcPr>
          <w:p w14:paraId="0C180140" w14:textId="28FD9F91" w:rsidR="00E612F4" w:rsidRPr="00334838" w:rsidRDefault="00E612F4" w:rsidP="00F65363">
            <w:pPr>
              <w:pStyle w:val="TOC3"/>
              <w:jc w:val="left"/>
              <w:rPr>
                <w:rStyle w:val="Hyperlink"/>
                <w:rFonts w:ascii="Times New Roman" w:eastAsia="Times New Roman" w:hAnsi="Times New Roman" w:cs="Times New Roman"/>
                <w:noProof/>
                <w:color w:val="000000" w:themeColor="text1"/>
                <w:sz w:val="19"/>
                <w:szCs w:val="19"/>
                <w:u w:val="none"/>
              </w:rPr>
            </w:pPr>
            <w:r>
              <w:rPr>
                <w:rStyle w:val="Hyperlink"/>
                <w:rFonts w:ascii="Times New Roman" w:eastAsia="Times New Roman" w:hAnsi="Times New Roman" w:cs="Times New Roman"/>
                <w:noProof/>
                <w:color w:val="000000" w:themeColor="text1"/>
                <w:sz w:val="19"/>
                <w:szCs w:val="19"/>
                <w:u w:val="none"/>
                <w:lang w:eastAsia="fr-FR"/>
              </w:rPr>
              <w:t>Moyen terme</w:t>
            </w:r>
          </w:p>
        </w:tc>
      </w:tr>
      <w:tr w:rsidR="00E612F4" w14:paraId="125E4AF2" w14:textId="77777777" w:rsidTr="00257FBA">
        <w:tc>
          <w:tcPr>
            <w:tcW w:w="2552" w:type="dxa"/>
            <w:vAlign w:val="center"/>
          </w:tcPr>
          <w:p w14:paraId="25173067" w14:textId="77777777" w:rsidR="00E612F4" w:rsidRPr="00334838" w:rsidRDefault="005D4AC5"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hyperlink w:anchor="_Toc514949691" w:history="1">
              <w:r w:rsidR="00E612F4" w:rsidRPr="00334838">
                <w:rPr>
                  <w:rStyle w:val="Hyperlink"/>
                  <w:rFonts w:ascii="Times New Roman" w:eastAsia="Times New Roman" w:hAnsi="Times New Roman" w:cs="Times New Roman"/>
                  <w:noProof/>
                  <w:color w:val="000000" w:themeColor="text1"/>
                  <w:sz w:val="19"/>
                  <w:szCs w:val="19"/>
                  <w:u w:val="none"/>
                  <w:lang w:eastAsia="fr-FR"/>
                </w:rPr>
                <w:t>Mettre en place un cadre d’accompagnement et de mise en œuvre des grands projets d’intérêt national</w:t>
              </w:r>
            </w:hyperlink>
          </w:p>
        </w:tc>
        <w:tc>
          <w:tcPr>
            <w:tcW w:w="4820" w:type="dxa"/>
            <w:vAlign w:val="center"/>
          </w:tcPr>
          <w:p w14:paraId="756CBA69" w14:textId="77777777" w:rsidR="00E612F4" w:rsidRPr="001F7E12" w:rsidRDefault="00E612F4" w:rsidP="00E612F4">
            <w:pPr>
              <w:pStyle w:val="TOC3"/>
              <w:jc w:val="left"/>
              <w:rPr>
                <w:rStyle w:val="Hyperlink"/>
                <w:rFonts w:ascii="Times New Roman" w:eastAsia="Times New Roman" w:hAnsi="Times New Roman" w:cs="Times New Roman"/>
                <w:i/>
                <w:noProof/>
                <w:color w:val="000000" w:themeColor="text1"/>
                <w:sz w:val="19"/>
                <w:szCs w:val="19"/>
                <w:u w:val="none"/>
              </w:rPr>
            </w:pPr>
            <w:r w:rsidRPr="001F7E12">
              <w:rPr>
                <w:rStyle w:val="Hyperlink"/>
                <w:rFonts w:ascii="Times New Roman" w:eastAsia="Times New Roman" w:hAnsi="Times New Roman" w:cs="Times New Roman"/>
                <w:i/>
                <w:noProof/>
                <w:color w:val="000000" w:themeColor="text1"/>
                <w:sz w:val="19"/>
                <w:szCs w:val="19"/>
                <w:u w:val="none"/>
              </w:rPr>
              <w:t>Initiatives en cours</w:t>
            </w:r>
          </w:p>
          <w:p w14:paraId="649DDAE3" w14:textId="29B736B8"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rPr>
            </w:pPr>
            <w:r w:rsidRPr="00334838">
              <w:rPr>
                <w:rStyle w:val="Hyperlink"/>
                <w:rFonts w:ascii="Times New Roman" w:eastAsia="Times New Roman" w:hAnsi="Times New Roman" w:cs="Times New Roman"/>
                <w:noProof/>
                <w:color w:val="000000" w:themeColor="text1"/>
                <w:sz w:val="19"/>
                <w:szCs w:val="19"/>
                <w:u w:val="none"/>
                <w:lang w:eastAsia="fr-FR"/>
              </w:rPr>
              <w:t>Etude en cours sur la refonte du système de planification urbaine (SPU) – Direction de l’Urbanisme</w:t>
            </w:r>
          </w:p>
        </w:tc>
        <w:tc>
          <w:tcPr>
            <w:tcW w:w="1417" w:type="dxa"/>
            <w:vAlign w:val="center"/>
          </w:tcPr>
          <w:p w14:paraId="3A5CFF04" w14:textId="013CB675"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rPr>
            </w:pPr>
            <w:r>
              <w:rPr>
                <w:rStyle w:val="Hyperlink"/>
                <w:rFonts w:ascii="Times New Roman" w:eastAsia="Times New Roman" w:hAnsi="Times New Roman" w:cs="Times New Roman"/>
                <w:noProof/>
                <w:color w:val="000000" w:themeColor="text1"/>
                <w:sz w:val="19"/>
                <w:szCs w:val="19"/>
                <w:u w:val="none"/>
                <w:lang w:eastAsia="fr-FR"/>
              </w:rPr>
              <w:t>Court terme</w:t>
            </w:r>
          </w:p>
        </w:tc>
      </w:tr>
      <w:tr w:rsidR="00E612F4" w14:paraId="02A3348D" w14:textId="77777777" w:rsidTr="00257FBA">
        <w:tc>
          <w:tcPr>
            <w:tcW w:w="2552" w:type="dxa"/>
            <w:vAlign w:val="center"/>
          </w:tcPr>
          <w:p w14:paraId="466DD724" w14:textId="77777777" w:rsidR="00E612F4" w:rsidRPr="00334838" w:rsidRDefault="005D4AC5"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hyperlink w:anchor="_Toc514949692" w:history="1">
              <w:r w:rsidR="00E612F4" w:rsidRPr="00334838">
                <w:rPr>
                  <w:rStyle w:val="Hyperlink"/>
                  <w:rFonts w:ascii="Times New Roman" w:eastAsia="Times New Roman" w:hAnsi="Times New Roman" w:cs="Times New Roman"/>
                  <w:noProof/>
                  <w:color w:val="000000" w:themeColor="text1"/>
                  <w:sz w:val="19"/>
                  <w:szCs w:val="19"/>
                  <w:u w:val="none"/>
                  <w:lang w:eastAsia="fr-FR"/>
                </w:rPr>
                <w:t>Encourager la territorialisation et la mise en cohérence de l’action publique en matière de développement urbain (urbanisme, habitat, déplacement, etc.)</w:t>
              </w:r>
            </w:hyperlink>
          </w:p>
        </w:tc>
        <w:tc>
          <w:tcPr>
            <w:tcW w:w="4820" w:type="dxa"/>
            <w:vAlign w:val="center"/>
          </w:tcPr>
          <w:p w14:paraId="432F3EE9" w14:textId="62145678" w:rsidR="00E612F4" w:rsidRPr="001F7E12" w:rsidRDefault="00E612F4" w:rsidP="00E612F4">
            <w:pPr>
              <w:pStyle w:val="TOC3"/>
              <w:jc w:val="left"/>
              <w:rPr>
                <w:rStyle w:val="Hyperlink"/>
                <w:rFonts w:ascii="Times New Roman" w:eastAsia="Times New Roman" w:hAnsi="Times New Roman" w:cs="Times New Roman"/>
                <w:i/>
                <w:noProof/>
                <w:color w:val="000000" w:themeColor="text1"/>
                <w:sz w:val="19"/>
                <w:szCs w:val="19"/>
                <w:u w:val="none"/>
              </w:rPr>
            </w:pPr>
            <w:r>
              <w:rPr>
                <w:rStyle w:val="Hyperlink"/>
                <w:rFonts w:ascii="Times New Roman" w:eastAsia="Times New Roman" w:hAnsi="Times New Roman" w:cs="Times New Roman"/>
                <w:i/>
                <w:noProof/>
                <w:color w:val="000000" w:themeColor="text1"/>
                <w:sz w:val="19"/>
                <w:szCs w:val="19"/>
                <w:u w:val="none"/>
              </w:rPr>
              <w:t>Opportunité</w:t>
            </w:r>
            <w:r w:rsidR="006644A5">
              <w:rPr>
                <w:rStyle w:val="Hyperlink"/>
                <w:rFonts w:ascii="Times New Roman" w:eastAsia="Times New Roman" w:hAnsi="Times New Roman" w:cs="Times New Roman"/>
                <w:i/>
                <w:noProof/>
                <w:color w:val="000000" w:themeColor="text1"/>
                <w:sz w:val="19"/>
                <w:szCs w:val="19"/>
                <w:u w:val="none"/>
              </w:rPr>
              <w:t> :</w:t>
            </w:r>
          </w:p>
          <w:p w14:paraId="2154023B" w14:textId="523F27F5" w:rsidR="00E612F4" w:rsidRPr="00334838" w:rsidRDefault="006644A5" w:rsidP="006644A5">
            <w:pPr>
              <w:ind w:left="34" w:right="34"/>
              <w:jc w:val="left"/>
              <w:rPr>
                <w:rStyle w:val="Hyperlink"/>
                <w:rFonts w:ascii="Times New Roman" w:eastAsia="Times New Roman" w:hAnsi="Times New Roman" w:cs="Times New Roman"/>
                <w:noProof/>
                <w:color w:val="000000" w:themeColor="text1"/>
                <w:sz w:val="19"/>
                <w:szCs w:val="19"/>
                <w:u w:val="none"/>
                <w:lang w:eastAsia="fr-FR"/>
              </w:rPr>
            </w:pPr>
            <w:r>
              <w:rPr>
                <w:rStyle w:val="Hyperlink"/>
                <w:rFonts w:ascii="Times New Roman" w:eastAsia="Times New Roman" w:hAnsi="Times New Roman" w:cs="Times New Roman"/>
                <w:noProof/>
                <w:color w:val="000000" w:themeColor="text1"/>
                <w:sz w:val="19"/>
                <w:szCs w:val="19"/>
                <w:u w:val="none"/>
                <w:lang w:eastAsia="fr-FR"/>
              </w:rPr>
              <w:t>Tirer parti de la création d’un grand ministère aux c</w:t>
            </w:r>
            <w:r w:rsidR="00E612F4" w:rsidRPr="00334838">
              <w:rPr>
                <w:rStyle w:val="Hyperlink"/>
                <w:rFonts w:ascii="Times New Roman" w:eastAsia="Times New Roman" w:hAnsi="Times New Roman" w:cs="Times New Roman"/>
                <w:noProof/>
                <w:color w:val="000000" w:themeColor="text1"/>
                <w:sz w:val="19"/>
                <w:szCs w:val="19"/>
                <w:u w:val="none"/>
                <w:lang w:eastAsia="fr-FR"/>
              </w:rPr>
              <w:t xml:space="preserve">ompétences élargies </w:t>
            </w:r>
            <w:r w:rsidR="00E612F4">
              <w:rPr>
                <w:rStyle w:val="Hyperlink"/>
                <w:rFonts w:ascii="Times New Roman" w:eastAsia="Times New Roman" w:hAnsi="Times New Roman" w:cs="Times New Roman"/>
                <w:noProof/>
                <w:color w:val="000000" w:themeColor="text1"/>
                <w:sz w:val="19"/>
                <w:szCs w:val="19"/>
                <w:u w:val="none"/>
                <w:lang w:eastAsia="fr-FR"/>
              </w:rPr>
              <w:t xml:space="preserve">du </w:t>
            </w:r>
            <w:r w:rsidR="00E612F4" w:rsidRPr="00334838">
              <w:rPr>
                <w:rStyle w:val="Hyperlink"/>
                <w:rFonts w:ascii="Times New Roman" w:eastAsia="Times New Roman" w:hAnsi="Times New Roman" w:cs="Times New Roman"/>
                <w:noProof/>
                <w:color w:val="000000" w:themeColor="text1"/>
                <w:sz w:val="19"/>
                <w:szCs w:val="19"/>
                <w:u w:val="none"/>
                <w:lang w:eastAsia="fr-FR"/>
              </w:rPr>
              <w:t>MATUHPV (aménagement du territoire, urbanisme, habitat, politique de la Ville)</w:t>
            </w:r>
            <w:r>
              <w:rPr>
                <w:rStyle w:val="Hyperlink"/>
                <w:rFonts w:ascii="Times New Roman" w:eastAsia="Times New Roman" w:hAnsi="Times New Roman" w:cs="Times New Roman"/>
                <w:noProof/>
                <w:color w:val="000000" w:themeColor="text1"/>
                <w:sz w:val="19"/>
                <w:szCs w:val="19"/>
                <w:u w:val="none"/>
                <w:lang w:eastAsia="fr-FR"/>
              </w:rPr>
              <w:t xml:space="preserve">  </w:t>
            </w:r>
          </w:p>
        </w:tc>
        <w:tc>
          <w:tcPr>
            <w:tcW w:w="1417" w:type="dxa"/>
            <w:vAlign w:val="center"/>
          </w:tcPr>
          <w:p w14:paraId="28AAA00F" w14:textId="4BBA90CD"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rPr>
            </w:pPr>
            <w:r>
              <w:rPr>
                <w:rStyle w:val="Hyperlink"/>
                <w:rFonts w:ascii="Times New Roman" w:eastAsia="Times New Roman" w:hAnsi="Times New Roman" w:cs="Times New Roman"/>
                <w:noProof/>
                <w:color w:val="000000" w:themeColor="text1"/>
                <w:sz w:val="19"/>
                <w:szCs w:val="19"/>
                <w:u w:val="none"/>
                <w:lang w:eastAsia="fr-FR"/>
              </w:rPr>
              <w:t>Moyen terme</w:t>
            </w:r>
          </w:p>
        </w:tc>
      </w:tr>
      <w:tr w:rsidR="00E612F4" w14:paraId="7E923AC8" w14:textId="77777777" w:rsidTr="00257FBA">
        <w:tc>
          <w:tcPr>
            <w:tcW w:w="2552" w:type="dxa"/>
            <w:vAlign w:val="center"/>
          </w:tcPr>
          <w:p w14:paraId="4A23A837" w14:textId="77777777" w:rsidR="00E612F4" w:rsidRPr="00334838" w:rsidRDefault="005D4AC5"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hyperlink w:anchor="_Toc514949693" w:history="1">
              <w:r w:rsidR="00E612F4" w:rsidRPr="00334838">
                <w:rPr>
                  <w:rStyle w:val="Hyperlink"/>
                  <w:rFonts w:ascii="Times New Roman" w:eastAsia="Times New Roman" w:hAnsi="Times New Roman" w:cs="Times New Roman"/>
                  <w:noProof/>
                  <w:color w:val="000000" w:themeColor="text1"/>
                  <w:sz w:val="19"/>
                  <w:szCs w:val="19"/>
                  <w:u w:val="none"/>
                  <w:lang w:eastAsia="fr-FR"/>
                </w:rPr>
                <w:t>Renforcer les capacités d’aménagement opérationnel et foncier au niveau local</w:t>
              </w:r>
            </w:hyperlink>
          </w:p>
        </w:tc>
        <w:tc>
          <w:tcPr>
            <w:tcW w:w="4820" w:type="dxa"/>
            <w:vAlign w:val="center"/>
          </w:tcPr>
          <w:p w14:paraId="10DC309B" w14:textId="77777777" w:rsidR="00E612F4" w:rsidRPr="001F7E12" w:rsidRDefault="00E612F4" w:rsidP="00E612F4">
            <w:pPr>
              <w:pStyle w:val="TOC3"/>
              <w:jc w:val="left"/>
              <w:rPr>
                <w:rStyle w:val="Hyperlink"/>
                <w:rFonts w:ascii="Times New Roman" w:eastAsia="Times New Roman" w:hAnsi="Times New Roman" w:cs="Times New Roman"/>
                <w:i/>
                <w:noProof/>
                <w:color w:val="000000" w:themeColor="text1"/>
                <w:sz w:val="19"/>
                <w:szCs w:val="19"/>
                <w:u w:val="none"/>
              </w:rPr>
            </w:pPr>
            <w:r w:rsidRPr="001F7E12">
              <w:rPr>
                <w:rStyle w:val="Hyperlink"/>
                <w:rFonts w:ascii="Times New Roman" w:eastAsia="Times New Roman" w:hAnsi="Times New Roman" w:cs="Times New Roman"/>
                <w:i/>
                <w:noProof/>
                <w:color w:val="000000" w:themeColor="text1"/>
                <w:sz w:val="19"/>
                <w:szCs w:val="19"/>
                <w:u w:val="none"/>
              </w:rPr>
              <w:t>Initiatives en cours</w:t>
            </w:r>
          </w:p>
          <w:p w14:paraId="5801B5DC" w14:textId="4663524F" w:rsidR="00E612F4" w:rsidRPr="00334838" w:rsidRDefault="00E612F4" w:rsidP="00FC07BF">
            <w:pPr>
              <w:spacing w:after="120"/>
              <w:ind w:left="34" w:right="34"/>
              <w:jc w:val="left"/>
              <w:rPr>
                <w:rStyle w:val="Hyperlink"/>
                <w:rFonts w:ascii="Times New Roman" w:eastAsia="Times New Roman" w:hAnsi="Times New Roman" w:cs="Times New Roman"/>
                <w:noProof/>
                <w:color w:val="000000" w:themeColor="text1"/>
                <w:sz w:val="19"/>
                <w:szCs w:val="19"/>
                <w:u w:val="none"/>
              </w:rPr>
            </w:pPr>
            <w:r w:rsidRPr="00334838">
              <w:rPr>
                <w:rStyle w:val="Hyperlink"/>
                <w:rFonts w:ascii="Times New Roman" w:eastAsia="Times New Roman" w:hAnsi="Times New Roman" w:cs="Times New Roman"/>
                <w:noProof/>
                <w:color w:val="000000" w:themeColor="text1"/>
                <w:sz w:val="19"/>
                <w:szCs w:val="19"/>
                <w:u w:val="none"/>
                <w:lang w:eastAsia="fr-FR"/>
              </w:rPr>
              <w:t>Etude en cours sur la refonte du système de planification urbaine (SPU) – Direction de l’Urbanisme</w:t>
            </w:r>
          </w:p>
        </w:tc>
        <w:tc>
          <w:tcPr>
            <w:tcW w:w="1417" w:type="dxa"/>
            <w:vAlign w:val="center"/>
          </w:tcPr>
          <w:p w14:paraId="72BAE50E" w14:textId="4F51F604"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rPr>
            </w:pPr>
            <w:r>
              <w:rPr>
                <w:rStyle w:val="Hyperlink"/>
                <w:rFonts w:ascii="Times New Roman" w:eastAsia="Times New Roman" w:hAnsi="Times New Roman" w:cs="Times New Roman"/>
                <w:noProof/>
                <w:color w:val="000000" w:themeColor="text1"/>
                <w:sz w:val="19"/>
                <w:szCs w:val="19"/>
                <w:u w:val="none"/>
                <w:lang w:eastAsia="fr-FR"/>
              </w:rPr>
              <w:t>Moyen terme</w:t>
            </w:r>
          </w:p>
        </w:tc>
      </w:tr>
      <w:tr w:rsidR="00E612F4" w14:paraId="3C19EC87" w14:textId="77777777" w:rsidTr="00257FBA">
        <w:tc>
          <w:tcPr>
            <w:tcW w:w="2552" w:type="dxa"/>
            <w:vAlign w:val="center"/>
          </w:tcPr>
          <w:p w14:paraId="4AE6052A" w14:textId="77777777" w:rsidR="00E612F4" w:rsidRPr="00334838" w:rsidRDefault="005D4AC5"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hyperlink w:anchor="_Toc514949694" w:history="1">
              <w:r w:rsidR="00E612F4" w:rsidRPr="00334838">
                <w:rPr>
                  <w:rStyle w:val="Hyperlink"/>
                  <w:rFonts w:ascii="Times New Roman" w:eastAsia="Times New Roman" w:hAnsi="Times New Roman" w:cs="Times New Roman"/>
                  <w:noProof/>
                  <w:color w:val="000000" w:themeColor="text1"/>
                  <w:sz w:val="19"/>
                  <w:szCs w:val="19"/>
                  <w:u w:val="none"/>
                  <w:lang w:eastAsia="fr-FR"/>
                </w:rPr>
                <w:t>Améliorer la gestion foncière</w:t>
              </w:r>
            </w:hyperlink>
          </w:p>
        </w:tc>
        <w:tc>
          <w:tcPr>
            <w:tcW w:w="4820" w:type="dxa"/>
            <w:vAlign w:val="center"/>
          </w:tcPr>
          <w:p w14:paraId="6CC4504F" w14:textId="77777777" w:rsidR="00E612F4" w:rsidRPr="001F7E12" w:rsidRDefault="00E612F4" w:rsidP="00E612F4">
            <w:pPr>
              <w:pStyle w:val="TOC3"/>
              <w:jc w:val="left"/>
              <w:rPr>
                <w:rStyle w:val="Hyperlink"/>
                <w:rFonts w:ascii="Times New Roman" w:eastAsia="Times New Roman" w:hAnsi="Times New Roman" w:cs="Times New Roman"/>
                <w:i/>
                <w:noProof/>
                <w:color w:val="000000" w:themeColor="text1"/>
                <w:sz w:val="19"/>
                <w:szCs w:val="19"/>
                <w:u w:val="none"/>
              </w:rPr>
            </w:pPr>
            <w:r w:rsidRPr="001F7E12">
              <w:rPr>
                <w:rStyle w:val="Hyperlink"/>
                <w:rFonts w:ascii="Times New Roman" w:eastAsia="Times New Roman" w:hAnsi="Times New Roman" w:cs="Times New Roman"/>
                <w:i/>
                <w:noProof/>
                <w:color w:val="000000" w:themeColor="text1"/>
                <w:sz w:val="19"/>
                <w:szCs w:val="19"/>
                <w:u w:val="none"/>
              </w:rPr>
              <w:t>Initiatives en cours</w:t>
            </w:r>
          </w:p>
          <w:p w14:paraId="314B37CD" w14:textId="65316EF6" w:rsidR="00E612F4" w:rsidRPr="00334838" w:rsidRDefault="00E612F4" w:rsidP="00FC07BF">
            <w:pPr>
              <w:spacing w:after="120"/>
              <w:ind w:left="34" w:right="34"/>
              <w:jc w:val="left"/>
              <w:rPr>
                <w:rStyle w:val="Hyperlink"/>
                <w:rFonts w:ascii="Times New Roman" w:eastAsia="Times New Roman" w:hAnsi="Times New Roman" w:cs="Times New Roman"/>
                <w:noProof/>
                <w:color w:val="000000" w:themeColor="text1"/>
                <w:sz w:val="19"/>
                <w:szCs w:val="19"/>
                <w:u w:val="none"/>
              </w:rPr>
            </w:pPr>
            <w:r w:rsidRPr="00334838">
              <w:rPr>
                <w:rStyle w:val="Hyperlink"/>
                <w:rFonts w:ascii="Times New Roman" w:eastAsia="Times New Roman" w:hAnsi="Times New Roman" w:cs="Times New Roman"/>
                <w:noProof/>
                <w:color w:val="000000" w:themeColor="text1"/>
                <w:sz w:val="19"/>
                <w:szCs w:val="19"/>
                <w:u w:val="none"/>
                <w:lang w:eastAsia="fr-FR"/>
              </w:rPr>
              <w:t>Stratégie nationale foncière et plan d’action, Gouvernement du Maroc Millenni</w:t>
            </w:r>
            <w:r w:rsidRPr="00334838">
              <w:rPr>
                <w:rStyle w:val="Hyperlink"/>
                <w:rFonts w:ascii="Times New Roman" w:hAnsi="Times New Roman" w:cs="Times New Roman"/>
                <w:color w:val="000000" w:themeColor="text1"/>
                <w:sz w:val="19"/>
                <w:szCs w:val="19"/>
                <w:u w:val="none"/>
                <w:lang w:eastAsia="fr-FR"/>
              </w:rPr>
              <w:t>um Challenge Corporation (MCC) </w:t>
            </w:r>
          </w:p>
        </w:tc>
        <w:tc>
          <w:tcPr>
            <w:tcW w:w="1417" w:type="dxa"/>
            <w:vAlign w:val="center"/>
          </w:tcPr>
          <w:p w14:paraId="139AFE5D" w14:textId="1657E6B9"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rPr>
            </w:pPr>
            <w:r>
              <w:rPr>
                <w:rStyle w:val="Hyperlink"/>
                <w:rFonts w:ascii="Times New Roman" w:eastAsia="Times New Roman" w:hAnsi="Times New Roman" w:cs="Times New Roman"/>
                <w:noProof/>
                <w:color w:val="000000" w:themeColor="text1"/>
                <w:sz w:val="19"/>
                <w:szCs w:val="19"/>
                <w:u w:val="none"/>
                <w:lang w:eastAsia="fr-FR"/>
              </w:rPr>
              <w:t>Moyen terme</w:t>
            </w:r>
          </w:p>
        </w:tc>
      </w:tr>
      <w:tr w:rsidR="00E612F4" w14:paraId="65D80E30" w14:textId="77777777" w:rsidTr="00257FBA">
        <w:tc>
          <w:tcPr>
            <w:tcW w:w="2552" w:type="dxa"/>
            <w:vAlign w:val="center"/>
          </w:tcPr>
          <w:p w14:paraId="4993D035" w14:textId="77777777" w:rsidR="00E612F4" w:rsidRPr="00334838" w:rsidRDefault="005D4AC5"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hyperlink w:anchor="_Toc514949695" w:history="1">
              <w:r w:rsidR="00E612F4" w:rsidRPr="00334838">
                <w:rPr>
                  <w:rStyle w:val="Hyperlink"/>
                  <w:rFonts w:ascii="Times New Roman" w:eastAsia="Times New Roman" w:hAnsi="Times New Roman" w:cs="Times New Roman"/>
                  <w:noProof/>
                  <w:color w:val="000000" w:themeColor="text1"/>
                  <w:sz w:val="19"/>
                  <w:szCs w:val="19"/>
                  <w:u w:val="none"/>
                  <w:lang w:eastAsia="fr-FR"/>
                </w:rPr>
                <w:t>Assurer une meilleure contribution financière au développement urbain</w:t>
              </w:r>
            </w:hyperlink>
          </w:p>
        </w:tc>
        <w:tc>
          <w:tcPr>
            <w:tcW w:w="4820" w:type="dxa"/>
            <w:vAlign w:val="center"/>
          </w:tcPr>
          <w:p w14:paraId="3A37549F" w14:textId="77777777" w:rsidR="00E612F4" w:rsidRPr="001F7E12" w:rsidRDefault="00E612F4" w:rsidP="00E612F4">
            <w:pPr>
              <w:pStyle w:val="TOC3"/>
              <w:jc w:val="left"/>
              <w:rPr>
                <w:rStyle w:val="Hyperlink"/>
                <w:rFonts w:ascii="Times New Roman" w:eastAsia="Times New Roman" w:hAnsi="Times New Roman" w:cs="Times New Roman"/>
                <w:i/>
                <w:noProof/>
                <w:color w:val="000000" w:themeColor="text1"/>
                <w:sz w:val="19"/>
                <w:szCs w:val="19"/>
                <w:u w:val="none"/>
              </w:rPr>
            </w:pPr>
            <w:r w:rsidRPr="001F7E12">
              <w:rPr>
                <w:rStyle w:val="Hyperlink"/>
                <w:rFonts w:ascii="Times New Roman" w:eastAsia="Times New Roman" w:hAnsi="Times New Roman" w:cs="Times New Roman"/>
                <w:i/>
                <w:noProof/>
                <w:color w:val="000000" w:themeColor="text1"/>
                <w:sz w:val="19"/>
                <w:szCs w:val="19"/>
                <w:u w:val="none"/>
              </w:rPr>
              <w:t>Initiatives en cours</w:t>
            </w:r>
          </w:p>
          <w:p w14:paraId="3710FE6C" w14:textId="5B1D30BD"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rPr>
            </w:pPr>
            <w:r w:rsidRPr="00334838">
              <w:rPr>
                <w:rStyle w:val="Hyperlink"/>
                <w:rFonts w:ascii="Times New Roman" w:eastAsia="Times New Roman" w:hAnsi="Times New Roman" w:cs="Times New Roman"/>
                <w:noProof/>
                <w:color w:val="000000" w:themeColor="text1"/>
                <w:sz w:val="19"/>
                <w:szCs w:val="19"/>
                <w:u w:val="none"/>
                <w:lang w:eastAsia="fr-FR"/>
              </w:rPr>
              <w:t>Réforme de la fiscalité locale en cours de préparation au niveau du ministère de l’Intérieur / DGCL</w:t>
            </w:r>
          </w:p>
        </w:tc>
        <w:tc>
          <w:tcPr>
            <w:tcW w:w="1417" w:type="dxa"/>
            <w:vAlign w:val="center"/>
          </w:tcPr>
          <w:p w14:paraId="3CF997D4" w14:textId="1579840F"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rPr>
            </w:pPr>
            <w:r>
              <w:rPr>
                <w:rStyle w:val="Hyperlink"/>
                <w:rFonts w:ascii="Times New Roman" w:eastAsia="Times New Roman" w:hAnsi="Times New Roman" w:cs="Times New Roman"/>
                <w:noProof/>
                <w:color w:val="000000" w:themeColor="text1"/>
                <w:sz w:val="19"/>
                <w:szCs w:val="19"/>
                <w:u w:val="none"/>
                <w:lang w:eastAsia="fr-FR"/>
              </w:rPr>
              <w:t>Court terme</w:t>
            </w:r>
          </w:p>
        </w:tc>
      </w:tr>
      <w:tr w:rsidR="00976971" w14:paraId="7FF8F9A2" w14:textId="77777777" w:rsidTr="00257FBA">
        <w:tc>
          <w:tcPr>
            <w:tcW w:w="8789" w:type="dxa"/>
            <w:gridSpan w:val="3"/>
            <w:vAlign w:val="center"/>
          </w:tcPr>
          <w:p w14:paraId="695D604E" w14:textId="7FA05D54" w:rsidR="00976971" w:rsidRPr="00FC07BF" w:rsidRDefault="005D4AC5" w:rsidP="00F65363">
            <w:pPr>
              <w:ind w:left="34" w:right="34"/>
              <w:jc w:val="left"/>
              <w:rPr>
                <w:rStyle w:val="Hyperlink"/>
                <w:rFonts w:ascii="Times New Roman" w:eastAsia="Times New Roman" w:hAnsi="Times New Roman" w:cs="Times New Roman"/>
                <w:i/>
                <w:noProof/>
                <w:color w:val="000000" w:themeColor="text1"/>
                <w:sz w:val="19"/>
                <w:szCs w:val="19"/>
                <w:u w:val="none"/>
              </w:rPr>
            </w:pPr>
            <w:hyperlink w:anchor="_Toc514949696" w:history="1">
              <w:r w:rsidR="00976971" w:rsidRPr="00FC07BF">
                <w:rPr>
                  <w:rStyle w:val="Hyperlink"/>
                  <w:rFonts w:ascii="Times New Roman" w:eastAsia="Times New Roman" w:hAnsi="Times New Roman" w:cs="Times New Roman"/>
                  <w:b/>
                  <w:i/>
                  <w:noProof/>
                  <w:color w:val="000000" w:themeColor="text1"/>
                  <w:sz w:val="19"/>
                  <w:szCs w:val="19"/>
                  <w:u w:val="none"/>
                  <w:lang w:eastAsia="fr-FR"/>
                </w:rPr>
                <w:t>Acteurs</w:t>
              </w:r>
            </w:hyperlink>
          </w:p>
        </w:tc>
      </w:tr>
      <w:tr w:rsidR="00E612F4" w:rsidRPr="00823028" w14:paraId="64872CF8" w14:textId="77777777" w:rsidTr="00257FBA">
        <w:tc>
          <w:tcPr>
            <w:tcW w:w="2552" w:type="dxa"/>
            <w:vAlign w:val="center"/>
          </w:tcPr>
          <w:p w14:paraId="0D8DBE61" w14:textId="77777777" w:rsidR="00E612F4" w:rsidRPr="00334838" w:rsidRDefault="005D4AC5"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hyperlink w:anchor="_Toc514949697" w:history="1">
              <w:r w:rsidR="00E612F4" w:rsidRPr="00334838">
                <w:rPr>
                  <w:rStyle w:val="Hyperlink"/>
                  <w:rFonts w:ascii="Times New Roman" w:eastAsia="Times New Roman" w:hAnsi="Times New Roman" w:cs="Times New Roman"/>
                  <w:noProof/>
                  <w:color w:val="000000" w:themeColor="text1"/>
                  <w:sz w:val="19"/>
                  <w:szCs w:val="19"/>
                  <w:u w:val="none"/>
                  <w:lang w:eastAsia="fr-FR"/>
                </w:rPr>
                <w:t>Positionner le Wali en tant qu’acteur pivot de la déconcentration administrative dans le contexte de régionalisation avancée</w:t>
              </w:r>
            </w:hyperlink>
          </w:p>
        </w:tc>
        <w:tc>
          <w:tcPr>
            <w:tcW w:w="4820" w:type="dxa"/>
            <w:vAlign w:val="center"/>
          </w:tcPr>
          <w:p w14:paraId="7C84685C" w14:textId="77777777" w:rsidR="00E612F4" w:rsidRPr="001F7E12" w:rsidRDefault="00E612F4" w:rsidP="00E612F4">
            <w:pPr>
              <w:pStyle w:val="TOC3"/>
              <w:jc w:val="left"/>
              <w:rPr>
                <w:rStyle w:val="Hyperlink"/>
                <w:rFonts w:ascii="Times New Roman" w:eastAsia="Times New Roman" w:hAnsi="Times New Roman" w:cs="Times New Roman"/>
                <w:i/>
                <w:noProof/>
                <w:color w:val="000000" w:themeColor="text1"/>
                <w:sz w:val="19"/>
                <w:szCs w:val="19"/>
                <w:u w:val="none"/>
              </w:rPr>
            </w:pPr>
            <w:r w:rsidRPr="001F7E12">
              <w:rPr>
                <w:rStyle w:val="Hyperlink"/>
                <w:rFonts w:ascii="Times New Roman" w:eastAsia="Times New Roman" w:hAnsi="Times New Roman" w:cs="Times New Roman"/>
                <w:i/>
                <w:noProof/>
                <w:color w:val="000000" w:themeColor="text1"/>
                <w:sz w:val="19"/>
                <w:szCs w:val="19"/>
                <w:u w:val="none"/>
              </w:rPr>
              <w:t>Initiatives en cours</w:t>
            </w:r>
          </w:p>
          <w:p w14:paraId="04C17AFC" w14:textId="77777777" w:rsidR="00E612F4" w:rsidRPr="00334838" w:rsidRDefault="00E612F4"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r>
              <w:rPr>
                <w:rStyle w:val="Hyperlink"/>
                <w:rFonts w:ascii="Times New Roman" w:eastAsia="Times New Roman" w:hAnsi="Times New Roman" w:cs="Times New Roman"/>
                <w:noProof/>
                <w:color w:val="000000" w:themeColor="text1"/>
                <w:sz w:val="19"/>
                <w:szCs w:val="19"/>
                <w:u w:val="none"/>
                <w:lang w:eastAsia="fr-FR"/>
              </w:rPr>
              <w:t>Réforme</w:t>
            </w:r>
            <w:r w:rsidRPr="00334838">
              <w:rPr>
                <w:rStyle w:val="Hyperlink"/>
                <w:rFonts w:ascii="Times New Roman" w:eastAsia="Times New Roman" w:hAnsi="Times New Roman" w:cs="Times New Roman"/>
                <w:noProof/>
                <w:color w:val="000000" w:themeColor="text1"/>
                <w:sz w:val="19"/>
                <w:szCs w:val="19"/>
                <w:u w:val="none"/>
                <w:lang w:eastAsia="fr-FR"/>
              </w:rPr>
              <w:t xml:space="preserve"> de la régionalisation avancée </w:t>
            </w:r>
          </w:p>
          <w:p w14:paraId="23505955" w14:textId="0D97CC06"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lang w:eastAsia="fr-FR"/>
              </w:rPr>
              <w:t xml:space="preserve">Charte de la déconcentration en cours d’élaboration </w:t>
            </w:r>
          </w:p>
        </w:tc>
        <w:tc>
          <w:tcPr>
            <w:tcW w:w="1417" w:type="dxa"/>
            <w:vAlign w:val="center"/>
          </w:tcPr>
          <w:p w14:paraId="6253AA63" w14:textId="359914BF"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Pr>
                <w:rStyle w:val="Hyperlink"/>
                <w:rFonts w:ascii="Times New Roman" w:eastAsia="Times New Roman" w:hAnsi="Times New Roman" w:cs="Times New Roman"/>
                <w:noProof/>
                <w:color w:val="000000" w:themeColor="text1"/>
                <w:sz w:val="19"/>
                <w:szCs w:val="19"/>
                <w:u w:val="none"/>
                <w:lang w:eastAsia="fr-FR"/>
              </w:rPr>
              <w:t>Moyen terme</w:t>
            </w:r>
          </w:p>
        </w:tc>
      </w:tr>
      <w:tr w:rsidR="00E612F4" w:rsidRPr="00823028" w14:paraId="271706E2" w14:textId="77777777" w:rsidTr="00257FBA">
        <w:tc>
          <w:tcPr>
            <w:tcW w:w="2552" w:type="dxa"/>
            <w:vAlign w:val="center"/>
          </w:tcPr>
          <w:p w14:paraId="30D51ECE" w14:textId="77777777" w:rsidR="00E612F4" w:rsidRPr="00334838" w:rsidRDefault="005D4AC5"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hyperlink w:anchor="_Toc514949698" w:history="1">
              <w:r w:rsidR="00E612F4" w:rsidRPr="00334838">
                <w:rPr>
                  <w:rStyle w:val="Hyperlink"/>
                  <w:rFonts w:ascii="Times New Roman" w:eastAsia="Times New Roman" w:hAnsi="Times New Roman" w:cs="Times New Roman"/>
                  <w:noProof/>
                  <w:color w:val="000000" w:themeColor="text1"/>
                  <w:sz w:val="19"/>
                  <w:szCs w:val="19"/>
                  <w:u w:val="none"/>
                  <w:lang w:eastAsia="fr-FR"/>
                </w:rPr>
                <w:t>Faire de l’échelle de l’agglomération le niveau incontournable de la définition et de la mise en œuvre de la politique urbaine</w:t>
              </w:r>
            </w:hyperlink>
          </w:p>
        </w:tc>
        <w:tc>
          <w:tcPr>
            <w:tcW w:w="4820" w:type="dxa"/>
            <w:vAlign w:val="center"/>
          </w:tcPr>
          <w:p w14:paraId="6A0E4E0F" w14:textId="77777777" w:rsidR="00E612F4" w:rsidRPr="001F7E12" w:rsidRDefault="00E612F4" w:rsidP="00E612F4">
            <w:pPr>
              <w:pStyle w:val="TOC3"/>
              <w:jc w:val="left"/>
              <w:rPr>
                <w:rStyle w:val="Hyperlink"/>
                <w:rFonts w:ascii="Times New Roman" w:eastAsia="Times New Roman" w:hAnsi="Times New Roman" w:cs="Times New Roman"/>
                <w:i/>
                <w:noProof/>
                <w:color w:val="000000" w:themeColor="text1"/>
                <w:sz w:val="19"/>
                <w:szCs w:val="19"/>
                <w:u w:val="none"/>
              </w:rPr>
            </w:pPr>
            <w:r w:rsidRPr="001F7E12">
              <w:rPr>
                <w:rStyle w:val="Hyperlink"/>
                <w:rFonts w:ascii="Times New Roman" w:eastAsia="Times New Roman" w:hAnsi="Times New Roman" w:cs="Times New Roman"/>
                <w:i/>
                <w:noProof/>
                <w:color w:val="000000" w:themeColor="text1"/>
                <w:sz w:val="19"/>
                <w:szCs w:val="19"/>
                <w:u w:val="none"/>
              </w:rPr>
              <w:t>Initiatives en cours</w:t>
            </w:r>
          </w:p>
          <w:p w14:paraId="30C8176F" w14:textId="48B0FFA0"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lang w:eastAsia="fr-FR"/>
              </w:rPr>
              <w:t>Dialogue Maroc / OCDE sur les politiques de développement territorial et la métropolisation </w:t>
            </w:r>
          </w:p>
        </w:tc>
        <w:tc>
          <w:tcPr>
            <w:tcW w:w="1417" w:type="dxa"/>
            <w:vAlign w:val="center"/>
          </w:tcPr>
          <w:p w14:paraId="6223F271" w14:textId="4CBDAD91"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Pr>
                <w:rStyle w:val="Hyperlink"/>
                <w:rFonts w:ascii="Times New Roman" w:eastAsia="Times New Roman" w:hAnsi="Times New Roman" w:cs="Times New Roman"/>
                <w:noProof/>
                <w:color w:val="000000" w:themeColor="text1"/>
                <w:sz w:val="19"/>
                <w:szCs w:val="19"/>
                <w:u w:val="none"/>
                <w:lang w:eastAsia="fr-FR"/>
              </w:rPr>
              <w:t>Moyen terme</w:t>
            </w:r>
          </w:p>
        </w:tc>
      </w:tr>
      <w:tr w:rsidR="00E612F4" w:rsidRPr="00823028" w14:paraId="28BF10B3" w14:textId="77777777" w:rsidTr="00257FBA">
        <w:tc>
          <w:tcPr>
            <w:tcW w:w="2552" w:type="dxa"/>
            <w:vAlign w:val="center"/>
          </w:tcPr>
          <w:p w14:paraId="396FE5B7" w14:textId="77777777" w:rsidR="00E612F4" w:rsidRPr="00334838" w:rsidRDefault="005D4AC5"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hyperlink w:anchor="_Toc514949699" w:history="1">
              <w:r w:rsidR="00E612F4" w:rsidRPr="00334838">
                <w:rPr>
                  <w:rStyle w:val="Hyperlink"/>
                  <w:rFonts w:ascii="Times New Roman" w:eastAsia="Times New Roman" w:hAnsi="Times New Roman" w:cs="Times New Roman"/>
                  <w:noProof/>
                  <w:color w:val="000000" w:themeColor="text1"/>
                  <w:sz w:val="19"/>
                  <w:szCs w:val="19"/>
                  <w:u w:val="none"/>
                  <w:lang w:eastAsia="fr-FR"/>
                </w:rPr>
                <w:t>Transformer les Agences urbaines en outil technique et d’appui clef à la nouvelle organisation territoriale</w:t>
              </w:r>
            </w:hyperlink>
          </w:p>
        </w:tc>
        <w:tc>
          <w:tcPr>
            <w:tcW w:w="4820" w:type="dxa"/>
            <w:vAlign w:val="center"/>
          </w:tcPr>
          <w:p w14:paraId="1D7E9364" w14:textId="77777777" w:rsidR="00E612F4" w:rsidRPr="001F7E12" w:rsidRDefault="00E612F4" w:rsidP="00E612F4">
            <w:pPr>
              <w:pStyle w:val="TOC3"/>
              <w:jc w:val="left"/>
              <w:rPr>
                <w:rStyle w:val="Hyperlink"/>
                <w:rFonts w:ascii="Times New Roman" w:eastAsia="Times New Roman" w:hAnsi="Times New Roman" w:cs="Times New Roman"/>
                <w:i/>
                <w:noProof/>
                <w:color w:val="000000" w:themeColor="text1"/>
                <w:sz w:val="19"/>
                <w:szCs w:val="19"/>
                <w:u w:val="none"/>
              </w:rPr>
            </w:pPr>
            <w:r w:rsidRPr="001F7E12">
              <w:rPr>
                <w:rStyle w:val="Hyperlink"/>
                <w:rFonts w:ascii="Times New Roman" w:eastAsia="Times New Roman" w:hAnsi="Times New Roman" w:cs="Times New Roman"/>
                <w:i/>
                <w:noProof/>
                <w:color w:val="000000" w:themeColor="text1"/>
                <w:sz w:val="19"/>
                <w:szCs w:val="19"/>
                <w:u w:val="none"/>
              </w:rPr>
              <w:t>Initiatives en cours</w:t>
            </w:r>
          </w:p>
          <w:p w14:paraId="019456F9" w14:textId="36AF7BD7"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lang w:eastAsia="fr-FR"/>
              </w:rPr>
              <w:t>Etude en cours sur la refonte du système de planification urbaine (SPU) – Direction de l’Urbanisme</w:t>
            </w:r>
          </w:p>
        </w:tc>
        <w:tc>
          <w:tcPr>
            <w:tcW w:w="1417" w:type="dxa"/>
            <w:vAlign w:val="center"/>
          </w:tcPr>
          <w:p w14:paraId="07D2B826" w14:textId="23B866C6" w:rsidR="00E612F4" w:rsidRPr="00334838" w:rsidRDefault="00E612F4"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Pr>
                <w:rStyle w:val="Hyperlink"/>
                <w:rFonts w:ascii="Times New Roman" w:eastAsia="Times New Roman" w:hAnsi="Times New Roman" w:cs="Times New Roman"/>
                <w:noProof/>
                <w:color w:val="000000" w:themeColor="text1"/>
                <w:sz w:val="19"/>
                <w:szCs w:val="19"/>
                <w:u w:val="none"/>
                <w:lang w:eastAsia="fr-FR"/>
              </w:rPr>
              <w:t>Moyen terme</w:t>
            </w:r>
          </w:p>
        </w:tc>
      </w:tr>
      <w:tr w:rsidR="00976971" w:rsidRPr="00823028" w14:paraId="48646268" w14:textId="77777777" w:rsidTr="00257FBA">
        <w:tc>
          <w:tcPr>
            <w:tcW w:w="2552" w:type="dxa"/>
            <w:vAlign w:val="center"/>
          </w:tcPr>
          <w:p w14:paraId="44F07958" w14:textId="6C52D7E1" w:rsidR="00976971" w:rsidRPr="00FC07BF" w:rsidRDefault="00976971" w:rsidP="00F65363">
            <w:pPr>
              <w:pStyle w:val="TOC3"/>
              <w:jc w:val="left"/>
              <w:rPr>
                <w:rStyle w:val="Hyperlink"/>
                <w:rFonts w:ascii="Times New Roman" w:eastAsia="Times New Roman" w:hAnsi="Times New Roman" w:cs="Times New Roman"/>
                <w:b/>
                <w:i/>
                <w:noProof/>
                <w:color w:val="000000" w:themeColor="text1"/>
                <w:sz w:val="19"/>
                <w:szCs w:val="19"/>
                <w:u w:val="none"/>
                <w:lang w:eastAsia="fr-FR"/>
              </w:rPr>
            </w:pPr>
            <w:r w:rsidRPr="00FC07BF">
              <w:rPr>
                <w:rStyle w:val="Hyperlink"/>
                <w:rFonts w:ascii="Times New Roman" w:eastAsia="Times New Roman" w:hAnsi="Times New Roman" w:cs="Times New Roman"/>
                <w:b/>
                <w:i/>
                <w:noProof/>
                <w:color w:val="000000" w:themeColor="text1"/>
                <w:sz w:val="19"/>
                <w:szCs w:val="19"/>
                <w:u w:val="none"/>
                <w:lang w:eastAsia="fr-FR"/>
              </w:rPr>
              <w:lastRenderedPageBreak/>
              <w:t xml:space="preserve">Grandes références </w:t>
            </w:r>
          </w:p>
        </w:tc>
        <w:tc>
          <w:tcPr>
            <w:tcW w:w="4820" w:type="dxa"/>
            <w:vAlign w:val="center"/>
          </w:tcPr>
          <w:p w14:paraId="52700EC2" w14:textId="77777777" w:rsidR="00976971" w:rsidRPr="00334838" w:rsidRDefault="00976971"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p>
        </w:tc>
        <w:tc>
          <w:tcPr>
            <w:tcW w:w="1417" w:type="dxa"/>
            <w:vAlign w:val="center"/>
          </w:tcPr>
          <w:p w14:paraId="2A6DA090" w14:textId="32D93918" w:rsidR="00976971" w:rsidRPr="00334838" w:rsidRDefault="00976971"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p>
        </w:tc>
      </w:tr>
      <w:tr w:rsidR="008E4F70" w:rsidRPr="00823028" w14:paraId="7B792E5C" w14:textId="77777777" w:rsidTr="00257FBA">
        <w:tc>
          <w:tcPr>
            <w:tcW w:w="2552" w:type="dxa"/>
            <w:vAlign w:val="center"/>
          </w:tcPr>
          <w:p w14:paraId="4E200799" w14:textId="77777777" w:rsidR="008E4F70" w:rsidRPr="00334838" w:rsidRDefault="008E4F70"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lang w:eastAsia="fr-FR"/>
              </w:rPr>
              <w:t>Adoption d’un cadre de référence à même de définir des orientations et des lignes directrices pour la planification urbaine et territoriale</w:t>
            </w:r>
          </w:p>
        </w:tc>
        <w:tc>
          <w:tcPr>
            <w:tcW w:w="4820" w:type="dxa"/>
            <w:vAlign w:val="center"/>
          </w:tcPr>
          <w:p w14:paraId="478B8315" w14:textId="77777777" w:rsidR="008E4F70" w:rsidRPr="001F7E12" w:rsidRDefault="008E4F70" w:rsidP="008E4F70">
            <w:pPr>
              <w:pStyle w:val="TOC3"/>
              <w:jc w:val="left"/>
              <w:rPr>
                <w:rStyle w:val="Hyperlink"/>
                <w:rFonts w:ascii="Times New Roman" w:eastAsia="Times New Roman" w:hAnsi="Times New Roman" w:cs="Times New Roman"/>
                <w:i/>
                <w:noProof/>
                <w:color w:val="000000" w:themeColor="text1"/>
                <w:sz w:val="19"/>
                <w:szCs w:val="19"/>
                <w:u w:val="none"/>
              </w:rPr>
            </w:pPr>
            <w:r w:rsidRPr="001F7E12">
              <w:rPr>
                <w:rStyle w:val="Hyperlink"/>
                <w:rFonts w:ascii="Times New Roman" w:eastAsia="Times New Roman" w:hAnsi="Times New Roman" w:cs="Times New Roman"/>
                <w:i/>
                <w:noProof/>
                <w:color w:val="000000" w:themeColor="text1"/>
                <w:sz w:val="19"/>
                <w:szCs w:val="19"/>
                <w:u w:val="none"/>
              </w:rPr>
              <w:t>Initiatives en cours</w:t>
            </w:r>
          </w:p>
          <w:p w14:paraId="6B520E11" w14:textId="36A06073" w:rsidR="008E4F70" w:rsidRPr="00334838" w:rsidRDefault="008E4F70"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lang w:eastAsia="fr-FR"/>
              </w:rPr>
              <w:t xml:space="preserve">Orientations nationales en matiere d’aménagement du Territoire en cours d’élaboration par la Direction de l’aménagement du Territoire (DAT) </w:t>
            </w:r>
          </w:p>
          <w:p w14:paraId="45F2A1EE" w14:textId="77777777" w:rsidR="008E4F70" w:rsidRPr="00334838" w:rsidRDefault="008E4F70" w:rsidP="00F65363">
            <w:pPr>
              <w:pStyle w:val="TOC3"/>
              <w:jc w:val="left"/>
              <w:rPr>
                <w:rStyle w:val="Hyperlink"/>
                <w:rFonts w:ascii="Times New Roman" w:eastAsia="Times New Roman" w:hAnsi="Times New Roman" w:cs="Times New Roman"/>
                <w:noProof/>
                <w:color w:val="000000" w:themeColor="text1"/>
                <w:sz w:val="19"/>
                <w:szCs w:val="19"/>
                <w:u w:val="none"/>
              </w:rPr>
            </w:pPr>
            <w:r w:rsidRPr="00334838">
              <w:rPr>
                <w:rStyle w:val="Hyperlink"/>
                <w:rFonts w:ascii="Times New Roman" w:eastAsia="Times New Roman" w:hAnsi="Times New Roman" w:cs="Times New Roman"/>
                <w:noProof/>
                <w:color w:val="000000" w:themeColor="text1"/>
                <w:sz w:val="19"/>
                <w:szCs w:val="19"/>
                <w:u w:val="none"/>
                <w:lang w:eastAsia="fr-FR"/>
              </w:rPr>
              <w:t>Annonce d’une Politique urbaine nationale au programme du Gouvernement</w:t>
            </w:r>
          </w:p>
          <w:p w14:paraId="083AF5C4" w14:textId="77777777" w:rsidR="008E4F70" w:rsidRPr="00334838" w:rsidRDefault="008E4F70"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lang w:eastAsia="fr-FR"/>
              </w:rPr>
              <w:t>Etude en cours sur la refonte du système de planification urbaine (SPU) – Direction de l’Urbanisme</w:t>
            </w:r>
          </w:p>
          <w:p w14:paraId="18778188" w14:textId="58F30C8F" w:rsidR="008E4F70" w:rsidRPr="00334838" w:rsidRDefault="008E4F70"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lang w:eastAsia="fr-FR"/>
              </w:rPr>
              <w:t>Stratégie Nationale de Développement Durable et sa déclinaison opérationnelle adoptée</w:t>
            </w:r>
          </w:p>
        </w:tc>
        <w:tc>
          <w:tcPr>
            <w:tcW w:w="1417" w:type="dxa"/>
            <w:vAlign w:val="center"/>
          </w:tcPr>
          <w:p w14:paraId="2EE804B3" w14:textId="694E4D01" w:rsidR="008E4F70" w:rsidRPr="00334838" w:rsidRDefault="008E4F70"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Pr>
                <w:rStyle w:val="Hyperlink"/>
                <w:rFonts w:ascii="Times New Roman" w:eastAsia="Times New Roman" w:hAnsi="Times New Roman" w:cs="Times New Roman"/>
                <w:noProof/>
                <w:color w:val="000000" w:themeColor="text1"/>
                <w:sz w:val="19"/>
                <w:szCs w:val="19"/>
                <w:u w:val="none"/>
                <w:lang w:eastAsia="fr-FR"/>
              </w:rPr>
              <w:t>Court terme</w:t>
            </w:r>
          </w:p>
        </w:tc>
      </w:tr>
      <w:tr w:rsidR="008E4F70" w:rsidRPr="00823028" w14:paraId="3FAB13B5" w14:textId="77777777" w:rsidTr="00257FBA">
        <w:tc>
          <w:tcPr>
            <w:tcW w:w="2552" w:type="dxa"/>
            <w:vAlign w:val="center"/>
          </w:tcPr>
          <w:p w14:paraId="72F4859E" w14:textId="77777777" w:rsidR="008E4F70" w:rsidRPr="00334838" w:rsidRDefault="008E4F70" w:rsidP="00F65363">
            <w:pPr>
              <w:pStyle w:val="TOC3"/>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lang w:eastAsia="fr-FR"/>
              </w:rPr>
              <w:t>Mise en place d’un mécanisme de coordination des réformes structurelles et d’organisation du dialogue à haut niveau</w:t>
            </w:r>
          </w:p>
        </w:tc>
        <w:tc>
          <w:tcPr>
            <w:tcW w:w="4820" w:type="dxa"/>
            <w:vAlign w:val="center"/>
          </w:tcPr>
          <w:p w14:paraId="56EAE07C" w14:textId="464D3B5C" w:rsidR="008E4F70" w:rsidRPr="001F7E12" w:rsidRDefault="008E4F70" w:rsidP="008E4F70">
            <w:pPr>
              <w:pStyle w:val="TOC3"/>
              <w:jc w:val="left"/>
              <w:rPr>
                <w:rStyle w:val="Hyperlink"/>
                <w:rFonts w:ascii="Times New Roman" w:eastAsia="Times New Roman" w:hAnsi="Times New Roman" w:cs="Times New Roman"/>
                <w:i/>
                <w:noProof/>
                <w:color w:val="000000" w:themeColor="text1"/>
                <w:sz w:val="19"/>
                <w:szCs w:val="19"/>
                <w:u w:val="none"/>
              </w:rPr>
            </w:pPr>
            <w:r>
              <w:rPr>
                <w:rStyle w:val="Hyperlink"/>
                <w:rFonts w:ascii="Times New Roman" w:eastAsia="Times New Roman" w:hAnsi="Times New Roman" w:cs="Times New Roman"/>
                <w:i/>
                <w:noProof/>
                <w:color w:val="000000" w:themeColor="text1"/>
                <w:sz w:val="19"/>
                <w:szCs w:val="19"/>
                <w:u w:val="none"/>
              </w:rPr>
              <w:t>Opportunité</w:t>
            </w:r>
          </w:p>
          <w:p w14:paraId="0E9DF861" w14:textId="5BECBCD1" w:rsidR="008E4F70" w:rsidRPr="00334838" w:rsidRDefault="008E4F70" w:rsidP="006644A5">
            <w:pPr>
              <w:ind w:left="34" w:right="34"/>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lang w:eastAsia="fr-FR"/>
              </w:rPr>
              <w:t>Opportunité de réactiver le Comité Interministériel pour le Développement Territorial (CIDT) cré</w:t>
            </w:r>
            <w:r w:rsidR="006644A5">
              <w:rPr>
                <w:rStyle w:val="Hyperlink"/>
                <w:rFonts w:ascii="Times New Roman" w:eastAsia="Times New Roman" w:hAnsi="Times New Roman" w:cs="Times New Roman"/>
                <w:noProof/>
                <w:color w:val="000000" w:themeColor="text1"/>
                <w:sz w:val="19"/>
                <w:szCs w:val="19"/>
                <w:u w:val="none"/>
                <w:lang w:eastAsia="fr-FR"/>
              </w:rPr>
              <w:t>é</w:t>
            </w:r>
            <w:r w:rsidRPr="00334838">
              <w:rPr>
                <w:rStyle w:val="Hyperlink"/>
                <w:rFonts w:ascii="Times New Roman" w:eastAsia="Times New Roman" w:hAnsi="Times New Roman" w:cs="Times New Roman"/>
                <w:noProof/>
                <w:color w:val="000000" w:themeColor="text1"/>
                <w:sz w:val="19"/>
                <w:szCs w:val="19"/>
                <w:u w:val="none"/>
                <w:lang w:eastAsia="fr-FR"/>
              </w:rPr>
              <w:t xml:space="preserve"> dans le cadre de la SNDU</w:t>
            </w:r>
            <w:r w:rsidR="006644A5">
              <w:rPr>
                <w:rStyle w:val="Hyperlink"/>
                <w:rFonts w:ascii="Times New Roman" w:eastAsia="Times New Roman" w:hAnsi="Times New Roman" w:cs="Times New Roman"/>
                <w:noProof/>
                <w:color w:val="000000" w:themeColor="text1"/>
                <w:sz w:val="19"/>
                <w:szCs w:val="19"/>
                <w:u w:val="none"/>
                <w:lang w:eastAsia="fr-FR"/>
              </w:rPr>
              <w:t xml:space="preserve"> </w:t>
            </w:r>
          </w:p>
        </w:tc>
        <w:tc>
          <w:tcPr>
            <w:tcW w:w="1417" w:type="dxa"/>
            <w:vAlign w:val="center"/>
          </w:tcPr>
          <w:p w14:paraId="74F73092" w14:textId="5565BC83" w:rsidR="008E4F70" w:rsidRPr="00334838" w:rsidRDefault="008E4F70"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Pr>
                <w:rStyle w:val="Hyperlink"/>
                <w:rFonts w:ascii="Times New Roman" w:eastAsia="Times New Roman" w:hAnsi="Times New Roman" w:cs="Times New Roman"/>
                <w:noProof/>
                <w:color w:val="000000" w:themeColor="text1"/>
                <w:sz w:val="19"/>
                <w:szCs w:val="19"/>
                <w:u w:val="none"/>
                <w:lang w:eastAsia="fr-FR"/>
              </w:rPr>
              <w:t>Court terme</w:t>
            </w:r>
          </w:p>
        </w:tc>
      </w:tr>
      <w:tr w:rsidR="008E4F70" w:rsidRPr="00823028" w14:paraId="63C21270" w14:textId="77777777" w:rsidTr="00257FBA">
        <w:tc>
          <w:tcPr>
            <w:tcW w:w="2552" w:type="dxa"/>
            <w:vAlign w:val="center"/>
          </w:tcPr>
          <w:p w14:paraId="211FE7F0" w14:textId="77777777" w:rsidR="008E4F70" w:rsidRPr="00334838" w:rsidRDefault="008E4F70" w:rsidP="00F65363">
            <w:pPr>
              <w:pStyle w:val="TOC3"/>
              <w:jc w:val="left"/>
              <w:rPr>
                <w:rStyle w:val="Hyperlink"/>
                <w:rFonts w:ascii="Times New Roman" w:eastAsia="Times New Roman" w:hAnsi="Times New Roman" w:cs="Times New Roman"/>
                <w:noProof/>
                <w:color w:val="000000" w:themeColor="text1"/>
                <w:sz w:val="19"/>
                <w:szCs w:val="19"/>
                <w:u w:val="none"/>
              </w:rPr>
            </w:pPr>
            <w:r w:rsidRPr="00334838">
              <w:rPr>
                <w:rStyle w:val="Hyperlink"/>
                <w:rFonts w:ascii="Times New Roman" w:eastAsia="Times New Roman" w:hAnsi="Times New Roman" w:cs="Times New Roman"/>
                <w:noProof/>
                <w:color w:val="000000" w:themeColor="text1"/>
                <w:sz w:val="19"/>
                <w:szCs w:val="19"/>
                <w:u w:val="none"/>
                <w:lang w:eastAsia="fr-FR"/>
              </w:rPr>
              <w:t>Relance de la Stratégie Nationale de Développement Urbain (SNDU)</w:t>
            </w:r>
          </w:p>
        </w:tc>
        <w:tc>
          <w:tcPr>
            <w:tcW w:w="4820" w:type="dxa"/>
            <w:vAlign w:val="center"/>
          </w:tcPr>
          <w:p w14:paraId="7CE89B61" w14:textId="0CF10C76" w:rsidR="008E4F70" w:rsidRPr="001F7E12" w:rsidRDefault="008E4F70" w:rsidP="008E4F70">
            <w:pPr>
              <w:pStyle w:val="TOC3"/>
              <w:jc w:val="left"/>
              <w:rPr>
                <w:rStyle w:val="Hyperlink"/>
                <w:rFonts w:ascii="Times New Roman" w:eastAsia="Times New Roman" w:hAnsi="Times New Roman" w:cs="Times New Roman"/>
                <w:i/>
                <w:noProof/>
                <w:color w:val="000000" w:themeColor="text1"/>
                <w:sz w:val="19"/>
                <w:szCs w:val="19"/>
                <w:u w:val="none"/>
              </w:rPr>
            </w:pPr>
            <w:r>
              <w:rPr>
                <w:rStyle w:val="Hyperlink"/>
                <w:rFonts w:ascii="Times New Roman" w:eastAsia="Times New Roman" w:hAnsi="Times New Roman" w:cs="Times New Roman"/>
                <w:i/>
                <w:noProof/>
                <w:color w:val="000000" w:themeColor="text1"/>
                <w:sz w:val="19"/>
                <w:szCs w:val="19"/>
                <w:u w:val="none"/>
              </w:rPr>
              <w:t>Opportunité</w:t>
            </w:r>
          </w:p>
          <w:p w14:paraId="23032BE9" w14:textId="17450239" w:rsidR="008E4F70" w:rsidRPr="00334838" w:rsidRDefault="008E4F70"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sidRPr="00334838">
              <w:rPr>
                <w:rStyle w:val="Hyperlink"/>
                <w:rFonts w:ascii="Times New Roman" w:eastAsia="Times New Roman" w:hAnsi="Times New Roman" w:cs="Times New Roman"/>
                <w:noProof/>
                <w:color w:val="000000" w:themeColor="text1"/>
                <w:sz w:val="19"/>
                <w:szCs w:val="19"/>
                <w:u w:val="none"/>
                <w:lang w:eastAsia="fr-FR"/>
              </w:rPr>
              <w:t>Opportunité de réactiver l’initiative engagée en 2008</w:t>
            </w:r>
          </w:p>
        </w:tc>
        <w:tc>
          <w:tcPr>
            <w:tcW w:w="1417" w:type="dxa"/>
            <w:vAlign w:val="center"/>
          </w:tcPr>
          <w:p w14:paraId="477EB6ED" w14:textId="3EF95BB3" w:rsidR="008E4F70" w:rsidRPr="00334838" w:rsidRDefault="008E4F70" w:rsidP="00F65363">
            <w:pPr>
              <w:ind w:left="34" w:right="34"/>
              <w:jc w:val="left"/>
              <w:rPr>
                <w:rStyle w:val="Hyperlink"/>
                <w:rFonts w:ascii="Times New Roman" w:eastAsia="Times New Roman" w:hAnsi="Times New Roman" w:cs="Times New Roman"/>
                <w:noProof/>
                <w:color w:val="000000" w:themeColor="text1"/>
                <w:sz w:val="19"/>
                <w:szCs w:val="19"/>
                <w:u w:val="none"/>
                <w:lang w:eastAsia="fr-FR"/>
              </w:rPr>
            </w:pPr>
            <w:r>
              <w:rPr>
                <w:rStyle w:val="Hyperlink"/>
                <w:rFonts w:ascii="Times New Roman" w:eastAsia="Times New Roman" w:hAnsi="Times New Roman" w:cs="Times New Roman"/>
                <w:noProof/>
                <w:color w:val="000000" w:themeColor="text1"/>
                <w:sz w:val="19"/>
                <w:szCs w:val="19"/>
                <w:u w:val="none"/>
                <w:lang w:eastAsia="fr-FR"/>
              </w:rPr>
              <w:t>Moyen terme</w:t>
            </w:r>
          </w:p>
        </w:tc>
      </w:tr>
    </w:tbl>
    <w:p w14:paraId="3695B7F3" w14:textId="77777777" w:rsidR="00B560D1" w:rsidRPr="00B560D1" w:rsidRDefault="00B560D1" w:rsidP="00B560D1">
      <w:pPr>
        <w:sectPr w:rsidR="00B560D1" w:rsidRPr="00B560D1" w:rsidSect="00AD322F">
          <w:endnotePr>
            <w:numFmt w:val="decimal"/>
          </w:endnotePr>
          <w:pgSz w:w="11906" w:h="16838"/>
          <w:pgMar w:top="1418" w:right="1418" w:bottom="1418" w:left="1701" w:header="709" w:footer="709" w:gutter="0"/>
          <w:cols w:space="708"/>
          <w:docGrid w:linePitch="360"/>
        </w:sectPr>
      </w:pPr>
    </w:p>
    <w:p w14:paraId="1307814F" w14:textId="77777777" w:rsidR="000050E0" w:rsidRPr="00D14C96" w:rsidRDefault="000050E0" w:rsidP="000050E0">
      <w:pPr>
        <w:pStyle w:val="CommentText"/>
        <w:widowControl w:val="0"/>
        <w:spacing w:after="0"/>
        <w:rPr>
          <w:rFonts w:ascii="Times New Roman" w:hAnsi="Times New Roman" w:cs="Times New Roman"/>
          <w:i/>
          <w:sz w:val="24"/>
          <w:szCs w:val="24"/>
        </w:rPr>
      </w:pPr>
    </w:p>
    <w:p w14:paraId="21F87DE1" w14:textId="77777777" w:rsidR="000050E0" w:rsidRPr="00D14C96" w:rsidRDefault="000050E0" w:rsidP="000050E0">
      <w:pPr>
        <w:widowControl w:val="0"/>
        <w:tabs>
          <w:tab w:val="left" w:pos="2340"/>
        </w:tabs>
        <w:spacing w:after="0" w:line="240" w:lineRule="auto"/>
        <w:rPr>
          <w:rFonts w:ascii="Times New Roman" w:hAnsi="Times New Roman" w:cs="Times New Roman"/>
          <w:b/>
          <w:sz w:val="24"/>
          <w:szCs w:val="24"/>
        </w:rPr>
      </w:pPr>
    </w:p>
    <w:p w14:paraId="5501F3D5" w14:textId="77777777" w:rsidR="000050E0" w:rsidRPr="00D14C96" w:rsidRDefault="000050E0" w:rsidP="000050E0">
      <w:pPr>
        <w:widowControl w:val="0"/>
        <w:tabs>
          <w:tab w:val="left" w:pos="2340"/>
        </w:tabs>
        <w:spacing w:after="0" w:line="240" w:lineRule="auto"/>
        <w:rPr>
          <w:rFonts w:ascii="Times New Roman" w:hAnsi="Times New Roman" w:cs="Times New Roman"/>
          <w:b/>
          <w:sz w:val="24"/>
          <w:szCs w:val="24"/>
        </w:rPr>
      </w:pPr>
    </w:p>
    <w:p w14:paraId="46F41D14" w14:textId="77777777" w:rsidR="000050E0" w:rsidRPr="00D14C96" w:rsidRDefault="000050E0" w:rsidP="000050E0">
      <w:pPr>
        <w:widowControl w:val="0"/>
        <w:tabs>
          <w:tab w:val="left" w:pos="2340"/>
        </w:tabs>
        <w:spacing w:after="0" w:line="240" w:lineRule="auto"/>
        <w:rPr>
          <w:rFonts w:ascii="Times New Roman" w:hAnsi="Times New Roman" w:cs="Times New Roman"/>
          <w:b/>
          <w:sz w:val="24"/>
          <w:szCs w:val="24"/>
        </w:rPr>
      </w:pPr>
    </w:p>
    <w:p w14:paraId="1E0C54EB" w14:textId="77777777" w:rsidR="000050E0" w:rsidRPr="00D14C96" w:rsidRDefault="000050E0" w:rsidP="000050E0">
      <w:pPr>
        <w:widowControl w:val="0"/>
        <w:tabs>
          <w:tab w:val="left" w:pos="2340"/>
        </w:tabs>
        <w:spacing w:after="0" w:line="240" w:lineRule="auto"/>
        <w:rPr>
          <w:rFonts w:ascii="Times New Roman" w:hAnsi="Times New Roman" w:cs="Times New Roman"/>
          <w:b/>
          <w:sz w:val="24"/>
          <w:szCs w:val="24"/>
        </w:rPr>
      </w:pPr>
    </w:p>
    <w:p w14:paraId="5A228E3E" w14:textId="77777777" w:rsidR="000050E0" w:rsidRPr="00D14C96" w:rsidRDefault="000050E0" w:rsidP="00EA56F8">
      <w:pPr>
        <w:widowControl w:val="0"/>
        <w:tabs>
          <w:tab w:val="left" w:pos="2340"/>
        </w:tabs>
        <w:spacing w:after="120" w:line="240" w:lineRule="auto"/>
        <w:rPr>
          <w:rFonts w:ascii="Times New Roman" w:hAnsi="Times New Roman" w:cs="Times New Roman"/>
          <w:b/>
        </w:rPr>
      </w:pPr>
      <w:r w:rsidRPr="00D14C96">
        <w:rPr>
          <w:rFonts w:ascii="Times New Roman" w:hAnsi="Times New Roman" w:cs="Times New Roman"/>
          <w:b/>
        </w:rPr>
        <w:t>Bibliographie</w:t>
      </w:r>
    </w:p>
    <w:p w14:paraId="7AB7B650" w14:textId="77777777" w:rsidR="000050E0" w:rsidRPr="00D14C96" w:rsidRDefault="000050E0" w:rsidP="00EA56F8">
      <w:pPr>
        <w:widowControl w:val="0"/>
        <w:tabs>
          <w:tab w:val="left" w:pos="2340"/>
        </w:tabs>
        <w:spacing w:after="120" w:line="240" w:lineRule="auto"/>
        <w:ind w:right="338"/>
        <w:rPr>
          <w:rFonts w:ascii="Times New Roman" w:hAnsi="Times New Roman" w:cs="Times New Roman"/>
        </w:rPr>
      </w:pPr>
      <w:r w:rsidRPr="00D14C96">
        <w:rPr>
          <w:rFonts w:ascii="Times New Roman" w:hAnsi="Times New Roman" w:cs="Times New Roman"/>
        </w:rPr>
        <w:t>Etude d’évaluation du Schéma National d’Aménagement du Territoire (SNAT). Résultats de l’évaluation et recommandations. Direction de l’aménagement du territoire</w:t>
      </w:r>
    </w:p>
    <w:p w14:paraId="74DA1A70" w14:textId="77777777" w:rsidR="000050E0" w:rsidRPr="00D14C96" w:rsidRDefault="000050E0" w:rsidP="00EA56F8">
      <w:pPr>
        <w:widowControl w:val="0"/>
        <w:tabs>
          <w:tab w:val="left" w:pos="2340"/>
        </w:tabs>
        <w:spacing w:after="120" w:line="240" w:lineRule="auto"/>
        <w:ind w:right="338"/>
        <w:rPr>
          <w:rFonts w:ascii="Times New Roman" w:hAnsi="Times New Roman" w:cs="Times New Roman"/>
        </w:rPr>
      </w:pPr>
      <w:r w:rsidRPr="00D14C96">
        <w:rPr>
          <w:rFonts w:ascii="Times New Roman" w:hAnsi="Times New Roman" w:cs="Times New Roman"/>
        </w:rPr>
        <w:t xml:space="preserve">Etude sur le Système de planification urbaine. Analyse diagnostic. Direction de l’Urbanisme. 2017. </w:t>
      </w:r>
    </w:p>
    <w:p w14:paraId="6E3532CC" w14:textId="77777777" w:rsidR="000050E0" w:rsidRPr="00D14C96" w:rsidRDefault="000050E0" w:rsidP="00EA56F8">
      <w:pPr>
        <w:widowControl w:val="0"/>
        <w:tabs>
          <w:tab w:val="left" w:pos="2340"/>
        </w:tabs>
        <w:spacing w:after="120" w:line="240" w:lineRule="auto"/>
        <w:ind w:right="338"/>
        <w:rPr>
          <w:rFonts w:ascii="Times New Roman" w:hAnsi="Times New Roman" w:cs="Times New Roman"/>
        </w:rPr>
      </w:pPr>
      <w:r w:rsidRPr="00D14C96">
        <w:rPr>
          <w:rFonts w:ascii="Times New Roman" w:hAnsi="Times New Roman" w:cs="Times New Roman"/>
        </w:rPr>
        <w:t xml:space="preserve">Tirer avantage de l’urbanisation pour promouvoir un nouveau modèle de croissance et réduire les disparités territoriales. Note de politique - Développement urbain &amp; régional. Banque Mondiale. Mai 2017. </w:t>
      </w:r>
    </w:p>
    <w:p w14:paraId="09EA9C8C" w14:textId="77777777" w:rsidR="000050E0" w:rsidRPr="00D14C96" w:rsidRDefault="000050E0" w:rsidP="00EA56F8">
      <w:pPr>
        <w:widowControl w:val="0"/>
        <w:autoSpaceDE w:val="0"/>
        <w:autoSpaceDN w:val="0"/>
        <w:adjustRightInd w:val="0"/>
        <w:spacing w:after="120" w:line="240" w:lineRule="auto"/>
        <w:ind w:right="338"/>
        <w:jc w:val="both"/>
        <w:rPr>
          <w:rFonts w:ascii="Times New Roman" w:hAnsi="Times New Roman" w:cs="Times New Roman"/>
        </w:rPr>
      </w:pPr>
      <w:r w:rsidRPr="00D14C96">
        <w:rPr>
          <w:rFonts w:ascii="Times New Roman" w:hAnsi="Times New Roman" w:cs="Times New Roman"/>
        </w:rPr>
        <w:t xml:space="preserve">Revue de l’urbanisation. Banque Mondiale. A. Lehzam. Février 2017. </w:t>
      </w:r>
    </w:p>
    <w:p w14:paraId="088451A6" w14:textId="77777777" w:rsidR="000050E0" w:rsidRPr="00D14C96" w:rsidRDefault="000050E0" w:rsidP="00EA56F8">
      <w:pPr>
        <w:widowControl w:val="0"/>
        <w:autoSpaceDE w:val="0"/>
        <w:autoSpaceDN w:val="0"/>
        <w:adjustRightInd w:val="0"/>
        <w:spacing w:after="120" w:line="240" w:lineRule="auto"/>
        <w:ind w:right="338"/>
        <w:jc w:val="both"/>
        <w:rPr>
          <w:rFonts w:ascii="Times New Roman" w:hAnsi="Times New Roman" w:cs="Times New Roman"/>
        </w:rPr>
      </w:pPr>
      <w:r w:rsidRPr="00D14C96">
        <w:rPr>
          <w:rFonts w:ascii="Times New Roman" w:hAnsi="Times New Roman" w:cs="Times New Roman"/>
        </w:rPr>
        <w:t>Stratégie Nationale de Développement urbain. Ministère de l’Intérieur, Ministère de l’Habitat, de l’Urbanisme et de l’Aménagement de l’Espace. 2007.</w:t>
      </w:r>
    </w:p>
    <w:p w14:paraId="573CF5EA" w14:textId="77777777" w:rsidR="000050E0" w:rsidRPr="00D14C96" w:rsidRDefault="000050E0" w:rsidP="00EA56F8">
      <w:pPr>
        <w:widowControl w:val="0"/>
        <w:autoSpaceDE w:val="0"/>
        <w:autoSpaceDN w:val="0"/>
        <w:adjustRightInd w:val="0"/>
        <w:spacing w:after="120" w:line="240" w:lineRule="auto"/>
        <w:ind w:right="338"/>
        <w:jc w:val="both"/>
        <w:rPr>
          <w:rFonts w:ascii="Times New Roman" w:hAnsi="Times New Roman" w:cs="Times New Roman"/>
        </w:rPr>
      </w:pPr>
      <w:r w:rsidRPr="00D14C96">
        <w:rPr>
          <w:rFonts w:ascii="Times New Roman" w:hAnsi="Times New Roman" w:cs="Times New Roman"/>
        </w:rPr>
        <w:t>Un urbanisme d’État en quête de terrains publics. Revue Foncière. Tarik Harroud. 2017.</w:t>
      </w:r>
    </w:p>
    <w:p w14:paraId="58B2FD14" w14:textId="77777777" w:rsidR="000050E0" w:rsidRPr="00D14C96" w:rsidRDefault="000050E0" w:rsidP="00EA56F8">
      <w:pPr>
        <w:widowControl w:val="0"/>
        <w:autoSpaceDE w:val="0"/>
        <w:autoSpaceDN w:val="0"/>
        <w:adjustRightInd w:val="0"/>
        <w:spacing w:after="120" w:line="240" w:lineRule="auto"/>
        <w:ind w:right="338"/>
        <w:jc w:val="both"/>
        <w:rPr>
          <w:rFonts w:ascii="Times New Roman" w:hAnsi="Times New Roman" w:cs="Times New Roman"/>
        </w:rPr>
      </w:pPr>
      <w:r w:rsidRPr="00D14C96">
        <w:rPr>
          <w:rFonts w:ascii="Times New Roman" w:hAnsi="Times New Roman" w:cs="Times New Roman"/>
        </w:rPr>
        <w:t>Élaboration d’une stratégie de gestion du domaine privé de l'Etat. Définition concertée d’une stratégie de gestion du patrimoine foncier de l’Etat mars. Direction des Domaines. 2002</w:t>
      </w:r>
    </w:p>
    <w:p w14:paraId="65A3D7C2" w14:textId="77777777" w:rsidR="000050E0" w:rsidRPr="00D14C96" w:rsidRDefault="000050E0" w:rsidP="00EA56F8">
      <w:pPr>
        <w:widowControl w:val="0"/>
        <w:autoSpaceDE w:val="0"/>
        <w:autoSpaceDN w:val="0"/>
        <w:adjustRightInd w:val="0"/>
        <w:spacing w:after="120" w:line="240" w:lineRule="auto"/>
        <w:ind w:right="338"/>
        <w:jc w:val="both"/>
        <w:rPr>
          <w:rFonts w:ascii="Times New Roman" w:hAnsi="Times New Roman" w:cs="Times New Roman"/>
        </w:rPr>
      </w:pPr>
      <w:r w:rsidRPr="00D14C96">
        <w:rPr>
          <w:rFonts w:ascii="Times New Roman" w:hAnsi="Times New Roman" w:cs="Times New Roman"/>
        </w:rPr>
        <w:t>Analyse comparative de structures d’aménagement en Europe (Allemagne, Angleterre, Espagne, Italie). Thierry Vilmin, Vincent Renard, CNRS. Octobre 2002.</w:t>
      </w:r>
    </w:p>
    <w:p w14:paraId="5999121B" w14:textId="77777777" w:rsidR="000050E0" w:rsidRPr="00D14C96" w:rsidRDefault="000050E0" w:rsidP="000050E0">
      <w:pPr>
        <w:widowControl w:val="0"/>
        <w:tabs>
          <w:tab w:val="left" w:pos="2340"/>
        </w:tabs>
        <w:spacing w:after="0" w:line="240" w:lineRule="auto"/>
        <w:rPr>
          <w:rFonts w:ascii="Times New Roman" w:hAnsi="Times New Roman" w:cs="Times New Roman"/>
        </w:rPr>
      </w:pPr>
    </w:p>
    <w:p w14:paraId="60586D79" w14:textId="77777777" w:rsidR="000050E0" w:rsidRPr="00D14C96" w:rsidRDefault="000050E0" w:rsidP="000050E0">
      <w:pPr>
        <w:widowControl w:val="0"/>
        <w:tabs>
          <w:tab w:val="left" w:pos="2340"/>
        </w:tabs>
        <w:spacing w:after="0" w:line="240" w:lineRule="auto"/>
        <w:rPr>
          <w:rFonts w:ascii="Times New Roman" w:hAnsi="Times New Roman" w:cs="Times New Roman"/>
          <w:sz w:val="24"/>
          <w:szCs w:val="24"/>
        </w:rPr>
      </w:pPr>
    </w:p>
    <w:p w14:paraId="3B6CA8BA" w14:textId="77777777" w:rsidR="0073754C" w:rsidRPr="00D14C96" w:rsidRDefault="0073754C">
      <w:pPr>
        <w:rPr>
          <w:rFonts w:ascii="Times New Roman" w:hAnsi="Times New Roman" w:cs="Times New Roman"/>
        </w:rPr>
      </w:pPr>
    </w:p>
    <w:sectPr w:rsidR="0073754C" w:rsidRPr="00D14C96" w:rsidSect="000050E0">
      <w:pgSz w:w="11906" w:h="16838"/>
      <w:pgMar w:top="1418" w:right="1418" w:bottom="1418" w:left="192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4DA35" w14:textId="77777777" w:rsidR="005D4AC5" w:rsidRDefault="005D4AC5" w:rsidP="000050E0">
      <w:pPr>
        <w:spacing w:after="0" w:line="240" w:lineRule="auto"/>
      </w:pPr>
      <w:r>
        <w:separator/>
      </w:r>
    </w:p>
  </w:endnote>
  <w:endnote w:type="continuationSeparator" w:id="0">
    <w:p w14:paraId="22B9707A" w14:textId="77777777" w:rsidR="005D4AC5" w:rsidRDefault="005D4AC5" w:rsidP="00005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8318989"/>
      <w:docPartObj>
        <w:docPartGallery w:val="Page Numbers (Bottom of Page)"/>
        <w:docPartUnique/>
      </w:docPartObj>
    </w:sdtPr>
    <w:sdtEndPr/>
    <w:sdtContent>
      <w:p w14:paraId="49C75985" w14:textId="58C018E1" w:rsidR="007E4D90" w:rsidRDefault="007E4D90">
        <w:pPr>
          <w:pStyle w:val="Footer"/>
          <w:jc w:val="right"/>
        </w:pPr>
        <w:r>
          <w:fldChar w:fldCharType="begin"/>
        </w:r>
        <w:r>
          <w:instrText>PAGE   \* MERGEFORMAT</w:instrText>
        </w:r>
        <w:r>
          <w:fldChar w:fldCharType="separate"/>
        </w:r>
        <w:r w:rsidR="009C53D1">
          <w:rPr>
            <w:noProof/>
          </w:rPr>
          <w:t>30</w:t>
        </w:r>
        <w:r>
          <w:fldChar w:fldCharType="end"/>
        </w:r>
      </w:p>
    </w:sdtContent>
  </w:sdt>
  <w:p w14:paraId="7FC22578" w14:textId="77777777" w:rsidR="007E4D90" w:rsidRDefault="007E4D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B4889" w14:textId="77777777" w:rsidR="005D4AC5" w:rsidRDefault="005D4AC5" w:rsidP="000050E0">
      <w:pPr>
        <w:spacing w:after="0" w:line="240" w:lineRule="auto"/>
      </w:pPr>
      <w:r>
        <w:separator/>
      </w:r>
    </w:p>
  </w:footnote>
  <w:footnote w:type="continuationSeparator" w:id="0">
    <w:p w14:paraId="2536C278" w14:textId="77777777" w:rsidR="005D4AC5" w:rsidRDefault="005D4AC5" w:rsidP="000050E0">
      <w:pPr>
        <w:spacing w:after="0" w:line="240" w:lineRule="auto"/>
      </w:pPr>
      <w:r>
        <w:continuationSeparator/>
      </w:r>
    </w:p>
  </w:footnote>
  <w:footnote w:id="1">
    <w:p w14:paraId="51D0B3C2" w14:textId="77777777" w:rsidR="007E4D90" w:rsidRPr="00AA5E11" w:rsidRDefault="007E4D90" w:rsidP="000050E0">
      <w:pPr>
        <w:pStyle w:val="NormalWeb"/>
        <w:widowControl w:val="0"/>
        <w:spacing w:before="0" w:beforeAutospacing="0" w:after="0" w:afterAutospacing="0"/>
        <w:jc w:val="both"/>
        <w:rPr>
          <w:sz w:val="20"/>
          <w:szCs w:val="20"/>
        </w:rPr>
      </w:pPr>
      <w:r w:rsidRPr="00AA5E11">
        <w:rPr>
          <w:rStyle w:val="FootnoteReference"/>
          <w:sz w:val="20"/>
          <w:szCs w:val="20"/>
        </w:rPr>
        <w:footnoteRef/>
      </w:r>
      <w:r w:rsidRPr="00AA5E11">
        <w:rPr>
          <w:sz w:val="20"/>
          <w:szCs w:val="20"/>
        </w:rPr>
        <w:t xml:space="preserve"> </w:t>
      </w:r>
      <w:r w:rsidRPr="00AA5E11">
        <w:rPr>
          <w:rFonts w:eastAsiaTheme="minorHAnsi"/>
          <w:sz w:val="20"/>
          <w:szCs w:val="20"/>
          <w:lang w:eastAsia="en-US"/>
        </w:rPr>
        <w:t>HCP- Projections de la population et des ménages (2014-2050), mai 2017.</w:t>
      </w:r>
    </w:p>
  </w:footnote>
  <w:footnote w:id="2">
    <w:p w14:paraId="124DA5DB" w14:textId="793559ED" w:rsidR="007E4D90" w:rsidRPr="009B72D2" w:rsidRDefault="007E4D90" w:rsidP="001E0FA9">
      <w:pPr>
        <w:pStyle w:val="FootnoteText"/>
        <w:ind w:left="0"/>
        <w:rPr>
          <w:rFonts w:ascii="Times New Roman" w:hAnsi="Times New Roman"/>
          <w:sz w:val="20"/>
        </w:rPr>
      </w:pPr>
      <w:r w:rsidRPr="009B72D2">
        <w:rPr>
          <w:rStyle w:val="FootnoteReference"/>
          <w:rFonts w:ascii="Times New Roman" w:hAnsi="Times New Roman"/>
          <w:sz w:val="20"/>
        </w:rPr>
        <w:footnoteRef/>
      </w:r>
      <w:r w:rsidRPr="009B72D2">
        <w:rPr>
          <w:rFonts w:ascii="Times New Roman" w:hAnsi="Times New Roman"/>
          <w:sz w:val="20"/>
        </w:rPr>
        <w:t xml:space="preserve"> Selon les prévisions du HCP, cette population va passer de 62,4% par rapport à la population totale, en 2014 à 63,8% en 2030 (voir HCP, Rapport National sur les Objectifs du Millénaires pour le Développement 2015, août 2015, page 18).</w:t>
      </w:r>
    </w:p>
  </w:footnote>
  <w:footnote w:id="3">
    <w:p w14:paraId="47E089AA" w14:textId="77777777" w:rsidR="007E4D90" w:rsidRPr="00AA5E11" w:rsidRDefault="007E4D90" w:rsidP="001E0FA9">
      <w:pPr>
        <w:widowControl w:val="0"/>
        <w:autoSpaceDE w:val="0"/>
        <w:autoSpaceDN w:val="0"/>
        <w:adjustRightInd w:val="0"/>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w:t>
      </w:r>
      <w:r w:rsidRPr="008D760A">
        <w:rPr>
          <w:rFonts w:ascii="Times New Roman" w:hAnsi="Times New Roman" w:cs="Times New Roman"/>
          <w:snapToGrid w:val="0"/>
          <w:color w:val="000000"/>
          <w:sz w:val="20"/>
          <w:szCs w:val="20"/>
          <w:lang w:eastAsia="fr-FR"/>
        </w:rPr>
        <w:t>2010-2016 pour l’accroissement spatial, 2004-2014 pour l’accroissement démographique.</w:t>
      </w:r>
      <w:r w:rsidRPr="00AA5E11">
        <w:rPr>
          <w:rFonts w:ascii="Times New Roman" w:hAnsi="Times New Roman" w:cs="Times New Roman"/>
          <w:snapToGrid w:val="0"/>
          <w:color w:val="000000"/>
          <w:sz w:val="20"/>
          <w:szCs w:val="20"/>
          <w:lang w:eastAsia="fr-FR"/>
        </w:rPr>
        <w:t xml:space="preserve"> </w:t>
      </w:r>
    </w:p>
  </w:footnote>
  <w:footnote w:id="4">
    <w:p w14:paraId="0E407B5E" w14:textId="0C7DBFDF" w:rsidR="007E4D90" w:rsidRPr="009B72D2" w:rsidRDefault="007E4D90" w:rsidP="009B72D2">
      <w:pPr>
        <w:keepNext/>
        <w:spacing w:after="0" w:line="240" w:lineRule="auto"/>
        <w:jc w:val="both"/>
        <w:rPr>
          <w:rFonts w:ascii="Times New Roman" w:hAnsi="Times New Roman"/>
          <w:sz w:val="20"/>
        </w:rPr>
      </w:pPr>
      <w:r w:rsidRPr="009B72D2">
        <w:rPr>
          <w:rStyle w:val="FootnoteReference"/>
          <w:rFonts w:ascii="Times New Roman" w:hAnsi="Times New Roman" w:cs="Times New Roman"/>
          <w:sz w:val="20"/>
          <w:szCs w:val="20"/>
        </w:rPr>
        <w:footnoteRef/>
      </w:r>
      <w:r w:rsidRPr="009B72D2">
        <w:rPr>
          <w:rFonts w:ascii="Times New Roman" w:hAnsi="Times New Roman" w:cs="Times New Roman"/>
          <w:sz w:val="20"/>
          <w:szCs w:val="20"/>
        </w:rPr>
        <w:t xml:space="preserve"> </w:t>
      </w:r>
      <w:r w:rsidRPr="009B72D2">
        <w:rPr>
          <w:rFonts w:ascii="Times New Roman" w:eastAsia="Times New Roman" w:hAnsi="Times New Roman" w:cs="Times New Roman"/>
          <w:color w:val="000000"/>
          <w:sz w:val="20"/>
          <w:szCs w:val="20"/>
          <w:lang w:eastAsia="fr-FR"/>
        </w:rPr>
        <w:t>Sources : e-GEOPOLIS, RGPH, estimations CREADH (Etude sur le système de planification urbaine au Maroc. Analyse diagnostic. Direction de l’Urbanisme).</w:t>
      </w:r>
    </w:p>
  </w:footnote>
  <w:footnote w:id="5">
    <w:p w14:paraId="0C0E2710" w14:textId="77777777" w:rsidR="007E4D90" w:rsidRPr="00AA5E11" w:rsidRDefault="007E4D90" w:rsidP="001E0FA9">
      <w:pPr>
        <w:widowControl w:val="0"/>
        <w:autoSpaceDE w:val="0"/>
        <w:autoSpaceDN w:val="0"/>
        <w:adjustRightInd w:val="0"/>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Rachid Afirat. 2014. Planification urbaine et défis de la croissance des villes.</w:t>
      </w:r>
    </w:p>
  </w:footnote>
  <w:footnote w:id="6">
    <w:p w14:paraId="15FD3E4C" w14:textId="77777777" w:rsidR="007E4D90" w:rsidRPr="00AA5E11" w:rsidRDefault="007E4D90" w:rsidP="001E0FA9">
      <w:pPr>
        <w:pStyle w:val="FootnoteText"/>
        <w:ind w:left="0"/>
        <w:rPr>
          <w:rFonts w:ascii="Times New Roman" w:hAnsi="Times New Roman"/>
        </w:rPr>
      </w:pPr>
      <w:r w:rsidRPr="00AA5E11">
        <w:rPr>
          <w:rStyle w:val="FootnoteReference"/>
          <w:rFonts w:ascii="Times New Roman" w:hAnsi="Times New Roman"/>
        </w:rPr>
        <w:footnoteRef/>
      </w:r>
      <w:r w:rsidRPr="00AA5E11">
        <w:rPr>
          <w:rFonts w:ascii="Times New Roman" w:hAnsi="Times New Roman"/>
        </w:rPr>
        <w:t xml:space="preserve"> Tirer avantage de l’urbanisation pour promouvoir un nouveau modèle de croissance et réduire les disparités territoriales. Note de politique - Développement urbain &amp; régional. Mai 2017. Banque Mondiale.</w:t>
      </w:r>
    </w:p>
  </w:footnote>
  <w:footnote w:id="7">
    <w:p w14:paraId="2F4BA6E7" w14:textId="77777777" w:rsidR="007E4D90" w:rsidRPr="00AA5E11" w:rsidRDefault="007E4D90" w:rsidP="001E0FA9">
      <w:pPr>
        <w:pStyle w:val="FootnoteText"/>
        <w:ind w:left="0"/>
        <w:rPr>
          <w:rFonts w:ascii="Times New Roman" w:hAnsi="Times New Roman"/>
        </w:rPr>
      </w:pPr>
      <w:r w:rsidRPr="00AA5E11">
        <w:rPr>
          <w:rStyle w:val="FootnoteReference"/>
          <w:rFonts w:ascii="Times New Roman" w:hAnsi="Times New Roman"/>
        </w:rPr>
        <w:footnoteRef/>
      </w:r>
      <w:r w:rsidRPr="00AA5E11">
        <w:rPr>
          <w:rFonts w:ascii="Times New Roman" w:hAnsi="Times New Roman"/>
        </w:rPr>
        <w:t xml:space="preserve"> Direction de l’Aménagement du Territoire. Juillet 2017. Étude relative à l’élaboration de la stratégie nationale de gestion du foncier. Vision prospective et stratégie nationale de gestion du foncier.</w:t>
      </w:r>
    </w:p>
  </w:footnote>
  <w:footnote w:id="8">
    <w:p w14:paraId="044EB5BA" w14:textId="77777777" w:rsidR="007E4D90" w:rsidRPr="00AA5E11" w:rsidRDefault="007E4D90" w:rsidP="001E0FA9">
      <w:pPr>
        <w:pStyle w:val="FootnoteText"/>
        <w:ind w:left="0"/>
        <w:rPr>
          <w:rFonts w:ascii="Times New Roman" w:hAnsi="Times New Roman"/>
        </w:rPr>
      </w:pPr>
      <w:r w:rsidRPr="00AA5E11">
        <w:rPr>
          <w:rStyle w:val="FootnoteReference"/>
          <w:rFonts w:ascii="Times New Roman" w:hAnsi="Times New Roman"/>
        </w:rPr>
        <w:footnoteRef/>
      </w:r>
      <w:r w:rsidRPr="00AA5E11">
        <w:rPr>
          <w:rFonts w:ascii="Times New Roman" w:hAnsi="Times New Roman"/>
        </w:rPr>
        <w:t xml:space="preserve"> Direction de l’Urbanisme. 2017. Etude sur le Système de planification urbaine. Analyse diagnostic.</w:t>
      </w:r>
    </w:p>
  </w:footnote>
  <w:footnote w:id="9">
    <w:p w14:paraId="2ED55E8F" w14:textId="28EB0809" w:rsidR="007E4D90" w:rsidRDefault="007E4D90" w:rsidP="00884564">
      <w:pPr>
        <w:pStyle w:val="FootnoteText"/>
        <w:ind w:left="0"/>
      </w:pPr>
      <w:r>
        <w:rPr>
          <w:rStyle w:val="FootnoteReference"/>
        </w:rPr>
        <w:footnoteRef/>
      </w:r>
      <w:r>
        <w:t xml:space="preserve"> </w:t>
      </w:r>
      <w:r w:rsidRPr="00042428">
        <w:rPr>
          <w:rFonts w:ascii="Times New Roman" w:hAnsi="Times New Roman"/>
        </w:rPr>
        <w:t>L’aménagement urbain renvoie à l’ensemble des pratiques, outils, institutions et modes de financement destinés à mettre en œuvre de manière cohérente les dispositions prévues dans les plans d’urbanisme.</w:t>
      </w:r>
    </w:p>
  </w:footnote>
  <w:footnote w:id="10">
    <w:p w14:paraId="449BDF0D" w14:textId="7BEE0743" w:rsidR="007E4D90" w:rsidRPr="004B37B7" w:rsidRDefault="007E4D90" w:rsidP="004B37B7">
      <w:pPr>
        <w:pStyle w:val="FootnoteText"/>
        <w:ind w:left="0"/>
        <w:rPr>
          <w:rFonts w:ascii="Times New Roman" w:hAnsi="Times New Roman"/>
        </w:rPr>
      </w:pPr>
      <w:r w:rsidRPr="004B37B7">
        <w:rPr>
          <w:rStyle w:val="FootnoteReference"/>
          <w:rFonts w:ascii="Times New Roman" w:hAnsi="Times New Roman"/>
        </w:rPr>
        <w:footnoteRef/>
      </w:r>
      <w:r w:rsidRPr="004B37B7">
        <w:rPr>
          <w:rFonts w:ascii="Times New Roman" w:hAnsi="Times New Roman"/>
        </w:rPr>
        <w:t xml:space="preserve"> MUAT, Système de planification urbaine au Maroc. Analyse diagnostic</w:t>
      </w:r>
    </w:p>
  </w:footnote>
  <w:footnote w:id="11">
    <w:p w14:paraId="5A9E50D3" w14:textId="77777777" w:rsidR="007E4D90" w:rsidRPr="00AA5E11" w:rsidRDefault="007E4D90" w:rsidP="001E0FA9">
      <w:pPr>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Le seul outil d’urbanisme opérationnel concerne les associations syndicales de propriétaires urbains via la procédure de remembrement urbain pour la réalisation de lotissements et de leurs équipements publics (voiries et réseaux divers) régie par le dahir de 1917</w:t>
      </w:r>
    </w:p>
  </w:footnote>
  <w:footnote w:id="12">
    <w:p w14:paraId="068F8799" w14:textId="77777777" w:rsidR="007E4D90" w:rsidRPr="00AA5E11" w:rsidRDefault="007E4D90" w:rsidP="001E0FA9">
      <w:pPr>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Tarik Harroud. Un urbanisme d’État en quête de terrains publics. Revue Foncière. 2017. </w:t>
      </w:r>
    </w:p>
  </w:footnote>
  <w:footnote w:id="13">
    <w:p w14:paraId="4B519CFF" w14:textId="77777777" w:rsidR="007E4D90" w:rsidRPr="00AA5E11" w:rsidRDefault="007E4D90" w:rsidP="005A1A0D">
      <w:pPr>
        <w:autoSpaceDE w:val="0"/>
        <w:autoSpaceDN w:val="0"/>
        <w:adjustRightInd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hAnsi="Times New Roman" w:cs="Times New Roman"/>
          <w:color w:val="000000"/>
          <w:sz w:val="20"/>
          <w:szCs w:val="20"/>
        </w:rPr>
        <w:t>Lyonnaise des Eaux de Casablanca (LYDEC), 2013, « Evaluation du coût complet de mise en œuvre des Schémas Directeurs : Mise au jour des surcoûts liés à l’équipement en eau potable et assainissement des zones d’extension du Grand Casablanca ».</w:t>
      </w:r>
    </w:p>
  </w:footnote>
  <w:footnote w:id="14">
    <w:p w14:paraId="75C254DD" w14:textId="301D0FC0" w:rsidR="007E4D90" w:rsidRPr="008D760A" w:rsidRDefault="007E4D90" w:rsidP="00042428">
      <w:pPr>
        <w:widowControl w:val="0"/>
        <w:tabs>
          <w:tab w:val="left" w:pos="2340"/>
        </w:tabs>
        <w:spacing w:after="0" w:line="240" w:lineRule="auto"/>
        <w:ind w:right="-2"/>
        <w:jc w:val="both"/>
        <w:rPr>
          <w:rFonts w:ascii="Times New Roman" w:hAnsi="Times New Roman" w:cs="Times New Roman"/>
          <w:sz w:val="20"/>
          <w:szCs w:val="20"/>
        </w:rPr>
      </w:pPr>
      <w:r w:rsidRPr="008D760A">
        <w:rPr>
          <w:rStyle w:val="FootnoteReference"/>
          <w:rFonts w:ascii="Times New Roman" w:eastAsia="Times New Roman" w:hAnsi="Times New Roman" w:cs="Times New Roman"/>
          <w:snapToGrid w:val="0"/>
          <w:sz w:val="20"/>
          <w:szCs w:val="20"/>
          <w:lang w:eastAsia="fr-FR"/>
        </w:rPr>
        <w:footnoteRef/>
      </w:r>
      <w:r w:rsidRPr="008D760A">
        <w:rPr>
          <w:rFonts w:ascii="Times New Roman" w:hAnsi="Times New Roman" w:cs="Times New Roman"/>
          <w:sz w:val="20"/>
          <w:szCs w:val="20"/>
        </w:rPr>
        <w:t xml:space="preserve"> Tirer avantage de l’urbanisation pour promouvoir un nouveau modèle de croissance et réduire les disparités territoriales. Note de politique - Développement urbain &amp; régional. Banque Mondiale. Mai 2017. </w:t>
      </w:r>
    </w:p>
  </w:footnote>
  <w:footnote w:id="15">
    <w:p w14:paraId="00611729" w14:textId="5F70F160" w:rsidR="007E4D90" w:rsidRPr="008D760A" w:rsidRDefault="007E4D90" w:rsidP="00042428">
      <w:pPr>
        <w:widowControl w:val="0"/>
        <w:tabs>
          <w:tab w:val="left" w:pos="2340"/>
        </w:tabs>
        <w:spacing w:after="0" w:line="240" w:lineRule="auto"/>
        <w:ind w:right="-2"/>
        <w:jc w:val="both"/>
        <w:rPr>
          <w:rStyle w:val="FootnoteReference"/>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Id. </w:t>
      </w:r>
      <w:r w:rsidRPr="008D760A">
        <w:rPr>
          <w:rStyle w:val="FootnoteReference"/>
          <w:rFonts w:ascii="Times New Roman" w:hAnsi="Times New Roman" w:cs="Times New Roman"/>
          <w:sz w:val="20"/>
          <w:szCs w:val="20"/>
        </w:rPr>
        <w:t>.</w:t>
      </w:r>
    </w:p>
  </w:footnote>
  <w:footnote w:id="16">
    <w:p w14:paraId="7255FD59" w14:textId="144529C0" w:rsidR="007E4D90" w:rsidRPr="00042428" w:rsidRDefault="007E4D90" w:rsidP="00042428">
      <w:pPr>
        <w:pStyle w:val="FootnoteText"/>
        <w:ind w:left="0" w:right="-2"/>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Notamment à travers la </w:t>
      </w:r>
      <w:r>
        <w:rPr>
          <w:rFonts w:ascii="Times New Roman" w:hAnsi="Times New Roman"/>
          <w:sz w:val="20"/>
        </w:rPr>
        <w:t xml:space="preserve">mise </w:t>
      </w:r>
      <w:r w:rsidRPr="00042428">
        <w:rPr>
          <w:rFonts w:ascii="Times New Roman" w:hAnsi="Times New Roman"/>
          <w:sz w:val="20"/>
        </w:rPr>
        <w:t>en place des guichets uniques dématérialisés pour l’instruction des permis de lotir et de construire et de l’E-instruction, qui permettent de réduire les délais, d’améliorer la transparence de l’instruction et</w:t>
      </w:r>
      <w:r>
        <w:rPr>
          <w:rFonts w:ascii="Times New Roman" w:hAnsi="Times New Roman"/>
          <w:sz w:val="20"/>
        </w:rPr>
        <w:t xml:space="preserve"> de</w:t>
      </w:r>
      <w:r w:rsidRPr="00042428">
        <w:rPr>
          <w:rFonts w:ascii="Times New Roman" w:hAnsi="Times New Roman"/>
          <w:sz w:val="20"/>
        </w:rPr>
        <w:t xml:space="preserve"> mettre l’urbanisme plus à la portée des citoyens</w:t>
      </w:r>
      <w:r w:rsidRPr="008D760A">
        <w:rPr>
          <w:rFonts w:ascii="Times New Roman" w:hAnsi="Times New Roman"/>
          <w:sz w:val="20"/>
        </w:rPr>
        <w:t xml:space="preserve">. </w:t>
      </w:r>
    </w:p>
  </w:footnote>
  <w:footnote w:id="17">
    <w:p w14:paraId="3752B6C7" w14:textId="2FB00A96" w:rsidR="007E4D90" w:rsidRPr="00042428" w:rsidRDefault="007E4D90" w:rsidP="008D760A">
      <w:pPr>
        <w:pStyle w:val="FootnoteText"/>
        <w:ind w:left="0"/>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w:t>
      </w:r>
      <w:r w:rsidRPr="00042428">
        <w:rPr>
          <w:rFonts w:ascii="Times New Roman" w:hAnsi="Times New Roman"/>
          <w:color w:val="000000" w:themeColor="text1"/>
          <w:sz w:val="20"/>
        </w:rPr>
        <w:t>Plan de développement du Grand Casablanca, Programme «</w:t>
      </w:r>
      <w:r>
        <w:t> </w:t>
      </w:r>
      <w:r w:rsidRPr="00042428">
        <w:rPr>
          <w:rFonts w:ascii="Times New Roman" w:hAnsi="Times New Roman"/>
          <w:color w:val="000000" w:themeColor="text1"/>
          <w:sz w:val="20"/>
        </w:rPr>
        <w:t>Rabat ville lumière</w:t>
      </w:r>
      <w:r>
        <w:rPr>
          <w:rFonts w:ascii="Times New Roman" w:hAnsi="Times New Roman"/>
          <w:color w:val="000000" w:themeColor="text1"/>
          <w:sz w:val="20"/>
        </w:rPr>
        <w:t> </w:t>
      </w:r>
      <w:r w:rsidRPr="00042428">
        <w:rPr>
          <w:rFonts w:ascii="Times New Roman" w:hAnsi="Times New Roman"/>
          <w:color w:val="000000" w:themeColor="text1"/>
          <w:sz w:val="20"/>
        </w:rPr>
        <w:t>», programme Tanger Métropole, etc.</w:t>
      </w:r>
    </w:p>
  </w:footnote>
  <w:footnote w:id="18">
    <w:p w14:paraId="7B3ABAB2" w14:textId="77777777" w:rsidR="007E4D90" w:rsidRPr="00042428" w:rsidRDefault="007E4D90" w:rsidP="008D760A">
      <w:pPr>
        <w:pStyle w:val="FootnoteText"/>
        <w:ind w:left="0"/>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Plan Emergence</w:t>
      </w:r>
      <w:r w:rsidRPr="00042428">
        <w:rPr>
          <w:rFonts w:ascii="Times New Roman" w:hAnsi="Times New Roman"/>
          <w:color w:val="000000" w:themeColor="text1"/>
          <w:sz w:val="20"/>
        </w:rPr>
        <w:t>, Plan d’accélération industrielle, plan directeur des ports, etc.</w:t>
      </w:r>
      <w:r w:rsidRPr="00042428">
        <w:rPr>
          <w:rFonts w:ascii="Times New Roman" w:hAnsi="Times New Roman"/>
          <w:sz w:val="20"/>
        </w:rPr>
        <w:t xml:space="preserve"> </w:t>
      </w:r>
    </w:p>
  </w:footnote>
  <w:footnote w:id="19">
    <w:p w14:paraId="03008313" w14:textId="473CE610" w:rsidR="007E4D90" w:rsidRPr="00042428" w:rsidRDefault="007E4D90" w:rsidP="008D760A">
      <w:pPr>
        <w:pStyle w:val="FootnoteText"/>
        <w:ind w:left="0"/>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Wali de la Région de Tanger Tétouan Al Hoceima</w:t>
      </w:r>
    </w:p>
  </w:footnote>
  <w:footnote w:id="20">
    <w:p w14:paraId="171926AB" w14:textId="77777777" w:rsidR="007E4D90" w:rsidRPr="00AA5E11" w:rsidRDefault="007E4D90" w:rsidP="00042428">
      <w:pPr>
        <w:tabs>
          <w:tab w:val="left" w:pos="0"/>
          <w:tab w:val="left" w:pos="142"/>
        </w:tabs>
        <w:spacing w:after="4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S</w:t>
      </w:r>
      <w:r w:rsidRPr="008D760A">
        <w:rPr>
          <w:rFonts w:ascii="Times New Roman" w:eastAsia="Times New Roman" w:hAnsi="Times New Roman" w:cs="Times New Roman"/>
          <w:snapToGrid w:val="0"/>
          <w:color w:val="000000" w:themeColor="text1"/>
          <w:sz w:val="20"/>
          <w:szCs w:val="20"/>
          <w:lang w:eastAsia="fr-FR"/>
        </w:rPr>
        <w:t xml:space="preserve">tratégie Nationale de Développement urbain. Ministère de l’Intérieur, Ministère de l’Habitat, de l’Urbanisme </w:t>
      </w:r>
      <w:r w:rsidRPr="008D760A">
        <w:rPr>
          <w:rFonts w:ascii="Times New Roman" w:eastAsia="Times New Roman" w:hAnsi="Times New Roman" w:cs="Times New Roman"/>
          <w:color w:val="000000" w:themeColor="text1"/>
          <w:sz w:val="20"/>
          <w:szCs w:val="20"/>
        </w:rPr>
        <w:t>et de l’Aménagement de l’Espace. 2007.</w:t>
      </w:r>
    </w:p>
  </w:footnote>
  <w:footnote w:id="21">
    <w:p w14:paraId="3AED2618" w14:textId="77777777" w:rsidR="007E4D90" w:rsidRPr="00AA5E11" w:rsidRDefault="007E4D90" w:rsidP="001E0FA9">
      <w:pPr>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hAnsi="Times New Roman" w:cs="Times New Roman"/>
          <w:color w:val="000000" w:themeColor="text1"/>
          <w:sz w:val="20"/>
          <w:szCs w:val="20"/>
        </w:rPr>
        <w:t>Message de SM le Roi Mohammed VI aux participants à la 2ème édition du forum ministériel arabe sur le logement et le développement urbain. Décembre 17</w:t>
      </w:r>
    </w:p>
  </w:footnote>
  <w:footnote w:id="22">
    <w:p w14:paraId="398F9622" w14:textId="5AB32959" w:rsidR="007E4D90" w:rsidRPr="00AA5E11" w:rsidRDefault="007E4D90" w:rsidP="001E0FA9">
      <w:pPr>
        <w:autoSpaceDE w:val="0"/>
        <w:autoSpaceDN w:val="0"/>
        <w:adjustRightInd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hAnsi="Times New Roman" w:cs="Times New Roman"/>
          <w:color w:val="000000" w:themeColor="text1"/>
          <w:sz w:val="20"/>
          <w:szCs w:val="20"/>
        </w:rPr>
        <w:t>Assises nationales sur le foncier, stratégie nationale foncière et plan d’action, Gouvernement du Maroc Millennium Challenge Corporation (MCC) ; Dialogue Maroc / OCDE sur les politiques de développement territorial et la métropolisation ; Etude sur la refonte du système de planification urbaine – Direction de l’Urbanisme, Stratégie Nationale de Développement Durable et sa déclinaison opérationnelle.</w:t>
      </w:r>
    </w:p>
  </w:footnote>
  <w:footnote w:id="23">
    <w:p w14:paraId="36DB347F" w14:textId="77777777" w:rsidR="007E4D90" w:rsidRPr="00AA5E11" w:rsidRDefault="007E4D90" w:rsidP="001E0FA9">
      <w:pPr>
        <w:widowControl w:val="0"/>
        <w:spacing w:after="0" w:line="240" w:lineRule="auto"/>
        <w:jc w:val="both"/>
        <w:rPr>
          <w:rStyle w:val="FootnoteReference"/>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Schéma Régional d’Aménagement du Territoire</w:t>
      </w:r>
    </w:p>
  </w:footnote>
  <w:footnote w:id="24">
    <w:p w14:paraId="1279B472" w14:textId="77777777" w:rsidR="007E4D90" w:rsidRPr="00AA5E11" w:rsidRDefault="007E4D90" w:rsidP="001E0FA9">
      <w:pPr>
        <w:widowControl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hAnsi="Times New Roman" w:cs="Times New Roman"/>
          <w:i/>
          <w:sz w:val="20"/>
          <w:szCs w:val="20"/>
        </w:rPr>
        <w:t>La nouvelle constitution, pas plus que la loi organique 111-14 ne fait mention de l’aménagement du territoire au niveau national. Le SNAT n’est plus évoqué et aucun document n’est proposé pour le remplacer ou le continuer</w:t>
      </w:r>
      <w:r w:rsidRPr="00AA5E11">
        <w:rPr>
          <w:rFonts w:ascii="Times New Roman" w:hAnsi="Times New Roman" w:cs="Times New Roman"/>
          <w:sz w:val="20"/>
          <w:szCs w:val="20"/>
        </w:rPr>
        <w:t xml:space="preserve">’’. Etude SPU. Direction de l’Urbanisme. 2017 </w:t>
      </w:r>
    </w:p>
  </w:footnote>
  <w:footnote w:id="25">
    <w:p w14:paraId="620C37C1" w14:textId="77777777" w:rsidR="007E4D90" w:rsidRPr="00042428" w:rsidRDefault="007E4D90" w:rsidP="001E0FA9">
      <w:pPr>
        <w:pStyle w:val="FootnoteText"/>
        <w:ind w:left="0"/>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Par exemple les SDAU qui ont une durée de 25 ans.</w:t>
      </w:r>
    </w:p>
  </w:footnote>
  <w:footnote w:id="26">
    <w:p w14:paraId="09C3C5C0" w14:textId="77777777" w:rsidR="007E4D90" w:rsidRPr="00AA5E11" w:rsidRDefault="007E4D90" w:rsidP="001E0FA9">
      <w:pPr>
        <w:pStyle w:val="FootnoteText"/>
        <w:ind w:left="0"/>
        <w:rPr>
          <w:rFonts w:ascii="Times New Roman" w:hAnsi="Times New Roman"/>
        </w:rPr>
      </w:pPr>
      <w:r w:rsidRPr="00042428">
        <w:rPr>
          <w:rStyle w:val="FootnoteReference"/>
          <w:rFonts w:ascii="Times New Roman" w:hAnsi="Times New Roman"/>
          <w:sz w:val="20"/>
        </w:rPr>
        <w:footnoteRef/>
      </w:r>
      <w:r w:rsidRPr="00042428">
        <w:rPr>
          <w:rFonts w:ascii="Times New Roman" w:hAnsi="Times New Roman"/>
          <w:sz w:val="20"/>
        </w:rPr>
        <w:t xml:space="preserve"> Article 19 de la loi 12-90 sur l’urbanisme.</w:t>
      </w:r>
    </w:p>
  </w:footnote>
  <w:footnote w:id="27">
    <w:p w14:paraId="36861A09" w14:textId="77777777" w:rsidR="007E4D90" w:rsidRPr="00AA5E11" w:rsidRDefault="007E4D90" w:rsidP="001E0FA9">
      <w:pPr>
        <w:autoSpaceDE w:val="0"/>
        <w:autoSpaceDN w:val="0"/>
        <w:adjustRightInd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Les </w:t>
      </w:r>
      <w:r w:rsidRPr="00AA5E11">
        <w:rPr>
          <w:rFonts w:ascii="Times New Roman" w:eastAsia="Times New Roman" w:hAnsi="Times New Roman" w:cs="Times New Roman"/>
          <w:snapToGrid w:val="0"/>
          <w:color w:val="000000"/>
          <w:sz w:val="20"/>
          <w:szCs w:val="20"/>
          <w:lang w:eastAsia="fr-FR"/>
        </w:rPr>
        <w:t>villes nouvelles ne sont par exemple aujourd’hui gérées que par circulaires ministérielles (circulaire relative aux projets de création des villes nouvelles et des nouveaux pôles urbains, circulaire relative à la valorisation des villes nouvelles, circulaire relative à la réalisation des villes nouvelles).</w:t>
      </w:r>
      <w:r w:rsidRPr="00AA5E11">
        <w:rPr>
          <w:rFonts w:ascii="Times New Roman" w:hAnsi="Times New Roman" w:cs="Times New Roman"/>
          <w:sz w:val="20"/>
          <w:szCs w:val="20"/>
        </w:rPr>
        <w:t xml:space="preserve"> </w:t>
      </w:r>
    </w:p>
  </w:footnote>
  <w:footnote w:id="28">
    <w:p w14:paraId="51A1A974" w14:textId="77777777" w:rsidR="007E4D90" w:rsidRPr="00AA5E11" w:rsidRDefault="007E4D90" w:rsidP="001E0FA9">
      <w:pPr>
        <w:widowControl w:val="0"/>
        <w:spacing w:after="0" w:line="240" w:lineRule="auto"/>
        <w:jc w:val="both"/>
        <w:rPr>
          <w:rStyle w:val="FootnoteReference"/>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Effectuée aujourd’hui uniquement sur demande du pétitionnaire et permettant une instruction urbanistique et réglementaire concertée avec l’agence urbaine préalablement à la demande d’autorisation). </w:t>
      </w:r>
    </w:p>
  </w:footnote>
  <w:footnote w:id="29">
    <w:p w14:paraId="17B8A11D" w14:textId="399E8E6B" w:rsidR="007E4D90" w:rsidRPr="00AA5E11" w:rsidRDefault="007E4D90" w:rsidP="001E0FA9">
      <w:pPr>
        <w:pStyle w:val="Numberedparagraph"/>
        <w:numPr>
          <w:ilvl w:val="0"/>
          <w:numId w:val="0"/>
        </w:numPr>
      </w:pPr>
      <w:r w:rsidRPr="00AA5E11">
        <w:rPr>
          <w:rStyle w:val="FootnoteReference"/>
          <w:sz w:val="20"/>
          <w:szCs w:val="20"/>
        </w:rPr>
        <w:footnoteRef/>
      </w:r>
      <w:r w:rsidRPr="001E0FA9">
        <w:t xml:space="preserve"> </w:t>
      </w:r>
      <w:r w:rsidRPr="001E0FA9">
        <w:rPr>
          <w:rFonts w:ascii="Times New Roman" w:eastAsia="Times New Roman" w:hAnsi="Times New Roman" w:cs="Times New Roman"/>
          <w:snapToGrid w:val="0"/>
          <w:color w:val="000000"/>
          <w:sz w:val="20"/>
          <w:szCs w:val="20"/>
          <w:lang w:eastAsia="fr-FR"/>
        </w:rPr>
        <w:t>La taxe sur les terrains nus non bâtis est contestée par les grands opérateurs aménageurs qui sont tenus de la payer sur les tranches non urbanisées du foncier de grandes opérations passées une période d’exonération (5 ans et 3 ans) prévues par la loi, qu’ils estiment insuffisantes.</w:t>
      </w:r>
    </w:p>
  </w:footnote>
  <w:footnote w:id="30">
    <w:p w14:paraId="41EEAD58" w14:textId="77777777" w:rsidR="007E4D90" w:rsidRPr="00AA5E11" w:rsidRDefault="007E4D90" w:rsidP="001E0FA9">
      <w:pPr>
        <w:widowControl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Plan de développement du Grand Casablanca.</w:t>
      </w:r>
    </w:p>
  </w:footnote>
  <w:footnote w:id="31">
    <w:p w14:paraId="7C7CD983" w14:textId="21BD69C2" w:rsidR="007E4D90" w:rsidRPr="00AA5E11" w:rsidRDefault="007E4D90" w:rsidP="008D760A">
      <w:pPr>
        <w:widowControl w:val="0"/>
        <w:shd w:val="clear" w:color="auto" w:fill="FFFFFF" w:themeFill="background1"/>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Il y aurait dans l’ensemble des plans d’aménagements près de 276 ZUN représentant un potentiel de 70.285 ha</w:t>
      </w:r>
      <w:r>
        <w:rPr>
          <w:rFonts w:ascii="Times New Roman" w:hAnsi="Times New Roman" w:cs="Times New Roman"/>
          <w:sz w:val="20"/>
          <w:szCs w:val="20"/>
        </w:rPr>
        <w:t>,</w:t>
      </w:r>
      <w:r w:rsidRPr="00AA5E11">
        <w:rPr>
          <w:rFonts w:ascii="Times New Roman" w:hAnsi="Times New Roman" w:cs="Times New Roman"/>
          <w:sz w:val="20"/>
          <w:szCs w:val="20"/>
        </w:rPr>
        <w:t xml:space="preserve"> soit plus de 10 fois le besoin national annuel. </w:t>
      </w:r>
    </w:p>
  </w:footnote>
  <w:footnote w:id="32">
    <w:p w14:paraId="5CB180E8" w14:textId="77777777" w:rsidR="007E4D90" w:rsidRPr="00AA5E11" w:rsidRDefault="007E4D90" w:rsidP="008D760A">
      <w:pPr>
        <w:widowControl w:val="0"/>
        <w:autoSpaceDE w:val="0"/>
        <w:autoSpaceDN w:val="0"/>
        <w:adjustRightInd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La loi ne permet pas aujourd’hui aux zones RS de bénéficier du caractère d’utilité publique et ainsi permettre le recours à l’expropriation.</w:t>
      </w:r>
      <w:r w:rsidRPr="00AA5E11">
        <w:rPr>
          <w:rFonts w:ascii="Times New Roman" w:eastAsia="Times New Roman" w:hAnsi="Times New Roman" w:cs="Times New Roman"/>
          <w:color w:val="000000"/>
          <w:sz w:val="20"/>
          <w:szCs w:val="20"/>
          <w:lang w:eastAsia="fr-FR"/>
        </w:rPr>
        <w:t xml:space="preserve"> </w:t>
      </w:r>
    </w:p>
  </w:footnote>
  <w:footnote w:id="33">
    <w:p w14:paraId="20AB2A1C" w14:textId="77777777" w:rsidR="007E4D90" w:rsidRPr="00AA5E11" w:rsidRDefault="007E4D90" w:rsidP="00042428">
      <w:pPr>
        <w:pStyle w:val="Title"/>
        <w:spacing w:after="0" w:line="240" w:lineRule="auto"/>
        <w:jc w:val="both"/>
        <w:outlineLvl w:val="0"/>
        <w:rPr>
          <w:rFonts w:ascii="Times New Roman" w:hAnsi="Times New Roman"/>
          <w:sz w:val="20"/>
        </w:rPr>
      </w:pPr>
      <w:r w:rsidRPr="00042428">
        <w:rPr>
          <w:rStyle w:val="FootnoteReference"/>
          <w:rFonts w:ascii="Times New Roman" w:hAnsi="Times New Roman"/>
          <w:b w:val="0"/>
          <w:sz w:val="20"/>
        </w:rPr>
        <w:footnoteRef/>
      </w:r>
      <w:r w:rsidRPr="00042428">
        <w:rPr>
          <w:rFonts w:ascii="Times New Roman" w:hAnsi="Times New Roman"/>
          <w:b w:val="0"/>
          <w:sz w:val="20"/>
        </w:rPr>
        <w:t xml:space="preserve"> </w:t>
      </w:r>
      <w:r w:rsidRPr="00AA5E11">
        <w:rPr>
          <w:rFonts w:ascii="Times New Roman" w:eastAsiaTheme="minorHAnsi" w:hAnsi="Times New Roman"/>
          <w:b w:val="0"/>
          <w:sz w:val="20"/>
          <w:lang w:eastAsia="en-US"/>
        </w:rPr>
        <w:t>‘‘</w:t>
      </w:r>
      <w:r w:rsidRPr="00AA5E11">
        <w:rPr>
          <w:rFonts w:ascii="Times New Roman" w:eastAsiaTheme="minorHAnsi" w:hAnsi="Times New Roman"/>
          <w:b w:val="0"/>
          <w:i/>
          <w:sz w:val="20"/>
          <w:lang w:eastAsia="en-US"/>
        </w:rPr>
        <w:t>Un droit de préemption simplifié consisterait à permettre au bénéficiaire du droit de préemption de se substituer à l'acheteur au prix et aux conditions qui avaient été prévus entre le propriétaire et l'acheteur, sans inclure comme en France le droit de contester le prix et d'en proposer un autre plus bas</w:t>
      </w:r>
      <w:r w:rsidRPr="00AA5E11">
        <w:rPr>
          <w:rFonts w:ascii="Times New Roman" w:eastAsiaTheme="minorHAnsi" w:hAnsi="Times New Roman"/>
          <w:b w:val="0"/>
          <w:sz w:val="20"/>
          <w:lang w:eastAsia="en-US"/>
        </w:rPr>
        <w:t xml:space="preserve">’’. Élaboration d’une stratégie de gestion du domaine privé de l'Etat. Direction des Domaines. 2002. </w:t>
      </w:r>
    </w:p>
  </w:footnote>
  <w:footnote w:id="34">
    <w:p w14:paraId="617B483D" w14:textId="77777777" w:rsidR="007E4D90" w:rsidRPr="00AA5E11" w:rsidRDefault="007E4D90" w:rsidP="00042428">
      <w:pPr>
        <w:widowControl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eastAsia="Times New Roman" w:hAnsi="Times New Roman" w:cs="Times New Roman"/>
          <w:color w:val="000000"/>
          <w:sz w:val="20"/>
          <w:szCs w:val="20"/>
          <w:lang w:eastAsia="fr-FR"/>
        </w:rPr>
        <w:t xml:space="preserve">La dation est une forme d’échanges en nature qui permet à des propriétaires de céder leur terrain à la commune ou à un aménageur en échange d’une rétrocession de lots viabilisés </w:t>
      </w:r>
    </w:p>
  </w:footnote>
  <w:footnote w:id="35">
    <w:p w14:paraId="518F44B8" w14:textId="77777777" w:rsidR="007E4D90" w:rsidRPr="00AA5E11" w:rsidRDefault="007E4D90" w:rsidP="008D760A">
      <w:pPr>
        <w:widowControl w:val="0"/>
        <w:shd w:val="clear" w:color="auto" w:fill="FFFFFF"/>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Le TPS est une procédure qui permet à un opérateur d’aménagement de remembrer des terrains privés (land pooling), de les équiper et de les rétrocéder une fois l’aménagement effectué. Les propriétaires en échange du prélèvement gratuit d’une partie de leur terrain récupèrent une parcelle desservie par les réseaux, prête à lotir et dont la valeur est multipliée par 10 à l’issue de l’opération. </w:t>
      </w:r>
    </w:p>
  </w:footnote>
  <w:footnote w:id="36">
    <w:p w14:paraId="004C2AA7" w14:textId="77777777" w:rsidR="007E4D90" w:rsidRPr="00042428" w:rsidRDefault="007E4D90" w:rsidP="001E0FA9">
      <w:pPr>
        <w:pStyle w:val="FootnoteText"/>
        <w:ind w:left="0"/>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Dahir du 12 novembre 1917.</w:t>
      </w:r>
    </w:p>
  </w:footnote>
  <w:footnote w:id="37">
    <w:p w14:paraId="050CFA0D" w14:textId="77777777" w:rsidR="007E4D90" w:rsidRPr="00C92224" w:rsidRDefault="007E4D90" w:rsidP="005A1A0D">
      <w:pPr>
        <w:autoSpaceDE w:val="0"/>
        <w:autoSpaceDN w:val="0"/>
        <w:adjustRightInd w:val="0"/>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En France, les associations foncières urbaines peuvent être obligatoires : les propriétaires sont contraints de participer à l’aménagement mais disposent d’un droit de délaissement, soit sous forme d’associations majoritaires (une majorité de propriétaires peut contraindre une minorité à réaliser l’aménagement, soit encore lib</w:t>
      </w:r>
      <w:r w:rsidRPr="00C92224">
        <w:rPr>
          <w:rFonts w:ascii="Times New Roman" w:hAnsi="Times New Roman" w:cs="Times New Roman"/>
          <w:sz w:val="20"/>
          <w:szCs w:val="20"/>
        </w:rPr>
        <w:t xml:space="preserve">re et formée à l’unanimité des propriétaires) ; </w:t>
      </w:r>
    </w:p>
  </w:footnote>
  <w:footnote w:id="38">
    <w:p w14:paraId="5DE16CBC" w14:textId="77777777" w:rsidR="007E4D90" w:rsidRPr="008D760A" w:rsidRDefault="007E4D90" w:rsidP="005A1A0D">
      <w:pPr>
        <w:autoSpaceDE w:val="0"/>
        <w:autoSpaceDN w:val="0"/>
        <w:adjustRightInd w:val="0"/>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Le système de la compensation qui permet à une association de propriétaires de mettre en commun leurs terrains et de leur remembrer pour réaliser une opération d’aménagement est aujourd'hui la formule la plus répandue en Espagne et représenterait entre 30 % et 40 % de l'urbanisation. Thierry Vilmin, Vincent Renard, CNRS. Octobre 2002. Analyse comparative de structures d’aménagement en Europe (Allemagne, Angleterre, Espagne, Italie).</w:t>
      </w:r>
    </w:p>
  </w:footnote>
  <w:footnote w:id="39">
    <w:p w14:paraId="2C15505C" w14:textId="77777777" w:rsidR="007E4D90" w:rsidRPr="008D760A" w:rsidRDefault="007E4D90" w:rsidP="005A1A0D">
      <w:pPr>
        <w:widowControl w:val="0"/>
        <w:shd w:val="clear" w:color="auto" w:fill="FFFFFF"/>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Instituée par l’article 130 à 132 de la loi organique 113-14.</w:t>
      </w:r>
    </w:p>
  </w:footnote>
  <w:footnote w:id="40">
    <w:p w14:paraId="48B8A7DF" w14:textId="77777777" w:rsidR="007E4D90" w:rsidRPr="008D760A" w:rsidRDefault="007E4D90" w:rsidP="005A1A0D">
      <w:pPr>
        <w:widowControl w:val="0"/>
        <w:shd w:val="clear" w:color="auto" w:fill="FFFFFF"/>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Dont le capital dans la société ne peut être inférieur à 34%, l’ensemble du capital devant être détenu en majorité par les pouvoirs publics. </w:t>
      </w:r>
    </w:p>
  </w:footnote>
  <w:footnote w:id="41">
    <w:p w14:paraId="6D7BC445" w14:textId="3275B975" w:rsidR="007E4D90" w:rsidRPr="00AA5E11" w:rsidRDefault="007E4D90" w:rsidP="001E0FA9">
      <w:pPr>
        <w:keepNext/>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Pr>
          <w:rFonts w:ascii="Times New Roman" w:hAnsi="Times New Roman" w:cs="Times New Roman"/>
          <w:sz w:val="20"/>
          <w:szCs w:val="20"/>
        </w:rPr>
        <w:t>Ibid note 4</w:t>
      </w:r>
    </w:p>
  </w:footnote>
  <w:footnote w:id="42">
    <w:p w14:paraId="6F0CF6AB" w14:textId="77777777" w:rsidR="007E4D90" w:rsidRPr="00AA5E11" w:rsidRDefault="007E4D90" w:rsidP="001E0FA9">
      <w:pPr>
        <w:widowControl w:val="0"/>
        <w:autoSpaceDE w:val="0"/>
        <w:autoSpaceDN w:val="0"/>
        <w:adjustRightInd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eastAsia="Times New Roman" w:hAnsi="Times New Roman" w:cs="Times New Roman"/>
          <w:color w:val="000000"/>
          <w:sz w:val="20"/>
          <w:szCs w:val="20"/>
          <w:lang w:eastAsia="fr-FR"/>
        </w:rPr>
        <w:t xml:space="preserve">Assise nationales de la politique foncière de l’Etat et de son rôle dans le développement économique et social. </w:t>
      </w:r>
    </w:p>
  </w:footnote>
  <w:footnote w:id="43">
    <w:p w14:paraId="5F5FE419" w14:textId="77777777" w:rsidR="007E4D90" w:rsidRPr="00AA5E11" w:rsidRDefault="007E4D90" w:rsidP="001E0FA9">
      <w:pPr>
        <w:widowControl w:val="0"/>
        <w:autoSpaceDE w:val="0"/>
        <w:autoSpaceDN w:val="0"/>
        <w:adjustRightInd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eastAsia="Times New Roman" w:hAnsi="Times New Roman" w:cs="Times New Roman"/>
          <w:color w:val="000000"/>
          <w:sz w:val="20"/>
          <w:szCs w:val="20"/>
          <w:lang w:eastAsia="fr-FR"/>
        </w:rPr>
        <w:t>Avec l’appui du programme "Compact2" du Millennium challenge account (MCA). Stratégie destinée à adopter une vision globale intégrant les dimensions juridiques, institutionnelles, organisationnelles et procédurales et à réviser et moderniser l’arsenal juridique et réglementaire encadrant le foncier public et privé pour assurer la protection et la valorisation du capital foncier, accroître l'efficacité de son organisation et simplifier les procédures de sa gestion.</w:t>
      </w:r>
    </w:p>
  </w:footnote>
  <w:footnote w:id="44">
    <w:p w14:paraId="7CBE7529" w14:textId="77777777" w:rsidR="007E4D90" w:rsidRPr="00042428" w:rsidRDefault="007E4D90" w:rsidP="001E0FA9">
      <w:pPr>
        <w:pStyle w:val="FootnoteText"/>
        <w:ind w:left="0"/>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Selon l’Agence Nationale de la Conservation Foncière du Cadastre et de la Cartographie en 2010.</w:t>
      </w:r>
    </w:p>
  </w:footnote>
  <w:footnote w:id="45">
    <w:p w14:paraId="31A19D2E" w14:textId="77777777" w:rsidR="007E4D90" w:rsidRPr="00AA5E11" w:rsidRDefault="007E4D90" w:rsidP="001E0FA9">
      <w:pPr>
        <w:widowControl w:val="0"/>
        <w:autoSpaceDE w:val="0"/>
        <w:autoSpaceDN w:val="0"/>
        <w:adjustRightInd w:val="0"/>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w:t>
      </w:r>
      <w:r w:rsidRPr="008D760A">
        <w:rPr>
          <w:rFonts w:ascii="Times New Roman" w:eastAsia="Times New Roman" w:hAnsi="Times New Roman" w:cs="Times New Roman"/>
          <w:color w:val="000000"/>
          <w:sz w:val="20"/>
          <w:szCs w:val="20"/>
          <w:lang w:eastAsia="fr-FR"/>
        </w:rPr>
        <w:t>Préparation à la melkisation de 46.000 ha de terres collectives dans la région du Gharb.</w:t>
      </w:r>
      <w:r w:rsidRPr="00AA5E11">
        <w:rPr>
          <w:rFonts w:ascii="Times New Roman" w:eastAsia="Times New Roman" w:hAnsi="Times New Roman" w:cs="Times New Roman"/>
          <w:color w:val="000000"/>
          <w:sz w:val="20"/>
          <w:szCs w:val="20"/>
          <w:lang w:eastAsia="fr-FR"/>
        </w:rPr>
        <w:t xml:space="preserve"> </w:t>
      </w:r>
    </w:p>
  </w:footnote>
  <w:footnote w:id="46">
    <w:p w14:paraId="2017CE25" w14:textId="77777777" w:rsidR="007E4D90" w:rsidRPr="00AA5E11" w:rsidRDefault="007E4D90" w:rsidP="001E0FA9">
      <w:pPr>
        <w:widowControl w:val="0"/>
        <w:autoSpaceDE w:val="0"/>
        <w:autoSpaceDN w:val="0"/>
        <w:adjustRightInd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eastAsia="Times New Roman" w:hAnsi="Times New Roman" w:cs="Times New Roman"/>
          <w:color w:val="000000"/>
          <w:sz w:val="20"/>
          <w:szCs w:val="20"/>
          <w:lang w:eastAsia="fr-FR"/>
        </w:rPr>
        <w:t xml:space="preserve">Ce qui explique en très grande partie la pression de la demande sur les terrains publics. </w:t>
      </w:r>
    </w:p>
  </w:footnote>
  <w:footnote w:id="47">
    <w:p w14:paraId="4C4C3283" w14:textId="77777777" w:rsidR="007E4D90" w:rsidRPr="00AA5E11" w:rsidRDefault="007E4D90" w:rsidP="001E0FA9">
      <w:pPr>
        <w:tabs>
          <w:tab w:val="left" w:pos="1165"/>
        </w:tabs>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eastAsia="Times New Roman" w:hAnsi="Times New Roman" w:cs="Times New Roman"/>
          <w:color w:val="000000"/>
          <w:sz w:val="20"/>
          <w:szCs w:val="20"/>
          <w:lang w:eastAsia="fr-FR"/>
        </w:rPr>
        <w:t xml:space="preserve">Terrains immatriculés ou objet d’une réquisition d’immatriculation. </w:t>
      </w:r>
    </w:p>
  </w:footnote>
  <w:footnote w:id="48">
    <w:p w14:paraId="223AB9F6" w14:textId="77777777" w:rsidR="007E4D90" w:rsidRPr="00AA5E11" w:rsidRDefault="007E4D90" w:rsidP="001E0FA9">
      <w:pPr>
        <w:widowControl w:val="0"/>
        <w:autoSpaceDE w:val="0"/>
        <w:autoSpaceDN w:val="0"/>
        <w:adjustRightInd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eastAsia="Times New Roman" w:hAnsi="Times New Roman" w:cs="Times New Roman"/>
          <w:color w:val="000000"/>
          <w:sz w:val="20"/>
          <w:szCs w:val="20"/>
          <w:lang w:eastAsia="fr-FR"/>
        </w:rPr>
        <w:t>Une réflexion sur la sécurisation des biens melk a été entreprise au niveau de la Justice mais n’a pas abouti.</w:t>
      </w:r>
    </w:p>
  </w:footnote>
  <w:footnote w:id="49">
    <w:p w14:paraId="41FCDB33" w14:textId="77777777" w:rsidR="007E4D90" w:rsidRPr="00AA5E11" w:rsidRDefault="007E4D90" w:rsidP="001E0FA9">
      <w:pPr>
        <w:widowControl w:val="0"/>
        <w:autoSpaceDE w:val="0"/>
        <w:autoSpaceDN w:val="0"/>
        <w:adjustRightInd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eastAsia="Times New Roman" w:hAnsi="Times New Roman" w:cs="Times New Roman"/>
          <w:color w:val="000000"/>
          <w:sz w:val="20"/>
          <w:szCs w:val="20"/>
          <w:lang w:eastAsia="fr-FR"/>
        </w:rPr>
        <w:t xml:space="preserve">Direction de l’Aménagement du Territoire. 2017. Étude relative à l’élaboration de la stratégie nationale de gestion du foncier. Mission 3 : vision prospective et stratégie nationale de gestion du foncier. </w:t>
      </w:r>
    </w:p>
  </w:footnote>
  <w:footnote w:id="50">
    <w:p w14:paraId="60F704D5" w14:textId="77777777" w:rsidR="007E4D90" w:rsidRPr="00CD02A6" w:rsidRDefault="007E4D90" w:rsidP="001E0FA9">
      <w:pPr>
        <w:widowControl w:val="0"/>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A Casablanca, le délégataire Lydec est censé pouvoir desservir toute opération ou projet situé dans une zone ouverte à l’urbanisation (soit environ 20.000 ha ouvert au SDAU de 2009 et une surface multipliée par 2 par rapport au précédent SDAU). Il doit pour cela financer et réaliser les infrastructures primaires et secondaires en eau potable et en assainissement, seuls les réseaux tertiaires (ou secondaires s’ils se situent sur l’empr</w:t>
      </w:r>
      <w:r w:rsidRPr="00CD02A6">
        <w:rPr>
          <w:rFonts w:ascii="Times New Roman" w:hAnsi="Times New Roman" w:cs="Times New Roman"/>
          <w:sz w:val="20"/>
          <w:szCs w:val="20"/>
        </w:rPr>
        <w:t>ise de l’opération) étant pris en charge par le promoteur lotisseur.</w:t>
      </w:r>
    </w:p>
  </w:footnote>
  <w:footnote w:id="51">
    <w:p w14:paraId="5BE83E4E" w14:textId="77777777" w:rsidR="007E4D90" w:rsidRPr="008D760A" w:rsidRDefault="007E4D90" w:rsidP="001E0FA9">
      <w:pPr>
        <w:autoSpaceDE w:val="0"/>
        <w:autoSpaceDN w:val="0"/>
        <w:adjustRightInd w:val="0"/>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Articles 76 et 77 de la loi 30/89 sur la contribution des riverains aux dépenses d’équipement.</w:t>
      </w:r>
    </w:p>
  </w:footnote>
  <w:footnote w:id="52">
    <w:p w14:paraId="6EF795D3" w14:textId="77777777" w:rsidR="007E4D90" w:rsidRPr="00042428" w:rsidRDefault="007E4D90" w:rsidP="001E0FA9">
      <w:pPr>
        <w:pStyle w:val="FootnoteText"/>
        <w:ind w:left="0"/>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Selon l’AUC, les dérogations accordées à Casablanca ont contribué à la cession gratuite de terrains et au financement d’infrastructures hors site et d’équipements socio collectifs au titre des contreparties exigées dans les conventions de dérogation. Elles auront ainsi permis la réalisation et la cession par les promoteurs de 1400 équipements socio collectifs. Rapport d'activité AUC, Année 2012.</w:t>
      </w:r>
    </w:p>
  </w:footnote>
  <w:footnote w:id="53">
    <w:p w14:paraId="7B5B8034" w14:textId="77777777" w:rsidR="007E4D90" w:rsidRPr="00042428" w:rsidRDefault="007E4D90" w:rsidP="001E0FA9">
      <w:pPr>
        <w:pStyle w:val="FootnoteText"/>
        <w:ind w:left="0"/>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Selon l’article 145 de la Constitution, ‘‘</w:t>
      </w:r>
      <w:r w:rsidRPr="00042428">
        <w:rPr>
          <w:rFonts w:ascii="Times New Roman" w:hAnsi="Times New Roman"/>
          <w:i/>
          <w:sz w:val="20"/>
        </w:rPr>
        <w:t>les walis représentent le pouvoir central et assurent au nom du gouvernement, l’application des lois et mettent en œuvre les règlements et les décisions gouvernementales et exercent le contrôle administratif. Les walis et gouverneurs assistent les présidents des collectivités territoriales et notamment les présidents des conseils régionaux, dans la mise en œuvre des plans et programmes de développement. Ils coordonnent sous l’autorité des ministres concernés, les activités des services déconcentrés de l’administration centrale et veillent à leur bon fonctionnement</w:t>
      </w:r>
      <w:r w:rsidRPr="00042428">
        <w:rPr>
          <w:rFonts w:ascii="Times New Roman" w:hAnsi="Times New Roman"/>
          <w:sz w:val="20"/>
        </w:rPr>
        <w:t xml:space="preserve"> ». Etude SPU.</w:t>
      </w:r>
    </w:p>
  </w:footnote>
  <w:footnote w:id="54">
    <w:p w14:paraId="00523A50" w14:textId="0113364B" w:rsidR="007E4D90" w:rsidRPr="00042428" w:rsidRDefault="007E4D90" w:rsidP="001E0FA9">
      <w:pPr>
        <w:pStyle w:val="FootnoteText"/>
        <w:ind w:left="0"/>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w:t>
      </w:r>
      <w:r w:rsidRPr="00042428">
        <w:rPr>
          <w:rFonts w:ascii="Times New Roman" w:hAnsi="Times New Roman"/>
          <w:color w:val="26282A"/>
          <w:sz w:val="20"/>
        </w:rPr>
        <w:t xml:space="preserve">SGAR, (Secrétariat Général aux Affaires Régionales), CAR (Comité de l’administration régionale), CCR (Conférence de concertation régionale) comme proposée par la plateforme de la déconcentration administrative (étude SPU. Rapport Diagnostic). </w:t>
      </w:r>
    </w:p>
  </w:footnote>
  <w:footnote w:id="55">
    <w:p w14:paraId="6D93C66F" w14:textId="77777777" w:rsidR="007E4D90" w:rsidRPr="00CD02A6" w:rsidRDefault="007E4D90" w:rsidP="001E0FA9">
      <w:pPr>
        <w:autoSpaceDE w:val="0"/>
        <w:autoSpaceDN w:val="0"/>
        <w:adjustRightInd w:val="0"/>
        <w:spacing w:after="0" w:line="240" w:lineRule="auto"/>
        <w:jc w:val="both"/>
        <w:rPr>
          <w:rStyle w:val="FootnoteReference"/>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Style w:val="FootnoteReference"/>
          <w:rFonts w:ascii="Times New Roman" w:hAnsi="Times New Roman" w:cs="Times New Roman"/>
          <w:sz w:val="20"/>
          <w:szCs w:val="20"/>
        </w:rPr>
        <w:t xml:space="preserve"> </w:t>
      </w:r>
      <w:r w:rsidRPr="008D760A">
        <w:rPr>
          <w:rFonts w:ascii="Times New Roman" w:eastAsia="Times New Roman" w:hAnsi="Times New Roman" w:cs="Times New Roman"/>
          <w:color w:val="000000"/>
          <w:sz w:val="20"/>
          <w:szCs w:val="20"/>
          <w:lang w:eastAsia="fr-FR"/>
        </w:rPr>
        <w:t>Dialogue Maroc-OCDE sur les politiques de développement territorial. Synthèse et Recommanda</w:t>
      </w:r>
      <w:r w:rsidRPr="00CD02A6">
        <w:rPr>
          <w:rFonts w:ascii="Times New Roman" w:eastAsia="Times New Roman" w:hAnsi="Times New Roman" w:cs="Times New Roman"/>
          <w:color w:val="000000"/>
          <w:sz w:val="20"/>
          <w:szCs w:val="20"/>
          <w:lang w:eastAsia="fr-FR"/>
        </w:rPr>
        <w:t xml:space="preserve">tions. Le développement territorial inclusif et durable au Maroc : enjeux et recommandations pour l’action publique coordonnée.  </w:t>
      </w:r>
    </w:p>
  </w:footnote>
  <w:footnote w:id="56">
    <w:p w14:paraId="59307314" w14:textId="4ADCDFAF" w:rsidR="007E4D90" w:rsidRPr="00042428" w:rsidRDefault="007E4D90" w:rsidP="001E0FA9">
      <w:pPr>
        <w:pStyle w:val="FootnoteText"/>
        <w:ind w:left="0"/>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Article 136 de la Constitution</w:t>
      </w:r>
      <w:r>
        <w:rPr>
          <w:rFonts w:ascii="Times New Roman" w:hAnsi="Times New Roman"/>
          <w:sz w:val="20"/>
        </w:rPr>
        <w:t>.</w:t>
      </w:r>
      <w:r w:rsidRPr="00042428">
        <w:rPr>
          <w:rFonts w:ascii="Times New Roman" w:hAnsi="Times New Roman"/>
          <w:sz w:val="20"/>
        </w:rPr>
        <w:t xml:space="preserve"> </w:t>
      </w:r>
    </w:p>
  </w:footnote>
  <w:footnote w:id="57">
    <w:p w14:paraId="7C43D6C7" w14:textId="565C6E88" w:rsidR="007E4D90" w:rsidRPr="00042428" w:rsidRDefault="007E4D90" w:rsidP="001E0FA9">
      <w:pPr>
        <w:pStyle w:val="FootnoteText"/>
        <w:ind w:left="0"/>
        <w:rPr>
          <w:rFonts w:ascii="Times New Roman" w:hAnsi="Times New Roman"/>
          <w:sz w:val="20"/>
        </w:rPr>
      </w:pPr>
      <w:r w:rsidRPr="00042428">
        <w:rPr>
          <w:rStyle w:val="FootnoteReference"/>
          <w:rFonts w:ascii="Times New Roman" w:hAnsi="Times New Roman"/>
          <w:sz w:val="20"/>
        </w:rPr>
        <w:footnoteRef/>
      </w:r>
      <w:r w:rsidRPr="00042428">
        <w:rPr>
          <w:rFonts w:ascii="Times New Roman" w:hAnsi="Times New Roman"/>
          <w:sz w:val="20"/>
        </w:rPr>
        <w:t xml:space="preserve"> Principalement dans le domaine du transport public</w:t>
      </w:r>
      <w:r>
        <w:rPr>
          <w:rFonts w:ascii="Times New Roman" w:hAnsi="Times New Roman"/>
          <w:sz w:val="20"/>
        </w:rPr>
        <w:t>.</w:t>
      </w:r>
    </w:p>
  </w:footnote>
  <w:footnote w:id="58">
    <w:p w14:paraId="32BBBDED" w14:textId="77777777" w:rsidR="007E4D90" w:rsidRPr="00CD02A6" w:rsidRDefault="007E4D90" w:rsidP="001E0FA9">
      <w:pPr>
        <w:widowControl w:val="0"/>
        <w:autoSpaceDE w:val="0"/>
        <w:autoSpaceDN w:val="0"/>
        <w:adjustRightInd w:val="0"/>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w:t>
      </w:r>
      <w:r w:rsidRPr="008D760A">
        <w:rPr>
          <w:rFonts w:ascii="Times New Roman" w:eastAsia="Times New Roman" w:hAnsi="Times New Roman" w:cs="Times New Roman"/>
          <w:color w:val="000000"/>
          <w:sz w:val="20"/>
          <w:szCs w:val="20"/>
          <w:lang w:eastAsia="fr-FR"/>
        </w:rPr>
        <w:t>L’Etablissement de coopération interc</w:t>
      </w:r>
      <w:r w:rsidRPr="00CD02A6">
        <w:rPr>
          <w:rFonts w:ascii="Times New Roman" w:eastAsia="Times New Roman" w:hAnsi="Times New Roman" w:cs="Times New Roman"/>
          <w:color w:val="000000"/>
          <w:sz w:val="20"/>
          <w:szCs w:val="20"/>
          <w:lang w:eastAsia="fr-FR"/>
        </w:rPr>
        <w:t xml:space="preserve">ommunale «Al Baida» initié en 2015 est formé par 35 élus représentant 18 communes du Grand Casablanca, incluant Bouskoura, Mohammédia, Dar Bouazza, Nouaceur et Tit Mellil. </w:t>
      </w:r>
    </w:p>
  </w:footnote>
  <w:footnote w:id="59">
    <w:p w14:paraId="67720A02" w14:textId="77777777" w:rsidR="007E4D90" w:rsidRPr="00CD02A6" w:rsidRDefault="007E4D90" w:rsidP="001E0FA9">
      <w:pPr>
        <w:widowControl w:val="0"/>
        <w:autoSpaceDE w:val="0"/>
        <w:autoSpaceDN w:val="0"/>
        <w:adjustRightInd w:val="0"/>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w:t>
      </w:r>
      <w:r w:rsidRPr="008D760A">
        <w:rPr>
          <w:rFonts w:ascii="Times New Roman" w:eastAsia="Times New Roman" w:hAnsi="Times New Roman" w:cs="Times New Roman"/>
          <w:color w:val="000000"/>
          <w:sz w:val="20"/>
          <w:szCs w:val="20"/>
          <w:lang w:eastAsia="fr-FR"/>
        </w:rPr>
        <w:t>Le Groupement d’agglomération Al Assima a été créé en 2011, avec l’adhésion de 13</w:t>
      </w:r>
      <w:r w:rsidRPr="00CD02A6">
        <w:rPr>
          <w:rFonts w:ascii="Times New Roman" w:eastAsia="Times New Roman" w:hAnsi="Times New Roman" w:cs="Times New Roman"/>
          <w:color w:val="000000"/>
          <w:sz w:val="20"/>
          <w:szCs w:val="20"/>
          <w:lang w:eastAsia="fr-FR"/>
        </w:rPr>
        <w:t xml:space="preserve"> communes.</w:t>
      </w:r>
    </w:p>
  </w:footnote>
  <w:footnote w:id="60">
    <w:p w14:paraId="1CF6D18F" w14:textId="77777777" w:rsidR="007E4D90" w:rsidRPr="008D760A" w:rsidRDefault="007E4D90" w:rsidP="001E0FA9">
      <w:pPr>
        <w:widowControl w:val="0"/>
        <w:shd w:val="clear" w:color="auto" w:fill="FFFFFF"/>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Recommandation au demeurant reprise des propositions du projet de Code de l’Urbanisme de 2007. </w:t>
      </w:r>
    </w:p>
  </w:footnote>
  <w:footnote w:id="61">
    <w:p w14:paraId="43D224D4" w14:textId="77777777" w:rsidR="007E4D90" w:rsidRPr="00CD02A6" w:rsidRDefault="007E4D90" w:rsidP="001E0FA9">
      <w:pPr>
        <w:widowControl w:val="0"/>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La charte communale 17-08 (2009) avait prévu dans son article 83 que des groupements d'agglomérations correspondant à des groupements de communes d’une population supérieure à 200.000 habitants, puissent s'associer pour la réalisation et la gestion de services d'intérêt commun et exercer les attributions de planification urbaine, de préparation et suivi du schéma directeur du groupement d'aggloméra</w:t>
      </w:r>
      <w:r w:rsidRPr="00CD02A6">
        <w:rPr>
          <w:rFonts w:ascii="Times New Roman" w:hAnsi="Times New Roman" w:cs="Times New Roman"/>
          <w:sz w:val="20"/>
          <w:szCs w:val="20"/>
        </w:rPr>
        <w:t>tion.</w:t>
      </w:r>
    </w:p>
  </w:footnote>
  <w:footnote w:id="62">
    <w:p w14:paraId="6FDBB699" w14:textId="77777777" w:rsidR="007E4D90" w:rsidRPr="00CD02A6" w:rsidRDefault="007E4D90" w:rsidP="001E0FA9">
      <w:pPr>
        <w:widowControl w:val="0"/>
        <w:spacing w:after="0" w:line="240" w:lineRule="auto"/>
        <w:jc w:val="both"/>
        <w:rPr>
          <w:rStyle w:val="FootnoteReference"/>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Style w:val="FootnoteReference"/>
          <w:rFonts w:ascii="Times New Roman" w:hAnsi="Times New Roman" w:cs="Times New Roman"/>
          <w:sz w:val="20"/>
          <w:szCs w:val="20"/>
        </w:rPr>
        <w:t xml:space="preserve"> </w:t>
      </w:r>
      <w:r w:rsidRPr="008D760A">
        <w:rPr>
          <w:rFonts w:ascii="Times New Roman" w:hAnsi="Times New Roman" w:cs="Times New Roman"/>
          <w:sz w:val="20"/>
          <w:szCs w:val="20"/>
        </w:rPr>
        <w:t xml:space="preserve">Direction de l’Urbanisme. 2017. Etude sur le Système de planification urbaine. Analyse diagnostic. </w:t>
      </w:r>
    </w:p>
  </w:footnote>
  <w:footnote w:id="63">
    <w:p w14:paraId="5AF906C3" w14:textId="2EE98C5E" w:rsidR="007E4D90" w:rsidRPr="008D760A" w:rsidRDefault="007E4D90" w:rsidP="001E0FA9">
      <w:pPr>
        <w:widowControl w:val="0"/>
        <w:spacing w:after="0" w:line="240" w:lineRule="auto"/>
        <w:jc w:val="both"/>
        <w:rPr>
          <w:rFonts w:ascii="Times New Roman" w:hAnsi="Times New Roman" w:cs="Times New Roman"/>
          <w:sz w:val="20"/>
          <w:szCs w:val="20"/>
        </w:rPr>
      </w:pPr>
      <w:r w:rsidRPr="008D760A">
        <w:rPr>
          <w:rStyle w:val="FootnoteReference"/>
          <w:rFonts w:ascii="Times New Roman" w:hAnsi="Times New Roman" w:cs="Times New Roman"/>
          <w:sz w:val="20"/>
          <w:szCs w:val="20"/>
        </w:rPr>
        <w:footnoteRef/>
      </w:r>
      <w:r w:rsidRPr="008D760A">
        <w:rPr>
          <w:rFonts w:ascii="Times New Roman" w:hAnsi="Times New Roman" w:cs="Times New Roman"/>
          <w:sz w:val="20"/>
          <w:szCs w:val="20"/>
        </w:rPr>
        <w:t xml:space="preserve"> Instruction des demandes, délivrance des avis conformes, etc</w:t>
      </w:r>
      <w:r>
        <w:rPr>
          <w:rFonts w:ascii="Times New Roman" w:hAnsi="Times New Roman" w:cs="Times New Roman"/>
          <w:sz w:val="20"/>
          <w:szCs w:val="20"/>
        </w:rPr>
        <w:t>.</w:t>
      </w:r>
    </w:p>
  </w:footnote>
  <w:footnote w:id="64">
    <w:p w14:paraId="1E85585C" w14:textId="03A9AEF5" w:rsidR="007E4D90" w:rsidRPr="00CD02A6" w:rsidRDefault="007E4D90" w:rsidP="001E0FA9">
      <w:pPr>
        <w:pStyle w:val="Heading4"/>
        <w:spacing w:before="0" w:line="240" w:lineRule="auto"/>
        <w:jc w:val="both"/>
        <w:rPr>
          <w:rFonts w:ascii="Times New Roman" w:hAnsi="Times New Roman" w:cs="Times New Roman"/>
          <w:i w:val="0"/>
          <w:color w:val="auto"/>
          <w:sz w:val="20"/>
          <w:szCs w:val="20"/>
        </w:rPr>
      </w:pPr>
      <w:r w:rsidRPr="008D760A">
        <w:rPr>
          <w:rStyle w:val="FootnoteReference"/>
          <w:rFonts w:ascii="Times New Roman" w:hAnsi="Times New Roman" w:cs="Times New Roman"/>
          <w:i w:val="0"/>
          <w:color w:val="auto"/>
          <w:sz w:val="20"/>
          <w:szCs w:val="20"/>
        </w:rPr>
        <w:footnoteRef/>
      </w:r>
      <w:r w:rsidRPr="00CD02A6">
        <w:rPr>
          <w:rFonts w:ascii="Times New Roman" w:hAnsi="Times New Roman" w:cs="Times New Roman"/>
          <w:i w:val="0"/>
          <w:color w:val="auto"/>
          <w:sz w:val="20"/>
          <w:szCs w:val="20"/>
        </w:rPr>
        <w:t xml:space="preserve"> </w:t>
      </w:r>
      <w:r w:rsidRPr="00CD02A6">
        <w:rPr>
          <w:rFonts w:ascii="Times New Roman" w:eastAsiaTheme="minorHAnsi" w:hAnsi="Times New Roman" w:cs="Times New Roman"/>
          <w:i w:val="0"/>
          <w:iCs w:val="0"/>
          <w:color w:val="auto"/>
          <w:sz w:val="20"/>
          <w:szCs w:val="20"/>
        </w:rPr>
        <w:t>Les collectivités locales ne sont pas officiellement membres ces conseils d’admin</w:t>
      </w:r>
      <w:r>
        <w:rPr>
          <w:rFonts w:ascii="Times New Roman" w:eastAsiaTheme="minorHAnsi" w:hAnsi="Times New Roman" w:cs="Times New Roman"/>
          <w:i w:val="0"/>
          <w:iCs w:val="0"/>
          <w:color w:val="auto"/>
          <w:sz w:val="20"/>
          <w:szCs w:val="20"/>
        </w:rPr>
        <w:t>istrations des agences urbaines</w:t>
      </w:r>
      <w:r w:rsidRPr="00CD02A6">
        <w:rPr>
          <w:rFonts w:ascii="Times New Roman" w:eastAsiaTheme="minorHAnsi" w:hAnsi="Times New Roman" w:cs="Times New Roman"/>
          <w:i w:val="0"/>
          <w:iCs w:val="0"/>
          <w:color w:val="auto"/>
          <w:sz w:val="20"/>
          <w:szCs w:val="20"/>
        </w:rPr>
        <w:t> (art.3 du décret</w:t>
      </w:r>
      <w:r w:rsidRPr="00CD02A6">
        <w:rPr>
          <w:rFonts w:ascii="Times New Roman" w:hAnsi="Times New Roman" w:cs="Times New Roman"/>
          <w:i w:val="0"/>
          <w:color w:val="auto"/>
          <w:sz w:val="20"/>
          <w:szCs w:val="20"/>
        </w:rPr>
        <w:t xml:space="preserve"> </w:t>
      </w:r>
      <w:r w:rsidRPr="00CD02A6">
        <w:rPr>
          <w:rFonts w:ascii="Times New Roman" w:eastAsiaTheme="minorHAnsi" w:hAnsi="Times New Roman" w:cs="Times New Roman"/>
          <w:i w:val="0"/>
          <w:iCs w:val="0"/>
          <w:color w:val="auto"/>
          <w:sz w:val="20"/>
          <w:szCs w:val="20"/>
        </w:rPr>
        <w:t xml:space="preserve">d’application n° 2-93-67 de 1993 </w:t>
      </w:r>
      <w:hyperlink r:id="rId1" w:anchor="collapse8" w:history="1">
        <w:r w:rsidRPr="00CD02A6">
          <w:rPr>
            <w:rFonts w:ascii="Times New Roman" w:eastAsiaTheme="minorHAnsi" w:hAnsi="Times New Roman" w:cs="Times New Roman"/>
            <w:i w:val="0"/>
            <w:iCs w:val="0"/>
            <w:color w:val="auto"/>
            <w:sz w:val="20"/>
            <w:szCs w:val="20"/>
          </w:rPr>
          <w:t>du dahir de 1993 sur les Agences Urbaines).</w:t>
        </w:r>
      </w:hyperlink>
    </w:p>
  </w:footnote>
  <w:footnote w:id="65">
    <w:p w14:paraId="7C9B7C03" w14:textId="75EEF646" w:rsidR="007E4D90" w:rsidRPr="00CD02A6" w:rsidRDefault="007E4D90" w:rsidP="001E0FA9">
      <w:pPr>
        <w:pStyle w:val="Heading4"/>
        <w:spacing w:before="0" w:line="240" w:lineRule="auto"/>
        <w:jc w:val="both"/>
        <w:rPr>
          <w:rFonts w:ascii="Times New Roman" w:hAnsi="Times New Roman" w:cs="Times New Roman"/>
          <w:color w:val="auto"/>
          <w:sz w:val="20"/>
          <w:szCs w:val="20"/>
        </w:rPr>
      </w:pPr>
      <w:r w:rsidRPr="00CD02A6">
        <w:rPr>
          <w:rStyle w:val="FootnoteReference"/>
          <w:rFonts w:ascii="Times New Roman" w:hAnsi="Times New Roman" w:cs="Times New Roman"/>
          <w:i w:val="0"/>
          <w:color w:val="auto"/>
          <w:sz w:val="20"/>
          <w:szCs w:val="20"/>
        </w:rPr>
        <w:footnoteRef/>
      </w:r>
      <w:r w:rsidRPr="00CD02A6">
        <w:rPr>
          <w:rFonts w:ascii="Times New Roman" w:hAnsi="Times New Roman" w:cs="Times New Roman"/>
          <w:color w:val="auto"/>
          <w:sz w:val="20"/>
          <w:szCs w:val="20"/>
        </w:rPr>
        <w:t xml:space="preserve"> </w:t>
      </w:r>
      <w:r w:rsidRPr="00CD02A6">
        <w:rPr>
          <w:rFonts w:ascii="Times New Roman" w:eastAsiaTheme="minorHAnsi" w:hAnsi="Times New Roman" w:cs="Times New Roman"/>
          <w:i w:val="0"/>
          <w:iCs w:val="0"/>
          <w:color w:val="auto"/>
          <w:sz w:val="20"/>
          <w:szCs w:val="20"/>
        </w:rPr>
        <w:t>La tutelle des agences urbaines est aujourd’hui assurée par l’autorité gouvern</w:t>
      </w:r>
      <w:r>
        <w:rPr>
          <w:rFonts w:ascii="Times New Roman" w:eastAsiaTheme="minorHAnsi" w:hAnsi="Times New Roman" w:cs="Times New Roman"/>
          <w:i w:val="0"/>
          <w:iCs w:val="0"/>
          <w:color w:val="auto"/>
          <w:sz w:val="20"/>
          <w:szCs w:val="20"/>
        </w:rPr>
        <w:t>ementale chargée de l’urbanisme</w:t>
      </w:r>
      <w:r w:rsidRPr="00CD02A6">
        <w:rPr>
          <w:rFonts w:ascii="Times New Roman" w:eastAsiaTheme="minorHAnsi" w:hAnsi="Times New Roman" w:cs="Times New Roman"/>
          <w:i w:val="0"/>
          <w:iCs w:val="0"/>
          <w:color w:val="auto"/>
          <w:sz w:val="20"/>
          <w:szCs w:val="20"/>
        </w:rPr>
        <w:t xml:space="preserve"> (art.1 du décret </w:t>
      </w:r>
      <w:hyperlink r:id="rId2" w:anchor="collapse8" w:history="1">
        <w:r w:rsidRPr="00CD02A6">
          <w:rPr>
            <w:rFonts w:ascii="Times New Roman" w:eastAsiaTheme="minorHAnsi" w:hAnsi="Times New Roman" w:cs="Times New Roman"/>
            <w:i w:val="0"/>
            <w:iCs w:val="0"/>
            <w:color w:val="auto"/>
            <w:sz w:val="20"/>
            <w:szCs w:val="20"/>
          </w:rPr>
          <w:t>d’application du dahir 1993).</w:t>
        </w:r>
      </w:hyperlink>
    </w:p>
  </w:footnote>
  <w:footnote w:id="66">
    <w:p w14:paraId="73F180F0" w14:textId="77777777" w:rsidR="007E4D90" w:rsidRPr="00AA5E11" w:rsidRDefault="007E4D90" w:rsidP="001E0FA9">
      <w:pPr>
        <w:autoSpaceDE w:val="0"/>
        <w:autoSpaceDN w:val="0"/>
        <w:adjustRightInd w:val="0"/>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Plateforme de e-service public Casaurba initiée dans le cadre d’un partenariat entre la Wilaya, l’AUC, le CRI et géré par un acteur économique privé, Ribatis, permettant la consultation en ligne d’informations urbanistiques (PA homologués sur le territoire de Casablanca), l’édition de notes de renseignement avec signature électronique, la gestion des permis construire, la délivrance des permis d’habiter, etc. </w:t>
      </w:r>
    </w:p>
  </w:footnote>
  <w:footnote w:id="67">
    <w:p w14:paraId="12EC6F27" w14:textId="77777777" w:rsidR="007E4D90" w:rsidRPr="00AA5E11" w:rsidRDefault="007E4D90" w:rsidP="001E0FA9">
      <w:pPr>
        <w:widowControl w:val="0"/>
        <w:tabs>
          <w:tab w:val="left" w:pos="284"/>
          <w:tab w:val="left" w:pos="426"/>
        </w:tabs>
        <w:spacing w:after="0" w:line="240" w:lineRule="auto"/>
        <w:jc w:val="both"/>
        <w:rPr>
          <w:rFonts w:ascii="Times New Roman" w:hAnsi="Times New Roman" w:cs="Times New Roman"/>
          <w:sz w:val="20"/>
          <w:szCs w:val="20"/>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A l’égal du Comité Interministériel pour le Développement Territorial (CIDT) crée par la SNDU et regroupant l’ensemble des secrétaires généraux des Ministères ou encore de la mission interministérielle mise en place dans le cadre du Dialogue OCDE-Maroc sur les politiques de développement territorial qui rassemble les représentants de 10 ministères dont les services du Chef du Gouvernement, le MATUHPV et le Ministère de l’Intérieur et de l’Association des Régions du Maroc.</w:t>
      </w:r>
    </w:p>
  </w:footnote>
  <w:footnote w:id="68">
    <w:p w14:paraId="57226FB0" w14:textId="7A266A0E" w:rsidR="007E4D90" w:rsidRPr="00AA5E11" w:rsidRDefault="007E4D90" w:rsidP="00095A49">
      <w:pPr>
        <w:widowControl w:val="0"/>
        <w:spacing w:after="0" w:line="240" w:lineRule="auto"/>
        <w:rPr>
          <w:rFonts w:ascii="Times New Roman" w:eastAsia="Times New Roman" w:hAnsi="Times New Roman" w:cs="Times New Roman"/>
          <w:snapToGrid w:val="0"/>
          <w:color w:val="000000"/>
          <w:sz w:val="20"/>
          <w:szCs w:val="20"/>
          <w:lang w:eastAsia="fr-FR"/>
        </w:rPr>
      </w:pPr>
      <w:r w:rsidRPr="00AA5E11">
        <w:rPr>
          <w:rStyle w:val="FootnoteReference"/>
          <w:rFonts w:ascii="Times New Roman" w:hAnsi="Times New Roman" w:cs="Times New Roman"/>
          <w:sz w:val="20"/>
          <w:szCs w:val="20"/>
        </w:rPr>
        <w:footnoteRef/>
      </w:r>
      <w:r w:rsidRPr="00AA5E11">
        <w:rPr>
          <w:rFonts w:ascii="Times New Roman" w:hAnsi="Times New Roman" w:cs="Times New Roman"/>
          <w:sz w:val="20"/>
          <w:szCs w:val="20"/>
        </w:rPr>
        <w:t xml:space="preserve"> </w:t>
      </w:r>
      <w:r w:rsidRPr="00AA5E11">
        <w:rPr>
          <w:rFonts w:ascii="Times New Roman" w:eastAsia="Times New Roman" w:hAnsi="Times New Roman" w:cs="Times New Roman"/>
          <w:snapToGrid w:val="0"/>
          <w:color w:val="000000"/>
          <w:sz w:val="20"/>
          <w:szCs w:val="20"/>
          <w:lang w:eastAsia="fr-FR"/>
        </w:rPr>
        <w:t xml:space="preserve">Annonce d’une politique urbaine nationale, objectif figurant au programme du gouvernement, stratégie nationale foncière et son plan d’action, dialogue Maroc / OCDE sur les politiques de développement territorial et la métropolisation, étude sur la refonte du système de planification urbaine, Charte de la déconcentration administrative, Stratégie Nationale de Développement Durable et sa déclinaison opérationnelle </w:t>
      </w:r>
    </w:p>
    <w:p w14:paraId="3430B659" w14:textId="35853F8B" w:rsidR="007E4D90" w:rsidRDefault="007E4D90" w:rsidP="00935EE9">
      <w:pPr>
        <w:widowControl w:val="0"/>
        <w:tabs>
          <w:tab w:val="left" w:pos="284"/>
          <w:tab w:val="left" w:pos="426"/>
        </w:tabs>
        <w:spacing w:after="0" w:line="240" w:lineRule="auto"/>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E5888"/>
    <w:multiLevelType w:val="hybridMultilevel"/>
    <w:tmpl w:val="6D2A759C"/>
    <w:lvl w:ilvl="0" w:tplc="FDE86F72">
      <w:start w:val="1"/>
      <w:numFmt w:val="bullet"/>
      <w:lvlText w:val="-"/>
      <w:lvlJc w:val="left"/>
      <w:pPr>
        <w:ind w:left="1785" w:hanging="360"/>
      </w:pPr>
      <w:rPr>
        <w:rFonts w:ascii="Calibri" w:eastAsiaTheme="minorHAnsi" w:hAnsi="Calibri" w:cstheme="minorBidi"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 w15:restartNumberingAfterBreak="0">
    <w:nsid w:val="079C1850"/>
    <w:multiLevelType w:val="hybridMultilevel"/>
    <w:tmpl w:val="655AA6EC"/>
    <w:lvl w:ilvl="0" w:tplc="36AA6702">
      <w:start w:val="1"/>
      <w:numFmt w:val="decimal"/>
      <w:pStyle w:val="Numbered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020DF"/>
    <w:multiLevelType w:val="hybridMultilevel"/>
    <w:tmpl w:val="AEC2FB32"/>
    <w:lvl w:ilvl="0" w:tplc="F23444E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91410E"/>
    <w:multiLevelType w:val="hybridMultilevel"/>
    <w:tmpl w:val="466ADA2E"/>
    <w:lvl w:ilvl="0" w:tplc="B83C4D10">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3D5852"/>
    <w:multiLevelType w:val="hybridMultilevel"/>
    <w:tmpl w:val="D4B24132"/>
    <w:lvl w:ilvl="0" w:tplc="02188AC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DD319E"/>
    <w:multiLevelType w:val="hybridMultilevel"/>
    <w:tmpl w:val="6D3638F6"/>
    <w:lvl w:ilvl="0" w:tplc="FDE86F72">
      <w:start w:val="1"/>
      <w:numFmt w:val="bullet"/>
      <w:lvlText w:val="-"/>
      <w:lvlJc w:val="left"/>
      <w:pPr>
        <w:ind w:left="1785" w:hanging="360"/>
      </w:pPr>
      <w:rPr>
        <w:rFonts w:ascii="Calibri" w:eastAsiaTheme="minorHAnsi" w:hAnsi="Calibri" w:cstheme="minorBidi"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6" w15:restartNumberingAfterBreak="0">
    <w:nsid w:val="2FBA27F8"/>
    <w:multiLevelType w:val="hybridMultilevel"/>
    <w:tmpl w:val="466ADA2E"/>
    <w:lvl w:ilvl="0" w:tplc="B83C4D10">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3F2471"/>
    <w:multiLevelType w:val="hybridMultilevel"/>
    <w:tmpl w:val="97FAC2A0"/>
    <w:lvl w:ilvl="0" w:tplc="31D4FA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5F4595"/>
    <w:multiLevelType w:val="hybridMultilevel"/>
    <w:tmpl w:val="403CC7B4"/>
    <w:lvl w:ilvl="0" w:tplc="40263C28">
      <w:start w:val="1"/>
      <w:numFmt w:val="lowerRoman"/>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6882352"/>
    <w:multiLevelType w:val="hybridMultilevel"/>
    <w:tmpl w:val="74F8B79C"/>
    <w:lvl w:ilvl="0" w:tplc="40263C28">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7F11F30"/>
    <w:multiLevelType w:val="hybridMultilevel"/>
    <w:tmpl w:val="5808B56C"/>
    <w:lvl w:ilvl="0" w:tplc="40263C28">
      <w:start w:val="1"/>
      <w:numFmt w:val="lowerRoman"/>
      <w:lvlText w:val="(%1)"/>
      <w:lvlJc w:val="left"/>
      <w:pPr>
        <w:ind w:left="81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8B7D26"/>
    <w:multiLevelType w:val="hybridMultilevel"/>
    <w:tmpl w:val="A86A5C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007634"/>
    <w:multiLevelType w:val="hybridMultilevel"/>
    <w:tmpl w:val="8710DB22"/>
    <w:lvl w:ilvl="0" w:tplc="84F063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652E84"/>
    <w:multiLevelType w:val="hybridMultilevel"/>
    <w:tmpl w:val="8152BCEE"/>
    <w:lvl w:ilvl="0" w:tplc="04090011">
      <w:start w:val="1"/>
      <w:numFmt w:val="decimal"/>
      <w:lvlText w:val="%1)"/>
      <w:lvlJc w:val="lef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3D50ED"/>
    <w:multiLevelType w:val="hybridMultilevel"/>
    <w:tmpl w:val="6C58F49E"/>
    <w:lvl w:ilvl="0" w:tplc="A64E8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8E6253"/>
    <w:multiLevelType w:val="hybridMultilevel"/>
    <w:tmpl w:val="EF4493D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1B4763E"/>
    <w:multiLevelType w:val="hybridMultilevel"/>
    <w:tmpl w:val="F48414A2"/>
    <w:lvl w:ilvl="0" w:tplc="C94AD3A6">
      <w:start w:val="1"/>
      <w:numFmt w:val="bullet"/>
      <w:lvlText w:val=""/>
      <w:lvlJc w:val="left"/>
      <w:pPr>
        <w:ind w:left="720" w:hanging="360"/>
      </w:pPr>
      <w:rPr>
        <w:rFonts w:ascii="Symbol" w:hAnsi="Symbol" w:hint="default"/>
        <w:color w:val="auto"/>
        <w:sz w:val="1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EE0CB8"/>
    <w:multiLevelType w:val="hybridMultilevel"/>
    <w:tmpl w:val="466ADA2E"/>
    <w:lvl w:ilvl="0" w:tplc="B83C4D10">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29537F"/>
    <w:multiLevelType w:val="hybridMultilevel"/>
    <w:tmpl w:val="AEC2FB32"/>
    <w:lvl w:ilvl="0" w:tplc="F23444E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7E7550F"/>
    <w:multiLevelType w:val="hybridMultilevel"/>
    <w:tmpl w:val="AEC2FB32"/>
    <w:lvl w:ilvl="0" w:tplc="F23444E6">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81409A4"/>
    <w:multiLevelType w:val="hybridMultilevel"/>
    <w:tmpl w:val="4B94F5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9D6B8B"/>
    <w:multiLevelType w:val="singleLevel"/>
    <w:tmpl w:val="24424408"/>
    <w:lvl w:ilvl="0">
      <w:start w:val="1"/>
      <w:numFmt w:val="bullet"/>
      <w:pStyle w:val="ListBullet"/>
      <w:lvlText w:val=""/>
      <w:lvlJc w:val="left"/>
      <w:pPr>
        <w:tabs>
          <w:tab w:val="num" w:pos="360"/>
        </w:tabs>
        <w:ind w:left="360" w:hanging="360"/>
      </w:pPr>
      <w:rPr>
        <w:rFonts w:ascii="Wingdings" w:hAnsi="Wingdings" w:hint="default"/>
      </w:rPr>
    </w:lvl>
  </w:abstractNum>
  <w:abstractNum w:abstractNumId="22" w15:restartNumberingAfterBreak="0">
    <w:nsid w:val="6C66491F"/>
    <w:multiLevelType w:val="hybridMultilevel"/>
    <w:tmpl w:val="B0706248"/>
    <w:lvl w:ilvl="0" w:tplc="DAD48EA8">
      <w:start w:val="1"/>
      <w:numFmt w:val="decimal"/>
      <w:lvlText w:val="%1)"/>
      <w:lvlJc w:val="left"/>
      <w:pPr>
        <w:ind w:left="540" w:hanging="360"/>
      </w:pPr>
      <w:rPr>
        <w:rFonts w:ascii="Times New Roman" w:eastAsiaTheme="minorHAnsi" w:hAnsi="Times New Roman" w:cs="Times New Roman"/>
        <w:color w:val="auto"/>
        <w:sz w:val="24"/>
        <w:szCs w:val="24"/>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23" w15:restartNumberingAfterBreak="0">
    <w:nsid w:val="6D1F7CCE"/>
    <w:multiLevelType w:val="hybridMultilevel"/>
    <w:tmpl w:val="C58AD670"/>
    <w:lvl w:ilvl="0" w:tplc="45B49C7A">
      <w:start w:val="1"/>
      <w:numFmt w:val="decimal"/>
      <w:lvlText w:val="%1)"/>
      <w:lvlJc w:val="left"/>
      <w:pPr>
        <w:ind w:left="720" w:hanging="360"/>
      </w:pPr>
      <w:rPr>
        <w:rFonts w:ascii="Times New Roman" w:eastAsiaTheme="minorHAnsi" w:hAnsi="Times New Roman" w:cs="Times New Roman"/>
        <w:color w:val="auto"/>
        <w:sz w:val="24"/>
        <w:szCs w:val="24"/>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6E2FD8"/>
    <w:multiLevelType w:val="hybridMultilevel"/>
    <w:tmpl w:val="4E6E56A2"/>
    <w:lvl w:ilvl="0" w:tplc="DD9E861A">
      <w:start w:val="1"/>
      <w:numFmt w:val="lowerRoman"/>
      <w:lvlText w:val="(%1)"/>
      <w:lvlJc w:val="left"/>
      <w:pPr>
        <w:ind w:left="720" w:hanging="360"/>
      </w:pPr>
      <w:rPr>
        <w:rFonts w:hint="default"/>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415BD2"/>
    <w:multiLevelType w:val="hybridMultilevel"/>
    <w:tmpl w:val="B0706248"/>
    <w:lvl w:ilvl="0" w:tplc="DAD48EA8">
      <w:start w:val="1"/>
      <w:numFmt w:val="decimal"/>
      <w:lvlText w:val="%1)"/>
      <w:lvlJc w:val="left"/>
      <w:pPr>
        <w:ind w:left="540" w:hanging="360"/>
      </w:pPr>
      <w:rPr>
        <w:rFonts w:ascii="Times New Roman" w:eastAsiaTheme="minorHAnsi" w:hAnsi="Times New Roman" w:cs="Times New Roman"/>
        <w:color w:val="auto"/>
        <w:sz w:val="24"/>
        <w:szCs w:val="24"/>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26" w15:restartNumberingAfterBreak="0">
    <w:nsid w:val="7EBF440B"/>
    <w:multiLevelType w:val="hybridMultilevel"/>
    <w:tmpl w:val="405675E4"/>
    <w:lvl w:ilvl="0" w:tplc="40263C28">
      <w:start w:val="1"/>
      <w:numFmt w:val="lowerRoman"/>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1"/>
  </w:num>
  <w:num w:numId="2">
    <w:abstractNumId w:val="2"/>
  </w:num>
  <w:num w:numId="3">
    <w:abstractNumId w:val="18"/>
  </w:num>
  <w:num w:numId="4">
    <w:abstractNumId w:val="19"/>
  </w:num>
  <w:num w:numId="5">
    <w:abstractNumId w:val="4"/>
  </w:num>
  <w:num w:numId="6">
    <w:abstractNumId w:val="11"/>
  </w:num>
  <w:num w:numId="7">
    <w:abstractNumId w:val="22"/>
  </w:num>
  <w:num w:numId="8">
    <w:abstractNumId w:val="25"/>
  </w:num>
  <w:num w:numId="9">
    <w:abstractNumId w:val="26"/>
  </w:num>
  <w:num w:numId="10">
    <w:abstractNumId w:val="8"/>
  </w:num>
  <w:num w:numId="11">
    <w:abstractNumId w:val="7"/>
  </w:num>
  <w:num w:numId="12">
    <w:abstractNumId w:val="10"/>
  </w:num>
  <w:num w:numId="13">
    <w:abstractNumId w:val="9"/>
  </w:num>
  <w:num w:numId="14">
    <w:abstractNumId w:val="23"/>
  </w:num>
  <w:num w:numId="15">
    <w:abstractNumId w:val="12"/>
  </w:num>
  <w:num w:numId="16">
    <w:abstractNumId w:val="3"/>
  </w:num>
  <w:num w:numId="17">
    <w:abstractNumId w:val="6"/>
  </w:num>
  <w:num w:numId="18">
    <w:abstractNumId w:val="13"/>
  </w:num>
  <w:num w:numId="19">
    <w:abstractNumId w:val="17"/>
  </w:num>
  <w:num w:numId="20">
    <w:abstractNumId w:val="20"/>
  </w:num>
  <w:num w:numId="21">
    <w:abstractNumId w:val="14"/>
  </w:num>
  <w:num w:numId="22">
    <w:abstractNumId w:val="15"/>
  </w:num>
  <w:num w:numId="23">
    <w:abstractNumId w:val="24"/>
  </w:num>
  <w:num w:numId="24">
    <w:abstractNumId w:val="1"/>
  </w:num>
  <w:num w:numId="25">
    <w:abstractNumId w:val="16"/>
  </w:num>
  <w:num w:numId="26">
    <w:abstractNumId w:val="0"/>
  </w:num>
  <w:num w:numId="27">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0E0"/>
    <w:rsid w:val="00000C02"/>
    <w:rsid w:val="000050E0"/>
    <w:rsid w:val="00007266"/>
    <w:rsid w:val="00014D63"/>
    <w:rsid w:val="000178A7"/>
    <w:rsid w:val="00025BA9"/>
    <w:rsid w:val="00041B67"/>
    <w:rsid w:val="00042428"/>
    <w:rsid w:val="000458F3"/>
    <w:rsid w:val="000462E3"/>
    <w:rsid w:val="00047C17"/>
    <w:rsid w:val="00051D7B"/>
    <w:rsid w:val="00057240"/>
    <w:rsid w:val="000766AA"/>
    <w:rsid w:val="00094F06"/>
    <w:rsid w:val="00095A49"/>
    <w:rsid w:val="000B42F6"/>
    <w:rsid w:val="000C4C1A"/>
    <w:rsid w:val="000E26FF"/>
    <w:rsid w:val="000F426C"/>
    <w:rsid w:val="00100637"/>
    <w:rsid w:val="0010278B"/>
    <w:rsid w:val="00114226"/>
    <w:rsid w:val="00141BAF"/>
    <w:rsid w:val="001423D1"/>
    <w:rsid w:val="00146862"/>
    <w:rsid w:val="00150E9D"/>
    <w:rsid w:val="001527A8"/>
    <w:rsid w:val="00161079"/>
    <w:rsid w:val="001627FF"/>
    <w:rsid w:val="00173D33"/>
    <w:rsid w:val="001A319C"/>
    <w:rsid w:val="001C0116"/>
    <w:rsid w:val="001C1750"/>
    <w:rsid w:val="001D57DD"/>
    <w:rsid w:val="001E0FA9"/>
    <w:rsid w:val="00201B41"/>
    <w:rsid w:val="00202419"/>
    <w:rsid w:val="002518DE"/>
    <w:rsid w:val="0025649D"/>
    <w:rsid w:val="00257FBA"/>
    <w:rsid w:val="002715EB"/>
    <w:rsid w:val="002828F8"/>
    <w:rsid w:val="00290724"/>
    <w:rsid w:val="002C108B"/>
    <w:rsid w:val="002C1754"/>
    <w:rsid w:val="002C75A1"/>
    <w:rsid w:val="002D3F72"/>
    <w:rsid w:val="002E7C1C"/>
    <w:rsid w:val="002F69FD"/>
    <w:rsid w:val="003029FF"/>
    <w:rsid w:val="00315EC3"/>
    <w:rsid w:val="00334838"/>
    <w:rsid w:val="00337B61"/>
    <w:rsid w:val="003400BB"/>
    <w:rsid w:val="003417E8"/>
    <w:rsid w:val="00354227"/>
    <w:rsid w:val="0037305F"/>
    <w:rsid w:val="00385E89"/>
    <w:rsid w:val="00386F09"/>
    <w:rsid w:val="003A223C"/>
    <w:rsid w:val="003A23C8"/>
    <w:rsid w:val="003A4C32"/>
    <w:rsid w:val="003C0A1D"/>
    <w:rsid w:val="003C545E"/>
    <w:rsid w:val="003C7D12"/>
    <w:rsid w:val="003E5319"/>
    <w:rsid w:val="003F303B"/>
    <w:rsid w:val="003F5D2D"/>
    <w:rsid w:val="004006CB"/>
    <w:rsid w:val="00410A21"/>
    <w:rsid w:val="0041296D"/>
    <w:rsid w:val="00423E2E"/>
    <w:rsid w:val="00425795"/>
    <w:rsid w:val="004347C1"/>
    <w:rsid w:val="00447DE1"/>
    <w:rsid w:val="004A40EB"/>
    <w:rsid w:val="004B37B7"/>
    <w:rsid w:val="004B5914"/>
    <w:rsid w:val="004C0669"/>
    <w:rsid w:val="004C541D"/>
    <w:rsid w:val="004F259D"/>
    <w:rsid w:val="004F4E78"/>
    <w:rsid w:val="004F55F9"/>
    <w:rsid w:val="005006F2"/>
    <w:rsid w:val="00500C2E"/>
    <w:rsid w:val="00510961"/>
    <w:rsid w:val="00520E79"/>
    <w:rsid w:val="005275AA"/>
    <w:rsid w:val="00532A8F"/>
    <w:rsid w:val="0053385E"/>
    <w:rsid w:val="00533F3A"/>
    <w:rsid w:val="00552510"/>
    <w:rsid w:val="00557F99"/>
    <w:rsid w:val="0057683E"/>
    <w:rsid w:val="0058008B"/>
    <w:rsid w:val="00582D14"/>
    <w:rsid w:val="005A1A0D"/>
    <w:rsid w:val="005B3A22"/>
    <w:rsid w:val="005C3ED7"/>
    <w:rsid w:val="005D4AC5"/>
    <w:rsid w:val="005D4D5F"/>
    <w:rsid w:val="005E41CD"/>
    <w:rsid w:val="005F4046"/>
    <w:rsid w:val="005F5BF8"/>
    <w:rsid w:val="00600AED"/>
    <w:rsid w:val="00605A3B"/>
    <w:rsid w:val="00611B13"/>
    <w:rsid w:val="006165F2"/>
    <w:rsid w:val="00622435"/>
    <w:rsid w:val="006644A5"/>
    <w:rsid w:val="00664C8E"/>
    <w:rsid w:val="006960FD"/>
    <w:rsid w:val="006C3FEA"/>
    <w:rsid w:val="006E0D84"/>
    <w:rsid w:val="006E25B1"/>
    <w:rsid w:val="006E68F4"/>
    <w:rsid w:val="007008C9"/>
    <w:rsid w:val="00710A92"/>
    <w:rsid w:val="0071165F"/>
    <w:rsid w:val="007155B3"/>
    <w:rsid w:val="00724FA4"/>
    <w:rsid w:val="00727567"/>
    <w:rsid w:val="007301A8"/>
    <w:rsid w:val="007302F7"/>
    <w:rsid w:val="0073754C"/>
    <w:rsid w:val="007510D8"/>
    <w:rsid w:val="00765C90"/>
    <w:rsid w:val="00772A45"/>
    <w:rsid w:val="00777E8E"/>
    <w:rsid w:val="007903B5"/>
    <w:rsid w:val="007956B3"/>
    <w:rsid w:val="007A0AD0"/>
    <w:rsid w:val="007A10D0"/>
    <w:rsid w:val="007A78AB"/>
    <w:rsid w:val="007B71FA"/>
    <w:rsid w:val="007C2D71"/>
    <w:rsid w:val="007D2082"/>
    <w:rsid w:val="007E16CC"/>
    <w:rsid w:val="007E4D90"/>
    <w:rsid w:val="007F30E1"/>
    <w:rsid w:val="00805819"/>
    <w:rsid w:val="00817ED6"/>
    <w:rsid w:val="00823028"/>
    <w:rsid w:val="008406AC"/>
    <w:rsid w:val="0084759B"/>
    <w:rsid w:val="00852676"/>
    <w:rsid w:val="008667CD"/>
    <w:rsid w:val="00871D75"/>
    <w:rsid w:val="00883804"/>
    <w:rsid w:val="00884564"/>
    <w:rsid w:val="008C2AC3"/>
    <w:rsid w:val="008D24CA"/>
    <w:rsid w:val="008D760A"/>
    <w:rsid w:val="008E4F70"/>
    <w:rsid w:val="00913F4C"/>
    <w:rsid w:val="00935EE9"/>
    <w:rsid w:val="00946A39"/>
    <w:rsid w:val="0096632C"/>
    <w:rsid w:val="00971E07"/>
    <w:rsid w:val="00976971"/>
    <w:rsid w:val="00982BCE"/>
    <w:rsid w:val="00983693"/>
    <w:rsid w:val="00996C5D"/>
    <w:rsid w:val="00997BFC"/>
    <w:rsid w:val="009B72D2"/>
    <w:rsid w:val="009C1320"/>
    <w:rsid w:val="009C1B7C"/>
    <w:rsid w:val="009C2620"/>
    <w:rsid w:val="009C53D1"/>
    <w:rsid w:val="009D56FD"/>
    <w:rsid w:val="009D58C7"/>
    <w:rsid w:val="009D65D1"/>
    <w:rsid w:val="009E73E6"/>
    <w:rsid w:val="009F4010"/>
    <w:rsid w:val="00A1233E"/>
    <w:rsid w:val="00A33335"/>
    <w:rsid w:val="00A42FB5"/>
    <w:rsid w:val="00A43F5A"/>
    <w:rsid w:val="00A465DB"/>
    <w:rsid w:val="00A763B3"/>
    <w:rsid w:val="00A87F96"/>
    <w:rsid w:val="00A923E3"/>
    <w:rsid w:val="00AA5E11"/>
    <w:rsid w:val="00AA6925"/>
    <w:rsid w:val="00AB164B"/>
    <w:rsid w:val="00AC3BAB"/>
    <w:rsid w:val="00AC73A7"/>
    <w:rsid w:val="00AD322F"/>
    <w:rsid w:val="00B0153F"/>
    <w:rsid w:val="00B11FF2"/>
    <w:rsid w:val="00B37ADA"/>
    <w:rsid w:val="00B37DD9"/>
    <w:rsid w:val="00B4544E"/>
    <w:rsid w:val="00B50DCD"/>
    <w:rsid w:val="00B560D1"/>
    <w:rsid w:val="00B618FD"/>
    <w:rsid w:val="00B627C9"/>
    <w:rsid w:val="00B73B17"/>
    <w:rsid w:val="00BA25E5"/>
    <w:rsid w:val="00BA2773"/>
    <w:rsid w:val="00BA7FEF"/>
    <w:rsid w:val="00BC2EA2"/>
    <w:rsid w:val="00BF1F86"/>
    <w:rsid w:val="00BF64FD"/>
    <w:rsid w:val="00C0003D"/>
    <w:rsid w:val="00C04FE4"/>
    <w:rsid w:val="00C26F4A"/>
    <w:rsid w:val="00C377E9"/>
    <w:rsid w:val="00C37F9F"/>
    <w:rsid w:val="00C41CE8"/>
    <w:rsid w:val="00C45F83"/>
    <w:rsid w:val="00C66863"/>
    <w:rsid w:val="00C92224"/>
    <w:rsid w:val="00C92C44"/>
    <w:rsid w:val="00C94254"/>
    <w:rsid w:val="00CB0762"/>
    <w:rsid w:val="00CC7490"/>
    <w:rsid w:val="00CD02A6"/>
    <w:rsid w:val="00CD3C92"/>
    <w:rsid w:val="00CE3A8B"/>
    <w:rsid w:val="00CE77C5"/>
    <w:rsid w:val="00CF21CE"/>
    <w:rsid w:val="00D030A9"/>
    <w:rsid w:val="00D14C96"/>
    <w:rsid w:val="00D16F7E"/>
    <w:rsid w:val="00D33865"/>
    <w:rsid w:val="00D353A8"/>
    <w:rsid w:val="00D354FC"/>
    <w:rsid w:val="00D67EFF"/>
    <w:rsid w:val="00D82277"/>
    <w:rsid w:val="00D9389E"/>
    <w:rsid w:val="00DB55DE"/>
    <w:rsid w:val="00DB77B2"/>
    <w:rsid w:val="00DC196E"/>
    <w:rsid w:val="00DC2642"/>
    <w:rsid w:val="00DD4B80"/>
    <w:rsid w:val="00DE1419"/>
    <w:rsid w:val="00DE6EBD"/>
    <w:rsid w:val="00DF73A9"/>
    <w:rsid w:val="00E01971"/>
    <w:rsid w:val="00E037B9"/>
    <w:rsid w:val="00E543CB"/>
    <w:rsid w:val="00E612F4"/>
    <w:rsid w:val="00E66F77"/>
    <w:rsid w:val="00E9654C"/>
    <w:rsid w:val="00EA4504"/>
    <w:rsid w:val="00EA56F8"/>
    <w:rsid w:val="00EB3529"/>
    <w:rsid w:val="00EC64AC"/>
    <w:rsid w:val="00EE5B92"/>
    <w:rsid w:val="00EF6135"/>
    <w:rsid w:val="00F20D37"/>
    <w:rsid w:val="00F21A58"/>
    <w:rsid w:val="00F267BF"/>
    <w:rsid w:val="00F42327"/>
    <w:rsid w:val="00F535A5"/>
    <w:rsid w:val="00F62834"/>
    <w:rsid w:val="00F65363"/>
    <w:rsid w:val="00F664CB"/>
    <w:rsid w:val="00FA0572"/>
    <w:rsid w:val="00FC07BF"/>
    <w:rsid w:val="00FD05E3"/>
    <w:rsid w:val="00FD52F9"/>
    <w:rsid w:val="00FF65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EBCC4"/>
  <w15:chartTrackingRefBased/>
  <w15:docId w15:val="{CF25D3D9-3EB3-4629-B79A-ECF80B0C5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50E0"/>
  </w:style>
  <w:style w:type="paragraph" w:styleId="Heading1">
    <w:name w:val="heading 1"/>
    <w:basedOn w:val="Normal"/>
    <w:link w:val="Heading1Char"/>
    <w:uiPriority w:val="9"/>
    <w:qFormat/>
    <w:rsid w:val="000050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next w:val="Normal"/>
    <w:link w:val="Heading2Char"/>
    <w:uiPriority w:val="9"/>
    <w:unhideWhenUsed/>
    <w:qFormat/>
    <w:rsid w:val="000050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50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050E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0E0"/>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0050E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050E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050E0"/>
    <w:rPr>
      <w:rFonts w:asciiTheme="majorHAnsi" w:eastAsiaTheme="majorEastAsia" w:hAnsiTheme="majorHAnsi" w:cstheme="majorBidi"/>
      <w:i/>
      <w:iCs/>
      <w:color w:val="2E74B5" w:themeColor="accent1" w:themeShade="BF"/>
    </w:rPr>
  </w:style>
  <w:style w:type="paragraph" w:styleId="ListParagraph">
    <w:name w:val="List Paragraph"/>
    <w:aliases w:val="Main numbered paragraph,Ss titre,List Paragraph1,Numbered List Paragraph,List Bullet Mary,Bullets,List Paragraph (numbered (a)) Char,List Paragraph Char Char Char,List Paragraph (numbered (a)),Use Case List Paragraph,List Paragraph2"/>
    <w:basedOn w:val="Normal"/>
    <w:link w:val="ListParagraphChar"/>
    <w:uiPriority w:val="34"/>
    <w:qFormat/>
    <w:rsid w:val="000050E0"/>
    <w:pPr>
      <w:ind w:left="720"/>
      <w:contextualSpacing/>
    </w:pPr>
  </w:style>
  <w:style w:type="character" w:customStyle="1" w:styleId="ListParagraphChar">
    <w:name w:val="List Paragraph Char"/>
    <w:aliases w:val="Main numbered paragraph Char,Ss titre Char,List Paragraph1 Char,Numbered List Paragraph Char,List Bullet Mary Char,Bullets Char,List Paragraph (numbered (a)) Char Char,List Paragraph Char Char Char Char,Use Case List Paragraph Char"/>
    <w:basedOn w:val="DefaultParagraphFont"/>
    <w:link w:val="ListParagraph"/>
    <w:uiPriority w:val="34"/>
    <w:locked/>
    <w:rsid w:val="000050E0"/>
  </w:style>
  <w:style w:type="character" w:styleId="FootnoteReference">
    <w:name w:val="footnote reference"/>
    <w:aliases w:val="Error-Fußnotenzeichen5,Error-Fußnotenzeichen6,Error-Fußnotenzeichen3,RSC_WP (footnote reference),Footnote symbol,Footnote Reference1,Normale + Tipo di carattere: 12 Punti,Apice 3 Punti,Normale + Tipo di carattere: 12 Punti1,ftref"/>
    <w:basedOn w:val="DefaultParagraphFont"/>
    <w:link w:val="BVIfnrCarCarCarCarChar"/>
    <w:qFormat/>
    <w:rsid w:val="000050E0"/>
    <w:rPr>
      <w:rFonts w:ascii="Arial" w:hAnsi="Arial"/>
      <w:sz w:val="18"/>
      <w:vertAlign w:val="superscript"/>
    </w:rPr>
  </w:style>
  <w:style w:type="paragraph" w:styleId="FootnoteText">
    <w:name w:val="footnote text"/>
    <w:aliases w:val="Car Car Car,Car Car Car Car Car Car,Car Car Car Car Car Car Car Car Car,Car Car,Car, Char Char Char, Char Char Car Car,RSC_WP (footnotes),single space,Sharp - Footnote Text,Footnote Text - Sharp,FOOTNOTES,fn,Footnote Text Char,ADB,ft"/>
    <w:basedOn w:val="Normal"/>
    <w:link w:val="FootnoteTextChar1"/>
    <w:qFormat/>
    <w:rsid w:val="000050E0"/>
    <w:pPr>
      <w:spacing w:after="0" w:line="240" w:lineRule="auto"/>
      <w:ind w:left="851"/>
      <w:jc w:val="both"/>
    </w:pPr>
    <w:rPr>
      <w:rFonts w:ascii="Arial" w:eastAsia="Times New Roman" w:hAnsi="Arial" w:cs="Times New Roman"/>
      <w:snapToGrid w:val="0"/>
      <w:color w:val="000000"/>
      <w:sz w:val="18"/>
      <w:szCs w:val="20"/>
      <w:lang w:eastAsia="fr-FR"/>
    </w:rPr>
  </w:style>
  <w:style w:type="character" w:customStyle="1" w:styleId="FootnoteTextChar1">
    <w:name w:val="Footnote Text Char1"/>
    <w:aliases w:val="Car Car Car Char,Car Car Car Car Car Car Char,Car Car Car Car Car Car Car Car Car Char,Car Car Char,Car Char, Char Char Char Char, Char Char Car Car Char,RSC_WP (footnotes) Char,single space Char,Sharp - Footnote Text Char,fn Char"/>
    <w:basedOn w:val="DefaultParagraphFont"/>
    <w:link w:val="FootnoteText"/>
    <w:qFormat/>
    <w:rsid w:val="000050E0"/>
    <w:rPr>
      <w:rFonts w:ascii="Arial" w:eastAsia="Times New Roman" w:hAnsi="Arial" w:cs="Times New Roman"/>
      <w:snapToGrid w:val="0"/>
      <w:color w:val="000000"/>
      <w:sz w:val="18"/>
      <w:szCs w:val="20"/>
      <w:lang w:eastAsia="fr-FR"/>
    </w:rPr>
  </w:style>
  <w:style w:type="paragraph" w:customStyle="1" w:styleId="yiv2009256736ydp1400b776msonormal">
    <w:name w:val="yiv2009256736ydp1400b776msonormal"/>
    <w:basedOn w:val="Normal"/>
    <w:rsid w:val="000050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8211811672ydp1400b776msonormal">
    <w:name w:val="yiv8211811672ydp1400b776msonormal"/>
    <w:basedOn w:val="Normal"/>
    <w:rsid w:val="000050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unhideWhenUsed/>
    <w:rsid w:val="000050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50E0"/>
  </w:style>
  <w:style w:type="paragraph" w:styleId="Footer">
    <w:name w:val="footer"/>
    <w:basedOn w:val="Normal"/>
    <w:link w:val="FooterChar"/>
    <w:uiPriority w:val="99"/>
    <w:unhideWhenUsed/>
    <w:rsid w:val="000050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50E0"/>
  </w:style>
  <w:style w:type="character" w:styleId="CommentReference">
    <w:name w:val="annotation reference"/>
    <w:basedOn w:val="DefaultParagraphFont"/>
    <w:uiPriority w:val="99"/>
    <w:semiHidden/>
    <w:unhideWhenUsed/>
    <w:rsid w:val="000050E0"/>
    <w:rPr>
      <w:sz w:val="16"/>
      <w:szCs w:val="16"/>
    </w:rPr>
  </w:style>
  <w:style w:type="paragraph" w:styleId="CommentText">
    <w:name w:val="annotation text"/>
    <w:basedOn w:val="Normal"/>
    <w:link w:val="CommentTextChar"/>
    <w:uiPriority w:val="99"/>
    <w:unhideWhenUsed/>
    <w:rsid w:val="000050E0"/>
    <w:pPr>
      <w:spacing w:line="240" w:lineRule="auto"/>
    </w:pPr>
    <w:rPr>
      <w:sz w:val="20"/>
      <w:szCs w:val="20"/>
    </w:rPr>
  </w:style>
  <w:style w:type="character" w:customStyle="1" w:styleId="CommentTextChar">
    <w:name w:val="Comment Text Char"/>
    <w:basedOn w:val="DefaultParagraphFont"/>
    <w:link w:val="CommentText"/>
    <w:uiPriority w:val="99"/>
    <w:rsid w:val="000050E0"/>
    <w:rPr>
      <w:sz w:val="20"/>
      <w:szCs w:val="20"/>
    </w:rPr>
  </w:style>
  <w:style w:type="paragraph" w:styleId="CommentSubject">
    <w:name w:val="annotation subject"/>
    <w:basedOn w:val="CommentText"/>
    <w:next w:val="CommentText"/>
    <w:link w:val="CommentSubjectChar"/>
    <w:uiPriority w:val="99"/>
    <w:semiHidden/>
    <w:unhideWhenUsed/>
    <w:rsid w:val="000050E0"/>
    <w:rPr>
      <w:b/>
      <w:bCs/>
    </w:rPr>
  </w:style>
  <w:style w:type="character" w:customStyle="1" w:styleId="CommentSubjectChar">
    <w:name w:val="Comment Subject Char"/>
    <w:basedOn w:val="CommentTextChar"/>
    <w:link w:val="CommentSubject"/>
    <w:uiPriority w:val="99"/>
    <w:semiHidden/>
    <w:rsid w:val="000050E0"/>
    <w:rPr>
      <w:b/>
      <w:bCs/>
      <w:sz w:val="20"/>
      <w:szCs w:val="20"/>
    </w:rPr>
  </w:style>
  <w:style w:type="paragraph" w:styleId="BalloonText">
    <w:name w:val="Balloon Text"/>
    <w:basedOn w:val="Normal"/>
    <w:link w:val="BalloonTextChar"/>
    <w:uiPriority w:val="99"/>
    <w:semiHidden/>
    <w:unhideWhenUsed/>
    <w:rsid w:val="000050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0E0"/>
    <w:rPr>
      <w:rFonts w:ascii="Segoe UI" w:hAnsi="Segoe UI" w:cs="Segoe UI"/>
      <w:sz w:val="18"/>
      <w:szCs w:val="18"/>
    </w:rPr>
  </w:style>
  <w:style w:type="paragraph" w:styleId="NormalWeb">
    <w:name w:val="Normal (Web)"/>
    <w:basedOn w:val="Normal"/>
    <w:uiPriority w:val="99"/>
    <w:unhideWhenUsed/>
    <w:rsid w:val="000050E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Grid">
    <w:name w:val="Table Grid"/>
    <w:basedOn w:val="TableNormal"/>
    <w:uiPriority w:val="39"/>
    <w:rsid w:val="000050E0"/>
    <w:pPr>
      <w:spacing w:after="0" w:line="240" w:lineRule="auto"/>
      <w:ind w:left="1134" w:right="369"/>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0050E0"/>
    <w:rPr>
      <w:i/>
      <w:iCs/>
    </w:rPr>
  </w:style>
  <w:style w:type="character" w:styleId="Strong">
    <w:name w:val="Strong"/>
    <w:basedOn w:val="DefaultParagraphFont"/>
    <w:uiPriority w:val="22"/>
    <w:qFormat/>
    <w:rsid w:val="000050E0"/>
    <w:rPr>
      <w:b/>
      <w:bCs/>
    </w:rPr>
  </w:style>
  <w:style w:type="character" w:styleId="Hyperlink">
    <w:name w:val="Hyperlink"/>
    <w:basedOn w:val="DefaultParagraphFont"/>
    <w:uiPriority w:val="99"/>
    <w:unhideWhenUsed/>
    <w:rsid w:val="000050E0"/>
    <w:rPr>
      <w:color w:val="0000FF"/>
      <w:u w:val="single"/>
    </w:rPr>
  </w:style>
  <w:style w:type="character" w:customStyle="1" w:styleId="bleu">
    <w:name w:val="bleu"/>
    <w:basedOn w:val="DefaultParagraphFont"/>
    <w:rsid w:val="000050E0"/>
  </w:style>
  <w:style w:type="character" w:customStyle="1" w:styleId="sowc">
    <w:name w:val="sowc"/>
    <w:basedOn w:val="DefaultParagraphFont"/>
    <w:rsid w:val="000050E0"/>
  </w:style>
  <w:style w:type="paragraph" w:styleId="ListBullet">
    <w:name w:val="List Bullet"/>
    <w:basedOn w:val="Normal"/>
    <w:semiHidden/>
    <w:rsid w:val="000050E0"/>
    <w:pPr>
      <w:numPr>
        <w:numId w:val="1"/>
      </w:numPr>
      <w:spacing w:before="60" w:after="60" w:line="240" w:lineRule="auto"/>
      <w:ind w:left="1208" w:hanging="357"/>
      <w:jc w:val="both"/>
    </w:pPr>
    <w:rPr>
      <w:rFonts w:ascii="Arial" w:eastAsia="Times New Roman" w:hAnsi="Arial" w:cs="Times New Roman"/>
      <w:snapToGrid w:val="0"/>
      <w:color w:val="000000"/>
      <w:szCs w:val="20"/>
      <w:lang w:eastAsia="fr-FR"/>
    </w:rPr>
  </w:style>
  <w:style w:type="paragraph" w:customStyle="1" w:styleId="BVIfnrCarCarCarCarChar">
    <w:name w:val="BVI fnr Car Car Car Car Char"/>
    <w:basedOn w:val="Normal"/>
    <w:link w:val="FootnoteReference"/>
    <w:uiPriority w:val="99"/>
    <w:rsid w:val="000050E0"/>
    <w:pPr>
      <w:widowControl w:val="0"/>
      <w:adjustRightInd w:val="0"/>
      <w:spacing w:line="240" w:lineRule="exact"/>
      <w:jc w:val="both"/>
    </w:pPr>
    <w:rPr>
      <w:rFonts w:ascii="Arial" w:hAnsi="Arial"/>
      <w:sz w:val="18"/>
      <w:vertAlign w:val="superscript"/>
    </w:rPr>
  </w:style>
  <w:style w:type="paragraph" w:styleId="Caption">
    <w:name w:val="caption"/>
    <w:basedOn w:val="Normal"/>
    <w:next w:val="Normal"/>
    <w:uiPriority w:val="35"/>
    <w:unhideWhenUsed/>
    <w:qFormat/>
    <w:rsid w:val="000050E0"/>
    <w:pPr>
      <w:spacing w:after="200" w:line="240" w:lineRule="auto"/>
    </w:pPr>
    <w:rPr>
      <w:rFonts w:ascii="Arial" w:eastAsia="Times New Roman" w:hAnsi="Arial" w:cs="Times New Roman"/>
      <w:b/>
      <w:bCs/>
      <w:color w:val="5B9BD5" w:themeColor="accent1"/>
      <w:sz w:val="18"/>
      <w:szCs w:val="18"/>
    </w:rPr>
  </w:style>
  <w:style w:type="character" w:customStyle="1" w:styleId="glmot">
    <w:name w:val="gl_mot"/>
    <w:basedOn w:val="DefaultParagraphFont"/>
    <w:rsid w:val="000050E0"/>
  </w:style>
  <w:style w:type="character" w:customStyle="1" w:styleId="gldt">
    <w:name w:val="gl_dt"/>
    <w:basedOn w:val="DefaultParagraphFont"/>
    <w:rsid w:val="000050E0"/>
  </w:style>
  <w:style w:type="character" w:customStyle="1" w:styleId="gldd">
    <w:name w:val="gl_dd"/>
    <w:basedOn w:val="DefaultParagraphFont"/>
    <w:rsid w:val="000050E0"/>
  </w:style>
  <w:style w:type="character" w:customStyle="1" w:styleId="articleoption">
    <w:name w:val="article_option"/>
    <w:basedOn w:val="DefaultParagraphFont"/>
    <w:rsid w:val="000050E0"/>
  </w:style>
  <w:style w:type="character" w:customStyle="1" w:styleId="s1">
    <w:name w:val="s1"/>
    <w:basedOn w:val="DefaultParagraphFont"/>
    <w:rsid w:val="000050E0"/>
  </w:style>
  <w:style w:type="paragraph" w:styleId="BodyTextIndent">
    <w:name w:val="Body Text Indent"/>
    <w:basedOn w:val="Normal"/>
    <w:link w:val="BodyTextIndentChar"/>
    <w:semiHidden/>
    <w:rsid w:val="000050E0"/>
    <w:pPr>
      <w:spacing w:after="0" w:line="240" w:lineRule="auto"/>
      <w:ind w:left="1416"/>
      <w:jc w:val="both"/>
    </w:pPr>
    <w:rPr>
      <w:rFonts w:ascii="Times New Roman" w:eastAsia="Times New Roman" w:hAnsi="Times New Roman" w:cs="Times New Roman"/>
      <w:sz w:val="24"/>
      <w:szCs w:val="24"/>
      <w:lang w:eastAsia="fr-FR"/>
    </w:rPr>
  </w:style>
  <w:style w:type="character" w:customStyle="1" w:styleId="BodyTextIndentChar">
    <w:name w:val="Body Text Indent Char"/>
    <w:basedOn w:val="DefaultParagraphFont"/>
    <w:link w:val="BodyTextIndent"/>
    <w:semiHidden/>
    <w:rsid w:val="000050E0"/>
    <w:rPr>
      <w:rFonts w:ascii="Times New Roman" w:eastAsia="Times New Roman" w:hAnsi="Times New Roman" w:cs="Times New Roman"/>
      <w:sz w:val="24"/>
      <w:szCs w:val="24"/>
      <w:lang w:eastAsia="fr-FR"/>
    </w:rPr>
  </w:style>
  <w:style w:type="character" w:customStyle="1" w:styleId="A5">
    <w:name w:val="A5"/>
    <w:uiPriority w:val="99"/>
    <w:rsid w:val="000050E0"/>
    <w:rPr>
      <w:rFonts w:cs="Myriad Pro Light"/>
      <w:color w:val="211D1E"/>
      <w:sz w:val="20"/>
      <w:szCs w:val="20"/>
    </w:rPr>
  </w:style>
  <w:style w:type="paragraph" w:customStyle="1" w:styleId="alinea">
    <w:name w:val="alinea"/>
    <w:basedOn w:val="Normal"/>
    <w:rsid w:val="000050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4-">
    <w:name w:val="Titre 4 -"/>
    <w:basedOn w:val="Heading4"/>
    <w:next w:val="Normal"/>
    <w:link w:val="Titre4-Car"/>
    <w:rsid w:val="000050E0"/>
    <w:pPr>
      <w:numPr>
        <w:ilvl w:val="3"/>
      </w:numPr>
      <w:tabs>
        <w:tab w:val="left" w:pos="1418"/>
      </w:tabs>
      <w:spacing w:before="240" w:line="276" w:lineRule="auto"/>
      <w:ind w:left="1418" w:hanging="851"/>
      <w:jc w:val="both"/>
    </w:pPr>
    <w:rPr>
      <w:rFonts w:ascii="Calibri" w:eastAsia="Times New Roman" w:hAnsi="Calibri" w:cs="Times New Roman"/>
      <w:b/>
      <w:bCs/>
      <w:color w:val="943634"/>
    </w:rPr>
  </w:style>
  <w:style w:type="character" w:customStyle="1" w:styleId="Titre4-Car">
    <w:name w:val="Titre 4 - Car"/>
    <w:basedOn w:val="DefaultParagraphFont"/>
    <w:link w:val="Titre4-"/>
    <w:rsid w:val="000050E0"/>
    <w:rPr>
      <w:rFonts w:ascii="Calibri" w:eastAsia="Times New Roman" w:hAnsi="Calibri" w:cs="Times New Roman"/>
      <w:b/>
      <w:bCs/>
      <w:i/>
      <w:iCs/>
      <w:color w:val="943634"/>
    </w:rPr>
  </w:style>
  <w:style w:type="paragraph" w:styleId="Title">
    <w:name w:val="Title"/>
    <w:basedOn w:val="Normal"/>
    <w:link w:val="TitleChar"/>
    <w:qFormat/>
    <w:rsid w:val="000050E0"/>
    <w:pPr>
      <w:spacing w:after="60" w:line="260" w:lineRule="exact"/>
      <w:jc w:val="center"/>
    </w:pPr>
    <w:rPr>
      <w:rFonts w:ascii="Georgia" w:eastAsia="Times New Roman" w:hAnsi="Georgia" w:cs="Times New Roman"/>
      <w:b/>
      <w:sz w:val="28"/>
      <w:szCs w:val="20"/>
      <w:lang w:eastAsia="fr-FR"/>
    </w:rPr>
  </w:style>
  <w:style w:type="character" w:customStyle="1" w:styleId="TitleChar">
    <w:name w:val="Title Char"/>
    <w:basedOn w:val="DefaultParagraphFont"/>
    <w:link w:val="Title"/>
    <w:rsid w:val="000050E0"/>
    <w:rPr>
      <w:rFonts w:ascii="Georgia" w:eastAsia="Times New Roman" w:hAnsi="Georgia" w:cs="Times New Roman"/>
      <w:b/>
      <w:sz w:val="28"/>
      <w:szCs w:val="20"/>
      <w:lang w:eastAsia="fr-FR"/>
    </w:rPr>
  </w:style>
  <w:style w:type="paragraph" w:styleId="BodyTextIndent2">
    <w:name w:val="Body Text Indent 2"/>
    <w:basedOn w:val="Normal"/>
    <w:link w:val="BodyTextIndent2Char"/>
    <w:uiPriority w:val="99"/>
    <w:unhideWhenUsed/>
    <w:rsid w:val="000050E0"/>
    <w:pPr>
      <w:spacing w:after="120" w:line="480" w:lineRule="auto"/>
      <w:ind w:left="283"/>
    </w:pPr>
  </w:style>
  <w:style w:type="character" w:customStyle="1" w:styleId="BodyTextIndent2Char">
    <w:name w:val="Body Text Indent 2 Char"/>
    <w:basedOn w:val="DefaultParagraphFont"/>
    <w:link w:val="BodyTextIndent2"/>
    <w:uiPriority w:val="99"/>
    <w:rsid w:val="000050E0"/>
  </w:style>
  <w:style w:type="paragraph" w:styleId="BodyText">
    <w:name w:val="Body Text"/>
    <w:basedOn w:val="Normal"/>
    <w:link w:val="BodyTextChar"/>
    <w:uiPriority w:val="99"/>
    <w:semiHidden/>
    <w:unhideWhenUsed/>
    <w:rsid w:val="000050E0"/>
    <w:pPr>
      <w:spacing w:after="120"/>
    </w:pPr>
  </w:style>
  <w:style w:type="character" w:customStyle="1" w:styleId="BodyTextChar">
    <w:name w:val="Body Text Char"/>
    <w:basedOn w:val="DefaultParagraphFont"/>
    <w:link w:val="BodyText"/>
    <w:uiPriority w:val="99"/>
    <w:semiHidden/>
    <w:rsid w:val="000050E0"/>
  </w:style>
  <w:style w:type="paragraph" w:styleId="TOCHeading">
    <w:name w:val="TOC Heading"/>
    <w:basedOn w:val="Heading1"/>
    <w:next w:val="Normal"/>
    <w:uiPriority w:val="39"/>
    <w:unhideWhenUsed/>
    <w:qFormat/>
    <w:rsid w:val="000050E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552510"/>
    <w:pPr>
      <w:spacing w:after="100"/>
    </w:pPr>
  </w:style>
  <w:style w:type="paragraph" w:styleId="TOC3">
    <w:name w:val="toc 3"/>
    <w:basedOn w:val="Normal"/>
    <w:next w:val="Normal"/>
    <w:autoRedefine/>
    <w:uiPriority w:val="39"/>
    <w:unhideWhenUsed/>
    <w:rsid w:val="003C0A1D"/>
    <w:pPr>
      <w:spacing w:after="100" w:line="240" w:lineRule="auto"/>
      <w:ind w:left="34" w:right="34"/>
    </w:pPr>
  </w:style>
  <w:style w:type="paragraph" w:styleId="EndnoteText">
    <w:name w:val="endnote text"/>
    <w:basedOn w:val="Normal"/>
    <w:link w:val="EndnoteTextChar"/>
    <w:uiPriority w:val="99"/>
    <w:semiHidden/>
    <w:unhideWhenUsed/>
    <w:rsid w:val="000050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50E0"/>
    <w:rPr>
      <w:sz w:val="20"/>
      <w:szCs w:val="20"/>
    </w:rPr>
  </w:style>
  <w:style w:type="character" w:styleId="EndnoteReference">
    <w:name w:val="endnote reference"/>
    <w:basedOn w:val="DefaultParagraphFont"/>
    <w:uiPriority w:val="99"/>
    <w:semiHidden/>
    <w:unhideWhenUsed/>
    <w:rsid w:val="000050E0"/>
    <w:rPr>
      <w:vertAlign w:val="superscript"/>
    </w:rPr>
  </w:style>
  <w:style w:type="paragraph" w:customStyle="1" w:styleId="yiv6034772294msonormal">
    <w:name w:val="yiv6034772294msonormal"/>
    <w:basedOn w:val="Normal"/>
    <w:rsid w:val="00BF64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umberedparagraph">
    <w:name w:val="Numbered paragraph"/>
    <w:basedOn w:val="ListParagraph"/>
    <w:next w:val="Normal"/>
    <w:link w:val="NumberedparagraphChar"/>
    <w:qFormat/>
    <w:rsid w:val="00B4544E"/>
    <w:pPr>
      <w:widowControl w:val="0"/>
      <w:numPr>
        <w:numId w:val="24"/>
      </w:numPr>
      <w:spacing w:after="0" w:line="240" w:lineRule="auto"/>
      <w:jc w:val="both"/>
    </w:pPr>
    <w:rPr>
      <w:rFonts w:cstheme="minorHAnsi"/>
      <w:sz w:val="24"/>
      <w:szCs w:val="24"/>
    </w:rPr>
  </w:style>
  <w:style w:type="character" w:customStyle="1" w:styleId="NumberedparagraphChar">
    <w:name w:val="Numbered paragraph Char"/>
    <w:basedOn w:val="DefaultParagraphFont"/>
    <w:link w:val="Numberedparagraph"/>
    <w:rsid w:val="00B4544E"/>
    <w:rPr>
      <w:rFonts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71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r.wikipedia.org/wiki/R%C3%A9gionalis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google.co.ma/url?sa=t&amp;rct=j&amp;q=&amp;esrc=s&amp;source=web&amp;cd=1&amp;cad=rja&amp;uact=8&amp;ved=0ahUKEwiRvv7mltXaAhVH2SwKHeL4DxsQFggkMAA&amp;url=https%3A%2F%2Fwww.hcp.ma%2FCentre-d-Etudes-et-de-Recherches-Demographiques_a735.html&amp;usg=AOvVaw1x2SNHSTsN0oTNjBdRo-p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aurs.org.ma/info.php?qBVn9hGYrBhGoki4eQe05nUlDgHucayZIctWkrBcRp8=" TargetMode="External"/><Relationship Id="rId1" Type="http://schemas.openxmlformats.org/officeDocument/2006/relationships/hyperlink" Target="https://www.aurs.org.ma/info.php?qBVn9hGYrBhGoki4eQe05nUlDgHucayZIctWkrBcRp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bdellah\Desktop\Etude%20Systeme%20de%20la%20Planification%20Urbaine\Donn&#233;es%20Statistiques\Donn&#233;es%20Villes%20et%20r&#233;gions%20actualis&#233;es%20(RGPH%20201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64076262256402E-2"/>
          <c:y val="5.1368121323223999E-2"/>
          <c:w val="0.88490463670624098"/>
          <c:h val="0.78144777356961903"/>
        </c:manualLayout>
      </c:layout>
      <c:lineChart>
        <c:grouping val="standard"/>
        <c:varyColors val="0"/>
        <c:ser>
          <c:idx val="0"/>
          <c:order val="0"/>
          <c:tx>
            <c:strRef>
              <c:f>'POP et Ménages Urb'!$I$54</c:f>
              <c:strCache>
                <c:ptCount val="1"/>
                <c:pt idx="0">
                  <c:v>Population urbaine </c:v>
                </c:pt>
              </c:strCache>
            </c:strRef>
          </c:tx>
          <c:spPr>
            <a:ln w="22225" cap="rnd" cmpd="sng" algn="ctr">
              <a:solidFill>
                <a:schemeClr val="accent1"/>
              </a:solidFill>
              <a:round/>
            </a:ln>
            <a:effectLst/>
          </c:spPr>
          <c:marker>
            <c:symbol val="none"/>
          </c:marker>
          <c:cat>
            <c:numRef>
              <c:f>'POP et Ménages Urb'!$J$53:$O$53</c:f>
              <c:numCache>
                <c:formatCode>General</c:formatCode>
                <c:ptCount val="6"/>
                <c:pt idx="0">
                  <c:v>1982</c:v>
                </c:pt>
                <c:pt idx="1">
                  <c:v>1994</c:v>
                </c:pt>
                <c:pt idx="2">
                  <c:v>2004</c:v>
                </c:pt>
                <c:pt idx="3">
                  <c:v>2014</c:v>
                </c:pt>
                <c:pt idx="4">
                  <c:v>2024</c:v>
                </c:pt>
                <c:pt idx="5">
                  <c:v>2030</c:v>
                </c:pt>
              </c:numCache>
            </c:numRef>
          </c:cat>
          <c:val>
            <c:numRef>
              <c:f>'POP et Ménages Urb'!$J$54:$O$54</c:f>
              <c:numCache>
                <c:formatCode>General</c:formatCode>
                <c:ptCount val="6"/>
                <c:pt idx="0" formatCode="#,##0">
                  <c:v>100</c:v>
                </c:pt>
                <c:pt idx="1">
                  <c:v>153.5853379152351</c:v>
                </c:pt>
                <c:pt idx="2">
                  <c:v>188.5910652920962</c:v>
                </c:pt>
                <c:pt idx="3">
                  <c:v>234.05498281786939</c:v>
                </c:pt>
                <c:pt idx="4">
                  <c:v>261.63802978235952</c:v>
                </c:pt>
                <c:pt idx="5">
                  <c:v>279.69072164948449</c:v>
                </c:pt>
              </c:numCache>
            </c:numRef>
          </c:val>
          <c:smooth val="0"/>
          <c:extLst>
            <c:ext xmlns:c16="http://schemas.microsoft.com/office/drawing/2014/chart" uri="{C3380CC4-5D6E-409C-BE32-E72D297353CC}">
              <c16:uniqueId val="{00000000-0B7C-4075-BF0C-134998B43DE0}"/>
            </c:ext>
          </c:extLst>
        </c:ser>
        <c:ser>
          <c:idx val="1"/>
          <c:order val="1"/>
          <c:tx>
            <c:strRef>
              <c:f>'POP et Ménages Urb'!$I$55</c:f>
              <c:strCache>
                <c:ptCount val="1"/>
                <c:pt idx="0">
                  <c:v>Ménages urbains </c:v>
                </c:pt>
              </c:strCache>
            </c:strRef>
          </c:tx>
          <c:spPr>
            <a:ln w="22225" cap="rnd" cmpd="sng" algn="ctr">
              <a:solidFill>
                <a:schemeClr val="accent2"/>
              </a:solidFill>
              <a:round/>
            </a:ln>
            <a:effectLst/>
          </c:spPr>
          <c:marker>
            <c:symbol val="none"/>
          </c:marker>
          <c:cat>
            <c:numRef>
              <c:f>'POP et Ménages Urb'!$J$53:$O$53</c:f>
              <c:numCache>
                <c:formatCode>General</c:formatCode>
                <c:ptCount val="6"/>
                <c:pt idx="0">
                  <c:v>1982</c:v>
                </c:pt>
                <c:pt idx="1">
                  <c:v>1994</c:v>
                </c:pt>
                <c:pt idx="2">
                  <c:v>2004</c:v>
                </c:pt>
                <c:pt idx="3">
                  <c:v>2014</c:v>
                </c:pt>
                <c:pt idx="4">
                  <c:v>2024</c:v>
                </c:pt>
                <c:pt idx="5">
                  <c:v>2030</c:v>
                </c:pt>
              </c:numCache>
            </c:numRef>
          </c:cat>
          <c:val>
            <c:numRef>
              <c:f>'POP et Ménages Urb'!$J$55:$O$55</c:f>
              <c:numCache>
                <c:formatCode>General</c:formatCode>
                <c:ptCount val="6"/>
                <c:pt idx="0">
                  <c:v>100</c:v>
                </c:pt>
                <c:pt idx="1">
                  <c:v>158.21831869510649</c:v>
                </c:pt>
                <c:pt idx="2">
                  <c:v>215.80928481806779</c:v>
                </c:pt>
                <c:pt idx="3">
                  <c:v>301.63111668757659</c:v>
                </c:pt>
                <c:pt idx="4">
                  <c:v>380.17565872020072</c:v>
                </c:pt>
                <c:pt idx="5">
                  <c:v>430.17565872020072</c:v>
                </c:pt>
              </c:numCache>
            </c:numRef>
          </c:val>
          <c:smooth val="0"/>
          <c:extLst>
            <c:ext xmlns:c16="http://schemas.microsoft.com/office/drawing/2014/chart" uri="{C3380CC4-5D6E-409C-BE32-E72D297353CC}">
              <c16:uniqueId val="{00000001-0B7C-4075-BF0C-134998B43DE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98118864"/>
        <c:axId val="-398116688"/>
      </c:lineChart>
      <c:catAx>
        <c:axId val="-3981188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8116688"/>
        <c:crosses val="autoZero"/>
        <c:auto val="1"/>
        <c:lblAlgn val="ctr"/>
        <c:lblOffset val="100"/>
        <c:noMultiLvlLbl val="0"/>
      </c:catAx>
      <c:valAx>
        <c:axId val="-398116688"/>
        <c:scaling>
          <c:orientation val="minMax"/>
          <c:max val="450"/>
          <c:min val="100"/>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Indice Base 100: 1982</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811886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0.78328</cdr:x>
      <cdr:y>0.08202</cdr:y>
    </cdr:from>
    <cdr:to>
      <cdr:x>1</cdr:x>
      <cdr:y>0.16719</cdr:y>
    </cdr:to>
    <cdr:sp macro="" textlink="">
      <cdr:nvSpPr>
        <cdr:cNvPr id="2" name="ZoneTexte 1"/>
        <cdr:cNvSpPr txBox="1"/>
      </cdr:nvSpPr>
      <cdr:spPr>
        <a:xfrm xmlns:a="http://schemas.openxmlformats.org/drawingml/2006/main">
          <a:off x="3974523" y="225137"/>
          <a:ext cx="1099704" cy="233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8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37CFB-7845-437C-8F67-76BB4428D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13212</Words>
  <Characters>75312</Characters>
  <Application>Microsoft Office Word</Application>
  <DocSecurity>0</DocSecurity>
  <Lines>627</Lines>
  <Paragraphs>176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dc:creator>
  <cp:keywords/>
  <dc:description/>
  <cp:lastModifiedBy>Augustin Maria</cp:lastModifiedBy>
  <cp:revision>7</cp:revision>
  <cp:lastPrinted>2018-05-24T17:00:00Z</cp:lastPrinted>
  <dcterms:created xsi:type="dcterms:W3CDTF">2018-06-05T08:42:00Z</dcterms:created>
  <dcterms:modified xsi:type="dcterms:W3CDTF">2018-06-07T18:05:00Z</dcterms:modified>
</cp:coreProperties>
</file>