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F07" w:rsidRPr="009E5034" w:rsidRDefault="003F3494" w:rsidP="003F3494">
      <w:pPr>
        <w:ind w:right="180"/>
        <w:jc w:val="right"/>
        <w:rPr>
          <w:b/>
          <w:sz w:val="22"/>
          <w:szCs w:val="22"/>
        </w:rPr>
      </w:pPr>
      <w:r>
        <w:rPr>
          <w:b/>
          <w:sz w:val="22"/>
          <w:szCs w:val="22"/>
        </w:rPr>
        <w:t>60788-ML</w:t>
      </w:r>
    </w:p>
    <w:p w:rsidR="00772966" w:rsidRPr="009E5034" w:rsidRDefault="0099145D" w:rsidP="009E5034">
      <w:pPr>
        <w:ind w:left="0"/>
        <w:jc w:val="left"/>
        <w:rPr>
          <w:sz w:val="22"/>
          <w:szCs w:val="22"/>
        </w:rPr>
      </w:pPr>
      <w:r w:rsidRPr="009E5034">
        <w:rPr>
          <w:noProof/>
          <w:sz w:val="22"/>
          <w:szCs w:val="22"/>
          <w:lang w:val="en-US"/>
        </w:rPr>
        <w:drawing>
          <wp:inline distT="0" distB="0" distL="0" distR="0">
            <wp:extent cx="771525" cy="676275"/>
            <wp:effectExtent l="19050" t="19050" r="28575" b="28575"/>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771525" cy="676275"/>
                    </a:xfrm>
                    <a:prstGeom prst="rect">
                      <a:avLst/>
                    </a:prstGeom>
                    <a:solidFill>
                      <a:srgbClr val="FFFFFF"/>
                    </a:solidFill>
                    <a:ln w="6350" cmpd="sng">
                      <a:solidFill>
                        <a:srgbClr val="000000"/>
                      </a:solidFill>
                      <a:miter lim="800000"/>
                      <a:headEnd/>
                      <a:tailEnd/>
                    </a:ln>
                    <a:effectLst/>
                  </pic:spPr>
                </pic:pic>
              </a:graphicData>
            </a:graphic>
          </wp:inline>
        </w:drawing>
      </w:r>
      <w:r w:rsidRPr="009E5034">
        <w:rPr>
          <w:sz w:val="22"/>
          <w:szCs w:val="22"/>
        </w:rPr>
        <w:t xml:space="preserve"> Banque Mondiale</w:t>
      </w:r>
    </w:p>
    <w:p w:rsidR="0099145D" w:rsidRPr="009E5034" w:rsidRDefault="0099145D" w:rsidP="009E5034">
      <w:pPr>
        <w:ind w:left="0"/>
        <w:jc w:val="left"/>
        <w:rPr>
          <w:sz w:val="22"/>
          <w:szCs w:val="22"/>
        </w:rPr>
      </w:pPr>
    </w:p>
    <w:p w:rsidR="00576ACA" w:rsidRPr="009E5034" w:rsidRDefault="00576ACA" w:rsidP="009E5034">
      <w:pPr>
        <w:spacing w:before="0"/>
        <w:ind w:left="0"/>
        <w:jc w:val="left"/>
        <w:rPr>
          <w:b/>
          <w:sz w:val="22"/>
          <w:szCs w:val="22"/>
        </w:rPr>
      </w:pPr>
      <w:r w:rsidRPr="009E5034">
        <w:rPr>
          <w:b/>
          <w:sz w:val="22"/>
          <w:szCs w:val="22"/>
        </w:rPr>
        <w:t>République du Mali</w:t>
      </w:r>
    </w:p>
    <w:p w:rsidR="00576ACA" w:rsidRPr="009E5034" w:rsidRDefault="00576ACA" w:rsidP="009E5034">
      <w:pPr>
        <w:spacing w:before="0"/>
        <w:ind w:left="0"/>
        <w:jc w:val="left"/>
        <w:rPr>
          <w:b/>
          <w:sz w:val="22"/>
          <w:szCs w:val="22"/>
        </w:rPr>
      </w:pPr>
      <w:r w:rsidRPr="009E5034">
        <w:rPr>
          <w:b/>
          <w:sz w:val="22"/>
          <w:szCs w:val="22"/>
        </w:rPr>
        <w:t>Analyse environnementale du milieu urbain</w:t>
      </w:r>
    </w:p>
    <w:p w:rsidR="00772966" w:rsidRPr="009E5034" w:rsidRDefault="00772966" w:rsidP="009E5034">
      <w:pPr>
        <w:spacing w:before="0"/>
        <w:ind w:left="0"/>
        <w:jc w:val="left"/>
        <w:rPr>
          <w:b/>
          <w:sz w:val="22"/>
          <w:szCs w:val="22"/>
        </w:rPr>
      </w:pPr>
    </w:p>
    <w:p w:rsidR="00576ACA" w:rsidRPr="009E5034" w:rsidRDefault="00576ACA" w:rsidP="009E5034">
      <w:pPr>
        <w:ind w:left="0"/>
        <w:jc w:val="left"/>
        <w:rPr>
          <w:b/>
          <w:sz w:val="22"/>
          <w:szCs w:val="22"/>
        </w:rPr>
      </w:pPr>
    </w:p>
    <w:p w:rsidR="0099145D" w:rsidRPr="009E5034" w:rsidRDefault="0099145D" w:rsidP="009E5034">
      <w:pPr>
        <w:spacing w:before="0"/>
        <w:ind w:left="0"/>
        <w:jc w:val="left"/>
        <w:rPr>
          <w:sz w:val="22"/>
          <w:szCs w:val="22"/>
        </w:rPr>
      </w:pPr>
    </w:p>
    <w:p w:rsidR="004E36FB" w:rsidRPr="004E36FB" w:rsidRDefault="004E36FB" w:rsidP="004E36FB">
      <w:pPr>
        <w:spacing w:before="0"/>
        <w:ind w:left="0"/>
        <w:jc w:val="left"/>
        <w:rPr>
          <w:sz w:val="22"/>
          <w:szCs w:val="22"/>
        </w:rPr>
      </w:pPr>
      <w:r>
        <w:rPr>
          <w:sz w:val="22"/>
          <w:szCs w:val="22"/>
        </w:rPr>
        <w:t>Volume 2</w:t>
      </w:r>
      <w:r w:rsidR="004928B1">
        <w:rPr>
          <w:sz w:val="22"/>
          <w:szCs w:val="22"/>
        </w:rPr>
        <w:t xml:space="preserve"> </w:t>
      </w:r>
      <w:r w:rsidRPr="004E36FB">
        <w:rPr>
          <w:sz w:val="22"/>
          <w:szCs w:val="22"/>
        </w:rPr>
        <w:t xml:space="preserve">: </w:t>
      </w:r>
      <w:r>
        <w:rPr>
          <w:sz w:val="22"/>
          <w:szCs w:val="22"/>
        </w:rPr>
        <w:t xml:space="preserve">Profil environnemental des villes </w:t>
      </w:r>
      <w:r w:rsidRPr="004E36FB">
        <w:rPr>
          <w:sz w:val="22"/>
          <w:szCs w:val="22"/>
        </w:rPr>
        <w:t>de Bamako, Gao, Mopti et Sikasso</w:t>
      </w:r>
    </w:p>
    <w:p w:rsidR="0099145D" w:rsidRPr="009E5034" w:rsidRDefault="0099145D" w:rsidP="009E5034">
      <w:pPr>
        <w:spacing w:before="0"/>
        <w:ind w:left="0"/>
        <w:jc w:val="left"/>
        <w:rPr>
          <w:sz w:val="22"/>
          <w:szCs w:val="22"/>
        </w:rPr>
      </w:pPr>
    </w:p>
    <w:p w:rsidR="0099145D" w:rsidRPr="009E5034" w:rsidRDefault="0099145D" w:rsidP="009E5034">
      <w:pPr>
        <w:spacing w:before="0"/>
        <w:ind w:left="0"/>
        <w:jc w:val="left"/>
        <w:rPr>
          <w:sz w:val="22"/>
          <w:szCs w:val="22"/>
        </w:rPr>
      </w:pPr>
    </w:p>
    <w:p w:rsidR="0099145D" w:rsidRPr="009E5034" w:rsidRDefault="0099145D" w:rsidP="009E5034">
      <w:pPr>
        <w:spacing w:before="0"/>
        <w:ind w:left="0"/>
        <w:jc w:val="left"/>
        <w:rPr>
          <w:sz w:val="22"/>
          <w:szCs w:val="22"/>
        </w:rPr>
      </w:pPr>
    </w:p>
    <w:p w:rsidR="0099145D" w:rsidRPr="009E5034" w:rsidRDefault="0099145D" w:rsidP="009E5034">
      <w:pPr>
        <w:spacing w:before="0"/>
        <w:ind w:left="0"/>
        <w:jc w:val="left"/>
        <w:rPr>
          <w:sz w:val="22"/>
          <w:szCs w:val="22"/>
        </w:rPr>
      </w:pPr>
    </w:p>
    <w:p w:rsidR="0099145D" w:rsidRPr="009E5034" w:rsidRDefault="0099145D" w:rsidP="009E5034">
      <w:pPr>
        <w:spacing w:before="0"/>
        <w:ind w:left="0"/>
        <w:jc w:val="left"/>
        <w:rPr>
          <w:sz w:val="22"/>
          <w:szCs w:val="22"/>
        </w:rPr>
      </w:pPr>
    </w:p>
    <w:p w:rsidR="0099145D" w:rsidRPr="009E5034" w:rsidRDefault="0099145D" w:rsidP="009E5034">
      <w:pPr>
        <w:spacing w:before="0"/>
        <w:ind w:left="0"/>
        <w:jc w:val="left"/>
        <w:rPr>
          <w:sz w:val="22"/>
          <w:szCs w:val="22"/>
        </w:rPr>
      </w:pPr>
    </w:p>
    <w:p w:rsidR="0099145D" w:rsidRPr="009E5034" w:rsidRDefault="0099145D" w:rsidP="009E5034">
      <w:pPr>
        <w:spacing w:before="0"/>
        <w:ind w:left="0"/>
        <w:jc w:val="left"/>
        <w:rPr>
          <w:sz w:val="22"/>
          <w:szCs w:val="22"/>
        </w:rPr>
      </w:pPr>
    </w:p>
    <w:p w:rsidR="0099145D" w:rsidRPr="009E5034" w:rsidRDefault="0099145D" w:rsidP="009E5034">
      <w:pPr>
        <w:spacing w:before="0"/>
        <w:ind w:left="0"/>
        <w:jc w:val="left"/>
        <w:rPr>
          <w:sz w:val="22"/>
          <w:szCs w:val="22"/>
        </w:rPr>
      </w:pPr>
    </w:p>
    <w:p w:rsidR="0099145D" w:rsidRPr="009E5034" w:rsidRDefault="0099145D" w:rsidP="009E5034">
      <w:pPr>
        <w:spacing w:before="0"/>
        <w:ind w:left="0"/>
        <w:jc w:val="left"/>
        <w:rPr>
          <w:sz w:val="22"/>
          <w:szCs w:val="22"/>
        </w:rPr>
      </w:pPr>
    </w:p>
    <w:p w:rsidR="0099145D" w:rsidRPr="009E5034" w:rsidRDefault="0099145D" w:rsidP="009E5034">
      <w:pPr>
        <w:spacing w:before="0"/>
        <w:ind w:left="0"/>
        <w:jc w:val="left"/>
        <w:rPr>
          <w:sz w:val="22"/>
          <w:szCs w:val="22"/>
        </w:rPr>
      </w:pPr>
    </w:p>
    <w:p w:rsidR="0099145D" w:rsidRPr="009E5034" w:rsidRDefault="0099145D" w:rsidP="009E5034">
      <w:pPr>
        <w:spacing w:before="0"/>
        <w:ind w:left="0"/>
        <w:jc w:val="left"/>
        <w:rPr>
          <w:sz w:val="22"/>
          <w:szCs w:val="22"/>
        </w:rPr>
      </w:pPr>
    </w:p>
    <w:p w:rsidR="0099145D" w:rsidRPr="009E5034" w:rsidRDefault="0099145D" w:rsidP="009E5034">
      <w:pPr>
        <w:spacing w:before="0"/>
        <w:ind w:left="0"/>
        <w:jc w:val="left"/>
        <w:rPr>
          <w:sz w:val="22"/>
          <w:szCs w:val="22"/>
        </w:rPr>
      </w:pPr>
    </w:p>
    <w:p w:rsidR="0099145D" w:rsidRPr="009E5034" w:rsidRDefault="0099145D" w:rsidP="009E5034">
      <w:pPr>
        <w:spacing w:before="0"/>
        <w:ind w:left="0"/>
        <w:jc w:val="left"/>
        <w:rPr>
          <w:sz w:val="22"/>
          <w:szCs w:val="22"/>
        </w:rPr>
      </w:pPr>
    </w:p>
    <w:p w:rsidR="0099145D" w:rsidRPr="009E5034" w:rsidRDefault="0099145D" w:rsidP="009E5034">
      <w:pPr>
        <w:spacing w:before="0"/>
        <w:ind w:left="0"/>
        <w:jc w:val="left"/>
        <w:rPr>
          <w:sz w:val="22"/>
          <w:szCs w:val="22"/>
        </w:rPr>
      </w:pPr>
    </w:p>
    <w:p w:rsidR="0099145D" w:rsidRPr="009E5034" w:rsidRDefault="0099145D" w:rsidP="009E5034">
      <w:pPr>
        <w:spacing w:before="0"/>
        <w:ind w:left="0"/>
        <w:jc w:val="left"/>
        <w:rPr>
          <w:sz w:val="22"/>
          <w:szCs w:val="22"/>
        </w:rPr>
      </w:pPr>
    </w:p>
    <w:p w:rsidR="0099145D" w:rsidRPr="009E5034" w:rsidRDefault="0099145D" w:rsidP="009E5034">
      <w:pPr>
        <w:spacing w:before="0"/>
        <w:ind w:left="0"/>
        <w:jc w:val="left"/>
        <w:rPr>
          <w:sz w:val="22"/>
          <w:szCs w:val="22"/>
        </w:rPr>
      </w:pPr>
    </w:p>
    <w:p w:rsidR="0099145D" w:rsidRPr="009E5034" w:rsidRDefault="0099145D" w:rsidP="009E5034">
      <w:pPr>
        <w:spacing w:before="0"/>
        <w:ind w:left="0"/>
        <w:jc w:val="left"/>
        <w:rPr>
          <w:sz w:val="22"/>
          <w:szCs w:val="22"/>
        </w:rPr>
      </w:pPr>
    </w:p>
    <w:p w:rsidR="0099145D" w:rsidRPr="009E5034" w:rsidRDefault="0099145D" w:rsidP="009E5034">
      <w:pPr>
        <w:spacing w:before="0"/>
        <w:ind w:left="0"/>
        <w:jc w:val="left"/>
        <w:rPr>
          <w:sz w:val="22"/>
          <w:szCs w:val="22"/>
        </w:rPr>
      </w:pPr>
    </w:p>
    <w:p w:rsidR="0099145D" w:rsidRPr="009E5034" w:rsidRDefault="0099145D" w:rsidP="009E5034">
      <w:pPr>
        <w:spacing w:before="0"/>
        <w:ind w:left="0"/>
        <w:jc w:val="left"/>
        <w:rPr>
          <w:sz w:val="22"/>
          <w:szCs w:val="22"/>
        </w:rPr>
      </w:pPr>
    </w:p>
    <w:p w:rsidR="0099145D" w:rsidRPr="009E5034" w:rsidRDefault="0099145D" w:rsidP="009E5034">
      <w:pPr>
        <w:spacing w:before="0"/>
        <w:ind w:left="0"/>
        <w:jc w:val="left"/>
        <w:rPr>
          <w:sz w:val="22"/>
          <w:szCs w:val="22"/>
        </w:rPr>
      </w:pPr>
    </w:p>
    <w:p w:rsidR="0099145D" w:rsidRDefault="0099145D" w:rsidP="009E5034">
      <w:pPr>
        <w:spacing w:before="0"/>
        <w:ind w:left="0"/>
        <w:jc w:val="left"/>
        <w:rPr>
          <w:sz w:val="22"/>
          <w:szCs w:val="22"/>
        </w:rPr>
      </w:pPr>
    </w:p>
    <w:p w:rsidR="00C32970" w:rsidRDefault="00C32970" w:rsidP="009E5034">
      <w:pPr>
        <w:spacing w:before="0"/>
        <w:ind w:left="0"/>
        <w:jc w:val="left"/>
        <w:rPr>
          <w:sz w:val="22"/>
          <w:szCs w:val="22"/>
        </w:rPr>
      </w:pPr>
    </w:p>
    <w:p w:rsidR="00C32970" w:rsidRDefault="00C32970" w:rsidP="009E5034">
      <w:pPr>
        <w:spacing w:before="0"/>
        <w:ind w:left="0"/>
        <w:jc w:val="left"/>
        <w:rPr>
          <w:sz w:val="22"/>
          <w:szCs w:val="22"/>
        </w:rPr>
      </w:pPr>
    </w:p>
    <w:p w:rsidR="00C32970" w:rsidRDefault="00C32970" w:rsidP="009E5034">
      <w:pPr>
        <w:spacing w:before="0"/>
        <w:ind w:left="0"/>
        <w:jc w:val="left"/>
        <w:rPr>
          <w:sz w:val="22"/>
          <w:szCs w:val="22"/>
        </w:rPr>
      </w:pPr>
    </w:p>
    <w:p w:rsidR="00C32970" w:rsidRDefault="00C32970" w:rsidP="009E5034">
      <w:pPr>
        <w:spacing w:before="0"/>
        <w:ind w:left="0"/>
        <w:jc w:val="left"/>
        <w:rPr>
          <w:sz w:val="22"/>
          <w:szCs w:val="22"/>
        </w:rPr>
      </w:pPr>
    </w:p>
    <w:p w:rsidR="00C32970" w:rsidRDefault="00C32970" w:rsidP="009E5034">
      <w:pPr>
        <w:spacing w:before="0"/>
        <w:ind w:left="0"/>
        <w:jc w:val="left"/>
        <w:rPr>
          <w:sz w:val="22"/>
          <w:szCs w:val="22"/>
        </w:rPr>
      </w:pPr>
    </w:p>
    <w:p w:rsidR="00C32970" w:rsidRDefault="00C32970" w:rsidP="009E5034">
      <w:pPr>
        <w:spacing w:before="0"/>
        <w:ind w:left="0"/>
        <w:jc w:val="left"/>
        <w:rPr>
          <w:sz w:val="22"/>
          <w:szCs w:val="22"/>
        </w:rPr>
      </w:pPr>
    </w:p>
    <w:p w:rsidR="00C32970" w:rsidRDefault="00C32970" w:rsidP="009E5034">
      <w:pPr>
        <w:spacing w:before="0"/>
        <w:ind w:left="0"/>
        <w:jc w:val="left"/>
        <w:rPr>
          <w:sz w:val="22"/>
          <w:szCs w:val="22"/>
        </w:rPr>
      </w:pPr>
    </w:p>
    <w:p w:rsidR="00C32970" w:rsidRDefault="00C32970" w:rsidP="009E5034">
      <w:pPr>
        <w:spacing w:before="0"/>
        <w:ind w:left="0"/>
        <w:jc w:val="left"/>
        <w:rPr>
          <w:sz w:val="22"/>
          <w:szCs w:val="22"/>
        </w:rPr>
      </w:pPr>
    </w:p>
    <w:p w:rsidR="00C32970" w:rsidRDefault="00C32970" w:rsidP="009E5034">
      <w:pPr>
        <w:spacing w:before="0"/>
        <w:ind w:left="0"/>
        <w:jc w:val="left"/>
        <w:rPr>
          <w:sz w:val="22"/>
          <w:szCs w:val="22"/>
        </w:rPr>
      </w:pPr>
    </w:p>
    <w:p w:rsidR="00C32970" w:rsidRPr="009E5034" w:rsidRDefault="00C32970" w:rsidP="009E5034">
      <w:pPr>
        <w:spacing w:before="0"/>
        <w:ind w:left="0"/>
        <w:jc w:val="left"/>
        <w:rPr>
          <w:sz w:val="22"/>
          <w:szCs w:val="22"/>
        </w:rPr>
      </w:pPr>
    </w:p>
    <w:p w:rsidR="00773485" w:rsidRPr="009E5034" w:rsidRDefault="00773485" w:rsidP="00773485">
      <w:pPr>
        <w:tabs>
          <w:tab w:val="left" w:pos="5700"/>
        </w:tabs>
        <w:spacing w:before="0"/>
        <w:ind w:left="0"/>
        <w:jc w:val="left"/>
        <w:rPr>
          <w:sz w:val="22"/>
          <w:szCs w:val="22"/>
        </w:rPr>
      </w:pPr>
      <w:r>
        <w:rPr>
          <w:sz w:val="22"/>
          <w:szCs w:val="22"/>
        </w:rPr>
        <w:tab/>
      </w:r>
    </w:p>
    <w:p w:rsidR="00773485" w:rsidRPr="00773485" w:rsidRDefault="00773485" w:rsidP="00773485">
      <w:pPr>
        <w:spacing w:before="0"/>
        <w:ind w:left="0"/>
        <w:jc w:val="left"/>
        <w:rPr>
          <w:sz w:val="22"/>
          <w:szCs w:val="22"/>
        </w:rPr>
      </w:pPr>
    </w:p>
    <w:p w:rsidR="00773485" w:rsidRPr="00773485" w:rsidRDefault="00773485" w:rsidP="00773485">
      <w:pPr>
        <w:spacing w:before="0"/>
        <w:ind w:left="0"/>
        <w:jc w:val="left"/>
        <w:rPr>
          <w:sz w:val="22"/>
          <w:szCs w:val="22"/>
        </w:rPr>
      </w:pPr>
    </w:p>
    <w:p w:rsidR="00773485" w:rsidRPr="00773485" w:rsidRDefault="00BE1A51" w:rsidP="00773485">
      <w:pPr>
        <w:spacing w:before="0"/>
        <w:ind w:left="0"/>
        <w:jc w:val="left"/>
        <w:rPr>
          <w:b/>
          <w:sz w:val="22"/>
          <w:szCs w:val="22"/>
        </w:rPr>
      </w:pPr>
      <w:r>
        <w:rPr>
          <w:b/>
          <w:sz w:val="22"/>
          <w:szCs w:val="22"/>
          <w:lang w:val="en-US"/>
        </w:rPr>
        <w:pict>
          <v:shapetype id="_x0000_t32" coordsize="21600,21600" o:spt="32" o:oned="t" path="m,l21600,21600e" filled="f">
            <v:path arrowok="t" fillok="f" o:connecttype="none"/>
            <o:lock v:ext="edit" shapetype="t"/>
          </v:shapetype>
          <v:shape id="_x0000_s1029" type="#_x0000_t32" style="position:absolute;margin-left:-4.5pt;margin-top:6.55pt;width:486.75pt;height:0;z-index:251660288" o:connectortype="straight" strokeweight="1.5pt"/>
        </w:pict>
      </w:r>
    </w:p>
    <w:p w:rsidR="00773485" w:rsidRPr="00773485" w:rsidRDefault="00773485" w:rsidP="00773485">
      <w:pPr>
        <w:spacing w:before="0"/>
        <w:ind w:left="0"/>
        <w:jc w:val="left"/>
        <w:rPr>
          <w:b/>
          <w:sz w:val="22"/>
          <w:szCs w:val="22"/>
        </w:rPr>
      </w:pPr>
    </w:p>
    <w:p w:rsidR="00773485" w:rsidRPr="00773485" w:rsidRDefault="00773485" w:rsidP="00773485">
      <w:pPr>
        <w:spacing w:before="0"/>
        <w:ind w:left="0"/>
        <w:jc w:val="left"/>
        <w:rPr>
          <w:sz w:val="22"/>
          <w:szCs w:val="22"/>
        </w:rPr>
      </w:pPr>
      <w:r w:rsidRPr="00773485">
        <w:rPr>
          <w:sz w:val="22"/>
          <w:szCs w:val="22"/>
        </w:rPr>
        <w:t>Rapport Final</w:t>
      </w:r>
      <w:r w:rsidR="00D715F4">
        <w:rPr>
          <w:sz w:val="22"/>
          <w:szCs w:val="22"/>
        </w:rPr>
        <w:t>- 31 mars 2011</w:t>
      </w:r>
      <w:r w:rsidRPr="00773485">
        <w:rPr>
          <w:sz w:val="22"/>
          <w:szCs w:val="22"/>
        </w:rPr>
        <w:tab/>
      </w:r>
      <w:r w:rsidRPr="00773485">
        <w:rPr>
          <w:sz w:val="22"/>
          <w:szCs w:val="22"/>
        </w:rPr>
        <w:tab/>
      </w:r>
      <w:r w:rsidRPr="00773485">
        <w:rPr>
          <w:sz w:val="22"/>
          <w:szCs w:val="22"/>
        </w:rPr>
        <w:tab/>
      </w:r>
      <w:r w:rsidR="00D715F4">
        <w:rPr>
          <w:sz w:val="22"/>
          <w:szCs w:val="22"/>
        </w:rPr>
        <w:tab/>
      </w:r>
      <w:r w:rsidRPr="00773485">
        <w:rPr>
          <w:sz w:val="22"/>
          <w:szCs w:val="22"/>
        </w:rPr>
        <w:t xml:space="preserve">        Département du développement durable</w:t>
      </w:r>
    </w:p>
    <w:p w:rsidR="00773485" w:rsidRPr="00773485" w:rsidRDefault="00D715F4" w:rsidP="00773485">
      <w:pPr>
        <w:spacing w:before="0"/>
        <w:ind w:left="0"/>
        <w:jc w:val="left"/>
        <w:rPr>
          <w:bCs/>
          <w:sz w:val="22"/>
          <w:szCs w:val="22"/>
        </w:rPr>
      </w:pPr>
      <w:r>
        <w:rPr>
          <w:sz w:val="22"/>
          <w:szCs w:val="22"/>
        </w:rPr>
        <w:t>Numéro du Rapport</w:t>
      </w:r>
      <w:r w:rsidR="004928B1">
        <w:rPr>
          <w:sz w:val="22"/>
          <w:szCs w:val="22"/>
        </w:rPr>
        <w:t xml:space="preserve"> : </w:t>
      </w:r>
      <w:r w:rsidR="00A06744">
        <w:rPr>
          <w:sz w:val="22"/>
          <w:szCs w:val="22"/>
        </w:rPr>
        <w:t>60788-ML</w:t>
      </w:r>
      <w:r w:rsidR="00773485" w:rsidRPr="00773485">
        <w:rPr>
          <w:sz w:val="22"/>
          <w:szCs w:val="22"/>
        </w:rPr>
        <w:tab/>
      </w:r>
      <w:r w:rsidR="00773485" w:rsidRPr="00773485">
        <w:rPr>
          <w:sz w:val="22"/>
          <w:szCs w:val="22"/>
        </w:rPr>
        <w:tab/>
      </w:r>
      <w:r w:rsidR="00773485" w:rsidRPr="00773485">
        <w:rPr>
          <w:sz w:val="22"/>
          <w:szCs w:val="22"/>
        </w:rPr>
        <w:tab/>
      </w:r>
      <w:r w:rsidR="00773485" w:rsidRPr="00773485">
        <w:rPr>
          <w:sz w:val="22"/>
          <w:szCs w:val="22"/>
        </w:rPr>
        <w:tab/>
      </w:r>
      <w:r w:rsidR="00773485" w:rsidRPr="00773485">
        <w:rPr>
          <w:sz w:val="22"/>
          <w:szCs w:val="22"/>
        </w:rPr>
        <w:tab/>
      </w:r>
      <w:r w:rsidR="00773485" w:rsidRPr="00773485">
        <w:rPr>
          <w:sz w:val="22"/>
          <w:szCs w:val="22"/>
        </w:rPr>
        <w:tab/>
        <w:t xml:space="preserve">       Région Afrique</w:t>
      </w:r>
    </w:p>
    <w:p w:rsidR="00772966" w:rsidRPr="009E5034" w:rsidRDefault="00772966" w:rsidP="009E5034">
      <w:pPr>
        <w:spacing w:before="0"/>
        <w:ind w:left="0"/>
        <w:jc w:val="left"/>
        <w:rPr>
          <w:b/>
          <w:sz w:val="22"/>
          <w:szCs w:val="22"/>
        </w:rPr>
      </w:pPr>
    </w:p>
    <w:p w:rsidR="008358A5" w:rsidRPr="009E5034" w:rsidRDefault="008358A5" w:rsidP="009E5034">
      <w:pPr>
        <w:spacing w:before="0"/>
        <w:ind w:left="0"/>
        <w:jc w:val="left"/>
        <w:rPr>
          <w:b/>
          <w:sz w:val="22"/>
          <w:szCs w:val="22"/>
        </w:rPr>
      </w:pPr>
    </w:p>
    <w:p w:rsidR="00576ACA" w:rsidRPr="009E5034" w:rsidRDefault="00576ACA" w:rsidP="009E5034">
      <w:pPr>
        <w:spacing w:before="0"/>
        <w:ind w:left="0"/>
        <w:jc w:val="right"/>
        <w:rPr>
          <w:b/>
          <w:sz w:val="22"/>
          <w:szCs w:val="22"/>
        </w:rPr>
      </w:pPr>
    </w:p>
    <w:p w:rsidR="00AB145B" w:rsidRPr="009E5034" w:rsidRDefault="00AB145B" w:rsidP="009E5034">
      <w:pPr>
        <w:autoSpaceDE/>
        <w:autoSpaceDN/>
        <w:adjustRightInd/>
        <w:spacing w:before="0" w:after="200"/>
        <w:ind w:left="0"/>
        <w:jc w:val="left"/>
        <w:rPr>
          <w:b/>
          <w:sz w:val="22"/>
          <w:szCs w:val="22"/>
        </w:rPr>
      </w:pPr>
      <w:r w:rsidRPr="009E5034">
        <w:rPr>
          <w:b/>
          <w:sz w:val="22"/>
          <w:szCs w:val="22"/>
        </w:rPr>
        <w:br w:type="page"/>
      </w:r>
    </w:p>
    <w:p w:rsidR="00AB145B" w:rsidRPr="009E5034" w:rsidRDefault="00AB145B" w:rsidP="009E5034">
      <w:pPr>
        <w:jc w:val="center"/>
        <w:rPr>
          <w:b/>
          <w:sz w:val="22"/>
          <w:szCs w:val="22"/>
        </w:rPr>
      </w:pPr>
      <w:r w:rsidRPr="009E5034">
        <w:rPr>
          <w:b/>
          <w:sz w:val="22"/>
          <w:szCs w:val="22"/>
        </w:rPr>
        <w:lastRenderedPageBreak/>
        <w:t>TABLE DES MATIERES</w:t>
      </w:r>
    </w:p>
    <w:p w:rsidR="00772966" w:rsidRPr="009E5034" w:rsidRDefault="00772966" w:rsidP="009E5034">
      <w:pPr>
        <w:ind w:left="0"/>
        <w:jc w:val="left"/>
        <w:rPr>
          <w:b/>
          <w:smallCaps/>
          <w:sz w:val="22"/>
          <w:szCs w:val="22"/>
        </w:rPr>
      </w:pPr>
    </w:p>
    <w:p w:rsidR="009252AA" w:rsidRDefault="00BE1A51" w:rsidP="009252AA">
      <w:pPr>
        <w:pStyle w:val="TOC1"/>
        <w:rPr>
          <w:rFonts w:asciiTheme="minorHAnsi" w:eastAsiaTheme="minorEastAsia" w:hAnsiTheme="minorHAnsi" w:cstheme="minorBidi"/>
          <w:caps/>
          <w:sz w:val="22"/>
          <w:szCs w:val="22"/>
          <w:lang w:val="en-US"/>
        </w:rPr>
      </w:pPr>
      <w:r w:rsidRPr="00BE1A51">
        <w:fldChar w:fldCharType="begin"/>
      </w:r>
      <w:r w:rsidR="00772966" w:rsidRPr="009E5034">
        <w:instrText xml:space="preserve"> TOC \o "1-3" \h \z \u </w:instrText>
      </w:r>
      <w:r w:rsidRPr="00BE1A51">
        <w:fldChar w:fldCharType="separate"/>
      </w:r>
      <w:hyperlink w:anchor="_Toc289855967" w:history="1">
        <w:r w:rsidR="009252AA" w:rsidRPr="00076060">
          <w:rPr>
            <w:rStyle w:val="Hyperlink"/>
          </w:rPr>
          <w:t>ACRONYMES ET ABBRÉVIATIONS</w:t>
        </w:r>
        <w:r w:rsidR="009252AA">
          <w:rPr>
            <w:webHidden/>
          </w:rPr>
          <w:tab/>
        </w:r>
        <w:r>
          <w:rPr>
            <w:webHidden/>
          </w:rPr>
          <w:fldChar w:fldCharType="begin"/>
        </w:r>
        <w:r w:rsidR="009252AA">
          <w:rPr>
            <w:webHidden/>
          </w:rPr>
          <w:instrText xml:space="preserve"> PAGEREF _Toc289855967 \h </w:instrText>
        </w:r>
        <w:r>
          <w:rPr>
            <w:webHidden/>
          </w:rPr>
        </w:r>
        <w:r>
          <w:rPr>
            <w:webHidden/>
          </w:rPr>
          <w:fldChar w:fldCharType="separate"/>
        </w:r>
        <w:r w:rsidR="009252AA">
          <w:rPr>
            <w:webHidden/>
          </w:rPr>
          <w:t>i</w:t>
        </w:r>
        <w:r>
          <w:rPr>
            <w:webHidden/>
          </w:rPr>
          <w:fldChar w:fldCharType="end"/>
        </w:r>
      </w:hyperlink>
    </w:p>
    <w:p w:rsidR="009252AA" w:rsidRDefault="00BE1A51" w:rsidP="009252AA">
      <w:pPr>
        <w:pStyle w:val="TOC1"/>
        <w:rPr>
          <w:rFonts w:asciiTheme="minorHAnsi" w:eastAsiaTheme="minorEastAsia" w:hAnsiTheme="minorHAnsi" w:cstheme="minorBidi"/>
          <w:caps/>
          <w:sz w:val="22"/>
          <w:szCs w:val="22"/>
          <w:lang w:val="en-US"/>
        </w:rPr>
      </w:pPr>
      <w:hyperlink w:anchor="_Toc289855968" w:history="1">
        <w:r w:rsidR="009252AA" w:rsidRPr="00076060">
          <w:rPr>
            <w:rStyle w:val="Hyperlink"/>
          </w:rPr>
          <w:t>RÉSUMÉ  EXÉCUTIF</w:t>
        </w:r>
        <w:r w:rsidR="009252AA">
          <w:rPr>
            <w:webHidden/>
          </w:rPr>
          <w:tab/>
        </w:r>
        <w:r>
          <w:rPr>
            <w:webHidden/>
          </w:rPr>
          <w:fldChar w:fldCharType="begin"/>
        </w:r>
        <w:r w:rsidR="009252AA">
          <w:rPr>
            <w:webHidden/>
          </w:rPr>
          <w:instrText xml:space="preserve"> PAGEREF _Toc289855968 \h </w:instrText>
        </w:r>
        <w:r>
          <w:rPr>
            <w:webHidden/>
          </w:rPr>
        </w:r>
        <w:r>
          <w:rPr>
            <w:webHidden/>
          </w:rPr>
          <w:fldChar w:fldCharType="separate"/>
        </w:r>
        <w:r w:rsidR="009252AA">
          <w:rPr>
            <w:webHidden/>
          </w:rPr>
          <w:t>iii</w:t>
        </w:r>
        <w:r>
          <w:rPr>
            <w:webHidden/>
          </w:rPr>
          <w:fldChar w:fldCharType="end"/>
        </w:r>
      </w:hyperlink>
    </w:p>
    <w:p w:rsidR="009252AA" w:rsidRDefault="00BE1A51" w:rsidP="009252AA">
      <w:pPr>
        <w:pStyle w:val="TOC1"/>
        <w:rPr>
          <w:rFonts w:asciiTheme="minorHAnsi" w:eastAsiaTheme="minorEastAsia" w:hAnsiTheme="minorHAnsi" w:cstheme="minorBidi"/>
          <w:caps/>
          <w:sz w:val="22"/>
          <w:szCs w:val="22"/>
          <w:lang w:val="en-US"/>
        </w:rPr>
      </w:pPr>
      <w:hyperlink w:anchor="_Toc289855969" w:history="1">
        <w:r w:rsidR="009252AA" w:rsidRPr="00076060">
          <w:rPr>
            <w:rStyle w:val="Hyperlink"/>
          </w:rPr>
          <w:t>Introduction</w:t>
        </w:r>
        <w:r w:rsidR="009252AA">
          <w:rPr>
            <w:webHidden/>
          </w:rPr>
          <w:tab/>
        </w:r>
        <w:r>
          <w:rPr>
            <w:webHidden/>
          </w:rPr>
          <w:fldChar w:fldCharType="begin"/>
        </w:r>
        <w:r w:rsidR="009252AA">
          <w:rPr>
            <w:webHidden/>
          </w:rPr>
          <w:instrText xml:space="preserve"> PAGEREF _Toc289855969 \h </w:instrText>
        </w:r>
        <w:r>
          <w:rPr>
            <w:webHidden/>
          </w:rPr>
        </w:r>
        <w:r>
          <w:rPr>
            <w:webHidden/>
          </w:rPr>
          <w:fldChar w:fldCharType="separate"/>
        </w:r>
        <w:r w:rsidR="009252AA">
          <w:rPr>
            <w:webHidden/>
          </w:rPr>
          <w:t>1</w:t>
        </w:r>
        <w:r>
          <w:rPr>
            <w:webHidden/>
          </w:rPr>
          <w:fldChar w:fldCharType="end"/>
        </w:r>
      </w:hyperlink>
    </w:p>
    <w:p w:rsidR="009252AA" w:rsidRDefault="00BE1A51">
      <w:pPr>
        <w:pStyle w:val="TOC2"/>
        <w:tabs>
          <w:tab w:val="left" w:pos="880"/>
          <w:tab w:val="right" w:leader="dot" w:pos="9016"/>
        </w:tabs>
        <w:rPr>
          <w:rFonts w:asciiTheme="minorHAnsi" w:eastAsiaTheme="minorEastAsia" w:hAnsiTheme="minorHAnsi" w:cstheme="minorBidi"/>
          <w:smallCaps w:val="0"/>
          <w:noProof/>
          <w:sz w:val="22"/>
          <w:szCs w:val="22"/>
          <w:lang w:val="en-US"/>
        </w:rPr>
      </w:pPr>
      <w:hyperlink w:anchor="_Toc289855970" w:history="1">
        <w:r w:rsidR="009252AA" w:rsidRPr="00076060">
          <w:rPr>
            <w:rStyle w:val="Hyperlink"/>
            <w:noProof/>
          </w:rPr>
          <w:t>1.1</w:t>
        </w:r>
        <w:r w:rsidR="009252AA">
          <w:rPr>
            <w:rFonts w:asciiTheme="minorHAnsi" w:eastAsiaTheme="minorEastAsia" w:hAnsiTheme="minorHAnsi" w:cstheme="minorBidi"/>
            <w:smallCaps w:val="0"/>
            <w:noProof/>
            <w:sz w:val="22"/>
            <w:szCs w:val="22"/>
            <w:lang w:val="en-US"/>
          </w:rPr>
          <w:tab/>
        </w:r>
        <w:r w:rsidR="009252AA" w:rsidRPr="00076060">
          <w:rPr>
            <w:rStyle w:val="Hyperlink"/>
            <w:noProof/>
          </w:rPr>
          <w:t>Contexte</w:t>
        </w:r>
        <w:r w:rsidR="009252AA">
          <w:rPr>
            <w:noProof/>
            <w:webHidden/>
          </w:rPr>
          <w:tab/>
        </w:r>
        <w:r>
          <w:rPr>
            <w:noProof/>
            <w:webHidden/>
          </w:rPr>
          <w:fldChar w:fldCharType="begin"/>
        </w:r>
        <w:r w:rsidR="009252AA">
          <w:rPr>
            <w:noProof/>
            <w:webHidden/>
          </w:rPr>
          <w:instrText xml:space="preserve"> PAGEREF _Toc289855970 \h </w:instrText>
        </w:r>
        <w:r>
          <w:rPr>
            <w:noProof/>
            <w:webHidden/>
          </w:rPr>
        </w:r>
        <w:r>
          <w:rPr>
            <w:noProof/>
            <w:webHidden/>
          </w:rPr>
          <w:fldChar w:fldCharType="separate"/>
        </w:r>
        <w:r w:rsidR="009252AA">
          <w:rPr>
            <w:noProof/>
            <w:webHidden/>
          </w:rPr>
          <w:t>1</w:t>
        </w:r>
        <w:r>
          <w:rPr>
            <w:noProof/>
            <w:webHidden/>
          </w:rPr>
          <w:fldChar w:fldCharType="end"/>
        </w:r>
      </w:hyperlink>
    </w:p>
    <w:p w:rsidR="009252AA" w:rsidRDefault="00BE1A51">
      <w:pPr>
        <w:pStyle w:val="TOC2"/>
        <w:tabs>
          <w:tab w:val="left" w:pos="880"/>
          <w:tab w:val="right" w:leader="dot" w:pos="9016"/>
        </w:tabs>
        <w:rPr>
          <w:rFonts w:asciiTheme="minorHAnsi" w:eastAsiaTheme="minorEastAsia" w:hAnsiTheme="minorHAnsi" w:cstheme="minorBidi"/>
          <w:smallCaps w:val="0"/>
          <w:noProof/>
          <w:sz w:val="22"/>
          <w:szCs w:val="22"/>
          <w:lang w:val="en-US"/>
        </w:rPr>
      </w:pPr>
      <w:hyperlink w:anchor="_Toc289855971" w:history="1">
        <w:r w:rsidR="009252AA" w:rsidRPr="00076060">
          <w:rPr>
            <w:rStyle w:val="Hyperlink"/>
            <w:noProof/>
          </w:rPr>
          <w:t>1.2</w:t>
        </w:r>
        <w:r w:rsidR="009252AA">
          <w:rPr>
            <w:rFonts w:asciiTheme="minorHAnsi" w:eastAsiaTheme="minorEastAsia" w:hAnsiTheme="minorHAnsi" w:cstheme="minorBidi"/>
            <w:smallCaps w:val="0"/>
            <w:noProof/>
            <w:sz w:val="22"/>
            <w:szCs w:val="22"/>
            <w:lang w:val="en-US"/>
          </w:rPr>
          <w:tab/>
        </w:r>
        <w:r w:rsidR="009252AA" w:rsidRPr="00076060">
          <w:rPr>
            <w:rStyle w:val="Hyperlink"/>
            <w:noProof/>
          </w:rPr>
          <w:t>Performance économique récente</w:t>
        </w:r>
        <w:r w:rsidR="009252AA">
          <w:rPr>
            <w:noProof/>
            <w:webHidden/>
          </w:rPr>
          <w:tab/>
        </w:r>
        <w:r>
          <w:rPr>
            <w:noProof/>
            <w:webHidden/>
          </w:rPr>
          <w:fldChar w:fldCharType="begin"/>
        </w:r>
        <w:r w:rsidR="009252AA">
          <w:rPr>
            <w:noProof/>
            <w:webHidden/>
          </w:rPr>
          <w:instrText xml:space="preserve"> PAGEREF _Toc289855971 \h </w:instrText>
        </w:r>
        <w:r>
          <w:rPr>
            <w:noProof/>
            <w:webHidden/>
          </w:rPr>
        </w:r>
        <w:r>
          <w:rPr>
            <w:noProof/>
            <w:webHidden/>
          </w:rPr>
          <w:fldChar w:fldCharType="separate"/>
        </w:r>
        <w:r w:rsidR="009252AA">
          <w:rPr>
            <w:noProof/>
            <w:webHidden/>
          </w:rPr>
          <w:t>1</w:t>
        </w:r>
        <w:r>
          <w:rPr>
            <w:noProof/>
            <w:webHidden/>
          </w:rPr>
          <w:fldChar w:fldCharType="end"/>
        </w:r>
      </w:hyperlink>
    </w:p>
    <w:p w:rsidR="009252AA" w:rsidRDefault="00BE1A51">
      <w:pPr>
        <w:pStyle w:val="TOC2"/>
        <w:tabs>
          <w:tab w:val="left" w:pos="880"/>
          <w:tab w:val="right" w:leader="dot" w:pos="9016"/>
        </w:tabs>
        <w:rPr>
          <w:rFonts w:asciiTheme="minorHAnsi" w:eastAsiaTheme="minorEastAsia" w:hAnsiTheme="minorHAnsi" w:cstheme="minorBidi"/>
          <w:smallCaps w:val="0"/>
          <w:noProof/>
          <w:sz w:val="22"/>
          <w:szCs w:val="22"/>
          <w:lang w:val="en-US"/>
        </w:rPr>
      </w:pPr>
      <w:hyperlink w:anchor="_Toc289855972" w:history="1">
        <w:r w:rsidR="009252AA" w:rsidRPr="00076060">
          <w:rPr>
            <w:rStyle w:val="Hyperlink"/>
            <w:noProof/>
          </w:rPr>
          <w:t>1.3</w:t>
        </w:r>
        <w:r w:rsidR="009252AA">
          <w:rPr>
            <w:rFonts w:asciiTheme="minorHAnsi" w:eastAsiaTheme="minorEastAsia" w:hAnsiTheme="minorHAnsi" w:cstheme="minorBidi"/>
            <w:smallCaps w:val="0"/>
            <w:noProof/>
            <w:sz w:val="22"/>
            <w:szCs w:val="22"/>
            <w:lang w:val="en-US"/>
          </w:rPr>
          <w:tab/>
        </w:r>
        <w:r w:rsidR="009252AA" w:rsidRPr="00076060">
          <w:rPr>
            <w:rStyle w:val="Hyperlink"/>
            <w:noProof/>
          </w:rPr>
          <w:t>Contribution de l’économie urbaine à la réalisation des objectifs de la Stratégie de Croissance et de Réduction de la Pauvreté</w:t>
        </w:r>
        <w:r w:rsidR="009252AA">
          <w:rPr>
            <w:noProof/>
            <w:webHidden/>
          </w:rPr>
          <w:tab/>
        </w:r>
        <w:r>
          <w:rPr>
            <w:noProof/>
            <w:webHidden/>
          </w:rPr>
          <w:fldChar w:fldCharType="begin"/>
        </w:r>
        <w:r w:rsidR="009252AA">
          <w:rPr>
            <w:noProof/>
            <w:webHidden/>
          </w:rPr>
          <w:instrText xml:space="preserve"> PAGEREF _Toc289855972 \h </w:instrText>
        </w:r>
        <w:r>
          <w:rPr>
            <w:noProof/>
            <w:webHidden/>
          </w:rPr>
        </w:r>
        <w:r>
          <w:rPr>
            <w:noProof/>
            <w:webHidden/>
          </w:rPr>
          <w:fldChar w:fldCharType="separate"/>
        </w:r>
        <w:r w:rsidR="009252AA">
          <w:rPr>
            <w:noProof/>
            <w:webHidden/>
          </w:rPr>
          <w:t>2</w:t>
        </w:r>
        <w:r>
          <w:rPr>
            <w:noProof/>
            <w:webHidden/>
          </w:rPr>
          <w:fldChar w:fldCharType="end"/>
        </w:r>
      </w:hyperlink>
    </w:p>
    <w:p w:rsidR="009252AA" w:rsidRDefault="00BE1A51">
      <w:pPr>
        <w:pStyle w:val="TOC2"/>
        <w:tabs>
          <w:tab w:val="left" w:pos="880"/>
          <w:tab w:val="right" w:leader="dot" w:pos="9016"/>
        </w:tabs>
        <w:rPr>
          <w:rFonts w:asciiTheme="minorHAnsi" w:eastAsiaTheme="minorEastAsia" w:hAnsiTheme="minorHAnsi" w:cstheme="minorBidi"/>
          <w:smallCaps w:val="0"/>
          <w:noProof/>
          <w:sz w:val="22"/>
          <w:szCs w:val="22"/>
          <w:lang w:val="en-US"/>
        </w:rPr>
      </w:pPr>
      <w:hyperlink w:anchor="_Toc289855973" w:history="1">
        <w:r w:rsidR="009252AA" w:rsidRPr="00076060">
          <w:rPr>
            <w:rStyle w:val="Hyperlink"/>
            <w:noProof/>
          </w:rPr>
          <w:t>1.4</w:t>
        </w:r>
        <w:r w:rsidR="009252AA">
          <w:rPr>
            <w:rFonts w:asciiTheme="minorHAnsi" w:eastAsiaTheme="minorEastAsia" w:hAnsiTheme="minorHAnsi" w:cstheme="minorBidi"/>
            <w:smallCaps w:val="0"/>
            <w:noProof/>
            <w:sz w:val="22"/>
            <w:szCs w:val="22"/>
            <w:lang w:val="en-US"/>
          </w:rPr>
          <w:tab/>
        </w:r>
        <w:r w:rsidR="009252AA" w:rsidRPr="00076060">
          <w:rPr>
            <w:rStyle w:val="Hyperlink"/>
            <w:noProof/>
          </w:rPr>
          <w:t>Objectifs et valeur ajoutée de l’étude</w:t>
        </w:r>
        <w:r w:rsidR="009252AA">
          <w:rPr>
            <w:noProof/>
            <w:webHidden/>
          </w:rPr>
          <w:tab/>
        </w:r>
        <w:r>
          <w:rPr>
            <w:noProof/>
            <w:webHidden/>
          </w:rPr>
          <w:fldChar w:fldCharType="begin"/>
        </w:r>
        <w:r w:rsidR="009252AA">
          <w:rPr>
            <w:noProof/>
            <w:webHidden/>
          </w:rPr>
          <w:instrText xml:space="preserve"> PAGEREF _Toc289855973 \h </w:instrText>
        </w:r>
        <w:r>
          <w:rPr>
            <w:noProof/>
            <w:webHidden/>
          </w:rPr>
        </w:r>
        <w:r>
          <w:rPr>
            <w:noProof/>
            <w:webHidden/>
          </w:rPr>
          <w:fldChar w:fldCharType="separate"/>
        </w:r>
        <w:r w:rsidR="009252AA">
          <w:rPr>
            <w:noProof/>
            <w:webHidden/>
          </w:rPr>
          <w:t>3</w:t>
        </w:r>
        <w:r>
          <w:rPr>
            <w:noProof/>
            <w:webHidden/>
          </w:rPr>
          <w:fldChar w:fldCharType="end"/>
        </w:r>
      </w:hyperlink>
    </w:p>
    <w:p w:rsidR="009252AA" w:rsidRDefault="00BE1A51">
      <w:pPr>
        <w:pStyle w:val="TOC3"/>
        <w:tabs>
          <w:tab w:val="left" w:pos="1100"/>
          <w:tab w:val="right" w:leader="dot" w:pos="9016"/>
        </w:tabs>
        <w:rPr>
          <w:rFonts w:asciiTheme="minorHAnsi" w:eastAsiaTheme="minorEastAsia" w:hAnsiTheme="minorHAnsi" w:cstheme="minorBidi"/>
          <w:i w:val="0"/>
          <w:iCs w:val="0"/>
          <w:noProof/>
          <w:sz w:val="22"/>
          <w:szCs w:val="22"/>
          <w:lang w:val="en-US"/>
        </w:rPr>
      </w:pPr>
      <w:hyperlink w:anchor="_Toc289855974" w:history="1">
        <w:r w:rsidR="009252AA" w:rsidRPr="00076060">
          <w:rPr>
            <w:rStyle w:val="Hyperlink"/>
            <w:noProof/>
          </w:rPr>
          <w:t>1.4.1</w:t>
        </w:r>
        <w:r w:rsidR="009252AA">
          <w:rPr>
            <w:rFonts w:asciiTheme="minorHAnsi" w:eastAsiaTheme="minorEastAsia" w:hAnsiTheme="minorHAnsi" w:cstheme="minorBidi"/>
            <w:i w:val="0"/>
            <w:iCs w:val="0"/>
            <w:noProof/>
            <w:sz w:val="22"/>
            <w:szCs w:val="22"/>
            <w:lang w:val="en-US"/>
          </w:rPr>
          <w:tab/>
        </w:r>
        <w:r w:rsidR="009252AA" w:rsidRPr="00076060">
          <w:rPr>
            <w:rStyle w:val="Hyperlink"/>
            <w:noProof/>
          </w:rPr>
          <w:t>Valeur ajoutée</w:t>
        </w:r>
        <w:r w:rsidR="009252AA">
          <w:rPr>
            <w:noProof/>
            <w:webHidden/>
          </w:rPr>
          <w:tab/>
        </w:r>
        <w:r>
          <w:rPr>
            <w:noProof/>
            <w:webHidden/>
          </w:rPr>
          <w:fldChar w:fldCharType="begin"/>
        </w:r>
        <w:r w:rsidR="009252AA">
          <w:rPr>
            <w:noProof/>
            <w:webHidden/>
          </w:rPr>
          <w:instrText xml:space="preserve"> PAGEREF _Toc289855974 \h </w:instrText>
        </w:r>
        <w:r>
          <w:rPr>
            <w:noProof/>
            <w:webHidden/>
          </w:rPr>
        </w:r>
        <w:r>
          <w:rPr>
            <w:noProof/>
            <w:webHidden/>
          </w:rPr>
          <w:fldChar w:fldCharType="separate"/>
        </w:r>
        <w:r w:rsidR="009252AA">
          <w:rPr>
            <w:noProof/>
            <w:webHidden/>
          </w:rPr>
          <w:t>3</w:t>
        </w:r>
        <w:r>
          <w:rPr>
            <w:noProof/>
            <w:webHidden/>
          </w:rPr>
          <w:fldChar w:fldCharType="end"/>
        </w:r>
      </w:hyperlink>
    </w:p>
    <w:p w:rsidR="009252AA" w:rsidRDefault="00BE1A51">
      <w:pPr>
        <w:pStyle w:val="TOC2"/>
        <w:tabs>
          <w:tab w:val="left" w:pos="880"/>
          <w:tab w:val="right" w:leader="dot" w:pos="9016"/>
        </w:tabs>
        <w:rPr>
          <w:rFonts w:asciiTheme="minorHAnsi" w:eastAsiaTheme="minorEastAsia" w:hAnsiTheme="minorHAnsi" w:cstheme="minorBidi"/>
          <w:smallCaps w:val="0"/>
          <w:noProof/>
          <w:sz w:val="22"/>
          <w:szCs w:val="22"/>
          <w:lang w:val="en-US"/>
        </w:rPr>
      </w:pPr>
      <w:hyperlink w:anchor="_Toc289855975" w:history="1">
        <w:r w:rsidR="009252AA" w:rsidRPr="00076060">
          <w:rPr>
            <w:rStyle w:val="Hyperlink"/>
            <w:noProof/>
          </w:rPr>
          <w:t>1.5</w:t>
        </w:r>
        <w:r w:rsidR="009252AA">
          <w:rPr>
            <w:rFonts w:asciiTheme="minorHAnsi" w:eastAsiaTheme="minorEastAsia" w:hAnsiTheme="minorHAnsi" w:cstheme="minorBidi"/>
            <w:smallCaps w:val="0"/>
            <w:noProof/>
            <w:sz w:val="22"/>
            <w:szCs w:val="22"/>
            <w:lang w:val="en-US"/>
          </w:rPr>
          <w:tab/>
        </w:r>
        <w:r w:rsidR="009252AA" w:rsidRPr="00076060">
          <w:rPr>
            <w:rStyle w:val="Hyperlink"/>
            <w:noProof/>
          </w:rPr>
          <w:t>Méthodologie</w:t>
        </w:r>
        <w:r w:rsidR="009252AA">
          <w:rPr>
            <w:noProof/>
            <w:webHidden/>
          </w:rPr>
          <w:tab/>
        </w:r>
        <w:r>
          <w:rPr>
            <w:noProof/>
            <w:webHidden/>
          </w:rPr>
          <w:fldChar w:fldCharType="begin"/>
        </w:r>
        <w:r w:rsidR="009252AA">
          <w:rPr>
            <w:noProof/>
            <w:webHidden/>
          </w:rPr>
          <w:instrText xml:space="preserve"> PAGEREF _Toc289855975 \h </w:instrText>
        </w:r>
        <w:r>
          <w:rPr>
            <w:noProof/>
            <w:webHidden/>
          </w:rPr>
        </w:r>
        <w:r>
          <w:rPr>
            <w:noProof/>
            <w:webHidden/>
          </w:rPr>
          <w:fldChar w:fldCharType="separate"/>
        </w:r>
        <w:r w:rsidR="009252AA">
          <w:rPr>
            <w:noProof/>
            <w:webHidden/>
          </w:rPr>
          <w:t>3</w:t>
        </w:r>
        <w:r>
          <w:rPr>
            <w:noProof/>
            <w:webHidden/>
          </w:rPr>
          <w:fldChar w:fldCharType="end"/>
        </w:r>
      </w:hyperlink>
    </w:p>
    <w:p w:rsidR="009252AA" w:rsidRDefault="00BE1A51">
      <w:pPr>
        <w:pStyle w:val="TOC2"/>
        <w:tabs>
          <w:tab w:val="left" w:pos="880"/>
          <w:tab w:val="right" w:leader="dot" w:pos="9016"/>
        </w:tabs>
        <w:rPr>
          <w:rFonts w:asciiTheme="minorHAnsi" w:eastAsiaTheme="minorEastAsia" w:hAnsiTheme="minorHAnsi" w:cstheme="minorBidi"/>
          <w:smallCaps w:val="0"/>
          <w:noProof/>
          <w:sz w:val="22"/>
          <w:szCs w:val="22"/>
          <w:lang w:val="en-US"/>
        </w:rPr>
      </w:pPr>
      <w:hyperlink w:anchor="_Toc289855976" w:history="1">
        <w:r w:rsidR="009252AA" w:rsidRPr="00076060">
          <w:rPr>
            <w:rStyle w:val="Hyperlink"/>
            <w:noProof/>
          </w:rPr>
          <w:t>1.6</w:t>
        </w:r>
        <w:r w:rsidR="009252AA">
          <w:rPr>
            <w:rFonts w:asciiTheme="minorHAnsi" w:eastAsiaTheme="minorEastAsia" w:hAnsiTheme="minorHAnsi" w:cstheme="minorBidi"/>
            <w:smallCaps w:val="0"/>
            <w:noProof/>
            <w:sz w:val="22"/>
            <w:szCs w:val="22"/>
            <w:lang w:val="en-US"/>
          </w:rPr>
          <w:tab/>
        </w:r>
        <w:r w:rsidR="009252AA" w:rsidRPr="00076060">
          <w:rPr>
            <w:rStyle w:val="Hyperlink"/>
            <w:noProof/>
          </w:rPr>
          <w:t>Structure du rapport</w:t>
        </w:r>
        <w:r w:rsidR="009252AA">
          <w:rPr>
            <w:noProof/>
            <w:webHidden/>
          </w:rPr>
          <w:tab/>
        </w:r>
        <w:r>
          <w:rPr>
            <w:noProof/>
            <w:webHidden/>
          </w:rPr>
          <w:fldChar w:fldCharType="begin"/>
        </w:r>
        <w:r w:rsidR="009252AA">
          <w:rPr>
            <w:noProof/>
            <w:webHidden/>
          </w:rPr>
          <w:instrText xml:space="preserve"> PAGEREF _Toc289855976 \h </w:instrText>
        </w:r>
        <w:r>
          <w:rPr>
            <w:noProof/>
            <w:webHidden/>
          </w:rPr>
        </w:r>
        <w:r>
          <w:rPr>
            <w:noProof/>
            <w:webHidden/>
          </w:rPr>
          <w:fldChar w:fldCharType="separate"/>
        </w:r>
        <w:r w:rsidR="009252AA">
          <w:rPr>
            <w:noProof/>
            <w:webHidden/>
          </w:rPr>
          <w:t>4</w:t>
        </w:r>
        <w:r>
          <w:rPr>
            <w:noProof/>
            <w:webHidden/>
          </w:rPr>
          <w:fldChar w:fldCharType="end"/>
        </w:r>
      </w:hyperlink>
    </w:p>
    <w:p w:rsidR="009252AA" w:rsidRDefault="00BE1A51" w:rsidP="009252AA">
      <w:pPr>
        <w:pStyle w:val="TOC1"/>
        <w:rPr>
          <w:rFonts w:asciiTheme="minorHAnsi" w:eastAsiaTheme="minorEastAsia" w:hAnsiTheme="minorHAnsi" w:cstheme="minorBidi"/>
          <w:caps/>
          <w:sz w:val="22"/>
          <w:szCs w:val="22"/>
          <w:lang w:val="en-US"/>
        </w:rPr>
      </w:pPr>
      <w:hyperlink w:anchor="_Toc289855977" w:history="1">
        <w:r w:rsidR="009252AA" w:rsidRPr="00076060">
          <w:rPr>
            <w:rStyle w:val="Hyperlink"/>
          </w:rPr>
          <w:t>II.</w:t>
        </w:r>
        <w:r w:rsidR="009252AA">
          <w:rPr>
            <w:rFonts w:asciiTheme="minorHAnsi" w:eastAsiaTheme="minorEastAsia" w:hAnsiTheme="minorHAnsi" w:cstheme="minorBidi"/>
            <w:caps/>
            <w:sz w:val="22"/>
            <w:szCs w:val="22"/>
            <w:lang w:val="en-US"/>
          </w:rPr>
          <w:tab/>
        </w:r>
        <w:r w:rsidR="009252AA" w:rsidRPr="00076060">
          <w:rPr>
            <w:rStyle w:val="Hyperlink"/>
          </w:rPr>
          <w:t>Profil environnemental de la ville de Bamako</w:t>
        </w:r>
        <w:r w:rsidR="009252AA">
          <w:rPr>
            <w:webHidden/>
          </w:rPr>
          <w:tab/>
        </w:r>
        <w:r>
          <w:rPr>
            <w:webHidden/>
          </w:rPr>
          <w:fldChar w:fldCharType="begin"/>
        </w:r>
        <w:r w:rsidR="009252AA">
          <w:rPr>
            <w:webHidden/>
          </w:rPr>
          <w:instrText xml:space="preserve"> PAGEREF _Toc289855977 \h </w:instrText>
        </w:r>
        <w:r>
          <w:rPr>
            <w:webHidden/>
          </w:rPr>
        </w:r>
        <w:r>
          <w:rPr>
            <w:webHidden/>
          </w:rPr>
          <w:fldChar w:fldCharType="separate"/>
        </w:r>
        <w:r w:rsidR="009252AA">
          <w:rPr>
            <w:webHidden/>
          </w:rPr>
          <w:t>5</w:t>
        </w:r>
        <w:r>
          <w:rPr>
            <w:webHidden/>
          </w:rPr>
          <w:fldChar w:fldCharType="end"/>
        </w:r>
      </w:hyperlink>
    </w:p>
    <w:p w:rsidR="009252AA" w:rsidRDefault="00BE1A51" w:rsidP="009252AA">
      <w:pPr>
        <w:pStyle w:val="TOC1"/>
        <w:rPr>
          <w:rFonts w:asciiTheme="minorHAnsi" w:eastAsiaTheme="minorEastAsia" w:hAnsiTheme="minorHAnsi" w:cstheme="minorBidi"/>
          <w:caps/>
          <w:sz w:val="22"/>
          <w:szCs w:val="22"/>
          <w:lang w:val="en-US"/>
        </w:rPr>
      </w:pPr>
      <w:hyperlink w:anchor="_Toc289855978" w:history="1">
        <w:r w:rsidR="009252AA" w:rsidRPr="00076060">
          <w:rPr>
            <w:rStyle w:val="Hyperlink"/>
          </w:rPr>
          <w:t>III.</w:t>
        </w:r>
        <w:r w:rsidR="009252AA">
          <w:rPr>
            <w:rFonts w:asciiTheme="minorHAnsi" w:eastAsiaTheme="minorEastAsia" w:hAnsiTheme="minorHAnsi" w:cstheme="minorBidi"/>
            <w:caps/>
            <w:sz w:val="22"/>
            <w:szCs w:val="22"/>
            <w:lang w:val="en-US"/>
          </w:rPr>
          <w:tab/>
        </w:r>
        <w:r w:rsidR="009252AA" w:rsidRPr="00076060">
          <w:rPr>
            <w:rStyle w:val="Hyperlink"/>
          </w:rPr>
          <w:t>Profil environnemental de la ville de Gao</w:t>
        </w:r>
        <w:r w:rsidR="009252AA">
          <w:rPr>
            <w:webHidden/>
          </w:rPr>
          <w:tab/>
        </w:r>
        <w:r>
          <w:rPr>
            <w:webHidden/>
          </w:rPr>
          <w:fldChar w:fldCharType="begin"/>
        </w:r>
        <w:r w:rsidR="009252AA">
          <w:rPr>
            <w:webHidden/>
          </w:rPr>
          <w:instrText xml:space="preserve"> PAGEREF _Toc289855978 \h </w:instrText>
        </w:r>
        <w:r>
          <w:rPr>
            <w:webHidden/>
          </w:rPr>
        </w:r>
        <w:r>
          <w:rPr>
            <w:webHidden/>
          </w:rPr>
          <w:fldChar w:fldCharType="separate"/>
        </w:r>
        <w:r w:rsidR="009252AA">
          <w:rPr>
            <w:webHidden/>
          </w:rPr>
          <w:t>17</w:t>
        </w:r>
        <w:r>
          <w:rPr>
            <w:webHidden/>
          </w:rPr>
          <w:fldChar w:fldCharType="end"/>
        </w:r>
      </w:hyperlink>
    </w:p>
    <w:p w:rsidR="009252AA" w:rsidRDefault="00BE1A51" w:rsidP="009252AA">
      <w:pPr>
        <w:pStyle w:val="TOC1"/>
        <w:rPr>
          <w:rFonts w:asciiTheme="minorHAnsi" w:eastAsiaTheme="minorEastAsia" w:hAnsiTheme="minorHAnsi" w:cstheme="minorBidi"/>
          <w:caps/>
          <w:sz w:val="22"/>
          <w:szCs w:val="22"/>
          <w:lang w:val="en-US"/>
        </w:rPr>
      </w:pPr>
      <w:hyperlink w:anchor="_Toc289855979" w:history="1">
        <w:r w:rsidR="009252AA" w:rsidRPr="00076060">
          <w:rPr>
            <w:rStyle w:val="Hyperlink"/>
          </w:rPr>
          <w:t>IV.</w:t>
        </w:r>
        <w:r w:rsidR="009252AA">
          <w:rPr>
            <w:rFonts w:asciiTheme="minorHAnsi" w:eastAsiaTheme="minorEastAsia" w:hAnsiTheme="minorHAnsi" w:cstheme="minorBidi"/>
            <w:caps/>
            <w:sz w:val="22"/>
            <w:szCs w:val="22"/>
            <w:lang w:val="en-US"/>
          </w:rPr>
          <w:tab/>
        </w:r>
        <w:r w:rsidR="009252AA" w:rsidRPr="00076060">
          <w:rPr>
            <w:rStyle w:val="Hyperlink"/>
          </w:rPr>
          <w:t>Profil environnemental de la ville de Mopti</w:t>
        </w:r>
        <w:r w:rsidR="009252AA">
          <w:rPr>
            <w:webHidden/>
          </w:rPr>
          <w:tab/>
        </w:r>
        <w:r>
          <w:rPr>
            <w:webHidden/>
          </w:rPr>
          <w:fldChar w:fldCharType="begin"/>
        </w:r>
        <w:r w:rsidR="009252AA">
          <w:rPr>
            <w:webHidden/>
          </w:rPr>
          <w:instrText xml:space="preserve"> PAGEREF _Toc289855979 \h </w:instrText>
        </w:r>
        <w:r>
          <w:rPr>
            <w:webHidden/>
          </w:rPr>
        </w:r>
        <w:r>
          <w:rPr>
            <w:webHidden/>
          </w:rPr>
          <w:fldChar w:fldCharType="separate"/>
        </w:r>
        <w:r w:rsidR="009252AA">
          <w:rPr>
            <w:webHidden/>
          </w:rPr>
          <w:t>26</w:t>
        </w:r>
        <w:r>
          <w:rPr>
            <w:webHidden/>
          </w:rPr>
          <w:fldChar w:fldCharType="end"/>
        </w:r>
      </w:hyperlink>
    </w:p>
    <w:p w:rsidR="009252AA" w:rsidRDefault="00BE1A51" w:rsidP="009252AA">
      <w:pPr>
        <w:pStyle w:val="TOC1"/>
        <w:rPr>
          <w:rFonts w:asciiTheme="minorHAnsi" w:eastAsiaTheme="minorEastAsia" w:hAnsiTheme="minorHAnsi" w:cstheme="minorBidi"/>
          <w:caps/>
          <w:sz w:val="22"/>
          <w:szCs w:val="22"/>
          <w:lang w:val="en-US"/>
        </w:rPr>
      </w:pPr>
      <w:hyperlink w:anchor="_Toc289855980" w:history="1">
        <w:r w:rsidR="009252AA" w:rsidRPr="00076060">
          <w:rPr>
            <w:rStyle w:val="Hyperlink"/>
          </w:rPr>
          <w:t>V.</w:t>
        </w:r>
        <w:r w:rsidR="009252AA">
          <w:rPr>
            <w:rFonts w:asciiTheme="minorHAnsi" w:eastAsiaTheme="minorEastAsia" w:hAnsiTheme="minorHAnsi" w:cstheme="minorBidi"/>
            <w:caps/>
            <w:sz w:val="22"/>
            <w:szCs w:val="22"/>
            <w:lang w:val="en-US"/>
          </w:rPr>
          <w:tab/>
        </w:r>
        <w:r w:rsidR="009252AA" w:rsidRPr="00076060">
          <w:rPr>
            <w:rStyle w:val="Hyperlink"/>
          </w:rPr>
          <w:t>Profil environnemental de la ville de Sikasso</w:t>
        </w:r>
        <w:r w:rsidR="009252AA">
          <w:rPr>
            <w:webHidden/>
          </w:rPr>
          <w:tab/>
        </w:r>
        <w:r>
          <w:rPr>
            <w:webHidden/>
          </w:rPr>
          <w:fldChar w:fldCharType="begin"/>
        </w:r>
        <w:r w:rsidR="009252AA">
          <w:rPr>
            <w:webHidden/>
          </w:rPr>
          <w:instrText xml:space="preserve"> PAGEREF _Toc289855980 \h </w:instrText>
        </w:r>
        <w:r>
          <w:rPr>
            <w:webHidden/>
          </w:rPr>
        </w:r>
        <w:r>
          <w:rPr>
            <w:webHidden/>
          </w:rPr>
          <w:fldChar w:fldCharType="separate"/>
        </w:r>
        <w:r w:rsidR="009252AA">
          <w:rPr>
            <w:webHidden/>
          </w:rPr>
          <w:t>41</w:t>
        </w:r>
        <w:r>
          <w:rPr>
            <w:webHidden/>
          </w:rPr>
          <w:fldChar w:fldCharType="end"/>
        </w:r>
      </w:hyperlink>
    </w:p>
    <w:p w:rsidR="009252AA" w:rsidRDefault="00BE1A51" w:rsidP="009252AA">
      <w:pPr>
        <w:pStyle w:val="TOC1"/>
        <w:rPr>
          <w:rFonts w:asciiTheme="minorHAnsi" w:eastAsiaTheme="minorEastAsia" w:hAnsiTheme="minorHAnsi" w:cstheme="minorBidi"/>
          <w:caps/>
          <w:sz w:val="22"/>
          <w:szCs w:val="22"/>
          <w:lang w:val="en-US"/>
        </w:rPr>
      </w:pPr>
      <w:hyperlink w:anchor="_Toc289855981" w:history="1">
        <w:r w:rsidR="009252AA" w:rsidRPr="00076060">
          <w:rPr>
            <w:rStyle w:val="Hyperlink"/>
          </w:rPr>
          <w:t>Références</w:t>
        </w:r>
        <w:r w:rsidR="009252AA">
          <w:rPr>
            <w:webHidden/>
          </w:rPr>
          <w:tab/>
        </w:r>
        <w:r>
          <w:rPr>
            <w:webHidden/>
          </w:rPr>
          <w:fldChar w:fldCharType="begin"/>
        </w:r>
        <w:r w:rsidR="009252AA">
          <w:rPr>
            <w:webHidden/>
          </w:rPr>
          <w:instrText xml:space="preserve"> PAGEREF _Toc289855981 \h </w:instrText>
        </w:r>
        <w:r>
          <w:rPr>
            <w:webHidden/>
          </w:rPr>
        </w:r>
        <w:r>
          <w:rPr>
            <w:webHidden/>
          </w:rPr>
          <w:fldChar w:fldCharType="separate"/>
        </w:r>
        <w:r w:rsidR="009252AA">
          <w:rPr>
            <w:webHidden/>
          </w:rPr>
          <w:t>1</w:t>
        </w:r>
        <w:r>
          <w:rPr>
            <w:webHidden/>
          </w:rPr>
          <w:fldChar w:fldCharType="end"/>
        </w:r>
      </w:hyperlink>
    </w:p>
    <w:p w:rsidR="003E602F" w:rsidRPr="009E5034" w:rsidRDefault="00BE1A51" w:rsidP="003E602F">
      <w:pPr>
        <w:spacing w:before="0"/>
        <w:ind w:left="0"/>
        <w:jc w:val="left"/>
        <w:rPr>
          <w:sz w:val="22"/>
          <w:szCs w:val="22"/>
        </w:rPr>
      </w:pPr>
      <w:r w:rsidRPr="009E5034">
        <w:rPr>
          <w:sz w:val="22"/>
          <w:szCs w:val="22"/>
        </w:rPr>
        <w:fldChar w:fldCharType="end"/>
      </w:r>
    </w:p>
    <w:p w:rsidR="00772966" w:rsidRPr="009E5034" w:rsidRDefault="00772966" w:rsidP="009E5034">
      <w:pPr>
        <w:spacing w:before="0"/>
        <w:ind w:left="0"/>
        <w:jc w:val="left"/>
        <w:rPr>
          <w:sz w:val="22"/>
          <w:szCs w:val="22"/>
        </w:rPr>
      </w:pPr>
    </w:p>
    <w:p w:rsidR="009252AA" w:rsidRDefault="009252AA" w:rsidP="009252AA">
      <w:pPr>
        <w:autoSpaceDE/>
        <w:autoSpaceDN/>
        <w:adjustRightInd/>
        <w:spacing w:before="0" w:after="200"/>
        <w:ind w:left="0"/>
        <w:jc w:val="left"/>
        <w:rPr>
          <w:b/>
        </w:rPr>
        <w:sectPr w:rsidR="009252AA" w:rsidSect="009012B4">
          <w:pgSz w:w="11906" w:h="16838" w:code="9"/>
          <w:pgMar w:top="1440" w:right="1440" w:bottom="1440" w:left="1440" w:header="720" w:footer="720" w:gutter="0"/>
          <w:pgNumType w:start="1"/>
          <w:cols w:space="708"/>
          <w:docGrid w:linePitch="360"/>
        </w:sectPr>
      </w:pPr>
    </w:p>
    <w:p w:rsidR="008474EE" w:rsidRPr="009E5034" w:rsidRDefault="008474EE" w:rsidP="009252AA">
      <w:pPr>
        <w:pStyle w:val="Title"/>
      </w:pPr>
      <w:bookmarkStart w:id="0" w:name="_Toc289855967"/>
      <w:r w:rsidRPr="009E5034">
        <w:lastRenderedPageBreak/>
        <w:t>ACRONYMES ET ABBRÉVIATIONS</w:t>
      </w:r>
      <w:bookmarkEnd w:id="0"/>
    </w:p>
    <w:p w:rsidR="008474EE" w:rsidRPr="009E5034" w:rsidRDefault="008474EE" w:rsidP="009E5034">
      <w:pPr>
        <w:tabs>
          <w:tab w:val="left" w:pos="1276"/>
        </w:tabs>
        <w:ind w:left="1277" w:hanging="1277"/>
        <w:jc w:val="left"/>
        <w:rPr>
          <w:sz w:val="22"/>
          <w:szCs w:val="22"/>
        </w:rPr>
      </w:pP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AACPN</w:t>
      </w:r>
      <w:r w:rsidRPr="009E5034">
        <w:rPr>
          <w:sz w:val="22"/>
          <w:szCs w:val="22"/>
        </w:rPr>
        <w:tab/>
        <w:t>Antenne de l’Assainissement et du Contrôle des Pollutions et des Nuisances</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ANICT</w:t>
      </w:r>
      <w:r w:rsidRPr="009E5034">
        <w:rPr>
          <w:sz w:val="22"/>
          <w:szCs w:val="22"/>
        </w:rPr>
        <w:tab/>
        <w:t>Agence Nationale d’Investissement des Collectivités Territoriales</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APS</w:t>
      </w:r>
      <w:r w:rsidRPr="009E5034">
        <w:rPr>
          <w:sz w:val="22"/>
          <w:szCs w:val="22"/>
        </w:rPr>
        <w:tab/>
        <w:t>Avant projet sommaire</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CAHA</w:t>
      </w:r>
      <w:r w:rsidRPr="009E5034">
        <w:rPr>
          <w:sz w:val="22"/>
          <w:szCs w:val="22"/>
        </w:rPr>
        <w:tab/>
        <w:t xml:space="preserve">Comité d’Action d’Hygiène et d’Assainissement. </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CC</w:t>
      </w:r>
      <w:r w:rsidRPr="009E5034">
        <w:rPr>
          <w:sz w:val="22"/>
          <w:szCs w:val="22"/>
        </w:rPr>
        <w:tab/>
        <w:t>Cahier de charges</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CCR</w:t>
      </w:r>
      <w:r w:rsidRPr="009E5034">
        <w:rPr>
          <w:sz w:val="22"/>
          <w:szCs w:val="22"/>
        </w:rPr>
        <w:tab/>
        <w:t xml:space="preserve">Cadre de Concertation Régional </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CCVA</w:t>
      </w:r>
      <w:r w:rsidRPr="009E5034">
        <w:rPr>
          <w:sz w:val="22"/>
          <w:szCs w:val="22"/>
        </w:rPr>
        <w:tab/>
        <w:t>Centre de Contrôle des Véhicules Automobiles</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CEA</w:t>
      </w:r>
      <w:r w:rsidRPr="009E5034">
        <w:rPr>
          <w:sz w:val="22"/>
          <w:szCs w:val="22"/>
        </w:rPr>
        <w:tab/>
        <w:t>Comité Exécutif de l’Assainissement de la ville</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CET</w:t>
      </w:r>
      <w:r w:rsidRPr="009E5034">
        <w:rPr>
          <w:sz w:val="22"/>
          <w:szCs w:val="22"/>
        </w:rPr>
        <w:tab/>
        <w:t>Centre d’enfouissement technique</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CMDT</w:t>
      </w:r>
      <w:r w:rsidRPr="009E5034">
        <w:rPr>
          <w:sz w:val="22"/>
          <w:szCs w:val="22"/>
        </w:rPr>
        <w:tab/>
        <w:t>Compagnie Malienne pour le Développement des Textiles</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COTAPE</w:t>
      </w:r>
      <w:r w:rsidRPr="009E5034">
        <w:rPr>
          <w:sz w:val="22"/>
          <w:szCs w:val="22"/>
        </w:rPr>
        <w:tab/>
        <w:t>Coordination des Organismes Travaillant dans l’Assainissement et la Protection de l’Environnement</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CSCOM</w:t>
      </w:r>
      <w:r w:rsidRPr="009E5034">
        <w:rPr>
          <w:sz w:val="22"/>
          <w:szCs w:val="22"/>
        </w:rPr>
        <w:tab/>
        <w:t>Centre de santé communautaire</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CTAC</w:t>
      </w:r>
      <w:r w:rsidRPr="009E5034">
        <w:rPr>
          <w:sz w:val="22"/>
          <w:szCs w:val="22"/>
        </w:rPr>
        <w:tab/>
        <w:t>Cellule Technique d’Appui au Commune</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CTB</w:t>
      </w:r>
      <w:r w:rsidRPr="009E5034">
        <w:rPr>
          <w:sz w:val="22"/>
          <w:szCs w:val="22"/>
        </w:rPr>
        <w:tab/>
        <w:t>Coopération technique belge</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DNACPN</w:t>
      </w:r>
      <w:r w:rsidRPr="009E5034">
        <w:rPr>
          <w:sz w:val="22"/>
          <w:szCs w:val="22"/>
        </w:rPr>
        <w:tab/>
        <w:t>Direction Nationale de l’Assainissement et du Contrôle des Pollutions et des Nuisances</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DNACPN</w:t>
      </w:r>
      <w:r w:rsidRPr="009E5034">
        <w:rPr>
          <w:sz w:val="22"/>
          <w:szCs w:val="22"/>
        </w:rPr>
        <w:tab/>
        <w:t>Direction Nationale de l’Assainissement et du Contrôle des Pollutions et des Nuisances</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DNAT</w:t>
      </w:r>
      <w:r w:rsidRPr="009E5034">
        <w:rPr>
          <w:sz w:val="22"/>
          <w:szCs w:val="22"/>
        </w:rPr>
        <w:tab/>
        <w:t>Direction Nationale de l’Aménagement du Territoire</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DNCN</w:t>
      </w:r>
      <w:r w:rsidRPr="009E5034">
        <w:rPr>
          <w:sz w:val="22"/>
          <w:szCs w:val="22"/>
        </w:rPr>
        <w:tab/>
        <w:t>Direction Nationale de la Conservation de la Nature</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DNCT</w:t>
      </w:r>
      <w:r w:rsidRPr="009E5034">
        <w:rPr>
          <w:sz w:val="22"/>
          <w:szCs w:val="22"/>
        </w:rPr>
        <w:tab/>
        <w:t>Direction nationale des collectivités territoriales</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DNHE</w:t>
      </w:r>
      <w:r w:rsidRPr="009E5034">
        <w:rPr>
          <w:sz w:val="22"/>
          <w:szCs w:val="22"/>
        </w:rPr>
        <w:tab/>
        <w:t>Direction Nationale de l’Hydraulique et de l’Energie</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DNS</w:t>
      </w:r>
      <w:r w:rsidRPr="009E5034">
        <w:rPr>
          <w:sz w:val="22"/>
          <w:szCs w:val="22"/>
        </w:rPr>
        <w:tab/>
        <w:t>Direction Nationale de la Santé</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DNTP</w:t>
      </w:r>
      <w:r w:rsidRPr="009E5034">
        <w:rPr>
          <w:sz w:val="22"/>
          <w:szCs w:val="22"/>
        </w:rPr>
        <w:tab/>
        <w:t>Direction Nationale des Travaux Publics</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DNUH</w:t>
      </w:r>
      <w:r w:rsidRPr="009E5034">
        <w:rPr>
          <w:sz w:val="22"/>
          <w:szCs w:val="22"/>
        </w:rPr>
        <w:tab/>
        <w:t>Direction Nationale de l’Urbanisme et de l’Habitat</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DRA</w:t>
      </w:r>
      <w:r w:rsidRPr="009E5034">
        <w:rPr>
          <w:sz w:val="22"/>
          <w:szCs w:val="22"/>
        </w:rPr>
        <w:tab/>
        <w:t>Direction Régionale de l’Agriculture</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DRACPN</w:t>
      </w:r>
      <w:r w:rsidRPr="009E5034">
        <w:rPr>
          <w:sz w:val="22"/>
          <w:szCs w:val="22"/>
        </w:rPr>
        <w:tab/>
        <w:t>Direction Régionale de l’Assainissement et du Contrôle des Pollutions et des Nuisances</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DRACPN</w:t>
      </w:r>
      <w:r w:rsidRPr="009E5034">
        <w:rPr>
          <w:sz w:val="22"/>
          <w:szCs w:val="22"/>
        </w:rPr>
        <w:tab/>
        <w:t>Direction Régionale de l’Assainissement et du Contrôle des Pollutions et des Nuisances</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DRCN</w:t>
      </w:r>
      <w:r w:rsidRPr="009E5034">
        <w:rPr>
          <w:sz w:val="22"/>
          <w:szCs w:val="22"/>
        </w:rPr>
        <w:tab/>
        <w:t>Direction Régionale de la Conservation de la Nature</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DRHE </w:t>
      </w:r>
      <w:r w:rsidRPr="009E5034">
        <w:rPr>
          <w:sz w:val="22"/>
          <w:szCs w:val="22"/>
        </w:rPr>
        <w:tab/>
        <w:t>Direction Régionale de l’Hydraulique et de l’Energie</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DRPSIAP</w:t>
      </w:r>
      <w:r w:rsidRPr="009E5034">
        <w:rPr>
          <w:sz w:val="22"/>
          <w:szCs w:val="22"/>
        </w:rPr>
        <w:tab/>
        <w:t>Direction Régionale du Plan, de la statistique, de l’Informatique, de l’Aménagement du Territoire et de la Population</w:t>
      </w:r>
    </w:p>
    <w:p w:rsidR="000777F2" w:rsidRDefault="00772966" w:rsidP="009E5034">
      <w:pPr>
        <w:pStyle w:val="BodyText"/>
        <w:numPr>
          <w:ilvl w:val="0"/>
          <w:numId w:val="0"/>
        </w:numPr>
        <w:tabs>
          <w:tab w:val="left" w:pos="1276"/>
        </w:tabs>
        <w:ind w:left="1277" w:hanging="1277"/>
        <w:rPr>
          <w:sz w:val="22"/>
          <w:szCs w:val="22"/>
        </w:rPr>
      </w:pPr>
      <w:r w:rsidRPr="009E5034">
        <w:rPr>
          <w:sz w:val="22"/>
          <w:szCs w:val="22"/>
        </w:rPr>
        <w:t>DRS</w:t>
      </w:r>
      <w:r w:rsidRPr="009E5034">
        <w:rPr>
          <w:sz w:val="22"/>
          <w:szCs w:val="22"/>
        </w:rPr>
        <w:tab/>
        <w:t xml:space="preserve">Direction Régionale </w:t>
      </w:r>
      <w:r w:rsidR="000777F2" w:rsidRPr="000777F2">
        <w:rPr>
          <w:sz w:val="22"/>
          <w:szCs w:val="22"/>
        </w:rPr>
        <w:t xml:space="preserve">de la Santé </w:t>
      </w:r>
    </w:p>
    <w:p w:rsidR="00772966" w:rsidRPr="009E5034" w:rsidRDefault="00772966" w:rsidP="000777F2">
      <w:pPr>
        <w:pStyle w:val="BodyText"/>
        <w:numPr>
          <w:ilvl w:val="0"/>
          <w:numId w:val="0"/>
        </w:numPr>
        <w:tabs>
          <w:tab w:val="left" w:pos="1276"/>
        </w:tabs>
        <w:ind w:left="1277" w:hanging="1277"/>
        <w:rPr>
          <w:sz w:val="22"/>
          <w:szCs w:val="22"/>
        </w:rPr>
      </w:pPr>
      <w:r w:rsidRPr="009E5034">
        <w:rPr>
          <w:sz w:val="22"/>
          <w:szCs w:val="22"/>
        </w:rPr>
        <w:t>DRT</w:t>
      </w:r>
      <w:r w:rsidRPr="009E5034">
        <w:rPr>
          <w:sz w:val="22"/>
          <w:szCs w:val="22"/>
        </w:rPr>
        <w:tab/>
        <w:t xml:space="preserve">Direction Régionale </w:t>
      </w:r>
      <w:r w:rsidR="000777F2">
        <w:rPr>
          <w:sz w:val="22"/>
          <w:szCs w:val="22"/>
        </w:rPr>
        <w:t>du T</w:t>
      </w:r>
      <w:r w:rsidR="000777F2" w:rsidRPr="000777F2">
        <w:rPr>
          <w:sz w:val="22"/>
          <w:szCs w:val="22"/>
        </w:rPr>
        <w:t>ransport</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DRUH</w:t>
      </w:r>
      <w:r w:rsidRPr="009E5034">
        <w:rPr>
          <w:sz w:val="22"/>
          <w:szCs w:val="22"/>
        </w:rPr>
        <w:tab/>
        <w:t>Direction Régionale de l’Urbanisme et de l’Habitat</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DSUVA </w:t>
      </w:r>
      <w:r w:rsidRPr="009E5034">
        <w:rPr>
          <w:sz w:val="22"/>
          <w:szCs w:val="22"/>
        </w:rPr>
        <w:tab/>
        <w:t>Direction des Services Urbain de Voirie et d’Assainissement</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DT</w:t>
      </w:r>
      <w:r w:rsidRPr="009E5034">
        <w:rPr>
          <w:sz w:val="22"/>
          <w:szCs w:val="22"/>
        </w:rPr>
        <w:tab/>
        <w:t>Dépôt de transit</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EDM SA</w:t>
      </w:r>
      <w:r w:rsidRPr="009E5034">
        <w:rPr>
          <w:sz w:val="22"/>
          <w:szCs w:val="22"/>
        </w:rPr>
        <w:tab/>
        <w:t>Energie du Mali SA</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FSN</w:t>
      </w:r>
      <w:r w:rsidRPr="009E5034">
        <w:rPr>
          <w:sz w:val="22"/>
          <w:szCs w:val="22"/>
        </w:rPr>
        <w:tab/>
        <w:t>Fonds de Solidarité Nationale</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GIE</w:t>
      </w:r>
      <w:r w:rsidRPr="009E5034">
        <w:rPr>
          <w:sz w:val="22"/>
          <w:szCs w:val="22"/>
        </w:rPr>
        <w:tab/>
        <w:t>Groupement d’intérêt économique</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HCCT</w:t>
      </w:r>
      <w:r w:rsidRPr="009E5034">
        <w:rPr>
          <w:sz w:val="22"/>
          <w:szCs w:val="22"/>
        </w:rPr>
        <w:tab/>
        <w:t>Haut conseil des collectivités territoriales</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IEC</w:t>
      </w:r>
      <w:r w:rsidRPr="009E5034">
        <w:rPr>
          <w:sz w:val="22"/>
          <w:szCs w:val="22"/>
        </w:rPr>
        <w:tab/>
        <w:t xml:space="preserve">Information éducation communication </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MEA</w:t>
      </w:r>
      <w:r w:rsidRPr="009E5034">
        <w:rPr>
          <w:sz w:val="22"/>
          <w:szCs w:val="22"/>
        </w:rPr>
        <w:tab/>
        <w:t>Ministère de l’Environnement et de l’Assainissement</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MHU</w:t>
      </w:r>
      <w:r w:rsidRPr="009E5034">
        <w:rPr>
          <w:sz w:val="22"/>
          <w:szCs w:val="22"/>
        </w:rPr>
        <w:tab/>
        <w:t>Ministère de l’Habitat et de l’Urbanisme</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MS</w:t>
      </w:r>
      <w:r w:rsidRPr="009E5034">
        <w:rPr>
          <w:sz w:val="22"/>
          <w:szCs w:val="22"/>
        </w:rPr>
        <w:tab/>
        <w:t>Ministère de la Santé</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OMS</w:t>
      </w:r>
      <w:r w:rsidRPr="009E5034">
        <w:rPr>
          <w:sz w:val="22"/>
          <w:szCs w:val="22"/>
        </w:rPr>
        <w:tab/>
        <w:t>Organisation Mondiale de la Santé</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ONG</w:t>
      </w:r>
      <w:r w:rsidRPr="009E5034">
        <w:rPr>
          <w:sz w:val="22"/>
          <w:szCs w:val="22"/>
        </w:rPr>
        <w:tab/>
        <w:t>Organisation Non Gouvernementale</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PDUD</w:t>
      </w:r>
      <w:r w:rsidRPr="009E5034">
        <w:rPr>
          <w:sz w:val="22"/>
          <w:szCs w:val="22"/>
        </w:rPr>
        <w:tab/>
        <w:t>Projet de Développement Urbain et Décentralisation</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PGES</w:t>
      </w:r>
      <w:r w:rsidRPr="009E5034">
        <w:rPr>
          <w:sz w:val="22"/>
          <w:szCs w:val="22"/>
        </w:rPr>
        <w:tab/>
        <w:t>Plan de gestion environnementale et sociale</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PHAST</w:t>
      </w:r>
      <w:r w:rsidRPr="009E5034">
        <w:rPr>
          <w:sz w:val="22"/>
          <w:szCs w:val="22"/>
        </w:rPr>
        <w:tab/>
        <w:t>Participatory Hygiene and Sanitation Transformation.</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PNA</w:t>
      </w:r>
      <w:r w:rsidRPr="009E5034">
        <w:rPr>
          <w:sz w:val="22"/>
          <w:szCs w:val="22"/>
        </w:rPr>
        <w:tab/>
        <w:t>Politique nationale d’assainissement</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PNUD</w:t>
      </w:r>
      <w:r w:rsidRPr="009E5034">
        <w:rPr>
          <w:sz w:val="22"/>
          <w:szCs w:val="22"/>
        </w:rPr>
        <w:tab/>
        <w:t>Programme des Nations Unies pour le Développement</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lastRenderedPageBreak/>
        <w:t>PSA</w:t>
      </w:r>
      <w:r w:rsidRPr="009E5034">
        <w:rPr>
          <w:sz w:val="22"/>
          <w:szCs w:val="22"/>
        </w:rPr>
        <w:tab/>
        <w:t>Plan stratégique d’assainissement</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PTF</w:t>
      </w:r>
      <w:r w:rsidRPr="009E5034">
        <w:rPr>
          <w:sz w:val="22"/>
          <w:szCs w:val="22"/>
        </w:rPr>
        <w:tab/>
        <w:t>Partenaires techniques et financiers</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SACPN</w:t>
      </w:r>
      <w:r w:rsidRPr="009E5034">
        <w:rPr>
          <w:sz w:val="22"/>
          <w:szCs w:val="22"/>
        </w:rPr>
        <w:tab/>
        <w:t>Service de l’Assainissement et du Contrôle des Pollutions et des Nuisances</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SDA</w:t>
      </w:r>
      <w:r w:rsidRPr="009E5034">
        <w:rPr>
          <w:sz w:val="22"/>
          <w:szCs w:val="22"/>
        </w:rPr>
        <w:tab/>
        <w:t>Schéma Directeur d’Assainissement</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SLIS</w:t>
      </w:r>
      <w:r w:rsidRPr="009E5034">
        <w:rPr>
          <w:sz w:val="22"/>
          <w:szCs w:val="22"/>
        </w:rPr>
        <w:tab/>
        <w:t>Système Local d’Information Sanitaire</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SUVA</w:t>
      </w:r>
      <w:r w:rsidRPr="009E5034">
        <w:rPr>
          <w:sz w:val="22"/>
          <w:szCs w:val="22"/>
        </w:rPr>
        <w:tab/>
        <w:t>Service Technique de Voirie et d’Assainissement</w:t>
      </w:r>
    </w:p>
    <w:p w:rsidR="00772966" w:rsidRPr="009E5034" w:rsidRDefault="00772966" w:rsidP="009E5034">
      <w:pPr>
        <w:ind w:left="0"/>
        <w:jc w:val="left"/>
        <w:rPr>
          <w:sz w:val="22"/>
          <w:szCs w:val="22"/>
        </w:rPr>
      </w:pPr>
    </w:p>
    <w:p w:rsidR="00516332" w:rsidRPr="009E5034" w:rsidRDefault="00516332" w:rsidP="009E5034">
      <w:pPr>
        <w:autoSpaceDE/>
        <w:autoSpaceDN/>
        <w:adjustRightInd/>
        <w:spacing w:before="0" w:after="200"/>
        <w:ind w:left="0"/>
        <w:jc w:val="left"/>
        <w:rPr>
          <w:sz w:val="22"/>
          <w:szCs w:val="22"/>
        </w:rPr>
      </w:pPr>
      <w:r w:rsidRPr="009E5034">
        <w:rPr>
          <w:sz w:val="22"/>
          <w:szCs w:val="22"/>
        </w:rPr>
        <w:br w:type="page"/>
      </w:r>
    </w:p>
    <w:p w:rsidR="00171EB0" w:rsidRPr="009E5034" w:rsidRDefault="00046466" w:rsidP="00143EB6">
      <w:pPr>
        <w:pStyle w:val="Title"/>
      </w:pPr>
      <w:bookmarkStart w:id="1" w:name="_Toc289855968"/>
      <w:bookmarkStart w:id="2" w:name="_Toc264715987"/>
      <w:r w:rsidRPr="009E5034">
        <w:lastRenderedPageBreak/>
        <w:t>RÉSUMÉ  EXÉCUTIF</w:t>
      </w:r>
      <w:bookmarkEnd w:id="1"/>
    </w:p>
    <w:p w:rsidR="00205237" w:rsidRPr="009E5034" w:rsidRDefault="00D53CBD" w:rsidP="009E5034">
      <w:pPr>
        <w:ind w:left="0"/>
        <w:jc w:val="left"/>
        <w:rPr>
          <w:color w:val="000000" w:themeColor="text1"/>
          <w:sz w:val="22"/>
          <w:szCs w:val="22"/>
        </w:rPr>
      </w:pPr>
      <w:r>
        <w:rPr>
          <w:b/>
          <w:color w:val="000000" w:themeColor="text1"/>
          <w:sz w:val="22"/>
          <w:szCs w:val="22"/>
        </w:rPr>
        <w:t xml:space="preserve">I.  </w:t>
      </w:r>
      <w:r w:rsidR="00AE133D">
        <w:rPr>
          <w:b/>
          <w:color w:val="000000" w:themeColor="text1"/>
          <w:sz w:val="22"/>
          <w:szCs w:val="22"/>
        </w:rPr>
        <w:t xml:space="preserve">Objectif. </w:t>
      </w:r>
      <w:r w:rsidR="00D97D91" w:rsidRPr="009E5034">
        <w:rPr>
          <w:color w:val="000000" w:themeColor="text1"/>
          <w:sz w:val="22"/>
          <w:szCs w:val="22"/>
        </w:rPr>
        <w:t xml:space="preserve">L’appui de la Banque mondiale au Gouvernement </w:t>
      </w:r>
      <w:r w:rsidR="00205237" w:rsidRPr="009E5034">
        <w:rPr>
          <w:color w:val="000000" w:themeColor="text1"/>
          <w:sz w:val="22"/>
          <w:szCs w:val="22"/>
        </w:rPr>
        <w:t xml:space="preserve">du Mali </w:t>
      </w:r>
      <w:r w:rsidR="00D97D91" w:rsidRPr="009E5034">
        <w:rPr>
          <w:color w:val="000000" w:themeColor="text1"/>
          <w:sz w:val="22"/>
          <w:szCs w:val="22"/>
        </w:rPr>
        <w:t>pour la mise en œuvre de la Stratégie de Croissance et de Réduction de la Pauvreté est consigné dans la Stratégie d’Assistance du Pays (SAP) pour la période 2008-2011.  Cette Stratégie d’Assistance Pays poursuit deux objectifs spécifiques: (i) promouvoir une croissance économique rapide et soutenue, et (ii) accroitre la performance du secteur public dans la fourniture des services sociaux.  La Banque mondiale utilise trois types d’interventions dans la poursuite de ces deux objectifs, à savoir: (i) les projets sectoriels d’investissement, (ii) les opérations d’appui budgétaire, et (iii) les études thématiques ou sectorielles dont l’objectif est de contribuer à l’approfondissement et à l’élargissement de la base des connaissances nécessaires à la bonne planification des investissements dans les secteurs concernés.</w:t>
      </w:r>
    </w:p>
    <w:p w:rsidR="007D1041" w:rsidRPr="009E5034" w:rsidRDefault="00D97D91" w:rsidP="009E5034">
      <w:pPr>
        <w:ind w:left="0"/>
        <w:jc w:val="left"/>
        <w:rPr>
          <w:color w:val="000000" w:themeColor="text1"/>
          <w:sz w:val="22"/>
          <w:szCs w:val="22"/>
        </w:rPr>
      </w:pPr>
      <w:r w:rsidRPr="009E5034">
        <w:rPr>
          <w:color w:val="000000" w:themeColor="text1"/>
          <w:sz w:val="22"/>
          <w:szCs w:val="22"/>
        </w:rPr>
        <w:t xml:space="preserve">L'objectif stratégique de </w:t>
      </w:r>
      <w:r w:rsidR="00205237" w:rsidRPr="009E5034">
        <w:rPr>
          <w:color w:val="000000" w:themeColor="text1"/>
          <w:sz w:val="22"/>
          <w:szCs w:val="22"/>
        </w:rPr>
        <w:t>la présente étude, qui se situe dans le cadre de cette troisième catégorie d’appui,</w:t>
      </w:r>
      <w:r w:rsidR="00205237" w:rsidRPr="009E5034">
        <w:rPr>
          <w:b/>
          <w:color w:val="000000" w:themeColor="text1"/>
          <w:sz w:val="22"/>
          <w:szCs w:val="22"/>
        </w:rPr>
        <w:t xml:space="preserve"> </w:t>
      </w:r>
      <w:r w:rsidRPr="009E5034">
        <w:rPr>
          <w:color w:val="000000" w:themeColor="text1"/>
          <w:sz w:val="22"/>
          <w:szCs w:val="22"/>
        </w:rPr>
        <w:t xml:space="preserve">est de contribuer à approfondir la connaissance des problèmes de l’environnement urbain afin que le Gouvernement et les administrations des collectivités territoriales soient mieux outillés pour intégrer de manière effective la gestion environnementale dans les politiques et stratégies de développement urbain au Mali. </w:t>
      </w:r>
      <w:r w:rsidR="00BC4EA1" w:rsidRPr="009E5034">
        <w:rPr>
          <w:color w:val="000000" w:themeColor="text1"/>
          <w:sz w:val="22"/>
          <w:szCs w:val="22"/>
        </w:rPr>
        <w:t>L’étude a utilisé la méthode dite d’évaluation rapide de l’environnement urbain (</w:t>
      </w:r>
      <w:r w:rsidR="00BC4EA1" w:rsidRPr="009E5034">
        <w:rPr>
          <w:i/>
          <w:color w:val="000000" w:themeColor="text1"/>
          <w:sz w:val="22"/>
          <w:szCs w:val="22"/>
        </w:rPr>
        <w:t>Rapid Urban Environmental Asssessment</w:t>
      </w:r>
      <w:r w:rsidR="00BC4EA1" w:rsidRPr="009E5034">
        <w:rPr>
          <w:color w:val="000000" w:themeColor="text1"/>
          <w:sz w:val="22"/>
          <w:szCs w:val="22"/>
        </w:rPr>
        <w:t>)</w:t>
      </w:r>
      <w:r w:rsidR="00BC4EA1" w:rsidRPr="009E5034">
        <w:rPr>
          <w:color w:val="000000" w:themeColor="text1"/>
          <w:sz w:val="22"/>
          <w:szCs w:val="22"/>
          <w:vertAlign w:val="superscript"/>
        </w:rPr>
        <w:footnoteReference w:id="1"/>
      </w:r>
      <w:r w:rsidR="009F61CA" w:rsidRPr="009E5034">
        <w:rPr>
          <w:color w:val="000000" w:themeColor="text1"/>
          <w:sz w:val="22"/>
          <w:szCs w:val="22"/>
        </w:rPr>
        <w:t>, et a été menée en étroite collaboration avec le Ministère de l’Environnement et de l’Assainissement à travers la Direction Nationale de l’Assainissement, du Contrôle des Pollutions et des Nuisances (DNACPN).  Les équipes de préparation ont aussi travaillé dans les localités couvertes par l’étude avec  les autorités des collectivités territoriales, les services techniques chargés de la voirie, les Services Locaux de l’Assainissement, du Contrôle des Pollutions et des Nuisances (SLACPN), et les Directions Régionales de l’Assainissement, du Contrôle des Pollutions et des Nuisances (DRACPN).</w:t>
      </w:r>
    </w:p>
    <w:p w:rsidR="0096503E" w:rsidRPr="009E5034" w:rsidRDefault="00D97D91" w:rsidP="009E5034">
      <w:pPr>
        <w:ind w:left="0"/>
        <w:jc w:val="left"/>
        <w:rPr>
          <w:color w:val="000000" w:themeColor="text1"/>
          <w:sz w:val="22"/>
          <w:szCs w:val="22"/>
        </w:rPr>
      </w:pPr>
      <w:r w:rsidRPr="009E5034">
        <w:rPr>
          <w:color w:val="000000" w:themeColor="text1"/>
          <w:sz w:val="22"/>
          <w:szCs w:val="22"/>
        </w:rPr>
        <w:t>La contribution additionnelle de la présente étude est qu’elle traite spécifiquement des problèmes environnementaux urbains.  La Politique Sectorielle de Développement Urbain, et la Stratégie de Développement des Villes du Mali adoptées par le Gouvernement respectivement en 1996 et en 2009 identifient la dégradation de l’environnement comme une des causes les plus importantes des mauvaises conditions de vie des populations urbaines. Les résultats de l’étude permettront au Gouvernement et aux collectivités territoriales d’avoir une meilleure compréhension des causes et des conséquences de la détérioration de la qualité de l’environnement urbain.  Ils permettront surtout de disposer de recommandations de mesures concrètes destinées à assurer une gestion efficace de l’environnement urbain au Mali.</w:t>
      </w:r>
    </w:p>
    <w:p w:rsidR="00516332" w:rsidRPr="009E5034" w:rsidRDefault="00D53CBD" w:rsidP="009E5034">
      <w:pPr>
        <w:spacing w:before="360"/>
        <w:ind w:left="0"/>
        <w:jc w:val="left"/>
        <w:rPr>
          <w:color w:val="000000" w:themeColor="text1"/>
          <w:sz w:val="22"/>
          <w:szCs w:val="22"/>
        </w:rPr>
      </w:pPr>
      <w:r>
        <w:rPr>
          <w:b/>
          <w:color w:val="000000" w:themeColor="text1"/>
          <w:sz w:val="22"/>
          <w:szCs w:val="22"/>
        </w:rPr>
        <w:t xml:space="preserve">II. </w:t>
      </w:r>
      <w:r w:rsidR="00AE133D">
        <w:rPr>
          <w:b/>
          <w:color w:val="000000" w:themeColor="text1"/>
          <w:sz w:val="22"/>
          <w:szCs w:val="22"/>
        </w:rPr>
        <w:t xml:space="preserve">Contexte sociopolitique. </w:t>
      </w:r>
      <w:r w:rsidR="00516332" w:rsidRPr="009E5034">
        <w:rPr>
          <w:color w:val="000000" w:themeColor="text1"/>
          <w:sz w:val="22"/>
          <w:szCs w:val="22"/>
        </w:rPr>
        <w:t>Mis à part les changements politiques intervenus en 1991, l’accélération de l’urbanisation est sans doute le phénomène le plus notable de l’évolution sociopolitique du Mali au cours des deux dernières décennies.  Environ un tiers de la population du pays vit actuellement dans les villes.  Avec un taux d’urbanisation annuel estimé à 5%, la proportion des citadins dans la population totale doublera dans les quinze prochaines années</w:t>
      </w:r>
      <w:r w:rsidR="005B607C" w:rsidRPr="009E5034">
        <w:rPr>
          <w:color w:val="000000" w:themeColor="text1"/>
          <w:sz w:val="22"/>
          <w:szCs w:val="22"/>
        </w:rPr>
        <w:t xml:space="preserve"> si l’urbanisation se poursuit au même rythme</w:t>
      </w:r>
      <w:r w:rsidR="00516332" w:rsidRPr="009E5034">
        <w:rPr>
          <w:color w:val="000000" w:themeColor="text1"/>
          <w:sz w:val="22"/>
          <w:szCs w:val="22"/>
        </w:rPr>
        <w:t xml:space="preserve">.  Cette croissance de la population urbaine représente un atout majeur car les villes et centres urbains secondaires </w:t>
      </w:r>
      <w:r w:rsidR="005B607C" w:rsidRPr="009E5034">
        <w:rPr>
          <w:color w:val="000000" w:themeColor="text1"/>
          <w:sz w:val="22"/>
          <w:szCs w:val="22"/>
        </w:rPr>
        <w:t xml:space="preserve">du Mali </w:t>
      </w:r>
      <w:r w:rsidR="00516332" w:rsidRPr="009E5034">
        <w:rPr>
          <w:color w:val="000000" w:themeColor="text1"/>
          <w:sz w:val="22"/>
          <w:szCs w:val="22"/>
        </w:rPr>
        <w:t>qui contribuent près de deux tiers du PIB du pays offrent les meilleures opportunités pour réaliser les objectifs de la Stratégie de Croissance et de Réduction de la Pauvreté du Gouvernement.</w:t>
      </w:r>
    </w:p>
    <w:p w:rsidR="00516332" w:rsidRPr="009E5034" w:rsidRDefault="00516332" w:rsidP="009E5034">
      <w:pPr>
        <w:ind w:left="0"/>
        <w:jc w:val="left"/>
        <w:rPr>
          <w:color w:val="000000" w:themeColor="text1"/>
          <w:sz w:val="22"/>
          <w:szCs w:val="22"/>
        </w:rPr>
      </w:pPr>
      <w:r w:rsidRPr="009E5034">
        <w:rPr>
          <w:color w:val="000000" w:themeColor="text1"/>
          <w:sz w:val="22"/>
          <w:szCs w:val="22"/>
        </w:rPr>
        <w:t xml:space="preserve">Les villes et centres urbains secondaires offrent des débouchés aux produits agricoles, et </w:t>
      </w:r>
      <w:r w:rsidR="005B607C" w:rsidRPr="009E5034">
        <w:rPr>
          <w:color w:val="000000" w:themeColor="text1"/>
          <w:sz w:val="22"/>
          <w:szCs w:val="22"/>
        </w:rPr>
        <w:t xml:space="preserve">génèrent les revenus ruraux qui financent les innovations indispensables à </w:t>
      </w:r>
      <w:r w:rsidRPr="009E5034">
        <w:rPr>
          <w:color w:val="000000" w:themeColor="text1"/>
          <w:sz w:val="22"/>
          <w:szCs w:val="22"/>
        </w:rPr>
        <w:t xml:space="preserve">l’augmentation de la productivité agricole.  Ils ont contribué à la diversification rapide de l’économie au cours des dernières années.  Enfin, de part la nature et la structure des emplois, les villes constituent le principal levier de la mise en œuvre des politiques nationales de décentralisation, et de modernisation de l’administration publique, deux </w:t>
      </w:r>
      <w:r w:rsidR="005B607C" w:rsidRPr="009E5034">
        <w:rPr>
          <w:color w:val="000000" w:themeColor="text1"/>
          <w:sz w:val="22"/>
          <w:szCs w:val="22"/>
        </w:rPr>
        <w:t xml:space="preserve">objectifs </w:t>
      </w:r>
      <w:r w:rsidRPr="009E5034">
        <w:rPr>
          <w:color w:val="000000" w:themeColor="text1"/>
          <w:sz w:val="22"/>
          <w:szCs w:val="22"/>
        </w:rPr>
        <w:t>majeurs du Gouvernement dans ses efforts d’amélioration du climat des affaires et d’accroissement de la compétitivité de l’économie nationale.  En principe, ce rythme d’urbanisation sans précédent devra renforcer davantage le rôle des villes comme moteur de la croissance économique et d’amélioration des conditions de vie des pauvres.</w:t>
      </w:r>
    </w:p>
    <w:p w:rsidR="00516332" w:rsidRPr="009E5034" w:rsidRDefault="00D53CBD" w:rsidP="009E5034">
      <w:pPr>
        <w:ind w:left="0"/>
        <w:jc w:val="left"/>
        <w:rPr>
          <w:sz w:val="22"/>
          <w:szCs w:val="22"/>
        </w:rPr>
      </w:pPr>
      <w:r>
        <w:rPr>
          <w:b/>
          <w:color w:val="000000" w:themeColor="text1"/>
          <w:sz w:val="22"/>
          <w:szCs w:val="22"/>
        </w:rPr>
        <w:t xml:space="preserve">III.  </w:t>
      </w:r>
      <w:r w:rsidR="00AE133D">
        <w:rPr>
          <w:b/>
          <w:color w:val="000000" w:themeColor="text1"/>
          <w:sz w:val="22"/>
          <w:szCs w:val="22"/>
        </w:rPr>
        <w:t xml:space="preserve">Résultats et conclusions. </w:t>
      </w:r>
      <w:r w:rsidR="00FE1CD5">
        <w:rPr>
          <w:color w:val="000000" w:themeColor="text1"/>
          <w:sz w:val="22"/>
          <w:szCs w:val="22"/>
        </w:rPr>
        <w:t>L</w:t>
      </w:r>
      <w:r w:rsidR="00516332" w:rsidRPr="009E5034">
        <w:rPr>
          <w:color w:val="000000" w:themeColor="text1"/>
          <w:sz w:val="22"/>
          <w:szCs w:val="22"/>
        </w:rPr>
        <w:t xml:space="preserve">’accroissement rapide de la population urbaine apparait de plus en plus comme un défi économique et social de grande ampleur pour les décideurs publics au niveau de l’Etat et des collectivités territoriales urbaines.  En effet, les villes maliennes sont confrontées à une détérioration croissante de la qualité du cadre de vie.  Cette détérioration est le résultat d’une série de </w:t>
      </w:r>
      <w:r w:rsidR="0066216E" w:rsidRPr="009E5034">
        <w:rPr>
          <w:color w:val="000000" w:themeColor="text1"/>
          <w:sz w:val="22"/>
          <w:szCs w:val="22"/>
        </w:rPr>
        <w:t xml:space="preserve">quatre catégories de </w:t>
      </w:r>
      <w:r w:rsidR="00516332" w:rsidRPr="009E5034">
        <w:rPr>
          <w:color w:val="000000" w:themeColor="text1"/>
          <w:sz w:val="22"/>
          <w:szCs w:val="22"/>
        </w:rPr>
        <w:t>problèmes environnementaux</w:t>
      </w:r>
      <w:r w:rsidR="0066216E" w:rsidRPr="009E5034">
        <w:rPr>
          <w:color w:val="000000" w:themeColor="text1"/>
          <w:sz w:val="22"/>
          <w:szCs w:val="22"/>
        </w:rPr>
        <w:t xml:space="preserve">. </w:t>
      </w:r>
      <w:r w:rsidR="00516332" w:rsidRPr="009E5034">
        <w:rPr>
          <w:sz w:val="22"/>
          <w:szCs w:val="22"/>
        </w:rPr>
        <w:t>La première catégorie problèmes résulte de l’inadéquation des services d’approvisionnement en eau</w:t>
      </w:r>
      <w:r w:rsidR="005B607C" w:rsidRPr="009E5034">
        <w:rPr>
          <w:sz w:val="22"/>
          <w:szCs w:val="22"/>
        </w:rPr>
        <w:t xml:space="preserve"> de qualité satisfaisante</w:t>
      </w:r>
      <w:r w:rsidR="00516332" w:rsidRPr="009E5034">
        <w:rPr>
          <w:sz w:val="22"/>
          <w:szCs w:val="22"/>
        </w:rPr>
        <w:t xml:space="preserve">, </w:t>
      </w:r>
      <w:r w:rsidR="005B607C" w:rsidRPr="009E5034">
        <w:rPr>
          <w:sz w:val="22"/>
          <w:szCs w:val="22"/>
        </w:rPr>
        <w:t>d’a</w:t>
      </w:r>
      <w:r w:rsidR="00516332" w:rsidRPr="009E5034">
        <w:rPr>
          <w:sz w:val="22"/>
          <w:szCs w:val="22"/>
        </w:rPr>
        <w:t xml:space="preserve">ssainissement, et </w:t>
      </w:r>
      <w:r w:rsidR="005B607C" w:rsidRPr="009E5034">
        <w:rPr>
          <w:sz w:val="22"/>
          <w:szCs w:val="22"/>
        </w:rPr>
        <w:t xml:space="preserve">de </w:t>
      </w:r>
      <w:r w:rsidR="00516332" w:rsidRPr="009E5034">
        <w:rPr>
          <w:sz w:val="22"/>
          <w:szCs w:val="22"/>
        </w:rPr>
        <w:t>gestion des déchets.  La deuxième catégorie est relative à la pollution de l’air, des sources d’eau, et des terres.  La troisième catégorie consiste en des facteurs qui accroissent la vulnérabilité des populations et de leurs actifs productifs aux catastrophes naturelles, notamment les inondations.  Enfin, la quatrième catégorie est associée à l’impact des pressions que les villes exercent sur le milieu physique et les écosystèmes environnants (empreinte écologique).  A ces quatre catégories on peut ajouter les risques potentiels associés aux des prédictions du changement climatique.</w:t>
      </w:r>
    </w:p>
    <w:p w:rsidR="001E4BBD" w:rsidRPr="009E5034" w:rsidRDefault="00516332" w:rsidP="009E5034">
      <w:pPr>
        <w:ind w:left="0"/>
        <w:jc w:val="left"/>
        <w:rPr>
          <w:sz w:val="22"/>
          <w:szCs w:val="22"/>
        </w:rPr>
      </w:pPr>
      <w:r w:rsidRPr="009E5034">
        <w:rPr>
          <w:sz w:val="22"/>
          <w:szCs w:val="22"/>
        </w:rPr>
        <w:t>Au niveau des villes, l’étendue et la sévérité des problèmes environnementaux affectent la performance de l’économie à cause de l’indisponibilité de la main d’œuvre et/ou de la faible productivité de la force de travail (maladies latentes, interruptions répétées de travail, etc.).  Au niveau de l’économie nationale, la dégradation de l’environnement urbain et les maladies qu’elle entraîne imposent des coûts supplémentaires au système sanitaire national.  Même si la présente étude n’a pas pu estimer en termes monétaires l’impact de la morbidité et de la mortalité due à la dégradation de l’environnement urbain, il ne fait aucun doute que le coût de cette dégradation représente une proportion non négligeable du PIB urbain.</w:t>
      </w:r>
    </w:p>
    <w:p w:rsidR="00516332" w:rsidRPr="009E5034" w:rsidRDefault="00516332" w:rsidP="009E5034">
      <w:pPr>
        <w:ind w:left="0"/>
        <w:jc w:val="left"/>
        <w:rPr>
          <w:sz w:val="22"/>
          <w:szCs w:val="22"/>
        </w:rPr>
      </w:pPr>
      <w:r w:rsidRPr="009E5034">
        <w:rPr>
          <w:sz w:val="22"/>
          <w:szCs w:val="22"/>
        </w:rPr>
        <w:t xml:space="preserve">En dépit de la prise de conscience grandissante des conséquences néfastes de la dégradation environnementale urbaine par les populations et </w:t>
      </w:r>
      <w:r w:rsidR="00437A42" w:rsidRPr="009E5034">
        <w:rPr>
          <w:sz w:val="22"/>
          <w:szCs w:val="22"/>
        </w:rPr>
        <w:t xml:space="preserve">par </w:t>
      </w:r>
      <w:r w:rsidRPr="009E5034">
        <w:rPr>
          <w:sz w:val="22"/>
          <w:szCs w:val="22"/>
        </w:rPr>
        <w:t>les décideurs publics tant au niveau central que communal, les progrès dans l’amélioration de la qualité de l’environnement urbain sont lents.  D’une façon générale, les problèmes d’approvisionnement en eau potable, d’assainissement et de gestion des déchets sont les plus importants en termes d’étendu et d’impacts.  Logiquement, les efforts des pouvoirs publi</w:t>
      </w:r>
      <w:r w:rsidR="007257C8" w:rsidRPr="009E5034">
        <w:rPr>
          <w:sz w:val="22"/>
          <w:szCs w:val="22"/>
        </w:rPr>
        <w:t xml:space="preserve">cs (Etat, communes) sont presque </w:t>
      </w:r>
      <w:r w:rsidRPr="009E5034">
        <w:rPr>
          <w:sz w:val="22"/>
          <w:szCs w:val="22"/>
        </w:rPr>
        <w:t>exclusivement consacrés à la résolution de ces problèmes.  La gestion des risques de catastrophes naturelles, et le contrôle de l’empreinte écologique des villes font l’objet d’une atten</w:t>
      </w:r>
      <w:r w:rsidR="007257C8" w:rsidRPr="009E5034">
        <w:rPr>
          <w:sz w:val="22"/>
          <w:szCs w:val="22"/>
        </w:rPr>
        <w:t>tion moindre.  Une attention particulière devrait par contre être portée, notamment au niveau opérationnel, à l</w:t>
      </w:r>
      <w:r w:rsidRPr="009E5034">
        <w:rPr>
          <w:sz w:val="22"/>
          <w:szCs w:val="22"/>
        </w:rPr>
        <w:t>’intégration des effets potentiels du changement climatique dans la planification et la gestion urbaines</w:t>
      </w:r>
      <w:r w:rsidR="007257C8" w:rsidRPr="009E5034">
        <w:rPr>
          <w:sz w:val="22"/>
          <w:szCs w:val="22"/>
        </w:rPr>
        <w:t>.</w:t>
      </w:r>
    </w:p>
    <w:p w:rsidR="00516332" w:rsidRPr="009E5034" w:rsidRDefault="007257C8" w:rsidP="009E5034">
      <w:pPr>
        <w:ind w:left="0"/>
        <w:jc w:val="left"/>
        <w:rPr>
          <w:sz w:val="22"/>
          <w:szCs w:val="22"/>
        </w:rPr>
      </w:pPr>
      <w:r w:rsidRPr="009E5034">
        <w:rPr>
          <w:sz w:val="22"/>
          <w:szCs w:val="22"/>
        </w:rPr>
        <w:t xml:space="preserve">Les </w:t>
      </w:r>
      <w:r w:rsidR="00516332" w:rsidRPr="009E5034">
        <w:rPr>
          <w:sz w:val="22"/>
          <w:szCs w:val="22"/>
        </w:rPr>
        <w:t xml:space="preserve">problèmes environnementaux </w:t>
      </w:r>
      <w:r w:rsidRPr="009E5034">
        <w:rPr>
          <w:sz w:val="22"/>
          <w:szCs w:val="22"/>
        </w:rPr>
        <w:t>résultant</w:t>
      </w:r>
      <w:r w:rsidR="00516332" w:rsidRPr="009E5034">
        <w:rPr>
          <w:sz w:val="22"/>
          <w:szCs w:val="22"/>
        </w:rPr>
        <w:t xml:space="preserve"> d</w:t>
      </w:r>
      <w:r w:rsidRPr="009E5034">
        <w:rPr>
          <w:sz w:val="22"/>
          <w:szCs w:val="22"/>
        </w:rPr>
        <w:t>e l’</w:t>
      </w:r>
      <w:r w:rsidR="00516332" w:rsidRPr="009E5034">
        <w:rPr>
          <w:sz w:val="22"/>
          <w:szCs w:val="22"/>
        </w:rPr>
        <w:t xml:space="preserve">urbanisation accélérée qui s’est poursuivie pendant trop longtemps </w:t>
      </w:r>
      <w:r w:rsidRPr="009E5034">
        <w:rPr>
          <w:sz w:val="22"/>
          <w:szCs w:val="22"/>
        </w:rPr>
        <w:t xml:space="preserve">risquent de s’aggraver et de persister si </w:t>
      </w:r>
      <w:r w:rsidR="00516332" w:rsidRPr="009E5034">
        <w:rPr>
          <w:sz w:val="22"/>
          <w:szCs w:val="22"/>
        </w:rPr>
        <w:t xml:space="preserve">l’attention requise </w:t>
      </w:r>
      <w:r w:rsidRPr="009E5034">
        <w:rPr>
          <w:sz w:val="22"/>
          <w:szCs w:val="22"/>
        </w:rPr>
        <w:t xml:space="preserve">n’est pas </w:t>
      </w:r>
      <w:r w:rsidR="00516332" w:rsidRPr="009E5034">
        <w:rPr>
          <w:sz w:val="22"/>
          <w:szCs w:val="22"/>
        </w:rPr>
        <w:t xml:space="preserve">accordée à la gestion des conséquences environnementales de la concentration d’activités de production et de consommation dans des espaces relativement réduits.  En particulier, la mise en place du cadre politique, institutionnel et législatif propice, et la réalisation des investissements indispensables à la gestion efficace des problèmes environnementaux urbains </w:t>
      </w:r>
      <w:r w:rsidR="00740088" w:rsidRPr="009E5034">
        <w:rPr>
          <w:sz w:val="22"/>
          <w:szCs w:val="22"/>
        </w:rPr>
        <w:t>doivent figurer parmi les priorités du Gouvernement et ses politiques nationales</w:t>
      </w:r>
      <w:r w:rsidR="00516332" w:rsidRPr="009E5034">
        <w:rPr>
          <w:sz w:val="22"/>
          <w:szCs w:val="22"/>
        </w:rPr>
        <w:t>.</w:t>
      </w:r>
      <w:r w:rsidR="00FE1CD5">
        <w:rPr>
          <w:sz w:val="22"/>
          <w:szCs w:val="22"/>
        </w:rPr>
        <w:t xml:space="preserve"> </w:t>
      </w:r>
      <w:r w:rsidR="00FE1CD5" w:rsidRPr="00FE1CD5">
        <w:rPr>
          <w:sz w:val="22"/>
          <w:szCs w:val="22"/>
        </w:rPr>
        <w:t xml:space="preserve">Il est à noter que les défaillances </w:t>
      </w:r>
      <w:r w:rsidR="00FE1CD5">
        <w:rPr>
          <w:sz w:val="22"/>
          <w:szCs w:val="22"/>
        </w:rPr>
        <w:t xml:space="preserve">au </w:t>
      </w:r>
      <w:r w:rsidR="00FE1CD5" w:rsidRPr="00FE1CD5">
        <w:rPr>
          <w:sz w:val="22"/>
          <w:szCs w:val="22"/>
        </w:rPr>
        <w:t xml:space="preserve"> niveau </w:t>
      </w:r>
      <w:r w:rsidR="00FE1CD5">
        <w:rPr>
          <w:sz w:val="22"/>
          <w:szCs w:val="22"/>
        </w:rPr>
        <w:t xml:space="preserve">règlementaire </w:t>
      </w:r>
      <w:r w:rsidR="00FE1CD5" w:rsidRPr="00FE1CD5">
        <w:rPr>
          <w:sz w:val="22"/>
          <w:szCs w:val="22"/>
        </w:rPr>
        <w:t>privent l’Etat et les communes de l’utilisation d’un des outils les plus importants de l’exercice de leurs fonctions régaliennes dans le domaine de la protection de l’environnement.  Le non respect de la loi et l’inapplicabilité de certaines législations (soit parce qu’elles sont imprécises ou trop ambitieuses) contribuent à décrédibiliser la législation, et surtout à encourager les individus, les ménages, les entreprises (privées et publiques), et autres établissements humains urbains à adopter des comportements qui dégradent l’environnement, et qui imposent des coûts économiques et sociaux énormes à l’ensemble de la société.</w:t>
      </w:r>
    </w:p>
    <w:p w:rsidR="004325BD" w:rsidRPr="009E5034" w:rsidRDefault="00437A42" w:rsidP="009E5034">
      <w:pPr>
        <w:ind w:left="0"/>
        <w:jc w:val="left"/>
        <w:rPr>
          <w:sz w:val="22"/>
          <w:szCs w:val="22"/>
        </w:rPr>
      </w:pPr>
      <w:r w:rsidRPr="009E5034">
        <w:rPr>
          <w:sz w:val="22"/>
          <w:szCs w:val="22"/>
        </w:rPr>
        <w:t>Afin d</w:t>
      </w:r>
      <w:r w:rsidR="00E2363A" w:rsidRPr="009E5034">
        <w:rPr>
          <w:sz w:val="22"/>
          <w:szCs w:val="22"/>
        </w:rPr>
        <w:t xml:space="preserve">’accroître la performance des </w:t>
      </w:r>
      <w:r w:rsidRPr="009E5034">
        <w:rPr>
          <w:sz w:val="22"/>
          <w:szCs w:val="22"/>
        </w:rPr>
        <w:t xml:space="preserve">villes maliennes </w:t>
      </w:r>
      <w:r w:rsidR="00E2363A" w:rsidRPr="009E5034">
        <w:rPr>
          <w:sz w:val="22"/>
          <w:szCs w:val="22"/>
        </w:rPr>
        <w:t xml:space="preserve">en matière de croissance économique et de réduction de la pauvreté, la concentration continue des populations et des activités économiques </w:t>
      </w:r>
      <w:r w:rsidR="002C307D" w:rsidRPr="009E5034">
        <w:rPr>
          <w:sz w:val="22"/>
          <w:szCs w:val="22"/>
        </w:rPr>
        <w:t xml:space="preserve">doit s’accompagner de bénéfices économiques et sociaux substantiels.  </w:t>
      </w:r>
      <w:r w:rsidR="00662DDD" w:rsidRPr="009E5034">
        <w:rPr>
          <w:sz w:val="22"/>
          <w:szCs w:val="22"/>
        </w:rPr>
        <w:t xml:space="preserve">Pour atteindre cet objectif les autorités étatiques et celles des collectivités territoriales doivent redoubler d’efforts en matière d’investissements de base qui </w:t>
      </w:r>
      <w:r w:rsidR="00642926" w:rsidRPr="009E5034">
        <w:rPr>
          <w:sz w:val="22"/>
          <w:szCs w:val="22"/>
        </w:rPr>
        <w:t>garantissent la qualité de l’environnement et contribuent à réduire le poids actuel des maladies liées à l’environn</w:t>
      </w:r>
      <w:r w:rsidR="004325BD" w:rsidRPr="009E5034">
        <w:rPr>
          <w:sz w:val="22"/>
          <w:szCs w:val="22"/>
        </w:rPr>
        <w:t>ement dans les centres urbains.</w:t>
      </w:r>
    </w:p>
    <w:p w:rsidR="00497A1B" w:rsidRPr="009E5034" w:rsidRDefault="00642926" w:rsidP="009E5034">
      <w:pPr>
        <w:ind w:left="0"/>
        <w:jc w:val="left"/>
        <w:rPr>
          <w:sz w:val="22"/>
          <w:szCs w:val="22"/>
        </w:rPr>
      </w:pPr>
      <w:r w:rsidRPr="009E5034">
        <w:rPr>
          <w:sz w:val="22"/>
          <w:szCs w:val="22"/>
        </w:rPr>
        <w:t xml:space="preserve">En plus de l’approvisionnement en eau et de l’assainissement (déchets liquides et solides), ces investissements doivent inclure </w:t>
      </w:r>
      <w:r w:rsidR="004325BD" w:rsidRPr="009E5034">
        <w:rPr>
          <w:sz w:val="22"/>
          <w:szCs w:val="22"/>
        </w:rPr>
        <w:t>les services et infrastructures qui garantissent les fonctionnalités primordiales et la productivité des villes.  Il s’agit en particulier, de l’accès au foncier et au logement (y compris des par les habitants des quartiers précaires), les services de transports en communs fiables, les services de réseau, l’accès à l’énergie</w:t>
      </w:r>
      <w:r w:rsidR="00AF4FEF" w:rsidRPr="009E5034">
        <w:rPr>
          <w:sz w:val="22"/>
          <w:szCs w:val="22"/>
        </w:rPr>
        <w:t>, et des finances locales saines.</w:t>
      </w:r>
    </w:p>
    <w:p w:rsidR="00E2363A" w:rsidRPr="009E5034" w:rsidRDefault="00F87DA7" w:rsidP="009E5034">
      <w:pPr>
        <w:ind w:left="0"/>
        <w:jc w:val="left"/>
        <w:rPr>
          <w:sz w:val="22"/>
          <w:szCs w:val="22"/>
        </w:rPr>
      </w:pPr>
      <w:r w:rsidRPr="009E5034">
        <w:rPr>
          <w:sz w:val="22"/>
          <w:szCs w:val="22"/>
        </w:rPr>
        <w:t>La création de partenariats variés dans un environnement institutionnel sécurisé (public-privé, public-privé-organisations communautaires, privé-organisations communautaires, etc.), et une gestion urbaine axée sur les résultats faciliter</w:t>
      </w:r>
      <w:r w:rsidR="003322AE" w:rsidRPr="009E5034">
        <w:rPr>
          <w:sz w:val="22"/>
          <w:szCs w:val="22"/>
        </w:rPr>
        <w:t>ont la réalisation de ces investissements.</w:t>
      </w:r>
      <w:r w:rsidR="00497A1B" w:rsidRPr="009E5034">
        <w:rPr>
          <w:sz w:val="22"/>
          <w:szCs w:val="22"/>
        </w:rPr>
        <w:t xml:space="preserve">  </w:t>
      </w:r>
      <w:r w:rsidR="004B15D1" w:rsidRPr="009E5034">
        <w:rPr>
          <w:sz w:val="22"/>
          <w:szCs w:val="22"/>
        </w:rPr>
        <w:t>L</w:t>
      </w:r>
      <w:r w:rsidR="00B36C64" w:rsidRPr="009E5034">
        <w:rPr>
          <w:sz w:val="22"/>
          <w:szCs w:val="22"/>
        </w:rPr>
        <w:t>a demande additionnelle de l</w:t>
      </w:r>
      <w:r w:rsidR="00497A1B" w:rsidRPr="009E5034">
        <w:rPr>
          <w:sz w:val="22"/>
          <w:szCs w:val="22"/>
        </w:rPr>
        <w:t xml:space="preserve">’expansion des villes maliennes et </w:t>
      </w:r>
      <w:r w:rsidR="00B36C64" w:rsidRPr="009E5034">
        <w:rPr>
          <w:sz w:val="22"/>
          <w:szCs w:val="22"/>
        </w:rPr>
        <w:t xml:space="preserve">de </w:t>
      </w:r>
      <w:r w:rsidR="00497A1B" w:rsidRPr="009E5034">
        <w:rPr>
          <w:sz w:val="22"/>
          <w:szCs w:val="22"/>
        </w:rPr>
        <w:t xml:space="preserve">la satisfaction des </w:t>
      </w:r>
      <w:r w:rsidR="00B36C64" w:rsidRPr="009E5034">
        <w:rPr>
          <w:sz w:val="22"/>
          <w:szCs w:val="22"/>
        </w:rPr>
        <w:t xml:space="preserve">besoins des citadins et des économies urbaines en termes de terres, d’eau, d’énergie et d’autres ressources naturelles devra baisser progressivement </w:t>
      </w:r>
      <w:r w:rsidR="004B15D1" w:rsidRPr="009E5034">
        <w:rPr>
          <w:sz w:val="22"/>
          <w:szCs w:val="22"/>
        </w:rPr>
        <w:t>afin de maximiser la valeur ajoutée et les retombées positives de l’économie urbaine malienne.</w:t>
      </w:r>
    </w:p>
    <w:p w:rsidR="00FA196B" w:rsidRPr="009E5034" w:rsidRDefault="00740088" w:rsidP="009E5034">
      <w:pPr>
        <w:ind w:left="0"/>
        <w:jc w:val="left"/>
        <w:rPr>
          <w:sz w:val="22"/>
          <w:szCs w:val="22"/>
        </w:rPr>
      </w:pPr>
      <w:r w:rsidRPr="009E5034">
        <w:rPr>
          <w:sz w:val="22"/>
          <w:szCs w:val="22"/>
        </w:rPr>
        <w:t xml:space="preserve">Il existe aussi </w:t>
      </w:r>
      <w:r w:rsidR="00FA196B" w:rsidRPr="009E5034">
        <w:rPr>
          <w:sz w:val="22"/>
          <w:szCs w:val="22"/>
        </w:rPr>
        <w:t xml:space="preserve">plusieurs approches </w:t>
      </w:r>
      <w:r w:rsidR="00BB6825" w:rsidRPr="009E5034">
        <w:rPr>
          <w:sz w:val="22"/>
          <w:szCs w:val="22"/>
        </w:rPr>
        <w:t>d’intégration de l’environnement dans la planification et gestion urbaines.  Toutefois, la marge de manœuvre des collectivités territo</w:t>
      </w:r>
      <w:r w:rsidR="00673698" w:rsidRPr="009E5034">
        <w:rPr>
          <w:sz w:val="22"/>
          <w:szCs w:val="22"/>
        </w:rPr>
        <w:t>riales reste limitée à cause des contraintes auxquelles fait face</w:t>
      </w:r>
      <w:r w:rsidR="00BB6825" w:rsidRPr="009E5034">
        <w:rPr>
          <w:sz w:val="22"/>
          <w:szCs w:val="22"/>
        </w:rPr>
        <w:t xml:space="preserve"> la mise en œuvre la politique nationale de décentralisation.  </w:t>
      </w:r>
      <w:r w:rsidR="00704E74" w:rsidRPr="009E5034">
        <w:rPr>
          <w:sz w:val="22"/>
          <w:szCs w:val="22"/>
        </w:rPr>
        <w:t xml:space="preserve">L’application de </w:t>
      </w:r>
      <w:r w:rsidR="00BB6825" w:rsidRPr="009E5034">
        <w:rPr>
          <w:sz w:val="22"/>
          <w:szCs w:val="22"/>
        </w:rPr>
        <w:t xml:space="preserve">la loi conférant aux collectivités territoriales les compétences en matière de protection de l’environnement </w:t>
      </w:r>
      <w:r w:rsidR="00704E74" w:rsidRPr="009E5034">
        <w:rPr>
          <w:sz w:val="22"/>
          <w:szCs w:val="22"/>
        </w:rPr>
        <w:t>est un facteur déterminant et essentiel</w:t>
      </w:r>
      <w:r w:rsidR="00BB6825" w:rsidRPr="009E5034">
        <w:rPr>
          <w:sz w:val="22"/>
          <w:szCs w:val="22"/>
        </w:rPr>
        <w:t xml:space="preserve"> </w:t>
      </w:r>
      <w:r w:rsidR="007D36B7" w:rsidRPr="009E5034">
        <w:rPr>
          <w:sz w:val="22"/>
          <w:szCs w:val="22"/>
        </w:rPr>
        <w:t>pour la gestion efficace de l’environnement urbain.</w:t>
      </w:r>
    </w:p>
    <w:p w:rsidR="00E34694" w:rsidRDefault="00E34694" w:rsidP="00E34694">
      <w:pPr>
        <w:spacing w:before="120"/>
        <w:ind w:left="0"/>
        <w:jc w:val="left"/>
        <w:rPr>
          <w:b/>
          <w:sz w:val="22"/>
          <w:szCs w:val="22"/>
        </w:rPr>
      </w:pPr>
      <w:bookmarkStart w:id="3" w:name="_Toc288596199"/>
    </w:p>
    <w:p w:rsidR="00267B60" w:rsidRDefault="00D53CBD" w:rsidP="00E34694">
      <w:pPr>
        <w:spacing w:before="120"/>
        <w:ind w:left="0"/>
        <w:jc w:val="left"/>
        <w:rPr>
          <w:sz w:val="22"/>
          <w:szCs w:val="22"/>
        </w:rPr>
      </w:pPr>
      <w:r>
        <w:rPr>
          <w:b/>
          <w:sz w:val="22"/>
          <w:szCs w:val="22"/>
        </w:rPr>
        <w:t xml:space="preserve">IV. </w:t>
      </w:r>
      <w:r w:rsidR="00FD2671" w:rsidRPr="00FD2671">
        <w:rPr>
          <w:b/>
          <w:sz w:val="22"/>
          <w:szCs w:val="22"/>
        </w:rPr>
        <w:t>Recommandations</w:t>
      </w:r>
      <w:bookmarkEnd w:id="3"/>
      <w:r w:rsidR="00FD2671">
        <w:rPr>
          <w:b/>
          <w:sz w:val="22"/>
          <w:szCs w:val="22"/>
        </w:rPr>
        <w:t xml:space="preserve"> et </w:t>
      </w:r>
      <w:r w:rsidR="00AE133D">
        <w:rPr>
          <w:b/>
          <w:sz w:val="22"/>
          <w:szCs w:val="22"/>
        </w:rPr>
        <w:t>mesures</w:t>
      </w:r>
      <w:r w:rsidR="00FD2671">
        <w:rPr>
          <w:b/>
          <w:sz w:val="22"/>
          <w:szCs w:val="22"/>
        </w:rPr>
        <w:t xml:space="preserve"> prioritaires</w:t>
      </w:r>
      <w:r w:rsidR="00AE133D">
        <w:rPr>
          <w:b/>
          <w:sz w:val="22"/>
          <w:szCs w:val="22"/>
        </w:rPr>
        <w:t xml:space="preserve">. </w:t>
      </w:r>
      <w:r w:rsidR="00AE133D">
        <w:rPr>
          <w:sz w:val="22"/>
          <w:szCs w:val="22"/>
        </w:rPr>
        <w:t>Des recommandations et mesures prioritaires ont été identifiées pour</w:t>
      </w:r>
      <w:r w:rsidR="00AE133D" w:rsidRPr="00AE133D">
        <w:rPr>
          <w:sz w:val="22"/>
          <w:szCs w:val="22"/>
        </w:rPr>
        <w:t xml:space="preserve"> renforcer la gestion environnementale </w:t>
      </w:r>
      <w:r w:rsidR="00AE133D">
        <w:rPr>
          <w:sz w:val="22"/>
          <w:szCs w:val="22"/>
        </w:rPr>
        <w:t>dans le milieu urbain au Mali. Ces mesures devront faire l’objet d’un plan d’action de gestion environnementale dans le milieu urbain,  au niveau national et au niveau local, et la f</w:t>
      </w:r>
      <w:r w:rsidR="00AE133D" w:rsidRPr="00AE133D">
        <w:rPr>
          <w:sz w:val="22"/>
          <w:szCs w:val="22"/>
        </w:rPr>
        <w:t>ormulation de programmes</w:t>
      </w:r>
      <w:r w:rsidR="00AE133D">
        <w:rPr>
          <w:sz w:val="22"/>
          <w:szCs w:val="22"/>
        </w:rPr>
        <w:t xml:space="preserve"> et projets y aff</w:t>
      </w:r>
      <w:r>
        <w:rPr>
          <w:sz w:val="22"/>
          <w:szCs w:val="22"/>
        </w:rPr>
        <w:t xml:space="preserve">érents </w:t>
      </w:r>
      <w:r w:rsidRPr="00D53CBD">
        <w:rPr>
          <w:sz w:val="22"/>
          <w:szCs w:val="22"/>
        </w:rPr>
        <w:t>fondé</w:t>
      </w:r>
      <w:r w:rsidR="00AA3C86">
        <w:rPr>
          <w:sz w:val="22"/>
          <w:szCs w:val="22"/>
        </w:rPr>
        <w:t>s</w:t>
      </w:r>
      <w:r w:rsidRPr="00D53CBD">
        <w:rPr>
          <w:sz w:val="22"/>
          <w:szCs w:val="22"/>
        </w:rPr>
        <w:t xml:space="preserve"> sur les résultats du </w:t>
      </w:r>
      <w:r w:rsidR="00031088" w:rsidRPr="00D53CBD">
        <w:rPr>
          <w:sz w:val="22"/>
          <w:szCs w:val="22"/>
        </w:rPr>
        <w:t>rapport</w:t>
      </w:r>
      <w:r w:rsidR="00AA3C86">
        <w:rPr>
          <w:sz w:val="22"/>
          <w:szCs w:val="22"/>
        </w:rPr>
        <w:t xml:space="preserve"> et prenants en considération les différentes limitations de capacité et de budget</w:t>
      </w:r>
      <w:r w:rsidR="00031088">
        <w:rPr>
          <w:sz w:val="22"/>
          <w:szCs w:val="22"/>
        </w:rPr>
        <w:t>.</w:t>
      </w:r>
    </w:p>
    <w:p w:rsidR="00083723" w:rsidRPr="00AE133D" w:rsidRDefault="00083723" w:rsidP="00E34694">
      <w:pPr>
        <w:spacing w:before="120"/>
        <w:ind w:left="0"/>
        <w:jc w:val="left"/>
        <w:rPr>
          <w:sz w:val="22"/>
          <w:szCs w:val="22"/>
        </w:rPr>
      </w:pPr>
    </w:p>
    <w:p w:rsidR="00031088" w:rsidRDefault="00FD2671" w:rsidP="00482DC5">
      <w:pPr>
        <w:pStyle w:val="ListParagraph"/>
        <w:numPr>
          <w:ilvl w:val="0"/>
          <w:numId w:val="23"/>
        </w:numPr>
        <w:rPr>
          <w:b/>
          <w:sz w:val="22"/>
          <w:szCs w:val="22"/>
        </w:rPr>
      </w:pPr>
      <w:bookmarkStart w:id="4" w:name="_Toc288596200"/>
      <w:r w:rsidRPr="00031088">
        <w:rPr>
          <w:b/>
          <w:sz w:val="22"/>
          <w:szCs w:val="22"/>
        </w:rPr>
        <w:t>Renforcement des politiques et du cadre institutionnel et réglementaire de gestion de gestion urbaine durable</w:t>
      </w:r>
      <w:bookmarkEnd w:id="4"/>
    </w:p>
    <w:p w:rsidR="00031088" w:rsidRPr="00F84038" w:rsidRDefault="00FD2671" w:rsidP="00482DC5">
      <w:pPr>
        <w:pStyle w:val="ListParagraph"/>
        <w:numPr>
          <w:ilvl w:val="1"/>
          <w:numId w:val="23"/>
        </w:numPr>
        <w:rPr>
          <w:b/>
          <w:sz w:val="22"/>
          <w:szCs w:val="22"/>
        </w:rPr>
      </w:pPr>
      <w:r w:rsidRPr="00031088">
        <w:rPr>
          <w:b/>
          <w:i/>
          <w:sz w:val="22"/>
          <w:szCs w:val="22"/>
        </w:rPr>
        <w:t>Améliorer et renforcer les mécanismes de coordination</w:t>
      </w:r>
      <w:r w:rsidR="00031088">
        <w:rPr>
          <w:sz w:val="22"/>
          <w:szCs w:val="22"/>
        </w:rPr>
        <w:t xml:space="preserve">: </w:t>
      </w:r>
      <w:r w:rsidRPr="00031088">
        <w:rPr>
          <w:sz w:val="22"/>
          <w:szCs w:val="22"/>
        </w:rPr>
        <w:t xml:space="preserve">L’efficacité de la gestion environnementale urbaine </w:t>
      </w:r>
      <w:r w:rsidR="008F5667">
        <w:rPr>
          <w:sz w:val="22"/>
          <w:szCs w:val="22"/>
        </w:rPr>
        <w:t>peut s’améliorer</w:t>
      </w:r>
      <w:r w:rsidRPr="00031088">
        <w:rPr>
          <w:sz w:val="22"/>
          <w:szCs w:val="22"/>
        </w:rPr>
        <w:t>, d’une part, par des mécanismes de coordination verticale entre les services étatiques et ceux des collectivités territoriales, et d’autr</w:t>
      </w:r>
      <w:r w:rsidR="008F5667">
        <w:rPr>
          <w:sz w:val="22"/>
          <w:szCs w:val="22"/>
        </w:rPr>
        <w:t>e part, par une plus grande e</w:t>
      </w:r>
      <w:r w:rsidRPr="00031088">
        <w:rPr>
          <w:sz w:val="22"/>
          <w:szCs w:val="22"/>
        </w:rPr>
        <w:t xml:space="preserve">fficacité de la coordination horizontale des services et investissements des communes composant le District de Bamako.  </w:t>
      </w:r>
      <w:r w:rsidR="008F5667">
        <w:rPr>
          <w:sz w:val="22"/>
          <w:szCs w:val="22"/>
        </w:rPr>
        <w:t xml:space="preserve">La </w:t>
      </w:r>
      <w:r w:rsidRPr="00031088">
        <w:rPr>
          <w:sz w:val="22"/>
          <w:szCs w:val="22"/>
        </w:rPr>
        <w:t xml:space="preserve">défaillance </w:t>
      </w:r>
      <w:r w:rsidR="008F5667">
        <w:rPr>
          <w:sz w:val="22"/>
          <w:szCs w:val="22"/>
        </w:rPr>
        <w:t xml:space="preserve">au niveau de cette </w:t>
      </w:r>
      <w:r w:rsidRPr="00031088">
        <w:rPr>
          <w:sz w:val="22"/>
          <w:szCs w:val="22"/>
        </w:rPr>
        <w:t>coordination se traduit par la faible implication des communes et des populations bénéficiaires dans l’exécution des investissements, et dans l’entretien des infrastructures.  Elle conduit parfois à la prise en compte insuffisante des effets sociaux des investissements, en particulier lorsque ceux-ci entrainent le déplacement involontaire d’habitants.</w:t>
      </w:r>
    </w:p>
    <w:p w:rsidR="00F84038" w:rsidRPr="00F84038" w:rsidRDefault="00F84038" w:rsidP="00482DC5">
      <w:pPr>
        <w:pStyle w:val="ListParagraph"/>
        <w:numPr>
          <w:ilvl w:val="1"/>
          <w:numId w:val="23"/>
        </w:numPr>
        <w:rPr>
          <w:b/>
          <w:sz w:val="22"/>
          <w:szCs w:val="22"/>
        </w:rPr>
      </w:pPr>
      <w:r w:rsidRPr="00F84038">
        <w:rPr>
          <w:b/>
          <w:i/>
          <w:sz w:val="22"/>
          <w:szCs w:val="22"/>
        </w:rPr>
        <w:t>Renforcement du cadre réglementaire</w:t>
      </w:r>
      <w:r w:rsidR="00117EE7">
        <w:rPr>
          <w:b/>
          <w:i/>
          <w:sz w:val="22"/>
          <w:szCs w:val="22"/>
        </w:rPr>
        <w:t xml:space="preserve">: </w:t>
      </w:r>
      <w:r w:rsidR="00FD2671" w:rsidRPr="00FE1CD5">
        <w:rPr>
          <w:sz w:val="22"/>
          <w:szCs w:val="22"/>
        </w:rPr>
        <w:t xml:space="preserve">Du point de vue thématique, on peut dire que le Mali a su se doter d’un cadre législatif et réglementaire qui couvre un large éventail de problématiques liées à la gestion environnementale, à la gestion urbaine, et à la décentralisation.  Il faut toutefois mentionner que </w:t>
      </w:r>
      <w:r w:rsidR="00FE1CD5">
        <w:rPr>
          <w:sz w:val="22"/>
          <w:szCs w:val="22"/>
        </w:rPr>
        <w:t xml:space="preserve">certaines </w:t>
      </w:r>
      <w:r w:rsidR="00FD2671" w:rsidRPr="00F84038">
        <w:rPr>
          <w:sz w:val="22"/>
          <w:szCs w:val="22"/>
        </w:rPr>
        <w:t>carences</w:t>
      </w:r>
      <w:r w:rsidR="00FE1CD5">
        <w:rPr>
          <w:sz w:val="22"/>
          <w:szCs w:val="22"/>
        </w:rPr>
        <w:t xml:space="preserve"> existent, tel qu’i</w:t>
      </w:r>
      <w:r w:rsidR="00FE1CD5" w:rsidRPr="00FE1CD5">
        <w:rPr>
          <w:sz w:val="22"/>
          <w:szCs w:val="22"/>
        </w:rPr>
        <w:t xml:space="preserve">nsuffisances du cadre législatif et réglementaire </w:t>
      </w:r>
      <w:r w:rsidR="00FE1CD5">
        <w:rPr>
          <w:sz w:val="22"/>
          <w:szCs w:val="22"/>
        </w:rPr>
        <w:t xml:space="preserve">lui-même ou </w:t>
      </w:r>
      <w:r w:rsidR="00FE1CD5" w:rsidRPr="00FE1CD5">
        <w:rPr>
          <w:sz w:val="22"/>
          <w:szCs w:val="22"/>
        </w:rPr>
        <w:t>le non respect des textes</w:t>
      </w:r>
      <w:r w:rsidR="00FD2671" w:rsidRPr="00F84038">
        <w:rPr>
          <w:sz w:val="22"/>
          <w:szCs w:val="22"/>
        </w:rPr>
        <w:t xml:space="preserve">, </w:t>
      </w:r>
      <w:r w:rsidR="00FE1CD5">
        <w:rPr>
          <w:sz w:val="22"/>
          <w:szCs w:val="22"/>
        </w:rPr>
        <w:t xml:space="preserve">et afin d’y remédier </w:t>
      </w:r>
      <w:r w:rsidR="00FD2671" w:rsidRPr="00F84038">
        <w:rPr>
          <w:sz w:val="22"/>
          <w:szCs w:val="22"/>
        </w:rPr>
        <w:t xml:space="preserve">il est recommandé que les autorités </w:t>
      </w:r>
      <w:r w:rsidR="00FE1CD5">
        <w:rPr>
          <w:sz w:val="22"/>
          <w:szCs w:val="22"/>
        </w:rPr>
        <w:t>compétentes concernées</w:t>
      </w:r>
      <w:r w:rsidR="00FE1CD5" w:rsidRPr="00F84038">
        <w:rPr>
          <w:sz w:val="22"/>
          <w:szCs w:val="22"/>
        </w:rPr>
        <w:t xml:space="preserve"> </w:t>
      </w:r>
      <w:r w:rsidRPr="00F84038">
        <w:rPr>
          <w:sz w:val="22"/>
          <w:szCs w:val="22"/>
        </w:rPr>
        <w:t>procèdent à une relecture critique du cadre législatif et réglementaire de l’environnement afin d’améliorer sa cohérence structurelle et formelle, et accroitre son efficacité à résoudre les problèmes environnementaux du pays en général, et urbains</w:t>
      </w:r>
      <w:r w:rsidR="00FE1CD5" w:rsidRPr="00FE1CD5">
        <w:rPr>
          <w:sz w:val="22"/>
          <w:szCs w:val="22"/>
        </w:rPr>
        <w:t xml:space="preserve">  </w:t>
      </w:r>
      <w:r w:rsidRPr="00F84038">
        <w:rPr>
          <w:sz w:val="22"/>
          <w:szCs w:val="22"/>
        </w:rPr>
        <w:t xml:space="preserve">en particulier; </w:t>
      </w:r>
    </w:p>
    <w:p w:rsidR="008D3586" w:rsidRPr="008D3586" w:rsidRDefault="00F84038" w:rsidP="00482DC5">
      <w:pPr>
        <w:pStyle w:val="ListParagraph"/>
        <w:numPr>
          <w:ilvl w:val="2"/>
          <w:numId w:val="24"/>
        </w:numPr>
        <w:rPr>
          <w:sz w:val="22"/>
          <w:szCs w:val="22"/>
        </w:rPr>
      </w:pPr>
      <w:r w:rsidRPr="00F84038">
        <w:rPr>
          <w:sz w:val="22"/>
          <w:szCs w:val="22"/>
        </w:rPr>
        <w:t>Adopter les mesures administratives et techniques complémentaires (adoption de décrets d’application, de normes, etc.) indispensables à l’application effective de toutes les dispositions législatives relatives à la gestion efficace de l’environnement et du secteur urbains</w:t>
      </w:r>
      <w:r w:rsidR="008D3586">
        <w:rPr>
          <w:sz w:val="22"/>
          <w:szCs w:val="22"/>
        </w:rPr>
        <w:t xml:space="preserve"> et adapté au contexte du pays</w:t>
      </w:r>
      <w:r w:rsidRPr="00F84038">
        <w:rPr>
          <w:sz w:val="22"/>
          <w:szCs w:val="22"/>
        </w:rPr>
        <w:t>;</w:t>
      </w:r>
    </w:p>
    <w:p w:rsidR="00E34694" w:rsidRPr="00171EB0" w:rsidRDefault="00F84038" w:rsidP="00482DC5">
      <w:pPr>
        <w:pStyle w:val="ListParagraph"/>
        <w:numPr>
          <w:ilvl w:val="2"/>
          <w:numId w:val="24"/>
        </w:numPr>
        <w:rPr>
          <w:sz w:val="22"/>
          <w:szCs w:val="22"/>
        </w:rPr>
      </w:pPr>
      <w:r w:rsidRPr="00F84038">
        <w:rPr>
          <w:sz w:val="22"/>
          <w:szCs w:val="22"/>
        </w:rPr>
        <w:t>Allouer les ressources financières et humaines indispensables à l’application et au contrôle de la législation et de la réglementation dans les domaines prioritaires pour l’amélioration de la qualité de l’environnement et de la gouvernance urbaine.</w:t>
      </w:r>
    </w:p>
    <w:p w:rsidR="008D3586" w:rsidRPr="008D3586" w:rsidRDefault="00FD2671" w:rsidP="00482DC5">
      <w:pPr>
        <w:pStyle w:val="ListParagraph"/>
        <w:numPr>
          <w:ilvl w:val="1"/>
          <w:numId w:val="23"/>
        </w:numPr>
        <w:spacing w:before="240"/>
        <w:rPr>
          <w:b/>
          <w:sz w:val="22"/>
          <w:szCs w:val="22"/>
        </w:rPr>
      </w:pPr>
      <w:r w:rsidRPr="00031088">
        <w:rPr>
          <w:b/>
          <w:i/>
          <w:sz w:val="22"/>
          <w:szCs w:val="22"/>
        </w:rPr>
        <w:t>Renforcement de l’efficacité du cadre réglementaire</w:t>
      </w:r>
      <w:r w:rsidRPr="00031088">
        <w:rPr>
          <w:sz w:val="22"/>
          <w:szCs w:val="22"/>
        </w:rPr>
        <w:t xml:space="preserve"> : </w:t>
      </w:r>
      <w:r w:rsidR="00FE1CD5">
        <w:rPr>
          <w:sz w:val="22"/>
          <w:szCs w:val="22"/>
        </w:rPr>
        <w:t xml:space="preserve">D’autres </w:t>
      </w:r>
      <w:r w:rsidRPr="00031088">
        <w:rPr>
          <w:sz w:val="22"/>
          <w:szCs w:val="22"/>
        </w:rPr>
        <w:t>facteurs</w:t>
      </w:r>
      <w:r w:rsidR="00FE1CD5">
        <w:rPr>
          <w:sz w:val="22"/>
          <w:szCs w:val="22"/>
        </w:rPr>
        <w:t xml:space="preserve"> existent aussi qui</w:t>
      </w:r>
      <w:r w:rsidRPr="00031088">
        <w:rPr>
          <w:sz w:val="22"/>
          <w:szCs w:val="22"/>
        </w:rPr>
        <w:t xml:space="preserve"> entravent l’efficacité de cet ensemble de textes législatifs et réglementaires.  En particulier, les instruments d’exécution et les institutions chargées de l’application et du contrôle des lois font généralement défaut, ou ne sont qu’à l’état d’ébauche. </w:t>
      </w:r>
      <w:r w:rsidR="008D3586">
        <w:rPr>
          <w:sz w:val="22"/>
          <w:szCs w:val="22"/>
        </w:rPr>
        <w:t>L’étude recommande:</w:t>
      </w:r>
    </w:p>
    <w:p w:rsidR="008D3586" w:rsidRPr="008D3586" w:rsidRDefault="008D3586" w:rsidP="00482DC5">
      <w:pPr>
        <w:pStyle w:val="ListParagraph"/>
        <w:numPr>
          <w:ilvl w:val="2"/>
          <w:numId w:val="25"/>
        </w:numPr>
        <w:rPr>
          <w:b/>
          <w:sz w:val="22"/>
          <w:szCs w:val="22"/>
        </w:rPr>
      </w:pPr>
      <w:r>
        <w:rPr>
          <w:sz w:val="22"/>
          <w:szCs w:val="22"/>
        </w:rPr>
        <w:t xml:space="preserve">De finaliser la définition  de ces instruments d’exécution, avec des </w:t>
      </w:r>
      <w:r w:rsidR="00FD2671" w:rsidRPr="008D3586">
        <w:rPr>
          <w:sz w:val="22"/>
          <w:szCs w:val="22"/>
        </w:rPr>
        <w:t xml:space="preserve">moyens de mise en œuvre et de contrôle est </w:t>
      </w:r>
      <w:r>
        <w:rPr>
          <w:sz w:val="22"/>
          <w:szCs w:val="22"/>
        </w:rPr>
        <w:t>bien précis</w:t>
      </w:r>
      <w:r w:rsidR="00117EE7">
        <w:rPr>
          <w:sz w:val="22"/>
          <w:szCs w:val="22"/>
        </w:rPr>
        <w:t>;</w:t>
      </w:r>
    </w:p>
    <w:p w:rsidR="008D3586" w:rsidRPr="008D3586" w:rsidRDefault="008D3586" w:rsidP="00482DC5">
      <w:pPr>
        <w:pStyle w:val="ListParagraph"/>
        <w:numPr>
          <w:ilvl w:val="2"/>
          <w:numId w:val="25"/>
        </w:numPr>
        <w:rPr>
          <w:b/>
          <w:sz w:val="22"/>
          <w:szCs w:val="22"/>
        </w:rPr>
      </w:pPr>
      <w:r>
        <w:rPr>
          <w:sz w:val="22"/>
          <w:szCs w:val="22"/>
        </w:rPr>
        <w:t xml:space="preserve">De détailler dans </w:t>
      </w:r>
      <w:r w:rsidR="00FD2671" w:rsidRPr="008D3586">
        <w:rPr>
          <w:sz w:val="22"/>
          <w:szCs w:val="22"/>
        </w:rPr>
        <w:t xml:space="preserve"> les décrets d’application </w:t>
      </w:r>
      <w:r>
        <w:rPr>
          <w:sz w:val="22"/>
          <w:szCs w:val="22"/>
        </w:rPr>
        <w:t xml:space="preserve">les </w:t>
      </w:r>
      <w:r w:rsidRPr="008D3586">
        <w:rPr>
          <w:sz w:val="22"/>
          <w:szCs w:val="22"/>
        </w:rPr>
        <w:t>sanctions qui sont applicables en cas de violation de la loi.</w:t>
      </w:r>
    </w:p>
    <w:p w:rsidR="00E34694" w:rsidRPr="008D3586" w:rsidRDefault="008D3586" w:rsidP="00E34694">
      <w:pPr>
        <w:pStyle w:val="ListParagraph"/>
        <w:numPr>
          <w:ilvl w:val="0"/>
          <w:numId w:val="0"/>
        </w:numPr>
        <w:spacing w:before="240"/>
        <w:ind w:left="792"/>
        <w:rPr>
          <w:b/>
          <w:sz w:val="22"/>
          <w:szCs w:val="22"/>
        </w:rPr>
      </w:pPr>
      <w:r>
        <w:rPr>
          <w:sz w:val="22"/>
          <w:szCs w:val="22"/>
        </w:rPr>
        <w:t xml:space="preserve">Prévoir des </w:t>
      </w:r>
      <w:r w:rsidR="00FD2671" w:rsidRPr="008D3586">
        <w:rPr>
          <w:sz w:val="22"/>
          <w:szCs w:val="22"/>
        </w:rPr>
        <w:t>mesures de persuasion</w:t>
      </w:r>
      <w:r>
        <w:rPr>
          <w:sz w:val="22"/>
          <w:szCs w:val="22"/>
        </w:rPr>
        <w:t xml:space="preserve"> qui formeraient avec les </w:t>
      </w:r>
      <w:r w:rsidRPr="008D3586">
        <w:rPr>
          <w:sz w:val="22"/>
          <w:szCs w:val="22"/>
        </w:rPr>
        <w:t>mesures coercitives existantes</w:t>
      </w:r>
      <w:r>
        <w:rPr>
          <w:sz w:val="22"/>
          <w:szCs w:val="22"/>
        </w:rPr>
        <w:t xml:space="preserve"> </w:t>
      </w:r>
      <w:r w:rsidR="00FD2671" w:rsidRPr="008D3586">
        <w:rPr>
          <w:sz w:val="22"/>
          <w:szCs w:val="22"/>
        </w:rPr>
        <w:t xml:space="preserve"> un système de contrôle administratif </w:t>
      </w:r>
      <w:r>
        <w:rPr>
          <w:sz w:val="22"/>
          <w:szCs w:val="22"/>
        </w:rPr>
        <w:t xml:space="preserve">moins </w:t>
      </w:r>
      <w:r w:rsidR="00FD2671" w:rsidRPr="008D3586">
        <w:rPr>
          <w:sz w:val="22"/>
          <w:szCs w:val="22"/>
        </w:rPr>
        <w:t xml:space="preserve"> intensif et </w:t>
      </w:r>
      <w:r>
        <w:rPr>
          <w:sz w:val="22"/>
          <w:szCs w:val="22"/>
        </w:rPr>
        <w:t xml:space="preserve">moins </w:t>
      </w:r>
      <w:r w:rsidR="00FD2671" w:rsidRPr="008D3586">
        <w:rPr>
          <w:sz w:val="22"/>
          <w:szCs w:val="22"/>
        </w:rPr>
        <w:t>coûteux (moyens humains et matériels).</w:t>
      </w:r>
    </w:p>
    <w:p w:rsidR="00B70E42" w:rsidRPr="00171EB0" w:rsidRDefault="00FD2671" w:rsidP="00482DC5">
      <w:pPr>
        <w:pStyle w:val="ListParagraph"/>
        <w:numPr>
          <w:ilvl w:val="1"/>
          <w:numId w:val="23"/>
        </w:numPr>
        <w:rPr>
          <w:b/>
          <w:sz w:val="22"/>
          <w:szCs w:val="22"/>
        </w:rPr>
      </w:pPr>
      <w:r w:rsidRPr="008D3586">
        <w:rPr>
          <w:b/>
          <w:i/>
          <w:sz w:val="22"/>
          <w:szCs w:val="22"/>
        </w:rPr>
        <w:t xml:space="preserve">Accès à l’information. </w:t>
      </w:r>
      <w:r w:rsidRPr="008D3586">
        <w:rPr>
          <w:sz w:val="22"/>
          <w:szCs w:val="22"/>
        </w:rPr>
        <w:t>Il est fortement recommandé d’envisager des activités directement liées à la promotion de la conscience environnementale (telles que l’éducation, l’appui aux communes etc.), affectant la production et la dissémination d’information environnementale ainsi q</w:t>
      </w:r>
      <w:r w:rsidRPr="008D3586">
        <w:rPr>
          <w:b/>
          <w:sz w:val="22"/>
          <w:szCs w:val="22"/>
        </w:rPr>
        <w:t>u</w:t>
      </w:r>
      <w:r w:rsidRPr="00F84038">
        <w:rPr>
          <w:sz w:val="22"/>
          <w:szCs w:val="22"/>
        </w:rPr>
        <w:t>e la mise en place d’un système d’information. Le cadre règlementaire relatif aux études d’impact environnemental devrait de même contenir des éléments de consultation publique et de dissémination des données.</w:t>
      </w:r>
    </w:p>
    <w:p w:rsidR="00E13D4E" w:rsidRDefault="00FD2671" w:rsidP="00482DC5">
      <w:pPr>
        <w:pStyle w:val="ListParagraph"/>
        <w:numPr>
          <w:ilvl w:val="0"/>
          <w:numId w:val="23"/>
        </w:numPr>
        <w:spacing w:before="240"/>
        <w:rPr>
          <w:b/>
          <w:sz w:val="22"/>
          <w:szCs w:val="22"/>
        </w:rPr>
      </w:pPr>
      <w:bookmarkStart w:id="5" w:name="_Toc288596201"/>
      <w:r w:rsidRPr="00E13D4E">
        <w:rPr>
          <w:b/>
          <w:sz w:val="22"/>
          <w:szCs w:val="22"/>
        </w:rPr>
        <w:t>Gestion des déchets</w:t>
      </w:r>
      <w:bookmarkEnd w:id="5"/>
    </w:p>
    <w:p w:rsidR="00FD2671" w:rsidRPr="00E13D4E" w:rsidRDefault="00FD2671" w:rsidP="00482DC5">
      <w:pPr>
        <w:pStyle w:val="ListParagraph"/>
        <w:numPr>
          <w:ilvl w:val="1"/>
          <w:numId w:val="23"/>
        </w:numPr>
        <w:spacing w:before="0" w:after="0"/>
        <w:rPr>
          <w:b/>
          <w:sz w:val="22"/>
          <w:szCs w:val="22"/>
        </w:rPr>
      </w:pPr>
      <w:r w:rsidRPr="00E13D4E">
        <w:rPr>
          <w:b/>
          <w:i/>
          <w:sz w:val="22"/>
          <w:szCs w:val="22"/>
        </w:rPr>
        <w:t>Déchets solides domestiques:</w:t>
      </w:r>
      <w:r w:rsidRPr="00E13D4E">
        <w:rPr>
          <w:sz w:val="22"/>
          <w:szCs w:val="22"/>
        </w:rPr>
        <w:t xml:space="preserve"> La solution la plus économique et efficace consisterait à établir un partenariat avec le secteur privé, le secteur associatif, et les bénéficiaires, tout en accordant une attention particulière  au financement des coûts récurrents des infrastructures et des équipements.  Ce partenariat devra reposer sur les préalables suivants: </w:t>
      </w:r>
    </w:p>
    <w:p w:rsidR="00FD2671" w:rsidRPr="00FD2671" w:rsidRDefault="00FD2671" w:rsidP="00482DC5">
      <w:pPr>
        <w:numPr>
          <w:ilvl w:val="0"/>
          <w:numId w:val="17"/>
        </w:numPr>
        <w:spacing w:before="0"/>
        <w:ind w:left="1656"/>
        <w:jc w:val="left"/>
        <w:rPr>
          <w:sz w:val="22"/>
          <w:szCs w:val="22"/>
        </w:rPr>
      </w:pPr>
      <w:r w:rsidRPr="00FD2671">
        <w:rPr>
          <w:sz w:val="22"/>
          <w:szCs w:val="22"/>
        </w:rPr>
        <w:t>Le transfert par l’Etat des compétences en matière de gestion des déchets aux communes;</w:t>
      </w:r>
    </w:p>
    <w:p w:rsidR="00FD2671" w:rsidRPr="00FD2671" w:rsidRDefault="00FD2671" w:rsidP="00482DC5">
      <w:pPr>
        <w:numPr>
          <w:ilvl w:val="0"/>
          <w:numId w:val="17"/>
        </w:numPr>
        <w:spacing w:before="0"/>
        <w:ind w:left="1656"/>
        <w:jc w:val="left"/>
        <w:rPr>
          <w:sz w:val="22"/>
          <w:szCs w:val="22"/>
        </w:rPr>
      </w:pPr>
      <w:r w:rsidRPr="00FD2671">
        <w:rPr>
          <w:sz w:val="22"/>
          <w:szCs w:val="22"/>
        </w:rPr>
        <w:t>La préparation des plans de gestion intégrée des déchets qui reflètent les caractéristiques physiques, économiques ainsi que les capacités financières de chaque ville (dimensionnement des infrastructures, natures des équipements, moyens de collecte adaptés à l’accessibilité des quartiers, etc.), et les impératifs du partenariat public-privé-société civile;</w:t>
      </w:r>
    </w:p>
    <w:p w:rsidR="00FD2671" w:rsidRPr="00FD2671" w:rsidRDefault="00FD2671" w:rsidP="00482DC5">
      <w:pPr>
        <w:numPr>
          <w:ilvl w:val="0"/>
          <w:numId w:val="17"/>
        </w:numPr>
        <w:spacing w:before="0"/>
        <w:ind w:left="1656"/>
        <w:jc w:val="left"/>
        <w:rPr>
          <w:sz w:val="22"/>
          <w:szCs w:val="22"/>
        </w:rPr>
      </w:pPr>
      <w:r w:rsidRPr="00FD2671">
        <w:rPr>
          <w:sz w:val="22"/>
          <w:szCs w:val="22"/>
        </w:rPr>
        <w:t>La mise en œuvre urgente de la stratégie de gestion des déchets du District de Bamako, en mettant l’accent sur l’augmentation du nombre de dépôts de transit, et la construction d’un second site d’enfouissement technique sur la rive droite du fleuve.</w:t>
      </w:r>
    </w:p>
    <w:p w:rsidR="00FD2671" w:rsidRPr="00ED774C" w:rsidRDefault="00ED774C" w:rsidP="00ED774C">
      <w:pPr>
        <w:ind w:left="360"/>
        <w:rPr>
          <w:sz w:val="22"/>
          <w:szCs w:val="22"/>
        </w:rPr>
      </w:pPr>
      <w:r w:rsidRPr="00083723">
        <w:rPr>
          <w:rFonts w:eastAsia="Calibri"/>
          <w:b/>
          <w:w w:val="105"/>
          <w:sz w:val="22"/>
          <w:szCs w:val="22"/>
        </w:rPr>
        <w:t>2.2</w:t>
      </w:r>
      <w:r>
        <w:rPr>
          <w:rFonts w:eastAsia="Calibri"/>
          <w:b/>
          <w:i/>
          <w:w w:val="105"/>
          <w:sz w:val="22"/>
          <w:szCs w:val="22"/>
        </w:rPr>
        <w:t xml:space="preserve"> </w:t>
      </w:r>
      <w:r w:rsidR="00FD2671" w:rsidRPr="00ED774C">
        <w:rPr>
          <w:rFonts w:eastAsia="Calibri"/>
          <w:b/>
          <w:i/>
          <w:w w:val="105"/>
          <w:sz w:val="22"/>
          <w:szCs w:val="22"/>
        </w:rPr>
        <w:t>Déchets liquides, accès à l’eau potable et drainage:</w:t>
      </w:r>
      <w:r w:rsidR="00117EE7">
        <w:rPr>
          <w:rFonts w:eastAsia="Calibri"/>
          <w:b/>
          <w:i/>
          <w:w w:val="105"/>
          <w:sz w:val="22"/>
          <w:szCs w:val="22"/>
        </w:rPr>
        <w:t xml:space="preserve"> </w:t>
      </w:r>
      <w:r w:rsidR="00FD2671" w:rsidRPr="00ED774C">
        <w:rPr>
          <w:rFonts w:eastAsia="Calibri"/>
          <w:w w:val="105"/>
          <w:sz w:val="22"/>
          <w:szCs w:val="22"/>
        </w:rPr>
        <w:t>Les faibles taux d’accès à ces services (l’impact en termes de morbidité et de mortalité accrues), notamment dans les quartiers précaires reflètent l’existence d’obstacles à la fois du côté de la demande (incapacité des usagers à payer le coût d’accès)</w:t>
      </w:r>
      <w:r w:rsidR="00FD2671" w:rsidRPr="00ED774C">
        <w:rPr>
          <w:sz w:val="22"/>
          <w:szCs w:val="22"/>
        </w:rPr>
        <w:t xml:space="preserve"> que de l’offre (éloignement des usagers du réseau primaire).  L’adoption des mesures visant à accroître la productivité et les taux de recouvrement des redevances pourraient générer des ressources additionnelles pour étendre la couverture en services, et assurer un meilleur entretien des infrastructures.  Par ailleurs, une attention particulière devra être portée à l’adéquation entre cette expansion de l’offre et les besoins et capacités des usagers.  Cette adéquation requiert les mesures suivantes :</w:t>
      </w:r>
    </w:p>
    <w:p w:rsidR="00FD2671" w:rsidRPr="00FD2671" w:rsidRDefault="00FD2671" w:rsidP="00482DC5">
      <w:pPr>
        <w:numPr>
          <w:ilvl w:val="0"/>
          <w:numId w:val="21"/>
        </w:numPr>
        <w:spacing w:before="0"/>
        <w:ind w:left="734"/>
        <w:jc w:val="left"/>
        <w:rPr>
          <w:sz w:val="22"/>
          <w:szCs w:val="22"/>
        </w:rPr>
      </w:pPr>
      <w:r w:rsidRPr="00FD2671">
        <w:rPr>
          <w:sz w:val="22"/>
          <w:szCs w:val="22"/>
        </w:rPr>
        <w:t>Choix (basé sur une évaluation effective des besoins et capacités financières) du niveau et type de service qui peut être pourvu de manière réaliste au plus grand nombre possible d’usagers;</w:t>
      </w:r>
    </w:p>
    <w:p w:rsidR="00FD2671" w:rsidRPr="00FD2671" w:rsidRDefault="00FD2671" w:rsidP="00482DC5">
      <w:pPr>
        <w:numPr>
          <w:ilvl w:val="0"/>
          <w:numId w:val="21"/>
        </w:numPr>
        <w:spacing w:before="0"/>
        <w:ind w:left="734"/>
        <w:jc w:val="left"/>
        <w:rPr>
          <w:sz w:val="22"/>
          <w:szCs w:val="22"/>
        </w:rPr>
      </w:pPr>
      <w:r w:rsidRPr="00FD2671">
        <w:rPr>
          <w:sz w:val="22"/>
          <w:szCs w:val="22"/>
        </w:rPr>
        <w:t>Mise en œuvre des microprojets d’assainissement de base reposant sur la demande des ménages et sur une gamme variée de technologies adaptées (techniquement et financièrement);</w:t>
      </w:r>
    </w:p>
    <w:p w:rsidR="00FD2671" w:rsidRPr="00FD2671" w:rsidRDefault="00FD2671" w:rsidP="00482DC5">
      <w:pPr>
        <w:numPr>
          <w:ilvl w:val="0"/>
          <w:numId w:val="18"/>
        </w:numPr>
        <w:spacing w:before="0"/>
        <w:ind w:left="734"/>
        <w:jc w:val="left"/>
        <w:rPr>
          <w:sz w:val="22"/>
          <w:szCs w:val="22"/>
        </w:rPr>
      </w:pPr>
      <w:r w:rsidRPr="00FD2671">
        <w:rPr>
          <w:sz w:val="22"/>
          <w:szCs w:val="22"/>
        </w:rPr>
        <w:t>Accroître le taux de recouvrement des coûts auprès des usagers/bénéficiaires en adoptant des modalités de paiement, y compris en nature (force de travail) adaptés à leurs contraintes et conditions de vie;</w:t>
      </w:r>
    </w:p>
    <w:p w:rsidR="00FD2671" w:rsidRPr="00083723" w:rsidRDefault="00FD2671" w:rsidP="00482DC5">
      <w:pPr>
        <w:numPr>
          <w:ilvl w:val="0"/>
          <w:numId w:val="18"/>
        </w:numPr>
        <w:spacing w:before="0"/>
        <w:ind w:left="734"/>
        <w:jc w:val="left"/>
        <w:rPr>
          <w:sz w:val="22"/>
          <w:szCs w:val="22"/>
        </w:rPr>
      </w:pPr>
      <w:r w:rsidRPr="00FD2671">
        <w:rPr>
          <w:sz w:val="22"/>
          <w:szCs w:val="22"/>
        </w:rPr>
        <w:t>Réduire le coût total des subventions de l’Etat (lorsque celles-ci sont justifiées) grâce à une meilleure connaissance du profil de la demande, et à un meilleur ciblage des bénéficiaires.</w:t>
      </w:r>
    </w:p>
    <w:p w:rsidR="00FD2671" w:rsidRPr="00FD2671" w:rsidRDefault="00FD2671" w:rsidP="00083723">
      <w:pPr>
        <w:ind w:left="360"/>
        <w:jc w:val="left"/>
        <w:rPr>
          <w:sz w:val="22"/>
          <w:szCs w:val="22"/>
        </w:rPr>
      </w:pPr>
      <w:r w:rsidRPr="00FD2671">
        <w:rPr>
          <w:sz w:val="22"/>
          <w:szCs w:val="22"/>
        </w:rPr>
        <w:t>Toutefois, l’Etat et les communes devront financer la construction d’infrastructures prioritaires et assurer la promotion les changements de comportements permettant l’évacuation saine des déchets solides et liquides.  Ainsi, il est recommandé les investissements ci-après:</w:t>
      </w:r>
    </w:p>
    <w:p w:rsidR="00FD2671" w:rsidRPr="00FD2671" w:rsidRDefault="00FD2671" w:rsidP="00482DC5">
      <w:pPr>
        <w:numPr>
          <w:ilvl w:val="0"/>
          <w:numId w:val="19"/>
        </w:numPr>
        <w:spacing w:before="0"/>
        <w:ind w:left="734"/>
        <w:jc w:val="left"/>
        <w:rPr>
          <w:sz w:val="22"/>
          <w:szCs w:val="22"/>
        </w:rPr>
      </w:pPr>
      <w:r w:rsidRPr="00FD2671">
        <w:rPr>
          <w:sz w:val="22"/>
          <w:szCs w:val="22"/>
        </w:rPr>
        <w:t>Etendre le réseau de drainage des eaux pluviales aux quartiers les plus exposés aux inondations dans les quartiers à trame régulière;</w:t>
      </w:r>
    </w:p>
    <w:p w:rsidR="00FD2671" w:rsidRPr="00FD2671" w:rsidRDefault="00FD2671" w:rsidP="00482DC5">
      <w:pPr>
        <w:numPr>
          <w:ilvl w:val="0"/>
          <w:numId w:val="19"/>
        </w:numPr>
        <w:spacing w:before="0"/>
        <w:ind w:left="734"/>
        <w:jc w:val="left"/>
        <w:rPr>
          <w:sz w:val="22"/>
          <w:szCs w:val="22"/>
        </w:rPr>
      </w:pPr>
      <w:r w:rsidRPr="00FD2671">
        <w:rPr>
          <w:sz w:val="22"/>
          <w:szCs w:val="22"/>
        </w:rPr>
        <w:t>Dans les quartiers précaires adopter toute mesure de prévention des inondations qui s’avère adaptée au niveau individuel ou communautaire;</w:t>
      </w:r>
    </w:p>
    <w:p w:rsidR="00FD2671" w:rsidRPr="00FD2671" w:rsidRDefault="00FD2671" w:rsidP="00482DC5">
      <w:pPr>
        <w:numPr>
          <w:ilvl w:val="0"/>
          <w:numId w:val="19"/>
        </w:numPr>
        <w:spacing w:before="0"/>
        <w:ind w:left="734"/>
        <w:jc w:val="left"/>
        <w:rPr>
          <w:sz w:val="22"/>
          <w:szCs w:val="22"/>
        </w:rPr>
      </w:pPr>
      <w:r w:rsidRPr="00FD2671">
        <w:rPr>
          <w:sz w:val="22"/>
          <w:szCs w:val="22"/>
        </w:rPr>
        <w:t>Conduire des campagnes de sensibilisation visant à prévenir l’utilisation des caniveaux comme exutoires pour les déchets domestiques, et promouvoir la responsabilisation des riverains dans l’entretien de ces émissaires;</w:t>
      </w:r>
    </w:p>
    <w:p w:rsidR="00FD2671" w:rsidRDefault="00FD2671" w:rsidP="00482DC5">
      <w:pPr>
        <w:numPr>
          <w:ilvl w:val="0"/>
          <w:numId w:val="19"/>
        </w:numPr>
        <w:spacing w:before="0"/>
        <w:ind w:left="734"/>
        <w:jc w:val="left"/>
        <w:rPr>
          <w:sz w:val="22"/>
          <w:szCs w:val="22"/>
        </w:rPr>
      </w:pPr>
      <w:r w:rsidRPr="00FD2671">
        <w:rPr>
          <w:sz w:val="22"/>
          <w:szCs w:val="22"/>
        </w:rPr>
        <w:t>Construire une station d’épuration dans chacune des villes secondaires pour le traitement des boues de vidange; la ville de Bamako aura besoin de 2 stations sur chacune des rives du fleuve.</w:t>
      </w:r>
    </w:p>
    <w:p w:rsidR="00083723" w:rsidRPr="00083723" w:rsidRDefault="00083723" w:rsidP="00083723">
      <w:pPr>
        <w:spacing w:before="0"/>
        <w:ind w:left="734"/>
        <w:jc w:val="left"/>
        <w:rPr>
          <w:sz w:val="22"/>
          <w:szCs w:val="22"/>
        </w:rPr>
      </w:pPr>
    </w:p>
    <w:p w:rsidR="00FD2671" w:rsidRPr="00FD2671" w:rsidRDefault="00FD2671" w:rsidP="00482DC5">
      <w:pPr>
        <w:pStyle w:val="ListParagraph"/>
        <w:numPr>
          <w:ilvl w:val="0"/>
          <w:numId w:val="23"/>
        </w:numPr>
        <w:rPr>
          <w:b/>
          <w:sz w:val="22"/>
          <w:szCs w:val="22"/>
        </w:rPr>
      </w:pPr>
      <w:bookmarkStart w:id="6" w:name="_Toc288596202"/>
      <w:r w:rsidRPr="00FD2671">
        <w:rPr>
          <w:b/>
          <w:sz w:val="22"/>
          <w:szCs w:val="22"/>
        </w:rPr>
        <w:t>Amélioration de la qualité de l’air</w:t>
      </w:r>
      <w:bookmarkEnd w:id="6"/>
    </w:p>
    <w:p w:rsidR="00FD2671" w:rsidRPr="00FD2671" w:rsidRDefault="00FD2671" w:rsidP="00FD2671">
      <w:pPr>
        <w:ind w:left="0"/>
        <w:jc w:val="left"/>
        <w:rPr>
          <w:sz w:val="22"/>
          <w:szCs w:val="22"/>
        </w:rPr>
      </w:pPr>
      <w:r w:rsidRPr="00FD2671">
        <w:rPr>
          <w:sz w:val="22"/>
          <w:szCs w:val="22"/>
        </w:rPr>
        <w:t xml:space="preserve">La pollution atmosphérique à Bamako est un problème majeur de dégradation environnementale et de santé publique.  Cette pollution a deux sources principales: le transport motorisé et le combustible ligneux utilisé comme énergie domestique.  Les actions prioritaires recommandées sont: </w:t>
      </w:r>
    </w:p>
    <w:p w:rsidR="00FD2671" w:rsidRPr="00FD2671" w:rsidRDefault="00FD2671" w:rsidP="00E34694">
      <w:pPr>
        <w:numPr>
          <w:ilvl w:val="0"/>
          <w:numId w:val="9"/>
        </w:numPr>
        <w:spacing w:before="0"/>
        <w:ind w:left="634"/>
        <w:jc w:val="left"/>
        <w:rPr>
          <w:sz w:val="22"/>
          <w:szCs w:val="22"/>
        </w:rPr>
      </w:pPr>
      <w:r w:rsidRPr="00FD2671">
        <w:rPr>
          <w:sz w:val="22"/>
          <w:szCs w:val="22"/>
        </w:rPr>
        <w:t xml:space="preserve">Engager une négociation au niveau régional (comme cela a été le cas pour l’essence sans plomb) pour amener les raffineries à remplacer le gasoil à 10 000 ppm pour les véhicules et le résidentiel et tertiaire par du gasoil à 50 ppm en soufre; </w:t>
      </w:r>
    </w:p>
    <w:p w:rsidR="00FD2671" w:rsidRPr="00FD2671" w:rsidRDefault="00FD2671" w:rsidP="00E34694">
      <w:pPr>
        <w:numPr>
          <w:ilvl w:val="0"/>
          <w:numId w:val="9"/>
        </w:numPr>
        <w:spacing w:before="0"/>
        <w:ind w:left="634"/>
        <w:jc w:val="left"/>
        <w:rPr>
          <w:sz w:val="22"/>
          <w:szCs w:val="22"/>
        </w:rPr>
      </w:pPr>
      <w:r w:rsidRPr="00FD2671">
        <w:rPr>
          <w:sz w:val="22"/>
          <w:szCs w:val="22"/>
        </w:rPr>
        <w:t>Envisager l’interdiction de l’usage du fuel lourd et proposer son remplacement par du gasoil 10000, ce qui se traduirait par une diminution de 75 % des émissions de SO</w:t>
      </w:r>
      <w:r w:rsidRPr="00FD2671">
        <w:rPr>
          <w:sz w:val="22"/>
          <w:szCs w:val="22"/>
          <w:vertAlign w:val="subscript"/>
        </w:rPr>
        <w:t>2</w:t>
      </w:r>
      <w:r w:rsidRPr="00FD2671">
        <w:rPr>
          <w:sz w:val="22"/>
          <w:szCs w:val="22"/>
        </w:rPr>
        <w:t>;</w:t>
      </w:r>
    </w:p>
    <w:p w:rsidR="00FD2671" w:rsidRPr="00FD2671" w:rsidRDefault="00FD2671" w:rsidP="00E34694">
      <w:pPr>
        <w:numPr>
          <w:ilvl w:val="0"/>
          <w:numId w:val="9"/>
        </w:numPr>
        <w:spacing w:before="0"/>
        <w:ind w:left="634"/>
        <w:jc w:val="left"/>
        <w:rPr>
          <w:sz w:val="22"/>
          <w:szCs w:val="22"/>
        </w:rPr>
      </w:pPr>
      <w:r w:rsidRPr="00FD2671">
        <w:rPr>
          <w:sz w:val="22"/>
          <w:szCs w:val="22"/>
        </w:rPr>
        <w:t>Adopter une législation relative aux normes de la qualité de l’air et un régime douanier et fiscal qui décourage l’importation des véhicules d’un âge trop avancé, et assurer le respect strict de ces dispositions légales;</w:t>
      </w:r>
    </w:p>
    <w:p w:rsidR="00FD2671" w:rsidRPr="00FD2671" w:rsidRDefault="00FD2671" w:rsidP="00E34694">
      <w:pPr>
        <w:numPr>
          <w:ilvl w:val="0"/>
          <w:numId w:val="9"/>
        </w:numPr>
        <w:spacing w:before="0"/>
        <w:ind w:left="634"/>
        <w:jc w:val="left"/>
        <w:rPr>
          <w:sz w:val="22"/>
          <w:szCs w:val="22"/>
        </w:rPr>
      </w:pPr>
      <w:r w:rsidRPr="00FD2671">
        <w:rPr>
          <w:sz w:val="22"/>
          <w:szCs w:val="22"/>
        </w:rPr>
        <w:t>Adopter un plan de gestion du transit urbain de Bamako qui intègre la gestion de la qualité de l’air (voirie, transport en commun viable grâce à des mesures incitatives ciblées pour le secteur privé);</w:t>
      </w:r>
    </w:p>
    <w:p w:rsidR="00FD2671" w:rsidRDefault="00FD2671" w:rsidP="00E34694">
      <w:pPr>
        <w:numPr>
          <w:ilvl w:val="0"/>
          <w:numId w:val="9"/>
        </w:numPr>
        <w:spacing w:before="0"/>
        <w:ind w:left="634"/>
        <w:jc w:val="left"/>
        <w:rPr>
          <w:sz w:val="22"/>
          <w:szCs w:val="22"/>
        </w:rPr>
      </w:pPr>
      <w:r w:rsidRPr="00FD2671">
        <w:rPr>
          <w:sz w:val="22"/>
          <w:szCs w:val="22"/>
        </w:rPr>
        <w:t>Promouvoir plus vigoureusement l’utilisation des foyers améliorés, et/ou promotion de la substitution du combustible ligneux par des sources d’énergie moderne.</w:t>
      </w:r>
    </w:p>
    <w:p w:rsidR="00083723" w:rsidRPr="00FD2671" w:rsidRDefault="00083723" w:rsidP="00083723">
      <w:pPr>
        <w:spacing w:before="0"/>
        <w:ind w:left="634"/>
        <w:jc w:val="left"/>
        <w:rPr>
          <w:sz w:val="22"/>
          <w:szCs w:val="22"/>
        </w:rPr>
      </w:pPr>
    </w:p>
    <w:p w:rsidR="00FD2671" w:rsidRPr="00FD2671" w:rsidRDefault="00FD2671" w:rsidP="00482DC5">
      <w:pPr>
        <w:pStyle w:val="ListParagraph"/>
        <w:numPr>
          <w:ilvl w:val="0"/>
          <w:numId w:val="23"/>
        </w:numPr>
        <w:rPr>
          <w:b/>
          <w:sz w:val="22"/>
          <w:szCs w:val="22"/>
        </w:rPr>
      </w:pPr>
      <w:bookmarkStart w:id="7" w:name="_Toc288596203"/>
      <w:r w:rsidRPr="00FD2671">
        <w:rPr>
          <w:b/>
          <w:sz w:val="22"/>
          <w:szCs w:val="22"/>
        </w:rPr>
        <w:t>Accroître l’efficacité de la gestion du foncier urbain</w:t>
      </w:r>
      <w:bookmarkEnd w:id="7"/>
    </w:p>
    <w:p w:rsidR="00FD2671" w:rsidRPr="00FD2671" w:rsidRDefault="00FD2671" w:rsidP="00FD2671">
      <w:pPr>
        <w:ind w:left="0"/>
        <w:jc w:val="left"/>
        <w:rPr>
          <w:sz w:val="22"/>
          <w:szCs w:val="22"/>
        </w:rPr>
      </w:pPr>
      <w:r w:rsidRPr="00FD2671">
        <w:rPr>
          <w:sz w:val="22"/>
          <w:szCs w:val="22"/>
        </w:rPr>
        <w:t>L’amélioration de l’efficacité de la gestion du foncier urbain en harmonie avec la valorisation effective des ressources foncières, la réduction de la précarité économique et sociale des pauvres, et avec la protection de la qualité de l’environnement urbain exige que l’Etat et les municipalités adoptent et mettent en œuvre une série de trois mesures complémentaires:</w:t>
      </w:r>
    </w:p>
    <w:p w:rsidR="00FD2671" w:rsidRPr="00FD2671" w:rsidRDefault="00FD2671" w:rsidP="00482DC5">
      <w:pPr>
        <w:numPr>
          <w:ilvl w:val="0"/>
          <w:numId w:val="16"/>
        </w:numPr>
        <w:spacing w:before="0"/>
        <w:ind w:left="734"/>
        <w:jc w:val="left"/>
        <w:rPr>
          <w:sz w:val="22"/>
          <w:szCs w:val="22"/>
        </w:rPr>
      </w:pPr>
      <w:r w:rsidRPr="00FD2671">
        <w:rPr>
          <w:sz w:val="22"/>
          <w:szCs w:val="22"/>
        </w:rPr>
        <w:t xml:space="preserve">Une réglementation foncière urbaine qui (i) génère les ressources indispensables au financement de la viabilisation des terrains de logements et la restructuration </w:t>
      </w:r>
      <w:r w:rsidRPr="00FD2671">
        <w:rPr>
          <w:i/>
          <w:sz w:val="22"/>
          <w:szCs w:val="22"/>
        </w:rPr>
        <w:t>in situ</w:t>
      </w:r>
      <w:r w:rsidRPr="00FD2671">
        <w:rPr>
          <w:sz w:val="22"/>
          <w:szCs w:val="22"/>
        </w:rPr>
        <w:t xml:space="preserve"> des quartiers précaires, (ii) assure l’incitation des opérateurs privés à investir dans l’offre de logements urbains, et (iii) garantit le strict respect du zonage et des plans d’urbanisme;</w:t>
      </w:r>
    </w:p>
    <w:p w:rsidR="00FD2671" w:rsidRPr="00FD2671" w:rsidRDefault="00FD2671" w:rsidP="00482DC5">
      <w:pPr>
        <w:numPr>
          <w:ilvl w:val="0"/>
          <w:numId w:val="16"/>
        </w:numPr>
        <w:spacing w:before="0"/>
        <w:ind w:left="734"/>
        <w:jc w:val="left"/>
        <w:rPr>
          <w:sz w:val="22"/>
          <w:szCs w:val="22"/>
        </w:rPr>
      </w:pPr>
      <w:r w:rsidRPr="00FD2671">
        <w:rPr>
          <w:sz w:val="22"/>
          <w:szCs w:val="22"/>
        </w:rPr>
        <w:t>La viabilisation des terres urbaines pour promouvoir l’offre des logements par le secteur privé;</w:t>
      </w:r>
    </w:p>
    <w:p w:rsidR="00FD2671" w:rsidRPr="00FD2671" w:rsidRDefault="00FD2671" w:rsidP="00482DC5">
      <w:pPr>
        <w:numPr>
          <w:ilvl w:val="0"/>
          <w:numId w:val="16"/>
        </w:numPr>
        <w:spacing w:before="0"/>
        <w:ind w:left="734"/>
        <w:jc w:val="left"/>
        <w:rPr>
          <w:sz w:val="22"/>
          <w:szCs w:val="22"/>
        </w:rPr>
      </w:pPr>
      <w:r w:rsidRPr="00FD2671">
        <w:rPr>
          <w:sz w:val="22"/>
          <w:szCs w:val="22"/>
        </w:rPr>
        <w:t xml:space="preserve">La restructuration </w:t>
      </w:r>
      <w:r w:rsidRPr="00FD2671">
        <w:rPr>
          <w:i/>
          <w:sz w:val="22"/>
          <w:szCs w:val="22"/>
        </w:rPr>
        <w:t>in situ</w:t>
      </w:r>
      <w:r w:rsidRPr="00FD2671">
        <w:rPr>
          <w:sz w:val="22"/>
          <w:szCs w:val="22"/>
        </w:rPr>
        <w:t xml:space="preserve"> des quartiers précaires basée sur la reconnaissance des droits de propriété </w:t>
      </w:r>
      <w:r w:rsidRPr="00FD2671">
        <w:rPr>
          <w:i/>
          <w:sz w:val="22"/>
          <w:szCs w:val="22"/>
        </w:rPr>
        <w:t>de facto</w:t>
      </w:r>
      <w:r w:rsidRPr="00FD2671">
        <w:rPr>
          <w:sz w:val="22"/>
          <w:szCs w:val="22"/>
        </w:rPr>
        <w:t xml:space="preserve"> des populations qui y résident, et avec la participation effective de ces populations.</w:t>
      </w:r>
    </w:p>
    <w:p w:rsidR="00FD2671" w:rsidRPr="00FD2671" w:rsidRDefault="00FD2671" w:rsidP="00FD2671">
      <w:pPr>
        <w:ind w:left="0"/>
        <w:jc w:val="left"/>
        <w:rPr>
          <w:sz w:val="22"/>
          <w:szCs w:val="22"/>
        </w:rPr>
      </w:pPr>
    </w:p>
    <w:p w:rsidR="00FD2671" w:rsidRPr="00FD2671" w:rsidRDefault="00FD2671" w:rsidP="00482DC5">
      <w:pPr>
        <w:pStyle w:val="ListParagraph"/>
        <w:numPr>
          <w:ilvl w:val="0"/>
          <w:numId w:val="23"/>
        </w:numPr>
        <w:rPr>
          <w:b/>
          <w:sz w:val="22"/>
          <w:szCs w:val="22"/>
        </w:rPr>
      </w:pPr>
      <w:bookmarkStart w:id="8" w:name="_Toc288596204"/>
      <w:r w:rsidRPr="00FD2671">
        <w:rPr>
          <w:b/>
          <w:sz w:val="22"/>
          <w:szCs w:val="22"/>
        </w:rPr>
        <w:t>Changement climatique, environnement et développement urbain au Mali</w:t>
      </w:r>
      <w:bookmarkEnd w:id="8"/>
    </w:p>
    <w:p w:rsidR="00FD2671" w:rsidRPr="00FD2671" w:rsidRDefault="00FD2671" w:rsidP="00FD2671">
      <w:pPr>
        <w:ind w:left="0"/>
        <w:jc w:val="left"/>
        <w:rPr>
          <w:sz w:val="22"/>
          <w:szCs w:val="22"/>
        </w:rPr>
      </w:pPr>
      <w:r w:rsidRPr="00FD2671">
        <w:rPr>
          <w:sz w:val="22"/>
          <w:szCs w:val="22"/>
        </w:rPr>
        <w:t>Au vu des effets du changement climatique qui sont généralement présentés comme étant ceux que les pays du Sahel devront affronter, l’Etat et les collectivités territoriales doivent se préparer à adopter deux types principaux de mesures d’adaptation.  Le premier type consiste en fait à des mesures ordinaires de développement urbain efficace.  Il s’agit par exemple, d’une gestion efficace et dynamique du foncier urbain, de l’extension et de l’entretien efficace du réseau de drainage des eaux pluviales (ou d’exutoires naturels), ou du renforcement de la capacité des municipalités et des services de l’Etat dans la prévention et la gestion des catastrophes naturelles (inondations).</w:t>
      </w:r>
    </w:p>
    <w:p w:rsidR="00FD2671" w:rsidRPr="00FD2671" w:rsidRDefault="00FD2671" w:rsidP="00FD2671">
      <w:pPr>
        <w:ind w:left="0"/>
        <w:jc w:val="left"/>
        <w:rPr>
          <w:sz w:val="22"/>
          <w:szCs w:val="22"/>
        </w:rPr>
      </w:pPr>
      <w:r w:rsidRPr="00FD2671">
        <w:rPr>
          <w:sz w:val="22"/>
          <w:szCs w:val="22"/>
        </w:rPr>
        <w:t>Le deuxième type de mesures consiste en des investissements additionnels visant à réduire les effets néfastes du changement climatique.  Trois mesures spécifiques sont recommandées : Assurer l’entretien régulier des exutoires naturels et des caniveaux sur toute l’étendue des territoires des collectivités territoriales urbaines;</w:t>
      </w:r>
    </w:p>
    <w:p w:rsidR="00FD2671" w:rsidRPr="00FD2671" w:rsidRDefault="00FD2671" w:rsidP="00482DC5">
      <w:pPr>
        <w:numPr>
          <w:ilvl w:val="0"/>
          <w:numId w:val="15"/>
        </w:numPr>
        <w:spacing w:before="0"/>
        <w:ind w:left="734"/>
        <w:jc w:val="left"/>
        <w:rPr>
          <w:sz w:val="22"/>
          <w:szCs w:val="22"/>
        </w:rPr>
      </w:pPr>
      <w:r w:rsidRPr="00FD2671">
        <w:rPr>
          <w:sz w:val="22"/>
          <w:szCs w:val="22"/>
        </w:rPr>
        <w:t>Mettre en place un plan national de sécurité d’approvisionnement en eau potable des centres urbains permettant;</w:t>
      </w:r>
    </w:p>
    <w:p w:rsidR="00FD2671" w:rsidRPr="00FD2671" w:rsidRDefault="00FD2671" w:rsidP="00482DC5">
      <w:pPr>
        <w:numPr>
          <w:ilvl w:val="0"/>
          <w:numId w:val="15"/>
        </w:numPr>
        <w:spacing w:before="0"/>
        <w:ind w:left="734"/>
        <w:jc w:val="left"/>
        <w:rPr>
          <w:sz w:val="22"/>
          <w:szCs w:val="22"/>
        </w:rPr>
      </w:pPr>
      <w:r w:rsidRPr="00FD2671">
        <w:rPr>
          <w:sz w:val="22"/>
          <w:szCs w:val="22"/>
        </w:rPr>
        <w:t>Intégrer les effets du changement climatique dans l’analyse des risques appliquée à la gestion de la sécurité des barrages;</w:t>
      </w:r>
    </w:p>
    <w:p w:rsidR="00FD2671" w:rsidRPr="00FD2671" w:rsidRDefault="00FD2671" w:rsidP="00482DC5">
      <w:pPr>
        <w:numPr>
          <w:ilvl w:val="0"/>
          <w:numId w:val="15"/>
        </w:numPr>
        <w:spacing w:before="0"/>
        <w:ind w:left="734"/>
        <w:jc w:val="left"/>
        <w:rPr>
          <w:sz w:val="22"/>
          <w:szCs w:val="22"/>
        </w:rPr>
      </w:pPr>
      <w:r w:rsidRPr="00FD2671">
        <w:rPr>
          <w:sz w:val="22"/>
          <w:szCs w:val="22"/>
        </w:rPr>
        <w:t>Développer les expertises indispensables à la mise en œuvre efficace de ces deux mesures.</w:t>
      </w:r>
    </w:p>
    <w:p w:rsidR="00FD2671" w:rsidRPr="00FD2671" w:rsidRDefault="00FD2671" w:rsidP="00FD2671">
      <w:pPr>
        <w:ind w:left="0"/>
        <w:jc w:val="left"/>
        <w:rPr>
          <w:sz w:val="22"/>
          <w:szCs w:val="22"/>
        </w:rPr>
      </w:pPr>
    </w:p>
    <w:p w:rsidR="00083723" w:rsidRDefault="00FD2671" w:rsidP="00482DC5">
      <w:pPr>
        <w:pStyle w:val="ListParagraph"/>
        <w:numPr>
          <w:ilvl w:val="0"/>
          <w:numId w:val="23"/>
        </w:numPr>
        <w:rPr>
          <w:b/>
          <w:sz w:val="22"/>
          <w:szCs w:val="22"/>
        </w:rPr>
      </w:pPr>
      <w:bookmarkStart w:id="9" w:name="_Toc288596205"/>
      <w:r w:rsidRPr="00FD2671">
        <w:rPr>
          <w:b/>
          <w:sz w:val="22"/>
          <w:szCs w:val="22"/>
        </w:rPr>
        <w:t>Financement et choix des investissements</w:t>
      </w:r>
      <w:bookmarkEnd w:id="9"/>
      <w:r w:rsidR="00083723">
        <w:rPr>
          <w:b/>
          <w:sz w:val="22"/>
          <w:szCs w:val="22"/>
        </w:rPr>
        <w:t xml:space="preserve"> </w:t>
      </w:r>
    </w:p>
    <w:p w:rsidR="00083723" w:rsidRPr="00083723" w:rsidRDefault="00FD2671" w:rsidP="00083723">
      <w:pPr>
        <w:pStyle w:val="ListParagraph"/>
        <w:numPr>
          <w:ilvl w:val="0"/>
          <w:numId w:val="0"/>
        </w:numPr>
        <w:ind w:left="360"/>
        <w:rPr>
          <w:b/>
          <w:sz w:val="22"/>
          <w:szCs w:val="22"/>
        </w:rPr>
      </w:pPr>
      <w:r w:rsidRPr="00083723">
        <w:rPr>
          <w:sz w:val="22"/>
          <w:szCs w:val="22"/>
        </w:rPr>
        <w:t>L’amélioration de la qualité de l’environnement et du cadre de vie dans les villes maliennes nécessitera des investissements importants dans la construction d’infrastructures et d’équipements requis pour assurer une couverture adéquate des populations en services de base.  Les niveaux actuels d’investissements sont largement en-de</w:t>
      </w:r>
      <w:r w:rsidR="00860521">
        <w:rPr>
          <w:sz w:val="22"/>
          <w:szCs w:val="22"/>
        </w:rPr>
        <w:t>ssous</w:t>
      </w:r>
      <w:r w:rsidRPr="00083723">
        <w:rPr>
          <w:sz w:val="22"/>
          <w:szCs w:val="22"/>
        </w:rPr>
        <w:t xml:space="preserve"> des besoins.  </w:t>
      </w:r>
    </w:p>
    <w:p w:rsidR="00FD2671" w:rsidRPr="00083723" w:rsidRDefault="00083723" w:rsidP="00482DC5">
      <w:pPr>
        <w:pStyle w:val="ListParagraph"/>
        <w:numPr>
          <w:ilvl w:val="1"/>
          <w:numId w:val="23"/>
        </w:numPr>
        <w:ind w:left="803"/>
        <w:rPr>
          <w:b/>
          <w:sz w:val="22"/>
          <w:szCs w:val="22"/>
        </w:rPr>
      </w:pPr>
      <w:r>
        <w:rPr>
          <w:b/>
          <w:i/>
          <w:sz w:val="22"/>
          <w:szCs w:val="22"/>
        </w:rPr>
        <w:t xml:space="preserve">Mobilisation des ressources.  </w:t>
      </w:r>
      <w:r w:rsidR="00FD2671" w:rsidRPr="00083723">
        <w:rPr>
          <w:sz w:val="22"/>
          <w:szCs w:val="22"/>
        </w:rPr>
        <w:t xml:space="preserve">Afin d’accroître le volume des investissements, les efforts accrus de mobilisation des ressources devraient porter sur les axes suivants: </w:t>
      </w:r>
    </w:p>
    <w:p w:rsidR="00FD2671" w:rsidRPr="00FD2671" w:rsidRDefault="00FD2671" w:rsidP="00482DC5">
      <w:pPr>
        <w:numPr>
          <w:ilvl w:val="0"/>
          <w:numId w:val="20"/>
        </w:numPr>
        <w:spacing w:before="0"/>
        <w:jc w:val="left"/>
        <w:rPr>
          <w:sz w:val="22"/>
          <w:szCs w:val="22"/>
        </w:rPr>
      </w:pPr>
      <w:r w:rsidRPr="00FD2671">
        <w:rPr>
          <w:sz w:val="22"/>
          <w:szCs w:val="22"/>
        </w:rPr>
        <w:t>Evaluer et de consolider la base de leurs recettes fiscales municipales, et identifier les meilleurs options pour accroitre le rendement de l’assiette fiscale des municipalités, y compris par la valorisation des redevances et taxes applicables aux services environnementaux;</w:t>
      </w:r>
    </w:p>
    <w:p w:rsidR="00FD2671" w:rsidRPr="00FD2671" w:rsidRDefault="00FD2671" w:rsidP="00482DC5">
      <w:pPr>
        <w:numPr>
          <w:ilvl w:val="0"/>
          <w:numId w:val="20"/>
        </w:numPr>
        <w:spacing w:before="0"/>
        <w:jc w:val="left"/>
        <w:rPr>
          <w:sz w:val="22"/>
          <w:szCs w:val="22"/>
        </w:rPr>
      </w:pPr>
      <w:r w:rsidRPr="00FD2671">
        <w:rPr>
          <w:sz w:val="22"/>
          <w:szCs w:val="22"/>
        </w:rPr>
        <w:t>Accroître les allocations du budget nationale au financement des plans stratégiques d’assainissement des villes;</w:t>
      </w:r>
    </w:p>
    <w:p w:rsidR="00FD2671" w:rsidRPr="00FD2671" w:rsidRDefault="00FD2671" w:rsidP="00482DC5">
      <w:pPr>
        <w:numPr>
          <w:ilvl w:val="0"/>
          <w:numId w:val="20"/>
        </w:numPr>
        <w:spacing w:before="0"/>
        <w:jc w:val="left"/>
        <w:rPr>
          <w:sz w:val="22"/>
          <w:szCs w:val="22"/>
        </w:rPr>
      </w:pPr>
      <w:r w:rsidRPr="00FD2671">
        <w:rPr>
          <w:sz w:val="22"/>
          <w:szCs w:val="22"/>
        </w:rPr>
        <w:t>Entreprendre une série d’études économiques visant à mieux évaluer les besoins de financement, et à orienter le choix des investissements prioritaires:</w:t>
      </w:r>
    </w:p>
    <w:p w:rsidR="00FD2671" w:rsidRPr="00FD2671" w:rsidRDefault="00FD2671" w:rsidP="00482DC5">
      <w:pPr>
        <w:numPr>
          <w:ilvl w:val="1"/>
          <w:numId w:val="20"/>
        </w:numPr>
        <w:spacing w:before="0"/>
        <w:jc w:val="left"/>
        <w:rPr>
          <w:sz w:val="22"/>
          <w:szCs w:val="22"/>
        </w:rPr>
      </w:pPr>
      <w:r w:rsidRPr="00FD2671">
        <w:rPr>
          <w:sz w:val="22"/>
          <w:szCs w:val="22"/>
        </w:rPr>
        <w:t>Revue des dépenses publiques des infrastructures et services environnementaux urbains</w:t>
      </w:r>
    </w:p>
    <w:p w:rsidR="00FD2671" w:rsidRPr="00FD2671" w:rsidRDefault="00FD2671" w:rsidP="00482DC5">
      <w:pPr>
        <w:numPr>
          <w:ilvl w:val="1"/>
          <w:numId w:val="20"/>
        </w:numPr>
        <w:spacing w:before="0"/>
        <w:jc w:val="left"/>
        <w:rPr>
          <w:sz w:val="22"/>
          <w:szCs w:val="22"/>
        </w:rPr>
      </w:pPr>
      <w:r w:rsidRPr="00FD2671">
        <w:rPr>
          <w:sz w:val="22"/>
          <w:szCs w:val="22"/>
        </w:rPr>
        <w:t>Evaluation économique de l’impact de la dégradation de l’environnement urbain</w:t>
      </w:r>
    </w:p>
    <w:p w:rsidR="00FD2671" w:rsidRPr="00FD2671" w:rsidRDefault="00FD2671" w:rsidP="00482DC5">
      <w:pPr>
        <w:numPr>
          <w:ilvl w:val="1"/>
          <w:numId w:val="20"/>
        </w:numPr>
        <w:spacing w:before="0"/>
        <w:jc w:val="left"/>
        <w:rPr>
          <w:sz w:val="22"/>
          <w:szCs w:val="22"/>
        </w:rPr>
      </w:pPr>
      <w:r w:rsidRPr="00FD2671">
        <w:rPr>
          <w:sz w:val="22"/>
          <w:szCs w:val="22"/>
        </w:rPr>
        <w:t>Analyse coût-avantage des principales catégories d’investissements en infrastructures et services environnementaux de base.</w:t>
      </w:r>
    </w:p>
    <w:p w:rsidR="00FD2671" w:rsidRPr="00083723" w:rsidRDefault="00FD2671" w:rsidP="00482DC5">
      <w:pPr>
        <w:pStyle w:val="ListParagraph"/>
        <w:numPr>
          <w:ilvl w:val="1"/>
          <w:numId w:val="23"/>
        </w:numPr>
        <w:rPr>
          <w:sz w:val="22"/>
          <w:szCs w:val="22"/>
        </w:rPr>
      </w:pPr>
      <w:r w:rsidRPr="00083723">
        <w:rPr>
          <w:b/>
          <w:i/>
          <w:sz w:val="22"/>
          <w:szCs w:val="22"/>
        </w:rPr>
        <w:t>Accroissement de l’efficacité des dépenses publiques</w:t>
      </w:r>
      <w:r w:rsidR="00083723">
        <w:rPr>
          <w:b/>
          <w:i/>
          <w:sz w:val="22"/>
          <w:szCs w:val="22"/>
        </w:rPr>
        <w:t xml:space="preserve">. </w:t>
      </w:r>
      <w:r w:rsidRPr="00083723">
        <w:rPr>
          <w:sz w:val="22"/>
          <w:szCs w:val="22"/>
        </w:rPr>
        <w:t xml:space="preserve"> L’augmentation du volume des investissements est une condition nécessaire mais pas suffisante de l’amélioration de la qualité de l’environnement dans les villes maliennes.  Il faut en plus que ces investissements additionnels produisent le maximum d’impacts recherchés au moindre coût.  Au minimum, cette exigence d’efficacité requiert des actions concertées de l’Etat et des municipalités dans les domaines ci-après: </w:t>
      </w:r>
    </w:p>
    <w:p w:rsidR="00FD2671" w:rsidRPr="00FD2671" w:rsidRDefault="00FD2671" w:rsidP="00482DC5">
      <w:pPr>
        <w:numPr>
          <w:ilvl w:val="0"/>
          <w:numId w:val="22"/>
        </w:numPr>
        <w:spacing w:before="0"/>
        <w:jc w:val="left"/>
        <w:rPr>
          <w:sz w:val="22"/>
          <w:szCs w:val="22"/>
        </w:rPr>
      </w:pPr>
      <w:r w:rsidRPr="00FD2671">
        <w:rPr>
          <w:sz w:val="22"/>
          <w:szCs w:val="22"/>
        </w:rPr>
        <w:t>Renforcer les capacités des municipalités en personnel qualifié en nombre suffisant (gestion financière et comptable, gestion des marchés publics, suivi-évaluation des investissements, etc.);</w:t>
      </w:r>
    </w:p>
    <w:p w:rsidR="00FD2671" w:rsidRPr="00FD2671" w:rsidRDefault="00FD2671" w:rsidP="00482DC5">
      <w:pPr>
        <w:numPr>
          <w:ilvl w:val="0"/>
          <w:numId w:val="22"/>
        </w:numPr>
        <w:spacing w:before="0"/>
        <w:jc w:val="left"/>
        <w:rPr>
          <w:sz w:val="22"/>
          <w:szCs w:val="22"/>
        </w:rPr>
      </w:pPr>
      <w:r w:rsidRPr="00FD2671">
        <w:rPr>
          <w:sz w:val="22"/>
          <w:szCs w:val="22"/>
        </w:rPr>
        <w:t>Développer un partenariat dynamique et diversifié (public-privé, privé-organisations communautaires, public-privé-ONG, public-organisation communautaires-privés, etc.);</w:t>
      </w:r>
    </w:p>
    <w:p w:rsidR="00FD2671" w:rsidRPr="00FD2671" w:rsidRDefault="00FD2671" w:rsidP="00482DC5">
      <w:pPr>
        <w:numPr>
          <w:ilvl w:val="0"/>
          <w:numId w:val="22"/>
        </w:numPr>
        <w:spacing w:before="0"/>
        <w:jc w:val="left"/>
        <w:rPr>
          <w:sz w:val="22"/>
          <w:szCs w:val="22"/>
        </w:rPr>
      </w:pPr>
      <w:r w:rsidRPr="00FD2671">
        <w:rPr>
          <w:sz w:val="22"/>
          <w:szCs w:val="22"/>
        </w:rPr>
        <w:t>Adopter une gestion urbaine axée sur les résultats à travers le recours aux contrats de ville.</w:t>
      </w:r>
    </w:p>
    <w:p w:rsidR="009252AA" w:rsidRDefault="009252AA" w:rsidP="000D57C1">
      <w:pPr>
        <w:pStyle w:val="Heading1"/>
        <w:sectPr w:rsidR="009252AA" w:rsidSect="009252AA">
          <w:footerReference w:type="default" r:id="rId9"/>
          <w:pgSz w:w="11906" w:h="16838" w:code="9"/>
          <w:pgMar w:top="1440" w:right="1440" w:bottom="1440" w:left="1440" w:header="720" w:footer="720" w:gutter="0"/>
          <w:pgNumType w:fmt="lowerRoman" w:start="1"/>
          <w:cols w:space="708"/>
          <w:docGrid w:linePitch="360"/>
        </w:sectPr>
      </w:pPr>
    </w:p>
    <w:p w:rsidR="000A4928" w:rsidRPr="00B36AFA" w:rsidRDefault="009012B4" w:rsidP="000D57C1">
      <w:pPr>
        <w:pStyle w:val="Heading1"/>
      </w:pPr>
      <w:bookmarkStart w:id="10" w:name="_Toc289855969"/>
      <w:r w:rsidRPr="00B36AFA">
        <w:t>Introduction</w:t>
      </w:r>
      <w:bookmarkEnd w:id="10"/>
    </w:p>
    <w:p w:rsidR="000A4928" w:rsidRPr="009E5034" w:rsidRDefault="009012B4" w:rsidP="00482DC5">
      <w:pPr>
        <w:pStyle w:val="Heading2"/>
        <w:numPr>
          <w:ilvl w:val="1"/>
          <w:numId w:val="13"/>
        </w:numPr>
        <w:ind w:left="565"/>
        <w:jc w:val="left"/>
        <w:rPr>
          <w:sz w:val="22"/>
          <w:szCs w:val="22"/>
        </w:rPr>
      </w:pPr>
      <w:bookmarkStart w:id="11" w:name="_Toc289855970"/>
      <w:r w:rsidRPr="009E5034">
        <w:rPr>
          <w:sz w:val="22"/>
          <w:szCs w:val="22"/>
        </w:rPr>
        <w:t>Contexte</w:t>
      </w:r>
      <w:bookmarkEnd w:id="11"/>
    </w:p>
    <w:p w:rsidR="000A4928" w:rsidRPr="009E5034" w:rsidRDefault="000A4928" w:rsidP="009E5034">
      <w:pPr>
        <w:ind w:left="0"/>
        <w:jc w:val="left"/>
        <w:rPr>
          <w:sz w:val="22"/>
          <w:szCs w:val="22"/>
        </w:rPr>
      </w:pPr>
      <w:r w:rsidRPr="009E5034">
        <w:rPr>
          <w:sz w:val="22"/>
          <w:szCs w:val="22"/>
        </w:rPr>
        <w:t>La République du Mali qui a une superficie de 1,24 millions km</w:t>
      </w:r>
      <w:r w:rsidRPr="009E5034">
        <w:rPr>
          <w:sz w:val="22"/>
          <w:szCs w:val="22"/>
          <w:vertAlign w:val="superscript"/>
        </w:rPr>
        <w:t xml:space="preserve">2  </w:t>
      </w:r>
      <w:r w:rsidRPr="009E5034">
        <w:rPr>
          <w:sz w:val="22"/>
          <w:szCs w:val="22"/>
        </w:rPr>
        <w:t>est un des pays les plus vastes d’Afrique.  D’après les résultats provisoires du recensement général de 2009, la population du pays serait de 14, 5 millions d’habitants, soit une densité d’un peu plus de 11 habitants par km</w:t>
      </w:r>
      <w:r w:rsidRPr="009E5034">
        <w:rPr>
          <w:sz w:val="22"/>
          <w:szCs w:val="22"/>
          <w:vertAlign w:val="superscript"/>
        </w:rPr>
        <w:t>2</w:t>
      </w:r>
      <w:r w:rsidRPr="009E5034">
        <w:rPr>
          <w:sz w:val="22"/>
          <w:szCs w:val="22"/>
        </w:rPr>
        <w:t xml:space="preserve">.  L’économie du pays et les moyens de subsistance de la majorité des populations reposent essentiellement sur l’agriculture.  Toutefois, le pays étant situé au cœur du Sahel, une région où les sécheresses périodiques et la désertification sont une menace permanente, la </w:t>
      </w:r>
      <w:r w:rsidR="00D046C6" w:rsidRPr="009E5034">
        <w:rPr>
          <w:sz w:val="22"/>
          <w:szCs w:val="22"/>
        </w:rPr>
        <w:t xml:space="preserve">dotation en </w:t>
      </w:r>
      <w:r w:rsidRPr="009E5034">
        <w:rPr>
          <w:sz w:val="22"/>
          <w:szCs w:val="22"/>
        </w:rPr>
        <w:t xml:space="preserve">ressources naturelles </w:t>
      </w:r>
      <w:r w:rsidR="00D046C6" w:rsidRPr="009E5034">
        <w:rPr>
          <w:sz w:val="22"/>
          <w:szCs w:val="22"/>
        </w:rPr>
        <w:t xml:space="preserve">indispensable pour </w:t>
      </w:r>
      <w:r w:rsidRPr="009E5034">
        <w:rPr>
          <w:sz w:val="22"/>
          <w:szCs w:val="22"/>
        </w:rPr>
        <w:t xml:space="preserve">le développement du secteur agricole est </w:t>
      </w:r>
      <w:r w:rsidR="00D046C6" w:rsidRPr="009E5034">
        <w:rPr>
          <w:sz w:val="22"/>
          <w:szCs w:val="22"/>
        </w:rPr>
        <w:t>faible</w:t>
      </w:r>
      <w:r w:rsidRPr="009E5034">
        <w:rPr>
          <w:sz w:val="22"/>
          <w:szCs w:val="22"/>
        </w:rPr>
        <w:t>.  En effet, 65% du territoire est d</w:t>
      </w:r>
      <w:r w:rsidR="00117EE7">
        <w:rPr>
          <w:sz w:val="22"/>
          <w:szCs w:val="22"/>
        </w:rPr>
        <w:t>ésertique ou semi-désertique</w:t>
      </w:r>
      <w:r w:rsidRPr="009E5034">
        <w:rPr>
          <w:sz w:val="22"/>
          <w:szCs w:val="22"/>
        </w:rPr>
        <w:t>; la pluviométrie est aléatoire et peu abondante, variant entre 150mm/an dans le désert Saharien et 1,200 mm dans les zones subtropicale et guinéenne dans la partie sud du pays.  Ainsi le développement du secteur agricole reste confronté à d’énormes contraintes.  Toutefois, le Mali dispose d’un grand potentiel pour le développement de l’agriculture irriguée, et le sous-sol du pays regorge de ressources minières dont l’exploitation judicieuse peut contribuer de façon non négligeable à la croissance économique comme cela a été le cas au cours des dernières années.</w:t>
      </w:r>
    </w:p>
    <w:p w:rsidR="000A4928" w:rsidRPr="009E5034" w:rsidRDefault="000A4928" w:rsidP="00482DC5">
      <w:pPr>
        <w:pStyle w:val="Heading2"/>
        <w:numPr>
          <w:ilvl w:val="1"/>
          <w:numId w:val="13"/>
        </w:numPr>
        <w:ind w:left="565"/>
        <w:jc w:val="left"/>
        <w:rPr>
          <w:sz w:val="22"/>
          <w:szCs w:val="22"/>
        </w:rPr>
      </w:pPr>
      <w:bookmarkStart w:id="12" w:name="_Toc289855971"/>
      <w:r w:rsidRPr="009E5034">
        <w:rPr>
          <w:sz w:val="22"/>
          <w:szCs w:val="22"/>
        </w:rPr>
        <w:t>Performance économique récente</w:t>
      </w:r>
      <w:bookmarkEnd w:id="12"/>
    </w:p>
    <w:p w:rsidR="000A4928" w:rsidRPr="009E5034" w:rsidRDefault="000A4928" w:rsidP="009E5034">
      <w:pPr>
        <w:ind w:left="0"/>
        <w:jc w:val="left"/>
        <w:rPr>
          <w:sz w:val="22"/>
          <w:szCs w:val="22"/>
        </w:rPr>
      </w:pPr>
      <w:r w:rsidRPr="009E5034">
        <w:rPr>
          <w:sz w:val="22"/>
          <w:szCs w:val="22"/>
        </w:rPr>
        <w:t>Le climat de stabilité politique survenu au début des années 90 a permis de gérer plus efficacement les réformes économiques structurelles que le pays avait engagées depuis le milieu des années 80.  Ces réformes ont porté essentiellement sur le renforcement des fondements de l’économie de marché à travers la réduction ou l’élimination du rôle de l’Etat dans les activités de production et de distribution des biens et services marchands, d’une part, et la libéralisation du commerce interne et international, d’autre part.  Les effets positifs de ces réformes structurelles qui ont été magnifiés par la dévaluation du FCFA en 1994 ont permis de renforcer la stabilité du cadre macroéconomique, et d’engager des réformes de deuxième génération dans les secteurs clé de l’économie.</w:t>
      </w:r>
    </w:p>
    <w:p w:rsidR="000A4928" w:rsidRPr="009E5034" w:rsidRDefault="000A4928" w:rsidP="009E5034">
      <w:pPr>
        <w:ind w:left="0"/>
        <w:jc w:val="left"/>
        <w:rPr>
          <w:sz w:val="22"/>
          <w:szCs w:val="22"/>
        </w:rPr>
      </w:pPr>
      <w:r w:rsidRPr="009E5034">
        <w:rPr>
          <w:sz w:val="22"/>
          <w:szCs w:val="22"/>
        </w:rPr>
        <w:t>Le succès relatif de ces réformes a permis à l’économie de croître à un taux moyen 5,7% par an au cours de la période 1994-2006.  Malgré une légère baisse du taux de croissance au cours de la période 2007-2008 (4,6% par an), les perspectives économiques du Mali restent globalement favorables.  Cette performance économique et la gestion macroéconomique prudente ont permis au pays de bénéficier d’un appui soutenu des partenaires techniques et financiers se chiffrant en moyenne à 15% du revenu national brut au cours de la dernière décennie.  Cette situation a permis de réduire légèrement le taux de pauvreté (uniquement en milieu urbain) qui est passé de 68,3% en 2001 à 64,4% en 2006.</w:t>
      </w:r>
    </w:p>
    <w:p w:rsidR="000A4928" w:rsidRPr="009E5034" w:rsidRDefault="000A4928" w:rsidP="009E5034">
      <w:pPr>
        <w:ind w:left="0"/>
        <w:jc w:val="left"/>
        <w:rPr>
          <w:sz w:val="22"/>
          <w:szCs w:val="22"/>
        </w:rPr>
      </w:pPr>
      <w:r w:rsidRPr="009E5034">
        <w:rPr>
          <w:sz w:val="22"/>
          <w:szCs w:val="22"/>
        </w:rPr>
        <w:t>Cette bonne performance macroéconomique n’a pas profité aux indicateurs sociaux du Mali qui sont restés en-deçà des attentes.  Le revenu par tête d’habitant est de 500 dollars US (méthode Atlas 2007).  Le taux d’alphabétisation des adultes est de moitié inférieure à la moyenne de l’Afrique au sud du Sahara, et le taux de mortalité infantile qui a été estimé en 2005 à 218 pour 1000 était le plus élevé au monde.  Enfin, l’Indice de Développement Humain du PNUD de 2009 classe le Mali au rang de 178 sur 182 pays.</w:t>
      </w:r>
    </w:p>
    <w:p w:rsidR="000A4928" w:rsidRPr="009E5034" w:rsidRDefault="000A4928" w:rsidP="009E5034">
      <w:pPr>
        <w:ind w:left="0"/>
        <w:jc w:val="left"/>
        <w:rPr>
          <w:sz w:val="22"/>
          <w:szCs w:val="22"/>
        </w:rPr>
      </w:pPr>
      <w:r w:rsidRPr="009E5034">
        <w:rPr>
          <w:sz w:val="22"/>
          <w:szCs w:val="22"/>
        </w:rPr>
        <w:t>Afin de lever ces importants défis socio-économiques, le Gouvernement a adopté une nouvelle Stratégie de Croissance et de Réduction de la Pauvreté couvrant la période 2007-2011.  Tirant leçon de la mise en œuvre de la première Stratégie de Réduction de la Pauvreté (2002-2006), la nouvelle Stratégie décrit les politiques et les moyens accrus que le Gouvernement mettra en œuvre pour accélérer et rendre la croissance économique plus durable.</w:t>
      </w:r>
    </w:p>
    <w:p w:rsidR="000A4928" w:rsidRPr="009E5034" w:rsidRDefault="000A4928" w:rsidP="009E5034">
      <w:pPr>
        <w:ind w:left="0"/>
        <w:jc w:val="left"/>
        <w:rPr>
          <w:sz w:val="22"/>
          <w:szCs w:val="22"/>
        </w:rPr>
      </w:pPr>
      <w:r w:rsidRPr="009E5034">
        <w:rPr>
          <w:sz w:val="22"/>
          <w:szCs w:val="22"/>
        </w:rPr>
        <w:t xml:space="preserve">En particulier, la nouvelle Stratégie vise à (i) réaliser un taux de croissance économique de 7% par an grâce à la création de richesses et d’emplois, et (ii) renforcer la performance du secteur public en intensifiant les réformes en cours dans les domaines de la décentralisation, de la gouvernance, </w:t>
      </w:r>
      <w:r w:rsidR="00015568" w:rsidRPr="009E5034">
        <w:rPr>
          <w:sz w:val="22"/>
          <w:szCs w:val="22"/>
        </w:rPr>
        <w:t xml:space="preserve">et </w:t>
      </w:r>
      <w:r w:rsidRPr="009E5034">
        <w:rPr>
          <w:sz w:val="22"/>
          <w:szCs w:val="22"/>
        </w:rPr>
        <w:t>des secteurs économiques et sociaux.  Pour atteindre ces objectifs, la mise en œuvre de la Stratégie s’organisera autour de trois piliers:</w:t>
      </w:r>
    </w:p>
    <w:p w:rsidR="000A4928" w:rsidRPr="009E5034" w:rsidRDefault="00117EE7" w:rsidP="009E5034">
      <w:pPr>
        <w:ind w:left="0"/>
        <w:jc w:val="left"/>
        <w:rPr>
          <w:sz w:val="22"/>
          <w:szCs w:val="22"/>
        </w:rPr>
      </w:pPr>
      <w:r>
        <w:rPr>
          <w:sz w:val="22"/>
          <w:szCs w:val="22"/>
        </w:rPr>
        <w:t>Pilier 1</w:t>
      </w:r>
      <w:r w:rsidR="000A4928" w:rsidRPr="009E5034">
        <w:rPr>
          <w:sz w:val="22"/>
          <w:szCs w:val="22"/>
        </w:rPr>
        <w:t>: Développer les infrastructures et les secteurs productifs afin d’accroître la productivité des facteurs de production et le taux de croissance économique.  Les interventions porteront sur quatre domaines: (i) la sécurité alimentaire et le développement rural, (ii) le développement des petites et moyennes entreprises, (iii) la protection de l’environnement et la gestion durable des ressources naturelles, et (iv) le développement des infrastructures;</w:t>
      </w:r>
    </w:p>
    <w:p w:rsidR="000A4928" w:rsidRPr="009E5034" w:rsidRDefault="000A4928" w:rsidP="009E5034">
      <w:pPr>
        <w:ind w:left="0"/>
        <w:jc w:val="left"/>
        <w:rPr>
          <w:sz w:val="22"/>
          <w:szCs w:val="22"/>
        </w:rPr>
      </w:pPr>
      <w:r w:rsidRPr="009E5034">
        <w:rPr>
          <w:sz w:val="22"/>
          <w:szCs w:val="22"/>
        </w:rPr>
        <w:t>Pilier 2: Consolider le programme de réformes du secteur public à travers (i) la consolidation de la réforme de l’administration, (ii) l’amélioration du climat des affaires, (iii) le renforcement de la viabilité, de l’étendue et de la performance du secteur financier, (iv) la promotion de la gouvernance et des libertés publiques, (v) le renforcement des capacités de la société civile, et (vi) le  renforcement de l’intégration régionale et sous-régionale;</w:t>
      </w:r>
    </w:p>
    <w:p w:rsidR="000A4928" w:rsidRPr="009E5034" w:rsidRDefault="000A4928" w:rsidP="009E5034">
      <w:pPr>
        <w:ind w:left="0"/>
        <w:jc w:val="left"/>
        <w:rPr>
          <w:sz w:val="22"/>
          <w:szCs w:val="22"/>
        </w:rPr>
      </w:pPr>
      <w:r w:rsidRPr="009E5034">
        <w:rPr>
          <w:sz w:val="22"/>
          <w:szCs w:val="22"/>
        </w:rPr>
        <w:t>Pilier 3: Renforcer les secteurs sociaux à travers (i) la promotion et la création d’emplois durables (ii) l’élargissement de l’accès aux services sociaux de base, et (ii) la lutte contre le VIH.</w:t>
      </w:r>
    </w:p>
    <w:p w:rsidR="000A4928" w:rsidRPr="009E5034" w:rsidRDefault="000A4928" w:rsidP="00482DC5">
      <w:pPr>
        <w:pStyle w:val="Heading2"/>
        <w:numPr>
          <w:ilvl w:val="1"/>
          <w:numId w:val="13"/>
        </w:numPr>
        <w:ind w:left="565"/>
        <w:jc w:val="left"/>
        <w:rPr>
          <w:sz w:val="22"/>
          <w:szCs w:val="22"/>
        </w:rPr>
      </w:pPr>
      <w:bookmarkStart w:id="13" w:name="_Toc289855972"/>
      <w:r w:rsidRPr="009E5034">
        <w:rPr>
          <w:sz w:val="22"/>
          <w:szCs w:val="22"/>
        </w:rPr>
        <w:t>Contribution de l’économie urbaine à la réalisation des objectifs de la Stratégie de Croissance et de Réduction de la Pauvreté</w:t>
      </w:r>
      <w:bookmarkEnd w:id="13"/>
    </w:p>
    <w:p w:rsidR="000A4928" w:rsidRPr="009E5034" w:rsidRDefault="000A4928" w:rsidP="009E5034">
      <w:pPr>
        <w:ind w:left="0"/>
        <w:jc w:val="left"/>
        <w:rPr>
          <w:sz w:val="22"/>
          <w:szCs w:val="22"/>
        </w:rPr>
      </w:pPr>
      <w:r w:rsidRPr="009E5034">
        <w:rPr>
          <w:sz w:val="22"/>
          <w:szCs w:val="22"/>
        </w:rPr>
        <w:t>Environ un tiers de la population du Mali, soit à peu près 4, 8 millions d’habitants vit en milieu urbain.  La répartition de cette population urbaine est très inégale dans la mesure où Bamako abrite plus du tiers des citadins.  Selon les estimations, le taux de croissance de la population urbaine serait d’environ 5%.  A ce rythme de croissance, la population urbaine doublera en un peu moins de 20 ans.</w:t>
      </w:r>
    </w:p>
    <w:p w:rsidR="000A4928" w:rsidRPr="009E5034" w:rsidRDefault="000A4928" w:rsidP="009E5034">
      <w:pPr>
        <w:ind w:left="0"/>
        <w:jc w:val="left"/>
        <w:rPr>
          <w:sz w:val="22"/>
          <w:szCs w:val="22"/>
        </w:rPr>
      </w:pPr>
      <w:r w:rsidRPr="009E5034">
        <w:rPr>
          <w:sz w:val="22"/>
          <w:szCs w:val="22"/>
        </w:rPr>
        <w:t>Comme dans tous les pays du monde, les villes maliennes jouent un rôle de premier dans l’économie nationale.  Elles sont un important facteur de transformation et de croissance économique parce qu’elles sont le lieu de concentration de la main d’œuvre qualifiée, du capital financier, des technologies modernes et des infrastructures indispensables à la vitalité de l’activité économique.  En général, le calcul du revenu national et la présentation des comptes nationaux ne font pas ressortir les parts respectives du secteur rural et du secteur urbain.  Toutefois, l’on peut estimer ces parts relatives en considérant les secteurs dont les activités sont basées essentiellement dans l’espace rural ou urbain</w:t>
      </w:r>
      <w:r w:rsidRPr="009E5034">
        <w:rPr>
          <w:rStyle w:val="FootnoteReference"/>
          <w:sz w:val="22"/>
          <w:szCs w:val="22"/>
        </w:rPr>
        <w:footnoteReference w:id="2"/>
      </w:r>
      <w:r w:rsidRPr="009E5034">
        <w:rPr>
          <w:sz w:val="22"/>
          <w:szCs w:val="22"/>
        </w:rPr>
        <w:t>.  En général, les secteurs de l’industrie et des services secondaires sont associés au secteur urbain (l’agriculture étant l’activité par excellence de l’espace rural).  Sur la base de cette distinction, la part moyenne du secteur urbain dans le PIB du Mali a été de 63, 8% au cours de la période 2006-2008.  En d’autres termes, le secteur urbain fournit environ les deux tiers du produit intérieur brut.  Par conséquent, une bonne performance de l’économie urbaine aura un impact décisif sur le taux de croissance de l’économie nationale, et donc sur la capacité du pays à réduire la pauvreté.</w:t>
      </w:r>
    </w:p>
    <w:p w:rsidR="000A4928" w:rsidRPr="009E5034" w:rsidRDefault="000A4928" w:rsidP="009E5034">
      <w:pPr>
        <w:ind w:left="0"/>
        <w:jc w:val="left"/>
        <w:rPr>
          <w:sz w:val="22"/>
          <w:szCs w:val="22"/>
        </w:rPr>
      </w:pPr>
      <w:r w:rsidRPr="009E5034">
        <w:rPr>
          <w:sz w:val="22"/>
          <w:szCs w:val="22"/>
        </w:rPr>
        <w:t xml:space="preserve">En fait, les centres urbains offrent le maximum d’opportunités pour réaliser les objectifs de la plupart des treize domaines d’intervention que le Gouvernement a identifiés comme moyens de mise en œuvre de la Stratégie de </w:t>
      </w:r>
      <w:r w:rsidR="004F6B7C" w:rsidRPr="009E5034">
        <w:rPr>
          <w:sz w:val="22"/>
          <w:szCs w:val="22"/>
        </w:rPr>
        <w:t>C</w:t>
      </w:r>
      <w:r w:rsidRPr="009E5034">
        <w:rPr>
          <w:sz w:val="22"/>
          <w:szCs w:val="22"/>
        </w:rPr>
        <w:t>roissance et de Réduction de la Pauvreté.  Ainsi, ils permettront de réaliser rapidement les bénéfices liés (i) au développement des petites et moyennes entreprises, (ii) à la réforme du climat des affaires, (iii) au développement du secteur financier, et (iv) à la réforme de l’administration.</w:t>
      </w:r>
    </w:p>
    <w:p w:rsidR="000A4928" w:rsidRPr="009E5034" w:rsidRDefault="000A4928" w:rsidP="009E5034">
      <w:pPr>
        <w:ind w:left="0"/>
        <w:jc w:val="left"/>
        <w:rPr>
          <w:sz w:val="22"/>
          <w:szCs w:val="22"/>
        </w:rPr>
      </w:pPr>
      <w:r w:rsidRPr="009E5034">
        <w:rPr>
          <w:sz w:val="22"/>
          <w:szCs w:val="22"/>
        </w:rPr>
        <w:t>Par ailleurs, il est important de mentionner le rôle important que les villes jouent dans le développement de l’économie rurale et du secteur agricole.  En effet, les liens économiques entre les villes et centres urbains secondaires et l’économie rurale sont multiformes et très dynamiques.  Le monde rural est un débouché pour la production d’une multitude de petites et moyennes entreprises, et les centres urbains sont un débouché crucial pour les excédents agricoles et pour les produits agricoles à forte valeur ajoutée.  En fait, les villes sont une source irremplaçable de revenus nécessaires à la satisfaction des besoins de consommation des producteurs ruraux, et au financement des innovations technologiques qui permettront d’accroître la productivité agricole.  Les villes et centres urbains secondaires contribuent donc directement et indirectement à la réduction de la pauvreté en milieu rural.</w:t>
      </w:r>
    </w:p>
    <w:p w:rsidR="000A4928" w:rsidRPr="009E5034" w:rsidRDefault="00BC4EA1" w:rsidP="00482DC5">
      <w:pPr>
        <w:pStyle w:val="Heading2"/>
        <w:numPr>
          <w:ilvl w:val="1"/>
          <w:numId w:val="13"/>
        </w:numPr>
        <w:ind w:left="565"/>
        <w:jc w:val="left"/>
        <w:rPr>
          <w:sz w:val="22"/>
          <w:szCs w:val="22"/>
        </w:rPr>
      </w:pPr>
      <w:bookmarkStart w:id="14" w:name="_Toc289855973"/>
      <w:r w:rsidRPr="009E5034">
        <w:rPr>
          <w:sz w:val="22"/>
          <w:szCs w:val="22"/>
        </w:rPr>
        <w:t>O</w:t>
      </w:r>
      <w:r w:rsidR="000A4928" w:rsidRPr="009E5034">
        <w:rPr>
          <w:sz w:val="22"/>
          <w:szCs w:val="22"/>
        </w:rPr>
        <w:t>bjectifs et valeur ajoutée de l’étude</w:t>
      </w:r>
      <w:bookmarkEnd w:id="14"/>
    </w:p>
    <w:p w:rsidR="000A4928" w:rsidRPr="009E5034" w:rsidRDefault="000A4928" w:rsidP="009E5034">
      <w:pPr>
        <w:ind w:left="0"/>
        <w:jc w:val="left"/>
        <w:rPr>
          <w:sz w:val="22"/>
          <w:szCs w:val="22"/>
        </w:rPr>
      </w:pPr>
      <w:r w:rsidRPr="009E5034">
        <w:rPr>
          <w:sz w:val="22"/>
          <w:szCs w:val="22"/>
        </w:rPr>
        <w:t xml:space="preserve">L'objectif stratégique de l'étude est de contribuer à approfondir la connaissance des problèmes de l’environnement urbain afin que le Gouvernement et les administrations des collectivités territoriales soient mieux outillés pour intégrer de manière effective la gestion environnementale dans les politiques et stratégies de développement urbain au Mali. Cet objectif est poursuivi à travers deux tâches principales: </w:t>
      </w:r>
    </w:p>
    <w:p w:rsidR="000A4928" w:rsidRPr="009E5034" w:rsidRDefault="000A4928" w:rsidP="00482DC5">
      <w:pPr>
        <w:pStyle w:val="ListParagraph"/>
        <w:numPr>
          <w:ilvl w:val="0"/>
          <w:numId w:val="14"/>
        </w:numPr>
        <w:ind w:left="720"/>
        <w:rPr>
          <w:sz w:val="22"/>
          <w:szCs w:val="22"/>
        </w:rPr>
      </w:pPr>
      <w:r w:rsidRPr="009E5034">
        <w:rPr>
          <w:sz w:val="22"/>
          <w:szCs w:val="22"/>
        </w:rPr>
        <w:t>identifier les principales menaces environnementales qui ont une incidence distincte sur le bien-être de la population urbaine, et sur l'économie urbaine;</w:t>
      </w:r>
    </w:p>
    <w:p w:rsidR="000A4928" w:rsidRPr="009E5034" w:rsidRDefault="000A4928" w:rsidP="00482DC5">
      <w:pPr>
        <w:pStyle w:val="ListParagraph"/>
        <w:numPr>
          <w:ilvl w:val="0"/>
          <w:numId w:val="14"/>
        </w:numPr>
        <w:ind w:left="720"/>
        <w:rPr>
          <w:sz w:val="22"/>
          <w:szCs w:val="22"/>
        </w:rPr>
      </w:pPr>
      <w:r w:rsidRPr="009E5034">
        <w:rPr>
          <w:sz w:val="22"/>
          <w:szCs w:val="22"/>
        </w:rPr>
        <w:t xml:space="preserve"> proposer des options pratiques qui permettraient au Gouvernement et aux collectivités territoriales de résoudre efficacement les problèmes environnementaux urbains les plus urgents.</w:t>
      </w:r>
    </w:p>
    <w:p w:rsidR="000A4928" w:rsidRPr="009E5034" w:rsidRDefault="000A4928" w:rsidP="00482DC5">
      <w:pPr>
        <w:pStyle w:val="Heading3"/>
        <w:numPr>
          <w:ilvl w:val="2"/>
          <w:numId w:val="13"/>
        </w:numPr>
        <w:ind w:left="709"/>
        <w:rPr>
          <w:sz w:val="22"/>
          <w:szCs w:val="22"/>
        </w:rPr>
      </w:pPr>
      <w:bookmarkStart w:id="15" w:name="_Toc289855974"/>
      <w:r w:rsidRPr="009E5034">
        <w:rPr>
          <w:sz w:val="22"/>
          <w:szCs w:val="22"/>
        </w:rPr>
        <w:t>Valeur ajoutée</w:t>
      </w:r>
      <w:bookmarkEnd w:id="15"/>
    </w:p>
    <w:p w:rsidR="000A4928" w:rsidRPr="009E5034" w:rsidRDefault="000A4928" w:rsidP="009E5034">
      <w:pPr>
        <w:ind w:left="0"/>
        <w:jc w:val="left"/>
        <w:rPr>
          <w:sz w:val="22"/>
          <w:szCs w:val="22"/>
        </w:rPr>
      </w:pPr>
      <w:r w:rsidRPr="009E5034">
        <w:rPr>
          <w:sz w:val="22"/>
          <w:szCs w:val="22"/>
        </w:rPr>
        <w:t>L’analyse de l’environnement urbain vient en complément à d’autres études déjà réalisées au cours de la dernière décennie sur le thème de l’environnement et des ressources naturelles.  Il s’agit en particulier, du Profil Environnemental du Mali, de la revue des dépenses publiques dans le domaine de l’eau et de l’assainissement en milieu rural, et d’autres études sur la dégradation des ressources naturelles, notamment les terres agricoles.  La contribution additionnelle de la présente étude (qui s’inscrit également dans le contexte de l’approfondissement du processus de décentralisation, et surtout de réévaluation du rôle des différents acteurs) est qu’elle traite spécifiquement des problèmes environnementaux urbains.  La Politique Sectorielle de Développement Urbain, et la Stratégie de Développement des Villes du Mali adoptées par le Gouvernement respectivement en 1996 et en 2009 identifient la dégradation de l’environnement comme une des causes les plus importantes des mauvaises conditions de vie des populations urbaines. Les résultats de l’étude permettront au Gouvernement et aux collectivités territoriales d’avoir une meilleure compréhension des causes et des conséquences de la détérioration de la qualité de l’environnement urbain.  Ils permettront surtout de disposer de recommandations de mesures concrètes destinées à assurer une gestion efficace de l’environnement urbain au Mali.</w:t>
      </w:r>
    </w:p>
    <w:p w:rsidR="000A4928" w:rsidRPr="009E5034" w:rsidRDefault="000A4928" w:rsidP="00482DC5">
      <w:pPr>
        <w:pStyle w:val="Heading2"/>
        <w:numPr>
          <w:ilvl w:val="1"/>
          <w:numId w:val="13"/>
        </w:numPr>
        <w:ind w:left="565"/>
        <w:jc w:val="left"/>
        <w:rPr>
          <w:sz w:val="22"/>
          <w:szCs w:val="22"/>
        </w:rPr>
      </w:pPr>
      <w:bookmarkStart w:id="16" w:name="_Toc289855975"/>
      <w:r w:rsidRPr="009E5034">
        <w:rPr>
          <w:sz w:val="22"/>
          <w:szCs w:val="22"/>
        </w:rPr>
        <w:t>Méthodologie</w:t>
      </w:r>
      <w:bookmarkEnd w:id="16"/>
    </w:p>
    <w:p w:rsidR="000A4928" w:rsidRPr="009E5034" w:rsidRDefault="000A4928" w:rsidP="009E5034">
      <w:pPr>
        <w:ind w:left="0"/>
        <w:jc w:val="left"/>
        <w:rPr>
          <w:sz w:val="22"/>
          <w:szCs w:val="22"/>
        </w:rPr>
      </w:pPr>
      <w:r w:rsidRPr="009E5034">
        <w:rPr>
          <w:sz w:val="22"/>
          <w:szCs w:val="22"/>
        </w:rPr>
        <w:t>La présente étude a été menée en étroite collaboration avec le Ministère de l’Environnement et de l’Assainissement à travers la Direction Nationale de l’Assainissement, du Contrôle des Pollutions et des Nuisances (DNACPN).  Dans les localités couvertes par l’étude, les équipes de préparation ont travaillé principalement avec les structures suivantes : (i) les autorités des collectivités territoriales, (ii) les services techniques chargés de la voirie, (iii) les Services Locaux de l’Assainissement, du Contrôle des Pollutions et des Nuisances (SLACPN), et (iv) les Directions Régionales de l’Assainissement, du Contrôle des Pollutions et des Nuisances (DRACPN).</w:t>
      </w:r>
    </w:p>
    <w:p w:rsidR="000A4928" w:rsidRPr="009E5034" w:rsidRDefault="000A4928" w:rsidP="009E5034">
      <w:pPr>
        <w:ind w:left="0"/>
        <w:jc w:val="left"/>
        <w:rPr>
          <w:sz w:val="22"/>
          <w:szCs w:val="22"/>
        </w:rPr>
      </w:pPr>
      <w:r w:rsidRPr="009E5034">
        <w:rPr>
          <w:sz w:val="22"/>
          <w:szCs w:val="22"/>
        </w:rPr>
        <w:t>L’étude a utilisé la méthode dite d’évaluation rapide de l’environnement urbain (</w:t>
      </w:r>
      <w:r w:rsidRPr="009E5034">
        <w:rPr>
          <w:i/>
          <w:sz w:val="22"/>
          <w:szCs w:val="22"/>
        </w:rPr>
        <w:t>Rapid Urban Environmental Asssessment</w:t>
      </w:r>
      <w:r w:rsidRPr="009E5034">
        <w:rPr>
          <w:sz w:val="22"/>
          <w:szCs w:val="22"/>
        </w:rPr>
        <w:t>).  Cette méthode est un outil d’investigation à coût réduit qui se base sur la collecte et l’analyse de données, et sur une approche participative pour diagnostiquer l’état de l’environnement urbain.  L’approche comporte trois étapes: (i) la collecte des données provenant essentiellement des sources secondaires, (ii) l’analyse de ces données pour définir les conditions environnementales et leurs causes, (iii) les consultations pour dégager un consensus sur les conditions environnementales identifiées, et les valider.</w:t>
      </w:r>
    </w:p>
    <w:p w:rsidR="000A4928" w:rsidRPr="009E5034" w:rsidRDefault="000A4928" w:rsidP="009E5034">
      <w:pPr>
        <w:ind w:left="0"/>
        <w:jc w:val="left"/>
        <w:rPr>
          <w:sz w:val="22"/>
          <w:szCs w:val="22"/>
        </w:rPr>
      </w:pPr>
      <w:r w:rsidRPr="009E5034">
        <w:rPr>
          <w:sz w:val="22"/>
          <w:szCs w:val="22"/>
        </w:rPr>
        <w:t>Certains des services techniques ci-dessus mentionnés ont contribué à la collecte d’une partie des données, et toutes ont contribué à la validation des résultats des analyses.  Ces analyses ont permis d’établir le profil environnemental de chacune des villes ciblées, à savoir Bamako, Gao, Mopti et Sikasso.  Ce profil a été validé à la fois par les équipes techniques et les autorités municipales.  Il est important de mentionner que ces villes ont été choisies en fonction de leur représentativité par rapport aux caractéristiques de l’ensemble des villes maliennes.  Les critères qui ont été pris en compte sont (i) la taille de la population, (ii) la zone climatique, et (iii) les activités économiques dominantes.  Tous les profils et l’analyse synthétique des problèmes environnementaux des villes maliennes qui en a résulté ont été validés à l’issue de deux journées de consultations techniques auxquelles ont pris part les services technique centraux et municipaux, les ONG, les représentants des communautés de base, et les représentants des autorités municipales.</w:t>
      </w:r>
    </w:p>
    <w:p w:rsidR="000A4928" w:rsidRPr="009E5034" w:rsidRDefault="000A4928" w:rsidP="00482DC5">
      <w:pPr>
        <w:pStyle w:val="Heading2"/>
        <w:numPr>
          <w:ilvl w:val="1"/>
          <w:numId w:val="13"/>
        </w:numPr>
        <w:ind w:left="565"/>
        <w:jc w:val="left"/>
        <w:rPr>
          <w:sz w:val="22"/>
          <w:szCs w:val="22"/>
        </w:rPr>
      </w:pPr>
      <w:bookmarkStart w:id="17" w:name="_Toc289855976"/>
      <w:r w:rsidRPr="009E5034">
        <w:rPr>
          <w:sz w:val="22"/>
          <w:szCs w:val="22"/>
        </w:rPr>
        <w:t>Structure du rapport</w:t>
      </w:r>
      <w:bookmarkEnd w:id="17"/>
    </w:p>
    <w:p w:rsidR="003E602F" w:rsidRDefault="000A4928" w:rsidP="009E5034">
      <w:pPr>
        <w:ind w:left="0"/>
        <w:jc w:val="left"/>
        <w:rPr>
          <w:sz w:val="22"/>
          <w:szCs w:val="22"/>
        </w:rPr>
      </w:pPr>
      <w:r w:rsidRPr="009E5034">
        <w:rPr>
          <w:sz w:val="22"/>
          <w:szCs w:val="22"/>
        </w:rPr>
        <w:t>Le présent rapport</w:t>
      </w:r>
      <w:r w:rsidR="003E602F">
        <w:rPr>
          <w:sz w:val="22"/>
          <w:szCs w:val="22"/>
        </w:rPr>
        <w:t xml:space="preserve">, composé de deux volumes, </w:t>
      </w:r>
      <w:r w:rsidRPr="009E5034">
        <w:rPr>
          <w:sz w:val="22"/>
          <w:szCs w:val="22"/>
        </w:rPr>
        <w:t xml:space="preserve"> analyse les problèmes environnementaux majeurs des villes maliennes, et les principaux défis que l’Etat et les administrations des collectivités territoriales doivent lever afin d’améliorer durablement la qualité de l’environnement et du cadre de vie des populations urbaines. </w:t>
      </w:r>
    </w:p>
    <w:p w:rsidR="00051404" w:rsidRDefault="003E602F" w:rsidP="009E5034">
      <w:pPr>
        <w:ind w:left="0"/>
        <w:jc w:val="left"/>
        <w:rPr>
          <w:sz w:val="22"/>
          <w:szCs w:val="22"/>
        </w:rPr>
      </w:pPr>
      <w:r>
        <w:rPr>
          <w:sz w:val="22"/>
          <w:szCs w:val="22"/>
        </w:rPr>
        <w:t>Le premier volume, Volume 1,</w:t>
      </w:r>
      <w:r w:rsidR="000A4928" w:rsidRPr="009E5034">
        <w:rPr>
          <w:sz w:val="22"/>
          <w:szCs w:val="22"/>
        </w:rPr>
        <w:t xml:space="preserve"> comporte </w:t>
      </w:r>
      <w:r w:rsidR="00E10025" w:rsidRPr="009E5034">
        <w:rPr>
          <w:sz w:val="22"/>
          <w:szCs w:val="22"/>
        </w:rPr>
        <w:t xml:space="preserve">cinq </w:t>
      </w:r>
      <w:r w:rsidR="000A4928" w:rsidRPr="009E5034">
        <w:rPr>
          <w:sz w:val="22"/>
          <w:szCs w:val="22"/>
        </w:rPr>
        <w:t>chapitres</w:t>
      </w:r>
      <w:r>
        <w:rPr>
          <w:sz w:val="22"/>
          <w:szCs w:val="22"/>
        </w:rPr>
        <w:t xml:space="preserve"> </w:t>
      </w:r>
      <w:r w:rsidR="000A4928" w:rsidRPr="009E5034">
        <w:rPr>
          <w:sz w:val="22"/>
          <w:szCs w:val="22"/>
        </w:rPr>
        <w:t>Le pr</w:t>
      </w:r>
      <w:r>
        <w:rPr>
          <w:sz w:val="22"/>
          <w:szCs w:val="22"/>
        </w:rPr>
        <w:t>emier</w:t>
      </w:r>
      <w:r w:rsidR="000A4928" w:rsidRPr="009E5034">
        <w:rPr>
          <w:sz w:val="22"/>
          <w:szCs w:val="22"/>
        </w:rPr>
        <w:t xml:space="preserve"> chapitre décrit le contexte de l’étude en mettant l’accent sur le</w:t>
      </w:r>
      <w:r w:rsidR="00E10025" w:rsidRPr="009E5034">
        <w:rPr>
          <w:sz w:val="22"/>
          <w:szCs w:val="22"/>
        </w:rPr>
        <w:t xml:space="preserve"> cadre socio-économique du pays</w:t>
      </w:r>
      <w:r w:rsidR="000A4928" w:rsidRPr="009E5034">
        <w:rPr>
          <w:sz w:val="22"/>
          <w:szCs w:val="22"/>
        </w:rPr>
        <w:t xml:space="preserve"> et sur la contribution potentielle des villes et centres urbains secondaires dans le processus de développement du pays, en général, et dans la Stratégie de Croissance et de Réduction de la Pauvreté du Gouvernement, en particulier.</w:t>
      </w:r>
      <w:r w:rsidR="00F553F1">
        <w:rPr>
          <w:sz w:val="22"/>
          <w:szCs w:val="22"/>
        </w:rPr>
        <w:t xml:space="preserve"> </w:t>
      </w:r>
      <w:r w:rsidR="000A4928" w:rsidRPr="009E5034">
        <w:rPr>
          <w:sz w:val="22"/>
          <w:szCs w:val="22"/>
        </w:rPr>
        <w:t xml:space="preserve">Le </w:t>
      </w:r>
      <w:r w:rsidR="00F553F1">
        <w:rPr>
          <w:sz w:val="22"/>
          <w:szCs w:val="22"/>
        </w:rPr>
        <w:t>deuxième</w:t>
      </w:r>
      <w:r w:rsidR="000A4928" w:rsidRPr="009E5034">
        <w:rPr>
          <w:sz w:val="22"/>
          <w:szCs w:val="22"/>
        </w:rPr>
        <w:t xml:space="preserve"> chapitre </w:t>
      </w:r>
      <w:r w:rsidR="00E446C3" w:rsidRPr="009E5034">
        <w:rPr>
          <w:sz w:val="22"/>
          <w:szCs w:val="22"/>
        </w:rPr>
        <w:t xml:space="preserve">procède à l’analyse thématique des principaux défis environnementaux que les villes maliennes affrontent dans leur processus de développement.  </w:t>
      </w:r>
      <w:r w:rsidR="000A4928" w:rsidRPr="009E5034">
        <w:rPr>
          <w:sz w:val="22"/>
          <w:szCs w:val="22"/>
        </w:rPr>
        <w:t xml:space="preserve">Le chapitre trois </w:t>
      </w:r>
      <w:r w:rsidR="00E446C3" w:rsidRPr="009E5034">
        <w:rPr>
          <w:sz w:val="22"/>
          <w:szCs w:val="22"/>
        </w:rPr>
        <w:t xml:space="preserve">présente les politiques sectorielles, le cadre législatif et réglementaire ainsi que les ressources </w:t>
      </w:r>
      <w:r w:rsidR="00E10025" w:rsidRPr="009E5034">
        <w:rPr>
          <w:sz w:val="22"/>
          <w:szCs w:val="22"/>
        </w:rPr>
        <w:t xml:space="preserve">affectée à </w:t>
      </w:r>
      <w:r w:rsidR="00E446C3" w:rsidRPr="009E5034">
        <w:rPr>
          <w:sz w:val="22"/>
          <w:szCs w:val="22"/>
        </w:rPr>
        <w:t>la gestion environnementale urbaine.</w:t>
      </w:r>
      <w:r w:rsidR="000A4928" w:rsidRPr="009E5034">
        <w:rPr>
          <w:sz w:val="22"/>
          <w:szCs w:val="22"/>
        </w:rPr>
        <w:t xml:space="preserve">  Le chapitre </w:t>
      </w:r>
      <w:r w:rsidR="00E446C3" w:rsidRPr="009E5034">
        <w:rPr>
          <w:sz w:val="22"/>
          <w:szCs w:val="22"/>
        </w:rPr>
        <w:t xml:space="preserve">quatre </w:t>
      </w:r>
      <w:r w:rsidR="00E10025" w:rsidRPr="009E5034">
        <w:rPr>
          <w:sz w:val="22"/>
          <w:szCs w:val="22"/>
        </w:rPr>
        <w:t xml:space="preserve">analyse </w:t>
      </w:r>
      <w:r w:rsidR="00E446C3" w:rsidRPr="009E5034">
        <w:rPr>
          <w:sz w:val="22"/>
          <w:szCs w:val="22"/>
        </w:rPr>
        <w:t xml:space="preserve">les principales options pour une gestion plus efficace des problèmes environnementaux qui accompagnent le processus d’urbanisation et de développement économique des villes.  </w:t>
      </w:r>
      <w:r w:rsidR="00EC3971" w:rsidRPr="009E5034">
        <w:rPr>
          <w:sz w:val="22"/>
          <w:szCs w:val="22"/>
        </w:rPr>
        <w:t>L</w:t>
      </w:r>
      <w:r w:rsidR="00F553F1">
        <w:rPr>
          <w:sz w:val="22"/>
          <w:szCs w:val="22"/>
        </w:rPr>
        <w:t xml:space="preserve">es </w:t>
      </w:r>
      <w:r w:rsidR="00EC3971" w:rsidRPr="009E5034">
        <w:rPr>
          <w:sz w:val="22"/>
          <w:szCs w:val="22"/>
        </w:rPr>
        <w:t>conclusion</w:t>
      </w:r>
      <w:r w:rsidR="00F553F1">
        <w:rPr>
          <w:sz w:val="22"/>
          <w:szCs w:val="22"/>
        </w:rPr>
        <w:t>s pri</w:t>
      </w:r>
      <w:r w:rsidR="00EC3971" w:rsidRPr="009E5034">
        <w:rPr>
          <w:sz w:val="22"/>
          <w:szCs w:val="22"/>
        </w:rPr>
        <w:t>ncipales de l’étude sont présentées dans le</w:t>
      </w:r>
      <w:r w:rsidR="00E446C3" w:rsidRPr="009E5034">
        <w:rPr>
          <w:sz w:val="22"/>
          <w:szCs w:val="22"/>
        </w:rPr>
        <w:t xml:space="preserve"> chapitre </w:t>
      </w:r>
      <w:r w:rsidR="00EC3971" w:rsidRPr="009E5034">
        <w:rPr>
          <w:sz w:val="22"/>
          <w:szCs w:val="22"/>
        </w:rPr>
        <w:t>5</w:t>
      </w:r>
      <w:r w:rsidR="008433E2" w:rsidRPr="009E5034">
        <w:rPr>
          <w:sz w:val="22"/>
          <w:szCs w:val="22"/>
        </w:rPr>
        <w:t>.</w:t>
      </w:r>
      <w:bookmarkStart w:id="18" w:name="_Toc264716014"/>
      <w:bookmarkEnd w:id="2"/>
    </w:p>
    <w:p w:rsidR="00F553F1" w:rsidRPr="009E5034" w:rsidRDefault="003E602F" w:rsidP="009E5034">
      <w:pPr>
        <w:ind w:left="0"/>
        <w:jc w:val="left"/>
        <w:rPr>
          <w:sz w:val="22"/>
          <w:szCs w:val="22"/>
        </w:rPr>
      </w:pPr>
      <w:r>
        <w:rPr>
          <w:sz w:val="22"/>
          <w:szCs w:val="22"/>
        </w:rPr>
        <w:t xml:space="preserve">Le présent volume, </w:t>
      </w:r>
      <w:r w:rsidRPr="003E602F">
        <w:rPr>
          <w:sz w:val="22"/>
          <w:szCs w:val="22"/>
        </w:rPr>
        <w:t>Volume 2</w:t>
      </w:r>
      <w:r>
        <w:rPr>
          <w:sz w:val="22"/>
          <w:szCs w:val="22"/>
        </w:rPr>
        <w:t xml:space="preserve">, </w:t>
      </w:r>
      <w:r w:rsidRPr="003E602F">
        <w:rPr>
          <w:sz w:val="22"/>
          <w:szCs w:val="22"/>
        </w:rPr>
        <w:t xml:space="preserve"> </w:t>
      </w:r>
      <w:r>
        <w:rPr>
          <w:sz w:val="22"/>
          <w:szCs w:val="22"/>
        </w:rPr>
        <w:t>contient les</w:t>
      </w:r>
      <w:r w:rsidR="009B19E6">
        <w:rPr>
          <w:sz w:val="22"/>
          <w:szCs w:val="22"/>
        </w:rPr>
        <w:t xml:space="preserve"> profils environnementaux des villes d</w:t>
      </w:r>
      <w:r w:rsidR="005B7DD8">
        <w:rPr>
          <w:sz w:val="22"/>
          <w:szCs w:val="22"/>
        </w:rPr>
        <w:t xml:space="preserve">e Bamako, Gao, Mopti et Sikasso. </w:t>
      </w:r>
    </w:p>
    <w:p w:rsidR="00FC49A7" w:rsidRPr="009E5034" w:rsidRDefault="00FC49A7" w:rsidP="009E5034">
      <w:pPr>
        <w:autoSpaceDE/>
        <w:autoSpaceDN/>
        <w:adjustRightInd/>
        <w:spacing w:before="0" w:after="200"/>
        <w:ind w:left="0"/>
        <w:jc w:val="left"/>
        <w:rPr>
          <w:b/>
          <w:sz w:val="22"/>
          <w:szCs w:val="22"/>
        </w:rPr>
      </w:pPr>
      <w:bookmarkStart w:id="19" w:name="_Toc288596137"/>
      <w:r w:rsidRPr="009E5034">
        <w:rPr>
          <w:sz w:val="22"/>
          <w:szCs w:val="22"/>
        </w:rPr>
        <w:br w:type="page"/>
      </w:r>
    </w:p>
    <w:p w:rsidR="00F164EF" w:rsidRPr="009E5034" w:rsidRDefault="000D57C1" w:rsidP="000D57C1">
      <w:pPr>
        <w:pStyle w:val="Heading1"/>
      </w:pPr>
      <w:bookmarkStart w:id="20" w:name="_Toc261170189"/>
      <w:bookmarkStart w:id="21" w:name="_Toc264716122"/>
      <w:bookmarkStart w:id="22" w:name="_Toc289855977"/>
      <w:bookmarkEnd w:id="18"/>
      <w:bookmarkEnd w:id="19"/>
      <w:r>
        <w:t>II.</w:t>
      </w:r>
      <w:r>
        <w:tab/>
      </w:r>
      <w:r w:rsidR="00F164EF" w:rsidRPr="009E5034">
        <w:t>Profil environnemental de la ville de Bamako</w:t>
      </w:r>
      <w:bookmarkEnd w:id="20"/>
      <w:bookmarkEnd w:id="21"/>
      <w:bookmarkEnd w:id="22"/>
    </w:p>
    <w:p w:rsidR="00FC49A7" w:rsidRPr="009E5034" w:rsidRDefault="00FC49A7" w:rsidP="009E5034">
      <w:pPr>
        <w:rPr>
          <w:sz w:val="22"/>
          <w:szCs w:val="22"/>
        </w:rPr>
      </w:pPr>
    </w:p>
    <w:p w:rsidR="00F164EF" w:rsidRPr="009E5034" w:rsidRDefault="00F164EF" w:rsidP="009E5034">
      <w:pPr>
        <w:spacing w:after="240"/>
        <w:ind w:left="0"/>
        <w:jc w:val="left"/>
        <w:rPr>
          <w:rStyle w:val="Strong"/>
          <w:rFonts w:eastAsia="MS Mincho"/>
          <w:sz w:val="22"/>
          <w:szCs w:val="22"/>
        </w:rPr>
      </w:pPr>
      <w:bookmarkStart w:id="23" w:name="_Toc253578416"/>
      <w:bookmarkStart w:id="24" w:name="_Toc261170190"/>
      <w:r w:rsidRPr="009E5034">
        <w:rPr>
          <w:rStyle w:val="Strong"/>
          <w:rFonts w:eastAsia="MS Mincho"/>
          <w:sz w:val="22"/>
          <w:szCs w:val="22"/>
        </w:rPr>
        <w:t>1. Dimension et principales caractéristiques naturelles de la ville</w:t>
      </w:r>
      <w:bookmarkEnd w:id="23"/>
      <w:bookmarkEnd w:id="24"/>
    </w:p>
    <w:p w:rsidR="00F164EF" w:rsidRPr="009E5034" w:rsidRDefault="00F164EF" w:rsidP="009E5034">
      <w:pPr>
        <w:ind w:left="0"/>
        <w:jc w:val="left"/>
        <w:rPr>
          <w:sz w:val="22"/>
          <w:szCs w:val="22"/>
        </w:rPr>
      </w:pPr>
      <w:r w:rsidRPr="009E5034">
        <w:rPr>
          <w:sz w:val="22"/>
          <w:szCs w:val="22"/>
        </w:rPr>
        <w:t xml:space="preserve">Bamako est la capitale du Mali, elle est située sur les berges du </w:t>
      </w:r>
      <w:hyperlink r:id="rId10" w:tooltip="Niger (fleuve)" w:history="1">
        <w:r w:rsidRPr="009E5034">
          <w:rPr>
            <w:rStyle w:val="Hyperlink"/>
            <w:rFonts w:eastAsiaTheme="majorEastAsia"/>
            <w:color w:val="auto"/>
            <w:sz w:val="22"/>
            <w:szCs w:val="22"/>
          </w:rPr>
          <w:t>Niger</w:t>
        </w:r>
      </w:hyperlink>
      <w:r w:rsidRPr="009E5034">
        <w:rPr>
          <w:sz w:val="22"/>
          <w:szCs w:val="22"/>
        </w:rPr>
        <w:t xml:space="preserve">, dans le sud-ouest du pays. La ville compte plus d’un million et demi d’habitants, elle observe un rythme de croissance urbaine parmi les plus  élevé d'Afrique. Bamako est le centre administratif du pays, un important port fluvial et un centre commercial pour toute la région alentour. La capitale Bamako est érigée en </w:t>
      </w:r>
      <w:hyperlink r:id="rId11" w:anchor="Les_r.C3.A9gions" w:tooltip="Collectivité territoriale au Mali" w:history="1">
        <w:r w:rsidRPr="009E5034">
          <w:rPr>
            <w:rStyle w:val="Hyperlink"/>
            <w:rFonts w:eastAsiaTheme="majorEastAsia"/>
            <w:color w:val="auto"/>
            <w:sz w:val="22"/>
            <w:szCs w:val="22"/>
          </w:rPr>
          <w:t>district</w:t>
        </w:r>
      </w:hyperlink>
      <w:r w:rsidRPr="009E5034">
        <w:rPr>
          <w:sz w:val="22"/>
          <w:szCs w:val="22"/>
        </w:rPr>
        <w:t xml:space="preserve"> et subdivisée en six </w:t>
      </w:r>
      <w:hyperlink r:id="rId12" w:anchor="Les_communes" w:tooltip="Collectivité territoriale au Mali" w:history="1">
        <w:r w:rsidRPr="009E5034">
          <w:rPr>
            <w:rStyle w:val="Hyperlink"/>
            <w:rFonts w:eastAsiaTheme="majorEastAsia"/>
            <w:color w:val="auto"/>
            <w:sz w:val="22"/>
            <w:szCs w:val="22"/>
          </w:rPr>
          <w:t>communes</w:t>
        </w:r>
      </w:hyperlink>
      <w:r w:rsidRPr="009E5034">
        <w:rPr>
          <w:sz w:val="22"/>
          <w:szCs w:val="22"/>
        </w:rPr>
        <w:t>.</w:t>
      </w:r>
    </w:p>
    <w:p w:rsidR="00F164EF" w:rsidRPr="009E5034" w:rsidRDefault="00F164EF" w:rsidP="009E5034">
      <w:pPr>
        <w:spacing w:after="240"/>
        <w:ind w:left="0"/>
        <w:jc w:val="left"/>
        <w:rPr>
          <w:rStyle w:val="Strong"/>
          <w:rFonts w:eastAsia="MS Mincho"/>
          <w:sz w:val="22"/>
          <w:szCs w:val="22"/>
        </w:rPr>
      </w:pPr>
      <w:bookmarkStart w:id="25" w:name="_Toc253578417"/>
      <w:bookmarkStart w:id="26" w:name="_Toc261170191"/>
      <w:r w:rsidRPr="009E5034">
        <w:rPr>
          <w:rStyle w:val="Strong"/>
          <w:rFonts w:eastAsia="MS Mincho"/>
          <w:sz w:val="22"/>
          <w:szCs w:val="22"/>
        </w:rPr>
        <w:t>1.1. Cadre naturel</w:t>
      </w:r>
      <w:bookmarkEnd w:id="25"/>
      <w:bookmarkEnd w:id="26"/>
    </w:p>
    <w:p w:rsidR="00F164EF" w:rsidRPr="009E5034" w:rsidRDefault="00F164EF" w:rsidP="009E5034">
      <w:pPr>
        <w:spacing w:before="120" w:after="120"/>
        <w:ind w:left="0"/>
        <w:jc w:val="left"/>
        <w:rPr>
          <w:sz w:val="22"/>
          <w:szCs w:val="22"/>
        </w:rPr>
      </w:pPr>
      <w:r w:rsidRPr="009E5034">
        <w:rPr>
          <w:sz w:val="22"/>
          <w:szCs w:val="22"/>
        </w:rPr>
        <w:t xml:space="preserve">La ville de Bamako est logée dans la cuvette du fleuve Niger, elle s’étire sur une environ </w:t>
      </w:r>
      <w:smartTag w:uri="urn:schemas-microsoft-com:office:smarttags" w:element="metricconverter">
        <w:smartTagPr>
          <w:attr w:name="ProductID" w:val="25 kilom￨tres"/>
        </w:smartTagPr>
        <w:r w:rsidRPr="009E5034">
          <w:rPr>
            <w:sz w:val="22"/>
            <w:szCs w:val="22"/>
          </w:rPr>
          <w:t>25 kilomètres</w:t>
        </w:r>
      </w:smartTag>
      <w:r w:rsidRPr="009E5034">
        <w:rPr>
          <w:sz w:val="22"/>
          <w:szCs w:val="22"/>
        </w:rPr>
        <w:t xml:space="preserve"> d’Ouest en Est et sur une quinzaine de kilomètres du Nord au Sud, couvrant une surface de l’ordre de 375 km</w:t>
      </w:r>
      <w:r w:rsidRPr="009E5034">
        <w:rPr>
          <w:sz w:val="22"/>
          <w:szCs w:val="22"/>
          <w:vertAlign w:val="superscript"/>
        </w:rPr>
        <w:t>2</w:t>
      </w:r>
      <w:r w:rsidRPr="009E5034">
        <w:rPr>
          <w:sz w:val="22"/>
          <w:szCs w:val="22"/>
        </w:rPr>
        <w:t>.</w:t>
      </w:r>
    </w:p>
    <w:p w:rsidR="00F164EF" w:rsidRPr="009E5034" w:rsidRDefault="00F164EF" w:rsidP="009E5034">
      <w:pPr>
        <w:spacing w:after="240"/>
        <w:ind w:left="0"/>
        <w:jc w:val="left"/>
        <w:rPr>
          <w:rStyle w:val="Strong"/>
          <w:rFonts w:eastAsia="MS Mincho"/>
          <w:sz w:val="22"/>
          <w:szCs w:val="22"/>
        </w:rPr>
      </w:pPr>
      <w:bookmarkStart w:id="27" w:name="_Toc253578418"/>
      <w:bookmarkStart w:id="28" w:name="_Toc261170192"/>
      <w:r w:rsidRPr="009E5034">
        <w:rPr>
          <w:rStyle w:val="Strong"/>
          <w:rFonts w:eastAsia="MS Mincho"/>
          <w:sz w:val="22"/>
          <w:szCs w:val="22"/>
        </w:rPr>
        <w:t>1.2. Cadre climatique</w:t>
      </w:r>
      <w:bookmarkEnd w:id="27"/>
      <w:bookmarkEnd w:id="28"/>
    </w:p>
    <w:p w:rsidR="00F164EF" w:rsidRPr="009E5034" w:rsidRDefault="00F164EF" w:rsidP="009E5034">
      <w:pPr>
        <w:ind w:left="0"/>
        <w:jc w:val="left"/>
        <w:rPr>
          <w:sz w:val="22"/>
          <w:szCs w:val="22"/>
        </w:rPr>
      </w:pPr>
      <w:r w:rsidRPr="009E5034">
        <w:rPr>
          <w:sz w:val="22"/>
          <w:szCs w:val="22"/>
        </w:rPr>
        <w:t xml:space="preserve">Bamako occupe la frange la plus méridionale du </w:t>
      </w:r>
      <w:hyperlink r:id="rId13" w:tooltip="Sahel africain" w:history="1">
        <w:r w:rsidRPr="009E5034">
          <w:rPr>
            <w:rStyle w:val="Hyperlink"/>
            <w:rFonts w:eastAsiaTheme="majorEastAsia"/>
            <w:color w:val="auto"/>
            <w:sz w:val="22"/>
            <w:szCs w:val="22"/>
          </w:rPr>
          <w:t>Sahel africain</w:t>
        </w:r>
      </w:hyperlink>
      <w:r w:rsidRPr="009E5034">
        <w:rPr>
          <w:sz w:val="22"/>
          <w:szCs w:val="22"/>
        </w:rPr>
        <w:t xml:space="preserve"> correspondant à la zone soudanienne. Elle bénéficie de ce fait d'un climat tropical assez humide avec un total des précipitations annuelles de </w:t>
      </w:r>
      <w:smartTag w:uri="urn:schemas-microsoft-com:office:smarttags" w:element="metricconverter">
        <w:smartTagPr>
          <w:attr w:name="ProductID" w:val="878 millim￨tres"/>
        </w:smartTagPr>
        <w:r w:rsidRPr="009E5034">
          <w:rPr>
            <w:sz w:val="22"/>
            <w:szCs w:val="22"/>
          </w:rPr>
          <w:t>878 millimètres</w:t>
        </w:r>
      </w:smartTag>
      <w:r w:rsidRPr="009E5034">
        <w:rPr>
          <w:sz w:val="22"/>
          <w:szCs w:val="22"/>
        </w:rPr>
        <w:t xml:space="preserve"> mais avec une saison sèche et une saison des pluies bien marquées. Décembre, le mois le plus sec ne reçoit en effet pas la moindre goutte de pluie tandis qu’Août est le mois le plus pluvieux, il reçoit des  précipitations de l’ordre de 230 mm.</w:t>
      </w:r>
    </w:p>
    <w:p w:rsidR="00F164EF" w:rsidRPr="009E5034" w:rsidRDefault="00F164EF" w:rsidP="009E5034">
      <w:pPr>
        <w:spacing w:after="240"/>
        <w:ind w:left="0"/>
        <w:jc w:val="left"/>
        <w:rPr>
          <w:rStyle w:val="Strong"/>
          <w:rFonts w:eastAsia="MS Mincho"/>
          <w:sz w:val="22"/>
          <w:szCs w:val="22"/>
        </w:rPr>
      </w:pPr>
      <w:bookmarkStart w:id="29" w:name="_Toc253578419"/>
      <w:bookmarkStart w:id="30" w:name="_Toc261170193"/>
      <w:r w:rsidRPr="009E5034">
        <w:rPr>
          <w:rStyle w:val="Strong"/>
          <w:rFonts w:eastAsia="MS Mincho"/>
          <w:sz w:val="22"/>
          <w:szCs w:val="22"/>
        </w:rPr>
        <w:t>2. Caractéristiques socioéconomiques de la population</w:t>
      </w:r>
      <w:bookmarkEnd w:id="29"/>
      <w:bookmarkEnd w:id="30"/>
    </w:p>
    <w:p w:rsidR="00F164EF" w:rsidRPr="009E5034" w:rsidRDefault="00F164EF" w:rsidP="009E5034">
      <w:pPr>
        <w:spacing w:after="240"/>
        <w:ind w:left="0"/>
        <w:jc w:val="left"/>
        <w:rPr>
          <w:rStyle w:val="Strong"/>
          <w:rFonts w:eastAsia="MS Mincho"/>
          <w:sz w:val="22"/>
          <w:szCs w:val="22"/>
        </w:rPr>
      </w:pPr>
      <w:bookmarkStart w:id="31" w:name="_Toc253578420"/>
      <w:bookmarkStart w:id="32" w:name="_Toc261170194"/>
      <w:r w:rsidRPr="009E5034">
        <w:rPr>
          <w:rStyle w:val="Strong"/>
          <w:rFonts w:eastAsia="MS Mincho"/>
          <w:sz w:val="22"/>
          <w:szCs w:val="22"/>
        </w:rPr>
        <w:t>2.1. Population et dynamique démographique</w:t>
      </w:r>
      <w:bookmarkEnd w:id="31"/>
      <w:bookmarkEnd w:id="32"/>
    </w:p>
    <w:p w:rsidR="00F164EF" w:rsidRPr="009E5034" w:rsidRDefault="00F164EF" w:rsidP="009E5034">
      <w:pPr>
        <w:spacing w:before="120" w:after="120"/>
        <w:ind w:left="0"/>
        <w:jc w:val="left"/>
        <w:rPr>
          <w:sz w:val="22"/>
          <w:szCs w:val="22"/>
        </w:rPr>
      </w:pPr>
      <w:r w:rsidRPr="009E5034">
        <w:rPr>
          <w:sz w:val="22"/>
          <w:szCs w:val="22"/>
        </w:rPr>
        <w:t xml:space="preserve">Les résultats provisoires du quatrième recensement général de la population et de l’habitat du mali, RDPH, de 2009 fait état d’une population totale de 14 517 176 habitants répartis dans 2 369 866 ménages. La population malienne a été multipliée par 1.5 depuis le troisième recensement de 1998, ce qui représente un taux de croissance annuel moyen de 3.6%. </w:t>
      </w:r>
    </w:p>
    <w:p w:rsidR="00F164EF" w:rsidRPr="009E5034" w:rsidRDefault="00F164EF" w:rsidP="009E5034">
      <w:pPr>
        <w:spacing w:before="120" w:after="120"/>
        <w:ind w:left="0"/>
        <w:jc w:val="left"/>
        <w:rPr>
          <w:sz w:val="22"/>
          <w:szCs w:val="22"/>
        </w:rPr>
      </w:pPr>
      <w:r w:rsidRPr="009E5034">
        <w:rPr>
          <w:sz w:val="22"/>
          <w:szCs w:val="22"/>
        </w:rPr>
        <w:t>La ville de Bamako est la capitale depuis 1960, date d’indépendance de la république du Mali, elle comptait en 1998 un peu plus d’un million d’habitants, elle compte aujourd’hui et d’après le dernier recensement de 2009, 1 809 106 habitants. La population de Bamako a été multipliée par près de 1,8 depuis 1998, ce qui représente un taux de croissance annuel moyen de 4,8 % nettement supérieur au taux de croissance national. Les augmentations les plus importantes sont constatées dans les communes V et VI (respectivement +121% et +112%). Le tableau suivant fournit des indications sur les évolutions de la population à Bamako et par communes.</w:t>
      </w:r>
    </w:p>
    <w:p w:rsidR="00F164EF" w:rsidRPr="009E5034" w:rsidRDefault="00F164EF" w:rsidP="009E5034">
      <w:pPr>
        <w:pStyle w:val="Caption"/>
        <w:ind w:left="899"/>
        <w:rPr>
          <w:rStyle w:val="Emphasis"/>
          <w:sz w:val="22"/>
          <w:szCs w:val="22"/>
        </w:rPr>
      </w:pPr>
      <w:r w:rsidRPr="009E5034">
        <w:rPr>
          <w:rStyle w:val="Emphasis"/>
          <w:sz w:val="22"/>
          <w:szCs w:val="22"/>
        </w:rPr>
        <w:t>Tableau A1.1 : Population de Bamako. Source : RGPH Mali 2009</w:t>
      </w:r>
    </w:p>
    <w:tbl>
      <w:tblPr>
        <w:tblW w:w="5020" w:type="dxa"/>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03"/>
        <w:gridCol w:w="1039"/>
        <w:gridCol w:w="1039"/>
        <w:gridCol w:w="1039"/>
      </w:tblGrid>
      <w:tr w:rsidR="00F164EF" w:rsidRPr="009E5034" w:rsidTr="00183B56">
        <w:tc>
          <w:tcPr>
            <w:tcW w:w="1903" w:type="dxa"/>
          </w:tcPr>
          <w:p w:rsidR="00F164EF" w:rsidRPr="009E5034" w:rsidRDefault="00F164EF" w:rsidP="009E5034">
            <w:pPr>
              <w:pStyle w:val="Tableau"/>
              <w:ind w:left="1"/>
              <w:jc w:val="left"/>
              <w:rPr>
                <w:sz w:val="22"/>
                <w:szCs w:val="22"/>
              </w:rPr>
            </w:pPr>
            <w:r w:rsidRPr="009E5034">
              <w:rPr>
                <w:sz w:val="22"/>
                <w:szCs w:val="22"/>
              </w:rPr>
              <w:t>Population</w:t>
            </w:r>
          </w:p>
        </w:tc>
        <w:tc>
          <w:tcPr>
            <w:tcW w:w="1039" w:type="dxa"/>
          </w:tcPr>
          <w:p w:rsidR="00F164EF" w:rsidRPr="009E5034" w:rsidRDefault="00F164EF" w:rsidP="009E5034">
            <w:pPr>
              <w:pStyle w:val="Tableau"/>
              <w:ind w:left="1"/>
              <w:jc w:val="left"/>
              <w:rPr>
                <w:sz w:val="22"/>
                <w:szCs w:val="22"/>
              </w:rPr>
            </w:pPr>
            <w:r w:rsidRPr="009E5034">
              <w:rPr>
                <w:sz w:val="22"/>
                <w:szCs w:val="22"/>
              </w:rPr>
              <w:t>1998</w:t>
            </w:r>
          </w:p>
        </w:tc>
        <w:tc>
          <w:tcPr>
            <w:tcW w:w="1039" w:type="dxa"/>
          </w:tcPr>
          <w:p w:rsidR="00F164EF" w:rsidRPr="009E5034" w:rsidRDefault="00F164EF" w:rsidP="009E5034">
            <w:pPr>
              <w:pStyle w:val="Tableau"/>
              <w:ind w:left="1"/>
              <w:jc w:val="left"/>
              <w:rPr>
                <w:sz w:val="22"/>
                <w:szCs w:val="22"/>
              </w:rPr>
            </w:pPr>
            <w:r w:rsidRPr="009E5034">
              <w:rPr>
                <w:sz w:val="22"/>
                <w:szCs w:val="22"/>
              </w:rPr>
              <w:t>2007</w:t>
            </w:r>
          </w:p>
        </w:tc>
        <w:tc>
          <w:tcPr>
            <w:tcW w:w="1039" w:type="dxa"/>
          </w:tcPr>
          <w:p w:rsidR="00F164EF" w:rsidRPr="009E5034" w:rsidRDefault="00F164EF" w:rsidP="009E5034">
            <w:pPr>
              <w:pStyle w:val="Tableau"/>
              <w:ind w:left="1"/>
              <w:jc w:val="left"/>
              <w:rPr>
                <w:sz w:val="22"/>
                <w:szCs w:val="22"/>
              </w:rPr>
            </w:pPr>
            <w:r w:rsidRPr="009E5034">
              <w:rPr>
                <w:sz w:val="22"/>
                <w:szCs w:val="22"/>
              </w:rPr>
              <w:t>2009</w:t>
            </w:r>
          </w:p>
        </w:tc>
      </w:tr>
      <w:tr w:rsidR="00F164EF" w:rsidRPr="009E5034" w:rsidTr="00183B56">
        <w:tc>
          <w:tcPr>
            <w:tcW w:w="1903" w:type="dxa"/>
          </w:tcPr>
          <w:p w:rsidR="00F164EF" w:rsidRPr="009E5034" w:rsidRDefault="00F164EF" w:rsidP="009E5034">
            <w:pPr>
              <w:pStyle w:val="Tableau"/>
              <w:ind w:left="1"/>
              <w:jc w:val="left"/>
              <w:rPr>
                <w:sz w:val="22"/>
                <w:szCs w:val="22"/>
              </w:rPr>
            </w:pPr>
            <w:r w:rsidRPr="009E5034">
              <w:rPr>
                <w:sz w:val="22"/>
                <w:szCs w:val="22"/>
              </w:rPr>
              <w:t>Commune 1</w:t>
            </w:r>
          </w:p>
        </w:tc>
        <w:tc>
          <w:tcPr>
            <w:tcW w:w="1039" w:type="dxa"/>
          </w:tcPr>
          <w:p w:rsidR="00F164EF" w:rsidRPr="009E5034" w:rsidRDefault="00F164EF" w:rsidP="009E5034">
            <w:pPr>
              <w:pStyle w:val="Tableau"/>
              <w:ind w:left="1"/>
              <w:jc w:val="left"/>
              <w:rPr>
                <w:sz w:val="22"/>
                <w:szCs w:val="22"/>
              </w:rPr>
            </w:pPr>
            <w:r w:rsidRPr="009E5034">
              <w:rPr>
                <w:sz w:val="22"/>
                <w:szCs w:val="22"/>
              </w:rPr>
              <w:t>195 081</w:t>
            </w:r>
          </w:p>
        </w:tc>
        <w:tc>
          <w:tcPr>
            <w:tcW w:w="1039" w:type="dxa"/>
          </w:tcPr>
          <w:p w:rsidR="00F164EF" w:rsidRPr="009E5034" w:rsidRDefault="00F164EF" w:rsidP="009E5034">
            <w:pPr>
              <w:pStyle w:val="Tableau"/>
              <w:ind w:left="1"/>
              <w:jc w:val="left"/>
              <w:rPr>
                <w:sz w:val="22"/>
                <w:szCs w:val="22"/>
              </w:rPr>
            </w:pPr>
            <w:r w:rsidRPr="009E5034">
              <w:rPr>
                <w:sz w:val="22"/>
                <w:szCs w:val="22"/>
              </w:rPr>
              <w:t>237 966</w:t>
            </w:r>
          </w:p>
        </w:tc>
        <w:tc>
          <w:tcPr>
            <w:tcW w:w="1039" w:type="dxa"/>
          </w:tcPr>
          <w:p w:rsidR="00F164EF" w:rsidRPr="009E5034" w:rsidRDefault="00F164EF" w:rsidP="009E5034">
            <w:pPr>
              <w:pStyle w:val="Tableau"/>
              <w:ind w:left="1"/>
              <w:jc w:val="left"/>
              <w:rPr>
                <w:sz w:val="22"/>
                <w:szCs w:val="22"/>
              </w:rPr>
            </w:pPr>
            <w:r w:rsidRPr="009E5034">
              <w:rPr>
                <w:sz w:val="22"/>
                <w:szCs w:val="22"/>
              </w:rPr>
              <w:t>335 407</w:t>
            </w:r>
          </w:p>
        </w:tc>
      </w:tr>
      <w:tr w:rsidR="00F164EF" w:rsidRPr="009E5034" w:rsidTr="00183B56">
        <w:tc>
          <w:tcPr>
            <w:tcW w:w="1903" w:type="dxa"/>
          </w:tcPr>
          <w:p w:rsidR="00F164EF" w:rsidRPr="009E5034" w:rsidRDefault="00F164EF" w:rsidP="009E5034">
            <w:pPr>
              <w:pStyle w:val="Tableau"/>
              <w:ind w:left="1"/>
              <w:jc w:val="left"/>
              <w:rPr>
                <w:sz w:val="22"/>
                <w:szCs w:val="22"/>
              </w:rPr>
            </w:pPr>
            <w:r w:rsidRPr="009E5034">
              <w:rPr>
                <w:sz w:val="22"/>
                <w:szCs w:val="22"/>
              </w:rPr>
              <w:t>Commune 2</w:t>
            </w:r>
          </w:p>
        </w:tc>
        <w:tc>
          <w:tcPr>
            <w:tcW w:w="1039" w:type="dxa"/>
          </w:tcPr>
          <w:p w:rsidR="00F164EF" w:rsidRPr="009E5034" w:rsidRDefault="00F164EF" w:rsidP="009E5034">
            <w:pPr>
              <w:pStyle w:val="Tableau"/>
              <w:ind w:left="1"/>
              <w:jc w:val="left"/>
              <w:rPr>
                <w:sz w:val="22"/>
                <w:szCs w:val="22"/>
              </w:rPr>
            </w:pPr>
            <w:r w:rsidRPr="009E5034">
              <w:rPr>
                <w:sz w:val="22"/>
                <w:szCs w:val="22"/>
              </w:rPr>
              <w:t>126 353</w:t>
            </w:r>
          </w:p>
        </w:tc>
        <w:tc>
          <w:tcPr>
            <w:tcW w:w="1039" w:type="dxa"/>
          </w:tcPr>
          <w:p w:rsidR="00F164EF" w:rsidRPr="009E5034" w:rsidRDefault="00F164EF" w:rsidP="009E5034">
            <w:pPr>
              <w:pStyle w:val="Tableau"/>
              <w:ind w:left="1"/>
              <w:jc w:val="left"/>
              <w:rPr>
                <w:sz w:val="22"/>
                <w:szCs w:val="22"/>
              </w:rPr>
            </w:pPr>
            <w:r w:rsidRPr="009E5034">
              <w:rPr>
                <w:sz w:val="22"/>
                <w:szCs w:val="22"/>
              </w:rPr>
              <w:t>143 217</w:t>
            </w:r>
          </w:p>
        </w:tc>
        <w:tc>
          <w:tcPr>
            <w:tcW w:w="1039" w:type="dxa"/>
          </w:tcPr>
          <w:p w:rsidR="00F164EF" w:rsidRPr="009E5034" w:rsidRDefault="00F164EF" w:rsidP="009E5034">
            <w:pPr>
              <w:pStyle w:val="Tableau"/>
              <w:ind w:left="1"/>
              <w:jc w:val="left"/>
              <w:rPr>
                <w:sz w:val="22"/>
                <w:szCs w:val="22"/>
              </w:rPr>
            </w:pPr>
            <w:r w:rsidRPr="009E5034">
              <w:rPr>
                <w:sz w:val="22"/>
                <w:szCs w:val="22"/>
              </w:rPr>
              <w:t>159 805</w:t>
            </w:r>
          </w:p>
        </w:tc>
      </w:tr>
      <w:tr w:rsidR="00F164EF" w:rsidRPr="009E5034" w:rsidTr="00183B56">
        <w:tc>
          <w:tcPr>
            <w:tcW w:w="1903" w:type="dxa"/>
          </w:tcPr>
          <w:p w:rsidR="00F164EF" w:rsidRPr="009E5034" w:rsidRDefault="00F164EF" w:rsidP="009E5034">
            <w:pPr>
              <w:pStyle w:val="Tableau"/>
              <w:ind w:left="1"/>
              <w:jc w:val="left"/>
              <w:rPr>
                <w:sz w:val="22"/>
                <w:szCs w:val="22"/>
              </w:rPr>
            </w:pPr>
            <w:r w:rsidRPr="009E5034">
              <w:rPr>
                <w:sz w:val="22"/>
                <w:szCs w:val="22"/>
              </w:rPr>
              <w:t>Commune 3</w:t>
            </w:r>
          </w:p>
        </w:tc>
        <w:tc>
          <w:tcPr>
            <w:tcW w:w="1039" w:type="dxa"/>
          </w:tcPr>
          <w:p w:rsidR="00F164EF" w:rsidRPr="009E5034" w:rsidRDefault="00F164EF" w:rsidP="009E5034">
            <w:pPr>
              <w:pStyle w:val="Tableau"/>
              <w:ind w:left="1"/>
              <w:jc w:val="left"/>
              <w:rPr>
                <w:sz w:val="22"/>
                <w:szCs w:val="22"/>
              </w:rPr>
            </w:pPr>
            <w:r w:rsidRPr="009E5034">
              <w:rPr>
                <w:sz w:val="22"/>
                <w:szCs w:val="22"/>
              </w:rPr>
              <w:t>99 753</w:t>
            </w:r>
          </w:p>
        </w:tc>
        <w:tc>
          <w:tcPr>
            <w:tcW w:w="1039" w:type="dxa"/>
          </w:tcPr>
          <w:p w:rsidR="00F164EF" w:rsidRPr="009E5034" w:rsidRDefault="00F164EF" w:rsidP="009E5034">
            <w:pPr>
              <w:pStyle w:val="Tableau"/>
              <w:ind w:left="1"/>
              <w:jc w:val="left"/>
              <w:rPr>
                <w:sz w:val="22"/>
                <w:szCs w:val="22"/>
              </w:rPr>
            </w:pPr>
            <w:r w:rsidRPr="009E5034">
              <w:rPr>
                <w:sz w:val="22"/>
                <w:szCs w:val="22"/>
              </w:rPr>
              <w:t>101 563</w:t>
            </w:r>
          </w:p>
        </w:tc>
        <w:tc>
          <w:tcPr>
            <w:tcW w:w="1039" w:type="dxa"/>
          </w:tcPr>
          <w:p w:rsidR="00F164EF" w:rsidRPr="009E5034" w:rsidRDefault="00F164EF" w:rsidP="009E5034">
            <w:pPr>
              <w:pStyle w:val="Tableau"/>
              <w:ind w:left="1"/>
              <w:jc w:val="left"/>
              <w:rPr>
                <w:sz w:val="22"/>
                <w:szCs w:val="22"/>
              </w:rPr>
            </w:pPr>
            <w:r w:rsidRPr="009E5034">
              <w:rPr>
                <w:sz w:val="22"/>
                <w:szCs w:val="22"/>
              </w:rPr>
              <w:t>128 872</w:t>
            </w:r>
          </w:p>
        </w:tc>
      </w:tr>
      <w:tr w:rsidR="00F164EF" w:rsidRPr="009E5034" w:rsidTr="00183B56">
        <w:tc>
          <w:tcPr>
            <w:tcW w:w="1903" w:type="dxa"/>
          </w:tcPr>
          <w:p w:rsidR="00F164EF" w:rsidRPr="009E5034" w:rsidRDefault="00F164EF" w:rsidP="009E5034">
            <w:pPr>
              <w:pStyle w:val="Tableau"/>
              <w:ind w:left="1"/>
              <w:jc w:val="left"/>
              <w:rPr>
                <w:sz w:val="22"/>
                <w:szCs w:val="22"/>
              </w:rPr>
            </w:pPr>
            <w:r w:rsidRPr="009E5034">
              <w:rPr>
                <w:sz w:val="22"/>
                <w:szCs w:val="22"/>
              </w:rPr>
              <w:t>Commune 4</w:t>
            </w:r>
          </w:p>
        </w:tc>
        <w:tc>
          <w:tcPr>
            <w:tcW w:w="1039" w:type="dxa"/>
          </w:tcPr>
          <w:p w:rsidR="00F164EF" w:rsidRPr="009E5034" w:rsidRDefault="00F164EF" w:rsidP="009E5034">
            <w:pPr>
              <w:pStyle w:val="Tableau"/>
              <w:ind w:left="1"/>
              <w:jc w:val="left"/>
              <w:rPr>
                <w:sz w:val="22"/>
                <w:szCs w:val="22"/>
              </w:rPr>
            </w:pPr>
            <w:r w:rsidRPr="009E5034">
              <w:rPr>
                <w:sz w:val="22"/>
                <w:szCs w:val="22"/>
              </w:rPr>
              <w:t>186 200</w:t>
            </w:r>
          </w:p>
        </w:tc>
        <w:tc>
          <w:tcPr>
            <w:tcW w:w="1039" w:type="dxa"/>
          </w:tcPr>
          <w:p w:rsidR="00F164EF" w:rsidRPr="009E5034" w:rsidRDefault="00F164EF" w:rsidP="009E5034">
            <w:pPr>
              <w:pStyle w:val="Tableau"/>
              <w:ind w:left="1"/>
              <w:jc w:val="left"/>
              <w:rPr>
                <w:sz w:val="22"/>
                <w:szCs w:val="22"/>
              </w:rPr>
            </w:pPr>
            <w:r w:rsidRPr="009E5034">
              <w:rPr>
                <w:sz w:val="22"/>
                <w:szCs w:val="22"/>
              </w:rPr>
              <w:t>228 480</w:t>
            </w:r>
          </w:p>
        </w:tc>
        <w:tc>
          <w:tcPr>
            <w:tcW w:w="1039" w:type="dxa"/>
          </w:tcPr>
          <w:p w:rsidR="00F164EF" w:rsidRPr="009E5034" w:rsidRDefault="00F164EF" w:rsidP="009E5034">
            <w:pPr>
              <w:pStyle w:val="Tableau"/>
              <w:ind w:left="1"/>
              <w:jc w:val="left"/>
              <w:rPr>
                <w:sz w:val="22"/>
                <w:szCs w:val="22"/>
              </w:rPr>
            </w:pPr>
            <w:r w:rsidRPr="009E5034">
              <w:rPr>
                <w:sz w:val="22"/>
                <w:szCs w:val="22"/>
              </w:rPr>
              <w:t>300 085</w:t>
            </w:r>
          </w:p>
        </w:tc>
      </w:tr>
      <w:tr w:rsidR="00F164EF" w:rsidRPr="009E5034" w:rsidTr="00183B56">
        <w:tc>
          <w:tcPr>
            <w:tcW w:w="1903" w:type="dxa"/>
          </w:tcPr>
          <w:p w:rsidR="00F164EF" w:rsidRPr="009E5034" w:rsidRDefault="00F164EF" w:rsidP="009E5034">
            <w:pPr>
              <w:pStyle w:val="Tableau"/>
              <w:ind w:left="1"/>
              <w:jc w:val="left"/>
              <w:rPr>
                <w:sz w:val="22"/>
                <w:szCs w:val="22"/>
              </w:rPr>
            </w:pPr>
            <w:r w:rsidRPr="009E5034">
              <w:rPr>
                <w:sz w:val="22"/>
                <w:szCs w:val="22"/>
              </w:rPr>
              <w:t>Commune 5</w:t>
            </w:r>
          </w:p>
        </w:tc>
        <w:tc>
          <w:tcPr>
            <w:tcW w:w="1039" w:type="dxa"/>
          </w:tcPr>
          <w:p w:rsidR="00F164EF" w:rsidRPr="009E5034" w:rsidRDefault="00F164EF" w:rsidP="009E5034">
            <w:pPr>
              <w:pStyle w:val="Tableau"/>
              <w:ind w:left="1"/>
              <w:jc w:val="left"/>
              <w:rPr>
                <w:sz w:val="22"/>
                <w:szCs w:val="22"/>
              </w:rPr>
            </w:pPr>
            <w:r w:rsidRPr="009E5034">
              <w:rPr>
                <w:sz w:val="22"/>
                <w:szCs w:val="22"/>
              </w:rPr>
              <w:t>187 513</w:t>
            </w:r>
          </w:p>
        </w:tc>
        <w:tc>
          <w:tcPr>
            <w:tcW w:w="1039" w:type="dxa"/>
          </w:tcPr>
          <w:p w:rsidR="00F164EF" w:rsidRPr="009E5034" w:rsidRDefault="00F164EF" w:rsidP="009E5034">
            <w:pPr>
              <w:pStyle w:val="Tableau"/>
              <w:ind w:left="1"/>
              <w:jc w:val="left"/>
              <w:rPr>
                <w:sz w:val="22"/>
                <w:szCs w:val="22"/>
              </w:rPr>
            </w:pPr>
            <w:r w:rsidRPr="009E5034">
              <w:rPr>
                <w:sz w:val="22"/>
                <w:szCs w:val="22"/>
              </w:rPr>
              <w:t>283 272</w:t>
            </w:r>
          </w:p>
        </w:tc>
        <w:tc>
          <w:tcPr>
            <w:tcW w:w="1039" w:type="dxa"/>
          </w:tcPr>
          <w:p w:rsidR="00F164EF" w:rsidRPr="009E5034" w:rsidRDefault="00F164EF" w:rsidP="009E5034">
            <w:pPr>
              <w:pStyle w:val="Tableau"/>
              <w:ind w:left="1"/>
              <w:jc w:val="left"/>
              <w:rPr>
                <w:sz w:val="22"/>
                <w:szCs w:val="22"/>
              </w:rPr>
            </w:pPr>
            <w:r w:rsidRPr="009E5034">
              <w:rPr>
                <w:sz w:val="22"/>
                <w:szCs w:val="22"/>
              </w:rPr>
              <w:t>414 668</w:t>
            </w:r>
          </w:p>
        </w:tc>
      </w:tr>
      <w:tr w:rsidR="00F164EF" w:rsidRPr="009E5034" w:rsidTr="00183B56">
        <w:tc>
          <w:tcPr>
            <w:tcW w:w="1903" w:type="dxa"/>
          </w:tcPr>
          <w:p w:rsidR="00F164EF" w:rsidRPr="009E5034" w:rsidRDefault="00F164EF" w:rsidP="009E5034">
            <w:pPr>
              <w:pStyle w:val="Tableau"/>
              <w:ind w:left="1"/>
              <w:jc w:val="left"/>
              <w:rPr>
                <w:sz w:val="22"/>
                <w:szCs w:val="22"/>
              </w:rPr>
            </w:pPr>
            <w:r w:rsidRPr="009E5034">
              <w:rPr>
                <w:sz w:val="22"/>
                <w:szCs w:val="22"/>
              </w:rPr>
              <w:t>Commune 6</w:t>
            </w:r>
          </w:p>
        </w:tc>
        <w:tc>
          <w:tcPr>
            <w:tcW w:w="1039" w:type="dxa"/>
          </w:tcPr>
          <w:p w:rsidR="00F164EF" w:rsidRPr="009E5034" w:rsidRDefault="00F164EF" w:rsidP="009E5034">
            <w:pPr>
              <w:pStyle w:val="Tableau"/>
              <w:ind w:left="1"/>
              <w:jc w:val="left"/>
              <w:rPr>
                <w:sz w:val="22"/>
                <w:szCs w:val="22"/>
              </w:rPr>
            </w:pPr>
            <w:r w:rsidRPr="009E5034">
              <w:rPr>
                <w:sz w:val="22"/>
                <w:szCs w:val="22"/>
              </w:rPr>
              <w:t>221 396</w:t>
            </w:r>
          </w:p>
        </w:tc>
        <w:tc>
          <w:tcPr>
            <w:tcW w:w="1039" w:type="dxa"/>
          </w:tcPr>
          <w:p w:rsidR="00F164EF" w:rsidRPr="009E5034" w:rsidRDefault="00F164EF" w:rsidP="009E5034">
            <w:pPr>
              <w:pStyle w:val="Tableau"/>
              <w:ind w:left="1"/>
              <w:jc w:val="left"/>
              <w:rPr>
                <w:sz w:val="22"/>
                <w:szCs w:val="22"/>
              </w:rPr>
            </w:pPr>
            <w:r w:rsidRPr="009E5034">
              <w:rPr>
                <w:sz w:val="22"/>
                <w:szCs w:val="22"/>
              </w:rPr>
              <w:t>482 323</w:t>
            </w:r>
          </w:p>
        </w:tc>
        <w:tc>
          <w:tcPr>
            <w:tcW w:w="1039" w:type="dxa"/>
          </w:tcPr>
          <w:p w:rsidR="00F164EF" w:rsidRPr="009E5034" w:rsidRDefault="00F164EF" w:rsidP="009E5034">
            <w:pPr>
              <w:pStyle w:val="Tableau"/>
              <w:ind w:left="1"/>
              <w:jc w:val="left"/>
              <w:rPr>
                <w:sz w:val="22"/>
                <w:szCs w:val="22"/>
              </w:rPr>
            </w:pPr>
            <w:r w:rsidRPr="009E5034">
              <w:rPr>
                <w:sz w:val="22"/>
                <w:szCs w:val="22"/>
              </w:rPr>
              <w:t>470 269</w:t>
            </w:r>
          </w:p>
        </w:tc>
      </w:tr>
      <w:tr w:rsidR="00F164EF" w:rsidRPr="009E5034" w:rsidTr="00183B56">
        <w:tc>
          <w:tcPr>
            <w:tcW w:w="1903" w:type="dxa"/>
          </w:tcPr>
          <w:p w:rsidR="00F164EF" w:rsidRPr="009E5034" w:rsidRDefault="00F164EF" w:rsidP="009E5034">
            <w:pPr>
              <w:pStyle w:val="Tableau"/>
              <w:ind w:left="1"/>
              <w:jc w:val="left"/>
              <w:rPr>
                <w:sz w:val="22"/>
                <w:szCs w:val="22"/>
              </w:rPr>
            </w:pPr>
            <w:r w:rsidRPr="009E5034">
              <w:rPr>
                <w:sz w:val="22"/>
                <w:szCs w:val="22"/>
              </w:rPr>
              <w:t>Total</w:t>
            </w:r>
          </w:p>
        </w:tc>
        <w:tc>
          <w:tcPr>
            <w:tcW w:w="1039" w:type="dxa"/>
          </w:tcPr>
          <w:p w:rsidR="00F164EF" w:rsidRPr="009E5034" w:rsidRDefault="00F164EF" w:rsidP="009E5034">
            <w:pPr>
              <w:pStyle w:val="Tableau"/>
              <w:ind w:left="1"/>
              <w:jc w:val="left"/>
              <w:rPr>
                <w:sz w:val="22"/>
                <w:szCs w:val="22"/>
              </w:rPr>
            </w:pPr>
            <w:r w:rsidRPr="009E5034">
              <w:rPr>
                <w:sz w:val="22"/>
                <w:szCs w:val="22"/>
              </w:rPr>
              <w:t>1 016 296</w:t>
            </w:r>
          </w:p>
        </w:tc>
        <w:tc>
          <w:tcPr>
            <w:tcW w:w="1039" w:type="dxa"/>
          </w:tcPr>
          <w:p w:rsidR="00F164EF" w:rsidRPr="009E5034" w:rsidRDefault="00F164EF" w:rsidP="009E5034">
            <w:pPr>
              <w:pStyle w:val="Tableau"/>
              <w:ind w:left="1"/>
              <w:jc w:val="left"/>
              <w:rPr>
                <w:sz w:val="22"/>
                <w:szCs w:val="22"/>
              </w:rPr>
            </w:pPr>
            <w:r w:rsidRPr="009E5034">
              <w:rPr>
                <w:sz w:val="22"/>
                <w:szCs w:val="22"/>
              </w:rPr>
              <w:t>1 476 821</w:t>
            </w:r>
          </w:p>
        </w:tc>
        <w:tc>
          <w:tcPr>
            <w:tcW w:w="1039" w:type="dxa"/>
          </w:tcPr>
          <w:p w:rsidR="00F164EF" w:rsidRPr="009E5034" w:rsidRDefault="00F164EF" w:rsidP="009E5034">
            <w:pPr>
              <w:pStyle w:val="Tableau"/>
              <w:ind w:left="1"/>
              <w:jc w:val="left"/>
              <w:rPr>
                <w:sz w:val="22"/>
                <w:szCs w:val="22"/>
              </w:rPr>
            </w:pPr>
            <w:r w:rsidRPr="009E5034">
              <w:rPr>
                <w:sz w:val="22"/>
                <w:szCs w:val="22"/>
              </w:rPr>
              <w:t>1 809 106</w:t>
            </w:r>
          </w:p>
        </w:tc>
      </w:tr>
      <w:tr w:rsidR="00F164EF" w:rsidRPr="009E5034" w:rsidTr="00183B56">
        <w:tc>
          <w:tcPr>
            <w:tcW w:w="1903" w:type="dxa"/>
          </w:tcPr>
          <w:p w:rsidR="00F164EF" w:rsidRPr="009E5034" w:rsidRDefault="00F164EF" w:rsidP="009E5034">
            <w:pPr>
              <w:pStyle w:val="Tableau"/>
              <w:ind w:left="1"/>
              <w:jc w:val="left"/>
              <w:rPr>
                <w:sz w:val="22"/>
                <w:szCs w:val="22"/>
              </w:rPr>
            </w:pPr>
            <w:r w:rsidRPr="009E5034">
              <w:rPr>
                <w:sz w:val="22"/>
                <w:szCs w:val="22"/>
              </w:rPr>
              <w:t>Taux d’accroissement</w:t>
            </w:r>
          </w:p>
        </w:tc>
        <w:tc>
          <w:tcPr>
            <w:tcW w:w="1039" w:type="dxa"/>
          </w:tcPr>
          <w:p w:rsidR="00F164EF" w:rsidRPr="009E5034" w:rsidRDefault="00F164EF" w:rsidP="009E5034">
            <w:pPr>
              <w:pStyle w:val="Tableau"/>
              <w:ind w:left="1"/>
              <w:jc w:val="left"/>
              <w:rPr>
                <w:sz w:val="22"/>
                <w:szCs w:val="22"/>
              </w:rPr>
            </w:pPr>
            <w:r w:rsidRPr="009E5034">
              <w:rPr>
                <w:sz w:val="22"/>
                <w:szCs w:val="22"/>
              </w:rPr>
              <w:t>4.4%</w:t>
            </w:r>
          </w:p>
        </w:tc>
        <w:tc>
          <w:tcPr>
            <w:tcW w:w="1039" w:type="dxa"/>
          </w:tcPr>
          <w:p w:rsidR="00F164EF" w:rsidRPr="009E5034" w:rsidRDefault="00F164EF" w:rsidP="009E5034">
            <w:pPr>
              <w:pStyle w:val="Tableau"/>
              <w:ind w:left="1"/>
              <w:jc w:val="left"/>
              <w:rPr>
                <w:sz w:val="22"/>
                <w:szCs w:val="22"/>
              </w:rPr>
            </w:pPr>
            <w:r w:rsidRPr="009E5034">
              <w:rPr>
                <w:sz w:val="22"/>
                <w:szCs w:val="22"/>
              </w:rPr>
              <w:t>4.0%</w:t>
            </w:r>
          </w:p>
        </w:tc>
        <w:tc>
          <w:tcPr>
            <w:tcW w:w="1039" w:type="dxa"/>
          </w:tcPr>
          <w:p w:rsidR="00F164EF" w:rsidRPr="009E5034" w:rsidRDefault="00F164EF" w:rsidP="009E5034">
            <w:pPr>
              <w:pStyle w:val="Tableau"/>
              <w:ind w:left="1"/>
              <w:jc w:val="left"/>
              <w:rPr>
                <w:sz w:val="22"/>
                <w:szCs w:val="22"/>
              </w:rPr>
            </w:pPr>
            <w:r w:rsidRPr="009E5034">
              <w:rPr>
                <w:sz w:val="22"/>
                <w:szCs w:val="22"/>
              </w:rPr>
              <w:t>4.8%</w:t>
            </w:r>
          </w:p>
        </w:tc>
      </w:tr>
    </w:tbl>
    <w:p w:rsidR="00F164EF" w:rsidRPr="009E5034" w:rsidRDefault="00F164EF" w:rsidP="009E5034">
      <w:pPr>
        <w:spacing w:after="240"/>
        <w:ind w:left="0"/>
        <w:jc w:val="left"/>
        <w:rPr>
          <w:rStyle w:val="Strong"/>
          <w:rFonts w:eastAsia="MS Mincho"/>
          <w:sz w:val="22"/>
          <w:szCs w:val="22"/>
        </w:rPr>
      </w:pPr>
      <w:bookmarkStart w:id="33" w:name="_Toc253578421"/>
      <w:bookmarkStart w:id="34" w:name="_Toc261170195"/>
      <w:r w:rsidRPr="009E5034">
        <w:rPr>
          <w:rStyle w:val="Strong"/>
          <w:rFonts w:eastAsia="MS Mincho"/>
          <w:sz w:val="22"/>
          <w:szCs w:val="22"/>
        </w:rPr>
        <w:t>2.2. Emplois, revenus et dépenses</w:t>
      </w:r>
      <w:bookmarkEnd w:id="33"/>
      <w:r w:rsidRPr="009E5034">
        <w:rPr>
          <w:rStyle w:val="Strong"/>
          <w:rFonts w:eastAsia="MS Mincho"/>
          <w:sz w:val="22"/>
          <w:szCs w:val="22"/>
        </w:rPr>
        <w:t xml:space="preserve"> des ménages</w:t>
      </w:r>
      <w:bookmarkEnd w:id="34"/>
    </w:p>
    <w:p w:rsidR="00F164EF" w:rsidRPr="009E5034" w:rsidRDefault="00F164EF" w:rsidP="009E5034">
      <w:pPr>
        <w:spacing w:before="120" w:after="120"/>
        <w:ind w:left="0"/>
        <w:jc w:val="left"/>
        <w:rPr>
          <w:sz w:val="22"/>
          <w:szCs w:val="22"/>
        </w:rPr>
      </w:pPr>
      <w:r w:rsidRPr="009E5034">
        <w:rPr>
          <w:sz w:val="22"/>
          <w:szCs w:val="22"/>
        </w:rPr>
        <w:t>Le tableau suivant nous renseigne sur les emplois occupés par les chefs de ménages enquêtés dans le cadre de l’étude sur le schéma directeur d’assainissement de la ville de Bamako, 2007. Les bamakois sont principalement commerçants, fonctionnaires et artisans. A Bamako, le niveau des revenus du travail est faible, en 2002, le</w:t>
      </w:r>
      <w:r w:rsidR="00B50ABF">
        <w:rPr>
          <w:sz w:val="22"/>
          <w:szCs w:val="22"/>
        </w:rPr>
        <w:t xml:space="preserve"> revenu mensuel moyen est de 53</w:t>
      </w:r>
      <w:r w:rsidRPr="009E5034">
        <w:rPr>
          <w:sz w:val="22"/>
          <w:szCs w:val="22"/>
        </w:rPr>
        <w:t xml:space="preserve">000 CFA et la moitié des travailleurs gagnent moins de 30000 CFA par mois. Deux salariés </w:t>
      </w:r>
      <w:r w:rsidR="00B50ABF">
        <w:rPr>
          <w:sz w:val="22"/>
          <w:szCs w:val="22"/>
        </w:rPr>
        <w:t>sur cinq perçoivent moins de 22</w:t>
      </w:r>
      <w:r w:rsidRPr="009E5034">
        <w:rPr>
          <w:sz w:val="22"/>
          <w:szCs w:val="22"/>
        </w:rPr>
        <w:t xml:space="preserve">000 CFA par mois à Bamako et </w:t>
      </w:r>
      <w:r w:rsidR="00B50ABF">
        <w:rPr>
          <w:sz w:val="22"/>
          <w:szCs w:val="22"/>
        </w:rPr>
        <w:t>13% seulement gagent plus de 80</w:t>
      </w:r>
      <w:r w:rsidRPr="009E5034">
        <w:rPr>
          <w:sz w:val="22"/>
          <w:szCs w:val="22"/>
        </w:rPr>
        <w:t>000 CFA par mois.</w:t>
      </w:r>
    </w:p>
    <w:p w:rsidR="00F164EF" w:rsidRPr="009E5034" w:rsidRDefault="00F164EF" w:rsidP="009E5034">
      <w:pPr>
        <w:pStyle w:val="Caption"/>
        <w:ind w:left="899"/>
        <w:rPr>
          <w:rStyle w:val="Emphasis"/>
          <w:sz w:val="22"/>
          <w:szCs w:val="22"/>
        </w:rPr>
      </w:pPr>
      <w:r w:rsidRPr="009E5034">
        <w:rPr>
          <w:rStyle w:val="Emphasis"/>
          <w:sz w:val="22"/>
          <w:szCs w:val="22"/>
        </w:rPr>
        <w:t>Tableau A1.2 : Emplois des chefs de ménages dans la ville de Bamako en 2007. Source : SDA Bamako 2007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77"/>
        <w:gridCol w:w="1958"/>
        <w:gridCol w:w="1415"/>
      </w:tblGrid>
      <w:tr w:rsidR="00F164EF" w:rsidRPr="009E5034" w:rsidTr="00072CBC">
        <w:tc>
          <w:tcPr>
            <w:tcW w:w="3377" w:type="dxa"/>
            <w:vAlign w:val="center"/>
          </w:tcPr>
          <w:p w:rsidR="00F164EF" w:rsidRPr="009E5034" w:rsidRDefault="00F164EF" w:rsidP="009E5034">
            <w:pPr>
              <w:pStyle w:val="Tableau"/>
              <w:ind w:left="1"/>
              <w:jc w:val="left"/>
              <w:rPr>
                <w:sz w:val="22"/>
                <w:szCs w:val="22"/>
              </w:rPr>
            </w:pPr>
            <w:r w:rsidRPr="009E5034">
              <w:rPr>
                <w:sz w:val="22"/>
                <w:szCs w:val="22"/>
              </w:rPr>
              <w:br w:type="page"/>
              <w:t>Emplois occupés par les chefs de ménages</w:t>
            </w:r>
          </w:p>
        </w:tc>
        <w:tc>
          <w:tcPr>
            <w:tcW w:w="1958" w:type="dxa"/>
            <w:vAlign w:val="center"/>
          </w:tcPr>
          <w:p w:rsidR="00F164EF" w:rsidRPr="009E5034" w:rsidRDefault="00F164EF" w:rsidP="009E5034">
            <w:pPr>
              <w:pStyle w:val="Tableau"/>
              <w:ind w:left="1"/>
              <w:jc w:val="left"/>
              <w:rPr>
                <w:sz w:val="22"/>
                <w:szCs w:val="22"/>
              </w:rPr>
            </w:pPr>
            <w:r w:rsidRPr="009E5034">
              <w:rPr>
                <w:sz w:val="22"/>
                <w:szCs w:val="22"/>
              </w:rPr>
              <w:t>Nombre de répondants</w:t>
            </w:r>
          </w:p>
        </w:tc>
        <w:tc>
          <w:tcPr>
            <w:tcW w:w="1415" w:type="dxa"/>
            <w:vAlign w:val="center"/>
          </w:tcPr>
          <w:p w:rsidR="00F164EF" w:rsidRPr="009E5034" w:rsidRDefault="00F164EF" w:rsidP="009E5034">
            <w:pPr>
              <w:pStyle w:val="Tableau"/>
              <w:ind w:left="1"/>
              <w:jc w:val="left"/>
              <w:rPr>
                <w:sz w:val="22"/>
                <w:szCs w:val="22"/>
              </w:rPr>
            </w:pPr>
            <w:r w:rsidRPr="009E5034">
              <w:rPr>
                <w:sz w:val="22"/>
                <w:szCs w:val="22"/>
              </w:rPr>
              <w:t>Pourcentage</w:t>
            </w:r>
          </w:p>
        </w:tc>
      </w:tr>
      <w:tr w:rsidR="00F164EF" w:rsidRPr="009E5034" w:rsidTr="00072CBC">
        <w:tc>
          <w:tcPr>
            <w:tcW w:w="3377" w:type="dxa"/>
          </w:tcPr>
          <w:p w:rsidR="00F164EF" w:rsidRPr="009E5034" w:rsidRDefault="00F164EF" w:rsidP="009E5034">
            <w:pPr>
              <w:pStyle w:val="Tableau"/>
              <w:ind w:left="1"/>
              <w:jc w:val="left"/>
              <w:rPr>
                <w:sz w:val="22"/>
                <w:szCs w:val="22"/>
              </w:rPr>
            </w:pPr>
            <w:r w:rsidRPr="009E5034">
              <w:rPr>
                <w:sz w:val="22"/>
                <w:szCs w:val="22"/>
              </w:rPr>
              <w:t>Commerçants</w:t>
            </w:r>
          </w:p>
        </w:tc>
        <w:tc>
          <w:tcPr>
            <w:tcW w:w="1958" w:type="dxa"/>
          </w:tcPr>
          <w:p w:rsidR="00F164EF" w:rsidRPr="009E5034" w:rsidRDefault="00F164EF" w:rsidP="009E5034">
            <w:pPr>
              <w:pStyle w:val="Tableau"/>
              <w:ind w:left="1"/>
              <w:jc w:val="left"/>
              <w:rPr>
                <w:sz w:val="22"/>
                <w:szCs w:val="22"/>
              </w:rPr>
            </w:pPr>
            <w:r w:rsidRPr="009E5034">
              <w:rPr>
                <w:sz w:val="22"/>
                <w:szCs w:val="22"/>
              </w:rPr>
              <w:t>345</w:t>
            </w:r>
          </w:p>
        </w:tc>
        <w:tc>
          <w:tcPr>
            <w:tcW w:w="1415" w:type="dxa"/>
          </w:tcPr>
          <w:p w:rsidR="00F164EF" w:rsidRPr="009E5034" w:rsidRDefault="00F164EF" w:rsidP="009E5034">
            <w:pPr>
              <w:pStyle w:val="Tableau"/>
              <w:ind w:left="1"/>
              <w:jc w:val="left"/>
              <w:rPr>
                <w:sz w:val="22"/>
                <w:szCs w:val="22"/>
              </w:rPr>
            </w:pPr>
            <w:r w:rsidRPr="009E5034">
              <w:rPr>
                <w:sz w:val="22"/>
                <w:szCs w:val="22"/>
              </w:rPr>
              <w:t>33.14%</w:t>
            </w:r>
          </w:p>
        </w:tc>
      </w:tr>
      <w:tr w:rsidR="00F164EF" w:rsidRPr="009E5034" w:rsidTr="00072CBC">
        <w:tc>
          <w:tcPr>
            <w:tcW w:w="3377" w:type="dxa"/>
          </w:tcPr>
          <w:p w:rsidR="00F164EF" w:rsidRPr="009E5034" w:rsidRDefault="00F164EF" w:rsidP="009E5034">
            <w:pPr>
              <w:pStyle w:val="Tableau"/>
              <w:ind w:left="1"/>
              <w:jc w:val="left"/>
              <w:rPr>
                <w:sz w:val="22"/>
                <w:szCs w:val="22"/>
              </w:rPr>
            </w:pPr>
            <w:r w:rsidRPr="009E5034">
              <w:rPr>
                <w:sz w:val="22"/>
                <w:szCs w:val="22"/>
              </w:rPr>
              <w:t>Fonctionnaires</w:t>
            </w:r>
          </w:p>
        </w:tc>
        <w:tc>
          <w:tcPr>
            <w:tcW w:w="1958" w:type="dxa"/>
          </w:tcPr>
          <w:p w:rsidR="00F164EF" w:rsidRPr="009E5034" w:rsidRDefault="00F164EF" w:rsidP="009E5034">
            <w:pPr>
              <w:pStyle w:val="Tableau"/>
              <w:ind w:left="1"/>
              <w:jc w:val="left"/>
              <w:rPr>
                <w:sz w:val="22"/>
                <w:szCs w:val="22"/>
              </w:rPr>
            </w:pPr>
            <w:r w:rsidRPr="009E5034">
              <w:rPr>
                <w:sz w:val="22"/>
                <w:szCs w:val="22"/>
              </w:rPr>
              <w:t>328</w:t>
            </w:r>
          </w:p>
        </w:tc>
        <w:tc>
          <w:tcPr>
            <w:tcW w:w="1415" w:type="dxa"/>
          </w:tcPr>
          <w:p w:rsidR="00F164EF" w:rsidRPr="009E5034" w:rsidRDefault="00F164EF" w:rsidP="009E5034">
            <w:pPr>
              <w:pStyle w:val="Tableau"/>
              <w:ind w:left="1"/>
              <w:jc w:val="left"/>
              <w:rPr>
                <w:sz w:val="22"/>
                <w:szCs w:val="22"/>
              </w:rPr>
            </w:pPr>
            <w:r w:rsidRPr="009E5034">
              <w:rPr>
                <w:sz w:val="22"/>
                <w:szCs w:val="22"/>
              </w:rPr>
              <w:t>31.51%</w:t>
            </w:r>
          </w:p>
        </w:tc>
      </w:tr>
      <w:tr w:rsidR="00F164EF" w:rsidRPr="009E5034" w:rsidTr="00072CBC">
        <w:tc>
          <w:tcPr>
            <w:tcW w:w="3377" w:type="dxa"/>
          </w:tcPr>
          <w:p w:rsidR="00F164EF" w:rsidRPr="009E5034" w:rsidRDefault="00F164EF" w:rsidP="009E5034">
            <w:pPr>
              <w:pStyle w:val="Tableau"/>
              <w:ind w:left="1"/>
              <w:jc w:val="left"/>
              <w:rPr>
                <w:sz w:val="22"/>
                <w:szCs w:val="22"/>
              </w:rPr>
            </w:pPr>
            <w:r w:rsidRPr="009E5034">
              <w:rPr>
                <w:sz w:val="22"/>
                <w:szCs w:val="22"/>
              </w:rPr>
              <w:t>Artisans</w:t>
            </w:r>
          </w:p>
        </w:tc>
        <w:tc>
          <w:tcPr>
            <w:tcW w:w="1958" w:type="dxa"/>
          </w:tcPr>
          <w:p w:rsidR="00F164EF" w:rsidRPr="009E5034" w:rsidRDefault="00F164EF" w:rsidP="009E5034">
            <w:pPr>
              <w:pStyle w:val="Tableau"/>
              <w:ind w:left="1"/>
              <w:jc w:val="left"/>
              <w:rPr>
                <w:sz w:val="22"/>
                <w:szCs w:val="22"/>
              </w:rPr>
            </w:pPr>
            <w:r w:rsidRPr="009E5034">
              <w:rPr>
                <w:sz w:val="22"/>
                <w:szCs w:val="22"/>
              </w:rPr>
              <w:t>186</w:t>
            </w:r>
          </w:p>
        </w:tc>
        <w:tc>
          <w:tcPr>
            <w:tcW w:w="1415" w:type="dxa"/>
          </w:tcPr>
          <w:p w:rsidR="00F164EF" w:rsidRPr="009E5034" w:rsidRDefault="00F164EF" w:rsidP="009E5034">
            <w:pPr>
              <w:pStyle w:val="Tableau"/>
              <w:ind w:left="1"/>
              <w:jc w:val="left"/>
              <w:rPr>
                <w:sz w:val="22"/>
                <w:szCs w:val="22"/>
              </w:rPr>
            </w:pPr>
            <w:r w:rsidRPr="009E5034">
              <w:rPr>
                <w:sz w:val="22"/>
                <w:szCs w:val="22"/>
              </w:rPr>
              <w:t>17.87%</w:t>
            </w:r>
          </w:p>
        </w:tc>
      </w:tr>
      <w:tr w:rsidR="00F164EF" w:rsidRPr="009E5034" w:rsidTr="00072CBC">
        <w:tc>
          <w:tcPr>
            <w:tcW w:w="3377" w:type="dxa"/>
          </w:tcPr>
          <w:p w:rsidR="00F164EF" w:rsidRPr="009E5034" w:rsidRDefault="00F164EF" w:rsidP="009E5034">
            <w:pPr>
              <w:pStyle w:val="Tableau"/>
              <w:ind w:left="1"/>
              <w:jc w:val="left"/>
              <w:rPr>
                <w:sz w:val="22"/>
                <w:szCs w:val="22"/>
              </w:rPr>
            </w:pPr>
            <w:r w:rsidRPr="009E5034">
              <w:rPr>
                <w:sz w:val="22"/>
                <w:szCs w:val="22"/>
              </w:rPr>
              <w:t>Ouvriers et techniciens</w:t>
            </w:r>
          </w:p>
        </w:tc>
        <w:tc>
          <w:tcPr>
            <w:tcW w:w="1958" w:type="dxa"/>
          </w:tcPr>
          <w:p w:rsidR="00F164EF" w:rsidRPr="009E5034" w:rsidRDefault="00F164EF" w:rsidP="009E5034">
            <w:pPr>
              <w:pStyle w:val="Tableau"/>
              <w:ind w:left="1"/>
              <w:jc w:val="left"/>
              <w:rPr>
                <w:sz w:val="22"/>
                <w:szCs w:val="22"/>
              </w:rPr>
            </w:pPr>
            <w:r w:rsidRPr="009E5034">
              <w:rPr>
                <w:sz w:val="22"/>
                <w:szCs w:val="22"/>
              </w:rPr>
              <w:t>37</w:t>
            </w:r>
          </w:p>
        </w:tc>
        <w:tc>
          <w:tcPr>
            <w:tcW w:w="1415" w:type="dxa"/>
          </w:tcPr>
          <w:p w:rsidR="00F164EF" w:rsidRPr="009E5034" w:rsidRDefault="00F164EF" w:rsidP="009E5034">
            <w:pPr>
              <w:pStyle w:val="Tableau"/>
              <w:ind w:left="1"/>
              <w:jc w:val="left"/>
              <w:rPr>
                <w:sz w:val="22"/>
                <w:szCs w:val="22"/>
              </w:rPr>
            </w:pPr>
            <w:r w:rsidRPr="009E5034">
              <w:rPr>
                <w:sz w:val="22"/>
                <w:szCs w:val="22"/>
              </w:rPr>
              <w:t>3.55%</w:t>
            </w:r>
          </w:p>
        </w:tc>
      </w:tr>
      <w:tr w:rsidR="00F164EF" w:rsidRPr="009E5034" w:rsidTr="00072CBC">
        <w:tc>
          <w:tcPr>
            <w:tcW w:w="3377" w:type="dxa"/>
          </w:tcPr>
          <w:p w:rsidR="00F164EF" w:rsidRPr="009E5034" w:rsidRDefault="00F164EF" w:rsidP="009E5034">
            <w:pPr>
              <w:pStyle w:val="Tableau"/>
              <w:ind w:left="1"/>
              <w:jc w:val="left"/>
              <w:rPr>
                <w:sz w:val="22"/>
                <w:szCs w:val="22"/>
              </w:rPr>
            </w:pPr>
            <w:r w:rsidRPr="009E5034">
              <w:rPr>
                <w:sz w:val="22"/>
                <w:szCs w:val="22"/>
              </w:rPr>
              <w:t>Agriculteurs</w:t>
            </w:r>
          </w:p>
        </w:tc>
        <w:tc>
          <w:tcPr>
            <w:tcW w:w="1958" w:type="dxa"/>
          </w:tcPr>
          <w:p w:rsidR="00F164EF" w:rsidRPr="009E5034" w:rsidRDefault="00F164EF" w:rsidP="009E5034">
            <w:pPr>
              <w:pStyle w:val="Tableau"/>
              <w:ind w:left="1"/>
              <w:jc w:val="left"/>
              <w:rPr>
                <w:sz w:val="22"/>
                <w:szCs w:val="22"/>
              </w:rPr>
            </w:pPr>
            <w:r w:rsidRPr="009E5034">
              <w:rPr>
                <w:sz w:val="22"/>
                <w:szCs w:val="22"/>
              </w:rPr>
              <w:t>33</w:t>
            </w:r>
          </w:p>
        </w:tc>
        <w:tc>
          <w:tcPr>
            <w:tcW w:w="1415" w:type="dxa"/>
          </w:tcPr>
          <w:p w:rsidR="00F164EF" w:rsidRPr="009E5034" w:rsidRDefault="00F164EF" w:rsidP="009E5034">
            <w:pPr>
              <w:pStyle w:val="Tableau"/>
              <w:ind w:left="1"/>
              <w:jc w:val="left"/>
              <w:rPr>
                <w:sz w:val="22"/>
                <w:szCs w:val="22"/>
              </w:rPr>
            </w:pPr>
            <w:r w:rsidRPr="009E5034">
              <w:rPr>
                <w:sz w:val="22"/>
                <w:szCs w:val="22"/>
              </w:rPr>
              <w:t>3.17%</w:t>
            </w:r>
          </w:p>
        </w:tc>
      </w:tr>
      <w:tr w:rsidR="00F164EF" w:rsidRPr="009E5034" w:rsidTr="00072CBC">
        <w:tc>
          <w:tcPr>
            <w:tcW w:w="3377" w:type="dxa"/>
          </w:tcPr>
          <w:p w:rsidR="00F164EF" w:rsidRPr="009E5034" w:rsidRDefault="00F164EF" w:rsidP="009E5034">
            <w:pPr>
              <w:pStyle w:val="Tableau"/>
              <w:ind w:left="1"/>
              <w:jc w:val="left"/>
              <w:rPr>
                <w:sz w:val="22"/>
                <w:szCs w:val="22"/>
              </w:rPr>
            </w:pPr>
            <w:r w:rsidRPr="009E5034">
              <w:rPr>
                <w:sz w:val="22"/>
                <w:szCs w:val="22"/>
              </w:rPr>
              <w:t>Ménagères</w:t>
            </w:r>
          </w:p>
        </w:tc>
        <w:tc>
          <w:tcPr>
            <w:tcW w:w="1958" w:type="dxa"/>
          </w:tcPr>
          <w:p w:rsidR="00F164EF" w:rsidRPr="009E5034" w:rsidRDefault="00F164EF" w:rsidP="009E5034">
            <w:pPr>
              <w:pStyle w:val="Tableau"/>
              <w:ind w:left="1"/>
              <w:jc w:val="left"/>
              <w:rPr>
                <w:sz w:val="22"/>
                <w:szCs w:val="22"/>
              </w:rPr>
            </w:pPr>
            <w:r w:rsidRPr="009E5034">
              <w:rPr>
                <w:sz w:val="22"/>
                <w:szCs w:val="22"/>
              </w:rPr>
              <w:t>26</w:t>
            </w:r>
          </w:p>
        </w:tc>
        <w:tc>
          <w:tcPr>
            <w:tcW w:w="1415" w:type="dxa"/>
          </w:tcPr>
          <w:p w:rsidR="00F164EF" w:rsidRPr="009E5034" w:rsidRDefault="00F164EF" w:rsidP="009E5034">
            <w:pPr>
              <w:pStyle w:val="Tableau"/>
              <w:ind w:left="1"/>
              <w:jc w:val="left"/>
              <w:rPr>
                <w:sz w:val="22"/>
                <w:szCs w:val="22"/>
              </w:rPr>
            </w:pPr>
            <w:r w:rsidRPr="009E5034">
              <w:rPr>
                <w:sz w:val="22"/>
                <w:szCs w:val="22"/>
              </w:rPr>
              <w:t>2.5%</w:t>
            </w:r>
          </w:p>
        </w:tc>
      </w:tr>
      <w:tr w:rsidR="00F164EF" w:rsidRPr="009E5034" w:rsidTr="00072CBC">
        <w:tc>
          <w:tcPr>
            <w:tcW w:w="3377" w:type="dxa"/>
          </w:tcPr>
          <w:p w:rsidR="00F164EF" w:rsidRPr="009E5034" w:rsidRDefault="00F164EF" w:rsidP="009E5034">
            <w:pPr>
              <w:pStyle w:val="Tableau"/>
              <w:ind w:left="1"/>
              <w:jc w:val="left"/>
              <w:rPr>
                <w:sz w:val="22"/>
                <w:szCs w:val="22"/>
              </w:rPr>
            </w:pPr>
            <w:r w:rsidRPr="009E5034">
              <w:rPr>
                <w:sz w:val="22"/>
                <w:szCs w:val="22"/>
              </w:rPr>
              <w:t>Employés d’entreprises</w:t>
            </w:r>
          </w:p>
        </w:tc>
        <w:tc>
          <w:tcPr>
            <w:tcW w:w="1958" w:type="dxa"/>
          </w:tcPr>
          <w:p w:rsidR="00F164EF" w:rsidRPr="009E5034" w:rsidRDefault="00F164EF" w:rsidP="009E5034">
            <w:pPr>
              <w:pStyle w:val="Tableau"/>
              <w:ind w:left="1"/>
              <w:jc w:val="left"/>
              <w:rPr>
                <w:sz w:val="22"/>
                <w:szCs w:val="22"/>
              </w:rPr>
            </w:pPr>
            <w:r w:rsidRPr="009E5034">
              <w:rPr>
                <w:sz w:val="22"/>
                <w:szCs w:val="22"/>
              </w:rPr>
              <w:t>16</w:t>
            </w:r>
          </w:p>
        </w:tc>
        <w:tc>
          <w:tcPr>
            <w:tcW w:w="1415" w:type="dxa"/>
          </w:tcPr>
          <w:p w:rsidR="00F164EF" w:rsidRPr="009E5034" w:rsidRDefault="00F164EF" w:rsidP="009E5034">
            <w:pPr>
              <w:pStyle w:val="Tableau"/>
              <w:ind w:left="1"/>
              <w:jc w:val="left"/>
              <w:rPr>
                <w:sz w:val="22"/>
                <w:szCs w:val="22"/>
              </w:rPr>
            </w:pPr>
            <w:r w:rsidRPr="009E5034">
              <w:rPr>
                <w:sz w:val="22"/>
                <w:szCs w:val="22"/>
              </w:rPr>
              <w:t>1.54%</w:t>
            </w:r>
          </w:p>
        </w:tc>
      </w:tr>
      <w:tr w:rsidR="00F164EF" w:rsidRPr="009E5034" w:rsidTr="00072CBC">
        <w:tc>
          <w:tcPr>
            <w:tcW w:w="3377" w:type="dxa"/>
          </w:tcPr>
          <w:p w:rsidR="00F164EF" w:rsidRPr="009E5034" w:rsidRDefault="00F164EF" w:rsidP="009E5034">
            <w:pPr>
              <w:pStyle w:val="Tableau"/>
              <w:ind w:left="1"/>
              <w:jc w:val="left"/>
              <w:rPr>
                <w:sz w:val="22"/>
                <w:szCs w:val="22"/>
              </w:rPr>
            </w:pPr>
            <w:r w:rsidRPr="009E5034">
              <w:rPr>
                <w:sz w:val="22"/>
                <w:szCs w:val="22"/>
              </w:rPr>
              <w:t>Professions libérales</w:t>
            </w:r>
          </w:p>
        </w:tc>
        <w:tc>
          <w:tcPr>
            <w:tcW w:w="1958" w:type="dxa"/>
          </w:tcPr>
          <w:p w:rsidR="00F164EF" w:rsidRPr="009E5034" w:rsidRDefault="00F164EF" w:rsidP="009E5034">
            <w:pPr>
              <w:pStyle w:val="Tableau"/>
              <w:ind w:left="1"/>
              <w:jc w:val="left"/>
              <w:rPr>
                <w:sz w:val="22"/>
                <w:szCs w:val="22"/>
              </w:rPr>
            </w:pPr>
            <w:r w:rsidRPr="009E5034">
              <w:rPr>
                <w:sz w:val="22"/>
                <w:szCs w:val="22"/>
              </w:rPr>
              <w:t>11</w:t>
            </w:r>
          </w:p>
        </w:tc>
        <w:tc>
          <w:tcPr>
            <w:tcW w:w="1415" w:type="dxa"/>
          </w:tcPr>
          <w:p w:rsidR="00F164EF" w:rsidRPr="009E5034" w:rsidRDefault="00F164EF" w:rsidP="009E5034">
            <w:pPr>
              <w:pStyle w:val="Tableau"/>
              <w:ind w:left="1"/>
              <w:jc w:val="left"/>
              <w:rPr>
                <w:sz w:val="22"/>
                <w:szCs w:val="22"/>
              </w:rPr>
            </w:pPr>
            <w:r w:rsidRPr="009E5034">
              <w:rPr>
                <w:sz w:val="22"/>
                <w:szCs w:val="22"/>
              </w:rPr>
              <w:t>1.06%</w:t>
            </w:r>
          </w:p>
        </w:tc>
      </w:tr>
      <w:tr w:rsidR="00F164EF" w:rsidRPr="009E5034" w:rsidTr="00072CBC">
        <w:tc>
          <w:tcPr>
            <w:tcW w:w="3377" w:type="dxa"/>
          </w:tcPr>
          <w:p w:rsidR="00F164EF" w:rsidRPr="009E5034" w:rsidRDefault="00F164EF" w:rsidP="009E5034">
            <w:pPr>
              <w:pStyle w:val="Tableau"/>
              <w:ind w:left="1"/>
              <w:jc w:val="left"/>
              <w:rPr>
                <w:sz w:val="22"/>
                <w:szCs w:val="22"/>
              </w:rPr>
            </w:pPr>
            <w:r w:rsidRPr="009E5034">
              <w:rPr>
                <w:sz w:val="22"/>
                <w:szCs w:val="22"/>
              </w:rPr>
              <w:t>Retraités</w:t>
            </w:r>
          </w:p>
        </w:tc>
        <w:tc>
          <w:tcPr>
            <w:tcW w:w="1958" w:type="dxa"/>
          </w:tcPr>
          <w:p w:rsidR="00F164EF" w:rsidRPr="009E5034" w:rsidRDefault="00F164EF" w:rsidP="009E5034">
            <w:pPr>
              <w:pStyle w:val="Tableau"/>
              <w:ind w:left="1"/>
              <w:jc w:val="left"/>
              <w:rPr>
                <w:sz w:val="22"/>
                <w:szCs w:val="22"/>
              </w:rPr>
            </w:pPr>
            <w:r w:rsidRPr="009E5034">
              <w:rPr>
                <w:sz w:val="22"/>
                <w:szCs w:val="22"/>
              </w:rPr>
              <w:t>9</w:t>
            </w:r>
          </w:p>
        </w:tc>
        <w:tc>
          <w:tcPr>
            <w:tcW w:w="1415" w:type="dxa"/>
          </w:tcPr>
          <w:p w:rsidR="00F164EF" w:rsidRPr="009E5034" w:rsidRDefault="00F164EF" w:rsidP="009E5034">
            <w:pPr>
              <w:pStyle w:val="Tableau"/>
              <w:ind w:left="1"/>
              <w:jc w:val="left"/>
              <w:rPr>
                <w:sz w:val="22"/>
                <w:szCs w:val="22"/>
              </w:rPr>
            </w:pPr>
            <w:r w:rsidRPr="009E5034">
              <w:rPr>
                <w:sz w:val="22"/>
                <w:szCs w:val="22"/>
              </w:rPr>
              <w:t>0.86%</w:t>
            </w:r>
          </w:p>
        </w:tc>
      </w:tr>
      <w:tr w:rsidR="00F164EF" w:rsidRPr="009E5034" w:rsidTr="00072CBC">
        <w:tc>
          <w:tcPr>
            <w:tcW w:w="3377" w:type="dxa"/>
          </w:tcPr>
          <w:p w:rsidR="00F164EF" w:rsidRPr="009E5034" w:rsidRDefault="00F164EF" w:rsidP="009E5034">
            <w:pPr>
              <w:pStyle w:val="Tableau"/>
              <w:ind w:left="1"/>
              <w:jc w:val="left"/>
              <w:rPr>
                <w:sz w:val="22"/>
                <w:szCs w:val="22"/>
              </w:rPr>
            </w:pPr>
            <w:r w:rsidRPr="009E5034">
              <w:rPr>
                <w:sz w:val="22"/>
                <w:szCs w:val="22"/>
              </w:rPr>
              <w:t>Eleveurs</w:t>
            </w:r>
          </w:p>
        </w:tc>
        <w:tc>
          <w:tcPr>
            <w:tcW w:w="1958" w:type="dxa"/>
          </w:tcPr>
          <w:p w:rsidR="00F164EF" w:rsidRPr="009E5034" w:rsidRDefault="00F164EF" w:rsidP="009E5034">
            <w:pPr>
              <w:pStyle w:val="Tableau"/>
              <w:ind w:left="1"/>
              <w:jc w:val="left"/>
              <w:rPr>
                <w:sz w:val="22"/>
                <w:szCs w:val="22"/>
              </w:rPr>
            </w:pPr>
            <w:r w:rsidRPr="009E5034">
              <w:rPr>
                <w:sz w:val="22"/>
                <w:szCs w:val="22"/>
              </w:rPr>
              <w:t>5</w:t>
            </w:r>
          </w:p>
        </w:tc>
        <w:tc>
          <w:tcPr>
            <w:tcW w:w="1415" w:type="dxa"/>
          </w:tcPr>
          <w:p w:rsidR="00F164EF" w:rsidRPr="009E5034" w:rsidRDefault="00F164EF" w:rsidP="009E5034">
            <w:pPr>
              <w:pStyle w:val="Tableau"/>
              <w:ind w:left="1"/>
              <w:jc w:val="left"/>
              <w:rPr>
                <w:sz w:val="22"/>
                <w:szCs w:val="22"/>
              </w:rPr>
            </w:pPr>
            <w:r w:rsidRPr="009E5034">
              <w:rPr>
                <w:sz w:val="22"/>
                <w:szCs w:val="22"/>
              </w:rPr>
              <w:t>0.48%</w:t>
            </w:r>
          </w:p>
        </w:tc>
      </w:tr>
      <w:tr w:rsidR="00F164EF" w:rsidRPr="009E5034" w:rsidTr="00072CBC">
        <w:tc>
          <w:tcPr>
            <w:tcW w:w="3377" w:type="dxa"/>
          </w:tcPr>
          <w:p w:rsidR="00F164EF" w:rsidRPr="009E5034" w:rsidRDefault="00F164EF" w:rsidP="009E5034">
            <w:pPr>
              <w:pStyle w:val="Tableau"/>
              <w:ind w:left="1"/>
              <w:jc w:val="left"/>
              <w:rPr>
                <w:sz w:val="22"/>
                <w:szCs w:val="22"/>
              </w:rPr>
            </w:pPr>
            <w:r w:rsidRPr="009E5034">
              <w:rPr>
                <w:sz w:val="22"/>
                <w:szCs w:val="22"/>
              </w:rPr>
              <w:t>Autres professions</w:t>
            </w:r>
          </w:p>
        </w:tc>
        <w:tc>
          <w:tcPr>
            <w:tcW w:w="1958" w:type="dxa"/>
          </w:tcPr>
          <w:p w:rsidR="00F164EF" w:rsidRPr="009E5034" w:rsidRDefault="00F164EF" w:rsidP="009E5034">
            <w:pPr>
              <w:pStyle w:val="Tableau"/>
              <w:ind w:left="1"/>
              <w:jc w:val="left"/>
              <w:rPr>
                <w:sz w:val="22"/>
                <w:szCs w:val="22"/>
              </w:rPr>
            </w:pPr>
            <w:r w:rsidRPr="009E5034">
              <w:rPr>
                <w:sz w:val="22"/>
                <w:szCs w:val="22"/>
              </w:rPr>
              <w:t>45</w:t>
            </w:r>
          </w:p>
        </w:tc>
        <w:tc>
          <w:tcPr>
            <w:tcW w:w="1415" w:type="dxa"/>
          </w:tcPr>
          <w:p w:rsidR="00F164EF" w:rsidRPr="009E5034" w:rsidRDefault="00F164EF" w:rsidP="009E5034">
            <w:pPr>
              <w:pStyle w:val="Tableau"/>
              <w:ind w:left="1"/>
              <w:jc w:val="left"/>
              <w:rPr>
                <w:sz w:val="22"/>
                <w:szCs w:val="22"/>
              </w:rPr>
            </w:pPr>
            <w:r w:rsidRPr="009E5034">
              <w:rPr>
                <w:sz w:val="22"/>
                <w:szCs w:val="22"/>
              </w:rPr>
              <w:t>4.32%</w:t>
            </w:r>
          </w:p>
        </w:tc>
      </w:tr>
      <w:tr w:rsidR="00F164EF" w:rsidRPr="009E5034" w:rsidTr="00072CBC">
        <w:tc>
          <w:tcPr>
            <w:tcW w:w="3377" w:type="dxa"/>
          </w:tcPr>
          <w:p w:rsidR="00F164EF" w:rsidRPr="009E5034" w:rsidRDefault="00F164EF" w:rsidP="009E5034">
            <w:pPr>
              <w:pStyle w:val="Tableau"/>
              <w:ind w:left="1"/>
              <w:jc w:val="left"/>
              <w:rPr>
                <w:sz w:val="22"/>
                <w:szCs w:val="22"/>
              </w:rPr>
            </w:pPr>
            <w:r w:rsidRPr="009E5034">
              <w:rPr>
                <w:sz w:val="22"/>
                <w:szCs w:val="22"/>
              </w:rPr>
              <w:t>Total</w:t>
            </w:r>
          </w:p>
        </w:tc>
        <w:tc>
          <w:tcPr>
            <w:tcW w:w="1958" w:type="dxa"/>
          </w:tcPr>
          <w:p w:rsidR="00F164EF" w:rsidRPr="009E5034" w:rsidRDefault="00F164EF" w:rsidP="009E5034">
            <w:pPr>
              <w:pStyle w:val="Tableau"/>
              <w:ind w:left="1"/>
              <w:jc w:val="left"/>
              <w:rPr>
                <w:sz w:val="22"/>
                <w:szCs w:val="22"/>
              </w:rPr>
            </w:pPr>
            <w:r w:rsidRPr="009E5034">
              <w:rPr>
                <w:sz w:val="22"/>
                <w:szCs w:val="22"/>
              </w:rPr>
              <w:t>1041</w:t>
            </w:r>
          </w:p>
        </w:tc>
        <w:tc>
          <w:tcPr>
            <w:tcW w:w="1415" w:type="dxa"/>
          </w:tcPr>
          <w:p w:rsidR="00F164EF" w:rsidRPr="009E5034" w:rsidRDefault="00F164EF" w:rsidP="009E5034">
            <w:pPr>
              <w:pStyle w:val="Tableau"/>
              <w:ind w:left="1"/>
              <w:jc w:val="left"/>
              <w:rPr>
                <w:sz w:val="22"/>
                <w:szCs w:val="22"/>
              </w:rPr>
            </w:pPr>
            <w:r w:rsidRPr="009E5034">
              <w:rPr>
                <w:sz w:val="22"/>
                <w:szCs w:val="22"/>
              </w:rPr>
              <w:t>100%</w:t>
            </w:r>
          </w:p>
        </w:tc>
      </w:tr>
    </w:tbl>
    <w:p w:rsidR="00F164EF" w:rsidRPr="009E5034" w:rsidRDefault="00F164EF" w:rsidP="009E5034">
      <w:pPr>
        <w:spacing w:before="120" w:after="120"/>
        <w:ind w:left="0"/>
        <w:jc w:val="left"/>
        <w:rPr>
          <w:sz w:val="22"/>
          <w:szCs w:val="22"/>
        </w:rPr>
      </w:pPr>
      <w:r w:rsidRPr="009E5034">
        <w:rPr>
          <w:sz w:val="22"/>
          <w:szCs w:val="22"/>
        </w:rPr>
        <w:t>D’après la direction nationale de la statistique et de l’informatique, la dépense totale annuelle est de 253 971 FCFA pat tête en 1996, correspondant à une dépense totale mensuelle de 21 164 FCFA par tête. Les dépenses pour l’alimentation constituent environ la moitié des dépenses totales des ménages.</w:t>
      </w:r>
    </w:p>
    <w:p w:rsidR="00F164EF" w:rsidRPr="009E5034" w:rsidRDefault="00F164EF" w:rsidP="009E5034">
      <w:pPr>
        <w:spacing w:before="120" w:after="120"/>
        <w:ind w:left="0"/>
        <w:jc w:val="left"/>
        <w:rPr>
          <w:sz w:val="22"/>
          <w:szCs w:val="22"/>
        </w:rPr>
      </w:pPr>
      <w:r w:rsidRPr="009E5034">
        <w:rPr>
          <w:sz w:val="22"/>
          <w:szCs w:val="22"/>
        </w:rPr>
        <w:t>En 2002, date de la dernière enquête, la consommation totale moyenne des ménages de Bamako a augmenté pour atteindre 364 679 FCFA par tête.</w:t>
      </w:r>
    </w:p>
    <w:p w:rsidR="00F164EF" w:rsidRPr="009E5034" w:rsidRDefault="00F164EF" w:rsidP="009E5034">
      <w:pPr>
        <w:spacing w:after="240"/>
        <w:ind w:left="0"/>
        <w:jc w:val="left"/>
        <w:rPr>
          <w:rStyle w:val="Strong"/>
          <w:rFonts w:eastAsia="MS Mincho"/>
          <w:sz w:val="22"/>
          <w:szCs w:val="22"/>
        </w:rPr>
      </w:pPr>
      <w:bookmarkStart w:id="35" w:name="_Toc253578422"/>
      <w:bookmarkStart w:id="36" w:name="_Toc261170196"/>
      <w:r w:rsidRPr="009E5034">
        <w:rPr>
          <w:rStyle w:val="Strong"/>
          <w:rFonts w:eastAsia="MS Mincho"/>
          <w:sz w:val="22"/>
          <w:szCs w:val="22"/>
        </w:rPr>
        <w:t>2.3. Urbanisation et conditions d’habitat</w:t>
      </w:r>
      <w:bookmarkEnd w:id="35"/>
      <w:bookmarkEnd w:id="36"/>
    </w:p>
    <w:p w:rsidR="00F164EF" w:rsidRPr="009E5034" w:rsidRDefault="00F164EF" w:rsidP="009E5034">
      <w:pPr>
        <w:spacing w:before="120" w:after="120"/>
        <w:ind w:left="0"/>
        <w:jc w:val="left"/>
        <w:rPr>
          <w:sz w:val="22"/>
          <w:szCs w:val="22"/>
        </w:rPr>
      </w:pPr>
      <w:r w:rsidRPr="009E5034">
        <w:rPr>
          <w:sz w:val="22"/>
          <w:szCs w:val="22"/>
        </w:rPr>
        <w:t xml:space="preserve">Les habitations sont regroupées en concession qui abrite chacune un ou plusieurs ménages. L’enquête réalisée dans le cadre du schéma directeur d’assainissement de Bamako en </w:t>
      </w:r>
      <w:smartTag w:uri="urn:schemas-microsoft-com:office:smarttags" w:element="metricconverter">
        <w:smartTagPr>
          <w:attr w:name="ProductID" w:val="2008 a"/>
        </w:smartTagPr>
        <w:r w:rsidRPr="009E5034">
          <w:rPr>
            <w:sz w:val="22"/>
            <w:szCs w:val="22"/>
          </w:rPr>
          <w:t>2008 a</w:t>
        </w:r>
      </w:smartTag>
      <w:r w:rsidRPr="009E5034">
        <w:rPr>
          <w:sz w:val="22"/>
          <w:szCs w:val="22"/>
        </w:rPr>
        <w:t xml:space="preserve"> révélé qu’une concession se compose en moyenne de 15 personnes dont 8 adultes, 4 adolescents et 3 enfants de moins de 6 ans. Le taux des concessions qui renferment 25 membres et plus est de 12%. L’enquête a également révélé que:</w:t>
      </w:r>
    </w:p>
    <w:p w:rsidR="00F164EF" w:rsidRPr="009E5034" w:rsidRDefault="00F164EF" w:rsidP="009E5034">
      <w:pPr>
        <w:pStyle w:val="ListParagraph"/>
        <w:ind w:left="619"/>
        <w:rPr>
          <w:sz w:val="22"/>
          <w:szCs w:val="22"/>
        </w:rPr>
      </w:pPr>
      <w:r w:rsidRPr="009E5034">
        <w:rPr>
          <w:sz w:val="22"/>
          <w:szCs w:val="22"/>
        </w:rPr>
        <w:t>60% des ménages enquêtés vivent seuls dans leurs concessions,</w:t>
      </w:r>
    </w:p>
    <w:p w:rsidR="00F164EF" w:rsidRPr="009E5034" w:rsidRDefault="00F164EF" w:rsidP="009E5034">
      <w:pPr>
        <w:pStyle w:val="ListParagraph"/>
        <w:ind w:left="619"/>
        <w:rPr>
          <w:sz w:val="22"/>
          <w:szCs w:val="22"/>
        </w:rPr>
      </w:pPr>
      <w:r w:rsidRPr="009E5034">
        <w:rPr>
          <w:sz w:val="22"/>
          <w:szCs w:val="22"/>
        </w:rPr>
        <w:t>30% cohabitent à 2 ou à 3 dans une même concession,</w:t>
      </w:r>
    </w:p>
    <w:p w:rsidR="00F164EF" w:rsidRPr="009E5034" w:rsidRDefault="00F164EF" w:rsidP="009E5034">
      <w:pPr>
        <w:pStyle w:val="ListParagraph"/>
        <w:ind w:left="619"/>
        <w:rPr>
          <w:sz w:val="22"/>
          <w:szCs w:val="22"/>
        </w:rPr>
      </w:pPr>
      <w:r w:rsidRPr="009E5034">
        <w:rPr>
          <w:sz w:val="22"/>
          <w:szCs w:val="22"/>
        </w:rPr>
        <w:t>5% des ménages cohabitent à plus de 5 ménages par concession,</w:t>
      </w:r>
    </w:p>
    <w:p w:rsidR="00F164EF" w:rsidRPr="009E5034" w:rsidRDefault="00F164EF" w:rsidP="009E5034">
      <w:pPr>
        <w:pStyle w:val="ListParagraph"/>
        <w:ind w:left="619"/>
        <w:rPr>
          <w:sz w:val="22"/>
          <w:szCs w:val="22"/>
        </w:rPr>
      </w:pPr>
      <w:r w:rsidRPr="009E5034">
        <w:rPr>
          <w:sz w:val="22"/>
          <w:szCs w:val="22"/>
        </w:rPr>
        <w:t>76% des ménages sont propriétaires ou apparentés au propriétaire de la concession.</w:t>
      </w:r>
    </w:p>
    <w:p w:rsidR="00F164EF" w:rsidRPr="009E5034" w:rsidRDefault="00F164EF" w:rsidP="009E5034">
      <w:pPr>
        <w:spacing w:after="240"/>
        <w:ind w:left="0"/>
        <w:jc w:val="left"/>
        <w:rPr>
          <w:rStyle w:val="Strong"/>
          <w:rFonts w:eastAsia="MS Mincho"/>
          <w:sz w:val="22"/>
          <w:szCs w:val="22"/>
        </w:rPr>
      </w:pPr>
      <w:bookmarkStart w:id="37" w:name="_Toc253578423"/>
      <w:bookmarkStart w:id="38" w:name="_Toc261170197"/>
      <w:r w:rsidRPr="009E5034">
        <w:rPr>
          <w:rStyle w:val="Strong"/>
          <w:rFonts w:eastAsia="MS Mincho"/>
          <w:sz w:val="22"/>
          <w:szCs w:val="22"/>
        </w:rPr>
        <w:t>2.4. Alphabétisation</w:t>
      </w:r>
      <w:bookmarkEnd w:id="37"/>
      <w:bookmarkEnd w:id="38"/>
    </w:p>
    <w:p w:rsidR="00F164EF" w:rsidRPr="009E5034" w:rsidRDefault="00F164EF" w:rsidP="009E5034">
      <w:pPr>
        <w:spacing w:before="120" w:after="120"/>
        <w:ind w:left="0"/>
        <w:jc w:val="left"/>
        <w:rPr>
          <w:sz w:val="22"/>
          <w:szCs w:val="22"/>
        </w:rPr>
      </w:pPr>
      <w:r w:rsidRPr="009E5034">
        <w:rPr>
          <w:sz w:val="22"/>
          <w:szCs w:val="22"/>
        </w:rPr>
        <w:t xml:space="preserve">L’enquête réalisée dans le cadre du schéma d’assainissement en </w:t>
      </w:r>
      <w:smartTag w:uri="urn:schemas-microsoft-com:office:smarttags" w:element="metricconverter">
        <w:smartTagPr>
          <w:attr w:name="ProductID" w:val="2008 a"/>
        </w:smartTagPr>
        <w:r w:rsidRPr="009E5034">
          <w:rPr>
            <w:sz w:val="22"/>
            <w:szCs w:val="22"/>
          </w:rPr>
          <w:t>2008 a</w:t>
        </w:r>
      </w:smartTag>
      <w:r w:rsidRPr="009E5034">
        <w:rPr>
          <w:sz w:val="22"/>
          <w:szCs w:val="22"/>
        </w:rPr>
        <w:t xml:space="preserve"> mis en évidence que 33% des chefs de ménages ne disposent d’aucune instruction, 47% ont dépassé le niveau secondaire et 20% ont atteint le niveau supérieur.</w:t>
      </w:r>
    </w:p>
    <w:p w:rsidR="00F164EF" w:rsidRPr="009E5034" w:rsidRDefault="00F164EF" w:rsidP="009E5034">
      <w:pPr>
        <w:spacing w:after="240"/>
        <w:ind w:left="0"/>
        <w:jc w:val="left"/>
        <w:rPr>
          <w:rStyle w:val="Strong"/>
          <w:rFonts w:eastAsia="MS Mincho"/>
          <w:sz w:val="22"/>
          <w:szCs w:val="22"/>
        </w:rPr>
      </w:pPr>
      <w:bookmarkStart w:id="39" w:name="_Toc253578425"/>
      <w:bookmarkStart w:id="40" w:name="_Toc261170198"/>
      <w:r w:rsidRPr="009E5034">
        <w:rPr>
          <w:rStyle w:val="Strong"/>
          <w:rFonts w:eastAsia="MS Mincho"/>
          <w:sz w:val="22"/>
          <w:szCs w:val="22"/>
        </w:rPr>
        <w:t>2.5. Accès à l’eau potable</w:t>
      </w:r>
      <w:bookmarkEnd w:id="39"/>
      <w:bookmarkEnd w:id="40"/>
    </w:p>
    <w:p w:rsidR="00F164EF" w:rsidRPr="009E5034" w:rsidRDefault="00F164EF" w:rsidP="009E5034">
      <w:pPr>
        <w:spacing w:before="120" w:after="120"/>
        <w:ind w:left="0"/>
        <w:jc w:val="left"/>
        <w:rPr>
          <w:sz w:val="22"/>
          <w:szCs w:val="22"/>
        </w:rPr>
      </w:pPr>
      <w:r w:rsidRPr="009E5034">
        <w:rPr>
          <w:sz w:val="22"/>
          <w:szCs w:val="22"/>
        </w:rPr>
        <w:t>L’EDM est le principal fournisseur en eau potable du Mali et de la ville de Bamako. Cette dernière est alimentée à partir des eaux du fleuve grâce à une station de traitement, dont la capacité nominale actuelle est de 120 000 m</w:t>
      </w:r>
      <w:r w:rsidRPr="009E5034">
        <w:rPr>
          <w:sz w:val="22"/>
          <w:szCs w:val="22"/>
          <w:vertAlign w:val="superscript"/>
        </w:rPr>
        <w:t>3</w:t>
      </w:r>
      <w:r w:rsidRPr="009E5034">
        <w:rPr>
          <w:sz w:val="22"/>
          <w:szCs w:val="22"/>
        </w:rPr>
        <w:t xml:space="preserve">/jour. </w:t>
      </w:r>
    </w:p>
    <w:p w:rsidR="00F164EF" w:rsidRPr="009E5034" w:rsidRDefault="00F164EF" w:rsidP="009E5034">
      <w:pPr>
        <w:spacing w:before="120" w:after="120"/>
        <w:ind w:left="0"/>
        <w:jc w:val="left"/>
        <w:rPr>
          <w:sz w:val="22"/>
          <w:szCs w:val="22"/>
        </w:rPr>
      </w:pPr>
      <w:r w:rsidRPr="009E5034">
        <w:rPr>
          <w:sz w:val="22"/>
          <w:szCs w:val="22"/>
        </w:rPr>
        <w:t xml:space="preserve">En 2006, le volume facturé représentait </w:t>
      </w:r>
      <w:smartTag w:uri="urn:schemas-microsoft-com:office:smarttags" w:element="metricconverter">
        <w:smartTagPr>
          <w:attr w:name="ProductID" w:val="33161593 m3"/>
        </w:smartTagPr>
        <w:r w:rsidRPr="009E5034">
          <w:rPr>
            <w:sz w:val="22"/>
            <w:szCs w:val="22"/>
          </w:rPr>
          <w:t>33161593 m</w:t>
        </w:r>
        <w:r w:rsidRPr="009E5034">
          <w:rPr>
            <w:sz w:val="22"/>
            <w:szCs w:val="22"/>
            <w:vertAlign w:val="superscript"/>
          </w:rPr>
          <w:t>3</w:t>
        </w:r>
      </w:smartTag>
      <w:r w:rsidRPr="009E5034">
        <w:rPr>
          <w:sz w:val="22"/>
          <w:szCs w:val="22"/>
        </w:rPr>
        <w:t xml:space="preserve"> pour une production totale de </w:t>
      </w:r>
      <w:smartTag w:uri="urn:schemas-microsoft-com:office:smarttags" w:element="metricconverter">
        <w:smartTagPr>
          <w:attr w:name="ProductID" w:val="46432387 m3"/>
        </w:smartTagPr>
        <w:r w:rsidRPr="009E5034">
          <w:rPr>
            <w:sz w:val="22"/>
            <w:szCs w:val="22"/>
          </w:rPr>
          <w:t>46432387 m</w:t>
        </w:r>
        <w:r w:rsidRPr="009E5034">
          <w:rPr>
            <w:sz w:val="22"/>
            <w:szCs w:val="22"/>
            <w:vertAlign w:val="superscript"/>
          </w:rPr>
          <w:t>3</w:t>
        </w:r>
      </w:smartTag>
      <w:r w:rsidRPr="009E5034">
        <w:rPr>
          <w:sz w:val="22"/>
          <w:szCs w:val="22"/>
        </w:rPr>
        <w:t>, soit un rendement de l’ordre de 71%.</w:t>
      </w:r>
    </w:p>
    <w:p w:rsidR="00F164EF" w:rsidRPr="009E5034" w:rsidRDefault="00F164EF" w:rsidP="009E5034">
      <w:pPr>
        <w:spacing w:before="120" w:after="120"/>
        <w:ind w:left="0"/>
        <w:jc w:val="left"/>
        <w:rPr>
          <w:sz w:val="22"/>
          <w:szCs w:val="22"/>
        </w:rPr>
      </w:pPr>
      <w:r w:rsidRPr="009E5034">
        <w:rPr>
          <w:sz w:val="22"/>
          <w:szCs w:val="22"/>
        </w:rPr>
        <w:t>Le réseau d’EDM dans la ville de Bamako est subdivisé en sept centres organisés en agences. Les abonnés au niveau de ces centres ont évolué entre 2002 et 2007 suivant une croissance moyenne de l’ordre de 8.2%, ils sont actuellement autour de 60000 abonnés. Le taux de desserte en eau potable dans la ville de Bamako pour l’année 2007, se résume comme suit:</w:t>
      </w:r>
    </w:p>
    <w:p w:rsidR="00F164EF" w:rsidRPr="009E5034" w:rsidRDefault="00F164EF" w:rsidP="009E5034">
      <w:pPr>
        <w:pStyle w:val="Caption"/>
        <w:ind w:left="899"/>
        <w:rPr>
          <w:rStyle w:val="Emphasis"/>
          <w:sz w:val="22"/>
          <w:szCs w:val="22"/>
        </w:rPr>
      </w:pPr>
      <w:bookmarkStart w:id="41" w:name="_Toc224709244"/>
      <w:r w:rsidRPr="009E5034">
        <w:rPr>
          <w:rStyle w:val="Emphasis"/>
          <w:sz w:val="22"/>
          <w:szCs w:val="22"/>
        </w:rPr>
        <w:t>Tableau A1.3 : Taux de desserte à l’eau potable dans la ville de Bamako. Source : EDM 2007.</w:t>
      </w:r>
      <w:bookmarkEnd w:id="41"/>
    </w:p>
    <w:tbl>
      <w:tblPr>
        <w:tblW w:w="9250" w:type="dxa"/>
        <w:tblCellMar>
          <w:left w:w="70" w:type="dxa"/>
          <w:right w:w="70" w:type="dxa"/>
        </w:tblCellMar>
        <w:tblLook w:val="00A0"/>
      </w:tblPr>
      <w:tblGrid>
        <w:gridCol w:w="1095"/>
        <w:gridCol w:w="1364"/>
        <w:gridCol w:w="1217"/>
        <w:gridCol w:w="1095"/>
        <w:gridCol w:w="594"/>
        <w:gridCol w:w="948"/>
        <w:gridCol w:w="1095"/>
        <w:gridCol w:w="1095"/>
        <w:gridCol w:w="594"/>
        <w:gridCol w:w="1095"/>
        <w:gridCol w:w="598"/>
      </w:tblGrid>
      <w:tr w:rsidR="00F164EF" w:rsidRPr="009E5034" w:rsidTr="00B50ABF">
        <w:trPr>
          <w:trHeight w:val="6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Population totale</w:t>
            </w:r>
          </w:p>
        </w:tc>
        <w:tc>
          <w:tcPr>
            <w:tcW w:w="0" w:type="auto"/>
            <w:gridSpan w:val="4"/>
            <w:tcBorders>
              <w:top w:val="single" w:sz="4" w:space="0" w:color="auto"/>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Branchements particuliers</w:t>
            </w:r>
          </w:p>
        </w:tc>
        <w:tc>
          <w:tcPr>
            <w:tcW w:w="0" w:type="auto"/>
            <w:gridSpan w:val="4"/>
            <w:tcBorders>
              <w:top w:val="single" w:sz="4" w:space="0" w:color="auto"/>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Bornes fontaines</w:t>
            </w:r>
          </w:p>
        </w:tc>
        <w:tc>
          <w:tcPr>
            <w:tcW w:w="1526" w:type="dxa"/>
            <w:gridSpan w:val="2"/>
            <w:tcBorders>
              <w:top w:val="single" w:sz="4" w:space="0" w:color="auto"/>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Total</w:t>
            </w:r>
          </w:p>
        </w:tc>
      </w:tr>
      <w:tr w:rsidR="00F164EF" w:rsidRPr="009E5034" w:rsidTr="00B50ABF">
        <w:trPr>
          <w:trHeight w:val="1290"/>
        </w:trPr>
        <w:tc>
          <w:tcPr>
            <w:tcW w:w="928" w:type="dxa"/>
            <w:vMerge/>
            <w:tcBorders>
              <w:top w:val="single" w:sz="4" w:space="0" w:color="auto"/>
              <w:left w:val="single" w:sz="4" w:space="0" w:color="auto"/>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p>
        </w:tc>
        <w:tc>
          <w:tcPr>
            <w:tcW w:w="0" w:type="auto"/>
            <w:tcBorders>
              <w:top w:val="nil"/>
              <w:left w:val="nil"/>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Abonnements</w:t>
            </w:r>
          </w:p>
        </w:tc>
        <w:tc>
          <w:tcPr>
            <w:tcW w:w="0" w:type="auto"/>
            <w:tcBorders>
              <w:top w:val="nil"/>
              <w:left w:val="nil"/>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Personne/ abonnement</w:t>
            </w:r>
          </w:p>
        </w:tc>
        <w:tc>
          <w:tcPr>
            <w:tcW w:w="0" w:type="auto"/>
            <w:tcBorders>
              <w:top w:val="nil"/>
              <w:left w:val="nil"/>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Population desservie</w:t>
            </w:r>
          </w:p>
        </w:tc>
        <w:tc>
          <w:tcPr>
            <w:tcW w:w="0" w:type="auto"/>
            <w:tcBorders>
              <w:top w:val="nil"/>
              <w:left w:val="nil"/>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Taux</w:t>
            </w:r>
          </w:p>
        </w:tc>
        <w:tc>
          <w:tcPr>
            <w:tcW w:w="0" w:type="auto"/>
            <w:tcBorders>
              <w:top w:val="nil"/>
              <w:left w:val="nil"/>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Néré de fontaines</w:t>
            </w:r>
          </w:p>
        </w:tc>
        <w:tc>
          <w:tcPr>
            <w:tcW w:w="0" w:type="auto"/>
            <w:tcBorders>
              <w:top w:val="nil"/>
              <w:left w:val="nil"/>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Personnes/ fontaine</w:t>
            </w:r>
          </w:p>
        </w:tc>
        <w:tc>
          <w:tcPr>
            <w:tcW w:w="0" w:type="auto"/>
            <w:tcBorders>
              <w:top w:val="nil"/>
              <w:left w:val="nil"/>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Population desservie</w:t>
            </w:r>
          </w:p>
        </w:tc>
        <w:tc>
          <w:tcPr>
            <w:tcW w:w="0" w:type="auto"/>
            <w:tcBorders>
              <w:top w:val="nil"/>
              <w:left w:val="nil"/>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Taux</w:t>
            </w:r>
          </w:p>
        </w:tc>
        <w:tc>
          <w:tcPr>
            <w:tcW w:w="0" w:type="auto"/>
            <w:tcBorders>
              <w:top w:val="nil"/>
              <w:left w:val="nil"/>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Population totale desservie</w:t>
            </w:r>
          </w:p>
        </w:tc>
        <w:tc>
          <w:tcPr>
            <w:tcW w:w="598" w:type="dxa"/>
            <w:tcBorders>
              <w:top w:val="nil"/>
              <w:left w:val="nil"/>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Taux</w:t>
            </w:r>
          </w:p>
        </w:tc>
      </w:tr>
      <w:tr w:rsidR="00F164EF" w:rsidRPr="009E5034" w:rsidTr="00B50ABF">
        <w:trPr>
          <w:trHeight w:val="300"/>
        </w:trPr>
        <w:tc>
          <w:tcPr>
            <w:tcW w:w="928" w:type="dxa"/>
            <w:tcBorders>
              <w:top w:val="nil"/>
              <w:left w:val="single" w:sz="4" w:space="0" w:color="auto"/>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1476821</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60429</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12</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725148</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49%</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1500</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258</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387000</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26%</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1112148</w:t>
            </w:r>
          </w:p>
        </w:tc>
        <w:tc>
          <w:tcPr>
            <w:tcW w:w="598" w:type="dxa"/>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75%</w:t>
            </w:r>
          </w:p>
        </w:tc>
      </w:tr>
    </w:tbl>
    <w:p w:rsidR="00F164EF" w:rsidRPr="009E5034" w:rsidRDefault="00F164EF" w:rsidP="009E5034">
      <w:pPr>
        <w:spacing w:before="120" w:after="120"/>
        <w:ind w:left="0"/>
        <w:jc w:val="left"/>
        <w:rPr>
          <w:sz w:val="22"/>
          <w:szCs w:val="22"/>
        </w:rPr>
      </w:pPr>
      <w:r w:rsidRPr="009E5034">
        <w:rPr>
          <w:sz w:val="22"/>
          <w:szCs w:val="22"/>
        </w:rPr>
        <w:t xml:space="preserve">Sur cette base et prenant en considération le rendement du réseau, un habitant moyen à Bamako a consommé en 2007, </w:t>
      </w:r>
      <w:smartTag w:uri="urn:schemas-microsoft-com:office:smarttags" w:element="metricconverter">
        <w:smartTagPr>
          <w:attr w:name="ProductID" w:val="85 litres"/>
        </w:smartTagPr>
        <w:r w:rsidRPr="009E5034">
          <w:rPr>
            <w:sz w:val="22"/>
            <w:szCs w:val="22"/>
          </w:rPr>
          <w:t>85 litres</w:t>
        </w:r>
      </w:smartTag>
      <w:r w:rsidRPr="009E5034">
        <w:rPr>
          <w:sz w:val="22"/>
          <w:szCs w:val="22"/>
        </w:rPr>
        <w:t xml:space="preserve"> d’eau par jour en provenance du réseau d’EDM, tout usage confondus.</w:t>
      </w:r>
    </w:p>
    <w:p w:rsidR="00F164EF" w:rsidRPr="009E5034" w:rsidRDefault="00F164EF" w:rsidP="009E5034">
      <w:pPr>
        <w:spacing w:before="120" w:after="120"/>
        <w:ind w:left="0"/>
        <w:jc w:val="left"/>
        <w:rPr>
          <w:sz w:val="22"/>
          <w:szCs w:val="22"/>
        </w:rPr>
      </w:pPr>
      <w:r w:rsidRPr="009E5034">
        <w:rPr>
          <w:sz w:val="22"/>
          <w:szCs w:val="22"/>
        </w:rPr>
        <w:t>Cependant, il y a lieu de signaler que les eaux distribuées par EDM ne constituent pas la seule source d’approvisionnement en eau de la population à Bamako, l’enquête réalisée dans le cadre de l’élaboration du schéma directeur d’assainissement a révélé en effet que la population à Bamako utilise plusieurs sources d’eau, il s’agit essentiellement des puits de surface, la borne fontaine, le branchement privé, la revente ainsi qu’occasionnellement directement les eaux du fleuve.</w:t>
      </w:r>
    </w:p>
    <w:p w:rsidR="00F164EF" w:rsidRPr="009E5034" w:rsidRDefault="00F164EF" w:rsidP="009E5034">
      <w:pPr>
        <w:spacing w:before="120" w:after="120"/>
        <w:ind w:left="0"/>
        <w:jc w:val="left"/>
        <w:rPr>
          <w:sz w:val="22"/>
          <w:szCs w:val="22"/>
        </w:rPr>
      </w:pPr>
      <w:r w:rsidRPr="009E5034">
        <w:rPr>
          <w:sz w:val="22"/>
          <w:szCs w:val="22"/>
        </w:rPr>
        <w:t>L’enquête a révélé que plus de 73.6% de la population utilise les eaux des puits dont 65.5% en accompagnement avec d’autres sources et 8.1% comme source unique, c'est-à-dire y compris pour l’eau de boisson.</w:t>
      </w:r>
    </w:p>
    <w:p w:rsidR="00F164EF" w:rsidRPr="009E5034" w:rsidRDefault="00F164EF" w:rsidP="009E5034">
      <w:pPr>
        <w:spacing w:before="120" w:after="120"/>
        <w:ind w:left="0"/>
        <w:jc w:val="left"/>
        <w:rPr>
          <w:sz w:val="22"/>
          <w:szCs w:val="22"/>
        </w:rPr>
      </w:pPr>
      <w:r w:rsidRPr="009E5034">
        <w:rPr>
          <w:sz w:val="22"/>
          <w:szCs w:val="22"/>
        </w:rPr>
        <w:t>Les puits traditionnels consommés sont généralement à des niveaux superficiels et ne disposent pas d’étanchéité latérale, ils sont souvent situés à proximité des latrines présentant une grande vulnérabilité à la contamination fécale. L’eau puisée dans ces puits se révèle souvent impropre à la consommation.</w:t>
      </w:r>
    </w:p>
    <w:p w:rsidR="00F164EF" w:rsidRPr="009E5034" w:rsidRDefault="00F164EF" w:rsidP="009E5034">
      <w:pPr>
        <w:spacing w:before="120" w:after="120"/>
        <w:ind w:left="0"/>
        <w:jc w:val="left"/>
        <w:rPr>
          <w:sz w:val="22"/>
          <w:szCs w:val="22"/>
        </w:rPr>
      </w:pPr>
      <w:r w:rsidRPr="009E5034">
        <w:rPr>
          <w:sz w:val="22"/>
          <w:szCs w:val="22"/>
        </w:rPr>
        <w:t>L’enquête menée sur la consommation d’eau des ménages a révélé que la consommation journalière par habitant varie d’un quartier à l’autre globalement de 45l/j à maximum 120l/j dont une grande partie est en provenance des puits de surface.</w:t>
      </w:r>
    </w:p>
    <w:p w:rsidR="00F164EF" w:rsidRPr="009E5034" w:rsidRDefault="00F164EF" w:rsidP="009E5034">
      <w:pPr>
        <w:spacing w:before="120" w:after="120"/>
        <w:ind w:left="0"/>
        <w:jc w:val="left"/>
        <w:rPr>
          <w:sz w:val="22"/>
          <w:szCs w:val="22"/>
        </w:rPr>
      </w:pPr>
      <w:r w:rsidRPr="009E5034">
        <w:rPr>
          <w:sz w:val="22"/>
          <w:szCs w:val="22"/>
        </w:rPr>
        <w:t>Cette consommation concerne aussi bien la boisson que les activités ménagères quotidiennes. La consommation en eau potable dans l’ensemble du district de Bamako toutes activités confondues se présente synthétiquement de la manière suivante pour l’année 2007.</w:t>
      </w:r>
    </w:p>
    <w:p w:rsidR="00F164EF" w:rsidRPr="009E5034" w:rsidRDefault="00F164EF" w:rsidP="009E5034">
      <w:pPr>
        <w:pStyle w:val="Caption"/>
        <w:ind w:left="899"/>
        <w:rPr>
          <w:rStyle w:val="Emphasis"/>
          <w:sz w:val="22"/>
          <w:szCs w:val="22"/>
        </w:rPr>
      </w:pPr>
      <w:bookmarkStart w:id="42" w:name="_Toc224709245"/>
      <w:r w:rsidRPr="009E5034">
        <w:rPr>
          <w:rStyle w:val="Emphasis"/>
          <w:sz w:val="22"/>
          <w:szCs w:val="22"/>
        </w:rPr>
        <w:t>Tableau A1.4 : Estimation de la consommation en eau dans le district de Bamako pour l’année 2007.</w:t>
      </w:r>
      <w:bookmarkEnd w:id="42"/>
    </w:p>
    <w:tbl>
      <w:tblPr>
        <w:tblpPr w:leftFromText="141" w:rightFromText="141" w:vertAnchor="text" w:tblpXSpec="center" w:tblpY="1"/>
        <w:tblOverlap w:val="never"/>
        <w:tblW w:w="7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63"/>
        <w:gridCol w:w="1159"/>
        <w:gridCol w:w="1828"/>
        <w:gridCol w:w="814"/>
        <w:gridCol w:w="1239"/>
      </w:tblGrid>
      <w:tr w:rsidR="00F164EF" w:rsidRPr="009E5034" w:rsidTr="00183B56">
        <w:tc>
          <w:tcPr>
            <w:tcW w:w="1963" w:type="dxa"/>
            <w:vMerge w:val="restart"/>
            <w:vAlign w:val="center"/>
          </w:tcPr>
          <w:p w:rsidR="00F164EF" w:rsidRPr="009E5034" w:rsidRDefault="00F164EF" w:rsidP="009E5034">
            <w:pPr>
              <w:pStyle w:val="Tableau"/>
              <w:ind w:left="1"/>
              <w:jc w:val="left"/>
              <w:rPr>
                <w:sz w:val="22"/>
                <w:szCs w:val="22"/>
              </w:rPr>
            </w:pPr>
            <w:r w:rsidRPr="009E5034">
              <w:rPr>
                <w:sz w:val="22"/>
                <w:szCs w:val="22"/>
              </w:rPr>
              <w:t>Usages</w:t>
            </w:r>
          </w:p>
        </w:tc>
        <w:tc>
          <w:tcPr>
            <w:tcW w:w="1159" w:type="dxa"/>
            <w:vMerge w:val="restart"/>
            <w:vAlign w:val="center"/>
          </w:tcPr>
          <w:p w:rsidR="00F164EF" w:rsidRPr="009E5034" w:rsidRDefault="00F164EF" w:rsidP="009E5034">
            <w:pPr>
              <w:pStyle w:val="Tableau"/>
              <w:ind w:left="1"/>
              <w:jc w:val="left"/>
              <w:rPr>
                <w:sz w:val="22"/>
                <w:szCs w:val="22"/>
              </w:rPr>
            </w:pPr>
            <w:r w:rsidRPr="009E5034">
              <w:rPr>
                <w:sz w:val="22"/>
                <w:szCs w:val="22"/>
              </w:rPr>
              <w:t>Unités</w:t>
            </w:r>
          </w:p>
        </w:tc>
        <w:tc>
          <w:tcPr>
            <w:tcW w:w="1828" w:type="dxa"/>
            <w:vMerge w:val="restart"/>
            <w:vAlign w:val="center"/>
          </w:tcPr>
          <w:p w:rsidR="00F164EF" w:rsidRPr="009E5034" w:rsidRDefault="00F164EF" w:rsidP="009E5034">
            <w:pPr>
              <w:pStyle w:val="Tableau"/>
              <w:ind w:left="1"/>
              <w:jc w:val="left"/>
              <w:rPr>
                <w:sz w:val="22"/>
                <w:szCs w:val="22"/>
              </w:rPr>
            </w:pPr>
            <w:r w:rsidRPr="009E5034">
              <w:rPr>
                <w:sz w:val="22"/>
                <w:szCs w:val="22"/>
              </w:rPr>
              <w:t>Consommation/unité</w:t>
            </w:r>
          </w:p>
        </w:tc>
        <w:tc>
          <w:tcPr>
            <w:tcW w:w="2053" w:type="dxa"/>
            <w:gridSpan w:val="2"/>
            <w:vAlign w:val="center"/>
          </w:tcPr>
          <w:p w:rsidR="00F164EF" w:rsidRPr="009E5034" w:rsidRDefault="00F164EF" w:rsidP="009E5034">
            <w:pPr>
              <w:pStyle w:val="Tableau"/>
              <w:ind w:left="1"/>
              <w:jc w:val="left"/>
              <w:rPr>
                <w:sz w:val="22"/>
                <w:szCs w:val="22"/>
              </w:rPr>
            </w:pPr>
            <w:r w:rsidRPr="009E5034">
              <w:rPr>
                <w:sz w:val="22"/>
                <w:szCs w:val="22"/>
              </w:rPr>
              <w:t>Consommation</w:t>
            </w:r>
          </w:p>
        </w:tc>
      </w:tr>
      <w:tr w:rsidR="00F164EF" w:rsidRPr="009E5034" w:rsidTr="00183B56">
        <w:tc>
          <w:tcPr>
            <w:tcW w:w="1963" w:type="dxa"/>
            <w:vMerge/>
            <w:vAlign w:val="center"/>
          </w:tcPr>
          <w:p w:rsidR="00F164EF" w:rsidRPr="009E5034" w:rsidRDefault="00F164EF" w:rsidP="009E5034">
            <w:pPr>
              <w:pStyle w:val="Tableau"/>
              <w:ind w:left="1"/>
              <w:jc w:val="left"/>
              <w:rPr>
                <w:sz w:val="22"/>
                <w:szCs w:val="22"/>
              </w:rPr>
            </w:pPr>
          </w:p>
        </w:tc>
        <w:tc>
          <w:tcPr>
            <w:tcW w:w="1159" w:type="dxa"/>
            <w:vMerge/>
            <w:vAlign w:val="center"/>
          </w:tcPr>
          <w:p w:rsidR="00F164EF" w:rsidRPr="009E5034" w:rsidRDefault="00F164EF" w:rsidP="009E5034">
            <w:pPr>
              <w:pStyle w:val="Tableau"/>
              <w:ind w:left="1"/>
              <w:jc w:val="left"/>
              <w:rPr>
                <w:sz w:val="22"/>
                <w:szCs w:val="22"/>
              </w:rPr>
            </w:pPr>
          </w:p>
        </w:tc>
        <w:tc>
          <w:tcPr>
            <w:tcW w:w="1828" w:type="dxa"/>
            <w:vMerge/>
            <w:vAlign w:val="center"/>
          </w:tcPr>
          <w:p w:rsidR="00F164EF" w:rsidRPr="009E5034" w:rsidRDefault="00F164EF" w:rsidP="009E5034">
            <w:pPr>
              <w:pStyle w:val="Tableau"/>
              <w:ind w:left="1"/>
              <w:jc w:val="left"/>
              <w:rPr>
                <w:sz w:val="22"/>
                <w:szCs w:val="22"/>
              </w:rPr>
            </w:pPr>
          </w:p>
        </w:tc>
        <w:tc>
          <w:tcPr>
            <w:tcW w:w="814" w:type="dxa"/>
            <w:vAlign w:val="center"/>
          </w:tcPr>
          <w:p w:rsidR="00F164EF" w:rsidRPr="009E5034" w:rsidRDefault="00F164EF" w:rsidP="009E5034">
            <w:pPr>
              <w:pStyle w:val="Tableau"/>
              <w:ind w:left="1"/>
              <w:jc w:val="left"/>
              <w:rPr>
                <w:sz w:val="22"/>
                <w:szCs w:val="22"/>
              </w:rPr>
            </w:pPr>
            <w:r w:rsidRPr="009E5034">
              <w:rPr>
                <w:sz w:val="22"/>
                <w:szCs w:val="22"/>
              </w:rPr>
              <w:t>m</w:t>
            </w:r>
            <w:r w:rsidRPr="009E5034">
              <w:rPr>
                <w:sz w:val="22"/>
                <w:szCs w:val="22"/>
                <w:vertAlign w:val="superscript"/>
              </w:rPr>
              <w:t>3</w:t>
            </w:r>
            <w:r w:rsidRPr="009E5034">
              <w:rPr>
                <w:sz w:val="22"/>
                <w:szCs w:val="22"/>
              </w:rPr>
              <w:t>/j</w:t>
            </w:r>
          </w:p>
        </w:tc>
        <w:tc>
          <w:tcPr>
            <w:tcW w:w="1239" w:type="dxa"/>
            <w:vAlign w:val="center"/>
          </w:tcPr>
          <w:p w:rsidR="00F164EF" w:rsidRPr="009E5034" w:rsidRDefault="00F164EF" w:rsidP="009E5034">
            <w:pPr>
              <w:pStyle w:val="Tableau"/>
              <w:ind w:left="1"/>
              <w:jc w:val="left"/>
              <w:rPr>
                <w:sz w:val="22"/>
                <w:szCs w:val="22"/>
              </w:rPr>
            </w:pPr>
            <w:r w:rsidRPr="009E5034">
              <w:rPr>
                <w:sz w:val="22"/>
                <w:szCs w:val="22"/>
              </w:rPr>
              <w:t>m</w:t>
            </w:r>
            <w:r w:rsidRPr="009E5034">
              <w:rPr>
                <w:sz w:val="22"/>
                <w:szCs w:val="22"/>
                <w:vertAlign w:val="superscript"/>
              </w:rPr>
              <w:t>3</w:t>
            </w:r>
            <w:r w:rsidRPr="009E5034">
              <w:rPr>
                <w:sz w:val="22"/>
                <w:szCs w:val="22"/>
              </w:rPr>
              <w:t>/an</w:t>
            </w:r>
          </w:p>
        </w:tc>
      </w:tr>
      <w:tr w:rsidR="00F164EF" w:rsidRPr="009E5034" w:rsidTr="00183B56">
        <w:tc>
          <w:tcPr>
            <w:tcW w:w="1963" w:type="dxa"/>
            <w:vAlign w:val="center"/>
          </w:tcPr>
          <w:p w:rsidR="00F164EF" w:rsidRPr="009E5034" w:rsidRDefault="00F164EF" w:rsidP="009E5034">
            <w:pPr>
              <w:pStyle w:val="Tableau"/>
              <w:ind w:left="1"/>
              <w:jc w:val="left"/>
              <w:rPr>
                <w:sz w:val="22"/>
                <w:szCs w:val="22"/>
              </w:rPr>
            </w:pPr>
            <w:r w:rsidRPr="009E5034">
              <w:rPr>
                <w:sz w:val="22"/>
                <w:szCs w:val="22"/>
              </w:rPr>
              <w:t>Domestique</w:t>
            </w:r>
          </w:p>
        </w:tc>
        <w:tc>
          <w:tcPr>
            <w:tcW w:w="1159" w:type="dxa"/>
            <w:vAlign w:val="center"/>
          </w:tcPr>
          <w:p w:rsidR="00F164EF" w:rsidRPr="009E5034" w:rsidRDefault="00F164EF" w:rsidP="009E5034">
            <w:pPr>
              <w:pStyle w:val="Tableau"/>
              <w:ind w:left="1"/>
              <w:jc w:val="left"/>
              <w:rPr>
                <w:sz w:val="22"/>
                <w:szCs w:val="22"/>
              </w:rPr>
            </w:pPr>
            <w:r w:rsidRPr="009E5034">
              <w:rPr>
                <w:sz w:val="22"/>
                <w:szCs w:val="22"/>
              </w:rPr>
              <w:t>1 511 901</w:t>
            </w:r>
            <w:r w:rsidRPr="009E5034">
              <w:rPr>
                <w:rStyle w:val="FootnoteReference"/>
                <w:sz w:val="22"/>
                <w:szCs w:val="22"/>
              </w:rPr>
              <w:footnoteReference w:id="3"/>
            </w:r>
          </w:p>
        </w:tc>
        <w:tc>
          <w:tcPr>
            <w:tcW w:w="1828" w:type="dxa"/>
            <w:vAlign w:val="center"/>
          </w:tcPr>
          <w:p w:rsidR="00F164EF" w:rsidRPr="009E5034" w:rsidRDefault="00F164EF" w:rsidP="009E5034">
            <w:pPr>
              <w:pStyle w:val="Tableau"/>
              <w:ind w:left="1"/>
              <w:jc w:val="left"/>
              <w:rPr>
                <w:sz w:val="22"/>
                <w:szCs w:val="22"/>
              </w:rPr>
            </w:pPr>
            <w:smartTag w:uri="urn:schemas-microsoft-com:office:smarttags" w:element="metricconverter">
              <w:smartTagPr>
                <w:attr w:name="ProductID" w:val="62 litres"/>
              </w:smartTagPr>
              <w:r w:rsidRPr="009E5034">
                <w:rPr>
                  <w:sz w:val="22"/>
                  <w:szCs w:val="22"/>
                </w:rPr>
                <w:t>62 litres</w:t>
              </w:r>
            </w:smartTag>
            <w:r w:rsidRPr="009E5034">
              <w:rPr>
                <w:rStyle w:val="FootnoteReference"/>
                <w:sz w:val="22"/>
                <w:szCs w:val="22"/>
              </w:rPr>
              <w:footnoteReference w:id="4"/>
            </w:r>
          </w:p>
        </w:tc>
        <w:tc>
          <w:tcPr>
            <w:tcW w:w="814" w:type="dxa"/>
            <w:vAlign w:val="center"/>
          </w:tcPr>
          <w:p w:rsidR="00F164EF" w:rsidRPr="009E5034" w:rsidRDefault="00F164EF" w:rsidP="009E5034">
            <w:pPr>
              <w:pStyle w:val="Tableau"/>
              <w:ind w:left="1"/>
              <w:jc w:val="left"/>
              <w:rPr>
                <w:sz w:val="22"/>
                <w:szCs w:val="22"/>
              </w:rPr>
            </w:pPr>
            <w:r w:rsidRPr="009E5034">
              <w:rPr>
                <w:sz w:val="22"/>
                <w:szCs w:val="22"/>
              </w:rPr>
              <w:t>93 737</w:t>
            </w:r>
          </w:p>
        </w:tc>
        <w:tc>
          <w:tcPr>
            <w:tcW w:w="1239" w:type="dxa"/>
            <w:vAlign w:val="center"/>
          </w:tcPr>
          <w:p w:rsidR="00F164EF" w:rsidRPr="009E5034" w:rsidRDefault="00F164EF" w:rsidP="009E5034">
            <w:pPr>
              <w:pStyle w:val="Tableau"/>
              <w:ind w:left="1"/>
              <w:jc w:val="left"/>
              <w:rPr>
                <w:sz w:val="22"/>
                <w:szCs w:val="22"/>
              </w:rPr>
            </w:pPr>
            <w:r w:rsidRPr="009E5034">
              <w:rPr>
                <w:sz w:val="22"/>
                <w:szCs w:val="22"/>
              </w:rPr>
              <w:t>34 214 320</w:t>
            </w:r>
          </w:p>
        </w:tc>
      </w:tr>
      <w:tr w:rsidR="00F164EF" w:rsidRPr="009E5034" w:rsidTr="00183B56">
        <w:tc>
          <w:tcPr>
            <w:tcW w:w="1963" w:type="dxa"/>
            <w:vAlign w:val="center"/>
          </w:tcPr>
          <w:p w:rsidR="00F164EF" w:rsidRPr="009E5034" w:rsidRDefault="00F164EF" w:rsidP="009E5034">
            <w:pPr>
              <w:pStyle w:val="Tableau"/>
              <w:ind w:left="1"/>
              <w:jc w:val="left"/>
              <w:rPr>
                <w:sz w:val="22"/>
                <w:szCs w:val="22"/>
              </w:rPr>
            </w:pPr>
            <w:r w:rsidRPr="009E5034">
              <w:rPr>
                <w:sz w:val="22"/>
                <w:szCs w:val="22"/>
              </w:rPr>
              <w:t>Hôtelier</w:t>
            </w:r>
          </w:p>
        </w:tc>
        <w:tc>
          <w:tcPr>
            <w:tcW w:w="1159" w:type="dxa"/>
            <w:vAlign w:val="center"/>
          </w:tcPr>
          <w:p w:rsidR="00F164EF" w:rsidRPr="009E5034" w:rsidRDefault="00F164EF" w:rsidP="009E5034">
            <w:pPr>
              <w:pStyle w:val="Tableau"/>
              <w:ind w:left="1"/>
              <w:jc w:val="left"/>
              <w:rPr>
                <w:sz w:val="22"/>
                <w:szCs w:val="22"/>
              </w:rPr>
            </w:pPr>
            <w:r w:rsidRPr="009E5034">
              <w:rPr>
                <w:sz w:val="22"/>
                <w:szCs w:val="22"/>
              </w:rPr>
              <w:t>26 hôtels</w:t>
            </w:r>
          </w:p>
          <w:p w:rsidR="00F164EF" w:rsidRPr="009E5034" w:rsidRDefault="00F164EF" w:rsidP="009E5034">
            <w:pPr>
              <w:pStyle w:val="Tableau"/>
              <w:ind w:left="1"/>
              <w:jc w:val="left"/>
              <w:rPr>
                <w:sz w:val="22"/>
                <w:szCs w:val="22"/>
              </w:rPr>
            </w:pPr>
            <w:r w:rsidRPr="009E5034">
              <w:rPr>
                <w:sz w:val="22"/>
                <w:szCs w:val="22"/>
              </w:rPr>
              <w:t>1209 lits</w:t>
            </w:r>
          </w:p>
        </w:tc>
        <w:tc>
          <w:tcPr>
            <w:tcW w:w="1828" w:type="dxa"/>
            <w:vAlign w:val="center"/>
          </w:tcPr>
          <w:p w:rsidR="00F164EF" w:rsidRPr="009E5034" w:rsidRDefault="00F164EF" w:rsidP="009E5034">
            <w:pPr>
              <w:pStyle w:val="Tableau"/>
              <w:ind w:left="1"/>
              <w:jc w:val="left"/>
              <w:rPr>
                <w:sz w:val="22"/>
                <w:szCs w:val="22"/>
              </w:rPr>
            </w:pPr>
          </w:p>
        </w:tc>
        <w:tc>
          <w:tcPr>
            <w:tcW w:w="814" w:type="dxa"/>
            <w:vAlign w:val="center"/>
          </w:tcPr>
          <w:p w:rsidR="00F164EF" w:rsidRPr="009E5034" w:rsidRDefault="00F164EF" w:rsidP="009E5034">
            <w:pPr>
              <w:pStyle w:val="Tableau"/>
              <w:ind w:left="1"/>
              <w:jc w:val="left"/>
              <w:rPr>
                <w:sz w:val="22"/>
                <w:szCs w:val="22"/>
              </w:rPr>
            </w:pPr>
            <w:r w:rsidRPr="009E5034">
              <w:rPr>
                <w:sz w:val="22"/>
                <w:szCs w:val="22"/>
              </w:rPr>
              <w:t>1606</w:t>
            </w:r>
          </w:p>
        </w:tc>
        <w:tc>
          <w:tcPr>
            <w:tcW w:w="1239" w:type="dxa"/>
            <w:vAlign w:val="center"/>
          </w:tcPr>
          <w:p w:rsidR="00F164EF" w:rsidRPr="009E5034" w:rsidRDefault="00F164EF" w:rsidP="009E5034">
            <w:pPr>
              <w:pStyle w:val="Tableau"/>
              <w:ind w:left="1"/>
              <w:jc w:val="left"/>
              <w:rPr>
                <w:sz w:val="22"/>
                <w:szCs w:val="22"/>
              </w:rPr>
            </w:pPr>
            <w:r w:rsidRPr="009E5034">
              <w:rPr>
                <w:sz w:val="22"/>
                <w:szCs w:val="22"/>
              </w:rPr>
              <w:t>586 190</w:t>
            </w:r>
          </w:p>
        </w:tc>
      </w:tr>
      <w:tr w:rsidR="00F164EF" w:rsidRPr="009E5034" w:rsidTr="00183B56">
        <w:tc>
          <w:tcPr>
            <w:tcW w:w="1963" w:type="dxa"/>
            <w:vAlign w:val="center"/>
          </w:tcPr>
          <w:p w:rsidR="00F164EF" w:rsidRPr="009E5034" w:rsidRDefault="00F164EF" w:rsidP="009E5034">
            <w:pPr>
              <w:pStyle w:val="Tableau"/>
              <w:ind w:left="1"/>
              <w:jc w:val="left"/>
              <w:rPr>
                <w:sz w:val="22"/>
                <w:szCs w:val="22"/>
              </w:rPr>
            </w:pPr>
            <w:r w:rsidRPr="009E5034">
              <w:rPr>
                <w:sz w:val="22"/>
                <w:szCs w:val="22"/>
              </w:rPr>
              <w:t>Industriel</w:t>
            </w:r>
          </w:p>
        </w:tc>
        <w:tc>
          <w:tcPr>
            <w:tcW w:w="1159" w:type="dxa"/>
            <w:vAlign w:val="center"/>
          </w:tcPr>
          <w:p w:rsidR="00F164EF" w:rsidRPr="009E5034" w:rsidRDefault="00F164EF" w:rsidP="009E5034">
            <w:pPr>
              <w:pStyle w:val="Tableau"/>
              <w:ind w:left="1"/>
              <w:jc w:val="left"/>
              <w:rPr>
                <w:sz w:val="22"/>
                <w:szCs w:val="22"/>
              </w:rPr>
            </w:pPr>
            <w:r w:rsidRPr="009E5034">
              <w:rPr>
                <w:sz w:val="22"/>
                <w:szCs w:val="22"/>
              </w:rPr>
              <w:t>57</w:t>
            </w:r>
          </w:p>
        </w:tc>
        <w:tc>
          <w:tcPr>
            <w:tcW w:w="1828" w:type="dxa"/>
            <w:vAlign w:val="center"/>
          </w:tcPr>
          <w:p w:rsidR="00F164EF" w:rsidRPr="009E5034" w:rsidRDefault="00F164EF" w:rsidP="009E5034">
            <w:pPr>
              <w:pStyle w:val="Tableau"/>
              <w:ind w:left="1"/>
              <w:jc w:val="left"/>
              <w:rPr>
                <w:sz w:val="22"/>
                <w:szCs w:val="22"/>
              </w:rPr>
            </w:pPr>
          </w:p>
        </w:tc>
        <w:tc>
          <w:tcPr>
            <w:tcW w:w="814" w:type="dxa"/>
            <w:vAlign w:val="center"/>
          </w:tcPr>
          <w:p w:rsidR="00F164EF" w:rsidRPr="009E5034" w:rsidRDefault="00F164EF" w:rsidP="009E5034">
            <w:pPr>
              <w:pStyle w:val="Tableau"/>
              <w:ind w:left="1"/>
              <w:jc w:val="left"/>
              <w:rPr>
                <w:sz w:val="22"/>
                <w:szCs w:val="22"/>
              </w:rPr>
            </w:pPr>
            <w:r w:rsidRPr="009E5034">
              <w:rPr>
                <w:sz w:val="22"/>
                <w:szCs w:val="22"/>
              </w:rPr>
              <w:t>4375</w:t>
            </w:r>
          </w:p>
        </w:tc>
        <w:tc>
          <w:tcPr>
            <w:tcW w:w="1239" w:type="dxa"/>
            <w:vAlign w:val="center"/>
          </w:tcPr>
          <w:p w:rsidR="00F164EF" w:rsidRPr="009E5034" w:rsidRDefault="00F164EF" w:rsidP="009E5034">
            <w:pPr>
              <w:pStyle w:val="Tableau"/>
              <w:ind w:left="1"/>
              <w:jc w:val="left"/>
              <w:rPr>
                <w:sz w:val="22"/>
                <w:szCs w:val="22"/>
              </w:rPr>
            </w:pPr>
            <w:r w:rsidRPr="009E5034">
              <w:rPr>
                <w:sz w:val="22"/>
                <w:szCs w:val="22"/>
              </w:rPr>
              <w:t>1 596 875</w:t>
            </w:r>
          </w:p>
        </w:tc>
      </w:tr>
      <w:tr w:rsidR="00F164EF" w:rsidRPr="009E5034" w:rsidTr="00183B56">
        <w:tc>
          <w:tcPr>
            <w:tcW w:w="1963" w:type="dxa"/>
            <w:vAlign w:val="center"/>
          </w:tcPr>
          <w:p w:rsidR="00F164EF" w:rsidRPr="009E5034" w:rsidRDefault="00F164EF" w:rsidP="009E5034">
            <w:pPr>
              <w:pStyle w:val="Tableau"/>
              <w:ind w:left="1"/>
              <w:jc w:val="left"/>
              <w:rPr>
                <w:sz w:val="22"/>
                <w:szCs w:val="22"/>
              </w:rPr>
            </w:pPr>
            <w:r w:rsidRPr="009E5034">
              <w:rPr>
                <w:sz w:val="22"/>
                <w:szCs w:val="22"/>
              </w:rPr>
              <w:t>Gros consommateurs</w:t>
            </w:r>
            <w:r w:rsidRPr="009E5034">
              <w:rPr>
                <w:rStyle w:val="FootnoteReference"/>
                <w:sz w:val="22"/>
                <w:szCs w:val="22"/>
              </w:rPr>
              <w:footnoteReference w:id="5"/>
            </w:r>
          </w:p>
        </w:tc>
        <w:tc>
          <w:tcPr>
            <w:tcW w:w="1159" w:type="dxa"/>
            <w:vAlign w:val="center"/>
          </w:tcPr>
          <w:p w:rsidR="00F164EF" w:rsidRPr="009E5034" w:rsidRDefault="00F164EF" w:rsidP="009E5034">
            <w:pPr>
              <w:pStyle w:val="Tableau"/>
              <w:ind w:left="1"/>
              <w:jc w:val="left"/>
              <w:rPr>
                <w:sz w:val="22"/>
                <w:szCs w:val="22"/>
              </w:rPr>
            </w:pPr>
          </w:p>
        </w:tc>
        <w:tc>
          <w:tcPr>
            <w:tcW w:w="1828" w:type="dxa"/>
            <w:vAlign w:val="center"/>
          </w:tcPr>
          <w:p w:rsidR="00F164EF" w:rsidRPr="009E5034" w:rsidRDefault="00F164EF" w:rsidP="009E5034">
            <w:pPr>
              <w:pStyle w:val="Tableau"/>
              <w:ind w:left="1"/>
              <w:jc w:val="left"/>
              <w:rPr>
                <w:sz w:val="22"/>
                <w:szCs w:val="22"/>
              </w:rPr>
            </w:pPr>
          </w:p>
        </w:tc>
        <w:tc>
          <w:tcPr>
            <w:tcW w:w="814" w:type="dxa"/>
            <w:vAlign w:val="center"/>
          </w:tcPr>
          <w:p w:rsidR="00F164EF" w:rsidRPr="009E5034" w:rsidRDefault="00F164EF" w:rsidP="009E5034">
            <w:pPr>
              <w:pStyle w:val="Tableau"/>
              <w:ind w:left="1"/>
              <w:jc w:val="left"/>
              <w:rPr>
                <w:sz w:val="22"/>
                <w:szCs w:val="22"/>
              </w:rPr>
            </w:pPr>
            <w:r w:rsidRPr="009E5034">
              <w:rPr>
                <w:sz w:val="22"/>
                <w:szCs w:val="22"/>
              </w:rPr>
              <w:t>1632</w:t>
            </w:r>
          </w:p>
        </w:tc>
        <w:tc>
          <w:tcPr>
            <w:tcW w:w="1239" w:type="dxa"/>
            <w:vAlign w:val="center"/>
          </w:tcPr>
          <w:p w:rsidR="00F164EF" w:rsidRPr="009E5034" w:rsidRDefault="00F164EF" w:rsidP="009E5034">
            <w:pPr>
              <w:pStyle w:val="Tableau"/>
              <w:ind w:left="1"/>
              <w:jc w:val="left"/>
              <w:rPr>
                <w:sz w:val="22"/>
                <w:szCs w:val="22"/>
              </w:rPr>
            </w:pPr>
            <w:r w:rsidRPr="009E5034">
              <w:rPr>
                <w:sz w:val="22"/>
                <w:szCs w:val="22"/>
              </w:rPr>
              <w:t>595 680</w:t>
            </w:r>
          </w:p>
        </w:tc>
      </w:tr>
      <w:tr w:rsidR="00F164EF" w:rsidRPr="009E5034" w:rsidTr="00183B56">
        <w:tc>
          <w:tcPr>
            <w:tcW w:w="1963" w:type="dxa"/>
            <w:vAlign w:val="center"/>
          </w:tcPr>
          <w:p w:rsidR="00F164EF" w:rsidRPr="009E5034" w:rsidRDefault="00F164EF" w:rsidP="009E5034">
            <w:pPr>
              <w:pStyle w:val="Tableau"/>
              <w:ind w:left="1"/>
              <w:jc w:val="left"/>
              <w:rPr>
                <w:sz w:val="22"/>
                <w:szCs w:val="22"/>
              </w:rPr>
            </w:pPr>
            <w:r w:rsidRPr="009E5034">
              <w:rPr>
                <w:sz w:val="22"/>
                <w:szCs w:val="22"/>
              </w:rPr>
              <w:t>Total</w:t>
            </w:r>
          </w:p>
        </w:tc>
        <w:tc>
          <w:tcPr>
            <w:tcW w:w="1159" w:type="dxa"/>
            <w:vAlign w:val="center"/>
          </w:tcPr>
          <w:p w:rsidR="00F164EF" w:rsidRPr="009E5034" w:rsidRDefault="00F164EF" w:rsidP="009E5034">
            <w:pPr>
              <w:pStyle w:val="Tableau"/>
              <w:ind w:left="1"/>
              <w:jc w:val="left"/>
              <w:rPr>
                <w:sz w:val="22"/>
                <w:szCs w:val="22"/>
              </w:rPr>
            </w:pPr>
          </w:p>
        </w:tc>
        <w:tc>
          <w:tcPr>
            <w:tcW w:w="1828" w:type="dxa"/>
            <w:vAlign w:val="center"/>
          </w:tcPr>
          <w:p w:rsidR="00F164EF" w:rsidRPr="009E5034" w:rsidRDefault="00F164EF" w:rsidP="009E5034">
            <w:pPr>
              <w:pStyle w:val="Tableau"/>
              <w:ind w:left="1"/>
              <w:jc w:val="left"/>
              <w:rPr>
                <w:sz w:val="22"/>
                <w:szCs w:val="22"/>
              </w:rPr>
            </w:pPr>
          </w:p>
        </w:tc>
        <w:tc>
          <w:tcPr>
            <w:tcW w:w="814" w:type="dxa"/>
            <w:vAlign w:val="center"/>
          </w:tcPr>
          <w:p w:rsidR="00F164EF" w:rsidRPr="009E5034" w:rsidRDefault="00F164EF" w:rsidP="009E5034">
            <w:pPr>
              <w:pStyle w:val="Tableau"/>
              <w:ind w:left="1"/>
              <w:jc w:val="left"/>
              <w:rPr>
                <w:sz w:val="22"/>
                <w:szCs w:val="22"/>
              </w:rPr>
            </w:pPr>
          </w:p>
        </w:tc>
        <w:tc>
          <w:tcPr>
            <w:tcW w:w="1239" w:type="dxa"/>
            <w:vAlign w:val="center"/>
          </w:tcPr>
          <w:p w:rsidR="00F164EF" w:rsidRPr="009E5034" w:rsidRDefault="00F164EF" w:rsidP="009E5034">
            <w:pPr>
              <w:pStyle w:val="Tableau"/>
              <w:ind w:left="1"/>
              <w:jc w:val="left"/>
              <w:rPr>
                <w:sz w:val="22"/>
                <w:szCs w:val="22"/>
              </w:rPr>
            </w:pPr>
            <w:r w:rsidRPr="009E5034">
              <w:rPr>
                <w:sz w:val="22"/>
                <w:szCs w:val="22"/>
              </w:rPr>
              <w:t>36 993 065</w:t>
            </w:r>
          </w:p>
        </w:tc>
      </w:tr>
    </w:tbl>
    <w:p w:rsidR="00F164EF" w:rsidRPr="009E5034" w:rsidRDefault="00F164EF" w:rsidP="009E5034">
      <w:pPr>
        <w:spacing w:before="120" w:after="120"/>
        <w:ind w:left="0"/>
        <w:jc w:val="left"/>
        <w:rPr>
          <w:sz w:val="22"/>
          <w:szCs w:val="22"/>
        </w:rPr>
      </w:pPr>
      <w:bookmarkStart w:id="43" w:name="_Toc253578424"/>
      <w:bookmarkStart w:id="44" w:name="_Toc261170199"/>
    </w:p>
    <w:p w:rsidR="00F164EF" w:rsidRPr="009E5034" w:rsidRDefault="00F164EF" w:rsidP="009E5034">
      <w:pPr>
        <w:spacing w:before="120" w:after="120"/>
        <w:ind w:left="0"/>
        <w:jc w:val="left"/>
        <w:rPr>
          <w:sz w:val="22"/>
          <w:szCs w:val="22"/>
        </w:rPr>
      </w:pPr>
    </w:p>
    <w:p w:rsidR="00F164EF" w:rsidRPr="009E5034" w:rsidRDefault="00F164EF" w:rsidP="009E5034">
      <w:pPr>
        <w:spacing w:before="120" w:after="120"/>
        <w:ind w:left="0"/>
        <w:jc w:val="left"/>
        <w:rPr>
          <w:sz w:val="22"/>
          <w:szCs w:val="22"/>
        </w:rPr>
      </w:pPr>
    </w:p>
    <w:p w:rsidR="00F164EF" w:rsidRPr="009E5034" w:rsidRDefault="00F164EF" w:rsidP="009E5034">
      <w:pPr>
        <w:spacing w:before="120" w:after="120"/>
        <w:ind w:left="0"/>
        <w:jc w:val="left"/>
        <w:rPr>
          <w:sz w:val="22"/>
          <w:szCs w:val="22"/>
        </w:rPr>
      </w:pPr>
    </w:p>
    <w:p w:rsidR="00F164EF" w:rsidRPr="009E5034" w:rsidRDefault="00F164EF" w:rsidP="009E5034">
      <w:pPr>
        <w:spacing w:before="120" w:after="120"/>
        <w:ind w:left="0"/>
        <w:jc w:val="left"/>
        <w:rPr>
          <w:sz w:val="22"/>
          <w:szCs w:val="22"/>
        </w:rPr>
      </w:pPr>
    </w:p>
    <w:p w:rsidR="00F164EF" w:rsidRPr="009E5034" w:rsidRDefault="00F164EF" w:rsidP="009E5034">
      <w:pPr>
        <w:spacing w:before="120" w:after="120"/>
        <w:ind w:left="0"/>
        <w:jc w:val="left"/>
        <w:rPr>
          <w:sz w:val="22"/>
          <w:szCs w:val="22"/>
        </w:rPr>
      </w:pPr>
    </w:p>
    <w:p w:rsidR="00F164EF" w:rsidRPr="009E5034" w:rsidRDefault="00F164EF" w:rsidP="009E5034">
      <w:pPr>
        <w:spacing w:after="240"/>
        <w:ind w:left="0"/>
        <w:jc w:val="left"/>
        <w:rPr>
          <w:rStyle w:val="Strong"/>
          <w:rFonts w:eastAsia="MS Mincho"/>
          <w:sz w:val="22"/>
          <w:szCs w:val="22"/>
        </w:rPr>
      </w:pPr>
      <w:r w:rsidRPr="009E5034">
        <w:rPr>
          <w:rStyle w:val="Strong"/>
          <w:rFonts w:eastAsia="MS Mincho"/>
          <w:sz w:val="22"/>
          <w:szCs w:val="22"/>
        </w:rPr>
        <w:t>2.6. Pauvreté</w:t>
      </w:r>
      <w:bookmarkEnd w:id="43"/>
      <w:bookmarkEnd w:id="44"/>
    </w:p>
    <w:p w:rsidR="00F164EF" w:rsidRPr="009E5034" w:rsidRDefault="00F164EF" w:rsidP="009E5034">
      <w:pPr>
        <w:spacing w:before="120" w:after="120"/>
        <w:ind w:left="0"/>
        <w:jc w:val="left"/>
        <w:rPr>
          <w:sz w:val="22"/>
          <w:szCs w:val="22"/>
        </w:rPr>
      </w:pPr>
      <w:r w:rsidRPr="009E5034">
        <w:rPr>
          <w:sz w:val="22"/>
          <w:szCs w:val="22"/>
        </w:rPr>
        <w:t>Le taux de pauvreté général à l’échelle du pays a été évalué en 2005 à environ 59.2%, avec 73% en milieu rural et 20% en milieu urbain. Dans la région de Bamako, les taux sont sensiblement comparables à ceux enregistrés à l’échelle nationale.</w:t>
      </w:r>
    </w:p>
    <w:p w:rsidR="00F164EF" w:rsidRPr="009E5034" w:rsidRDefault="00F164EF" w:rsidP="009E5034">
      <w:pPr>
        <w:spacing w:after="240"/>
        <w:ind w:left="0"/>
        <w:jc w:val="left"/>
        <w:rPr>
          <w:rStyle w:val="Strong"/>
          <w:rFonts w:eastAsia="MS Mincho"/>
          <w:sz w:val="22"/>
          <w:szCs w:val="22"/>
        </w:rPr>
      </w:pPr>
      <w:bookmarkStart w:id="45" w:name="_Toc253578426"/>
      <w:bookmarkStart w:id="46" w:name="_Toc261170200"/>
      <w:r w:rsidRPr="009E5034">
        <w:rPr>
          <w:rStyle w:val="Strong"/>
          <w:rFonts w:eastAsia="MS Mincho"/>
          <w:sz w:val="22"/>
          <w:szCs w:val="22"/>
        </w:rPr>
        <w:t>2.7. Santé</w:t>
      </w:r>
      <w:bookmarkEnd w:id="45"/>
      <w:bookmarkEnd w:id="46"/>
    </w:p>
    <w:p w:rsidR="00F164EF" w:rsidRPr="009E5034" w:rsidRDefault="00F164EF" w:rsidP="009E5034">
      <w:pPr>
        <w:spacing w:before="120" w:after="120"/>
        <w:ind w:left="0"/>
        <w:jc w:val="left"/>
        <w:rPr>
          <w:sz w:val="22"/>
          <w:szCs w:val="22"/>
        </w:rPr>
      </w:pPr>
      <w:r w:rsidRPr="009E5034">
        <w:rPr>
          <w:sz w:val="22"/>
          <w:szCs w:val="22"/>
        </w:rPr>
        <w:t>Les trois principales atteintes à la santé au Mali sont dans l’ordre, le paludisme, la diarrhée et les problèmes respiratoires. Le taux de mortalité infantile des moins de 1 an était de 12.1% en 2004, due en grande partie à la malnutrition infantile. Le taux pour les enfants de moins de 5 ans était de 13.3% en 2006.</w:t>
      </w:r>
      <w:r w:rsidR="009E5034">
        <w:rPr>
          <w:sz w:val="22"/>
          <w:szCs w:val="22"/>
        </w:rPr>
        <w:t xml:space="preserve"> </w:t>
      </w:r>
      <w:r w:rsidRPr="009E5034">
        <w:rPr>
          <w:sz w:val="22"/>
          <w:szCs w:val="22"/>
        </w:rPr>
        <w:t xml:space="preserve">Plus d’une vingtaine de maladies sont recensées par l’OMS dont les plus meurtrières sont le paludisme, la diarrhée, l’amibiase et le choléra. </w:t>
      </w:r>
    </w:p>
    <w:p w:rsidR="00F164EF" w:rsidRPr="009E5034" w:rsidRDefault="00F164EF" w:rsidP="009E5034">
      <w:pPr>
        <w:spacing w:before="120" w:after="120"/>
        <w:ind w:left="0"/>
        <w:jc w:val="left"/>
        <w:rPr>
          <w:sz w:val="22"/>
          <w:szCs w:val="22"/>
        </w:rPr>
      </w:pPr>
      <w:r w:rsidRPr="009E5034">
        <w:rPr>
          <w:sz w:val="22"/>
          <w:szCs w:val="22"/>
        </w:rPr>
        <w:t>L’enquête réalisé dans le cadre de l’étude du schéma directeur de l’assainissement de la ville de Bamako a révélé que le paludisme, la diarrhée, la méningite, la bilharziose et à la fièvre typhoïde sont parmi les principales infections dans la région.</w:t>
      </w:r>
    </w:p>
    <w:p w:rsidR="00F164EF" w:rsidRPr="009E5034" w:rsidRDefault="00F164EF" w:rsidP="009E5034">
      <w:pPr>
        <w:spacing w:before="120" w:after="120"/>
        <w:ind w:left="0"/>
        <w:jc w:val="left"/>
        <w:rPr>
          <w:sz w:val="22"/>
          <w:szCs w:val="22"/>
        </w:rPr>
      </w:pPr>
      <w:r w:rsidRPr="009E5034">
        <w:rPr>
          <w:sz w:val="22"/>
          <w:szCs w:val="22"/>
        </w:rPr>
        <w:t xml:space="preserve">Les données collectées concernent la période comprise entre le premier janvier 2006 et le 31 décembre 2006. Il s’agit d’une compilation de données recueillies sur terrain et de données en provenance de la direction régionale de la santé. </w:t>
      </w:r>
      <w:r w:rsidR="009E5034">
        <w:rPr>
          <w:sz w:val="22"/>
          <w:szCs w:val="22"/>
        </w:rPr>
        <w:t xml:space="preserve"> </w:t>
      </w:r>
      <w:r w:rsidRPr="009E5034">
        <w:rPr>
          <w:sz w:val="22"/>
          <w:szCs w:val="22"/>
        </w:rPr>
        <w:t>Le tableau suivant résume cette compilation. Les communes les plus affectées par les maladies hydriques sont particulièrement les communes 2 et 5.</w:t>
      </w:r>
    </w:p>
    <w:p w:rsidR="00F164EF" w:rsidRPr="009E5034" w:rsidRDefault="00F164EF" w:rsidP="009E5034">
      <w:pPr>
        <w:spacing w:before="120" w:after="120"/>
        <w:ind w:left="0"/>
        <w:jc w:val="left"/>
        <w:rPr>
          <w:sz w:val="22"/>
          <w:szCs w:val="22"/>
        </w:rPr>
      </w:pPr>
      <w:r w:rsidRPr="009E5034">
        <w:rPr>
          <w:sz w:val="22"/>
          <w:szCs w:val="22"/>
        </w:rPr>
        <w:t>Le district de Bamako a enregistré au cours des dernières années, depuis 1998 à 2006 une augmentation des infections respiratoires aigues basses, IRA basses ainsi que des infections respiratoires aigues hautes, IRA hautes.</w:t>
      </w:r>
    </w:p>
    <w:p w:rsidR="00F164EF" w:rsidRPr="009E5034" w:rsidRDefault="00F164EF" w:rsidP="009E5034">
      <w:pPr>
        <w:spacing w:before="120" w:after="120"/>
        <w:ind w:left="0"/>
        <w:jc w:val="left"/>
        <w:rPr>
          <w:sz w:val="22"/>
          <w:szCs w:val="22"/>
        </w:rPr>
      </w:pPr>
      <w:r w:rsidRPr="009E5034">
        <w:rPr>
          <w:sz w:val="22"/>
          <w:szCs w:val="22"/>
        </w:rPr>
        <w:t>Les IRA basses correspondent aux pneumonies, les IRA hautes correspondent aux angines, otites et aux trachéites. La pollution de l’air et l’augmentation de la poussière et des particules en suspension sont souvent à l’origine de telles infections.</w:t>
      </w:r>
    </w:p>
    <w:p w:rsidR="00F164EF" w:rsidRPr="009E5034" w:rsidRDefault="00F164EF" w:rsidP="009E5034">
      <w:pPr>
        <w:spacing w:before="120" w:after="120"/>
        <w:ind w:left="0"/>
        <w:jc w:val="left"/>
        <w:rPr>
          <w:sz w:val="22"/>
          <w:szCs w:val="22"/>
        </w:rPr>
      </w:pPr>
      <w:r w:rsidRPr="009E5034">
        <w:rPr>
          <w:sz w:val="22"/>
          <w:szCs w:val="22"/>
        </w:rPr>
        <w:t>Le Ministère de la santé suppose que la pollution de l’air soit l’une des causes de l’augmentation des IRA basses à Bamako, seulement en l’absence d’un suivi rigoureux du rapport entre les maladies respiratoires et le niveau de pollution, cette incidence ne peut pas être prouvée.</w:t>
      </w:r>
    </w:p>
    <w:p w:rsidR="00F164EF" w:rsidRPr="009E5034" w:rsidRDefault="00F164EF" w:rsidP="009E5034">
      <w:pPr>
        <w:pStyle w:val="Caption"/>
        <w:ind w:left="899"/>
        <w:rPr>
          <w:rStyle w:val="Emphasis"/>
          <w:sz w:val="22"/>
          <w:szCs w:val="22"/>
        </w:rPr>
      </w:pPr>
      <w:r w:rsidRPr="009E5034">
        <w:rPr>
          <w:rStyle w:val="Emphasis"/>
          <w:sz w:val="22"/>
          <w:szCs w:val="22"/>
        </w:rPr>
        <w:t xml:space="preserve">Tableau A1.5 : </w:t>
      </w:r>
      <w:bookmarkStart w:id="47" w:name="_Toc224709249"/>
      <w:r w:rsidRPr="009E5034">
        <w:rPr>
          <w:rStyle w:val="Emphasis"/>
          <w:sz w:val="22"/>
          <w:szCs w:val="22"/>
        </w:rPr>
        <w:t>Recensement des maladies par commune.</w:t>
      </w:r>
      <w:bookmarkEnd w:id="47"/>
    </w:p>
    <w:tbl>
      <w:tblPr>
        <w:tblW w:w="0" w:type="auto"/>
        <w:tblInd w:w="55" w:type="dxa"/>
        <w:tblCellMar>
          <w:left w:w="70" w:type="dxa"/>
          <w:right w:w="70" w:type="dxa"/>
        </w:tblCellMar>
        <w:tblLook w:val="00A0"/>
      </w:tblPr>
      <w:tblGrid>
        <w:gridCol w:w="1223"/>
        <w:gridCol w:w="1107"/>
        <w:gridCol w:w="810"/>
        <w:gridCol w:w="600"/>
        <w:gridCol w:w="702"/>
        <w:gridCol w:w="654"/>
        <w:gridCol w:w="595"/>
        <w:gridCol w:w="600"/>
        <w:gridCol w:w="595"/>
        <w:gridCol w:w="600"/>
        <w:gridCol w:w="851"/>
        <w:gridCol w:w="774"/>
      </w:tblGrid>
      <w:tr w:rsidR="00F164EF" w:rsidRPr="009E5034" w:rsidTr="00183B56">
        <w:trPr>
          <w:trHeight w:val="300"/>
        </w:trPr>
        <w:tc>
          <w:tcPr>
            <w:tcW w:w="0" w:type="auto"/>
            <w:vMerge w:val="restart"/>
            <w:tcBorders>
              <w:top w:val="single" w:sz="4" w:space="0" w:color="auto"/>
              <w:left w:val="single" w:sz="4" w:space="0" w:color="auto"/>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Communes</w:t>
            </w:r>
          </w:p>
        </w:tc>
        <w:tc>
          <w:tcPr>
            <w:tcW w:w="0" w:type="auto"/>
            <w:vMerge w:val="restart"/>
            <w:tcBorders>
              <w:top w:val="single" w:sz="4" w:space="0" w:color="auto"/>
              <w:left w:val="single" w:sz="4" w:space="0" w:color="auto"/>
              <w:bottom w:val="single" w:sz="4" w:space="0" w:color="000000"/>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Population 1998</w:t>
            </w:r>
          </w:p>
        </w:tc>
        <w:tc>
          <w:tcPr>
            <w:tcW w:w="0" w:type="auto"/>
            <w:gridSpan w:val="10"/>
            <w:tcBorders>
              <w:top w:val="single" w:sz="4" w:space="0" w:color="auto"/>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Maladies par communes, d’après résultats de l'enquête et la DRS</w:t>
            </w:r>
          </w:p>
        </w:tc>
      </w:tr>
      <w:tr w:rsidR="00F164EF" w:rsidRPr="009E5034" w:rsidTr="00183B56">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F164EF" w:rsidRPr="009E5034" w:rsidRDefault="00F164EF" w:rsidP="009E5034">
            <w:pPr>
              <w:pStyle w:val="Tableau"/>
              <w:ind w:left="1"/>
              <w:jc w:val="left"/>
              <w:rPr>
                <w:sz w:val="22"/>
                <w:szCs w:val="22"/>
              </w:rPr>
            </w:pPr>
          </w:p>
        </w:tc>
        <w:tc>
          <w:tcPr>
            <w:tcW w:w="0" w:type="auto"/>
            <w:gridSpan w:val="2"/>
            <w:tcBorders>
              <w:top w:val="single" w:sz="4" w:space="0" w:color="auto"/>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Paludisme</w:t>
            </w:r>
          </w:p>
        </w:tc>
        <w:tc>
          <w:tcPr>
            <w:tcW w:w="0" w:type="auto"/>
            <w:gridSpan w:val="2"/>
            <w:tcBorders>
              <w:top w:val="single" w:sz="4" w:space="0" w:color="auto"/>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Diarrhée</w:t>
            </w:r>
          </w:p>
        </w:tc>
        <w:tc>
          <w:tcPr>
            <w:tcW w:w="0" w:type="auto"/>
            <w:gridSpan w:val="2"/>
            <w:tcBorders>
              <w:top w:val="single" w:sz="4" w:space="0" w:color="auto"/>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Méningite</w:t>
            </w:r>
          </w:p>
        </w:tc>
        <w:tc>
          <w:tcPr>
            <w:tcW w:w="0" w:type="auto"/>
            <w:gridSpan w:val="2"/>
            <w:tcBorders>
              <w:top w:val="single" w:sz="4" w:space="0" w:color="auto"/>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Bilharziose</w:t>
            </w:r>
          </w:p>
        </w:tc>
        <w:tc>
          <w:tcPr>
            <w:tcW w:w="0" w:type="auto"/>
            <w:gridSpan w:val="2"/>
            <w:tcBorders>
              <w:top w:val="single" w:sz="4" w:space="0" w:color="auto"/>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Fièvre Typhoïde</w:t>
            </w:r>
          </w:p>
        </w:tc>
      </w:tr>
      <w:tr w:rsidR="00F164EF" w:rsidRPr="009E5034" w:rsidTr="00183B56">
        <w:trPr>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F164EF" w:rsidRPr="009E5034" w:rsidRDefault="00F164EF" w:rsidP="009E5034">
            <w:pPr>
              <w:pStyle w:val="Tableau"/>
              <w:ind w:left="1"/>
              <w:jc w:val="left"/>
              <w:rPr>
                <w:sz w:val="22"/>
                <w:szCs w:val="22"/>
              </w:rPr>
            </w:pPr>
          </w:p>
        </w:tc>
        <w:tc>
          <w:tcPr>
            <w:tcW w:w="0" w:type="auto"/>
            <w:tcBorders>
              <w:top w:val="nil"/>
              <w:left w:val="nil"/>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Nbre de cas</w:t>
            </w:r>
          </w:p>
        </w:tc>
        <w:tc>
          <w:tcPr>
            <w:tcW w:w="0" w:type="auto"/>
            <w:tcBorders>
              <w:top w:val="nil"/>
              <w:left w:val="nil"/>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 xml:space="preserve">Cas/   </w:t>
            </w:r>
            <w:smartTag w:uri="urn:schemas-microsoft-com:office:smarttags" w:element="metricconverter">
              <w:smartTagPr>
                <w:attr w:name="ProductID" w:val="1000 ha"/>
              </w:smartTagPr>
              <w:r w:rsidRPr="009E5034">
                <w:rPr>
                  <w:sz w:val="22"/>
                  <w:szCs w:val="22"/>
                </w:rPr>
                <w:t>1000 ha</w:t>
              </w:r>
            </w:smartTag>
          </w:p>
        </w:tc>
        <w:tc>
          <w:tcPr>
            <w:tcW w:w="0" w:type="auto"/>
            <w:tcBorders>
              <w:top w:val="nil"/>
              <w:left w:val="nil"/>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Nbre de cas</w:t>
            </w:r>
          </w:p>
        </w:tc>
        <w:tc>
          <w:tcPr>
            <w:tcW w:w="0" w:type="auto"/>
            <w:tcBorders>
              <w:top w:val="nil"/>
              <w:left w:val="nil"/>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 xml:space="preserve">Cas/   </w:t>
            </w:r>
            <w:smartTag w:uri="urn:schemas-microsoft-com:office:smarttags" w:element="metricconverter">
              <w:smartTagPr>
                <w:attr w:name="ProductID" w:val="1000 ha"/>
              </w:smartTagPr>
              <w:r w:rsidRPr="009E5034">
                <w:rPr>
                  <w:sz w:val="22"/>
                  <w:szCs w:val="22"/>
                </w:rPr>
                <w:t>1000 ha</w:t>
              </w:r>
            </w:smartTag>
          </w:p>
        </w:tc>
        <w:tc>
          <w:tcPr>
            <w:tcW w:w="0" w:type="auto"/>
            <w:tcBorders>
              <w:top w:val="nil"/>
              <w:left w:val="nil"/>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Nbre de cas</w:t>
            </w:r>
          </w:p>
        </w:tc>
        <w:tc>
          <w:tcPr>
            <w:tcW w:w="0" w:type="auto"/>
            <w:tcBorders>
              <w:top w:val="nil"/>
              <w:left w:val="nil"/>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 xml:space="preserve">Cas/   </w:t>
            </w:r>
            <w:smartTag w:uri="urn:schemas-microsoft-com:office:smarttags" w:element="metricconverter">
              <w:smartTagPr>
                <w:attr w:name="ProductID" w:val="1000 ha"/>
              </w:smartTagPr>
              <w:r w:rsidRPr="009E5034">
                <w:rPr>
                  <w:sz w:val="22"/>
                  <w:szCs w:val="22"/>
                </w:rPr>
                <w:t>1000 ha</w:t>
              </w:r>
            </w:smartTag>
          </w:p>
        </w:tc>
        <w:tc>
          <w:tcPr>
            <w:tcW w:w="0" w:type="auto"/>
            <w:tcBorders>
              <w:top w:val="nil"/>
              <w:left w:val="nil"/>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Nbre de cas</w:t>
            </w:r>
          </w:p>
        </w:tc>
        <w:tc>
          <w:tcPr>
            <w:tcW w:w="0" w:type="auto"/>
            <w:tcBorders>
              <w:top w:val="nil"/>
              <w:left w:val="nil"/>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 xml:space="preserve">Cas/   </w:t>
            </w:r>
            <w:smartTag w:uri="urn:schemas-microsoft-com:office:smarttags" w:element="metricconverter">
              <w:smartTagPr>
                <w:attr w:name="ProductID" w:val="1000 ha"/>
              </w:smartTagPr>
              <w:r w:rsidRPr="009E5034">
                <w:rPr>
                  <w:sz w:val="22"/>
                  <w:szCs w:val="22"/>
                </w:rPr>
                <w:t>1000 ha</w:t>
              </w:r>
            </w:smartTag>
          </w:p>
        </w:tc>
        <w:tc>
          <w:tcPr>
            <w:tcW w:w="0" w:type="auto"/>
            <w:tcBorders>
              <w:top w:val="nil"/>
              <w:left w:val="nil"/>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Nbre de cas</w:t>
            </w:r>
          </w:p>
        </w:tc>
        <w:tc>
          <w:tcPr>
            <w:tcW w:w="0" w:type="auto"/>
            <w:tcBorders>
              <w:top w:val="nil"/>
              <w:left w:val="nil"/>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 xml:space="preserve">Cas/   </w:t>
            </w:r>
            <w:smartTag w:uri="urn:schemas-microsoft-com:office:smarttags" w:element="metricconverter">
              <w:smartTagPr>
                <w:attr w:name="ProductID" w:val="1000 ha"/>
              </w:smartTagPr>
              <w:r w:rsidRPr="009E5034">
                <w:rPr>
                  <w:sz w:val="22"/>
                  <w:szCs w:val="22"/>
                </w:rPr>
                <w:t>1000 ha</w:t>
              </w:r>
            </w:smartTag>
          </w:p>
        </w:tc>
      </w:tr>
      <w:tr w:rsidR="00F164EF" w:rsidRPr="009E5034" w:rsidTr="00183B56">
        <w:trPr>
          <w:trHeight w:val="300"/>
        </w:trPr>
        <w:tc>
          <w:tcPr>
            <w:tcW w:w="0" w:type="auto"/>
            <w:tcBorders>
              <w:top w:val="nil"/>
              <w:left w:val="single" w:sz="4" w:space="0" w:color="auto"/>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Commune 1</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199651</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19255</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96</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4558</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22,83</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15</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0,08</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38</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0,19</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130</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0,65</w:t>
            </w:r>
          </w:p>
        </w:tc>
      </w:tr>
      <w:tr w:rsidR="00F164EF" w:rsidRPr="009E5034" w:rsidTr="00183B56">
        <w:trPr>
          <w:trHeight w:val="300"/>
        </w:trPr>
        <w:tc>
          <w:tcPr>
            <w:tcW w:w="0" w:type="auto"/>
            <w:tcBorders>
              <w:top w:val="nil"/>
              <w:left w:val="single" w:sz="4" w:space="0" w:color="auto"/>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Commune 2</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128088</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24707</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193</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3596</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28,07</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11</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0,09</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112</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0,87</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195</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1,52</w:t>
            </w:r>
          </w:p>
        </w:tc>
      </w:tr>
      <w:tr w:rsidR="00F164EF" w:rsidRPr="009E5034" w:rsidTr="00183B56">
        <w:trPr>
          <w:trHeight w:val="300"/>
        </w:trPr>
        <w:tc>
          <w:tcPr>
            <w:tcW w:w="0" w:type="auto"/>
            <w:tcBorders>
              <w:top w:val="nil"/>
              <w:left w:val="single" w:sz="4" w:space="0" w:color="auto"/>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Commune 3</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97389</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9165</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94</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1534</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15,75</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5</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0,05</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96</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0,99</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446</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4,58</w:t>
            </w:r>
          </w:p>
        </w:tc>
      </w:tr>
      <w:tr w:rsidR="00F164EF" w:rsidRPr="009E5034" w:rsidTr="00183B56">
        <w:trPr>
          <w:trHeight w:val="300"/>
        </w:trPr>
        <w:tc>
          <w:tcPr>
            <w:tcW w:w="0" w:type="auto"/>
            <w:tcBorders>
              <w:top w:val="nil"/>
              <w:left w:val="single" w:sz="4" w:space="0" w:color="auto"/>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Commune 4</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185855</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14157</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76</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3228</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17,37</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15</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0,08</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311</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1,67</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389</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2,09</w:t>
            </w:r>
          </w:p>
        </w:tc>
      </w:tr>
      <w:tr w:rsidR="00F164EF" w:rsidRPr="009E5034" w:rsidTr="00183B56">
        <w:trPr>
          <w:trHeight w:val="300"/>
        </w:trPr>
        <w:tc>
          <w:tcPr>
            <w:tcW w:w="0" w:type="auto"/>
            <w:tcBorders>
              <w:top w:val="nil"/>
              <w:left w:val="single" w:sz="4" w:space="0" w:color="auto"/>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Commune 5</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184716</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31034</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168</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5793</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31,36</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14</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0,08</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428</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2,32</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889</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4,81</w:t>
            </w:r>
          </w:p>
        </w:tc>
      </w:tr>
      <w:tr w:rsidR="00F164EF" w:rsidRPr="009E5034" w:rsidTr="00183B56">
        <w:trPr>
          <w:trHeight w:val="300"/>
        </w:trPr>
        <w:tc>
          <w:tcPr>
            <w:tcW w:w="0" w:type="auto"/>
            <w:tcBorders>
              <w:top w:val="nil"/>
              <w:left w:val="single" w:sz="4" w:space="0" w:color="auto"/>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Commune 6</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220466</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22288</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101</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2108</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9,56</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34</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0,15</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198</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0,90</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149</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0,68</w:t>
            </w:r>
          </w:p>
        </w:tc>
      </w:tr>
      <w:tr w:rsidR="00F164EF" w:rsidRPr="009E5034" w:rsidTr="00183B56">
        <w:trPr>
          <w:trHeight w:val="300"/>
        </w:trPr>
        <w:tc>
          <w:tcPr>
            <w:tcW w:w="0" w:type="auto"/>
            <w:tcBorders>
              <w:top w:val="nil"/>
              <w:left w:val="single" w:sz="4" w:space="0" w:color="auto"/>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Total</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1016165</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120606</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119</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20817</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20,49</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94</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0,09</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1183</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1,16</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2198</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2,16</w:t>
            </w:r>
          </w:p>
        </w:tc>
      </w:tr>
    </w:tbl>
    <w:p w:rsidR="00F164EF" w:rsidRPr="009E5034" w:rsidRDefault="00F164EF" w:rsidP="009E5034">
      <w:pPr>
        <w:spacing w:after="240"/>
        <w:ind w:left="0"/>
        <w:jc w:val="left"/>
        <w:rPr>
          <w:rStyle w:val="Strong"/>
          <w:rFonts w:eastAsia="MS Mincho"/>
          <w:sz w:val="22"/>
          <w:szCs w:val="22"/>
        </w:rPr>
      </w:pPr>
      <w:bookmarkStart w:id="48" w:name="_Toc253578427"/>
      <w:bookmarkStart w:id="49" w:name="_Toc261170201"/>
      <w:r w:rsidRPr="009E5034">
        <w:rPr>
          <w:rStyle w:val="Strong"/>
          <w:rFonts w:eastAsia="MS Mincho"/>
          <w:sz w:val="22"/>
          <w:szCs w:val="22"/>
        </w:rPr>
        <w:t>3. Activités économiques</w:t>
      </w:r>
      <w:bookmarkEnd w:id="48"/>
      <w:bookmarkEnd w:id="49"/>
    </w:p>
    <w:p w:rsidR="00F164EF" w:rsidRPr="009E5034" w:rsidRDefault="00F164EF" w:rsidP="009E5034">
      <w:pPr>
        <w:spacing w:after="240"/>
        <w:ind w:left="0"/>
        <w:jc w:val="left"/>
        <w:rPr>
          <w:rStyle w:val="Strong"/>
          <w:rFonts w:eastAsia="MS Mincho"/>
          <w:sz w:val="22"/>
          <w:szCs w:val="22"/>
        </w:rPr>
      </w:pPr>
      <w:bookmarkStart w:id="50" w:name="_Toc253578428"/>
      <w:bookmarkStart w:id="51" w:name="_Toc261170202"/>
      <w:r w:rsidRPr="009E5034">
        <w:rPr>
          <w:rStyle w:val="Strong"/>
          <w:rFonts w:eastAsia="MS Mincho"/>
          <w:sz w:val="22"/>
          <w:szCs w:val="22"/>
        </w:rPr>
        <w:t>3.1. Agriculture</w:t>
      </w:r>
      <w:bookmarkEnd w:id="50"/>
      <w:bookmarkEnd w:id="51"/>
      <w:r w:rsidRPr="009E5034">
        <w:rPr>
          <w:rStyle w:val="Strong"/>
          <w:rFonts w:eastAsia="MS Mincho"/>
          <w:sz w:val="22"/>
          <w:szCs w:val="22"/>
        </w:rPr>
        <w:t xml:space="preserve"> </w:t>
      </w:r>
    </w:p>
    <w:p w:rsidR="00F164EF" w:rsidRPr="009E5034" w:rsidRDefault="00F164EF" w:rsidP="009E5034">
      <w:pPr>
        <w:spacing w:before="120" w:after="120"/>
        <w:ind w:left="0"/>
        <w:jc w:val="left"/>
        <w:rPr>
          <w:sz w:val="22"/>
          <w:szCs w:val="22"/>
        </w:rPr>
      </w:pPr>
      <w:r w:rsidRPr="009E5034">
        <w:rPr>
          <w:sz w:val="22"/>
          <w:szCs w:val="22"/>
        </w:rPr>
        <w:t>L’agriculture dans le district de Bamako est basée essentiellement sur le maraichage, le tableau suivant nous renseigne sur les surfaces exploitées, les spéculations pratiquées ainsi que sur les types d’eaux utilisées.</w:t>
      </w:r>
    </w:p>
    <w:p w:rsidR="00F164EF" w:rsidRPr="009E5034" w:rsidRDefault="00F164EF" w:rsidP="009E5034">
      <w:pPr>
        <w:pStyle w:val="Caption"/>
        <w:ind w:left="899"/>
        <w:rPr>
          <w:rStyle w:val="Emphasis"/>
          <w:sz w:val="22"/>
          <w:szCs w:val="22"/>
        </w:rPr>
      </w:pPr>
      <w:bookmarkStart w:id="52" w:name="_Toc224709240"/>
      <w:r w:rsidRPr="009E5034">
        <w:rPr>
          <w:rStyle w:val="Emphasis"/>
          <w:sz w:val="22"/>
          <w:szCs w:val="22"/>
        </w:rPr>
        <w:t>Tableau A1.6: Caractéristiques de l’agriculture dans le district de Bamako.</w:t>
      </w:r>
      <w:bookmarkEnd w:id="52"/>
    </w:p>
    <w:tbl>
      <w:tblPr>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44"/>
        <w:gridCol w:w="1984"/>
        <w:gridCol w:w="2608"/>
        <w:gridCol w:w="3005"/>
      </w:tblGrid>
      <w:tr w:rsidR="00F164EF" w:rsidRPr="009E5034" w:rsidTr="00183B56">
        <w:tc>
          <w:tcPr>
            <w:tcW w:w="1644" w:type="dxa"/>
          </w:tcPr>
          <w:p w:rsidR="00F164EF" w:rsidRPr="009E5034" w:rsidRDefault="00F164EF" w:rsidP="009E5034">
            <w:pPr>
              <w:pStyle w:val="Tableau"/>
              <w:ind w:left="1"/>
              <w:jc w:val="left"/>
              <w:rPr>
                <w:sz w:val="22"/>
                <w:szCs w:val="22"/>
              </w:rPr>
            </w:pPr>
            <w:r w:rsidRPr="009E5034">
              <w:rPr>
                <w:sz w:val="22"/>
                <w:szCs w:val="22"/>
              </w:rPr>
              <w:t>Communes</w:t>
            </w:r>
          </w:p>
        </w:tc>
        <w:tc>
          <w:tcPr>
            <w:tcW w:w="1984" w:type="dxa"/>
          </w:tcPr>
          <w:p w:rsidR="00F164EF" w:rsidRPr="009E5034" w:rsidRDefault="00F164EF" w:rsidP="009E5034">
            <w:pPr>
              <w:pStyle w:val="Tableau"/>
              <w:ind w:left="1"/>
              <w:jc w:val="left"/>
              <w:rPr>
                <w:sz w:val="22"/>
                <w:szCs w:val="22"/>
              </w:rPr>
            </w:pPr>
            <w:r w:rsidRPr="009E5034">
              <w:rPr>
                <w:sz w:val="22"/>
                <w:szCs w:val="22"/>
              </w:rPr>
              <w:t>Surfaces exploitées</w:t>
            </w:r>
          </w:p>
        </w:tc>
        <w:tc>
          <w:tcPr>
            <w:tcW w:w="2608" w:type="dxa"/>
          </w:tcPr>
          <w:p w:rsidR="00F164EF" w:rsidRPr="009E5034" w:rsidRDefault="00F164EF" w:rsidP="009E5034">
            <w:pPr>
              <w:pStyle w:val="Tableau"/>
              <w:ind w:left="1"/>
              <w:jc w:val="left"/>
              <w:rPr>
                <w:sz w:val="22"/>
                <w:szCs w:val="22"/>
              </w:rPr>
            </w:pPr>
            <w:r w:rsidRPr="009E5034">
              <w:rPr>
                <w:sz w:val="22"/>
                <w:szCs w:val="22"/>
              </w:rPr>
              <w:t>Spéculations</w:t>
            </w:r>
          </w:p>
        </w:tc>
        <w:tc>
          <w:tcPr>
            <w:tcW w:w="3005" w:type="dxa"/>
          </w:tcPr>
          <w:p w:rsidR="00F164EF" w:rsidRPr="009E5034" w:rsidRDefault="00F164EF" w:rsidP="009E5034">
            <w:pPr>
              <w:pStyle w:val="Tableau"/>
              <w:ind w:left="1"/>
              <w:jc w:val="left"/>
              <w:rPr>
                <w:sz w:val="22"/>
                <w:szCs w:val="22"/>
              </w:rPr>
            </w:pPr>
            <w:r w:rsidRPr="009E5034">
              <w:rPr>
                <w:sz w:val="22"/>
                <w:szCs w:val="22"/>
              </w:rPr>
              <w:t>Type d’eau utilisée</w:t>
            </w:r>
          </w:p>
        </w:tc>
      </w:tr>
      <w:tr w:rsidR="00F164EF" w:rsidRPr="009E5034" w:rsidTr="00183B56">
        <w:tc>
          <w:tcPr>
            <w:tcW w:w="1644" w:type="dxa"/>
            <w:vAlign w:val="center"/>
          </w:tcPr>
          <w:p w:rsidR="00F164EF" w:rsidRPr="009E5034" w:rsidRDefault="00F164EF" w:rsidP="009E5034">
            <w:pPr>
              <w:pStyle w:val="Tableau"/>
              <w:ind w:left="1"/>
              <w:jc w:val="left"/>
              <w:rPr>
                <w:sz w:val="22"/>
                <w:szCs w:val="22"/>
              </w:rPr>
            </w:pPr>
            <w:r w:rsidRPr="009E5034">
              <w:rPr>
                <w:sz w:val="22"/>
                <w:szCs w:val="22"/>
              </w:rPr>
              <w:t>Commune 1</w:t>
            </w:r>
          </w:p>
        </w:tc>
        <w:tc>
          <w:tcPr>
            <w:tcW w:w="1984" w:type="dxa"/>
            <w:vAlign w:val="center"/>
          </w:tcPr>
          <w:p w:rsidR="00F164EF" w:rsidRPr="009E5034" w:rsidRDefault="00F164EF" w:rsidP="009E5034">
            <w:pPr>
              <w:pStyle w:val="Tableau"/>
              <w:ind w:left="1"/>
              <w:jc w:val="left"/>
              <w:rPr>
                <w:sz w:val="22"/>
                <w:szCs w:val="22"/>
              </w:rPr>
            </w:pPr>
            <w:smartTag w:uri="urn:schemas-microsoft-com:office:smarttags" w:element="metricconverter">
              <w:smartTagPr>
                <w:attr w:name="ProductID" w:val="23.75 ha"/>
              </w:smartTagPr>
              <w:r w:rsidRPr="009E5034">
                <w:rPr>
                  <w:sz w:val="22"/>
                  <w:szCs w:val="22"/>
                </w:rPr>
                <w:t>23.75 ha</w:t>
              </w:r>
            </w:smartTag>
          </w:p>
        </w:tc>
        <w:tc>
          <w:tcPr>
            <w:tcW w:w="2608" w:type="dxa"/>
            <w:vMerge w:val="restart"/>
            <w:vAlign w:val="center"/>
          </w:tcPr>
          <w:p w:rsidR="00F164EF" w:rsidRPr="009E5034" w:rsidRDefault="00F164EF" w:rsidP="009E5034">
            <w:pPr>
              <w:pStyle w:val="Tableau"/>
              <w:ind w:left="1"/>
              <w:jc w:val="left"/>
              <w:rPr>
                <w:sz w:val="22"/>
                <w:szCs w:val="22"/>
              </w:rPr>
            </w:pPr>
            <w:r w:rsidRPr="009E5034">
              <w:rPr>
                <w:sz w:val="22"/>
                <w:szCs w:val="22"/>
              </w:rPr>
              <w:t>Salade, persil, céleri, betterave, choux, oignon, aubergine, gombo, piments, concombre, tomate, navet, poivron, épinard, mente</w:t>
            </w:r>
          </w:p>
        </w:tc>
        <w:tc>
          <w:tcPr>
            <w:tcW w:w="3005" w:type="dxa"/>
            <w:vMerge w:val="restart"/>
            <w:vAlign w:val="center"/>
          </w:tcPr>
          <w:p w:rsidR="00F164EF" w:rsidRPr="009E5034" w:rsidRDefault="00F164EF" w:rsidP="009E5034">
            <w:pPr>
              <w:pStyle w:val="Tableau"/>
              <w:ind w:left="1"/>
              <w:jc w:val="left"/>
              <w:rPr>
                <w:sz w:val="22"/>
                <w:szCs w:val="22"/>
              </w:rPr>
            </w:pPr>
            <w:r w:rsidRPr="009E5034">
              <w:rPr>
                <w:sz w:val="22"/>
                <w:szCs w:val="22"/>
              </w:rPr>
              <w:t>Eau de puits, eau de collecteur en provenance des marigots et des caniveaux</w:t>
            </w:r>
          </w:p>
        </w:tc>
      </w:tr>
      <w:tr w:rsidR="00F164EF" w:rsidRPr="009E5034" w:rsidTr="00183B56">
        <w:tc>
          <w:tcPr>
            <w:tcW w:w="1644" w:type="dxa"/>
            <w:vAlign w:val="center"/>
          </w:tcPr>
          <w:p w:rsidR="00F164EF" w:rsidRPr="009E5034" w:rsidRDefault="00F164EF" w:rsidP="009E5034">
            <w:pPr>
              <w:pStyle w:val="Tableau"/>
              <w:ind w:left="1"/>
              <w:jc w:val="left"/>
              <w:rPr>
                <w:sz w:val="22"/>
                <w:szCs w:val="22"/>
              </w:rPr>
            </w:pPr>
            <w:r w:rsidRPr="009E5034">
              <w:rPr>
                <w:sz w:val="22"/>
                <w:szCs w:val="22"/>
              </w:rPr>
              <w:t>Commune 2</w:t>
            </w:r>
          </w:p>
        </w:tc>
        <w:tc>
          <w:tcPr>
            <w:tcW w:w="1984" w:type="dxa"/>
            <w:vAlign w:val="center"/>
          </w:tcPr>
          <w:p w:rsidR="00F164EF" w:rsidRPr="009E5034" w:rsidRDefault="00F164EF" w:rsidP="009E5034">
            <w:pPr>
              <w:pStyle w:val="Tableau"/>
              <w:ind w:left="1"/>
              <w:jc w:val="left"/>
              <w:rPr>
                <w:sz w:val="22"/>
                <w:szCs w:val="22"/>
              </w:rPr>
            </w:pPr>
            <w:smartTag w:uri="urn:schemas-microsoft-com:office:smarttags" w:element="metricconverter">
              <w:smartTagPr>
                <w:attr w:name="ProductID" w:val="5.5 ha"/>
              </w:smartTagPr>
              <w:r w:rsidRPr="009E5034">
                <w:rPr>
                  <w:sz w:val="22"/>
                  <w:szCs w:val="22"/>
                </w:rPr>
                <w:t>5.5 ha</w:t>
              </w:r>
            </w:smartTag>
          </w:p>
        </w:tc>
        <w:tc>
          <w:tcPr>
            <w:tcW w:w="2608" w:type="dxa"/>
            <w:vMerge/>
            <w:vAlign w:val="center"/>
          </w:tcPr>
          <w:p w:rsidR="00F164EF" w:rsidRPr="009E5034" w:rsidRDefault="00F164EF" w:rsidP="009E5034">
            <w:pPr>
              <w:pStyle w:val="Tableau"/>
              <w:ind w:left="1"/>
              <w:jc w:val="left"/>
              <w:rPr>
                <w:sz w:val="22"/>
                <w:szCs w:val="22"/>
              </w:rPr>
            </w:pPr>
          </w:p>
        </w:tc>
        <w:tc>
          <w:tcPr>
            <w:tcW w:w="3005" w:type="dxa"/>
            <w:vMerge/>
            <w:vAlign w:val="center"/>
          </w:tcPr>
          <w:p w:rsidR="00F164EF" w:rsidRPr="009E5034" w:rsidRDefault="00F164EF" w:rsidP="009E5034">
            <w:pPr>
              <w:pStyle w:val="Tableau"/>
              <w:ind w:left="1"/>
              <w:jc w:val="left"/>
              <w:rPr>
                <w:sz w:val="22"/>
                <w:szCs w:val="22"/>
              </w:rPr>
            </w:pPr>
          </w:p>
        </w:tc>
      </w:tr>
      <w:tr w:rsidR="00F164EF" w:rsidRPr="009E5034" w:rsidTr="00183B56">
        <w:tc>
          <w:tcPr>
            <w:tcW w:w="1644" w:type="dxa"/>
            <w:vAlign w:val="center"/>
          </w:tcPr>
          <w:p w:rsidR="00F164EF" w:rsidRPr="009E5034" w:rsidRDefault="00F164EF" w:rsidP="009E5034">
            <w:pPr>
              <w:pStyle w:val="Tableau"/>
              <w:ind w:left="1"/>
              <w:jc w:val="left"/>
              <w:rPr>
                <w:sz w:val="22"/>
                <w:szCs w:val="22"/>
              </w:rPr>
            </w:pPr>
            <w:r w:rsidRPr="009E5034">
              <w:rPr>
                <w:sz w:val="22"/>
                <w:szCs w:val="22"/>
              </w:rPr>
              <w:t>Commune 3</w:t>
            </w:r>
          </w:p>
        </w:tc>
        <w:tc>
          <w:tcPr>
            <w:tcW w:w="1984" w:type="dxa"/>
            <w:vAlign w:val="center"/>
          </w:tcPr>
          <w:p w:rsidR="00F164EF" w:rsidRPr="009E5034" w:rsidRDefault="00F164EF" w:rsidP="009E5034">
            <w:pPr>
              <w:pStyle w:val="Tableau"/>
              <w:ind w:left="1"/>
              <w:jc w:val="left"/>
              <w:rPr>
                <w:sz w:val="22"/>
                <w:szCs w:val="22"/>
              </w:rPr>
            </w:pPr>
            <w:smartTag w:uri="urn:schemas-microsoft-com:office:smarttags" w:element="metricconverter">
              <w:smartTagPr>
                <w:attr w:name="ProductID" w:val="12 ha"/>
              </w:smartTagPr>
              <w:r w:rsidRPr="009E5034">
                <w:rPr>
                  <w:sz w:val="22"/>
                  <w:szCs w:val="22"/>
                </w:rPr>
                <w:t>12 ha</w:t>
              </w:r>
            </w:smartTag>
          </w:p>
        </w:tc>
        <w:tc>
          <w:tcPr>
            <w:tcW w:w="2608" w:type="dxa"/>
            <w:vMerge/>
            <w:vAlign w:val="center"/>
          </w:tcPr>
          <w:p w:rsidR="00F164EF" w:rsidRPr="009E5034" w:rsidRDefault="00F164EF" w:rsidP="009E5034">
            <w:pPr>
              <w:pStyle w:val="Tableau"/>
              <w:ind w:left="1"/>
              <w:jc w:val="left"/>
              <w:rPr>
                <w:sz w:val="22"/>
                <w:szCs w:val="22"/>
              </w:rPr>
            </w:pPr>
          </w:p>
        </w:tc>
        <w:tc>
          <w:tcPr>
            <w:tcW w:w="3005" w:type="dxa"/>
            <w:vMerge/>
            <w:vAlign w:val="center"/>
          </w:tcPr>
          <w:p w:rsidR="00F164EF" w:rsidRPr="009E5034" w:rsidRDefault="00F164EF" w:rsidP="009E5034">
            <w:pPr>
              <w:pStyle w:val="Tableau"/>
              <w:ind w:left="1"/>
              <w:jc w:val="left"/>
              <w:rPr>
                <w:sz w:val="22"/>
                <w:szCs w:val="22"/>
              </w:rPr>
            </w:pPr>
          </w:p>
        </w:tc>
      </w:tr>
      <w:tr w:rsidR="00F164EF" w:rsidRPr="009E5034" w:rsidTr="00183B56">
        <w:tc>
          <w:tcPr>
            <w:tcW w:w="1644" w:type="dxa"/>
            <w:vAlign w:val="center"/>
          </w:tcPr>
          <w:p w:rsidR="00F164EF" w:rsidRPr="009E5034" w:rsidRDefault="00F164EF" w:rsidP="009E5034">
            <w:pPr>
              <w:pStyle w:val="Tableau"/>
              <w:ind w:left="1"/>
              <w:jc w:val="left"/>
              <w:rPr>
                <w:sz w:val="22"/>
                <w:szCs w:val="22"/>
              </w:rPr>
            </w:pPr>
            <w:r w:rsidRPr="009E5034">
              <w:rPr>
                <w:sz w:val="22"/>
                <w:szCs w:val="22"/>
              </w:rPr>
              <w:t>Commune 4</w:t>
            </w:r>
          </w:p>
        </w:tc>
        <w:tc>
          <w:tcPr>
            <w:tcW w:w="1984" w:type="dxa"/>
            <w:vAlign w:val="center"/>
          </w:tcPr>
          <w:p w:rsidR="00F164EF" w:rsidRPr="009E5034" w:rsidRDefault="00F164EF" w:rsidP="009E5034">
            <w:pPr>
              <w:pStyle w:val="Tableau"/>
              <w:ind w:left="1"/>
              <w:jc w:val="left"/>
              <w:rPr>
                <w:sz w:val="22"/>
                <w:szCs w:val="22"/>
              </w:rPr>
            </w:pPr>
            <w:smartTag w:uri="urn:schemas-microsoft-com:office:smarttags" w:element="metricconverter">
              <w:smartTagPr>
                <w:attr w:name="ProductID" w:val="10.5 ha"/>
              </w:smartTagPr>
              <w:r w:rsidRPr="009E5034">
                <w:rPr>
                  <w:sz w:val="22"/>
                  <w:szCs w:val="22"/>
                </w:rPr>
                <w:t>10.5 ha</w:t>
              </w:r>
            </w:smartTag>
          </w:p>
        </w:tc>
        <w:tc>
          <w:tcPr>
            <w:tcW w:w="2608" w:type="dxa"/>
            <w:vMerge/>
            <w:vAlign w:val="center"/>
          </w:tcPr>
          <w:p w:rsidR="00F164EF" w:rsidRPr="009E5034" w:rsidRDefault="00F164EF" w:rsidP="009E5034">
            <w:pPr>
              <w:pStyle w:val="Tableau"/>
              <w:ind w:left="1"/>
              <w:jc w:val="left"/>
              <w:rPr>
                <w:sz w:val="22"/>
                <w:szCs w:val="22"/>
              </w:rPr>
            </w:pPr>
          </w:p>
        </w:tc>
        <w:tc>
          <w:tcPr>
            <w:tcW w:w="3005" w:type="dxa"/>
            <w:vMerge/>
            <w:vAlign w:val="center"/>
          </w:tcPr>
          <w:p w:rsidR="00F164EF" w:rsidRPr="009E5034" w:rsidRDefault="00F164EF" w:rsidP="009E5034">
            <w:pPr>
              <w:pStyle w:val="Tableau"/>
              <w:ind w:left="1"/>
              <w:jc w:val="left"/>
              <w:rPr>
                <w:sz w:val="22"/>
                <w:szCs w:val="22"/>
              </w:rPr>
            </w:pPr>
          </w:p>
        </w:tc>
      </w:tr>
      <w:tr w:rsidR="00F164EF" w:rsidRPr="009E5034" w:rsidTr="00183B56">
        <w:tc>
          <w:tcPr>
            <w:tcW w:w="1644" w:type="dxa"/>
            <w:vAlign w:val="center"/>
          </w:tcPr>
          <w:p w:rsidR="00F164EF" w:rsidRPr="009E5034" w:rsidRDefault="00F164EF" w:rsidP="009E5034">
            <w:pPr>
              <w:pStyle w:val="Tableau"/>
              <w:ind w:left="1"/>
              <w:jc w:val="left"/>
              <w:rPr>
                <w:sz w:val="22"/>
                <w:szCs w:val="22"/>
              </w:rPr>
            </w:pPr>
            <w:r w:rsidRPr="009E5034">
              <w:rPr>
                <w:sz w:val="22"/>
                <w:szCs w:val="22"/>
              </w:rPr>
              <w:t>Commune 5</w:t>
            </w:r>
          </w:p>
        </w:tc>
        <w:tc>
          <w:tcPr>
            <w:tcW w:w="1984" w:type="dxa"/>
            <w:vAlign w:val="center"/>
          </w:tcPr>
          <w:p w:rsidR="00F164EF" w:rsidRPr="009E5034" w:rsidRDefault="00F164EF" w:rsidP="009E5034">
            <w:pPr>
              <w:pStyle w:val="Tableau"/>
              <w:ind w:left="1"/>
              <w:jc w:val="left"/>
              <w:rPr>
                <w:sz w:val="22"/>
                <w:szCs w:val="22"/>
              </w:rPr>
            </w:pPr>
            <w:smartTag w:uri="urn:schemas-microsoft-com:office:smarttags" w:element="metricconverter">
              <w:smartTagPr>
                <w:attr w:name="ProductID" w:val="10.76 ha"/>
              </w:smartTagPr>
              <w:r w:rsidRPr="009E5034">
                <w:rPr>
                  <w:sz w:val="22"/>
                  <w:szCs w:val="22"/>
                </w:rPr>
                <w:t>10.76 ha</w:t>
              </w:r>
            </w:smartTag>
          </w:p>
        </w:tc>
        <w:tc>
          <w:tcPr>
            <w:tcW w:w="2608" w:type="dxa"/>
            <w:vMerge/>
            <w:vAlign w:val="center"/>
          </w:tcPr>
          <w:p w:rsidR="00F164EF" w:rsidRPr="009E5034" w:rsidRDefault="00F164EF" w:rsidP="009E5034">
            <w:pPr>
              <w:pStyle w:val="Tableau"/>
              <w:ind w:left="1"/>
              <w:jc w:val="left"/>
              <w:rPr>
                <w:sz w:val="22"/>
                <w:szCs w:val="22"/>
              </w:rPr>
            </w:pPr>
          </w:p>
        </w:tc>
        <w:tc>
          <w:tcPr>
            <w:tcW w:w="3005" w:type="dxa"/>
            <w:vMerge/>
            <w:vAlign w:val="center"/>
          </w:tcPr>
          <w:p w:rsidR="00F164EF" w:rsidRPr="009E5034" w:rsidRDefault="00F164EF" w:rsidP="009E5034">
            <w:pPr>
              <w:pStyle w:val="Tableau"/>
              <w:ind w:left="1"/>
              <w:jc w:val="left"/>
              <w:rPr>
                <w:sz w:val="22"/>
                <w:szCs w:val="22"/>
              </w:rPr>
            </w:pPr>
          </w:p>
        </w:tc>
      </w:tr>
      <w:tr w:rsidR="00F164EF" w:rsidRPr="009E5034" w:rsidTr="00183B56">
        <w:tc>
          <w:tcPr>
            <w:tcW w:w="1644" w:type="dxa"/>
            <w:vAlign w:val="center"/>
          </w:tcPr>
          <w:p w:rsidR="00F164EF" w:rsidRPr="009E5034" w:rsidRDefault="00F164EF" w:rsidP="009E5034">
            <w:pPr>
              <w:pStyle w:val="Tableau"/>
              <w:ind w:left="1"/>
              <w:jc w:val="left"/>
              <w:rPr>
                <w:sz w:val="22"/>
                <w:szCs w:val="22"/>
              </w:rPr>
            </w:pPr>
            <w:r w:rsidRPr="009E5034">
              <w:rPr>
                <w:sz w:val="22"/>
                <w:szCs w:val="22"/>
              </w:rPr>
              <w:t>Commune 6</w:t>
            </w:r>
          </w:p>
        </w:tc>
        <w:tc>
          <w:tcPr>
            <w:tcW w:w="1984" w:type="dxa"/>
            <w:vAlign w:val="center"/>
          </w:tcPr>
          <w:p w:rsidR="00F164EF" w:rsidRPr="009E5034" w:rsidRDefault="00F164EF" w:rsidP="009E5034">
            <w:pPr>
              <w:pStyle w:val="Tableau"/>
              <w:ind w:left="1"/>
              <w:jc w:val="left"/>
              <w:rPr>
                <w:sz w:val="22"/>
                <w:szCs w:val="22"/>
              </w:rPr>
            </w:pPr>
            <w:smartTag w:uri="urn:schemas-microsoft-com:office:smarttags" w:element="metricconverter">
              <w:smartTagPr>
                <w:attr w:name="ProductID" w:val="26.2 ha"/>
              </w:smartTagPr>
              <w:r w:rsidRPr="009E5034">
                <w:rPr>
                  <w:sz w:val="22"/>
                  <w:szCs w:val="22"/>
                </w:rPr>
                <w:t>26.2 ha</w:t>
              </w:r>
            </w:smartTag>
          </w:p>
        </w:tc>
        <w:tc>
          <w:tcPr>
            <w:tcW w:w="2608" w:type="dxa"/>
            <w:vMerge/>
            <w:vAlign w:val="center"/>
          </w:tcPr>
          <w:p w:rsidR="00F164EF" w:rsidRPr="009E5034" w:rsidRDefault="00F164EF" w:rsidP="009E5034">
            <w:pPr>
              <w:pStyle w:val="Tableau"/>
              <w:ind w:left="1"/>
              <w:jc w:val="left"/>
              <w:rPr>
                <w:sz w:val="22"/>
                <w:szCs w:val="22"/>
              </w:rPr>
            </w:pPr>
          </w:p>
        </w:tc>
        <w:tc>
          <w:tcPr>
            <w:tcW w:w="3005" w:type="dxa"/>
            <w:vAlign w:val="center"/>
          </w:tcPr>
          <w:p w:rsidR="00F164EF" w:rsidRPr="009E5034" w:rsidRDefault="00F164EF" w:rsidP="009E5034">
            <w:pPr>
              <w:pStyle w:val="Tableau"/>
              <w:ind w:left="1"/>
              <w:jc w:val="left"/>
              <w:rPr>
                <w:sz w:val="22"/>
                <w:szCs w:val="22"/>
              </w:rPr>
            </w:pPr>
            <w:r w:rsidRPr="009E5034">
              <w:rPr>
                <w:sz w:val="22"/>
                <w:szCs w:val="22"/>
              </w:rPr>
              <w:t>Eau de puits, eau de collecteur et eau du fleuve.</w:t>
            </w:r>
          </w:p>
        </w:tc>
      </w:tr>
      <w:tr w:rsidR="00F164EF" w:rsidRPr="009E5034" w:rsidTr="00183B56">
        <w:tc>
          <w:tcPr>
            <w:tcW w:w="1644" w:type="dxa"/>
            <w:vAlign w:val="center"/>
          </w:tcPr>
          <w:p w:rsidR="00F164EF" w:rsidRPr="009E5034" w:rsidRDefault="00F164EF" w:rsidP="009E5034">
            <w:pPr>
              <w:pStyle w:val="Tableau"/>
              <w:ind w:left="1"/>
              <w:jc w:val="left"/>
              <w:rPr>
                <w:sz w:val="22"/>
                <w:szCs w:val="22"/>
              </w:rPr>
            </w:pPr>
            <w:r w:rsidRPr="009E5034">
              <w:rPr>
                <w:sz w:val="22"/>
                <w:szCs w:val="22"/>
              </w:rPr>
              <w:t>Total</w:t>
            </w:r>
          </w:p>
        </w:tc>
        <w:tc>
          <w:tcPr>
            <w:tcW w:w="1984" w:type="dxa"/>
            <w:vAlign w:val="center"/>
          </w:tcPr>
          <w:p w:rsidR="00F164EF" w:rsidRPr="009E5034" w:rsidRDefault="00F164EF" w:rsidP="009E5034">
            <w:pPr>
              <w:pStyle w:val="Tableau"/>
              <w:ind w:left="1"/>
              <w:jc w:val="left"/>
              <w:rPr>
                <w:sz w:val="22"/>
                <w:szCs w:val="22"/>
              </w:rPr>
            </w:pPr>
            <w:smartTag w:uri="urn:schemas-microsoft-com:office:smarttags" w:element="metricconverter">
              <w:smartTagPr>
                <w:attr w:name="ProductID" w:val="88.71 ha"/>
              </w:smartTagPr>
              <w:r w:rsidRPr="009E5034">
                <w:rPr>
                  <w:sz w:val="22"/>
                  <w:szCs w:val="22"/>
                </w:rPr>
                <w:t>88.71 ha</w:t>
              </w:r>
            </w:smartTag>
          </w:p>
        </w:tc>
        <w:tc>
          <w:tcPr>
            <w:tcW w:w="2608" w:type="dxa"/>
            <w:vMerge/>
            <w:vAlign w:val="center"/>
          </w:tcPr>
          <w:p w:rsidR="00F164EF" w:rsidRPr="009E5034" w:rsidRDefault="00F164EF" w:rsidP="009E5034">
            <w:pPr>
              <w:pStyle w:val="Tableau"/>
              <w:ind w:left="1"/>
              <w:jc w:val="left"/>
              <w:rPr>
                <w:sz w:val="22"/>
                <w:szCs w:val="22"/>
              </w:rPr>
            </w:pPr>
          </w:p>
        </w:tc>
        <w:tc>
          <w:tcPr>
            <w:tcW w:w="3005" w:type="dxa"/>
            <w:vAlign w:val="center"/>
          </w:tcPr>
          <w:p w:rsidR="00F164EF" w:rsidRPr="009E5034" w:rsidRDefault="00F164EF" w:rsidP="009E5034">
            <w:pPr>
              <w:pStyle w:val="Tableau"/>
              <w:ind w:left="1"/>
              <w:jc w:val="left"/>
              <w:rPr>
                <w:sz w:val="22"/>
                <w:szCs w:val="22"/>
              </w:rPr>
            </w:pPr>
          </w:p>
        </w:tc>
      </w:tr>
    </w:tbl>
    <w:p w:rsidR="00F164EF" w:rsidRPr="009E5034" w:rsidRDefault="00F164EF" w:rsidP="009E5034">
      <w:pPr>
        <w:spacing w:before="120" w:after="120"/>
        <w:ind w:left="0"/>
        <w:jc w:val="left"/>
        <w:rPr>
          <w:sz w:val="22"/>
          <w:szCs w:val="22"/>
        </w:rPr>
      </w:pPr>
      <w:r w:rsidRPr="009E5034">
        <w:rPr>
          <w:sz w:val="22"/>
          <w:szCs w:val="22"/>
        </w:rPr>
        <w:t>Les périmètres irrigués sont disposés de part et d’autre des principaux marigots et du fleuve Niger, le nombre de parcelles exploitées est de l’ordre de 1 100, offrant des emplois permanents et des sources de revenus à environ 10 000 personnes.</w:t>
      </w:r>
    </w:p>
    <w:p w:rsidR="00F164EF" w:rsidRPr="009E5034" w:rsidRDefault="00F164EF" w:rsidP="009E5034">
      <w:pPr>
        <w:spacing w:before="120" w:after="120"/>
        <w:ind w:left="0"/>
        <w:jc w:val="left"/>
        <w:rPr>
          <w:sz w:val="22"/>
          <w:szCs w:val="22"/>
        </w:rPr>
      </w:pPr>
      <w:r w:rsidRPr="009E5034">
        <w:rPr>
          <w:sz w:val="22"/>
          <w:szCs w:val="22"/>
        </w:rPr>
        <w:t>Les parcelles sont arrosées avec les eaux du fleuve Niger ainsi qu’avec des eaux usées brutes polluées s’écoulant dans les marigots et dans les caniveaux ou en provenance de puits souvent contaminés. Les services de santé enregistrent de plus en plus de cas de maladies liées à la consommation de produits maraîchers frais arrosés avec les eaux  polluées.</w:t>
      </w:r>
    </w:p>
    <w:p w:rsidR="00F164EF" w:rsidRPr="009E5034" w:rsidRDefault="00F164EF" w:rsidP="009E5034">
      <w:pPr>
        <w:spacing w:after="240"/>
        <w:ind w:left="0"/>
        <w:jc w:val="left"/>
        <w:rPr>
          <w:rStyle w:val="Strong"/>
          <w:rFonts w:eastAsia="MS Mincho"/>
          <w:sz w:val="22"/>
          <w:szCs w:val="22"/>
        </w:rPr>
      </w:pPr>
      <w:bookmarkStart w:id="53" w:name="_Toc253578429"/>
      <w:bookmarkStart w:id="54" w:name="_Toc261170203"/>
      <w:r w:rsidRPr="009E5034">
        <w:rPr>
          <w:rStyle w:val="Strong"/>
          <w:rFonts w:eastAsia="MS Mincho"/>
          <w:sz w:val="22"/>
          <w:szCs w:val="22"/>
        </w:rPr>
        <w:t>3.2. Industrie</w:t>
      </w:r>
      <w:bookmarkEnd w:id="53"/>
      <w:bookmarkEnd w:id="54"/>
    </w:p>
    <w:p w:rsidR="00F164EF" w:rsidRPr="009E5034" w:rsidRDefault="00F164EF" w:rsidP="009E5034">
      <w:pPr>
        <w:spacing w:before="120" w:after="120"/>
        <w:ind w:left="0"/>
        <w:jc w:val="left"/>
        <w:rPr>
          <w:sz w:val="22"/>
          <w:szCs w:val="22"/>
        </w:rPr>
      </w:pPr>
      <w:r w:rsidRPr="009E5034">
        <w:rPr>
          <w:sz w:val="22"/>
          <w:szCs w:val="22"/>
        </w:rPr>
        <w:t xml:space="preserve">A Bamako, les principales unités industrielles sont concentrées au niveau de la zone industrielle SOTUBA, non loin du fleuve Niger. En 2005, la zone industrielle contenait 57 entreprises industrielles ou commerciales réparties sur 19 branches d’activités dont la plus importante est l’agroalimentaire avec toutefois des activités nettement plus polluantes, telles que l’industrie du textile, l’industrie pharmaceutique et la production de piles et de détergents. Ces unités comptent environ 3000 employés permanents. </w:t>
      </w:r>
    </w:p>
    <w:p w:rsidR="00F164EF" w:rsidRPr="009E5034" w:rsidRDefault="00F164EF" w:rsidP="009E5034">
      <w:pPr>
        <w:spacing w:before="120" w:after="120"/>
        <w:ind w:left="0"/>
        <w:jc w:val="left"/>
        <w:rPr>
          <w:sz w:val="22"/>
          <w:szCs w:val="22"/>
        </w:rPr>
      </w:pPr>
      <w:r w:rsidRPr="009E5034">
        <w:rPr>
          <w:sz w:val="22"/>
          <w:szCs w:val="22"/>
        </w:rPr>
        <w:t>La zone industrielle de Bamako consomme autour de 6 000 m3/j</w:t>
      </w:r>
      <w:r w:rsidRPr="009E5034">
        <w:rPr>
          <w:rStyle w:val="FootnoteReference"/>
          <w:sz w:val="22"/>
          <w:szCs w:val="22"/>
        </w:rPr>
        <w:footnoteReference w:id="6"/>
      </w:r>
      <w:r w:rsidRPr="009E5034">
        <w:rPr>
          <w:sz w:val="22"/>
          <w:szCs w:val="22"/>
        </w:rPr>
        <w:t xml:space="preserve"> d’eau dont </w:t>
      </w:r>
      <w:smartTag w:uri="urn:schemas-microsoft-com:office:smarttags" w:element="metricconverter">
        <w:smartTagPr>
          <w:attr w:name="ProductID" w:val="450 m3"/>
        </w:smartTagPr>
        <w:r w:rsidRPr="009E5034">
          <w:rPr>
            <w:sz w:val="22"/>
            <w:szCs w:val="22"/>
          </w:rPr>
          <w:t>450 m3</w:t>
        </w:r>
      </w:smartTag>
      <w:r w:rsidRPr="009E5034">
        <w:rPr>
          <w:sz w:val="22"/>
          <w:szCs w:val="22"/>
        </w:rPr>
        <w:t xml:space="preserve"> en provenance du réseau d’EDM, le reste est pompé directement du fleuve. </w:t>
      </w:r>
    </w:p>
    <w:p w:rsidR="00F164EF" w:rsidRPr="009E5034" w:rsidRDefault="00F164EF" w:rsidP="009E5034">
      <w:pPr>
        <w:spacing w:before="120" w:after="120"/>
        <w:ind w:left="0"/>
        <w:jc w:val="left"/>
        <w:rPr>
          <w:sz w:val="22"/>
          <w:szCs w:val="22"/>
        </w:rPr>
      </w:pPr>
      <w:r w:rsidRPr="009E5034">
        <w:rPr>
          <w:sz w:val="22"/>
          <w:szCs w:val="22"/>
        </w:rPr>
        <w:t>Il est à signaler que l’activité de la teinturerie s’est développée considérablement au cours des dernières décennies à Bamako, on recense environ 300 unités de teinturerie éparpillées dans tout Bamako, elles rejettent environ 16000 m3 d’eaux usées dans les caniveaux et le milieu naturel (fleuve, marigots, etc.).</w:t>
      </w:r>
    </w:p>
    <w:p w:rsidR="00F164EF" w:rsidRPr="009E5034" w:rsidRDefault="00F164EF" w:rsidP="009E5034">
      <w:pPr>
        <w:spacing w:after="240"/>
        <w:ind w:left="0"/>
        <w:jc w:val="left"/>
        <w:rPr>
          <w:rStyle w:val="Strong"/>
          <w:rFonts w:eastAsia="MS Mincho"/>
          <w:sz w:val="22"/>
          <w:szCs w:val="22"/>
        </w:rPr>
      </w:pPr>
      <w:bookmarkStart w:id="55" w:name="_Toc253578430"/>
      <w:bookmarkStart w:id="56" w:name="_Toc261170204"/>
      <w:r w:rsidRPr="009E5034">
        <w:rPr>
          <w:rStyle w:val="Strong"/>
          <w:rFonts w:eastAsia="MS Mincho"/>
          <w:sz w:val="22"/>
          <w:szCs w:val="22"/>
        </w:rPr>
        <w:t>3.3. Transport</w:t>
      </w:r>
      <w:bookmarkEnd w:id="55"/>
      <w:bookmarkEnd w:id="56"/>
    </w:p>
    <w:p w:rsidR="00F164EF" w:rsidRPr="009E5034" w:rsidRDefault="00F164EF" w:rsidP="009E5034">
      <w:pPr>
        <w:spacing w:before="120" w:after="120"/>
        <w:ind w:left="0"/>
        <w:jc w:val="left"/>
        <w:rPr>
          <w:sz w:val="22"/>
          <w:szCs w:val="22"/>
        </w:rPr>
      </w:pPr>
      <w:r w:rsidRPr="009E5034">
        <w:rPr>
          <w:sz w:val="22"/>
          <w:szCs w:val="22"/>
        </w:rPr>
        <w:t>En 2002, le parc véhiculaire de Bamako était de 75 000 unités, dont 45000 voitures privées, 3200 motos, 7700 voitures de transport en commun, le reste étant réparti entre différents types de véhicules tels que camions, camionnettes, remorques, semi-remorques, tracteurs et autres. Les ¾ des véhicules du pays sont concentrés dans la capitale.</w:t>
      </w:r>
    </w:p>
    <w:p w:rsidR="00F164EF" w:rsidRPr="009E5034" w:rsidRDefault="00F164EF" w:rsidP="009E5034">
      <w:pPr>
        <w:spacing w:before="120" w:after="120"/>
        <w:ind w:left="0"/>
        <w:jc w:val="left"/>
        <w:rPr>
          <w:sz w:val="22"/>
          <w:szCs w:val="22"/>
        </w:rPr>
      </w:pPr>
      <w:r w:rsidRPr="009E5034">
        <w:rPr>
          <w:sz w:val="22"/>
          <w:szCs w:val="22"/>
        </w:rPr>
        <w:t>L’âge moyen des véhicules est supérieur à 15 ans. La croissance du parc véhiculaire est actuellement de 8 à 10%, soit un doublement du parc d’ici moins de 10 ans.</w:t>
      </w:r>
    </w:p>
    <w:p w:rsidR="00F164EF" w:rsidRPr="009E5034" w:rsidRDefault="00F164EF" w:rsidP="009E5034">
      <w:pPr>
        <w:spacing w:after="240"/>
        <w:ind w:left="0"/>
        <w:jc w:val="left"/>
        <w:rPr>
          <w:rStyle w:val="Strong"/>
          <w:rFonts w:eastAsia="MS Mincho"/>
          <w:sz w:val="22"/>
          <w:szCs w:val="22"/>
        </w:rPr>
      </w:pPr>
      <w:bookmarkStart w:id="57" w:name="_Toc253578431"/>
      <w:bookmarkStart w:id="58" w:name="_Toc261170205"/>
      <w:r w:rsidRPr="009E5034">
        <w:rPr>
          <w:rStyle w:val="Strong"/>
          <w:rFonts w:eastAsia="MS Mincho"/>
          <w:sz w:val="22"/>
          <w:szCs w:val="22"/>
        </w:rPr>
        <w:t>3.4. Consommation d’énergie</w:t>
      </w:r>
      <w:bookmarkEnd w:id="57"/>
      <w:bookmarkEnd w:id="58"/>
    </w:p>
    <w:p w:rsidR="00F164EF" w:rsidRPr="009E5034" w:rsidRDefault="00F164EF" w:rsidP="009E5034">
      <w:pPr>
        <w:spacing w:before="120" w:after="120"/>
        <w:ind w:left="0"/>
        <w:jc w:val="left"/>
        <w:rPr>
          <w:sz w:val="22"/>
          <w:szCs w:val="22"/>
        </w:rPr>
      </w:pPr>
      <w:r w:rsidRPr="009E5034">
        <w:rPr>
          <w:sz w:val="22"/>
          <w:szCs w:val="22"/>
        </w:rPr>
        <w:t xml:space="preserve">Les statistiques du PGDF indiquent que la consommation de bois énergie de Bamako est passée de 500.000 tonnes à 800.000 tonnes par an, entre 1996 et 2000. Aujourd'hui ce chiffre a atteint la barre de 1.000.000 de tonnes par an, soit un peu moins de deux kilos de bois par jour et par habitant. </w:t>
      </w:r>
    </w:p>
    <w:p w:rsidR="00F164EF" w:rsidRPr="009E5034" w:rsidRDefault="00F164EF" w:rsidP="009E5034">
      <w:pPr>
        <w:spacing w:before="120" w:after="120"/>
        <w:ind w:left="0"/>
        <w:jc w:val="left"/>
        <w:rPr>
          <w:sz w:val="22"/>
          <w:szCs w:val="22"/>
        </w:rPr>
      </w:pPr>
      <w:r w:rsidRPr="009E5034">
        <w:rPr>
          <w:sz w:val="22"/>
          <w:szCs w:val="22"/>
        </w:rPr>
        <w:t>La part de contribution des trois forêts classées limitrophes à Bamako à l'approvisionnement de la capitale est passée de 4% en 1994 à plus de 15% en 2000.</w:t>
      </w:r>
    </w:p>
    <w:p w:rsidR="00F164EF" w:rsidRPr="009E5034" w:rsidRDefault="00F164EF" w:rsidP="009E5034">
      <w:pPr>
        <w:spacing w:after="240"/>
        <w:ind w:left="0"/>
        <w:jc w:val="left"/>
        <w:rPr>
          <w:rStyle w:val="Strong"/>
          <w:rFonts w:eastAsia="MS Mincho"/>
          <w:sz w:val="22"/>
          <w:szCs w:val="22"/>
        </w:rPr>
      </w:pPr>
      <w:bookmarkStart w:id="59" w:name="_Toc253578432"/>
      <w:bookmarkStart w:id="60" w:name="_Toc261170206"/>
      <w:r w:rsidRPr="009E5034">
        <w:rPr>
          <w:rStyle w:val="Strong"/>
          <w:rFonts w:eastAsia="MS Mincho"/>
          <w:sz w:val="22"/>
          <w:szCs w:val="22"/>
        </w:rPr>
        <w:t>4. Etat de l’environnement et des ressources naturelles</w:t>
      </w:r>
      <w:bookmarkEnd w:id="59"/>
      <w:bookmarkEnd w:id="60"/>
    </w:p>
    <w:p w:rsidR="00F164EF" w:rsidRPr="009E5034" w:rsidRDefault="00F164EF" w:rsidP="009E5034">
      <w:pPr>
        <w:spacing w:after="240"/>
        <w:ind w:left="0"/>
        <w:jc w:val="left"/>
        <w:rPr>
          <w:rStyle w:val="Strong"/>
          <w:rFonts w:eastAsia="MS Mincho"/>
          <w:sz w:val="22"/>
          <w:szCs w:val="22"/>
        </w:rPr>
      </w:pPr>
      <w:bookmarkStart w:id="61" w:name="_Toc253578433"/>
      <w:bookmarkStart w:id="62" w:name="_Toc261170207"/>
      <w:r w:rsidRPr="009E5034">
        <w:rPr>
          <w:rStyle w:val="Strong"/>
          <w:rFonts w:eastAsia="MS Mincho"/>
          <w:sz w:val="22"/>
          <w:szCs w:val="22"/>
        </w:rPr>
        <w:t>4.1. Air</w:t>
      </w:r>
      <w:bookmarkEnd w:id="61"/>
      <w:bookmarkEnd w:id="62"/>
    </w:p>
    <w:p w:rsidR="00F164EF" w:rsidRPr="009E5034" w:rsidRDefault="00F164EF" w:rsidP="009E5034">
      <w:pPr>
        <w:spacing w:before="120" w:after="120"/>
        <w:ind w:left="0"/>
        <w:jc w:val="left"/>
        <w:rPr>
          <w:sz w:val="22"/>
          <w:szCs w:val="22"/>
        </w:rPr>
      </w:pPr>
      <w:r w:rsidRPr="009E5034">
        <w:rPr>
          <w:sz w:val="22"/>
          <w:szCs w:val="22"/>
        </w:rPr>
        <w:t>Il n’existe pas actuellement de dispositif de suivi de la qualité de l’air à Bamako. Ainsi et en l’absence de données chiffrées sur cet aspect, nous nous sommes appuyés sur les appréciations avancées au niveau de certaines expertises antérieures ainsi que sur le jugement des personnes rencontrées.</w:t>
      </w:r>
    </w:p>
    <w:p w:rsidR="00F164EF" w:rsidRPr="009E5034" w:rsidRDefault="00F164EF" w:rsidP="009E5034">
      <w:pPr>
        <w:spacing w:before="120" w:after="120"/>
        <w:ind w:left="0"/>
        <w:jc w:val="left"/>
        <w:rPr>
          <w:sz w:val="22"/>
          <w:szCs w:val="22"/>
        </w:rPr>
      </w:pPr>
      <w:r w:rsidRPr="009E5034">
        <w:rPr>
          <w:sz w:val="22"/>
          <w:szCs w:val="22"/>
        </w:rPr>
        <w:t>Les rares travaux effectués perçoivent l’état de la qualité de l’air de Bamako comme grave et préoccupant, faisant référence en particulier aux phénomènes d’inversion climatique et estimant que des mesures urgentes doivent être prises dans ce domaine, d’autant plus qu’avec la croissance observée à Bamako, le phénomène risque de s’aggraver dans les prochaines années.  Pour cela, il est indispensable d’établir un monitoring systématique de la qualité de l’air afin de pouvoir orienter les décisions techniques et  politiques qui s’imposent.</w:t>
      </w:r>
    </w:p>
    <w:p w:rsidR="00F164EF" w:rsidRPr="009E5034" w:rsidRDefault="00F164EF" w:rsidP="009E5034">
      <w:pPr>
        <w:spacing w:after="240"/>
        <w:ind w:left="0"/>
        <w:jc w:val="left"/>
        <w:rPr>
          <w:rStyle w:val="Strong"/>
          <w:rFonts w:eastAsia="MS Mincho"/>
          <w:sz w:val="22"/>
          <w:szCs w:val="22"/>
        </w:rPr>
      </w:pPr>
      <w:bookmarkStart w:id="63" w:name="_Toc253578434"/>
      <w:bookmarkStart w:id="64" w:name="_Toc261170208"/>
      <w:r w:rsidRPr="009E5034">
        <w:rPr>
          <w:rStyle w:val="Strong"/>
          <w:rFonts w:eastAsia="MS Mincho"/>
          <w:sz w:val="22"/>
          <w:szCs w:val="22"/>
        </w:rPr>
        <w:t>4.2. Eaux de surface</w:t>
      </w:r>
      <w:bookmarkEnd w:id="63"/>
      <w:bookmarkEnd w:id="64"/>
    </w:p>
    <w:p w:rsidR="00F164EF" w:rsidRPr="009E5034" w:rsidRDefault="00F164EF" w:rsidP="009E5034">
      <w:pPr>
        <w:spacing w:before="120" w:after="120"/>
        <w:ind w:left="0"/>
        <w:jc w:val="left"/>
        <w:rPr>
          <w:sz w:val="22"/>
          <w:szCs w:val="22"/>
        </w:rPr>
      </w:pPr>
      <w:r w:rsidRPr="009E5034">
        <w:rPr>
          <w:sz w:val="22"/>
          <w:szCs w:val="22"/>
        </w:rPr>
        <w:t>Le fleuve Niger qui traverse Bamako constitue la principale ressource d’eau de la ville. Il s’agit du troisième fleuve d’Afrique, il a un bassin versant de plus de 140 000 Km2. En terme de débit le Niger présente d’énormes variations, il atteint son niveau maximum pendant la saison des pluies, d’août à octobre avec un débit qui peut dépasser 5 000 m3/s, puis diminue progressivement pour atteindre son point le plus bas en mars - avril avec un débit de quelques dizaines de m3/s.</w:t>
      </w:r>
    </w:p>
    <w:p w:rsidR="00F164EF" w:rsidRPr="009E5034" w:rsidRDefault="00F164EF" w:rsidP="009E5034">
      <w:pPr>
        <w:spacing w:before="120" w:after="120"/>
        <w:ind w:left="0"/>
        <w:jc w:val="left"/>
        <w:rPr>
          <w:sz w:val="22"/>
          <w:szCs w:val="22"/>
        </w:rPr>
      </w:pPr>
      <w:r w:rsidRPr="009E5034">
        <w:rPr>
          <w:sz w:val="22"/>
          <w:szCs w:val="22"/>
        </w:rPr>
        <w:t>Le fleuve Niger est relié au niveau de la ville de Bamako et ses environs à de nombreux affluents appelés marigots qui ont un régime d’écoulement saisonnier et qui constituent souvent de véritables collecteurs naturels. La ville est traversée par une quinzaine de marigots principaux drainant des bassins versants d’une superficie cumulée de l’ordre de 500 Km².</w:t>
      </w:r>
    </w:p>
    <w:p w:rsidR="00F164EF" w:rsidRPr="009E5034" w:rsidRDefault="00F164EF" w:rsidP="009E5034">
      <w:pPr>
        <w:spacing w:after="240"/>
        <w:ind w:left="0"/>
        <w:jc w:val="left"/>
        <w:rPr>
          <w:rStyle w:val="Strong"/>
          <w:rFonts w:eastAsia="MS Mincho"/>
          <w:sz w:val="22"/>
          <w:szCs w:val="22"/>
        </w:rPr>
      </w:pPr>
      <w:bookmarkStart w:id="65" w:name="_Toc253578435"/>
      <w:bookmarkStart w:id="66" w:name="_Toc261170209"/>
      <w:r w:rsidRPr="009E5034">
        <w:rPr>
          <w:rStyle w:val="Strong"/>
          <w:rFonts w:eastAsia="MS Mincho"/>
          <w:sz w:val="22"/>
          <w:szCs w:val="22"/>
        </w:rPr>
        <w:t>4.3. Eaux souterraines</w:t>
      </w:r>
      <w:bookmarkEnd w:id="65"/>
      <w:bookmarkEnd w:id="66"/>
    </w:p>
    <w:p w:rsidR="00F164EF" w:rsidRPr="009E5034" w:rsidRDefault="00F164EF" w:rsidP="009E5034">
      <w:pPr>
        <w:spacing w:before="120" w:after="120"/>
        <w:ind w:left="0"/>
        <w:jc w:val="left"/>
        <w:rPr>
          <w:sz w:val="22"/>
          <w:szCs w:val="22"/>
        </w:rPr>
      </w:pPr>
      <w:r w:rsidRPr="009E5034">
        <w:rPr>
          <w:sz w:val="22"/>
          <w:szCs w:val="22"/>
        </w:rPr>
        <w:t xml:space="preserve">La deuxième source d’eau à Bamako, non moins importante est constituée par les systèmes aquifères situés dans la ville et ses environs. Il s’agit particulièrement de la nappe superficielle de la vallée du Niger, elle s’étend le long du fleuve depuis les falaises du nord vers le sud présentant une profondeur variable entre 1 à une dizaine de mètres. Cette nappe est exploitée par les puits de surface limitrophe au fleuve. </w:t>
      </w:r>
    </w:p>
    <w:p w:rsidR="00F164EF" w:rsidRPr="009E5034" w:rsidRDefault="00F164EF" w:rsidP="009E5034">
      <w:pPr>
        <w:spacing w:before="120" w:after="120"/>
        <w:ind w:left="0"/>
        <w:jc w:val="left"/>
        <w:rPr>
          <w:sz w:val="22"/>
          <w:szCs w:val="22"/>
        </w:rPr>
      </w:pPr>
      <w:r w:rsidRPr="009E5034">
        <w:rPr>
          <w:sz w:val="22"/>
          <w:szCs w:val="22"/>
        </w:rPr>
        <w:t xml:space="preserve">Les couches de recouvrement de cette nappe sont majoritairement perméables à semi-perméables favorisant ainsi l’infiltration de solutions polluées chargées en intrants agricoles, en eaux usées et en lixiviats en provenance de la décomposition des déchets. </w:t>
      </w:r>
    </w:p>
    <w:p w:rsidR="00F164EF" w:rsidRPr="009E5034" w:rsidRDefault="00F164EF" w:rsidP="009E5034">
      <w:pPr>
        <w:spacing w:before="120" w:after="120"/>
        <w:ind w:left="0"/>
        <w:jc w:val="left"/>
        <w:rPr>
          <w:sz w:val="22"/>
          <w:szCs w:val="22"/>
        </w:rPr>
      </w:pPr>
      <w:r w:rsidRPr="009E5034">
        <w:rPr>
          <w:sz w:val="22"/>
          <w:szCs w:val="22"/>
        </w:rPr>
        <w:t>La pollution de la nappe superficielle est généralisée à Bamako et localisée dans plusieurs secteurs et cités. A titre d’exemple, la teneur en nitrites dans les puits de Bozola est de 2.23 mg/l alors que la norme admise est de 0.1 mg /l, elle est égale à 145.2 mg/l à Niaréla.</w:t>
      </w:r>
    </w:p>
    <w:p w:rsidR="00F164EF" w:rsidRPr="009E5034" w:rsidRDefault="00F164EF" w:rsidP="009E5034">
      <w:pPr>
        <w:spacing w:after="240"/>
        <w:ind w:left="0"/>
        <w:jc w:val="left"/>
        <w:rPr>
          <w:rStyle w:val="Strong"/>
          <w:rFonts w:eastAsia="MS Mincho"/>
          <w:sz w:val="22"/>
          <w:szCs w:val="22"/>
        </w:rPr>
      </w:pPr>
      <w:bookmarkStart w:id="67" w:name="_Toc253578436"/>
      <w:bookmarkStart w:id="68" w:name="_Toc261170210"/>
      <w:r w:rsidRPr="009E5034">
        <w:rPr>
          <w:rStyle w:val="Strong"/>
          <w:rFonts w:eastAsia="MS Mincho"/>
          <w:sz w:val="22"/>
          <w:szCs w:val="22"/>
        </w:rPr>
        <w:t>4.4. Agriculture urbaine</w:t>
      </w:r>
      <w:bookmarkEnd w:id="67"/>
      <w:bookmarkEnd w:id="68"/>
    </w:p>
    <w:p w:rsidR="00F164EF" w:rsidRPr="009E5034" w:rsidRDefault="00F164EF" w:rsidP="009E5034">
      <w:pPr>
        <w:spacing w:before="120" w:after="120"/>
        <w:ind w:left="0"/>
        <w:jc w:val="left"/>
        <w:rPr>
          <w:sz w:val="22"/>
          <w:szCs w:val="22"/>
        </w:rPr>
      </w:pPr>
      <w:r w:rsidRPr="009E5034">
        <w:rPr>
          <w:sz w:val="22"/>
          <w:szCs w:val="22"/>
        </w:rPr>
        <w:t>L’agriculture urbaine repose particulièrement sur des activités de maraîchage, de céréaliculture et d’élevage. Ces activités ont lieu dans les espaces périurbains et intra-urbains de Bamako. La spécificité de l’espace intra-urbain étant la très forte compétition foncière entre l’agriculture urbaine et l’habitat. En effet l’habitat est très dense dans la ville, les parcelles destinées à l’agriculture sont réduites avec une intensification des modes de production à haute valeur ajoutée.</w:t>
      </w:r>
    </w:p>
    <w:p w:rsidR="00F164EF" w:rsidRPr="009E5034" w:rsidRDefault="00F164EF" w:rsidP="009E5034">
      <w:pPr>
        <w:spacing w:before="120" w:after="120"/>
        <w:ind w:left="0"/>
        <w:jc w:val="left"/>
        <w:rPr>
          <w:sz w:val="22"/>
          <w:szCs w:val="22"/>
        </w:rPr>
      </w:pPr>
      <w:r w:rsidRPr="009E5034">
        <w:rPr>
          <w:sz w:val="22"/>
          <w:szCs w:val="22"/>
        </w:rPr>
        <w:t xml:space="preserve">Bamako se caractérise par de grandes surfaces agricoles enclavées dans la ville, le long du fleuve Niger et le long des rails. Elles sont entourées par un tissu urbain dense qui les limite. Le cadre physique et le climat de la ville de Bamako sont favorables à la pratique de l’Agriculture urbaine. </w:t>
      </w:r>
    </w:p>
    <w:p w:rsidR="00F164EF" w:rsidRPr="009E5034" w:rsidRDefault="00F164EF" w:rsidP="009E5034">
      <w:pPr>
        <w:spacing w:before="120" w:after="120"/>
        <w:ind w:left="0"/>
        <w:jc w:val="left"/>
        <w:rPr>
          <w:sz w:val="22"/>
          <w:szCs w:val="22"/>
        </w:rPr>
      </w:pPr>
      <w:r w:rsidRPr="009E5034">
        <w:rPr>
          <w:sz w:val="22"/>
          <w:szCs w:val="22"/>
        </w:rPr>
        <w:t xml:space="preserve">Une disponibilité très grande en eaux de surface, mais aussi et surtout en eaux souterraines, des sols qui sont surtout argileux à argilo-sableux se prêtent aux différentes spéculations de l’agriculture urbaine (non seulement le maraîchage, mais aussi la céréaliculture), une nature géomorphologique des terres en terrasse fait d’elles des formations sédimentaires à transports solides fluviaux différenciés, en fonction de la puissance des écoulements du bassin urbain, tant d’arguments pour faire de l’agriculture urbaine à Bamako une activité rentable et recherchée. </w:t>
      </w:r>
    </w:p>
    <w:p w:rsidR="00F164EF" w:rsidRPr="009E5034" w:rsidRDefault="00F164EF" w:rsidP="009E5034">
      <w:pPr>
        <w:spacing w:before="120" w:after="120"/>
        <w:ind w:left="0"/>
        <w:jc w:val="left"/>
        <w:rPr>
          <w:sz w:val="22"/>
          <w:szCs w:val="22"/>
        </w:rPr>
      </w:pPr>
      <w:r w:rsidRPr="009E5034">
        <w:rPr>
          <w:sz w:val="22"/>
          <w:szCs w:val="22"/>
        </w:rPr>
        <w:t xml:space="preserve">Les espaces agricoles urbains, maraîchers notamment couvrent une superficie d’environ </w:t>
      </w:r>
      <w:smartTag w:uri="urn:schemas-microsoft-com:office:smarttags" w:element="metricconverter">
        <w:smartTagPr>
          <w:attr w:name="ProductID" w:val="300 hectares"/>
        </w:smartTagPr>
        <w:r w:rsidRPr="009E5034">
          <w:rPr>
            <w:sz w:val="22"/>
            <w:szCs w:val="22"/>
          </w:rPr>
          <w:t>300 hectares</w:t>
        </w:r>
      </w:smartTag>
      <w:r w:rsidRPr="009E5034">
        <w:rPr>
          <w:sz w:val="22"/>
          <w:szCs w:val="22"/>
        </w:rPr>
        <w:t xml:space="preserve"> soit 1,6 % de la superficie du District de Bamako. Ils sont inégalement repartis sur les six communes du District. Les espaces maraîchers sont en diminution, pour ne plus représenter que 1/5 environ de ce qu’ils étaient en 1960.</w:t>
      </w:r>
    </w:p>
    <w:p w:rsidR="00F164EF" w:rsidRPr="009E5034" w:rsidRDefault="00F164EF" w:rsidP="009E5034">
      <w:pPr>
        <w:spacing w:before="120" w:after="120"/>
        <w:ind w:left="0"/>
        <w:jc w:val="left"/>
        <w:rPr>
          <w:sz w:val="22"/>
          <w:szCs w:val="22"/>
        </w:rPr>
      </w:pPr>
      <w:r w:rsidRPr="009E5034">
        <w:rPr>
          <w:sz w:val="22"/>
          <w:szCs w:val="22"/>
        </w:rPr>
        <w:t xml:space="preserve">Sur les périodes de 1960, 1974, 1987 et 1999, la cartographie de l’évolution des superficies permet de mieux traduire l’idée de dynamique de l’évolution du maraîchage à Bamako. Les chiffres de 1999, comparés à ceux de 1987, posent le problème du devenir des espaces maraîchers de façon plus claire. La diminution des parcelles est de 1 120 731m² sur la rive gauche et de </w:t>
      </w:r>
      <w:smartTag w:uri="urn:schemas-microsoft-com:office:smarttags" w:element="metricconverter">
        <w:smartTagPr>
          <w:attr w:name="ProductID" w:val="245 265 mﾲ"/>
        </w:smartTagPr>
        <w:r w:rsidRPr="009E5034">
          <w:rPr>
            <w:sz w:val="22"/>
            <w:szCs w:val="22"/>
          </w:rPr>
          <w:t>245 265 m²</w:t>
        </w:r>
      </w:smartTag>
      <w:r w:rsidRPr="009E5034">
        <w:rPr>
          <w:sz w:val="22"/>
          <w:szCs w:val="22"/>
        </w:rPr>
        <w:t xml:space="preserve"> sur la rive droite.</w:t>
      </w:r>
    </w:p>
    <w:p w:rsidR="00F164EF" w:rsidRPr="009E5034" w:rsidRDefault="00F164EF" w:rsidP="009E5034">
      <w:pPr>
        <w:spacing w:after="240"/>
        <w:ind w:left="0"/>
        <w:jc w:val="left"/>
        <w:rPr>
          <w:rStyle w:val="Strong"/>
          <w:rFonts w:eastAsia="MS Mincho"/>
          <w:sz w:val="22"/>
          <w:szCs w:val="22"/>
        </w:rPr>
      </w:pPr>
      <w:bookmarkStart w:id="69" w:name="_Toc253578437"/>
      <w:bookmarkStart w:id="70" w:name="_Toc261170211"/>
      <w:r w:rsidRPr="009E5034">
        <w:rPr>
          <w:rStyle w:val="Strong"/>
          <w:rFonts w:eastAsia="MS Mincho"/>
          <w:sz w:val="22"/>
          <w:szCs w:val="22"/>
        </w:rPr>
        <w:t>4.5. Végétations naturelles et forêts</w:t>
      </w:r>
      <w:bookmarkEnd w:id="69"/>
      <w:bookmarkEnd w:id="70"/>
    </w:p>
    <w:p w:rsidR="00F164EF" w:rsidRPr="009E5034" w:rsidRDefault="00F164EF" w:rsidP="009E5034">
      <w:pPr>
        <w:spacing w:before="120" w:after="120"/>
        <w:ind w:left="0"/>
        <w:jc w:val="left"/>
        <w:rPr>
          <w:sz w:val="22"/>
          <w:szCs w:val="22"/>
        </w:rPr>
      </w:pPr>
      <w:r w:rsidRPr="009E5034">
        <w:rPr>
          <w:sz w:val="22"/>
          <w:szCs w:val="22"/>
        </w:rPr>
        <w:t xml:space="preserve">La ville de Bamako, située au sein de la savane soudanienne, malgré son contexte urbain, a gardé une végétation spécifique des savanes maliennes, mais a aussi acquis une végétation introduite par l’Homme, visant l’amélioration du cadre de vie urbain. </w:t>
      </w:r>
    </w:p>
    <w:p w:rsidR="00F164EF" w:rsidRPr="009E5034" w:rsidRDefault="00F164EF" w:rsidP="009E5034">
      <w:pPr>
        <w:spacing w:before="120" w:after="120"/>
        <w:ind w:left="0"/>
        <w:jc w:val="left"/>
        <w:rPr>
          <w:sz w:val="22"/>
          <w:szCs w:val="22"/>
        </w:rPr>
      </w:pPr>
      <w:r w:rsidRPr="009E5034">
        <w:rPr>
          <w:sz w:val="22"/>
          <w:szCs w:val="22"/>
        </w:rPr>
        <w:t xml:space="preserve">Ainsi, trois forêts classées forment une boucle autour de Bamako. La première, les Monts mandingues, située à </w:t>
      </w:r>
      <w:smartTag w:uri="urn:schemas-microsoft-com:office:smarttags" w:element="metricconverter">
        <w:smartTagPr>
          <w:attr w:name="ProductID" w:val="25 kilom￨tres"/>
        </w:smartTagPr>
        <w:r w:rsidRPr="009E5034">
          <w:rPr>
            <w:sz w:val="22"/>
            <w:szCs w:val="22"/>
          </w:rPr>
          <w:t>25 kilomètres</w:t>
        </w:r>
      </w:smartTag>
      <w:r w:rsidRPr="009E5034">
        <w:rPr>
          <w:sz w:val="22"/>
          <w:szCs w:val="22"/>
        </w:rPr>
        <w:t xml:space="preserve"> au sud de Bamako, a été classée en 1939. Sa superficie est de </w:t>
      </w:r>
      <w:smartTag w:uri="urn:schemas-microsoft-com:office:smarttags" w:element="metricconverter">
        <w:smartTagPr>
          <w:attr w:name="ProductID" w:val="15.000 hectares"/>
        </w:smartTagPr>
        <w:r w:rsidRPr="009E5034">
          <w:rPr>
            <w:sz w:val="22"/>
            <w:szCs w:val="22"/>
          </w:rPr>
          <w:t>15.000 hectares</w:t>
        </w:r>
      </w:smartTag>
      <w:r w:rsidRPr="009E5034">
        <w:rPr>
          <w:sz w:val="22"/>
          <w:szCs w:val="22"/>
        </w:rPr>
        <w:t xml:space="preserve">. La Faya, située à </w:t>
      </w:r>
      <w:smartTag w:uri="urn:schemas-microsoft-com:office:smarttags" w:element="metricconverter">
        <w:smartTagPr>
          <w:attr w:name="ProductID" w:val="40 kilom￨tres"/>
        </w:smartTagPr>
        <w:r w:rsidRPr="009E5034">
          <w:rPr>
            <w:sz w:val="22"/>
            <w:szCs w:val="22"/>
          </w:rPr>
          <w:t>40 kilomètres</w:t>
        </w:r>
      </w:smartTag>
      <w:r w:rsidRPr="009E5034">
        <w:rPr>
          <w:sz w:val="22"/>
          <w:szCs w:val="22"/>
        </w:rPr>
        <w:t xml:space="preserve"> sur la route nationale 6, est créée en 1943 et couvre </w:t>
      </w:r>
      <w:smartTag w:uri="urn:schemas-microsoft-com:office:smarttags" w:element="metricconverter">
        <w:smartTagPr>
          <w:attr w:name="ProductID" w:val="80.000 hectares"/>
        </w:smartTagPr>
        <w:r w:rsidRPr="009E5034">
          <w:rPr>
            <w:sz w:val="22"/>
            <w:szCs w:val="22"/>
          </w:rPr>
          <w:t>80.000 hectares</w:t>
        </w:r>
      </w:smartTag>
      <w:r w:rsidRPr="009E5034">
        <w:rPr>
          <w:sz w:val="22"/>
          <w:szCs w:val="22"/>
        </w:rPr>
        <w:t xml:space="preserve">. La forêt du Sounsan, classée en 1954, est la dernière née avec </w:t>
      </w:r>
      <w:smartTag w:uri="urn:schemas-microsoft-com:office:smarttags" w:element="metricconverter">
        <w:smartTagPr>
          <w:attr w:name="ProductID" w:val="40.000 hectares"/>
        </w:smartTagPr>
        <w:r w:rsidRPr="009E5034">
          <w:rPr>
            <w:sz w:val="22"/>
            <w:szCs w:val="22"/>
          </w:rPr>
          <w:t>40.000 hectares</w:t>
        </w:r>
      </w:smartTag>
      <w:r w:rsidRPr="009E5034">
        <w:rPr>
          <w:sz w:val="22"/>
          <w:szCs w:val="22"/>
        </w:rPr>
        <w:t>. Au départ, l'objectif de ces mesures était de constituer une réserve de bois pour l'approvisionnement de la ville de Bamako.</w:t>
      </w:r>
    </w:p>
    <w:p w:rsidR="00F164EF" w:rsidRPr="009E5034" w:rsidRDefault="00F164EF" w:rsidP="009E5034">
      <w:pPr>
        <w:spacing w:before="120" w:after="120"/>
        <w:ind w:left="0"/>
        <w:jc w:val="left"/>
        <w:rPr>
          <w:sz w:val="22"/>
          <w:szCs w:val="22"/>
        </w:rPr>
      </w:pPr>
      <w:r w:rsidRPr="009E5034">
        <w:rPr>
          <w:rStyle w:val="Strong"/>
          <w:rFonts w:eastAsia="MS Mincho"/>
          <w:sz w:val="22"/>
          <w:szCs w:val="22"/>
        </w:rPr>
        <w:t>En</w:t>
      </w:r>
      <w:r w:rsidRPr="009E5034">
        <w:rPr>
          <w:sz w:val="22"/>
          <w:szCs w:val="22"/>
        </w:rPr>
        <w:t xml:space="preserve"> plus de la satisfaction des besoins en bois d'énergie, les ressources des forêts classées alimentent les marchés de l'industrie du bois et de la construction civile. Elles fournissent du bois d'œuvre et de la matière première pour la pharmacopée. Les produits forestiers (fruits, gibiers, feuillages et couvert herbacé) servent à l'alimentation des hommes, fournissent le fourrage pour les animaux et contribuent à la promotion de l'élevage d'une manière générale. </w:t>
      </w:r>
    </w:p>
    <w:p w:rsidR="00F164EF" w:rsidRPr="009E5034" w:rsidRDefault="00F164EF" w:rsidP="009E5034">
      <w:pPr>
        <w:spacing w:before="120" w:after="120"/>
        <w:ind w:left="0"/>
        <w:jc w:val="left"/>
        <w:rPr>
          <w:sz w:val="22"/>
          <w:szCs w:val="22"/>
        </w:rPr>
      </w:pPr>
      <w:r w:rsidRPr="009E5034">
        <w:rPr>
          <w:sz w:val="22"/>
          <w:szCs w:val="22"/>
        </w:rPr>
        <w:t>Les résultats de l'étude sur les filières des produits ligneux et non ligneux dans les trois forêts en 2006 sont probants. Le gain annuel en numéraire d'un transporteur des produits forestiers a été évalué en moyenne à 3,3 millions de FCFA. Le locataire perçoit 5,3 millions. Les négociants, selon qu'ils soient grossistes, semi-grossistes ou détaillants, gagnent respectivement par an, 5,6 millions, 500.000 et 200.000 FCFA. En termes de bénéfices, le bois de chauffe dégage par an, 204.342.000 FCFA. Les bois de services génèrent 187.568.000 FCFA, les bois d'œuvre rapportent 9.648.000 FCFA. Le charbon, le beurre de karité, les fourrages, le rônier et les herbes (seco, paille) ne génèrent pas moins d'un million FCFA par an.</w:t>
      </w:r>
    </w:p>
    <w:p w:rsidR="00F164EF" w:rsidRPr="009E5034" w:rsidRDefault="00F164EF" w:rsidP="009E5034">
      <w:pPr>
        <w:spacing w:before="120" w:after="120"/>
        <w:ind w:left="0"/>
        <w:jc w:val="left"/>
        <w:rPr>
          <w:sz w:val="22"/>
          <w:szCs w:val="22"/>
        </w:rPr>
      </w:pPr>
      <w:r w:rsidRPr="009E5034">
        <w:rPr>
          <w:sz w:val="22"/>
          <w:szCs w:val="22"/>
        </w:rPr>
        <w:t xml:space="preserve">En plus de leur apport économique, les forêts classées jouent un rôle écologique très important. Elles aspirent le gaz carbonique et produisent l'oxygène. </w:t>
      </w:r>
    </w:p>
    <w:p w:rsidR="00F164EF" w:rsidRPr="009E5034" w:rsidRDefault="00F164EF" w:rsidP="009E5034">
      <w:pPr>
        <w:spacing w:after="240"/>
        <w:ind w:left="0"/>
        <w:jc w:val="left"/>
        <w:rPr>
          <w:rStyle w:val="Strong"/>
          <w:rFonts w:eastAsia="MS Mincho"/>
          <w:sz w:val="22"/>
          <w:szCs w:val="22"/>
        </w:rPr>
      </w:pPr>
      <w:bookmarkStart w:id="71" w:name="_Toc253578438"/>
      <w:bookmarkStart w:id="72" w:name="_Toc261170212"/>
      <w:r w:rsidRPr="009E5034">
        <w:rPr>
          <w:rStyle w:val="Strong"/>
          <w:rFonts w:eastAsia="MS Mincho"/>
          <w:sz w:val="22"/>
          <w:szCs w:val="22"/>
        </w:rPr>
        <w:t>5. Gestion des nuisances</w:t>
      </w:r>
      <w:bookmarkEnd w:id="71"/>
      <w:bookmarkEnd w:id="72"/>
    </w:p>
    <w:p w:rsidR="00F164EF" w:rsidRPr="009E5034" w:rsidRDefault="00F164EF" w:rsidP="009E5034">
      <w:pPr>
        <w:spacing w:after="240"/>
        <w:ind w:left="0"/>
        <w:jc w:val="left"/>
        <w:rPr>
          <w:rStyle w:val="Strong"/>
          <w:rFonts w:eastAsia="MS Mincho"/>
          <w:sz w:val="22"/>
          <w:szCs w:val="22"/>
        </w:rPr>
      </w:pPr>
      <w:bookmarkStart w:id="73" w:name="_Toc253578439"/>
      <w:bookmarkStart w:id="74" w:name="_Toc261170213"/>
      <w:r w:rsidRPr="009E5034">
        <w:rPr>
          <w:rStyle w:val="Strong"/>
          <w:rFonts w:eastAsia="MS Mincho"/>
          <w:sz w:val="22"/>
          <w:szCs w:val="22"/>
        </w:rPr>
        <w:t>5.1. Gestion des eaux usées</w:t>
      </w:r>
      <w:bookmarkEnd w:id="73"/>
      <w:bookmarkEnd w:id="74"/>
    </w:p>
    <w:p w:rsidR="00F164EF" w:rsidRPr="009E5034" w:rsidRDefault="00F164EF" w:rsidP="009E5034">
      <w:pPr>
        <w:spacing w:before="120" w:after="120"/>
        <w:ind w:left="0"/>
        <w:jc w:val="left"/>
        <w:rPr>
          <w:sz w:val="22"/>
          <w:szCs w:val="22"/>
        </w:rPr>
      </w:pPr>
      <w:r w:rsidRPr="009E5034">
        <w:rPr>
          <w:sz w:val="22"/>
          <w:szCs w:val="22"/>
        </w:rPr>
        <w:t>La quantité d’eaux usées domestiques au niveau du district de Bamako était de l’ordre de 43000 m3/j en 1998, elle est estimée à 63000 m3/j en 2010 et à 76000 m3/j en 2017.</w:t>
      </w:r>
    </w:p>
    <w:p w:rsidR="00F164EF" w:rsidRPr="009E5034" w:rsidRDefault="00F164EF" w:rsidP="009E5034">
      <w:pPr>
        <w:spacing w:before="120" w:after="120"/>
        <w:ind w:left="0"/>
        <w:jc w:val="left"/>
        <w:rPr>
          <w:sz w:val="22"/>
          <w:szCs w:val="22"/>
        </w:rPr>
      </w:pPr>
      <w:r w:rsidRPr="009E5034">
        <w:rPr>
          <w:sz w:val="22"/>
          <w:szCs w:val="22"/>
        </w:rPr>
        <w:t>Pour l’année 2007, les quantités d’eaux usées produites dans le district de Bamako sont estimées de la manière suivante:</w:t>
      </w:r>
    </w:p>
    <w:p w:rsidR="00F164EF" w:rsidRPr="009E5034" w:rsidRDefault="00F164EF" w:rsidP="009E5034">
      <w:pPr>
        <w:pStyle w:val="Caption"/>
        <w:ind w:left="899"/>
        <w:rPr>
          <w:rStyle w:val="Emphasis"/>
          <w:sz w:val="22"/>
          <w:szCs w:val="22"/>
        </w:rPr>
      </w:pPr>
      <w:r w:rsidRPr="009E5034">
        <w:rPr>
          <w:rStyle w:val="Emphasis"/>
          <w:sz w:val="22"/>
          <w:szCs w:val="22"/>
        </w:rPr>
        <w:t xml:space="preserve">Tableau A1.7: </w:t>
      </w:r>
      <w:bookmarkStart w:id="75" w:name="_Toc224709246"/>
      <w:r w:rsidRPr="009E5034">
        <w:rPr>
          <w:rStyle w:val="Emphasis"/>
          <w:sz w:val="22"/>
          <w:szCs w:val="22"/>
        </w:rPr>
        <w:t>Estimation des eaux usées produites dans le district de Bamako (année 2007).</w:t>
      </w:r>
      <w:bookmarkEnd w:id="7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73"/>
        <w:gridCol w:w="1663"/>
        <w:gridCol w:w="1268"/>
        <w:gridCol w:w="1838"/>
      </w:tblGrid>
      <w:tr w:rsidR="00F164EF" w:rsidRPr="009E5034" w:rsidTr="00183B56">
        <w:tc>
          <w:tcPr>
            <w:tcW w:w="1773" w:type="dxa"/>
          </w:tcPr>
          <w:p w:rsidR="00F164EF" w:rsidRPr="009E5034" w:rsidRDefault="00F164EF" w:rsidP="009E5034">
            <w:pPr>
              <w:pStyle w:val="Tableau"/>
              <w:ind w:left="1"/>
              <w:jc w:val="left"/>
              <w:rPr>
                <w:sz w:val="22"/>
                <w:szCs w:val="22"/>
              </w:rPr>
            </w:pPr>
            <w:r w:rsidRPr="009E5034">
              <w:rPr>
                <w:sz w:val="22"/>
                <w:szCs w:val="22"/>
              </w:rPr>
              <w:t>Activités</w:t>
            </w:r>
          </w:p>
        </w:tc>
        <w:tc>
          <w:tcPr>
            <w:tcW w:w="1663" w:type="dxa"/>
          </w:tcPr>
          <w:p w:rsidR="00F164EF" w:rsidRPr="009E5034" w:rsidRDefault="00F164EF" w:rsidP="009E5034">
            <w:pPr>
              <w:pStyle w:val="Tableau"/>
              <w:ind w:left="1"/>
              <w:jc w:val="left"/>
              <w:rPr>
                <w:sz w:val="22"/>
                <w:szCs w:val="22"/>
              </w:rPr>
            </w:pPr>
            <w:r w:rsidRPr="009E5034">
              <w:rPr>
                <w:sz w:val="22"/>
                <w:szCs w:val="22"/>
              </w:rPr>
              <w:t>Eaux consommées</w:t>
            </w:r>
          </w:p>
        </w:tc>
        <w:tc>
          <w:tcPr>
            <w:tcW w:w="1268" w:type="dxa"/>
          </w:tcPr>
          <w:p w:rsidR="00F164EF" w:rsidRPr="009E5034" w:rsidRDefault="00F164EF" w:rsidP="009E5034">
            <w:pPr>
              <w:pStyle w:val="Tableau"/>
              <w:ind w:left="1"/>
              <w:jc w:val="left"/>
              <w:rPr>
                <w:sz w:val="22"/>
                <w:szCs w:val="22"/>
              </w:rPr>
            </w:pPr>
            <w:r w:rsidRPr="009E5034">
              <w:rPr>
                <w:sz w:val="22"/>
                <w:szCs w:val="22"/>
              </w:rPr>
              <w:t>Taux de rejet</w:t>
            </w:r>
          </w:p>
        </w:tc>
        <w:tc>
          <w:tcPr>
            <w:tcW w:w="1838" w:type="dxa"/>
          </w:tcPr>
          <w:p w:rsidR="00F164EF" w:rsidRPr="009E5034" w:rsidRDefault="00F164EF" w:rsidP="009E5034">
            <w:pPr>
              <w:pStyle w:val="Tableau"/>
              <w:ind w:left="1"/>
              <w:jc w:val="left"/>
              <w:rPr>
                <w:sz w:val="22"/>
                <w:szCs w:val="22"/>
              </w:rPr>
            </w:pPr>
            <w:r w:rsidRPr="009E5034">
              <w:rPr>
                <w:sz w:val="22"/>
                <w:szCs w:val="22"/>
              </w:rPr>
              <w:t>Eaux usées produites</w:t>
            </w:r>
          </w:p>
        </w:tc>
      </w:tr>
      <w:tr w:rsidR="00F164EF" w:rsidRPr="009E5034" w:rsidTr="00183B56">
        <w:tc>
          <w:tcPr>
            <w:tcW w:w="1773" w:type="dxa"/>
          </w:tcPr>
          <w:p w:rsidR="00F164EF" w:rsidRPr="009E5034" w:rsidRDefault="00F164EF" w:rsidP="009E5034">
            <w:pPr>
              <w:pStyle w:val="Tableau"/>
              <w:ind w:left="1"/>
              <w:jc w:val="left"/>
              <w:rPr>
                <w:sz w:val="22"/>
                <w:szCs w:val="22"/>
              </w:rPr>
            </w:pPr>
            <w:r w:rsidRPr="009E5034">
              <w:rPr>
                <w:sz w:val="22"/>
                <w:szCs w:val="22"/>
              </w:rPr>
              <w:t>Domestique</w:t>
            </w:r>
          </w:p>
        </w:tc>
        <w:tc>
          <w:tcPr>
            <w:tcW w:w="1663" w:type="dxa"/>
          </w:tcPr>
          <w:p w:rsidR="00F164EF" w:rsidRPr="009E5034" w:rsidRDefault="00F164EF" w:rsidP="00E547B2">
            <w:pPr>
              <w:pStyle w:val="Tableau"/>
              <w:ind w:left="1"/>
              <w:jc w:val="left"/>
              <w:rPr>
                <w:sz w:val="22"/>
                <w:szCs w:val="22"/>
              </w:rPr>
            </w:pPr>
            <w:r w:rsidRPr="009E5034">
              <w:rPr>
                <w:sz w:val="22"/>
                <w:szCs w:val="22"/>
              </w:rPr>
              <w:t>34214 320</w:t>
            </w:r>
          </w:p>
        </w:tc>
        <w:tc>
          <w:tcPr>
            <w:tcW w:w="1268" w:type="dxa"/>
          </w:tcPr>
          <w:p w:rsidR="00F164EF" w:rsidRPr="009E5034" w:rsidRDefault="00F164EF" w:rsidP="009E5034">
            <w:pPr>
              <w:pStyle w:val="Tableau"/>
              <w:ind w:left="1"/>
              <w:jc w:val="left"/>
              <w:rPr>
                <w:sz w:val="22"/>
                <w:szCs w:val="22"/>
              </w:rPr>
            </w:pPr>
            <w:r w:rsidRPr="009E5034">
              <w:rPr>
                <w:sz w:val="22"/>
                <w:szCs w:val="22"/>
              </w:rPr>
              <w:t>64%</w:t>
            </w:r>
          </w:p>
        </w:tc>
        <w:tc>
          <w:tcPr>
            <w:tcW w:w="1838" w:type="dxa"/>
          </w:tcPr>
          <w:p w:rsidR="00F164EF" w:rsidRPr="009E5034" w:rsidRDefault="00F164EF" w:rsidP="00E547B2">
            <w:pPr>
              <w:pStyle w:val="Tableau"/>
              <w:ind w:left="1"/>
              <w:jc w:val="left"/>
              <w:rPr>
                <w:sz w:val="22"/>
                <w:szCs w:val="22"/>
              </w:rPr>
            </w:pPr>
            <w:r w:rsidRPr="009E5034">
              <w:rPr>
                <w:sz w:val="22"/>
                <w:szCs w:val="22"/>
              </w:rPr>
              <w:t>21914 445</w:t>
            </w:r>
          </w:p>
        </w:tc>
      </w:tr>
      <w:tr w:rsidR="00F164EF" w:rsidRPr="009E5034" w:rsidTr="00183B56">
        <w:tc>
          <w:tcPr>
            <w:tcW w:w="1773" w:type="dxa"/>
          </w:tcPr>
          <w:p w:rsidR="00F164EF" w:rsidRPr="009E5034" w:rsidRDefault="00F164EF" w:rsidP="009E5034">
            <w:pPr>
              <w:pStyle w:val="Tableau"/>
              <w:ind w:left="1"/>
              <w:jc w:val="left"/>
              <w:rPr>
                <w:sz w:val="22"/>
                <w:szCs w:val="22"/>
              </w:rPr>
            </w:pPr>
            <w:r w:rsidRPr="009E5034">
              <w:rPr>
                <w:sz w:val="22"/>
                <w:szCs w:val="22"/>
              </w:rPr>
              <w:t>Hôtelière</w:t>
            </w:r>
          </w:p>
        </w:tc>
        <w:tc>
          <w:tcPr>
            <w:tcW w:w="1663" w:type="dxa"/>
          </w:tcPr>
          <w:p w:rsidR="00F164EF" w:rsidRPr="009E5034" w:rsidRDefault="00F164EF" w:rsidP="009E5034">
            <w:pPr>
              <w:pStyle w:val="Tableau"/>
              <w:ind w:left="1"/>
              <w:jc w:val="left"/>
              <w:rPr>
                <w:sz w:val="22"/>
                <w:szCs w:val="22"/>
              </w:rPr>
            </w:pPr>
            <w:r w:rsidRPr="009E5034">
              <w:rPr>
                <w:sz w:val="22"/>
                <w:szCs w:val="22"/>
              </w:rPr>
              <w:t>586 190</w:t>
            </w:r>
          </w:p>
        </w:tc>
        <w:tc>
          <w:tcPr>
            <w:tcW w:w="1268" w:type="dxa"/>
          </w:tcPr>
          <w:p w:rsidR="00F164EF" w:rsidRPr="009E5034" w:rsidRDefault="00F164EF" w:rsidP="009E5034">
            <w:pPr>
              <w:pStyle w:val="Tableau"/>
              <w:ind w:left="1"/>
              <w:jc w:val="left"/>
              <w:rPr>
                <w:sz w:val="22"/>
                <w:szCs w:val="22"/>
              </w:rPr>
            </w:pPr>
            <w:r w:rsidRPr="009E5034">
              <w:rPr>
                <w:sz w:val="22"/>
                <w:szCs w:val="22"/>
              </w:rPr>
              <w:t>80%</w:t>
            </w:r>
          </w:p>
        </w:tc>
        <w:tc>
          <w:tcPr>
            <w:tcW w:w="1838" w:type="dxa"/>
          </w:tcPr>
          <w:p w:rsidR="00F164EF" w:rsidRPr="009E5034" w:rsidRDefault="00F164EF" w:rsidP="009E5034">
            <w:pPr>
              <w:pStyle w:val="Tableau"/>
              <w:ind w:left="1"/>
              <w:jc w:val="left"/>
              <w:rPr>
                <w:sz w:val="22"/>
                <w:szCs w:val="22"/>
              </w:rPr>
            </w:pPr>
            <w:r w:rsidRPr="009E5034">
              <w:rPr>
                <w:sz w:val="22"/>
                <w:szCs w:val="22"/>
              </w:rPr>
              <w:t>468 952</w:t>
            </w:r>
          </w:p>
        </w:tc>
      </w:tr>
      <w:tr w:rsidR="00F164EF" w:rsidRPr="009E5034" w:rsidTr="00183B56">
        <w:tc>
          <w:tcPr>
            <w:tcW w:w="1773" w:type="dxa"/>
          </w:tcPr>
          <w:p w:rsidR="00F164EF" w:rsidRPr="009E5034" w:rsidRDefault="00F164EF" w:rsidP="009E5034">
            <w:pPr>
              <w:pStyle w:val="Tableau"/>
              <w:ind w:left="1"/>
              <w:jc w:val="left"/>
              <w:rPr>
                <w:sz w:val="22"/>
                <w:szCs w:val="22"/>
              </w:rPr>
            </w:pPr>
            <w:r w:rsidRPr="009E5034">
              <w:rPr>
                <w:sz w:val="22"/>
                <w:szCs w:val="22"/>
              </w:rPr>
              <w:t>Industrielle</w:t>
            </w:r>
          </w:p>
        </w:tc>
        <w:tc>
          <w:tcPr>
            <w:tcW w:w="1663" w:type="dxa"/>
          </w:tcPr>
          <w:p w:rsidR="00F164EF" w:rsidRPr="009E5034" w:rsidRDefault="00F164EF" w:rsidP="00E547B2">
            <w:pPr>
              <w:pStyle w:val="Tableau"/>
              <w:ind w:left="1"/>
              <w:jc w:val="left"/>
              <w:rPr>
                <w:sz w:val="22"/>
                <w:szCs w:val="22"/>
              </w:rPr>
            </w:pPr>
            <w:r w:rsidRPr="009E5034">
              <w:rPr>
                <w:sz w:val="22"/>
                <w:szCs w:val="22"/>
              </w:rPr>
              <w:t>1596 875</w:t>
            </w:r>
          </w:p>
        </w:tc>
        <w:tc>
          <w:tcPr>
            <w:tcW w:w="1268" w:type="dxa"/>
          </w:tcPr>
          <w:p w:rsidR="00F164EF" w:rsidRPr="009E5034" w:rsidRDefault="00F164EF" w:rsidP="009E5034">
            <w:pPr>
              <w:pStyle w:val="Tableau"/>
              <w:ind w:left="1"/>
              <w:jc w:val="left"/>
              <w:rPr>
                <w:sz w:val="22"/>
                <w:szCs w:val="22"/>
              </w:rPr>
            </w:pPr>
            <w:r w:rsidRPr="009E5034">
              <w:rPr>
                <w:sz w:val="22"/>
                <w:szCs w:val="22"/>
              </w:rPr>
              <w:t>80%</w:t>
            </w:r>
          </w:p>
        </w:tc>
        <w:tc>
          <w:tcPr>
            <w:tcW w:w="1838" w:type="dxa"/>
          </w:tcPr>
          <w:p w:rsidR="00F164EF" w:rsidRPr="009E5034" w:rsidRDefault="00F164EF" w:rsidP="00E547B2">
            <w:pPr>
              <w:pStyle w:val="Tableau"/>
              <w:ind w:left="1"/>
              <w:jc w:val="left"/>
              <w:rPr>
                <w:sz w:val="22"/>
                <w:szCs w:val="22"/>
              </w:rPr>
            </w:pPr>
            <w:r w:rsidRPr="009E5034">
              <w:rPr>
                <w:sz w:val="22"/>
                <w:szCs w:val="22"/>
              </w:rPr>
              <w:t>1277 500</w:t>
            </w:r>
          </w:p>
        </w:tc>
      </w:tr>
      <w:tr w:rsidR="00F164EF" w:rsidRPr="009E5034" w:rsidTr="00183B56">
        <w:tc>
          <w:tcPr>
            <w:tcW w:w="1773" w:type="dxa"/>
          </w:tcPr>
          <w:p w:rsidR="00F164EF" w:rsidRPr="009E5034" w:rsidRDefault="00F164EF" w:rsidP="009E5034">
            <w:pPr>
              <w:pStyle w:val="Tableau"/>
              <w:ind w:left="1"/>
              <w:jc w:val="left"/>
              <w:rPr>
                <w:sz w:val="22"/>
                <w:szCs w:val="22"/>
              </w:rPr>
            </w:pPr>
            <w:r w:rsidRPr="009E5034">
              <w:rPr>
                <w:sz w:val="22"/>
                <w:szCs w:val="22"/>
              </w:rPr>
              <w:t>Gros consommateur</w:t>
            </w:r>
          </w:p>
        </w:tc>
        <w:tc>
          <w:tcPr>
            <w:tcW w:w="1663" w:type="dxa"/>
          </w:tcPr>
          <w:p w:rsidR="00F164EF" w:rsidRPr="009E5034" w:rsidRDefault="00F164EF" w:rsidP="009E5034">
            <w:pPr>
              <w:pStyle w:val="Tableau"/>
              <w:ind w:left="1"/>
              <w:jc w:val="left"/>
              <w:rPr>
                <w:sz w:val="22"/>
                <w:szCs w:val="22"/>
              </w:rPr>
            </w:pPr>
            <w:r w:rsidRPr="009E5034">
              <w:rPr>
                <w:sz w:val="22"/>
                <w:szCs w:val="22"/>
              </w:rPr>
              <w:t>595 680</w:t>
            </w:r>
          </w:p>
        </w:tc>
        <w:tc>
          <w:tcPr>
            <w:tcW w:w="1268" w:type="dxa"/>
          </w:tcPr>
          <w:p w:rsidR="00F164EF" w:rsidRPr="009E5034" w:rsidRDefault="00F164EF" w:rsidP="009E5034">
            <w:pPr>
              <w:pStyle w:val="Tableau"/>
              <w:ind w:left="1"/>
              <w:jc w:val="left"/>
              <w:rPr>
                <w:sz w:val="22"/>
                <w:szCs w:val="22"/>
              </w:rPr>
            </w:pPr>
            <w:r w:rsidRPr="009E5034">
              <w:rPr>
                <w:sz w:val="22"/>
                <w:szCs w:val="22"/>
              </w:rPr>
              <w:t>80%</w:t>
            </w:r>
          </w:p>
        </w:tc>
        <w:tc>
          <w:tcPr>
            <w:tcW w:w="1838" w:type="dxa"/>
          </w:tcPr>
          <w:p w:rsidR="00F164EF" w:rsidRPr="009E5034" w:rsidRDefault="00F164EF" w:rsidP="009E5034">
            <w:pPr>
              <w:pStyle w:val="Tableau"/>
              <w:ind w:left="1"/>
              <w:jc w:val="left"/>
              <w:rPr>
                <w:sz w:val="22"/>
                <w:szCs w:val="22"/>
              </w:rPr>
            </w:pPr>
            <w:r w:rsidRPr="009E5034">
              <w:rPr>
                <w:sz w:val="22"/>
                <w:szCs w:val="22"/>
              </w:rPr>
              <w:t>476 544</w:t>
            </w:r>
          </w:p>
        </w:tc>
      </w:tr>
      <w:tr w:rsidR="00F164EF" w:rsidRPr="009E5034" w:rsidTr="00183B56">
        <w:tc>
          <w:tcPr>
            <w:tcW w:w="1773" w:type="dxa"/>
          </w:tcPr>
          <w:p w:rsidR="00F164EF" w:rsidRPr="009E5034" w:rsidRDefault="00F164EF" w:rsidP="009E5034">
            <w:pPr>
              <w:pStyle w:val="Tableau"/>
              <w:ind w:left="1"/>
              <w:jc w:val="left"/>
              <w:rPr>
                <w:sz w:val="22"/>
                <w:szCs w:val="22"/>
              </w:rPr>
            </w:pPr>
            <w:r w:rsidRPr="009E5034">
              <w:rPr>
                <w:sz w:val="22"/>
                <w:szCs w:val="22"/>
              </w:rPr>
              <w:t>Total</w:t>
            </w:r>
          </w:p>
        </w:tc>
        <w:tc>
          <w:tcPr>
            <w:tcW w:w="1663" w:type="dxa"/>
          </w:tcPr>
          <w:p w:rsidR="00F164EF" w:rsidRPr="009E5034" w:rsidRDefault="00F164EF" w:rsidP="00E547B2">
            <w:pPr>
              <w:pStyle w:val="Tableau"/>
              <w:ind w:left="1"/>
              <w:jc w:val="left"/>
              <w:rPr>
                <w:sz w:val="22"/>
                <w:szCs w:val="22"/>
              </w:rPr>
            </w:pPr>
            <w:r w:rsidRPr="009E5034">
              <w:rPr>
                <w:sz w:val="22"/>
                <w:szCs w:val="22"/>
              </w:rPr>
              <w:t>36993 065</w:t>
            </w:r>
          </w:p>
        </w:tc>
        <w:tc>
          <w:tcPr>
            <w:tcW w:w="1268" w:type="dxa"/>
          </w:tcPr>
          <w:p w:rsidR="00F164EF" w:rsidRPr="009E5034" w:rsidRDefault="00F164EF" w:rsidP="009E5034">
            <w:pPr>
              <w:pStyle w:val="Tableau"/>
              <w:ind w:left="1"/>
              <w:jc w:val="left"/>
              <w:rPr>
                <w:sz w:val="22"/>
                <w:szCs w:val="22"/>
              </w:rPr>
            </w:pPr>
          </w:p>
        </w:tc>
        <w:tc>
          <w:tcPr>
            <w:tcW w:w="1838" w:type="dxa"/>
          </w:tcPr>
          <w:p w:rsidR="00F164EF" w:rsidRPr="009E5034" w:rsidRDefault="00F164EF" w:rsidP="00E547B2">
            <w:pPr>
              <w:pStyle w:val="Tableau"/>
              <w:ind w:left="1"/>
              <w:jc w:val="left"/>
              <w:rPr>
                <w:sz w:val="22"/>
                <w:szCs w:val="22"/>
              </w:rPr>
            </w:pPr>
            <w:r w:rsidRPr="009E5034">
              <w:rPr>
                <w:sz w:val="22"/>
                <w:szCs w:val="22"/>
              </w:rPr>
              <w:t>24137 441</w:t>
            </w:r>
          </w:p>
        </w:tc>
      </w:tr>
    </w:tbl>
    <w:p w:rsidR="00F164EF" w:rsidRPr="009E5034" w:rsidRDefault="00F164EF" w:rsidP="009E5034">
      <w:pPr>
        <w:pStyle w:val="Caption"/>
        <w:ind w:left="899"/>
        <w:rPr>
          <w:sz w:val="22"/>
          <w:szCs w:val="22"/>
        </w:rPr>
      </w:pPr>
      <w:r w:rsidRPr="009E5034">
        <w:rPr>
          <w:sz w:val="22"/>
          <w:szCs w:val="22"/>
        </w:rPr>
        <w:t xml:space="preserve">Tableau A1.8 : </w:t>
      </w:r>
      <w:bookmarkStart w:id="76" w:name="_Toc224709247"/>
      <w:r w:rsidRPr="009E5034">
        <w:rPr>
          <w:sz w:val="22"/>
          <w:szCs w:val="22"/>
        </w:rPr>
        <w:t>Population couverte par le réseau d’égout.</w:t>
      </w:r>
      <w:bookmarkEnd w:id="7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78"/>
        <w:gridCol w:w="1458"/>
        <w:gridCol w:w="1476"/>
        <w:gridCol w:w="990"/>
        <w:gridCol w:w="1477"/>
        <w:gridCol w:w="1541"/>
      </w:tblGrid>
      <w:tr w:rsidR="00F164EF" w:rsidRPr="009E5034" w:rsidTr="00183B56">
        <w:tc>
          <w:tcPr>
            <w:tcW w:w="1778" w:type="dxa"/>
            <w:vMerge w:val="restart"/>
            <w:vAlign w:val="center"/>
          </w:tcPr>
          <w:p w:rsidR="00F164EF" w:rsidRPr="009E5034" w:rsidRDefault="00F164EF" w:rsidP="009E5034">
            <w:pPr>
              <w:pStyle w:val="Tableau"/>
              <w:ind w:left="1"/>
              <w:jc w:val="left"/>
              <w:rPr>
                <w:sz w:val="22"/>
                <w:szCs w:val="22"/>
              </w:rPr>
            </w:pPr>
            <w:r w:rsidRPr="009E5034">
              <w:rPr>
                <w:sz w:val="22"/>
                <w:szCs w:val="22"/>
              </w:rPr>
              <w:t>Communes</w:t>
            </w:r>
          </w:p>
        </w:tc>
        <w:tc>
          <w:tcPr>
            <w:tcW w:w="1458" w:type="dxa"/>
            <w:vMerge w:val="restart"/>
            <w:vAlign w:val="center"/>
          </w:tcPr>
          <w:p w:rsidR="00F164EF" w:rsidRPr="009E5034" w:rsidRDefault="00F164EF" w:rsidP="009E5034">
            <w:pPr>
              <w:pStyle w:val="Tableau"/>
              <w:ind w:left="1"/>
              <w:jc w:val="left"/>
              <w:rPr>
                <w:sz w:val="22"/>
                <w:szCs w:val="22"/>
              </w:rPr>
            </w:pPr>
            <w:r w:rsidRPr="009E5034">
              <w:rPr>
                <w:sz w:val="22"/>
                <w:szCs w:val="22"/>
              </w:rPr>
              <w:t>Surfaces en ha</w:t>
            </w:r>
          </w:p>
        </w:tc>
        <w:tc>
          <w:tcPr>
            <w:tcW w:w="1476" w:type="dxa"/>
            <w:vMerge w:val="restart"/>
            <w:vAlign w:val="center"/>
          </w:tcPr>
          <w:p w:rsidR="00F164EF" w:rsidRPr="009E5034" w:rsidRDefault="00F164EF" w:rsidP="009E5034">
            <w:pPr>
              <w:pStyle w:val="Tableau"/>
              <w:ind w:left="1"/>
              <w:jc w:val="left"/>
              <w:rPr>
                <w:sz w:val="22"/>
                <w:szCs w:val="22"/>
              </w:rPr>
            </w:pPr>
            <w:r w:rsidRPr="009E5034">
              <w:rPr>
                <w:sz w:val="22"/>
                <w:szCs w:val="22"/>
              </w:rPr>
              <w:t>Population 98</w:t>
            </w:r>
          </w:p>
        </w:tc>
        <w:tc>
          <w:tcPr>
            <w:tcW w:w="990" w:type="dxa"/>
            <w:vMerge w:val="restart"/>
            <w:vAlign w:val="center"/>
          </w:tcPr>
          <w:p w:rsidR="00F164EF" w:rsidRPr="009E5034" w:rsidRDefault="00F164EF" w:rsidP="009E5034">
            <w:pPr>
              <w:pStyle w:val="Tableau"/>
              <w:ind w:left="1"/>
              <w:jc w:val="left"/>
              <w:rPr>
                <w:sz w:val="22"/>
                <w:szCs w:val="22"/>
              </w:rPr>
            </w:pPr>
            <w:r w:rsidRPr="009E5034">
              <w:rPr>
                <w:sz w:val="22"/>
                <w:szCs w:val="22"/>
              </w:rPr>
              <w:t>Densité hab/ha</w:t>
            </w:r>
          </w:p>
        </w:tc>
        <w:tc>
          <w:tcPr>
            <w:tcW w:w="3018" w:type="dxa"/>
            <w:gridSpan w:val="2"/>
            <w:vAlign w:val="center"/>
          </w:tcPr>
          <w:p w:rsidR="00F164EF" w:rsidRPr="009E5034" w:rsidRDefault="00F164EF" w:rsidP="009E5034">
            <w:pPr>
              <w:pStyle w:val="Tableau"/>
              <w:ind w:left="1"/>
              <w:jc w:val="left"/>
              <w:rPr>
                <w:sz w:val="22"/>
                <w:szCs w:val="22"/>
              </w:rPr>
            </w:pPr>
            <w:r w:rsidRPr="009E5034">
              <w:rPr>
                <w:sz w:val="22"/>
                <w:szCs w:val="22"/>
              </w:rPr>
              <w:t>Population couverte par les réseaux d’égout</w:t>
            </w:r>
          </w:p>
        </w:tc>
      </w:tr>
      <w:tr w:rsidR="00F164EF" w:rsidRPr="009E5034" w:rsidTr="00183B56">
        <w:tc>
          <w:tcPr>
            <w:tcW w:w="1778" w:type="dxa"/>
            <w:vMerge/>
            <w:vAlign w:val="center"/>
          </w:tcPr>
          <w:p w:rsidR="00F164EF" w:rsidRPr="009E5034" w:rsidRDefault="00F164EF" w:rsidP="009E5034">
            <w:pPr>
              <w:pStyle w:val="Tableau"/>
              <w:ind w:left="1"/>
              <w:jc w:val="left"/>
              <w:rPr>
                <w:sz w:val="22"/>
                <w:szCs w:val="22"/>
              </w:rPr>
            </w:pPr>
          </w:p>
        </w:tc>
        <w:tc>
          <w:tcPr>
            <w:tcW w:w="1458" w:type="dxa"/>
            <w:vMerge/>
            <w:vAlign w:val="center"/>
          </w:tcPr>
          <w:p w:rsidR="00F164EF" w:rsidRPr="009E5034" w:rsidRDefault="00F164EF" w:rsidP="009E5034">
            <w:pPr>
              <w:pStyle w:val="Tableau"/>
              <w:ind w:left="1"/>
              <w:jc w:val="left"/>
              <w:rPr>
                <w:sz w:val="22"/>
                <w:szCs w:val="22"/>
              </w:rPr>
            </w:pPr>
          </w:p>
        </w:tc>
        <w:tc>
          <w:tcPr>
            <w:tcW w:w="1476" w:type="dxa"/>
            <w:vMerge/>
            <w:vAlign w:val="center"/>
          </w:tcPr>
          <w:p w:rsidR="00F164EF" w:rsidRPr="009E5034" w:rsidRDefault="00F164EF" w:rsidP="009E5034">
            <w:pPr>
              <w:pStyle w:val="Tableau"/>
              <w:ind w:left="1"/>
              <w:jc w:val="left"/>
              <w:rPr>
                <w:sz w:val="22"/>
                <w:szCs w:val="22"/>
              </w:rPr>
            </w:pPr>
          </w:p>
        </w:tc>
        <w:tc>
          <w:tcPr>
            <w:tcW w:w="990" w:type="dxa"/>
            <w:vMerge/>
            <w:vAlign w:val="center"/>
          </w:tcPr>
          <w:p w:rsidR="00F164EF" w:rsidRPr="009E5034" w:rsidRDefault="00F164EF" w:rsidP="009E5034">
            <w:pPr>
              <w:pStyle w:val="Tableau"/>
              <w:ind w:left="1"/>
              <w:jc w:val="left"/>
              <w:rPr>
                <w:sz w:val="22"/>
                <w:szCs w:val="22"/>
              </w:rPr>
            </w:pPr>
          </w:p>
        </w:tc>
        <w:tc>
          <w:tcPr>
            <w:tcW w:w="1477" w:type="dxa"/>
            <w:vAlign w:val="center"/>
          </w:tcPr>
          <w:p w:rsidR="00F164EF" w:rsidRPr="009E5034" w:rsidRDefault="00F164EF" w:rsidP="009E5034">
            <w:pPr>
              <w:pStyle w:val="Tableau"/>
              <w:ind w:left="1"/>
              <w:jc w:val="left"/>
              <w:rPr>
                <w:sz w:val="22"/>
                <w:szCs w:val="22"/>
              </w:rPr>
            </w:pPr>
            <w:r w:rsidRPr="009E5034">
              <w:rPr>
                <w:sz w:val="22"/>
                <w:szCs w:val="22"/>
              </w:rPr>
              <w:t>Population</w:t>
            </w:r>
          </w:p>
        </w:tc>
        <w:tc>
          <w:tcPr>
            <w:tcW w:w="1541" w:type="dxa"/>
            <w:vAlign w:val="center"/>
          </w:tcPr>
          <w:p w:rsidR="00F164EF" w:rsidRPr="009E5034" w:rsidRDefault="00F164EF" w:rsidP="009E5034">
            <w:pPr>
              <w:pStyle w:val="Tableau"/>
              <w:ind w:left="1"/>
              <w:jc w:val="left"/>
              <w:rPr>
                <w:sz w:val="22"/>
                <w:szCs w:val="22"/>
              </w:rPr>
            </w:pPr>
            <w:r w:rsidRPr="009E5034">
              <w:rPr>
                <w:sz w:val="22"/>
                <w:szCs w:val="22"/>
              </w:rPr>
              <w:t>Pourcentage</w:t>
            </w:r>
          </w:p>
        </w:tc>
      </w:tr>
      <w:tr w:rsidR="00F164EF" w:rsidRPr="009E5034" w:rsidTr="00183B56">
        <w:tc>
          <w:tcPr>
            <w:tcW w:w="1778" w:type="dxa"/>
          </w:tcPr>
          <w:p w:rsidR="00F164EF" w:rsidRPr="009E5034" w:rsidRDefault="00F164EF" w:rsidP="009E5034">
            <w:pPr>
              <w:pStyle w:val="Tableau"/>
              <w:ind w:left="1"/>
              <w:jc w:val="left"/>
              <w:rPr>
                <w:sz w:val="22"/>
                <w:szCs w:val="22"/>
              </w:rPr>
            </w:pPr>
            <w:r w:rsidRPr="009E5034">
              <w:rPr>
                <w:sz w:val="22"/>
                <w:szCs w:val="22"/>
              </w:rPr>
              <w:t>Commune 1</w:t>
            </w:r>
          </w:p>
        </w:tc>
        <w:tc>
          <w:tcPr>
            <w:tcW w:w="1458" w:type="dxa"/>
          </w:tcPr>
          <w:p w:rsidR="00F164EF" w:rsidRPr="009E5034" w:rsidRDefault="00F164EF" w:rsidP="009E5034">
            <w:pPr>
              <w:pStyle w:val="Tableau"/>
              <w:ind w:left="1"/>
              <w:jc w:val="left"/>
              <w:rPr>
                <w:sz w:val="22"/>
                <w:szCs w:val="22"/>
              </w:rPr>
            </w:pPr>
            <w:r w:rsidRPr="009E5034">
              <w:rPr>
                <w:sz w:val="22"/>
                <w:szCs w:val="22"/>
              </w:rPr>
              <w:t>2 157</w:t>
            </w:r>
          </w:p>
        </w:tc>
        <w:tc>
          <w:tcPr>
            <w:tcW w:w="1476" w:type="dxa"/>
          </w:tcPr>
          <w:p w:rsidR="00F164EF" w:rsidRPr="009E5034" w:rsidRDefault="00F164EF" w:rsidP="009E5034">
            <w:pPr>
              <w:pStyle w:val="Tableau"/>
              <w:ind w:left="1"/>
              <w:jc w:val="left"/>
              <w:rPr>
                <w:sz w:val="22"/>
                <w:szCs w:val="22"/>
              </w:rPr>
            </w:pPr>
            <w:r w:rsidRPr="009E5034">
              <w:rPr>
                <w:sz w:val="22"/>
                <w:szCs w:val="22"/>
              </w:rPr>
              <w:t>199 651</w:t>
            </w:r>
          </w:p>
        </w:tc>
        <w:tc>
          <w:tcPr>
            <w:tcW w:w="990" w:type="dxa"/>
          </w:tcPr>
          <w:p w:rsidR="00F164EF" w:rsidRPr="009E5034" w:rsidRDefault="00F164EF" w:rsidP="009E5034">
            <w:pPr>
              <w:pStyle w:val="Tableau"/>
              <w:ind w:left="1"/>
              <w:jc w:val="left"/>
              <w:rPr>
                <w:sz w:val="22"/>
                <w:szCs w:val="22"/>
              </w:rPr>
            </w:pPr>
            <w:r w:rsidRPr="009E5034">
              <w:rPr>
                <w:sz w:val="22"/>
                <w:szCs w:val="22"/>
              </w:rPr>
              <w:t>93</w:t>
            </w:r>
          </w:p>
        </w:tc>
        <w:tc>
          <w:tcPr>
            <w:tcW w:w="1477" w:type="dxa"/>
          </w:tcPr>
          <w:p w:rsidR="00F164EF" w:rsidRPr="009E5034" w:rsidRDefault="00F164EF" w:rsidP="009E5034">
            <w:pPr>
              <w:pStyle w:val="Tableau"/>
              <w:ind w:left="1"/>
              <w:jc w:val="left"/>
              <w:rPr>
                <w:sz w:val="22"/>
                <w:szCs w:val="22"/>
              </w:rPr>
            </w:pPr>
            <w:r w:rsidRPr="009E5034">
              <w:rPr>
                <w:sz w:val="22"/>
                <w:szCs w:val="22"/>
              </w:rPr>
              <w:t>6 620</w:t>
            </w:r>
          </w:p>
        </w:tc>
        <w:tc>
          <w:tcPr>
            <w:tcW w:w="1541" w:type="dxa"/>
          </w:tcPr>
          <w:p w:rsidR="00F164EF" w:rsidRPr="009E5034" w:rsidRDefault="00F164EF" w:rsidP="009E5034">
            <w:pPr>
              <w:pStyle w:val="Tableau"/>
              <w:ind w:left="1"/>
              <w:jc w:val="left"/>
              <w:rPr>
                <w:sz w:val="22"/>
                <w:szCs w:val="22"/>
              </w:rPr>
            </w:pPr>
            <w:r w:rsidRPr="009E5034">
              <w:rPr>
                <w:sz w:val="22"/>
                <w:szCs w:val="22"/>
              </w:rPr>
              <w:t>3%</w:t>
            </w:r>
          </w:p>
        </w:tc>
      </w:tr>
      <w:tr w:rsidR="00F164EF" w:rsidRPr="009E5034" w:rsidTr="00183B56">
        <w:tc>
          <w:tcPr>
            <w:tcW w:w="1778" w:type="dxa"/>
          </w:tcPr>
          <w:p w:rsidR="00F164EF" w:rsidRPr="009E5034" w:rsidRDefault="00F164EF" w:rsidP="009E5034">
            <w:pPr>
              <w:pStyle w:val="Tableau"/>
              <w:ind w:left="1"/>
              <w:jc w:val="left"/>
              <w:rPr>
                <w:sz w:val="22"/>
                <w:szCs w:val="22"/>
              </w:rPr>
            </w:pPr>
            <w:r w:rsidRPr="009E5034">
              <w:rPr>
                <w:sz w:val="22"/>
                <w:szCs w:val="22"/>
              </w:rPr>
              <w:t>Commune 2</w:t>
            </w:r>
          </w:p>
        </w:tc>
        <w:tc>
          <w:tcPr>
            <w:tcW w:w="1458" w:type="dxa"/>
          </w:tcPr>
          <w:p w:rsidR="00F164EF" w:rsidRPr="009E5034" w:rsidRDefault="00F164EF" w:rsidP="009E5034">
            <w:pPr>
              <w:pStyle w:val="Tableau"/>
              <w:ind w:left="1"/>
              <w:jc w:val="left"/>
              <w:rPr>
                <w:sz w:val="22"/>
                <w:szCs w:val="22"/>
              </w:rPr>
            </w:pPr>
            <w:r w:rsidRPr="009E5034">
              <w:rPr>
                <w:sz w:val="22"/>
                <w:szCs w:val="22"/>
              </w:rPr>
              <w:t>1 378</w:t>
            </w:r>
          </w:p>
        </w:tc>
        <w:tc>
          <w:tcPr>
            <w:tcW w:w="1476" w:type="dxa"/>
          </w:tcPr>
          <w:p w:rsidR="00F164EF" w:rsidRPr="009E5034" w:rsidRDefault="00F164EF" w:rsidP="009E5034">
            <w:pPr>
              <w:pStyle w:val="Tableau"/>
              <w:ind w:left="1"/>
              <w:jc w:val="left"/>
              <w:rPr>
                <w:sz w:val="22"/>
                <w:szCs w:val="22"/>
              </w:rPr>
            </w:pPr>
            <w:r w:rsidRPr="009E5034">
              <w:rPr>
                <w:sz w:val="22"/>
                <w:szCs w:val="22"/>
              </w:rPr>
              <w:t>128 088</w:t>
            </w:r>
          </w:p>
        </w:tc>
        <w:tc>
          <w:tcPr>
            <w:tcW w:w="990" w:type="dxa"/>
          </w:tcPr>
          <w:p w:rsidR="00F164EF" w:rsidRPr="009E5034" w:rsidRDefault="00F164EF" w:rsidP="009E5034">
            <w:pPr>
              <w:pStyle w:val="Tableau"/>
              <w:ind w:left="1"/>
              <w:jc w:val="left"/>
              <w:rPr>
                <w:sz w:val="22"/>
                <w:szCs w:val="22"/>
              </w:rPr>
            </w:pPr>
            <w:r w:rsidRPr="009E5034">
              <w:rPr>
                <w:sz w:val="22"/>
                <w:szCs w:val="22"/>
              </w:rPr>
              <w:t>93</w:t>
            </w:r>
          </w:p>
        </w:tc>
        <w:tc>
          <w:tcPr>
            <w:tcW w:w="1477" w:type="dxa"/>
          </w:tcPr>
          <w:p w:rsidR="00F164EF" w:rsidRPr="009E5034" w:rsidRDefault="00F164EF" w:rsidP="009E5034">
            <w:pPr>
              <w:pStyle w:val="Tableau"/>
              <w:ind w:left="1"/>
              <w:jc w:val="left"/>
              <w:rPr>
                <w:sz w:val="22"/>
                <w:szCs w:val="22"/>
              </w:rPr>
            </w:pPr>
            <w:r w:rsidRPr="009E5034">
              <w:rPr>
                <w:sz w:val="22"/>
                <w:szCs w:val="22"/>
              </w:rPr>
              <w:t>8 769</w:t>
            </w:r>
          </w:p>
        </w:tc>
        <w:tc>
          <w:tcPr>
            <w:tcW w:w="1541" w:type="dxa"/>
          </w:tcPr>
          <w:p w:rsidR="00F164EF" w:rsidRPr="009E5034" w:rsidRDefault="00F164EF" w:rsidP="009E5034">
            <w:pPr>
              <w:pStyle w:val="Tableau"/>
              <w:ind w:left="1"/>
              <w:jc w:val="left"/>
              <w:rPr>
                <w:sz w:val="22"/>
                <w:szCs w:val="22"/>
              </w:rPr>
            </w:pPr>
            <w:r w:rsidRPr="009E5034">
              <w:rPr>
                <w:sz w:val="22"/>
                <w:szCs w:val="22"/>
              </w:rPr>
              <w:t>7%</w:t>
            </w:r>
          </w:p>
        </w:tc>
      </w:tr>
      <w:tr w:rsidR="00F164EF" w:rsidRPr="009E5034" w:rsidTr="00183B56">
        <w:tc>
          <w:tcPr>
            <w:tcW w:w="1778" w:type="dxa"/>
          </w:tcPr>
          <w:p w:rsidR="00F164EF" w:rsidRPr="009E5034" w:rsidRDefault="00F164EF" w:rsidP="009E5034">
            <w:pPr>
              <w:pStyle w:val="Tableau"/>
              <w:ind w:left="1"/>
              <w:jc w:val="left"/>
              <w:rPr>
                <w:sz w:val="22"/>
                <w:szCs w:val="22"/>
              </w:rPr>
            </w:pPr>
            <w:r w:rsidRPr="009E5034">
              <w:rPr>
                <w:sz w:val="22"/>
                <w:szCs w:val="22"/>
              </w:rPr>
              <w:t>Commune 3</w:t>
            </w:r>
          </w:p>
        </w:tc>
        <w:tc>
          <w:tcPr>
            <w:tcW w:w="1458" w:type="dxa"/>
          </w:tcPr>
          <w:p w:rsidR="00F164EF" w:rsidRPr="009E5034" w:rsidRDefault="00F164EF" w:rsidP="009E5034">
            <w:pPr>
              <w:pStyle w:val="Tableau"/>
              <w:ind w:left="1"/>
              <w:jc w:val="left"/>
              <w:rPr>
                <w:sz w:val="22"/>
                <w:szCs w:val="22"/>
              </w:rPr>
            </w:pPr>
            <w:r w:rsidRPr="009E5034">
              <w:rPr>
                <w:sz w:val="22"/>
                <w:szCs w:val="22"/>
              </w:rPr>
              <w:t>1 018</w:t>
            </w:r>
          </w:p>
        </w:tc>
        <w:tc>
          <w:tcPr>
            <w:tcW w:w="1476" w:type="dxa"/>
          </w:tcPr>
          <w:p w:rsidR="00F164EF" w:rsidRPr="009E5034" w:rsidRDefault="00F164EF" w:rsidP="009E5034">
            <w:pPr>
              <w:pStyle w:val="Tableau"/>
              <w:ind w:left="1"/>
              <w:jc w:val="left"/>
              <w:rPr>
                <w:sz w:val="22"/>
                <w:szCs w:val="22"/>
              </w:rPr>
            </w:pPr>
            <w:r w:rsidRPr="009E5034">
              <w:rPr>
                <w:sz w:val="22"/>
                <w:szCs w:val="22"/>
              </w:rPr>
              <w:t>97 389</w:t>
            </w:r>
          </w:p>
        </w:tc>
        <w:tc>
          <w:tcPr>
            <w:tcW w:w="990" w:type="dxa"/>
          </w:tcPr>
          <w:p w:rsidR="00F164EF" w:rsidRPr="009E5034" w:rsidRDefault="00F164EF" w:rsidP="009E5034">
            <w:pPr>
              <w:pStyle w:val="Tableau"/>
              <w:ind w:left="1"/>
              <w:jc w:val="left"/>
              <w:rPr>
                <w:sz w:val="22"/>
                <w:szCs w:val="22"/>
              </w:rPr>
            </w:pPr>
            <w:r w:rsidRPr="009E5034">
              <w:rPr>
                <w:sz w:val="22"/>
                <w:szCs w:val="22"/>
              </w:rPr>
              <w:t>96</w:t>
            </w:r>
          </w:p>
        </w:tc>
        <w:tc>
          <w:tcPr>
            <w:tcW w:w="1477" w:type="dxa"/>
          </w:tcPr>
          <w:p w:rsidR="00F164EF" w:rsidRPr="009E5034" w:rsidRDefault="00F164EF" w:rsidP="009E5034">
            <w:pPr>
              <w:pStyle w:val="Tableau"/>
              <w:ind w:left="1"/>
              <w:jc w:val="left"/>
              <w:rPr>
                <w:sz w:val="22"/>
                <w:szCs w:val="22"/>
              </w:rPr>
            </w:pPr>
            <w:r w:rsidRPr="009E5034">
              <w:rPr>
                <w:sz w:val="22"/>
                <w:szCs w:val="22"/>
              </w:rPr>
              <w:t>3 796</w:t>
            </w:r>
          </w:p>
        </w:tc>
        <w:tc>
          <w:tcPr>
            <w:tcW w:w="1541" w:type="dxa"/>
          </w:tcPr>
          <w:p w:rsidR="00F164EF" w:rsidRPr="009E5034" w:rsidRDefault="00F164EF" w:rsidP="009E5034">
            <w:pPr>
              <w:pStyle w:val="Tableau"/>
              <w:ind w:left="1"/>
              <w:jc w:val="left"/>
              <w:rPr>
                <w:sz w:val="22"/>
                <w:szCs w:val="22"/>
              </w:rPr>
            </w:pPr>
            <w:r w:rsidRPr="009E5034">
              <w:rPr>
                <w:sz w:val="22"/>
                <w:szCs w:val="22"/>
              </w:rPr>
              <w:t>4%</w:t>
            </w:r>
          </w:p>
        </w:tc>
      </w:tr>
      <w:tr w:rsidR="00F164EF" w:rsidRPr="009E5034" w:rsidTr="00183B56">
        <w:tc>
          <w:tcPr>
            <w:tcW w:w="1778" w:type="dxa"/>
          </w:tcPr>
          <w:p w:rsidR="00F164EF" w:rsidRPr="009E5034" w:rsidRDefault="00F164EF" w:rsidP="009E5034">
            <w:pPr>
              <w:pStyle w:val="Tableau"/>
              <w:ind w:left="1"/>
              <w:jc w:val="left"/>
              <w:rPr>
                <w:sz w:val="22"/>
                <w:szCs w:val="22"/>
              </w:rPr>
            </w:pPr>
            <w:r w:rsidRPr="009E5034">
              <w:rPr>
                <w:sz w:val="22"/>
                <w:szCs w:val="22"/>
              </w:rPr>
              <w:t>Commune 4</w:t>
            </w:r>
          </w:p>
        </w:tc>
        <w:tc>
          <w:tcPr>
            <w:tcW w:w="1458" w:type="dxa"/>
          </w:tcPr>
          <w:p w:rsidR="00F164EF" w:rsidRPr="009E5034" w:rsidRDefault="00F164EF" w:rsidP="009E5034">
            <w:pPr>
              <w:pStyle w:val="Tableau"/>
              <w:ind w:left="1"/>
              <w:jc w:val="left"/>
              <w:rPr>
                <w:sz w:val="22"/>
                <w:szCs w:val="22"/>
              </w:rPr>
            </w:pPr>
            <w:r w:rsidRPr="009E5034">
              <w:rPr>
                <w:sz w:val="22"/>
                <w:szCs w:val="22"/>
              </w:rPr>
              <w:t>3 101</w:t>
            </w:r>
          </w:p>
        </w:tc>
        <w:tc>
          <w:tcPr>
            <w:tcW w:w="1476" w:type="dxa"/>
          </w:tcPr>
          <w:p w:rsidR="00F164EF" w:rsidRPr="009E5034" w:rsidRDefault="00F164EF" w:rsidP="009E5034">
            <w:pPr>
              <w:pStyle w:val="Tableau"/>
              <w:ind w:left="1"/>
              <w:jc w:val="left"/>
              <w:rPr>
                <w:sz w:val="22"/>
                <w:szCs w:val="22"/>
              </w:rPr>
            </w:pPr>
            <w:r w:rsidRPr="009E5034">
              <w:rPr>
                <w:sz w:val="22"/>
                <w:szCs w:val="22"/>
              </w:rPr>
              <w:t>185 855</w:t>
            </w:r>
          </w:p>
        </w:tc>
        <w:tc>
          <w:tcPr>
            <w:tcW w:w="990" w:type="dxa"/>
          </w:tcPr>
          <w:p w:rsidR="00F164EF" w:rsidRPr="009E5034" w:rsidRDefault="00F164EF" w:rsidP="009E5034">
            <w:pPr>
              <w:pStyle w:val="Tableau"/>
              <w:ind w:left="1"/>
              <w:jc w:val="left"/>
              <w:rPr>
                <w:sz w:val="22"/>
                <w:szCs w:val="22"/>
              </w:rPr>
            </w:pPr>
            <w:r w:rsidRPr="009E5034">
              <w:rPr>
                <w:sz w:val="22"/>
                <w:szCs w:val="22"/>
              </w:rPr>
              <w:t>60</w:t>
            </w:r>
          </w:p>
        </w:tc>
        <w:tc>
          <w:tcPr>
            <w:tcW w:w="1477" w:type="dxa"/>
          </w:tcPr>
          <w:p w:rsidR="00F164EF" w:rsidRPr="009E5034" w:rsidRDefault="00F164EF" w:rsidP="009E5034">
            <w:pPr>
              <w:pStyle w:val="Tableau"/>
              <w:ind w:left="1"/>
              <w:jc w:val="left"/>
              <w:rPr>
                <w:sz w:val="22"/>
                <w:szCs w:val="22"/>
              </w:rPr>
            </w:pPr>
            <w:r w:rsidRPr="009E5034">
              <w:rPr>
                <w:sz w:val="22"/>
                <w:szCs w:val="22"/>
              </w:rPr>
              <w:t>0</w:t>
            </w:r>
          </w:p>
        </w:tc>
        <w:tc>
          <w:tcPr>
            <w:tcW w:w="1541" w:type="dxa"/>
          </w:tcPr>
          <w:p w:rsidR="00F164EF" w:rsidRPr="009E5034" w:rsidRDefault="00F164EF" w:rsidP="009E5034">
            <w:pPr>
              <w:pStyle w:val="Tableau"/>
              <w:ind w:left="1"/>
              <w:jc w:val="left"/>
              <w:rPr>
                <w:sz w:val="22"/>
                <w:szCs w:val="22"/>
              </w:rPr>
            </w:pPr>
            <w:r w:rsidRPr="009E5034">
              <w:rPr>
                <w:sz w:val="22"/>
                <w:szCs w:val="22"/>
              </w:rPr>
              <w:t>0%</w:t>
            </w:r>
          </w:p>
        </w:tc>
      </w:tr>
      <w:tr w:rsidR="00F164EF" w:rsidRPr="009E5034" w:rsidTr="00183B56">
        <w:tc>
          <w:tcPr>
            <w:tcW w:w="1778" w:type="dxa"/>
          </w:tcPr>
          <w:p w:rsidR="00F164EF" w:rsidRPr="009E5034" w:rsidRDefault="00F164EF" w:rsidP="009E5034">
            <w:pPr>
              <w:pStyle w:val="Tableau"/>
              <w:ind w:left="1"/>
              <w:jc w:val="left"/>
              <w:rPr>
                <w:sz w:val="22"/>
                <w:szCs w:val="22"/>
              </w:rPr>
            </w:pPr>
            <w:r w:rsidRPr="009E5034">
              <w:rPr>
                <w:sz w:val="22"/>
                <w:szCs w:val="22"/>
              </w:rPr>
              <w:t>Commune 5</w:t>
            </w:r>
          </w:p>
        </w:tc>
        <w:tc>
          <w:tcPr>
            <w:tcW w:w="1458" w:type="dxa"/>
          </w:tcPr>
          <w:p w:rsidR="00F164EF" w:rsidRPr="009E5034" w:rsidRDefault="00F164EF" w:rsidP="009E5034">
            <w:pPr>
              <w:pStyle w:val="Tableau"/>
              <w:ind w:left="1"/>
              <w:jc w:val="left"/>
              <w:rPr>
                <w:sz w:val="22"/>
                <w:szCs w:val="22"/>
              </w:rPr>
            </w:pPr>
            <w:r w:rsidRPr="009E5034">
              <w:rPr>
                <w:sz w:val="22"/>
                <w:szCs w:val="22"/>
              </w:rPr>
              <w:t>2 144</w:t>
            </w:r>
          </w:p>
        </w:tc>
        <w:tc>
          <w:tcPr>
            <w:tcW w:w="1476" w:type="dxa"/>
          </w:tcPr>
          <w:p w:rsidR="00F164EF" w:rsidRPr="009E5034" w:rsidRDefault="00F164EF" w:rsidP="009E5034">
            <w:pPr>
              <w:pStyle w:val="Tableau"/>
              <w:ind w:left="1"/>
              <w:jc w:val="left"/>
              <w:rPr>
                <w:sz w:val="22"/>
                <w:szCs w:val="22"/>
              </w:rPr>
            </w:pPr>
            <w:r w:rsidRPr="009E5034">
              <w:rPr>
                <w:sz w:val="22"/>
                <w:szCs w:val="22"/>
              </w:rPr>
              <w:t>184 716</w:t>
            </w:r>
          </w:p>
        </w:tc>
        <w:tc>
          <w:tcPr>
            <w:tcW w:w="990" w:type="dxa"/>
          </w:tcPr>
          <w:p w:rsidR="00F164EF" w:rsidRPr="009E5034" w:rsidRDefault="00F164EF" w:rsidP="009E5034">
            <w:pPr>
              <w:pStyle w:val="Tableau"/>
              <w:ind w:left="1"/>
              <w:jc w:val="left"/>
              <w:rPr>
                <w:sz w:val="22"/>
                <w:szCs w:val="22"/>
              </w:rPr>
            </w:pPr>
            <w:r w:rsidRPr="009E5034">
              <w:rPr>
                <w:sz w:val="22"/>
                <w:szCs w:val="22"/>
              </w:rPr>
              <w:t>86</w:t>
            </w:r>
          </w:p>
        </w:tc>
        <w:tc>
          <w:tcPr>
            <w:tcW w:w="1477" w:type="dxa"/>
          </w:tcPr>
          <w:p w:rsidR="00F164EF" w:rsidRPr="009E5034" w:rsidRDefault="00F164EF" w:rsidP="009E5034">
            <w:pPr>
              <w:pStyle w:val="Tableau"/>
              <w:ind w:left="1"/>
              <w:jc w:val="left"/>
              <w:rPr>
                <w:sz w:val="22"/>
                <w:szCs w:val="22"/>
              </w:rPr>
            </w:pPr>
            <w:r w:rsidRPr="009E5034">
              <w:rPr>
                <w:sz w:val="22"/>
                <w:szCs w:val="22"/>
              </w:rPr>
              <w:t>13 836</w:t>
            </w:r>
          </w:p>
        </w:tc>
        <w:tc>
          <w:tcPr>
            <w:tcW w:w="1541" w:type="dxa"/>
          </w:tcPr>
          <w:p w:rsidR="00F164EF" w:rsidRPr="009E5034" w:rsidRDefault="00F164EF" w:rsidP="009E5034">
            <w:pPr>
              <w:pStyle w:val="Tableau"/>
              <w:ind w:left="1"/>
              <w:jc w:val="left"/>
              <w:rPr>
                <w:sz w:val="22"/>
                <w:szCs w:val="22"/>
              </w:rPr>
            </w:pPr>
            <w:r w:rsidRPr="009E5034">
              <w:rPr>
                <w:sz w:val="22"/>
                <w:szCs w:val="22"/>
              </w:rPr>
              <w:t>7%</w:t>
            </w:r>
          </w:p>
        </w:tc>
      </w:tr>
      <w:tr w:rsidR="00F164EF" w:rsidRPr="009E5034" w:rsidTr="00183B56">
        <w:tc>
          <w:tcPr>
            <w:tcW w:w="1778" w:type="dxa"/>
          </w:tcPr>
          <w:p w:rsidR="00F164EF" w:rsidRPr="009E5034" w:rsidRDefault="00F164EF" w:rsidP="009E5034">
            <w:pPr>
              <w:pStyle w:val="Tableau"/>
              <w:ind w:left="1"/>
              <w:jc w:val="left"/>
              <w:rPr>
                <w:sz w:val="22"/>
                <w:szCs w:val="22"/>
              </w:rPr>
            </w:pPr>
            <w:r w:rsidRPr="009E5034">
              <w:rPr>
                <w:sz w:val="22"/>
                <w:szCs w:val="22"/>
              </w:rPr>
              <w:t>Commune 6</w:t>
            </w:r>
          </w:p>
        </w:tc>
        <w:tc>
          <w:tcPr>
            <w:tcW w:w="1458" w:type="dxa"/>
          </w:tcPr>
          <w:p w:rsidR="00F164EF" w:rsidRPr="009E5034" w:rsidRDefault="00F164EF" w:rsidP="009E5034">
            <w:pPr>
              <w:pStyle w:val="Tableau"/>
              <w:ind w:left="1"/>
              <w:jc w:val="left"/>
              <w:rPr>
                <w:sz w:val="22"/>
                <w:szCs w:val="22"/>
              </w:rPr>
            </w:pPr>
            <w:r w:rsidRPr="009E5034">
              <w:rPr>
                <w:sz w:val="22"/>
                <w:szCs w:val="22"/>
              </w:rPr>
              <w:t>3 830</w:t>
            </w:r>
          </w:p>
        </w:tc>
        <w:tc>
          <w:tcPr>
            <w:tcW w:w="1476" w:type="dxa"/>
          </w:tcPr>
          <w:p w:rsidR="00F164EF" w:rsidRPr="009E5034" w:rsidRDefault="00F164EF" w:rsidP="009E5034">
            <w:pPr>
              <w:pStyle w:val="Tableau"/>
              <w:ind w:left="1"/>
              <w:jc w:val="left"/>
              <w:rPr>
                <w:sz w:val="22"/>
                <w:szCs w:val="22"/>
              </w:rPr>
            </w:pPr>
            <w:r w:rsidRPr="009E5034">
              <w:rPr>
                <w:sz w:val="22"/>
                <w:szCs w:val="22"/>
              </w:rPr>
              <w:t>220 466</w:t>
            </w:r>
          </w:p>
        </w:tc>
        <w:tc>
          <w:tcPr>
            <w:tcW w:w="990" w:type="dxa"/>
          </w:tcPr>
          <w:p w:rsidR="00F164EF" w:rsidRPr="009E5034" w:rsidRDefault="00F164EF" w:rsidP="009E5034">
            <w:pPr>
              <w:pStyle w:val="Tableau"/>
              <w:ind w:left="1"/>
              <w:jc w:val="left"/>
              <w:rPr>
                <w:sz w:val="22"/>
                <w:szCs w:val="22"/>
              </w:rPr>
            </w:pPr>
            <w:r w:rsidRPr="009E5034">
              <w:rPr>
                <w:sz w:val="22"/>
                <w:szCs w:val="22"/>
              </w:rPr>
              <w:t>58</w:t>
            </w:r>
          </w:p>
        </w:tc>
        <w:tc>
          <w:tcPr>
            <w:tcW w:w="1477" w:type="dxa"/>
          </w:tcPr>
          <w:p w:rsidR="00F164EF" w:rsidRPr="009E5034" w:rsidRDefault="00F164EF" w:rsidP="009E5034">
            <w:pPr>
              <w:pStyle w:val="Tableau"/>
              <w:ind w:left="1"/>
              <w:jc w:val="left"/>
              <w:rPr>
                <w:sz w:val="22"/>
                <w:szCs w:val="22"/>
              </w:rPr>
            </w:pPr>
            <w:r w:rsidRPr="009E5034">
              <w:rPr>
                <w:sz w:val="22"/>
                <w:szCs w:val="22"/>
              </w:rPr>
              <w:t>3 256</w:t>
            </w:r>
          </w:p>
        </w:tc>
        <w:tc>
          <w:tcPr>
            <w:tcW w:w="1541" w:type="dxa"/>
          </w:tcPr>
          <w:p w:rsidR="00F164EF" w:rsidRPr="009E5034" w:rsidRDefault="00F164EF" w:rsidP="009E5034">
            <w:pPr>
              <w:pStyle w:val="Tableau"/>
              <w:ind w:left="1"/>
              <w:jc w:val="left"/>
              <w:rPr>
                <w:sz w:val="22"/>
                <w:szCs w:val="22"/>
              </w:rPr>
            </w:pPr>
            <w:r w:rsidRPr="009E5034">
              <w:rPr>
                <w:sz w:val="22"/>
                <w:szCs w:val="22"/>
              </w:rPr>
              <w:t>1%</w:t>
            </w:r>
          </w:p>
        </w:tc>
      </w:tr>
      <w:tr w:rsidR="00F164EF" w:rsidRPr="009E5034" w:rsidTr="00183B56">
        <w:tc>
          <w:tcPr>
            <w:tcW w:w="1778" w:type="dxa"/>
          </w:tcPr>
          <w:p w:rsidR="00F164EF" w:rsidRPr="009E5034" w:rsidRDefault="00F164EF" w:rsidP="009E5034">
            <w:pPr>
              <w:pStyle w:val="Tableau"/>
              <w:ind w:left="1"/>
              <w:jc w:val="left"/>
              <w:rPr>
                <w:sz w:val="22"/>
                <w:szCs w:val="22"/>
              </w:rPr>
            </w:pPr>
            <w:r w:rsidRPr="009E5034">
              <w:rPr>
                <w:sz w:val="22"/>
                <w:szCs w:val="22"/>
              </w:rPr>
              <w:t>Total</w:t>
            </w:r>
          </w:p>
        </w:tc>
        <w:tc>
          <w:tcPr>
            <w:tcW w:w="1458" w:type="dxa"/>
          </w:tcPr>
          <w:p w:rsidR="00F164EF" w:rsidRPr="009E5034" w:rsidRDefault="00F164EF" w:rsidP="009E5034">
            <w:pPr>
              <w:pStyle w:val="Tableau"/>
              <w:ind w:left="1"/>
              <w:jc w:val="left"/>
              <w:rPr>
                <w:sz w:val="22"/>
                <w:szCs w:val="22"/>
              </w:rPr>
            </w:pPr>
            <w:r w:rsidRPr="009E5034">
              <w:rPr>
                <w:sz w:val="22"/>
                <w:szCs w:val="22"/>
              </w:rPr>
              <w:t xml:space="preserve">13 628 </w:t>
            </w:r>
          </w:p>
        </w:tc>
        <w:tc>
          <w:tcPr>
            <w:tcW w:w="1476" w:type="dxa"/>
          </w:tcPr>
          <w:p w:rsidR="00F164EF" w:rsidRPr="009E5034" w:rsidRDefault="00F164EF" w:rsidP="009E5034">
            <w:pPr>
              <w:pStyle w:val="Tableau"/>
              <w:ind w:left="1"/>
              <w:jc w:val="left"/>
              <w:rPr>
                <w:sz w:val="22"/>
                <w:szCs w:val="22"/>
              </w:rPr>
            </w:pPr>
            <w:r w:rsidRPr="009E5034">
              <w:rPr>
                <w:sz w:val="22"/>
                <w:szCs w:val="22"/>
              </w:rPr>
              <w:t>1 016 165</w:t>
            </w:r>
          </w:p>
        </w:tc>
        <w:tc>
          <w:tcPr>
            <w:tcW w:w="990" w:type="dxa"/>
          </w:tcPr>
          <w:p w:rsidR="00F164EF" w:rsidRPr="009E5034" w:rsidRDefault="00F164EF" w:rsidP="009E5034">
            <w:pPr>
              <w:pStyle w:val="Tableau"/>
              <w:ind w:left="1"/>
              <w:jc w:val="left"/>
              <w:rPr>
                <w:sz w:val="22"/>
                <w:szCs w:val="22"/>
              </w:rPr>
            </w:pPr>
            <w:r w:rsidRPr="009E5034">
              <w:rPr>
                <w:sz w:val="22"/>
                <w:szCs w:val="22"/>
              </w:rPr>
              <w:t>75</w:t>
            </w:r>
          </w:p>
        </w:tc>
        <w:tc>
          <w:tcPr>
            <w:tcW w:w="1477" w:type="dxa"/>
          </w:tcPr>
          <w:p w:rsidR="00F164EF" w:rsidRPr="009E5034" w:rsidRDefault="00F164EF" w:rsidP="009E5034">
            <w:pPr>
              <w:pStyle w:val="Tableau"/>
              <w:ind w:left="1"/>
              <w:jc w:val="left"/>
              <w:rPr>
                <w:sz w:val="22"/>
                <w:szCs w:val="22"/>
              </w:rPr>
            </w:pPr>
            <w:r w:rsidRPr="009E5034">
              <w:rPr>
                <w:sz w:val="22"/>
                <w:szCs w:val="22"/>
              </w:rPr>
              <w:t>36 286</w:t>
            </w:r>
          </w:p>
        </w:tc>
        <w:tc>
          <w:tcPr>
            <w:tcW w:w="1541" w:type="dxa"/>
          </w:tcPr>
          <w:p w:rsidR="00F164EF" w:rsidRPr="009E5034" w:rsidRDefault="00F164EF" w:rsidP="009E5034">
            <w:pPr>
              <w:pStyle w:val="Tableau"/>
              <w:ind w:left="1"/>
              <w:jc w:val="left"/>
              <w:rPr>
                <w:sz w:val="22"/>
                <w:szCs w:val="22"/>
              </w:rPr>
            </w:pPr>
            <w:r w:rsidRPr="009E5034">
              <w:rPr>
                <w:sz w:val="22"/>
                <w:szCs w:val="22"/>
              </w:rPr>
              <w:t>3.6%</w:t>
            </w:r>
          </w:p>
        </w:tc>
      </w:tr>
    </w:tbl>
    <w:p w:rsidR="00F164EF" w:rsidRPr="009E5034" w:rsidRDefault="00F164EF" w:rsidP="009E5034">
      <w:pPr>
        <w:spacing w:before="120" w:after="120"/>
        <w:ind w:left="0"/>
        <w:jc w:val="left"/>
        <w:rPr>
          <w:sz w:val="22"/>
          <w:szCs w:val="22"/>
        </w:rPr>
      </w:pPr>
      <w:r w:rsidRPr="009E5034">
        <w:rPr>
          <w:sz w:val="22"/>
          <w:szCs w:val="22"/>
        </w:rPr>
        <w:t xml:space="preserve">Il en résulte un taux de couverture par le réseau d’égout de 3,6% en 1998. Ce taux a baissé en 2008, il n’est que de 2,3% et ce, compte tenu de l’évolution du nombre d’habitant contre le non aménagement de nouveaux ouvrages de collecte. Selon la DNACPN, le réseau d’évacuation des eaux usées enterré demeure rudimentaire, sa longueur n’est que de </w:t>
      </w:r>
      <w:smartTag w:uri="urn:schemas-microsoft-com:office:smarttags" w:element="metricconverter">
        <w:smartTagPr>
          <w:attr w:name="ProductID" w:val="27 km"/>
        </w:smartTagPr>
        <w:r w:rsidRPr="009E5034">
          <w:rPr>
            <w:sz w:val="22"/>
            <w:szCs w:val="22"/>
          </w:rPr>
          <w:t>27 km</w:t>
        </w:r>
      </w:smartTag>
      <w:r w:rsidRPr="009E5034">
        <w:rPr>
          <w:sz w:val="22"/>
          <w:szCs w:val="22"/>
        </w:rPr>
        <w:t xml:space="preserve"> et ne l’objet d’aucun entretien.</w:t>
      </w:r>
    </w:p>
    <w:p w:rsidR="00F164EF" w:rsidRPr="009E5034" w:rsidRDefault="00F164EF" w:rsidP="009E5034">
      <w:pPr>
        <w:spacing w:before="120" w:after="120"/>
        <w:ind w:left="0"/>
        <w:jc w:val="left"/>
        <w:rPr>
          <w:sz w:val="22"/>
          <w:szCs w:val="22"/>
        </w:rPr>
      </w:pPr>
      <w:r w:rsidRPr="009E5034">
        <w:rPr>
          <w:sz w:val="22"/>
          <w:szCs w:val="22"/>
        </w:rPr>
        <w:t xml:space="preserve">L’enquête réalisée dans le cadre du schéma d’assainissement de la ville de Bamako a révélé que plus de 60% de la population jettent ses eaux usées grises à l’extérieur de leurs concessions directement dans la rue ou dans les caniveaux destinés aux eaux pluviales. </w:t>
      </w:r>
    </w:p>
    <w:p w:rsidR="00F164EF" w:rsidRPr="009E5034" w:rsidRDefault="00F164EF" w:rsidP="009E5034">
      <w:pPr>
        <w:spacing w:after="240"/>
        <w:ind w:left="0"/>
        <w:jc w:val="left"/>
        <w:rPr>
          <w:rStyle w:val="Strong"/>
          <w:rFonts w:eastAsia="MS Mincho"/>
          <w:sz w:val="22"/>
          <w:szCs w:val="22"/>
        </w:rPr>
      </w:pPr>
      <w:bookmarkStart w:id="77" w:name="_Toc253578440"/>
      <w:bookmarkStart w:id="78" w:name="_Toc261170214"/>
      <w:r w:rsidRPr="009E5034">
        <w:rPr>
          <w:rStyle w:val="Strong"/>
          <w:rFonts w:eastAsia="MS Mincho"/>
          <w:sz w:val="22"/>
          <w:szCs w:val="22"/>
        </w:rPr>
        <w:t>5.2. Gestion des déchets solides</w:t>
      </w:r>
      <w:bookmarkEnd w:id="77"/>
      <w:bookmarkEnd w:id="78"/>
    </w:p>
    <w:p w:rsidR="00F164EF" w:rsidRPr="009E5034" w:rsidRDefault="00F164EF" w:rsidP="009E5034">
      <w:pPr>
        <w:tabs>
          <w:tab w:val="left" w:pos="1612"/>
          <w:tab w:val="left" w:pos="9288"/>
        </w:tabs>
        <w:spacing w:before="120"/>
        <w:ind w:left="0"/>
        <w:jc w:val="left"/>
        <w:rPr>
          <w:sz w:val="22"/>
          <w:szCs w:val="22"/>
        </w:rPr>
      </w:pPr>
      <w:r w:rsidRPr="009E5034">
        <w:rPr>
          <w:sz w:val="22"/>
          <w:szCs w:val="22"/>
        </w:rPr>
        <w:t>La Mairie du District de Bamako est actuellement impliquée dans la filière de gestion des déchets de différentes façons, à travers :</w:t>
      </w:r>
    </w:p>
    <w:p w:rsidR="00F164EF" w:rsidRPr="009E5034" w:rsidRDefault="00F164EF" w:rsidP="009E5034">
      <w:pPr>
        <w:widowControl w:val="0"/>
        <w:numPr>
          <w:ilvl w:val="0"/>
          <w:numId w:val="10"/>
        </w:numPr>
        <w:tabs>
          <w:tab w:val="clear" w:pos="1106"/>
        </w:tabs>
        <w:autoSpaceDE/>
        <w:autoSpaceDN/>
        <w:adjustRightInd/>
        <w:spacing w:before="120"/>
        <w:ind w:left="1095"/>
        <w:jc w:val="left"/>
        <w:rPr>
          <w:sz w:val="22"/>
          <w:szCs w:val="22"/>
        </w:rPr>
      </w:pPr>
      <w:r w:rsidRPr="009E5034">
        <w:rPr>
          <w:sz w:val="22"/>
          <w:szCs w:val="22"/>
        </w:rPr>
        <w:t xml:space="preserve">la </w:t>
      </w:r>
      <w:r w:rsidRPr="009E5034">
        <w:rPr>
          <w:i/>
          <w:iCs/>
          <w:sz w:val="22"/>
          <w:szCs w:val="22"/>
        </w:rPr>
        <w:t>Direction des Services Urbains de Voirie et d'Assainissement (</w:t>
      </w:r>
      <w:r w:rsidRPr="009E5034">
        <w:rPr>
          <w:b/>
          <w:bCs/>
          <w:i/>
          <w:iCs/>
          <w:sz w:val="22"/>
          <w:szCs w:val="22"/>
        </w:rPr>
        <w:t>DSUVA</w:t>
      </w:r>
      <w:r w:rsidRPr="009E5034">
        <w:rPr>
          <w:i/>
          <w:iCs/>
          <w:sz w:val="22"/>
          <w:szCs w:val="22"/>
        </w:rPr>
        <w:t>)</w:t>
      </w:r>
      <w:r w:rsidRPr="009E5034">
        <w:rPr>
          <w:sz w:val="22"/>
          <w:szCs w:val="22"/>
        </w:rPr>
        <w:t xml:space="preserve"> qui est chargée d’évacuer les déchets des dépôts même si elle n’a pas vraiment les moyens d’assumer cette responsabilité;</w:t>
      </w:r>
    </w:p>
    <w:p w:rsidR="00F164EF" w:rsidRPr="009E5034" w:rsidRDefault="00F164EF" w:rsidP="009E5034">
      <w:pPr>
        <w:widowControl w:val="0"/>
        <w:numPr>
          <w:ilvl w:val="0"/>
          <w:numId w:val="10"/>
        </w:numPr>
        <w:tabs>
          <w:tab w:val="clear" w:pos="1106"/>
        </w:tabs>
        <w:autoSpaceDE/>
        <w:autoSpaceDN/>
        <w:adjustRightInd/>
        <w:spacing w:before="120"/>
        <w:ind w:left="1095"/>
        <w:jc w:val="left"/>
        <w:rPr>
          <w:sz w:val="22"/>
          <w:szCs w:val="22"/>
        </w:rPr>
      </w:pPr>
      <w:r w:rsidRPr="009E5034">
        <w:rPr>
          <w:sz w:val="22"/>
          <w:szCs w:val="22"/>
        </w:rPr>
        <w:t xml:space="preserve">la </w:t>
      </w:r>
      <w:r w:rsidRPr="009E5034">
        <w:rPr>
          <w:i/>
          <w:iCs/>
          <w:sz w:val="22"/>
          <w:szCs w:val="22"/>
        </w:rPr>
        <w:t>Cellule Technique d’Appui aux Communes du District de Bamako (</w:t>
      </w:r>
      <w:r w:rsidRPr="009E5034">
        <w:rPr>
          <w:b/>
          <w:bCs/>
          <w:i/>
          <w:iCs/>
          <w:sz w:val="22"/>
          <w:szCs w:val="22"/>
        </w:rPr>
        <w:t>CTAC</w:t>
      </w:r>
      <w:r w:rsidRPr="009E5034">
        <w:rPr>
          <w:i/>
          <w:iCs/>
          <w:sz w:val="22"/>
          <w:szCs w:val="22"/>
        </w:rPr>
        <w:t>)</w:t>
      </w:r>
      <w:r w:rsidRPr="009E5034">
        <w:rPr>
          <w:sz w:val="22"/>
          <w:szCs w:val="22"/>
        </w:rPr>
        <w:t xml:space="preserve"> qui agit à titre de maître d’œuvre pour plusieurs contrats accordés par </w:t>
      </w:r>
      <w:r w:rsidRPr="009E5034">
        <w:rPr>
          <w:i/>
          <w:iCs/>
          <w:sz w:val="22"/>
          <w:szCs w:val="22"/>
        </w:rPr>
        <w:t>l’Agence d’Exécution des Travaux d’Intérêt Public pour l’Emploi (</w:t>
      </w:r>
      <w:r w:rsidRPr="009E5034">
        <w:rPr>
          <w:b/>
          <w:bCs/>
          <w:i/>
          <w:iCs/>
          <w:sz w:val="22"/>
          <w:szCs w:val="22"/>
        </w:rPr>
        <w:t>AGETIPE-MALI</w:t>
      </w:r>
      <w:r w:rsidRPr="009E5034">
        <w:rPr>
          <w:i/>
          <w:iCs/>
          <w:sz w:val="22"/>
          <w:szCs w:val="22"/>
        </w:rPr>
        <w:t>)</w:t>
      </w:r>
      <w:r w:rsidRPr="009E5034">
        <w:rPr>
          <w:sz w:val="22"/>
          <w:szCs w:val="22"/>
        </w:rPr>
        <w:t xml:space="preserve"> dans le domaine de la gestion des déchets ;</w:t>
      </w:r>
    </w:p>
    <w:p w:rsidR="00F164EF" w:rsidRPr="009E5034" w:rsidRDefault="00F164EF" w:rsidP="009E5034">
      <w:pPr>
        <w:widowControl w:val="0"/>
        <w:numPr>
          <w:ilvl w:val="0"/>
          <w:numId w:val="10"/>
        </w:numPr>
        <w:tabs>
          <w:tab w:val="clear" w:pos="1106"/>
        </w:tabs>
        <w:autoSpaceDE/>
        <w:autoSpaceDN/>
        <w:adjustRightInd/>
        <w:spacing w:before="120"/>
        <w:ind w:left="1095"/>
        <w:jc w:val="left"/>
        <w:rPr>
          <w:sz w:val="22"/>
          <w:szCs w:val="22"/>
        </w:rPr>
      </w:pPr>
      <w:r w:rsidRPr="009E5034">
        <w:rPr>
          <w:sz w:val="22"/>
          <w:szCs w:val="22"/>
        </w:rPr>
        <w:t xml:space="preserve">la </w:t>
      </w:r>
      <w:r w:rsidRPr="009E5034">
        <w:rPr>
          <w:i/>
          <w:iCs/>
          <w:sz w:val="22"/>
          <w:szCs w:val="22"/>
        </w:rPr>
        <w:t>Brigade Urbaine de Protection de l’Environnement (</w:t>
      </w:r>
      <w:r w:rsidRPr="009E5034">
        <w:rPr>
          <w:b/>
          <w:bCs/>
          <w:i/>
          <w:iCs/>
          <w:sz w:val="22"/>
          <w:szCs w:val="22"/>
        </w:rPr>
        <w:t>BUPE</w:t>
      </w:r>
      <w:r w:rsidRPr="009E5034">
        <w:rPr>
          <w:i/>
          <w:iCs/>
          <w:sz w:val="22"/>
          <w:szCs w:val="22"/>
        </w:rPr>
        <w:t>)</w:t>
      </w:r>
      <w:r w:rsidRPr="009E5034">
        <w:rPr>
          <w:sz w:val="22"/>
          <w:szCs w:val="22"/>
        </w:rPr>
        <w:t xml:space="preserve"> qui, avec très peu de ressources à l’heure actuelle, intervient dans différents domaines liés à la protection de l’environnement. Basée dans chacune des six (6) Communes du District, elle surveille l’application de différents règlements tout en ayant un rôle de sensibilisation et d'information des citoyens sur ce qu'ils doivent faire pour respecter les règlements et ainsi protéger l'environnement.</w:t>
      </w:r>
    </w:p>
    <w:p w:rsidR="00F164EF" w:rsidRPr="009E5034" w:rsidRDefault="00031088" w:rsidP="009E5034">
      <w:pPr>
        <w:spacing w:after="240"/>
        <w:ind w:left="0"/>
        <w:jc w:val="left"/>
        <w:rPr>
          <w:rStyle w:val="Strong"/>
          <w:rFonts w:eastAsia="MS Mincho"/>
          <w:sz w:val="22"/>
          <w:szCs w:val="22"/>
        </w:rPr>
      </w:pPr>
      <w:r>
        <w:rPr>
          <w:rStyle w:val="Strong"/>
          <w:rFonts w:eastAsia="MS Mincho"/>
          <w:sz w:val="22"/>
          <w:szCs w:val="22"/>
        </w:rPr>
        <w:t xml:space="preserve">5.2.1 </w:t>
      </w:r>
      <w:r w:rsidR="00F164EF" w:rsidRPr="009E5034">
        <w:rPr>
          <w:rStyle w:val="Strong"/>
          <w:rFonts w:eastAsia="MS Mincho"/>
          <w:sz w:val="22"/>
          <w:szCs w:val="22"/>
        </w:rPr>
        <w:t>Déchets ménagers</w:t>
      </w:r>
    </w:p>
    <w:p w:rsidR="00F164EF" w:rsidRPr="009E5034" w:rsidRDefault="00F164EF" w:rsidP="009E5034">
      <w:pPr>
        <w:spacing w:before="120" w:after="120"/>
        <w:ind w:left="0"/>
        <w:jc w:val="left"/>
        <w:rPr>
          <w:sz w:val="22"/>
          <w:szCs w:val="22"/>
        </w:rPr>
      </w:pPr>
      <w:r w:rsidRPr="009E5034">
        <w:rPr>
          <w:sz w:val="22"/>
          <w:szCs w:val="22"/>
        </w:rPr>
        <w:t>D’après les données recueillies auprès du District de Bamako, la ville de Bamako produit en 2009 environ 2500 m</w:t>
      </w:r>
      <w:r w:rsidRPr="009E5034">
        <w:rPr>
          <w:sz w:val="22"/>
          <w:szCs w:val="22"/>
          <w:vertAlign w:val="superscript"/>
        </w:rPr>
        <w:t>3</w:t>
      </w:r>
      <w:r w:rsidRPr="009E5034">
        <w:rPr>
          <w:sz w:val="22"/>
          <w:szCs w:val="22"/>
        </w:rPr>
        <w:t xml:space="preserve"> par jour de déchets ménagers. La quantité qui serait évacuée n’est que de l’ordre de 1500 m</w:t>
      </w:r>
      <w:r w:rsidRPr="009E5034">
        <w:rPr>
          <w:sz w:val="22"/>
          <w:szCs w:val="22"/>
          <w:vertAlign w:val="superscript"/>
        </w:rPr>
        <w:t>3</w:t>
      </w:r>
      <w:r w:rsidRPr="009E5034">
        <w:rPr>
          <w:sz w:val="22"/>
          <w:szCs w:val="22"/>
        </w:rPr>
        <w:t>/j ce qui représente environ 60% de la quantité produite.</w:t>
      </w:r>
    </w:p>
    <w:p w:rsidR="00F164EF" w:rsidRPr="009E5034" w:rsidRDefault="00F164EF" w:rsidP="009E5034">
      <w:pPr>
        <w:spacing w:before="120" w:after="120"/>
        <w:ind w:left="0"/>
        <w:jc w:val="left"/>
        <w:rPr>
          <w:sz w:val="22"/>
          <w:szCs w:val="22"/>
        </w:rPr>
      </w:pPr>
      <w:r w:rsidRPr="009E5034">
        <w:rPr>
          <w:sz w:val="22"/>
          <w:szCs w:val="22"/>
        </w:rPr>
        <w:t xml:space="preserve">On dénombre à Bamako un très grand nombre de dépotoirs anarchiques (le Rapport sur l’état de l’environnement au Mali élaboré en </w:t>
      </w:r>
      <w:smartTag w:uri="urn:schemas-microsoft-com:office:smarttags" w:element="metricconverter">
        <w:smartTagPr>
          <w:attr w:name="ProductID" w:val="2005 a"/>
        </w:smartTagPr>
        <w:r w:rsidRPr="009E5034">
          <w:rPr>
            <w:sz w:val="22"/>
            <w:szCs w:val="22"/>
          </w:rPr>
          <w:t>2005 a</w:t>
        </w:r>
      </w:smartTag>
      <w:r w:rsidRPr="009E5034">
        <w:rPr>
          <w:sz w:val="22"/>
          <w:szCs w:val="22"/>
        </w:rPr>
        <w:t xml:space="preserve"> estimé l’existence de 300 dépotoirs anarchiques).</w:t>
      </w:r>
    </w:p>
    <w:p w:rsidR="00F164EF" w:rsidRPr="009E5034" w:rsidRDefault="00F164EF" w:rsidP="009E5034">
      <w:pPr>
        <w:spacing w:before="120" w:after="120"/>
        <w:ind w:left="0"/>
        <w:jc w:val="left"/>
        <w:rPr>
          <w:sz w:val="22"/>
          <w:szCs w:val="22"/>
        </w:rPr>
      </w:pPr>
      <w:r w:rsidRPr="009E5034">
        <w:rPr>
          <w:sz w:val="22"/>
          <w:szCs w:val="22"/>
        </w:rPr>
        <w:t>Environ 50% des ménages de Bamako ont recours aux GIE pour assurer des actions limitées de curage et de ramassage des ordures. On dénombre 112 GIE à Bamako pour la collecte des déchets ménagers. Par ailleurs, le District de Bamako fait recours aux services de 100 GIE pour le nettoyage des rues et le curage des caniveaux. Les moyens humains du District sont d’environ 320 personnes toutes catégories confondues. Ils se répartissent entre la DSUVA (280) et la CTAC (30 agents). Les moyens matériels de la DSUVA se composent de:</w:t>
      </w:r>
    </w:p>
    <w:p w:rsidR="00F164EF" w:rsidRPr="009E5034" w:rsidRDefault="00F164EF" w:rsidP="009E5034">
      <w:pPr>
        <w:pStyle w:val="BodyText"/>
        <w:ind w:left="720"/>
        <w:rPr>
          <w:sz w:val="22"/>
          <w:szCs w:val="22"/>
        </w:rPr>
      </w:pPr>
      <w:r w:rsidRPr="009E5034">
        <w:rPr>
          <w:sz w:val="22"/>
          <w:szCs w:val="22"/>
        </w:rPr>
        <w:t>20 bennes tasseuses en bon état</w:t>
      </w:r>
    </w:p>
    <w:p w:rsidR="00F164EF" w:rsidRPr="009E5034" w:rsidRDefault="00F164EF" w:rsidP="009E5034">
      <w:pPr>
        <w:pStyle w:val="BodyText"/>
        <w:ind w:left="720"/>
        <w:rPr>
          <w:sz w:val="22"/>
          <w:szCs w:val="22"/>
        </w:rPr>
      </w:pPr>
      <w:r w:rsidRPr="009E5034">
        <w:rPr>
          <w:sz w:val="22"/>
          <w:szCs w:val="22"/>
        </w:rPr>
        <w:t>camions multibennes en bon état;</w:t>
      </w:r>
    </w:p>
    <w:p w:rsidR="00F164EF" w:rsidRPr="009E5034" w:rsidRDefault="00F164EF" w:rsidP="009E5034">
      <w:pPr>
        <w:pStyle w:val="BodyText"/>
        <w:ind w:left="720"/>
        <w:rPr>
          <w:sz w:val="22"/>
          <w:szCs w:val="22"/>
        </w:rPr>
      </w:pPr>
      <w:r w:rsidRPr="009E5034">
        <w:rPr>
          <w:sz w:val="22"/>
          <w:szCs w:val="22"/>
        </w:rPr>
        <w:t>3 camions remorques en bon état;</w:t>
      </w:r>
    </w:p>
    <w:p w:rsidR="00F164EF" w:rsidRPr="009E5034" w:rsidRDefault="00F164EF" w:rsidP="009E5034">
      <w:pPr>
        <w:pStyle w:val="BodyText"/>
        <w:ind w:left="720"/>
        <w:rPr>
          <w:sz w:val="22"/>
          <w:szCs w:val="22"/>
        </w:rPr>
      </w:pPr>
      <w:r w:rsidRPr="009E5034">
        <w:rPr>
          <w:sz w:val="22"/>
          <w:szCs w:val="22"/>
        </w:rPr>
        <w:t>3 pelles chargeuses en bon état;</w:t>
      </w:r>
    </w:p>
    <w:p w:rsidR="00F164EF" w:rsidRPr="009E5034" w:rsidRDefault="00F164EF" w:rsidP="009E5034">
      <w:pPr>
        <w:pStyle w:val="BodyText"/>
        <w:ind w:left="720"/>
        <w:rPr>
          <w:sz w:val="22"/>
          <w:szCs w:val="22"/>
        </w:rPr>
      </w:pPr>
      <w:r w:rsidRPr="009E5034">
        <w:rPr>
          <w:sz w:val="22"/>
          <w:szCs w:val="22"/>
        </w:rPr>
        <w:t>1 camion benne de 7 m3 en bon état;</w:t>
      </w:r>
    </w:p>
    <w:p w:rsidR="00F164EF" w:rsidRPr="009E5034" w:rsidRDefault="00F164EF" w:rsidP="009E5034">
      <w:pPr>
        <w:pStyle w:val="BodyText"/>
        <w:ind w:left="720"/>
        <w:rPr>
          <w:sz w:val="22"/>
          <w:szCs w:val="22"/>
        </w:rPr>
      </w:pPr>
      <w:r w:rsidRPr="009E5034">
        <w:rPr>
          <w:sz w:val="22"/>
          <w:szCs w:val="22"/>
        </w:rPr>
        <w:t>2 tricycles</w:t>
      </w:r>
    </w:p>
    <w:p w:rsidR="00F164EF" w:rsidRPr="009E5034" w:rsidRDefault="00F164EF" w:rsidP="009E5034">
      <w:pPr>
        <w:pStyle w:val="BodyText"/>
        <w:ind w:left="720"/>
        <w:rPr>
          <w:sz w:val="22"/>
          <w:szCs w:val="22"/>
        </w:rPr>
      </w:pPr>
      <w:r w:rsidRPr="009E5034">
        <w:rPr>
          <w:sz w:val="22"/>
          <w:szCs w:val="22"/>
        </w:rPr>
        <w:t>70 caissons de 7 m3</w:t>
      </w:r>
    </w:p>
    <w:p w:rsidR="00F164EF" w:rsidRPr="009E5034" w:rsidRDefault="00F164EF" w:rsidP="009E5034">
      <w:pPr>
        <w:pStyle w:val="BodyText"/>
        <w:ind w:left="720"/>
        <w:rPr>
          <w:sz w:val="22"/>
          <w:szCs w:val="22"/>
        </w:rPr>
      </w:pPr>
      <w:r w:rsidRPr="009E5034">
        <w:rPr>
          <w:sz w:val="22"/>
          <w:szCs w:val="22"/>
        </w:rPr>
        <w:t>1 camion spiros</w:t>
      </w:r>
    </w:p>
    <w:p w:rsidR="00F164EF" w:rsidRPr="009E5034" w:rsidRDefault="00F164EF" w:rsidP="009E5034">
      <w:pPr>
        <w:pStyle w:val="BodyText"/>
        <w:ind w:left="720"/>
        <w:rPr>
          <w:sz w:val="22"/>
          <w:szCs w:val="22"/>
        </w:rPr>
      </w:pPr>
      <w:r w:rsidRPr="009E5034">
        <w:rPr>
          <w:sz w:val="22"/>
          <w:szCs w:val="22"/>
        </w:rPr>
        <w:t>2 citernes d’eau</w:t>
      </w:r>
    </w:p>
    <w:p w:rsidR="00F164EF" w:rsidRPr="009E5034" w:rsidRDefault="00F164EF" w:rsidP="009E5034">
      <w:pPr>
        <w:pStyle w:val="BodyText"/>
        <w:ind w:left="720"/>
        <w:rPr>
          <w:sz w:val="22"/>
          <w:szCs w:val="22"/>
        </w:rPr>
      </w:pPr>
      <w:r w:rsidRPr="009E5034">
        <w:rPr>
          <w:sz w:val="22"/>
          <w:szCs w:val="22"/>
        </w:rPr>
        <w:t>1 camion nacelle</w:t>
      </w:r>
    </w:p>
    <w:p w:rsidR="00F164EF" w:rsidRPr="009E5034" w:rsidRDefault="00F164EF" w:rsidP="009E5034">
      <w:pPr>
        <w:pStyle w:val="BodyText"/>
        <w:ind w:left="720"/>
        <w:rPr>
          <w:sz w:val="22"/>
          <w:szCs w:val="22"/>
        </w:rPr>
      </w:pPr>
      <w:r w:rsidRPr="009E5034">
        <w:rPr>
          <w:sz w:val="22"/>
          <w:szCs w:val="22"/>
        </w:rPr>
        <w:t>1 bulldozer en bon état</w:t>
      </w:r>
    </w:p>
    <w:p w:rsidR="00F164EF" w:rsidRPr="009E5034" w:rsidRDefault="00F164EF" w:rsidP="009E5034">
      <w:pPr>
        <w:spacing w:before="120" w:after="120"/>
        <w:ind w:left="0"/>
        <w:jc w:val="left"/>
        <w:rPr>
          <w:sz w:val="22"/>
          <w:szCs w:val="22"/>
        </w:rPr>
      </w:pPr>
      <w:r w:rsidRPr="009E5034">
        <w:rPr>
          <w:sz w:val="22"/>
          <w:szCs w:val="22"/>
        </w:rPr>
        <w:t>Les Mairies des Communes sont responsables de l’activité des entreprises privées de pré-collecte de déchets sur leur territoire respectif par l'émission d'une autorisation formelle, spécifiant le ou les quartiers desservis par l’Entreprise bénéficiaire. Elles doivent veiller à ce qu’il n’y ait pas de dédoublement, c’est-à-dire à éviter que deux Entreprises effectuent la pré-collecte auprès de la même clientèle.</w:t>
      </w:r>
    </w:p>
    <w:p w:rsidR="00F164EF" w:rsidRPr="009E5034" w:rsidRDefault="00F164EF" w:rsidP="009E5034">
      <w:pPr>
        <w:spacing w:before="120" w:after="120"/>
        <w:ind w:left="0"/>
        <w:jc w:val="left"/>
        <w:rPr>
          <w:sz w:val="22"/>
          <w:szCs w:val="22"/>
        </w:rPr>
      </w:pPr>
      <w:r w:rsidRPr="009E5034">
        <w:rPr>
          <w:sz w:val="22"/>
          <w:szCs w:val="22"/>
        </w:rPr>
        <w:t>Indépendamment du fait que l’attribution des autorisations pour effectuer la pré-collecte peut souffrir de laxisme administratif, une fois lesdites autorisations émises, aucun suivi n’est effectué pour évaluer si le service est effectivement offert sur le territoire visé. La qualité du service n’est pas non plus une préoccupation des autorités municipales. Aucune structure n’est en place pour l’évaluer : on applique une politique de «laisser-faire».</w:t>
      </w:r>
    </w:p>
    <w:p w:rsidR="00F164EF" w:rsidRPr="009E5034" w:rsidRDefault="00F164EF" w:rsidP="009E5034">
      <w:pPr>
        <w:spacing w:before="120" w:after="120"/>
        <w:ind w:left="0"/>
        <w:jc w:val="left"/>
        <w:rPr>
          <w:sz w:val="22"/>
          <w:szCs w:val="22"/>
        </w:rPr>
      </w:pPr>
      <w:r w:rsidRPr="009E5034">
        <w:rPr>
          <w:sz w:val="22"/>
          <w:szCs w:val="22"/>
        </w:rPr>
        <w:t>Les Mairies des Communes sont aussi chargées d’identifier où les déchets collectés doivent être accumulés jusqu’à ce qu’ils soient évacués par la DSUVA. Ces lieux de transit sont considérés comme des dépôts légaux où les Entreprises de pré-collecte peuvent déverser les déchets. Les Mairies des Communes sont supposées réserver des terrains à cet effet, mais elles répondent plutôt aux demandes à mesure qu’elles se manifestent et que la situation devient plutôt problématique.</w:t>
      </w:r>
    </w:p>
    <w:p w:rsidR="00F164EF" w:rsidRPr="009E5034" w:rsidRDefault="00F164EF" w:rsidP="009E5034">
      <w:pPr>
        <w:spacing w:after="240"/>
        <w:ind w:left="0"/>
        <w:jc w:val="left"/>
        <w:rPr>
          <w:rStyle w:val="Strong"/>
          <w:rFonts w:eastAsia="MS Mincho"/>
          <w:sz w:val="22"/>
          <w:szCs w:val="22"/>
        </w:rPr>
      </w:pPr>
      <w:bookmarkStart w:id="79" w:name="_Toc253578441"/>
      <w:bookmarkStart w:id="80" w:name="_Toc261170215"/>
      <w:r w:rsidRPr="009E5034">
        <w:rPr>
          <w:rStyle w:val="Strong"/>
          <w:rFonts w:eastAsia="MS Mincho"/>
          <w:sz w:val="22"/>
          <w:szCs w:val="22"/>
        </w:rPr>
        <w:t>5.3. Gestion des eaux pluviales et contrôles des inondations</w:t>
      </w:r>
      <w:bookmarkEnd w:id="79"/>
      <w:bookmarkEnd w:id="80"/>
    </w:p>
    <w:p w:rsidR="00F164EF" w:rsidRPr="009E5034" w:rsidRDefault="00F164EF" w:rsidP="009E5034">
      <w:pPr>
        <w:spacing w:before="120" w:after="120"/>
        <w:ind w:left="0"/>
        <w:jc w:val="left"/>
        <w:rPr>
          <w:sz w:val="22"/>
          <w:szCs w:val="22"/>
        </w:rPr>
      </w:pPr>
      <w:r w:rsidRPr="009E5034">
        <w:rPr>
          <w:sz w:val="22"/>
          <w:szCs w:val="22"/>
        </w:rPr>
        <w:t>La collecte et la gestion des eaux pluviales dans le district de Bamako sont assurées par un réseau de caniveaux et de cours d’eau  naturels: les marigots.</w:t>
      </w:r>
    </w:p>
    <w:p w:rsidR="00F164EF" w:rsidRPr="009E5034" w:rsidRDefault="00F164EF" w:rsidP="009E5034">
      <w:pPr>
        <w:spacing w:before="120" w:after="120"/>
        <w:ind w:left="0"/>
        <w:jc w:val="left"/>
        <w:rPr>
          <w:sz w:val="22"/>
          <w:szCs w:val="22"/>
        </w:rPr>
      </w:pPr>
      <w:r w:rsidRPr="009E5034">
        <w:rPr>
          <w:sz w:val="22"/>
          <w:szCs w:val="22"/>
        </w:rPr>
        <w:t xml:space="preserve">L’enquête sur terrain réalisée dans le cadre du schéma directeur d’assainissement de Bamako en </w:t>
      </w:r>
      <w:smartTag w:uri="urn:schemas-microsoft-com:office:smarttags" w:element="metricconverter">
        <w:smartTagPr>
          <w:attr w:name="ProductID" w:val="2007 a"/>
        </w:smartTagPr>
        <w:r w:rsidRPr="009E5034">
          <w:rPr>
            <w:sz w:val="22"/>
            <w:szCs w:val="22"/>
          </w:rPr>
          <w:t>2007 a</w:t>
        </w:r>
      </w:smartTag>
      <w:r w:rsidRPr="009E5034">
        <w:rPr>
          <w:sz w:val="22"/>
          <w:szCs w:val="22"/>
        </w:rPr>
        <w:t xml:space="preserve"> mis en évidence un linéaire total de réseau de drainage des eaux pluviales de l’ordre de </w:t>
      </w:r>
      <w:smartTag w:uri="urn:schemas-microsoft-com:office:smarttags" w:element="metricconverter">
        <w:smartTagPr>
          <w:attr w:name="ProductID" w:val="912 kilom￨tres"/>
        </w:smartTagPr>
        <w:r w:rsidRPr="009E5034">
          <w:rPr>
            <w:sz w:val="22"/>
            <w:szCs w:val="22"/>
          </w:rPr>
          <w:t>912 kilomètres</w:t>
        </w:r>
      </w:smartTag>
      <w:r w:rsidRPr="009E5034">
        <w:rPr>
          <w:sz w:val="22"/>
          <w:szCs w:val="22"/>
        </w:rPr>
        <w:t xml:space="preserve"> dont </w:t>
      </w:r>
      <w:smartTag w:uri="urn:schemas-microsoft-com:office:smarttags" w:element="metricconverter">
        <w:smartTagPr>
          <w:attr w:name="ProductID" w:val="778 kilom￨tres"/>
        </w:smartTagPr>
        <w:r w:rsidRPr="009E5034">
          <w:rPr>
            <w:sz w:val="22"/>
            <w:szCs w:val="22"/>
          </w:rPr>
          <w:t>778 kilomètres</w:t>
        </w:r>
      </w:smartTag>
      <w:r w:rsidRPr="009E5034">
        <w:rPr>
          <w:sz w:val="22"/>
          <w:szCs w:val="22"/>
        </w:rPr>
        <w:t xml:space="preserve"> de caniveaux et </w:t>
      </w:r>
      <w:smartTag w:uri="urn:schemas-microsoft-com:office:smarttags" w:element="metricconverter">
        <w:smartTagPr>
          <w:attr w:name="ProductID" w:val="134 kilom￨tres"/>
        </w:smartTagPr>
        <w:r w:rsidRPr="009E5034">
          <w:rPr>
            <w:sz w:val="22"/>
            <w:szCs w:val="22"/>
          </w:rPr>
          <w:t>134 kilomètres</w:t>
        </w:r>
      </w:smartTag>
      <w:r w:rsidRPr="009E5034">
        <w:rPr>
          <w:sz w:val="22"/>
          <w:szCs w:val="22"/>
        </w:rPr>
        <w:t xml:space="preserve"> de marigots.</w:t>
      </w:r>
    </w:p>
    <w:p w:rsidR="00F164EF" w:rsidRPr="009E5034" w:rsidRDefault="00F164EF" w:rsidP="009E5034">
      <w:pPr>
        <w:spacing w:before="120" w:after="120"/>
        <w:ind w:left="0"/>
        <w:jc w:val="left"/>
        <w:rPr>
          <w:sz w:val="22"/>
          <w:szCs w:val="22"/>
        </w:rPr>
      </w:pPr>
      <w:r w:rsidRPr="009E5034">
        <w:rPr>
          <w:sz w:val="22"/>
          <w:szCs w:val="22"/>
        </w:rPr>
        <w:t>Le tableau suivant illustre le niveau de couverture par les réseaux de caniveaux de la population de Bamako par commune.</w:t>
      </w:r>
    </w:p>
    <w:p w:rsidR="00F164EF" w:rsidRPr="009E5034" w:rsidRDefault="00F164EF" w:rsidP="009E5034">
      <w:pPr>
        <w:pStyle w:val="Caption"/>
        <w:ind w:left="899"/>
        <w:rPr>
          <w:rStyle w:val="Emphasis"/>
          <w:sz w:val="22"/>
          <w:szCs w:val="22"/>
        </w:rPr>
      </w:pPr>
      <w:bookmarkStart w:id="81" w:name="_Toc224709248"/>
      <w:r w:rsidRPr="009E5034">
        <w:rPr>
          <w:rStyle w:val="Emphasis"/>
          <w:sz w:val="22"/>
          <w:szCs w:val="22"/>
        </w:rPr>
        <w:t>Tableau A1.9: Population couverte par le réseau de caniveaux par communes.</w:t>
      </w:r>
      <w:bookmarkEnd w:id="8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78"/>
        <w:gridCol w:w="1458"/>
        <w:gridCol w:w="1476"/>
        <w:gridCol w:w="990"/>
        <w:gridCol w:w="1477"/>
        <w:gridCol w:w="1541"/>
      </w:tblGrid>
      <w:tr w:rsidR="00F164EF" w:rsidRPr="009E5034" w:rsidTr="00183B56">
        <w:tc>
          <w:tcPr>
            <w:tcW w:w="1778" w:type="dxa"/>
            <w:vMerge w:val="restart"/>
            <w:vAlign w:val="center"/>
          </w:tcPr>
          <w:p w:rsidR="00F164EF" w:rsidRPr="009E5034" w:rsidRDefault="00F164EF" w:rsidP="009E5034">
            <w:pPr>
              <w:pStyle w:val="Tableau"/>
              <w:ind w:left="1"/>
              <w:jc w:val="left"/>
              <w:rPr>
                <w:sz w:val="22"/>
                <w:szCs w:val="22"/>
              </w:rPr>
            </w:pPr>
            <w:r w:rsidRPr="009E5034">
              <w:rPr>
                <w:sz w:val="22"/>
                <w:szCs w:val="22"/>
              </w:rPr>
              <w:br w:type="page"/>
              <w:t>Communes</w:t>
            </w:r>
          </w:p>
        </w:tc>
        <w:tc>
          <w:tcPr>
            <w:tcW w:w="1458" w:type="dxa"/>
            <w:vMerge w:val="restart"/>
            <w:vAlign w:val="center"/>
          </w:tcPr>
          <w:p w:rsidR="00F164EF" w:rsidRPr="009E5034" w:rsidRDefault="00F164EF" w:rsidP="009E5034">
            <w:pPr>
              <w:pStyle w:val="Tableau"/>
              <w:ind w:left="1"/>
              <w:jc w:val="left"/>
              <w:rPr>
                <w:sz w:val="22"/>
                <w:szCs w:val="22"/>
              </w:rPr>
            </w:pPr>
            <w:r w:rsidRPr="009E5034">
              <w:rPr>
                <w:sz w:val="22"/>
                <w:szCs w:val="22"/>
              </w:rPr>
              <w:t>Surfaces</w:t>
            </w:r>
          </w:p>
        </w:tc>
        <w:tc>
          <w:tcPr>
            <w:tcW w:w="1476" w:type="dxa"/>
            <w:vMerge w:val="restart"/>
            <w:vAlign w:val="center"/>
          </w:tcPr>
          <w:p w:rsidR="00F164EF" w:rsidRPr="009E5034" w:rsidRDefault="00F164EF" w:rsidP="009E5034">
            <w:pPr>
              <w:pStyle w:val="Tableau"/>
              <w:ind w:left="1"/>
              <w:jc w:val="left"/>
              <w:rPr>
                <w:sz w:val="22"/>
                <w:szCs w:val="22"/>
              </w:rPr>
            </w:pPr>
            <w:r w:rsidRPr="009E5034">
              <w:rPr>
                <w:sz w:val="22"/>
                <w:szCs w:val="22"/>
              </w:rPr>
              <w:t>Population 98</w:t>
            </w:r>
          </w:p>
        </w:tc>
        <w:tc>
          <w:tcPr>
            <w:tcW w:w="990" w:type="dxa"/>
            <w:vMerge w:val="restart"/>
            <w:vAlign w:val="center"/>
          </w:tcPr>
          <w:p w:rsidR="00F164EF" w:rsidRPr="009E5034" w:rsidRDefault="00F164EF" w:rsidP="009E5034">
            <w:pPr>
              <w:pStyle w:val="Tableau"/>
              <w:ind w:left="1"/>
              <w:jc w:val="left"/>
              <w:rPr>
                <w:sz w:val="22"/>
                <w:szCs w:val="22"/>
              </w:rPr>
            </w:pPr>
            <w:r w:rsidRPr="009E5034">
              <w:rPr>
                <w:sz w:val="22"/>
                <w:szCs w:val="22"/>
              </w:rPr>
              <w:t>Densité hab. /ha</w:t>
            </w:r>
          </w:p>
        </w:tc>
        <w:tc>
          <w:tcPr>
            <w:tcW w:w="3018" w:type="dxa"/>
            <w:gridSpan w:val="2"/>
            <w:vAlign w:val="center"/>
          </w:tcPr>
          <w:p w:rsidR="00F164EF" w:rsidRPr="009E5034" w:rsidRDefault="00F164EF" w:rsidP="009E5034">
            <w:pPr>
              <w:pStyle w:val="Tableau"/>
              <w:ind w:left="1"/>
              <w:jc w:val="left"/>
              <w:rPr>
                <w:sz w:val="22"/>
                <w:szCs w:val="22"/>
              </w:rPr>
            </w:pPr>
            <w:r w:rsidRPr="009E5034">
              <w:rPr>
                <w:sz w:val="22"/>
                <w:szCs w:val="22"/>
              </w:rPr>
              <w:t>Population couverte par les réseaux de caniveaux</w:t>
            </w:r>
          </w:p>
        </w:tc>
      </w:tr>
      <w:tr w:rsidR="00F164EF" w:rsidRPr="009E5034" w:rsidTr="00183B56">
        <w:tc>
          <w:tcPr>
            <w:tcW w:w="1778" w:type="dxa"/>
            <w:vMerge/>
            <w:vAlign w:val="center"/>
          </w:tcPr>
          <w:p w:rsidR="00F164EF" w:rsidRPr="009E5034" w:rsidRDefault="00F164EF" w:rsidP="009E5034">
            <w:pPr>
              <w:pStyle w:val="Tableau"/>
              <w:ind w:left="1"/>
              <w:jc w:val="left"/>
              <w:rPr>
                <w:sz w:val="22"/>
                <w:szCs w:val="22"/>
              </w:rPr>
            </w:pPr>
          </w:p>
        </w:tc>
        <w:tc>
          <w:tcPr>
            <w:tcW w:w="1458" w:type="dxa"/>
            <w:vMerge/>
            <w:vAlign w:val="center"/>
          </w:tcPr>
          <w:p w:rsidR="00F164EF" w:rsidRPr="009E5034" w:rsidRDefault="00F164EF" w:rsidP="009E5034">
            <w:pPr>
              <w:pStyle w:val="Tableau"/>
              <w:ind w:left="1"/>
              <w:jc w:val="left"/>
              <w:rPr>
                <w:sz w:val="22"/>
                <w:szCs w:val="22"/>
              </w:rPr>
            </w:pPr>
          </w:p>
        </w:tc>
        <w:tc>
          <w:tcPr>
            <w:tcW w:w="1476" w:type="dxa"/>
            <w:vMerge/>
            <w:vAlign w:val="center"/>
          </w:tcPr>
          <w:p w:rsidR="00F164EF" w:rsidRPr="009E5034" w:rsidRDefault="00F164EF" w:rsidP="009E5034">
            <w:pPr>
              <w:pStyle w:val="Tableau"/>
              <w:ind w:left="1"/>
              <w:jc w:val="left"/>
              <w:rPr>
                <w:sz w:val="22"/>
                <w:szCs w:val="22"/>
              </w:rPr>
            </w:pPr>
          </w:p>
        </w:tc>
        <w:tc>
          <w:tcPr>
            <w:tcW w:w="990" w:type="dxa"/>
            <w:vMerge/>
            <w:vAlign w:val="center"/>
          </w:tcPr>
          <w:p w:rsidR="00F164EF" w:rsidRPr="009E5034" w:rsidRDefault="00F164EF" w:rsidP="009E5034">
            <w:pPr>
              <w:pStyle w:val="Tableau"/>
              <w:ind w:left="1"/>
              <w:jc w:val="left"/>
              <w:rPr>
                <w:sz w:val="22"/>
                <w:szCs w:val="22"/>
              </w:rPr>
            </w:pPr>
          </w:p>
        </w:tc>
        <w:tc>
          <w:tcPr>
            <w:tcW w:w="1477" w:type="dxa"/>
            <w:vAlign w:val="center"/>
          </w:tcPr>
          <w:p w:rsidR="00F164EF" w:rsidRPr="009E5034" w:rsidRDefault="00F164EF" w:rsidP="009E5034">
            <w:pPr>
              <w:pStyle w:val="Tableau"/>
              <w:ind w:left="1"/>
              <w:jc w:val="left"/>
              <w:rPr>
                <w:sz w:val="22"/>
                <w:szCs w:val="22"/>
              </w:rPr>
            </w:pPr>
            <w:r w:rsidRPr="009E5034">
              <w:rPr>
                <w:sz w:val="22"/>
                <w:szCs w:val="22"/>
              </w:rPr>
              <w:t>Population</w:t>
            </w:r>
          </w:p>
        </w:tc>
        <w:tc>
          <w:tcPr>
            <w:tcW w:w="1541" w:type="dxa"/>
            <w:vAlign w:val="center"/>
          </w:tcPr>
          <w:p w:rsidR="00F164EF" w:rsidRPr="009E5034" w:rsidRDefault="00F164EF" w:rsidP="009E5034">
            <w:pPr>
              <w:pStyle w:val="Tableau"/>
              <w:ind w:left="1"/>
              <w:jc w:val="left"/>
              <w:rPr>
                <w:sz w:val="22"/>
                <w:szCs w:val="22"/>
              </w:rPr>
            </w:pPr>
            <w:r w:rsidRPr="009E5034">
              <w:rPr>
                <w:sz w:val="22"/>
                <w:szCs w:val="22"/>
              </w:rPr>
              <w:t>Pourcentage</w:t>
            </w:r>
          </w:p>
        </w:tc>
      </w:tr>
      <w:tr w:rsidR="00F164EF" w:rsidRPr="009E5034" w:rsidTr="00183B56">
        <w:tc>
          <w:tcPr>
            <w:tcW w:w="1778" w:type="dxa"/>
          </w:tcPr>
          <w:p w:rsidR="00F164EF" w:rsidRPr="009E5034" w:rsidRDefault="00F164EF" w:rsidP="009E5034">
            <w:pPr>
              <w:pStyle w:val="Tableau"/>
              <w:ind w:left="1"/>
              <w:jc w:val="left"/>
              <w:rPr>
                <w:sz w:val="22"/>
                <w:szCs w:val="22"/>
              </w:rPr>
            </w:pPr>
            <w:r w:rsidRPr="009E5034">
              <w:rPr>
                <w:sz w:val="22"/>
                <w:szCs w:val="22"/>
              </w:rPr>
              <w:t>Commune 1</w:t>
            </w:r>
          </w:p>
        </w:tc>
        <w:tc>
          <w:tcPr>
            <w:tcW w:w="1458" w:type="dxa"/>
          </w:tcPr>
          <w:p w:rsidR="00F164EF" w:rsidRPr="009E5034" w:rsidRDefault="00F164EF" w:rsidP="009E5034">
            <w:pPr>
              <w:pStyle w:val="Tableau"/>
              <w:ind w:left="1"/>
              <w:jc w:val="left"/>
              <w:rPr>
                <w:sz w:val="22"/>
                <w:szCs w:val="22"/>
              </w:rPr>
            </w:pPr>
            <w:r w:rsidRPr="009E5034">
              <w:rPr>
                <w:sz w:val="22"/>
                <w:szCs w:val="22"/>
              </w:rPr>
              <w:t>2 157</w:t>
            </w:r>
          </w:p>
        </w:tc>
        <w:tc>
          <w:tcPr>
            <w:tcW w:w="1476" w:type="dxa"/>
          </w:tcPr>
          <w:p w:rsidR="00F164EF" w:rsidRPr="009E5034" w:rsidRDefault="00F164EF" w:rsidP="009E5034">
            <w:pPr>
              <w:pStyle w:val="Tableau"/>
              <w:ind w:left="1"/>
              <w:jc w:val="left"/>
              <w:rPr>
                <w:sz w:val="22"/>
                <w:szCs w:val="22"/>
              </w:rPr>
            </w:pPr>
            <w:r w:rsidRPr="009E5034">
              <w:rPr>
                <w:sz w:val="22"/>
                <w:szCs w:val="22"/>
              </w:rPr>
              <w:t>199 651</w:t>
            </w:r>
          </w:p>
        </w:tc>
        <w:tc>
          <w:tcPr>
            <w:tcW w:w="990" w:type="dxa"/>
          </w:tcPr>
          <w:p w:rsidR="00F164EF" w:rsidRPr="009E5034" w:rsidRDefault="00F164EF" w:rsidP="009E5034">
            <w:pPr>
              <w:pStyle w:val="Tableau"/>
              <w:ind w:left="1"/>
              <w:jc w:val="left"/>
              <w:rPr>
                <w:sz w:val="22"/>
                <w:szCs w:val="22"/>
              </w:rPr>
            </w:pPr>
            <w:r w:rsidRPr="009E5034">
              <w:rPr>
                <w:sz w:val="22"/>
                <w:szCs w:val="22"/>
              </w:rPr>
              <w:t>93</w:t>
            </w:r>
          </w:p>
        </w:tc>
        <w:tc>
          <w:tcPr>
            <w:tcW w:w="1477" w:type="dxa"/>
          </w:tcPr>
          <w:p w:rsidR="00F164EF" w:rsidRPr="009E5034" w:rsidRDefault="00F164EF" w:rsidP="009E5034">
            <w:pPr>
              <w:pStyle w:val="Tableau"/>
              <w:ind w:left="1"/>
              <w:jc w:val="left"/>
              <w:rPr>
                <w:sz w:val="22"/>
                <w:szCs w:val="22"/>
              </w:rPr>
            </w:pPr>
            <w:r w:rsidRPr="009E5034">
              <w:rPr>
                <w:sz w:val="22"/>
                <w:szCs w:val="22"/>
              </w:rPr>
              <w:t>9 982</w:t>
            </w:r>
          </w:p>
        </w:tc>
        <w:tc>
          <w:tcPr>
            <w:tcW w:w="1541" w:type="dxa"/>
          </w:tcPr>
          <w:p w:rsidR="00F164EF" w:rsidRPr="009E5034" w:rsidRDefault="00F164EF" w:rsidP="009E5034">
            <w:pPr>
              <w:pStyle w:val="Tableau"/>
              <w:ind w:left="1"/>
              <w:jc w:val="left"/>
              <w:rPr>
                <w:sz w:val="22"/>
                <w:szCs w:val="22"/>
              </w:rPr>
            </w:pPr>
            <w:r w:rsidRPr="009E5034">
              <w:rPr>
                <w:sz w:val="22"/>
                <w:szCs w:val="22"/>
              </w:rPr>
              <w:t>5%</w:t>
            </w:r>
          </w:p>
        </w:tc>
      </w:tr>
      <w:tr w:rsidR="00F164EF" w:rsidRPr="009E5034" w:rsidTr="00183B56">
        <w:tc>
          <w:tcPr>
            <w:tcW w:w="1778" w:type="dxa"/>
          </w:tcPr>
          <w:p w:rsidR="00F164EF" w:rsidRPr="009E5034" w:rsidRDefault="00F164EF" w:rsidP="009E5034">
            <w:pPr>
              <w:pStyle w:val="Tableau"/>
              <w:ind w:left="1"/>
              <w:jc w:val="left"/>
              <w:rPr>
                <w:sz w:val="22"/>
                <w:szCs w:val="22"/>
              </w:rPr>
            </w:pPr>
            <w:r w:rsidRPr="009E5034">
              <w:rPr>
                <w:sz w:val="22"/>
                <w:szCs w:val="22"/>
              </w:rPr>
              <w:t>Commune 2</w:t>
            </w:r>
          </w:p>
        </w:tc>
        <w:tc>
          <w:tcPr>
            <w:tcW w:w="1458" w:type="dxa"/>
          </w:tcPr>
          <w:p w:rsidR="00F164EF" w:rsidRPr="009E5034" w:rsidRDefault="00F164EF" w:rsidP="009E5034">
            <w:pPr>
              <w:pStyle w:val="Tableau"/>
              <w:ind w:left="1"/>
              <w:jc w:val="left"/>
              <w:rPr>
                <w:sz w:val="22"/>
                <w:szCs w:val="22"/>
              </w:rPr>
            </w:pPr>
            <w:r w:rsidRPr="009E5034">
              <w:rPr>
                <w:sz w:val="22"/>
                <w:szCs w:val="22"/>
              </w:rPr>
              <w:t>1 378</w:t>
            </w:r>
          </w:p>
        </w:tc>
        <w:tc>
          <w:tcPr>
            <w:tcW w:w="1476" w:type="dxa"/>
          </w:tcPr>
          <w:p w:rsidR="00F164EF" w:rsidRPr="009E5034" w:rsidRDefault="00F164EF" w:rsidP="009E5034">
            <w:pPr>
              <w:pStyle w:val="Tableau"/>
              <w:ind w:left="1"/>
              <w:jc w:val="left"/>
              <w:rPr>
                <w:sz w:val="22"/>
                <w:szCs w:val="22"/>
              </w:rPr>
            </w:pPr>
            <w:r w:rsidRPr="009E5034">
              <w:rPr>
                <w:sz w:val="22"/>
                <w:szCs w:val="22"/>
              </w:rPr>
              <w:t>128 088</w:t>
            </w:r>
          </w:p>
        </w:tc>
        <w:tc>
          <w:tcPr>
            <w:tcW w:w="990" w:type="dxa"/>
          </w:tcPr>
          <w:p w:rsidR="00F164EF" w:rsidRPr="009E5034" w:rsidRDefault="00F164EF" w:rsidP="009E5034">
            <w:pPr>
              <w:pStyle w:val="Tableau"/>
              <w:ind w:left="1"/>
              <w:jc w:val="left"/>
              <w:rPr>
                <w:sz w:val="22"/>
                <w:szCs w:val="22"/>
              </w:rPr>
            </w:pPr>
            <w:r w:rsidRPr="009E5034">
              <w:rPr>
                <w:sz w:val="22"/>
                <w:szCs w:val="22"/>
              </w:rPr>
              <w:t>93</w:t>
            </w:r>
          </w:p>
        </w:tc>
        <w:tc>
          <w:tcPr>
            <w:tcW w:w="1477" w:type="dxa"/>
          </w:tcPr>
          <w:p w:rsidR="00F164EF" w:rsidRPr="009E5034" w:rsidRDefault="00F164EF" w:rsidP="009E5034">
            <w:pPr>
              <w:pStyle w:val="Tableau"/>
              <w:ind w:left="1"/>
              <w:jc w:val="left"/>
              <w:rPr>
                <w:sz w:val="22"/>
                <w:szCs w:val="22"/>
              </w:rPr>
            </w:pPr>
            <w:r w:rsidRPr="009E5034">
              <w:rPr>
                <w:sz w:val="22"/>
                <w:szCs w:val="22"/>
              </w:rPr>
              <w:t xml:space="preserve">57 640 </w:t>
            </w:r>
          </w:p>
        </w:tc>
        <w:tc>
          <w:tcPr>
            <w:tcW w:w="1541" w:type="dxa"/>
          </w:tcPr>
          <w:p w:rsidR="00F164EF" w:rsidRPr="009E5034" w:rsidRDefault="00F164EF" w:rsidP="009E5034">
            <w:pPr>
              <w:pStyle w:val="Tableau"/>
              <w:ind w:left="1"/>
              <w:jc w:val="left"/>
              <w:rPr>
                <w:sz w:val="22"/>
                <w:szCs w:val="22"/>
              </w:rPr>
            </w:pPr>
            <w:r w:rsidRPr="009E5034">
              <w:rPr>
                <w:sz w:val="22"/>
                <w:szCs w:val="22"/>
              </w:rPr>
              <w:t>45%</w:t>
            </w:r>
          </w:p>
        </w:tc>
      </w:tr>
      <w:tr w:rsidR="00F164EF" w:rsidRPr="009E5034" w:rsidTr="00183B56">
        <w:tc>
          <w:tcPr>
            <w:tcW w:w="1778" w:type="dxa"/>
          </w:tcPr>
          <w:p w:rsidR="00F164EF" w:rsidRPr="009E5034" w:rsidRDefault="00F164EF" w:rsidP="009E5034">
            <w:pPr>
              <w:pStyle w:val="Tableau"/>
              <w:ind w:left="1"/>
              <w:jc w:val="left"/>
              <w:rPr>
                <w:sz w:val="22"/>
                <w:szCs w:val="22"/>
              </w:rPr>
            </w:pPr>
            <w:r w:rsidRPr="009E5034">
              <w:rPr>
                <w:sz w:val="22"/>
                <w:szCs w:val="22"/>
              </w:rPr>
              <w:t>Commune 3</w:t>
            </w:r>
          </w:p>
        </w:tc>
        <w:tc>
          <w:tcPr>
            <w:tcW w:w="1458" w:type="dxa"/>
          </w:tcPr>
          <w:p w:rsidR="00F164EF" w:rsidRPr="009E5034" w:rsidRDefault="00F164EF" w:rsidP="009E5034">
            <w:pPr>
              <w:pStyle w:val="Tableau"/>
              <w:ind w:left="1"/>
              <w:jc w:val="left"/>
              <w:rPr>
                <w:sz w:val="22"/>
                <w:szCs w:val="22"/>
              </w:rPr>
            </w:pPr>
            <w:r w:rsidRPr="009E5034">
              <w:rPr>
                <w:sz w:val="22"/>
                <w:szCs w:val="22"/>
              </w:rPr>
              <w:t>1 018</w:t>
            </w:r>
          </w:p>
        </w:tc>
        <w:tc>
          <w:tcPr>
            <w:tcW w:w="1476" w:type="dxa"/>
          </w:tcPr>
          <w:p w:rsidR="00F164EF" w:rsidRPr="009E5034" w:rsidRDefault="00F164EF" w:rsidP="009E5034">
            <w:pPr>
              <w:pStyle w:val="Tableau"/>
              <w:ind w:left="1"/>
              <w:jc w:val="left"/>
              <w:rPr>
                <w:sz w:val="22"/>
                <w:szCs w:val="22"/>
              </w:rPr>
            </w:pPr>
            <w:r w:rsidRPr="009E5034">
              <w:rPr>
                <w:sz w:val="22"/>
                <w:szCs w:val="22"/>
              </w:rPr>
              <w:t>97 389</w:t>
            </w:r>
          </w:p>
        </w:tc>
        <w:tc>
          <w:tcPr>
            <w:tcW w:w="990" w:type="dxa"/>
          </w:tcPr>
          <w:p w:rsidR="00F164EF" w:rsidRPr="009E5034" w:rsidRDefault="00F164EF" w:rsidP="009E5034">
            <w:pPr>
              <w:pStyle w:val="Tableau"/>
              <w:ind w:left="1"/>
              <w:jc w:val="left"/>
              <w:rPr>
                <w:sz w:val="22"/>
                <w:szCs w:val="22"/>
              </w:rPr>
            </w:pPr>
            <w:r w:rsidRPr="009E5034">
              <w:rPr>
                <w:sz w:val="22"/>
                <w:szCs w:val="22"/>
              </w:rPr>
              <w:t>96</w:t>
            </w:r>
          </w:p>
        </w:tc>
        <w:tc>
          <w:tcPr>
            <w:tcW w:w="1477" w:type="dxa"/>
          </w:tcPr>
          <w:p w:rsidR="00F164EF" w:rsidRPr="009E5034" w:rsidRDefault="00F164EF" w:rsidP="009E5034">
            <w:pPr>
              <w:pStyle w:val="Tableau"/>
              <w:ind w:left="1"/>
              <w:jc w:val="left"/>
              <w:rPr>
                <w:sz w:val="22"/>
                <w:szCs w:val="22"/>
              </w:rPr>
            </w:pPr>
            <w:r w:rsidRPr="009E5034">
              <w:rPr>
                <w:sz w:val="22"/>
                <w:szCs w:val="22"/>
              </w:rPr>
              <w:t>42 851</w:t>
            </w:r>
          </w:p>
        </w:tc>
        <w:tc>
          <w:tcPr>
            <w:tcW w:w="1541" w:type="dxa"/>
          </w:tcPr>
          <w:p w:rsidR="00F164EF" w:rsidRPr="009E5034" w:rsidRDefault="00F164EF" w:rsidP="009E5034">
            <w:pPr>
              <w:pStyle w:val="Tableau"/>
              <w:ind w:left="1"/>
              <w:jc w:val="left"/>
              <w:rPr>
                <w:sz w:val="22"/>
                <w:szCs w:val="22"/>
              </w:rPr>
            </w:pPr>
            <w:r w:rsidRPr="009E5034">
              <w:rPr>
                <w:sz w:val="22"/>
                <w:szCs w:val="22"/>
              </w:rPr>
              <w:t>44%</w:t>
            </w:r>
          </w:p>
        </w:tc>
      </w:tr>
      <w:tr w:rsidR="00F164EF" w:rsidRPr="009E5034" w:rsidTr="00183B56">
        <w:tc>
          <w:tcPr>
            <w:tcW w:w="1778" w:type="dxa"/>
          </w:tcPr>
          <w:p w:rsidR="00F164EF" w:rsidRPr="009E5034" w:rsidRDefault="00F164EF" w:rsidP="009E5034">
            <w:pPr>
              <w:pStyle w:val="Tableau"/>
              <w:ind w:left="1"/>
              <w:jc w:val="left"/>
              <w:rPr>
                <w:sz w:val="22"/>
                <w:szCs w:val="22"/>
              </w:rPr>
            </w:pPr>
            <w:r w:rsidRPr="009E5034">
              <w:rPr>
                <w:sz w:val="22"/>
                <w:szCs w:val="22"/>
              </w:rPr>
              <w:t>Commune 4</w:t>
            </w:r>
          </w:p>
        </w:tc>
        <w:tc>
          <w:tcPr>
            <w:tcW w:w="1458" w:type="dxa"/>
          </w:tcPr>
          <w:p w:rsidR="00F164EF" w:rsidRPr="009E5034" w:rsidRDefault="00F164EF" w:rsidP="009E5034">
            <w:pPr>
              <w:pStyle w:val="Tableau"/>
              <w:ind w:left="1"/>
              <w:jc w:val="left"/>
              <w:rPr>
                <w:sz w:val="22"/>
                <w:szCs w:val="22"/>
              </w:rPr>
            </w:pPr>
            <w:r w:rsidRPr="009E5034">
              <w:rPr>
                <w:sz w:val="22"/>
                <w:szCs w:val="22"/>
              </w:rPr>
              <w:t>3 101</w:t>
            </w:r>
          </w:p>
        </w:tc>
        <w:tc>
          <w:tcPr>
            <w:tcW w:w="1476" w:type="dxa"/>
          </w:tcPr>
          <w:p w:rsidR="00F164EF" w:rsidRPr="009E5034" w:rsidRDefault="00F164EF" w:rsidP="009E5034">
            <w:pPr>
              <w:pStyle w:val="Tableau"/>
              <w:ind w:left="1"/>
              <w:jc w:val="left"/>
              <w:rPr>
                <w:sz w:val="22"/>
                <w:szCs w:val="22"/>
              </w:rPr>
            </w:pPr>
            <w:r w:rsidRPr="009E5034">
              <w:rPr>
                <w:sz w:val="22"/>
                <w:szCs w:val="22"/>
              </w:rPr>
              <w:t>185 855</w:t>
            </w:r>
          </w:p>
        </w:tc>
        <w:tc>
          <w:tcPr>
            <w:tcW w:w="990" w:type="dxa"/>
          </w:tcPr>
          <w:p w:rsidR="00F164EF" w:rsidRPr="009E5034" w:rsidRDefault="00F164EF" w:rsidP="009E5034">
            <w:pPr>
              <w:pStyle w:val="Tableau"/>
              <w:ind w:left="1"/>
              <w:jc w:val="left"/>
              <w:rPr>
                <w:sz w:val="22"/>
                <w:szCs w:val="22"/>
              </w:rPr>
            </w:pPr>
            <w:r w:rsidRPr="009E5034">
              <w:rPr>
                <w:sz w:val="22"/>
                <w:szCs w:val="22"/>
              </w:rPr>
              <w:t>60</w:t>
            </w:r>
          </w:p>
        </w:tc>
        <w:tc>
          <w:tcPr>
            <w:tcW w:w="1477" w:type="dxa"/>
          </w:tcPr>
          <w:p w:rsidR="00F164EF" w:rsidRPr="009E5034" w:rsidRDefault="00F164EF" w:rsidP="009E5034">
            <w:pPr>
              <w:pStyle w:val="Tableau"/>
              <w:ind w:left="1"/>
              <w:jc w:val="left"/>
              <w:rPr>
                <w:sz w:val="22"/>
                <w:szCs w:val="22"/>
              </w:rPr>
            </w:pPr>
            <w:r w:rsidRPr="009E5034">
              <w:rPr>
                <w:sz w:val="22"/>
                <w:szCs w:val="22"/>
              </w:rPr>
              <w:t xml:space="preserve">16 727 </w:t>
            </w:r>
          </w:p>
        </w:tc>
        <w:tc>
          <w:tcPr>
            <w:tcW w:w="1541" w:type="dxa"/>
          </w:tcPr>
          <w:p w:rsidR="00F164EF" w:rsidRPr="009E5034" w:rsidRDefault="00F164EF" w:rsidP="009E5034">
            <w:pPr>
              <w:pStyle w:val="Tableau"/>
              <w:ind w:left="1"/>
              <w:jc w:val="left"/>
              <w:rPr>
                <w:sz w:val="22"/>
                <w:szCs w:val="22"/>
              </w:rPr>
            </w:pPr>
            <w:r w:rsidRPr="009E5034">
              <w:rPr>
                <w:sz w:val="22"/>
                <w:szCs w:val="22"/>
              </w:rPr>
              <w:t>9%</w:t>
            </w:r>
          </w:p>
        </w:tc>
      </w:tr>
      <w:tr w:rsidR="00F164EF" w:rsidRPr="009E5034" w:rsidTr="00183B56">
        <w:tc>
          <w:tcPr>
            <w:tcW w:w="1778" w:type="dxa"/>
          </w:tcPr>
          <w:p w:rsidR="00F164EF" w:rsidRPr="009E5034" w:rsidRDefault="00F164EF" w:rsidP="009E5034">
            <w:pPr>
              <w:pStyle w:val="Tableau"/>
              <w:ind w:left="1"/>
              <w:jc w:val="left"/>
              <w:rPr>
                <w:sz w:val="22"/>
                <w:szCs w:val="22"/>
              </w:rPr>
            </w:pPr>
            <w:r w:rsidRPr="009E5034">
              <w:rPr>
                <w:sz w:val="22"/>
                <w:szCs w:val="22"/>
              </w:rPr>
              <w:t>Commune 5</w:t>
            </w:r>
          </w:p>
        </w:tc>
        <w:tc>
          <w:tcPr>
            <w:tcW w:w="1458" w:type="dxa"/>
          </w:tcPr>
          <w:p w:rsidR="00F164EF" w:rsidRPr="009E5034" w:rsidRDefault="00F164EF" w:rsidP="009E5034">
            <w:pPr>
              <w:pStyle w:val="Tableau"/>
              <w:ind w:left="1"/>
              <w:jc w:val="left"/>
              <w:rPr>
                <w:sz w:val="22"/>
                <w:szCs w:val="22"/>
              </w:rPr>
            </w:pPr>
            <w:r w:rsidRPr="009E5034">
              <w:rPr>
                <w:sz w:val="22"/>
                <w:szCs w:val="22"/>
              </w:rPr>
              <w:t>2 144</w:t>
            </w:r>
          </w:p>
        </w:tc>
        <w:tc>
          <w:tcPr>
            <w:tcW w:w="1476" w:type="dxa"/>
          </w:tcPr>
          <w:p w:rsidR="00F164EF" w:rsidRPr="009E5034" w:rsidRDefault="00F164EF" w:rsidP="009E5034">
            <w:pPr>
              <w:pStyle w:val="Tableau"/>
              <w:ind w:left="1"/>
              <w:jc w:val="left"/>
              <w:rPr>
                <w:sz w:val="22"/>
                <w:szCs w:val="22"/>
              </w:rPr>
            </w:pPr>
            <w:r w:rsidRPr="009E5034">
              <w:rPr>
                <w:sz w:val="22"/>
                <w:szCs w:val="22"/>
              </w:rPr>
              <w:t>184 716</w:t>
            </w:r>
          </w:p>
        </w:tc>
        <w:tc>
          <w:tcPr>
            <w:tcW w:w="990" w:type="dxa"/>
          </w:tcPr>
          <w:p w:rsidR="00F164EF" w:rsidRPr="009E5034" w:rsidRDefault="00F164EF" w:rsidP="009E5034">
            <w:pPr>
              <w:pStyle w:val="Tableau"/>
              <w:ind w:left="1"/>
              <w:jc w:val="left"/>
              <w:rPr>
                <w:sz w:val="22"/>
                <w:szCs w:val="22"/>
              </w:rPr>
            </w:pPr>
            <w:r w:rsidRPr="009E5034">
              <w:rPr>
                <w:sz w:val="22"/>
                <w:szCs w:val="22"/>
              </w:rPr>
              <w:t>86</w:t>
            </w:r>
          </w:p>
        </w:tc>
        <w:tc>
          <w:tcPr>
            <w:tcW w:w="1477" w:type="dxa"/>
          </w:tcPr>
          <w:p w:rsidR="00F164EF" w:rsidRPr="009E5034" w:rsidRDefault="00F164EF" w:rsidP="009E5034">
            <w:pPr>
              <w:pStyle w:val="Tableau"/>
              <w:ind w:left="1"/>
              <w:jc w:val="left"/>
              <w:rPr>
                <w:sz w:val="22"/>
                <w:szCs w:val="22"/>
              </w:rPr>
            </w:pPr>
            <w:r w:rsidRPr="009E5034">
              <w:rPr>
                <w:sz w:val="22"/>
                <w:szCs w:val="22"/>
              </w:rPr>
              <w:t>24 013</w:t>
            </w:r>
          </w:p>
        </w:tc>
        <w:tc>
          <w:tcPr>
            <w:tcW w:w="1541" w:type="dxa"/>
          </w:tcPr>
          <w:p w:rsidR="00F164EF" w:rsidRPr="009E5034" w:rsidRDefault="00F164EF" w:rsidP="009E5034">
            <w:pPr>
              <w:pStyle w:val="Tableau"/>
              <w:ind w:left="1"/>
              <w:jc w:val="left"/>
              <w:rPr>
                <w:sz w:val="22"/>
                <w:szCs w:val="22"/>
              </w:rPr>
            </w:pPr>
            <w:r w:rsidRPr="009E5034">
              <w:rPr>
                <w:sz w:val="22"/>
                <w:szCs w:val="22"/>
              </w:rPr>
              <w:t>13%</w:t>
            </w:r>
          </w:p>
        </w:tc>
      </w:tr>
      <w:tr w:rsidR="00F164EF" w:rsidRPr="009E5034" w:rsidTr="00183B56">
        <w:tc>
          <w:tcPr>
            <w:tcW w:w="1778" w:type="dxa"/>
          </w:tcPr>
          <w:p w:rsidR="00F164EF" w:rsidRPr="009E5034" w:rsidRDefault="00F164EF" w:rsidP="009E5034">
            <w:pPr>
              <w:pStyle w:val="Tableau"/>
              <w:ind w:left="1"/>
              <w:jc w:val="left"/>
              <w:rPr>
                <w:sz w:val="22"/>
                <w:szCs w:val="22"/>
              </w:rPr>
            </w:pPr>
            <w:r w:rsidRPr="009E5034">
              <w:rPr>
                <w:sz w:val="22"/>
                <w:szCs w:val="22"/>
              </w:rPr>
              <w:t>Commune 6</w:t>
            </w:r>
          </w:p>
        </w:tc>
        <w:tc>
          <w:tcPr>
            <w:tcW w:w="1458" w:type="dxa"/>
          </w:tcPr>
          <w:p w:rsidR="00F164EF" w:rsidRPr="009E5034" w:rsidRDefault="00F164EF" w:rsidP="009E5034">
            <w:pPr>
              <w:pStyle w:val="Tableau"/>
              <w:ind w:left="1"/>
              <w:jc w:val="left"/>
              <w:rPr>
                <w:sz w:val="22"/>
                <w:szCs w:val="22"/>
              </w:rPr>
            </w:pPr>
            <w:r w:rsidRPr="009E5034">
              <w:rPr>
                <w:sz w:val="22"/>
                <w:szCs w:val="22"/>
              </w:rPr>
              <w:t>3 830</w:t>
            </w:r>
          </w:p>
        </w:tc>
        <w:tc>
          <w:tcPr>
            <w:tcW w:w="1476" w:type="dxa"/>
          </w:tcPr>
          <w:p w:rsidR="00F164EF" w:rsidRPr="009E5034" w:rsidRDefault="00F164EF" w:rsidP="009E5034">
            <w:pPr>
              <w:pStyle w:val="Tableau"/>
              <w:ind w:left="1"/>
              <w:jc w:val="left"/>
              <w:rPr>
                <w:sz w:val="22"/>
                <w:szCs w:val="22"/>
              </w:rPr>
            </w:pPr>
            <w:r w:rsidRPr="009E5034">
              <w:rPr>
                <w:sz w:val="22"/>
                <w:szCs w:val="22"/>
              </w:rPr>
              <w:t>220 466</w:t>
            </w:r>
          </w:p>
        </w:tc>
        <w:tc>
          <w:tcPr>
            <w:tcW w:w="990" w:type="dxa"/>
          </w:tcPr>
          <w:p w:rsidR="00F164EF" w:rsidRPr="009E5034" w:rsidRDefault="00F164EF" w:rsidP="009E5034">
            <w:pPr>
              <w:pStyle w:val="Tableau"/>
              <w:ind w:left="1"/>
              <w:jc w:val="left"/>
              <w:rPr>
                <w:sz w:val="22"/>
                <w:szCs w:val="22"/>
              </w:rPr>
            </w:pPr>
            <w:r w:rsidRPr="009E5034">
              <w:rPr>
                <w:sz w:val="22"/>
                <w:szCs w:val="22"/>
              </w:rPr>
              <w:t>58</w:t>
            </w:r>
          </w:p>
        </w:tc>
        <w:tc>
          <w:tcPr>
            <w:tcW w:w="1477" w:type="dxa"/>
          </w:tcPr>
          <w:p w:rsidR="00F164EF" w:rsidRPr="009E5034" w:rsidRDefault="00F164EF" w:rsidP="009E5034">
            <w:pPr>
              <w:pStyle w:val="Tableau"/>
              <w:ind w:left="1"/>
              <w:jc w:val="left"/>
              <w:rPr>
                <w:sz w:val="22"/>
                <w:szCs w:val="22"/>
              </w:rPr>
            </w:pPr>
            <w:r w:rsidRPr="009E5034">
              <w:rPr>
                <w:sz w:val="22"/>
                <w:szCs w:val="22"/>
              </w:rPr>
              <w:t>19 842</w:t>
            </w:r>
          </w:p>
        </w:tc>
        <w:tc>
          <w:tcPr>
            <w:tcW w:w="1541" w:type="dxa"/>
          </w:tcPr>
          <w:p w:rsidR="00F164EF" w:rsidRPr="009E5034" w:rsidRDefault="00F164EF" w:rsidP="009E5034">
            <w:pPr>
              <w:pStyle w:val="Tableau"/>
              <w:ind w:left="1"/>
              <w:jc w:val="left"/>
              <w:rPr>
                <w:sz w:val="22"/>
                <w:szCs w:val="22"/>
              </w:rPr>
            </w:pPr>
            <w:r w:rsidRPr="009E5034">
              <w:rPr>
                <w:sz w:val="22"/>
                <w:szCs w:val="22"/>
              </w:rPr>
              <w:t>9%</w:t>
            </w:r>
          </w:p>
        </w:tc>
      </w:tr>
      <w:tr w:rsidR="00F164EF" w:rsidRPr="009E5034" w:rsidTr="00183B56">
        <w:tc>
          <w:tcPr>
            <w:tcW w:w="1778" w:type="dxa"/>
          </w:tcPr>
          <w:p w:rsidR="00F164EF" w:rsidRPr="009E5034" w:rsidRDefault="00F164EF" w:rsidP="009E5034">
            <w:pPr>
              <w:pStyle w:val="Tableau"/>
              <w:ind w:left="1"/>
              <w:jc w:val="left"/>
              <w:rPr>
                <w:sz w:val="22"/>
                <w:szCs w:val="22"/>
              </w:rPr>
            </w:pPr>
            <w:r w:rsidRPr="009E5034">
              <w:rPr>
                <w:sz w:val="22"/>
                <w:szCs w:val="22"/>
              </w:rPr>
              <w:t>Total</w:t>
            </w:r>
          </w:p>
        </w:tc>
        <w:tc>
          <w:tcPr>
            <w:tcW w:w="1458" w:type="dxa"/>
          </w:tcPr>
          <w:p w:rsidR="00F164EF" w:rsidRPr="009E5034" w:rsidRDefault="00F164EF" w:rsidP="009E5034">
            <w:pPr>
              <w:pStyle w:val="Tableau"/>
              <w:ind w:left="1"/>
              <w:jc w:val="left"/>
              <w:rPr>
                <w:sz w:val="22"/>
                <w:szCs w:val="22"/>
              </w:rPr>
            </w:pPr>
            <w:r w:rsidRPr="009E5034">
              <w:rPr>
                <w:sz w:val="22"/>
                <w:szCs w:val="22"/>
              </w:rPr>
              <w:t xml:space="preserve">13 628 </w:t>
            </w:r>
          </w:p>
        </w:tc>
        <w:tc>
          <w:tcPr>
            <w:tcW w:w="1476" w:type="dxa"/>
          </w:tcPr>
          <w:p w:rsidR="00F164EF" w:rsidRPr="009E5034" w:rsidRDefault="00F164EF" w:rsidP="009E5034">
            <w:pPr>
              <w:pStyle w:val="Tableau"/>
              <w:ind w:left="1"/>
              <w:jc w:val="left"/>
              <w:rPr>
                <w:sz w:val="22"/>
                <w:szCs w:val="22"/>
              </w:rPr>
            </w:pPr>
            <w:r w:rsidRPr="009E5034">
              <w:rPr>
                <w:sz w:val="22"/>
                <w:szCs w:val="22"/>
              </w:rPr>
              <w:t>1 016 165</w:t>
            </w:r>
          </w:p>
        </w:tc>
        <w:tc>
          <w:tcPr>
            <w:tcW w:w="990" w:type="dxa"/>
          </w:tcPr>
          <w:p w:rsidR="00F164EF" w:rsidRPr="009E5034" w:rsidRDefault="00F164EF" w:rsidP="009E5034">
            <w:pPr>
              <w:pStyle w:val="Tableau"/>
              <w:ind w:left="1"/>
              <w:jc w:val="left"/>
              <w:rPr>
                <w:sz w:val="22"/>
                <w:szCs w:val="22"/>
              </w:rPr>
            </w:pPr>
            <w:r w:rsidRPr="009E5034">
              <w:rPr>
                <w:sz w:val="22"/>
                <w:szCs w:val="22"/>
              </w:rPr>
              <w:t>75</w:t>
            </w:r>
          </w:p>
        </w:tc>
        <w:tc>
          <w:tcPr>
            <w:tcW w:w="1477" w:type="dxa"/>
          </w:tcPr>
          <w:p w:rsidR="00F164EF" w:rsidRPr="009E5034" w:rsidRDefault="00F164EF" w:rsidP="009E5034">
            <w:pPr>
              <w:pStyle w:val="Tableau"/>
              <w:ind w:left="1"/>
              <w:jc w:val="left"/>
              <w:rPr>
                <w:sz w:val="22"/>
                <w:szCs w:val="22"/>
              </w:rPr>
            </w:pPr>
            <w:r w:rsidRPr="009E5034">
              <w:rPr>
                <w:sz w:val="22"/>
                <w:szCs w:val="22"/>
              </w:rPr>
              <w:t>17%</w:t>
            </w:r>
          </w:p>
        </w:tc>
        <w:tc>
          <w:tcPr>
            <w:tcW w:w="1541" w:type="dxa"/>
          </w:tcPr>
          <w:p w:rsidR="00F164EF" w:rsidRPr="009E5034" w:rsidRDefault="00F164EF" w:rsidP="009E5034">
            <w:pPr>
              <w:pStyle w:val="Tableau"/>
              <w:ind w:left="1"/>
              <w:jc w:val="left"/>
              <w:rPr>
                <w:sz w:val="22"/>
                <w:szCs w:val="22"/>
              </w:rPr>
            </w:pPr>
            <w:r w:rsidRPr="009E5034">
              <w:rPr>
                <w:sz w:val="22"/>
                <w:szCs w:val="22"/>
              </w:rPr>
              <w:t>17%</w:t>
            </w:r>
          </w:p>
        </w:tc>
      </w:tr>
    </w:tbl>
    <w:p w:rsidR="00F164EF" w:rsidRPr="009E5034" w:rsidRDefault="00F164EF" w:rsidP="009E5034">
      <w:pPr>
        <w:spacing w:after="240"/>
        <w:ind w:left="0"/>
        <w:jc w:val="left"/>
        <w:rPr>
          <w:rStyle w:val="Strong"/>
          <w:rFonts w:eastAsia="MS Mincho"/>
          <w:sz w:val="22"/>
          <w:szCs w:val="22"/>
        </w:rPr>
      </w:pPr>
      <w:r w:rsidRPr="009E5034">
        <w:rPr>
          <w:rStyle w:val="Strong"/>
          <w:rFonts w:eastAsia="MS Mincho"/>
          <w:sz w:val="22"/>
          <w:szCs w:val="22"/>
        </w:rPr>
        <w:t>5.4. Dépenses d’assainissement</w:t>
      </w:r>
    </w:p>
    <w:p w:rsidR="00F164EF" w:rsidRPr="009E5034" w:rsidRDefault="00F164EF" w:rsidP="009E5034">
      <w:pPr>
        <w:spacing w:before="120" w:after="120"/>
        <w:ind w:left="0"/>
        <w:jc w:val="left"/>
        <w:rPr>
          <w:sz w:val="22"/>
          <w:szCs w:val="22"/>
        </w:rPr>
      </w:pPr>
      <w:r w:rsidRPr="009E5034">
        <w:rPr>
          <w:sz w:val="22"/>
          <w:szCs w:val="22"/>
        </w:rPr>
        <w:t>L’état débourse annuellement 200 Millions de FCFA pour le curage des caniveaux et la collecte des déchets dans le district de Bamako. Les dépenses annuelles de la DSUVA en matière de gestion des déchets ménagers seraient de l’ordre de 500 millions.</w:t>
      </w:r>
    </w:p>
    <w:p w:rsidR="00F164EF" w:rsidRPr="009E5034" w:rsidRDefault="00F164EF" w:rsidP="009E5034">
      <w:pPr>
        <w:pStyle w:val="Caption"/>
        <w:ind w:left="899"/>
        <w:rPr>
          <w:rStyle w:val="Emphasis"/>
          <w:sz w:val="22"/>
          <w:szCs w:val="22"/>
        </w:rPr>
      </w:pPr>
      <w:r w:rsidRPr="009E5034">
        <w:rPr>
          <w:rStyle w:val="Emphasis"/>
          <w:sz w:val="22"/>
          <w:szCs w:val="22"/>
        </w:rPr>
        <w:t>Tableau A1.10 : Budget du District pour l’assainissement entre 2002 et 2006 (en milliers de F CFA)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8"/>
        <w:gridCol w:w="2178"/>
        <w:gridCol w:w="2771"/>
        <w:gridCol w:w="2605"/>
      </w:tblGrid>
      <w:tr w:rsidR="00F164EF" w:rsidRPr="009E5034" w:rsidTr="00072CBC">
        <w:tc>
          <w:tcPr>
            <w:tcW w:w="1328" w:type="dxa"/>
          </w:tcPr>
          <w:p w:rsidR="00F164EF" w:rsidRPr="009E5034" w:rsidRDefault="00F164EF" w:rsidP="009E5034">
            <w:pPr>
              <w:pStyle w:val="Tableau"/>
              <w:ind w:left="1"/>
              <w:jc w:val="left"/>
              <w:rPr>
                <w:sz w:val="22"/>
                <w:szCs w:val="22"/>
              </w:rPr>
            </w:pPr>
            <w:r w:rsidRPr="009E5034">
              <w:rPr>
                <w:sz w:val="22"/>
                <w:szCs w:val="22"/>
              </w:rPr>
              <w:t>Année</w:t>
            </w:r>
          </w:p>
        </w:tc>
        <w:tc>
          <w:tcPr>
            <w:tcW w:w="2178" w:type="dxa"/>
          </w:tcPr>
          <w:p w:rsidR="00F164EF" w:rsidRPr="009E5034" w:rsidRDefault="00F164EF" w:rsidP="009E5034">
            <w:pPr>
              <w:pStyle w:val="Tableau"/>
              <w:ind w:left="1"/>
              <w:jc w:val="left"/>
              <w:rPr>
                <w:sz w:val="22"/>
                <w:szCs w:val="22"/>
              </w:rPr>
            </w:pPr>
            <w:r w:rsidRPr="009E5034">
              <w:rPr>
                <w:sz w:val="22"/>
                <w:szCs w:val="22"/>
              </w:rPr>
              <w:t>Budget du District</w:t>
            </w:r>
          </w:p>
        </w:tc>
        <w:tc>
          <w:tcPr>
            <w:tcW w:w="2771" w:type="dxa"/>
          </w:tcPr>
          <w:p w:rsidR="00F164EF" w:rsidRPr="009E5034" w:rsidRDefault="00F164EF" w:rsidP="009E5034">
            <w:pPr>
              <w:pStyle w:val="Tableau"/>
              <w:ind w:left="1"/>
              <w:jc w:val="left"/>
              <w:rPr>
                <w:sz w:val="22"/>
                <w:szCs w:val="22"/>
              </w:rPr>
            </w:pPr>
            <w:r w:rsidRPr="009E5034">
              <w:rPr>
                <w:sz w:val="22"/>
                <w:szCs w:val="22"/>
              </w:rPr>
              <w:t>Budget d’assainissement</w:t>
            </w:r>
          </w:p>
        </w:tc>
        <w:tc>
          <w:tcPr>
            <w:tcW w:w="2605" w:type="dxa"/>
          </w:tcPr>
          <w:p w:rsidR="00F164EF" w:rsidRPr="009E5034" w:rsidRDefault="00F164EF" w:rsidP="009E5034">
            <w:pPr>
              <w:pStyle w:val="Tableau"/>
              <w:ind w:left="1"/>
              <w:jc w:val="left"/>
              <w:rPr>
                <w:sz w:val="22"/>
                <w:szCs w:val="22"/>
              </w:rPr>
            </w:pPr>
            <w:r w:rsidRPr="009E5034">
              <w:rPr>
                <w:sz w:val="22"/>
                <w:szCs w:val="22"/>
              </w:rPr>
              <w:t>Part de l’assainissement</w:t>
            </w:r>
          </w:p>
        </w:tc>
      </w:tr>
      <w:tr w:rsidR="00F164EF" w:rsidRPr="009E5034" w:rsidTr="00072CBC">
        <w:tc>
          <w:tcPr>
            <w:tcW w:w="1328" w:type="dxa"/>
          </w:tcPr>
          <w:p w:rsidR="00F164EF" w:rsidRPr="009E5034" w:rsidRDefault="00F164EF" w:rsidP="009E5034">
            <w:pPr>
              <w:pStyle w:val="Tableau"/>
              <w:ind w:left="1"/>
              <w:jc w:val="left"/>
              <w:rPr>
                <w:sz w:val="22"/>
                <w:szCs w:val="22"/>
              </w:rPr>
            </w:pPr>
            <w:r w:rsidRPr="009E5034">
              <w:rPr>
                <w:sz w:val="22"/>
                <w:szCs w:val="22"/>
              </w:rPr>
              <w:t>2002</w:t>
            </w:r>
          </w:p>
        </w:tc>
        <w:tc>
          <w:tcPr>
            <w:tcW w:w="2178" w:type="dxa"/>
          </w:tcPr>
          <w:p w:rsidR="00F164EF" w:rsidRPr="009E5034" w:rsidRDefault="00F164EF" w:rsidP="009E5034">
            <w:pPr>
              <w:pStyle w:val="Tableau"/>
              <w:ind w:left="1"/>
              <w:jc w:val="left"/>
              <w:rPr>
                <w:sz w:val="22"/>
                <w:szCs w:val="22"/>
              </w:rPr>
            </w:pPr>
            <w:r w:rsidRPr="009E5034">
              <w:rPr>
                <w:sz w:val="22"/>
                <w:szCs w:val="22"/>
              </w:rPr>
              <w:t>8 361 427</w:t>
            </w:r>
          </w:p>
        </w:tc>
        <w:tc>
          <w:tcPr>
            <w:tcW w:w="2771" w:type="dxa"/>
          </w:tcPr>
          <w:p w:rsidR="00F164EF" w:rsidRPr="009E5034" w:rsidRDefault="00F164EF" w:rsidP="009E5034">
            <w:pPr>
              <w:pStyle w:val="Tableau"/>
              <w:ind w:left="1"/>
              <w:jc w:val="left"/>
              <w:rPr>
                <w:sz w:val="22"/>
                <w:szCs w:val="22"/>
              </w:rPr>
            </w:pPr>
            <w:r w:rsidRPr="009E5034">
              <w:rPr>
                <w:sz w:val="22"/>
                <w:szCs w:val="22"/>
              </w:rPr>
              <w:t>236 000</w:t>
            </w:r>
          </w:p>
        </w:tc>
        <w:tc>
          <w:tcPr>
            <w:tcW w:w="2605" w:type="dxa"/>
          </w:tcPr>
          <w:p w:rsidR="00F164EF" w:rsidRPr="009E5034" w:rsidRDefault="00F164EF" w:rsidP="009E5034">
            <w:pPr>
              <w:pStyle w:val="Tableau"/>
              <w:ind w:left="1"/>
              <w:jc w:val="left"/>
              <w:rPr>
                <w:sz w:val="22"/>
                <w:szCs w:val="22"/>
              </w:rPr>
            </w:pPr>
            <w:r w:rsidRPr="009E5034">
              <w:rPr>
                <w:sz w:val="22"/>
                <w:szCs w:val="22"/>
              </w:rPr>
              <w:t>2,82 %</w:t>
            </w:r>
          </w:p>
        </w:tc>
      </w:tr>
      <w:tr w:rsidR="00F164EF" w:rsidRPr="009E5034" w:rsidTr="00072CBC">
        <w:tc>
          <w:tcPr>
            <w:tcW w:w="1328" w:type="dxa"/>
          </w:tcPr>
          <w:p w:rsidR="00F164EF" w:rsidRPr="009E5034" w:rsidRDefault="00F164EF" w:rsidP="009E5034">
            <w:pPr>
              <w:pStyle w:val="Tableau"/>
              <w:ind w:left="1"/>
              <w:jc w:val="left"/>
              <w:rPr>
                <w:sz w:val="22"/>
                <w:szCs w:val="22"/>
              </w:rPr>
            </w:pPr>
            <w:r w:rsidRPr="009E5034">
              <w:rPr>
                <w:sz w:val="22"/>
                <w:szCs w:val="22"/>
              </w:rPr>
              <w:t>2003</w:t>
            </w:r>
          </w:p>
        </w:tc>
        <w:tc>
          <w:tcPr>
            <w:tcW w:w="2178" w:type="dxa"/>
          </w:tcPr>
          <w:p w:rsidR="00F164EF" w:rsidRPr="009E5034" w:rsidRDefault="00F164EF" w:rsidP="009E5034">
            <w:pPr>
              <w:pStyle w:val="Tableau"/>
              <w:ind w:left="1"/>
              <w:jc w:val="left"/>
              <w:rPr>
                <w:sz w:val="22"/>
                <w:szCs w:val="22"/>
              </w:rPr>
            </w:pPr>
            <w:r w:rsidRPr="009E5034">
              <w:rPr>
                <w:sz w:val="22"/>
                <w:szCs w:val="22"/>
              </w:rPr>
              <w:t>6 766 115</w:t>
            </w:r>
          </w:p>
        </w:tc>
        <w:tc>
          <w:tcPr>
            <w:tcW w:w="2771" w:type="dxa"/>
          </w:tcPr>
          <w:p w:rsidR="00F164EF" w:rsidRPr="009E5034" w:rsidRDefault="00F164EF" w:rsidP="009E5034">
            <w:pPr>
              <w:pStyle w:val="Tableau"/>
              <w:ind w:left="1"/>
              <w:jc w:val="left"/>
              <w:rPr>
                <w:sz w:val="22"/>
                <w:szCs w:val="22"/>
              </w:rPr>
            </w:pPr>
            <w:r w:rsidRPr="009E5034">
              <w:rPr>
                <w:sz w:val="22"/>
                <w:szCs w:val="22"/>
              </w:rPr>
              <w:t>160 000</w:t>
            </w:r>
          </w:p>
        </w:tc>
        <w:tc>
          <w:tcPr>
            <w:tcW w:w="2605" w:type="dxa"/>
          </w:tcPr>
          <w:p w:rsidR="00F164EF" w:rsidRPr="009E5034" w:rsidRDefault="00F164EF" w:rsidP="009E5034">
            <w:pPr>
              <w:pStyle w:val="Tableau"/>
              <w:ind w:left="1"/>
              <w:jc w:val="left"/>
              <w:rPr>
                <w:sz w:val="22"/>
                <w:szCs w:val="22"/>
              </w:rPr>
            </w:pPr>
            <w:r w:rsidRPr="009E5034">
              <w:rPr>
                <w:sz w:val="22"/>
                <w:szCs w:val="22"/>
              </w:rPr>
              <w:t>2,36 %</w:t>
            </w:r>
          </w:p>
        </w:tc>
      </w:tr>
      <w:tr w:rsidR="00F164EF" w:rsidRPr="009E5034" w:rsidTr="00072CBC">
        <w:tc>
          <w:tcPr>
            <w:tcW w:w="1328" w:type="dxa"/>
          </w:tcPr>
          <w:p w:rsidR="00F164EF" w:rsidRPr="009E5034" w:rsidRDefault="00F164EF" w:rsidP="009E5034">
            <w:pPr>
              <w:pStyle w:val="Tableau"/>
              <w:ind w:left="1"/>
              <w:jc w:val="left"/>
              <w:rPr>
                <w:sz w:val="22"/>
                <w:szCs w:val="22"/>
              </w:rPr>
            </w:pPr>
            <w:r w:rsidRPr="009E5034">
              <w:rPr>
                <w:sz w:val="22"/>
                <w:szCs w:val="22"/>
              </w:rPr>
              <w:t>2004</w:t>
            </w:r>
          </w:p>
        </w:tc>
        <w:tc>
          <w:tcPr>
            <w:tcW w:w="2178" w:type="dxa"/>
          </w:tcPr>
          <w:p w:rsidR="00F164EF" w:rsidRPr="009E5034" w:rsidRDefault="00F164EF" w:rsidP="009E5034">
            <w:pPr>
              <w:pStyle w:val="Tableau"/>
              <w:ind w:left="1"/>
              <w:jc w:val="left"/>
              <w:rPr>
                <w:sz w:val="22"/>
                <w:szCs w:val="22"/>
              </w:rPr>
            </w:pPr>
            <w:r w:rsidRPr="009E5034">
              <w:rPr>
                <w:sz w:val="22"/>
                <w:szCs w:val="22"/>
              </w:rPr>
              <w:t>6 126 069</w:t>
            </w:r>
          </w:p>
        </w:tc>
        <w:tc>
          <w:tcPr>
            <w:tcW w:w="2771" w:type="dxa"/>
          </w:tcPr>
          <w:p w:rsidR="00F164EF" w:rsidRPr="009E5034" w:rsidRDefault="00F164EF" w:rsidP="009E5034">
            <w:pPr>
              <w:pStyle w:val="Tableau"/>
              <w:ind w:left="1"/>
              <w:jc w:val="left"/>
              <w:rPr>
                <w:sz w:val="22"/>
                <w:szCs w:val="22"/>
              </w:rPr>
            </w:pPr>
            <w:r w:rsidRPr="009E5034">
              <w:rPr>
                <w:sz w:val="22"/>
                <w:szCs w:val="22"/>
              </w:rPr>
              <w:t>1 115 000</w:t>
            </w:r>
          </w:p>
        </w:tc>
        <w:tc>
          <w:tcPr>
            <w:tcW w:w="2605" w:type="dxa"/>
          </w:tcPr>
          <w:p w:rsidR="00F164EF" w:rsidRPr="009E5034" w:rsidRDefault="00F164EF" w:rsidP="009E5034">
            <w:pPr>
              <w:pStyle w:val="Tableau"/>
              <w:ind w:left="1"/>
              <w:jc w:val="left"/>
              <w:rPr>
                <w:sz w:val="22"/>
                <w:szCs w:val="22"/>
              </w:rPr>
            </w:pPr>
            <w:r w:rsidRPr="009E5034">
              <w:rPr>
                <w:sz w:val="22"/>
                <w:szCs w:val="22"/>
              </w:rPr>
              <w:t>18,20 %</w:t>
            </w:r>
          </w:p>
        </w:tc>
      </w:tr>
      <w:tr w:rsidR="00F164EF" w:rsidRPr="009E5034" w:rsidTr="00072CBC">
        <w:tc>
          <w:tcPr>
            <w:tcW w:w="1328" w:type="dxa"/>
          </w:tcPr>
          <w:p w:rsidR="00F164EF" w:rsidRPr="009E5034" w:rsidRDefault="00F164EF" w:rsidP="009E5034">
            <w:pPr>
              <w:pStyle w:val="Tableau"/>
              <w:ind w:left="1"/>
              <w:jc w:val="left"/>
              <w:rPr>
                <w:sz w:val="22"/>
                <w:szCs w:val="22"/>
              </w:rPr>
            </w:pPr>
            <w:r w:rsidRPr="009E5034">
              <w:rPr>
                <w:sz w:val="22"/>
                <w:szCs w:val="22"/>
              </w:rPr>
              <w:t>2005</w:t>
            </w:r>
          </w:p>
        </w:tc>
        <w:tc>
          <w:tcPr>
            <w:tcW w:w="2178" w:type="dxa"/>
          </w:tcPr>
          <w:p w:rsidR="00F164EF" w:rsidRPr="009E5034" w:rsidRDefault="00F164EF" w:rsidP="009E5034">
            <w:pPr>
              <w:pStyle w:val="Tableau"/>
              <w:ind w:left="1"/>
              <w:jc w:val="left"/>
              <w:rPr>
                <w:sz w:val="22"/>
                <w:szCs w:val="22"/>
              </w:rPr>
            </w:pPr>
            <w:r w:rsidRPr="009E5034">
              <w:rPr>
                <w:sz w:val="22"/>
                <w:szCs w:val="22"/>
              </w:rPr>
              <w:t>6 804 875</w:t>
            </w:r>
          </w:p>
        </w:tc>
        <w:tc>
          <w:tcPr>
            <w:tcW w:w="2771" w:type="dxa"/>
          </w:tcPr>
          <w:p w:rsidR="00F164EF" w:rsidRPr="009E5034" w:rsidRDefault="00F164EF" w:rsidP="009E5034">
            <w:pPr>
              <w:pStyle w:val="Tableau"/>
              <w:ind w:left="1"/>
              <w:jc w:val="left"/>
              <w:rPr>
                <w:sz w:val="22"/>
                <w:szCs w:val="22"/>
              </w:rPr>
            </w:pPr>
            <w:r w:rsidRPr="009E5034">
              <w:rPr>
                <w:sz w:val="22"/>
                <w:szCs w:val="22"/>
              </w:rPr>
              <w:t>665 400</w:t>
            </w:r>
          </w:p>
        </w:tc>
        <w:tc>
          <w:tcPr>
            <w:tcW w:w="2605" w:type="dxa"/>
          </w:tcPr>
          <w:p w:rsidR="00F164EF" w:rsidRPr="009E5034" w:rsidRDefault="00F164EF" w:rsidP="009E5034">
            <w:pPr>
              <w:pStyle w:val="Tableau"/>
              <w:ind w:left="1"/>
              <w:jc w:val="left"/>
              <w:rPr>
                <w:sz w:val="22"/>
                <w:szCs w:val="22"/>
              </w:rPr>
            </w:pPr>
            <w:r w:rsidRPr="009E5034">
              <w:rPr>
                <w:sz w:val="22"/>
                <w:szCs w:val="22"/>
              </w:rPr>
              <w:t>9,77 %</w:t>
            </w:r>
          </w:p>
        </w:tc>
      </w:tr>
      <w:tr w:rsidR="00F164EF" w:rsidRPr="009E5034" w:rsidTr="00072CBC">
        <w:tc>
          <w:tcPr>
            <w:tcW w:w="1328" w:type="dxa"/>
          </w:tcPr>
          <w:p w:rsidR="00F164EF" w:rsidRPr="009E5034" w:rsidRDefault="00F164EF" w:rsidP="009E5034">
            <w:pPr>
              <w:pStyle w:val="Tableau"/>
              <w:ind w:left="1"/>
              <w:jc w:val="left"/>
              <w:rPr>
                <w:sz w:val="22"/>
                <w:szCs w:val="22"/>
              </w:rPr>
            </w:pPr>
            <w:r w:rsidRPr="009E5034">
              <w:rPr>
                <w:sz w:val="22"/>
                <w:szCs w:val="22"/>
              </w:rPr>
              <w:t>2006</w:t>
            </w:r>
          </w:p>
        </w:tc>
        <w:tc>
          <w:tcPr>
            <w:tcW w:w="2178" w:type="dxa"/>
          </w:tcPr>
          <w:p w:rsidR="00F164EF" w:rsidRPr="009E5034" w:rsidRDefault="00F164EF" w:rsidP="009E5034">
            <w:pPr>
              <w:pStyle w:val="Tableau"/>
              <w:ind w:left="1"/>
              <w:jc w:val="left"/>
              <w:rPr>
                <w:sz w:val="22"/>
                <w:szCs w:val="22"/>
              </w:rPr>
            </w:pPr>
            <w:r w:rsidRPr="009E5034">
              <w:rPr>
                <w:sz w:val="22"/>
                <w:szCs w:val="22"/>
              </w:rPr>
              <w:t>7 122 295</w:t>
            </w:r>
          </w:p>
        </w:tc>
        <w:tc>
          <w:tcPr>
            <w:tcW w:w="2771" w:type="dxa"/>
          </w:tcPr>
          <w:p w:rsidR="00F164EF" w:rsidRPr="009E5034" w:rsidRDefault="00F164EF" w:rsidP="009E5034">
            <w:pPr>
              <w:pStyle w:val="Tableau"/>
              <w:ind w:left="1"/>
              <w:jc w:val="left"/>
              <w:rPr>
                <w:sz w:val="22"/>
                <w:szCs w:val="22"/>
              </w:rPr>
            </w:pPr>
            <w:r w:rsidRPr="009E5034">
              <w:rPr>
                <w:sz w:val="22"/>
                <w:szCs w:val="22"/>
              </w:rPr>
              <w:t>679 500</w:t>
            </w:r>
          </w:p>
        </w:tc>
        <w:tc>
          <w:tcPr>
            <w:tcW w:w="2605" w:type="dxa"/>
          </w:tcPr>
          <w:p w:rsidR="00F164EF" w:rsidRPr="009E5034" w:rsidRDefault="00F164EF" w:rsidP="009E5034">
            <w:pPr>
              <w:pStyle w:val="Tableau"/>
              <w:ind w:left="1"/>
              <w:jc w:val="left"/>
              <w:rPr>
                <w:sz w:val="22"/>
                <w:szCs w:val="22"/>
              </w:rPr>
            </w:pPr>
            <w:r w:rsidRPr="009E5034">
              <w:rPr>
                <w:sz w:val="22"/>
                <w:szCs w:val="22"/>
              </w:rPr>
              <w:t>9,54 %</w:t>
            </w:r>
          </w:p>
        </w:tc>
      </w:tr>
      <w:tr w:rsidR="00F164EF" w:rsidRPr="009E5034" w:rsidTr="00072CBC">
        <w:tc>
          <w:tcPr>
            <w:tcW w:w="1328" w:type="dxa"/>
          </w:tcPr>
          <w:p w:rsidR="00F164EF" w:rsidRPr="009E5034" w:rsidRDefault="00F164EF" w:rsidP="009E5034">
            <w:pPr>
              <w:pStyle w:val="Tableau"/>
              <w:ind w:left="1"/>
              <w:jc w:val="left"/>
              <w:rPr>
                <w:sz w:val="22"/>
                <w:szCs w:val="22"/>
              </w:rPr>
            </w:pPr>
            <w:r w:rsidRPr="009E5034">
              <w:rPr>
                <w:sz w:val="22"/>
                <w:szCs w:val="22"/>
              </w:rPr>
              <w:t>Total</w:t>
            </w:r>
          </w:p>
        </w:tc>
        <w:tc>
          <w:tcPr>
            <w:tcW w:w="2178" w:type="dxa"/>
          </w:tcPr>
          <w:p w:rsidR="00F164EF" w:rsidRPr="009E5034" w:rsidRDefault="00F164EF" w:rsidP="009E5034">
            <w:pPr>
              <w:pStyle w:val="Tableau"/>
              <w:ind w:left="1"/>
              <w:jc w:val="left"/>
              <w:rPr>
                <w:color w:val="000000"/>
                <w:sz w:val="22"/>
                <w:szCs w:val="22"/>
              </w:rPr>
            </w:pPr>
            <w:r w:rsidRPr="009E5034">
              <w:rPr>
                <w:color w:val="000000"/>
                <w:sz w:val="22"/>
                <w:szCs w:val="22"/>
              </w:rPr>
              <w:t>35 180 781</w:t>
            </w:r>
          </w:p>
        </w:tc>
        <w:tc>
          <w:tcPr>
            <w:tcW w:w="2771" w:type="dxa"/>
          </w:tcPr>
          <w:p w:rsidR="00F164EF" w:rsidRPr="009E5034" w:rsidRDefault="00F164EF" w:rsidP="009E5034">
            <w:pPr>
              <w:pStyle w:val="Tableau"/>
              <w:ind w:left="1"/>
              <w:jc w:val="left"/>
              <w:rPr>
                <w:color w:val="000000"/>
                <w:sz w:val="22"/>
                <w:szCs w:val="22"/>
              </w:rPr>
            </w:pPr>
            <w:r w:rsidRPr="009E5034">
              <w:rPr>
                <w:color w:val="000000"/>
                <w:sz w:val="22"/>
                <w:szCs w:val="22"/>
              </w:rPr>
              <w:t>2 855 900</w:t>
            </w:r>
          </w:p>
        </w:tc>
        <w:tc>
          <w:tcPr>
            <w:tcW w:w="2605" w:type="dxa"/>
          </w:tcPr>
          <w:p w:rsidR="00F164EF" w:rsidRPr="009E5034" w:rsidRDefault="00F164EF" w:rsidP="009E5034">
            <w:pPr>
              <w:pStyle w:val="Tableau"/>
              <w:ind w:left="1"/>
              <w:jc w:val="left"/>
              <w:rPr>
                <w:sz w:val="22"/>
                <w:szCs w:val="22"/>
              </w:rPr>
            </w:pPr>
            <w:r w:rsidRPr="009E5034">
              <w:rPr>
                <w:sz w:val="22"/>
                <w:szCs w:val="22"/>
              </w:rPr>
              <w:t>8,11 %</w:t>
            </w:r>
          </w:p>
        </w:tc>
      </w:tr>
    </w:tbl>
    <w:p w:rsidR="00031088" w:rsidRPr="009E5034" w:rsidRDefault="00F164EF" w:rsidP="009E5034">
      <w:pPr>
        <w:spacing w:after="240"/>
        <w:ind w:left="0"/>
        <w:jc w:val="left"/>
        <w:rPr>
          <w:rStyle w:val="Strong"/>
          <w:rFonts w:eastAsia="MS Mincho"/>
          <w:sz w:val="22"/>
          <w:szCs w:val="22"/>
        </w:rPr>
      </w:pPr>
      <w:bookmarkStart w:id="82" w:name="_Toc253578442"/>
      <w:bookmarkStart w:id="83" w:name="_Toc261170216"/>
      <w:r w:rsidRPr="009E5034">
        <w:rPr>
          <w:rStyle w:val="Strong"/>
          <w:rFonts w:eastAsia="MS Mincho"/>
          <w:sz w:val="22"/>
          <w:szCs w:val="22"/>
        </w:rPr>
        <w:t>6. Aperçu synthétique des problématiques environnementales majeures</w:t>
      </w:r>
      <w:bookmarkEnd w:id="82"/>
      <w:bookmarkEnd w:id="83"/>
    </w:p>
    <w:tbl>
      <w:tblPr>
        <w:tblW w:w="9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15"/>
        <w:gridCol w:w="2258"/>
        <w:gridCol w:w="5449"/>
      </w:tblGrid>
      <w:tr w:rsidR="00F164EF" w:rsidRPr="009E5034" w:rsidTr="00072CBC">
        <w:tc>
          <w:tcPr>
            <w:tcW w:w="4073" w:type="dxa"/>
            <w:gridSpan w:val="2"/>
          </w:tcPr>
          <w:p w:rsidR="00F164EF" w:rsidRPr="009E5034" w:rsidRDefault="00F164EF" w:rsidP="009E5034">
            <w:pPr>
              <w:pStyle w:val="Tableau"/>
              <w:ind w:left="1"/>
              <w:jc w:val="left"/>
              <w:rPr>
                <w:rStyle w:val="Heading2Char"/>
                <w:rFonts w:ascii="Times New Roman" w:hAnsi="Times New Roman" w:cs="Times New Roman"/>
                <w:sz w:val="22"/>
                <w:szCs w:val="22"/>
              </w:rPr>
            </w:pPr>
            <w:r w:rsidRPr="009E5034">
              <w:rPr>
                <w:sz w:val="22"/>
                <w:szCs w:val="22"/>
              </w:rPr>
              <w:t>Composantes</w:t>
            </w:r>
            <w:r w:rsidRPr="009E5034">
              <w:rPr>
                <w:bCs w:val="0"/>
                <w:sz w:val="22"/>
                <w:szCs w:val="22"/>
              </w:rPr>
              <w:t xml:space="preserve"> de l’environnement urbain</w:t>
            </w:r>
          </w:p>
        </w:tc>
        <w:tc>
          <w:tcPr>
            <w:tcW w:w="5449" w:type="dxa"/>
          </w:tcPr>
          <w:p w:rsidR="00F164EF" w:rsidRPr="009E5034" w:rsidRDefault="00F164EF" w:rsidP="009E5034">
            <w:pPr>
              <w:pStyle w:val="Tableau"/>
              <w:ind w:left="1"/>
              <w:jc w:val="left"/>
              <w:rPr>
                <w:sz w:val="22"/>
                <w:szCs w:val="22"/>
              </w:rPr>
            </w:pPr>
            <w:r w:rsidRPr="009E5034">
              <w:rPr>
                <w:sz w:val="22"/>
                <w:szCs w:val="22"/>
              </w:rPr>
              <w:t>Caractérisation des problématiques</w:t>
            </w:r>
          </w:p>
        </w:tc>
      </w:tr>
      <w:tr w:rsidR="00F164EF" w:rsidRPr="009E5034" w:rsidTr="00072CBC">
        <w:tc>
          <w:tcPr>
            <w:tcW w:w="1815" w:type="dxa"/>
            <w:vMerge w:val="restart"/>
            <w:vAlign w:val="center"/>
          </w:tcPr>
          <w:p w:rsidR="00F164EF" w:rsidRPr="009E5034" w:rsidRDefault="00F164EF" w:rsidP="009E5034">
            <w:pPr>
              <w:pStyle w:val="Tableau"/>
              <w:ind w:left="1"/>
              <w:jc w:val="left"/>
              <w:rPr>
                <w:sz w:val="22"/>
                <w:szCs w:val="22"/>
              </w:rPr>
            </w:pPr>
            <w:r w:rsidRPr="009E5034">
              <w:rPr>
                <w:sz w:val="22"/>
                <w:szCs w:val="22"/>
              </w:rPr>
              <w:t>Problématiques liées  aux ressources naturelles</w:t>
            </w:r>
          </w:p>
        </w:tc>
        <w:tc>
          <w:tcPr>
            <w:tcW w:w="2258" w:type="dxa"/>
            <w:vAlign w:val="center"/>
          </w:tcPr>
          <w:p w:rsidR="00F164EF" w:rsidRPr="009E5034" w:rsidRDefault="00F164EF" w:rsidP="009E5034">
            <w:pPr>
              <w:pStyle w:val="Tableau"/>
              <w:ind w:left="1"/>
              <w:jc w:val="left"/>
              <w:rPr>
                <w:rStyle w:val="Heading2Char"/>
                <w:rFonts w:ascii="Times New Roman" w:hAnsi="Times New Roman" w:cs="Times New Roman"/>
                <w:b w:val="0"/>
                <w:sz w:val="22"/>
                <w:szCs w:val="22"/>
              </w:rPr>
            </w:pPr>
            <w:r w:rsidRPr="009E5034">
              <w:rPr>
                <w:sz w:val="22"/>
                <w:szCs w:val="22"/>
              </w:rPr>
              <w:t>Qualité de l’air</w:t>
            </w:r>
          </w:p>
        </w:tc>
        <w:tc>
          <w:tcPr>
            <w:tcW w:w="5449" w:type="dxa"/>
            <w:vAlign w:val="center"/>
          </w:tcPr>
          <w:p w:rsidR="00F164EF" w:rsidRPr="009E5034" w:rsidRDefault="00F164EF" w:rsidP="009E5034">
            <w:pPr>
              <w:pStyle w:val="Tableau"/>
              <w:ind w:left="1"/>
              <w:jc w:val="left"/>
              <w:rPr>
                <w:rStyle w:val="Heading2Char"/>
                <w:rFonts w:ascii="Times New Roman" w:hAnsi="Times New Roman" w:cs="Times New Roman"/>
                <w:b w:val="0"/>
                <w:sz w:val="22"/>
                <w:szCs w:val="22"/>
              </w:rPr>
            </w:pPr>
            <w:r w:rsidRPr="009E5034">
              <w:rPr>
                <w:sz w:val="22"/>
                <w:szCs w:val="22"/>
              </w:rPr>
              <w:t xml:space="preserve">Absence de réseau de suivi de la qualité de l’air, mais consensus sur la dégradation </w:t>
            </w:r>
            <w:r w:rsidRPr="009E5034">
              <w:rPr>
                <w:rStyle w:val="Heading2Char"/>
                <w:rFonts w:ascii="Times New Roman" w:hAnsi="Times New Roman" w:cs="Times New Roman"/>
                <w:sz w:val="22"/>
                <w:szCs w:val="22"/>
              </w:rPr>
              <w:t>de l’air qualifiée de grave et préoccupante</w:t>
            </w:r>
          </w:p>
          <w:p w:rsidR="00F164EF" w:rsidRPr="009E5034" w:rsidRDefault="00F164EF" w:rsidP="009E5034">
            <w:pPr>
              <w:pStyle w:val="Tableau"/>
              <w:ind w:left="1"/>
              <w:jc w:val="left"/>
              <w:rPr>
                <w:rStyle w:val="Heading2Char"/>
                <w:rFonts w:ascii="Times New Roman" w:hAnsi="Times New Roman" w:cs="Times New Roman"/>
                <w:b w:val="0"/>
                <w:sz w:val="22"/>
                <w:szCs w:val="22"/>
              </w:rPr>
            </w:pPr>
            <w:r w:rsidRPr="009E5034">
              <w:rPr>
                <w:sz w:val="22"/>
                <w:szCs w:val="22"/>
              </w:rPr>
              <w:t>Plusieurs sources de pollution atmosphérique dans la capitale: le transport à cause de la vétusté des véhicules, la cuisine de bois, l’incinération des déchets, etc.</w:t>
            </w:r>
          </w:p>
        </w:tc>
      </w:tr>
      <w:tr w:rsidR="00F164EF" w:rsidRPr="009E5034" w:rsidTr="00072CBC">
        <w:tc>
          <w:tcPr>
            <w:tcW w:w="1815" w:type="dxa"/>
            <w:vMerge/>
            <w:vAlign w:val="center"/>
          </w:tcPr>
          <w:p w:rsidR="00F164EF" w:rsidRPr="009E5034" w:rsidRDefault="00F164EF" w:rsidP="009E5034">
            <w:pPr>
              <w:pStyle w:val="Tableau"/>
              <w:ind w:left="1"/>
              <w:jc w:val="left"/>
              <w:rPr>
                <w:sz w:val="22"/>
                <w:szCs w:val="22"/>
              </w:rPr>
            </w:pPr>
          </w:p>
        </w:tc>
        <w:tc>
          <w:tcPr>
            <w:tcW w:w="2258" w:type="dxa"/>
            <w:vAlign w:val="center"/>
          </w:tcPr>
          <w:p w:rsidR="00F164EF" w:rsidRPr="009E5034" w:rsidRDefault="00F164EF" w:rsidP="009E5034">
            <w:pPr>
              <w:pStyle w:val="Tableau"/>
              <w:ind w:left="1"/>
              <w:jc w:val="left"/>
              <w:rPr>
                <w:rStyle w:val="Heading2Char"/>
                <w:rFonts w:ascii="Times New Roman" w:hAnsi="Times New Roman" w:cs="Times New Roman"/>
                <w:b w:val="0"/>
                <w:sz w:val="22"/>
                <w:szCs w:val="22"/>
              </w:rPr>
            </w:pPr>
            <w:r w:rsidRPr="009E5034">
              <w:rPr>
                <w:sz w:val="22"/>
                <w:szCs w:val="22"/>
              </w:rPr>
              <w:t xml:space="preserve">Ressources en eau </w:t>
            </w:r>
          </w:p>
        </w:tc>
        <w:tc>
          <w:tcPr>
            <w:tcW w:w="5449" w:type="dxa"/>
            <w:vAlign w:val="center"/>
          </w:tcPr>
          <w:p w:rsidR="00F164EF" w:rsidRPr="009E5034" w:rsidRDefault="00F164EF" w:rsidP="009E5034">
            <w:pPr>
              <w:pStyle w:val="Tableau"/>
              <w:ind w:left="1"/>
              <w:jc w:val="left"/>
              <w:rPr>
                <w:sz w:val="22"/>
                <w:szCs w:val="22"/>
              </w:rPr>
            </w:pPr>
            <w:r w:rsidRPr="009E5034">
              <w:rPr>
                <w:sz w:val="22"/>
                <w:szCs w:val="22"/>
              </w:rPr>
              <w:t>Le fleuve Niger qui traverse Bamako constitue la principale source d’eau jouant le rôle d’un collecteur naturel des BV de la ville (500 km²) recevant des eaux souvent polluées (EU domestiques, EU des activités artisanales, ..)</w:t>
            </w:r>
          </w:p>
          <w:p w:rsidR="00F164EF" w:rsidRPr="009E5034" w:rsidRDefault="00F164EF" w:rsidP="009E5034">
            <w:pPr>
              <w:pStyle w:val="Tableau"/>
              <w:ind w:left="1"/>
              <w:jc w:val="left"/>
              <w:rPr>
                <w:rStyle w:val="Heading2Char"/>
                <w:rFonts w:ascii="Times New Roman" w:hAnsi="Times New Roman" w:cs="Times New Roman"/>
                <w:b w:val="0"/>
                <w:bCs/>
                <w:iCs w:val="0"/>
                <w:sz w:val="22"/>
                <w:szCs w:val="22"/>
              </w:rPr>
            </w:pPr>
            <w:r w:rsidRPr="009E5034">
              <w:rPr>
                <w:sz w:val="22"/>
                <w:szCs w:val="22"/>
              </w:rPr>
              <w:t>Pollution de la deuxième source d’eau à Bamako constituée par les systèmes aquifères, les couches de recouvrement majoritairement perméables favorisant ainsi l’infiltration de solutions polluées chargées en intrants agricoles, en eaux usées et en lixiviats (teneur en nitrites dans les puits de Bozola est de 2.23 mg/l contre la norme admise de 0.1 mg /l, elle est égale à 145.2 mg/l à Niaréla).</w:t>
            </w:r>
          </w:p>
        </w:tc>
      </w:tr>
      <w:tr w:rsidR="00F164EF" w:rsidRPr="009E5034" w:rsidTr="00072CBC">
        <w:tc>
          <w:tcPr>
            <w:tcW w:w="1815" w:type="dxa"/>
            <w:vMerge/>
            <w:vAlign w:val="center"/>
          </w:tcPr>
          <w:p w:rsidR="00F164EF" w:rsidRPr="009E5034" w:rsidRDefault="00F164EF" w:rsidP="009E5034">
            <w:pPr>
              <w:pStyle w:val="Tableau"/>
              <w:ind w:left="1"/>
              <w:jc w:val="left"/>
              <w:rPr>
                <w:sz w:val="22"/>
                <w:szCs w:val="22"/>
              </w:rPr>
            </w:pPr>
          </w:p>
        </w:tc>
        <w:tc>
          <w:tcPr>
            <w:tcW w:w="2258" w:type="dxa"/>
            <w:vAlign w:val="center"/>
          </w:tcPr>
          <w:p w:rsidR="00F164EF" w:rsidRPr="009E5034" w:rsidRDefault="00F164EF" w:rsidP="009E5034">
            <w:pPr>
              <w:pStyle w:val="Tableau"/>
              <w:ind w:left="1"/>
              <w:jc w:val="left"/>
              <w:rPr>
                <w:sz w:val="22"/>
                <w:szCs w:val="22"/>
              </w:rPr>
            </w:pPr>
            <w:r w:rsidRPr="009E5034">
              <w:rPr>
                <w:sz w:val="22"/>
                <w:szCs w:val="22"/>
              </w:rPr>
              <w:t>Végétation naturelle et forêts</w:t>
            </w:r>
          </w:p>
        </w:tc>
        <w:tc>
          <w:tcPr>
            <w:tcW w:w="5449" w:type="dxa"/>
            <w:vAlign w:val="center"/>
          </w:tcPr>
          <w:p w:rsidR="00F164EF" w:rsidRPr="009E5034" w:rsidRDefault="00F164EF" w:rsidP="009E5034">
            <w:pPr>
              <w:pStyle w:val="Tableau"/>
              <w:ind w:left="1"/>
              <w:jc w:val="left"/>
              <w:rPr>
                <w:rStyle w:val="Heading2Char"/>
                <w:rFonts w:ascii="Times New Roman" w:hAnsi="Times New Roman" w:cs="Times New Roman"/>
                <w:b w:val="0"/>
                <w:sz w:val="22"/>
                <w:szCs w:val="22"/>
              </w:rPr>
            </w:pPr>
            <w:r w:rsidRPr="009E5034">
              <w:rPr>
                <w:sz w:val="22"/>
                <w:szCs w:val="22"/>
              </w:rPr>
              <w:t xml:space="preserve">Trois forêts classées forment une boucle autour de Bamako (les Monts mandingues, </w:t>
            </w:r>
            <w:smartTag w:uri="urn:schemas-microsoft-com:office:smarttags" w:element="metricconverter">
              <w:smartTagPr>
                <w:attr w:name="ProductID" w:val="15.000 ha"/>
              </w:smartTagPr>
              <w:r w:rsidRPr="009E5034">
                <w:rPr>
                  <w:sz w:val="22"/>
                  <w:szCs w:val="22"/>
                </w:rPr>
                <w:t>15.000 ha</w:t>
              </w:r>
            </w:smartTag>
            <w:r w:rsidRPr="009E5034">
              <w:rPr>
                <w:sz w:val="22"/>
                <w:szCs w:val="22"/>
              </w:rPr>
              <w:t xml:space="preserve">, la Faya, </w:t>
            </w:r>
            <w:smartTag w:uri="urn:schemas-microsoft-com:office:smarttags" w:element="metricconverter">
              <w:smartTagPr>
                <w:attr w:name="ProductID" w:val="80.000 ha"/>
              </w:smartTagPr>
              <w:r w:rsidRPr="009E5034">
                <w:rPr>
                  <w:sz w:val="22"/>
                  <w:szCs w:val="22"/>
                </w:rPr>
                <w:t>80.000 ha</w:t>
              </w:r>
            </w:smartTag>
            <w:r w:rsidRPr="009E5034">
              <w:rPr>
                <w:sz w:val="22"/>
                <w:szCs w:val="22"/>
              </w:rPr>
              <w:t xml:space="preserve"> et la forêt du Sounsan </w:t>
            </w:r>
            <w:smartTag w:uri="urn:schemas-microsoft-com:office:smarttags" w:element="metricconverter">
              <w:smartTagPr>
                <w:attr w:name="ProductID" w:val="40.000 ha"/>
              </w:smartTagPr>
              <w:r w:rsidRPr="009E5034">
                <w:rPr>
                  <w:sz w:val="22"/>
                  <w:szCs w:val="22"/>
                </w:rPr>
                <w:t>40.000 ha</w:t>
              </w:r>
            </w:smartTag>
            <w:r w:rsidRPr="009E5034">
              <w:rPr>
                <w:sz w:val="22"/>
                <w:szCs w:val="22"/>
              </w:rPr>
              <w:t>),</w:t>
            </w:r>
          </w:p>
          <w:p w:rsidR="00F164EF" w:rsidRPr="009E5034" w:rsidRDefault="00F164EF" w:rsidP="009E5034">
            <w:pPr>
              <w:pStyle w:val="Tableau"/>
              <w:ind w:left="1"/>
              <w:jc w:val="left"/>
              <w:rPr>
                <w:sz w:val="22"/>
                <w:szCs w:val="22"/>
              </w:rPr>
            </w:pPr>
            <w:r w:rsidRPr="009E5034">
              <w:rPr>
                <w:sz w:val="22"/>
                <w:szCs w:val="22"/>
              </w:rPr>
              <w:t>Apport économique des forêts classées ainsi qu’un rôle écologique,</w:t>
            </w:r>
          </w:p>
          <w:p w:rsidR="00F164EF" w:rsidRPr="009E5034" w:rsidRDefault="00F164EF" w:rsidP="009E5034">
            <w:pPr>
              <w:pStyle w:val="Tableau"/>
              <w:ind w:left="1"/>
              <w:jc w:val="left"/>
              <w:rPr>
                <w:sz w:val="22"/>
                <w:szCs w:val="22"/>
              </w:rPr>
            </w:pPr>
            <w:r w:rsidRPr="009E5034">
              <w:rPr>
                <w:sz w:val="22"/>
                <w:szCs w:val="22"/>
              </w:rPr>
              <w:t>Agrandissement de la ville avec des modes de vie villageois: coupe anarchique des arbres et détérioration de la biomasse pour l’alimentation des troupeaux.</w:t>
            </w:r>
          </w:p>
          <w:p w:rsidR="00F164EF" w:rsidRPr="009E5034" w:rsidRDefault="00F164EF" w:rsidP="009E5034">
            <w:pPr>
              <w:pStyle w:val="Tableau"/>
              <w:ind w:left="1"/>
              <w:jc w:val="left"/>
              <w:rPr>
                <w:rStyle w:val="Heading2Char"/>
                <w:rFonts w:ascii="Times New Roman" w:hAnsi="Times New Roman" w:cs="Times New Roman"/>
                <w:b w:val="0"/>
                <w:sz w:val="22"/>
                <w:szCs w:val="22"/>
              </w:rPr>
            </w:pPr>
            <w:r w:rsidRPr="009E5034">
              <w:rPr>
                <w:sz w:val="22"/>
                <w:szCs w:val="22"/>
              </w:rPr>
              <w:t>Empiètement des opérateurs économiques sur les espaces verts (piratage foncier): sites d’espaces verts occupés par des constructions ou toute autre activité économique et commerciale.</w:t>
            </w:r>
          </w:p>
          <w:p w:rsidR="00F164EF" w:rsidRPr="009E5034" w:rsidRDefault="00F164EF" w:rsidP="009E5034">
            <w:pPr>
              <w:pStyle w:val="Tableau"/>
              <w:ind w:left="1"/>
              <w:jc w:val="left"/>
              <w:rPr>
                <w:rStyle w:val="Heading2Char"/>
                <w:rFonts w:ascii="Times New Roman" w:hAnsi="Times New Roman" w:cs="Times New Roman"/>
                <w:b w:val="0"/>
                <w:sz w:val="22"/>
                <w:szCs w:val="22"/>
              </w:rPr>
            </w:pPr>
            <w:r w:rsidRPr="009E5034">
              <w:rPr>
                <w:sz w:val="22"/>
                <w:szCs w:val="22"/>
              </w:rPr>
              <w:t>Exploitation massive pour la production du bois de chauffe (150.000 tonnes par an).</w:t>
            </w:r>
          </w:p>
        </w:tc>
      </w:tr>
      <w:tr w:rsidR="00F164EF" w:rsidRPr="009E5034" w:rsidTr="00072CBC">
        <w:tc>
          <w:tcPr>
            <w:tcW w:w="1815" w:type="dxa"/>
            <w:vMerge/>
          </w:tcPr>
          <w:p w:rsidR="00F164EF" w:rsidRPr="009E5034" w:rsidRDefault="00F164EF" w:rsidP="009E5034">
            <w:pPr>
              <w:pStyle w:val="Tableau"/>
              <w:ind w:left="1"/>
              <w:jc w:val="left"/>
              <w:rPr>
                <w:sz w:val="22"/>
                <w:szCs w:val="22"/>
              </w:rPr>
            </w:pPr>
          </w:p>
        </w:tc>
        <w:tc>
          <w:tcPr>
            <w:tcW w:w="2258" w:type="dxa"/>
            <w:vAlign w:val="center"/>
          </w:tcPr>
          <w:p w:rsidR="00F164EF" w:rsidRPr="009E5034" w:rsidRDefault="00F164EF" w:rsidP="009E5034">
            <w:pPr>
              <w:pStyle w:val="Tableau"/>
              <w:ind w:left="1"/>
              <w:jc w:val="left"/>
              <w:rPr>
                <w:sz w:val="22"/>
                <w:szCs w:val="22"/>
              </w:rPr>
            </w:pPr>
            <w:r w:rsidRPr="009E5034">
              <w:rPr>
                <w:sz w:val="22"/>
                <w:szCs w:val="22"/>
              </w:rPr>
              <w:t>Terres agricoles</w:t>
            </w:r>
          </w:p>
          <w:p w:rsidR="00F164EF" w:rsidRPr="009E5034" w:rsidRDefault="00F164EF" w:rsidP="009E5034">
            <w:pPr>
              <w:pStyle w:val="Tableau"/>
              <w:ind w:left="1"/>
              <w:jc w:val="left"/>
              <w:rPr>
                <w:sz w:val="22"/>
                <w:szCs w:val="22"/>
              </w:rPr>
            </w:pPr>
          </w:p>
        </w:tc>
        <w:tc>
          <w:tcPr>
            <w:tcW w:w="5449" w:type="dxa"/>
            <w:vAlign w:val="center"/>
          </w:tcPr>
          <w:p w:rsidR="00F164EF" w:rsidRPr="009E5034" w:rsidRDefault="00F164EF" w:rsidP="009E5034">
            <w:pPr>
              <w:pStyle w:val="Tableau"/>
              <w:ind w:left="1"/>
              <w:jc w:val="left"/>
              <w:rPr>
                <w:sz w:val="22"/>
                <w:szCs w:val="22"/>
              </w:rPr>
            </w:pPr>
            <w:r w:rsidRPr="009E5034">
              <w:rPr>
                <w:sz w:val="22"/>
                <w:szCs w:val="22"/>
              </w:rPr>
              <w:t>forte compétition foncière entre l’agriculture urbaine et l’habitat</w:t>
            </w:r>
            <w:r w:rsidRPr="009E5034">
              <w:rPr>
                <w:rStyle w:val="Heading2Char"/>
                <w:rFonts w:ascii="Times New Roman" w:hAnsi="Times New Roman" w:cs="Times New Roman"/>
                <w:sz w:val="22"/>
                <w:szCs w:val="22"/>
              </w:rPr>
              <w:t xml:space="preserve"> (</w:t>
            </w:r>
            <w:smartTag w:uri="urn:schemas-microsoft-com:office:smarttags" w:element="metricconverter">
              <w:smartTagPr>
                <w:attr w:name="ProductID" w:val="300 ha"/>
              </w:smartTagPr>
              <w:r w:rsidRPr="009E5034">
                <w:rPr>
                  <w:sz w:val="22"/>
                  <w:szCs w:val="22"/>
                </w:rPr>
                <w:t>300 ha</w:t>
              </w:r>
            </w:smartTag>
            <w:r w:rsidRPr="009E5034">
              <w:rPr>
                <w:sz w:val="22"/>
                <w:szCs w:val="22"/>
              </w:rPr>
              <w:t xml:space="preserve"> soit 1,6 % de la superficie du District de Bamako)</w:t>
            </w:r>
          </w:p>
          <w:p w:rsidR="00F164EF" w:rsidRPr="009E5034" w:rsidRDefault="00F164EF" w:rsidP="009E5034">
            <w:pPr>
              <w:pStyle w:val="Tableau"/>
              <w:ind w:left="1"/>
              <w:jc w:val="left"/>
              <w:rPr>
                <w:rStyle w:val="Heading2Char"/>
                <w:rFonts w:ascii="Times New Roman" w:hAnsi="Times New Roman" w:cs="Times New Roman"/>
                <w:b w:val="0"/>
                <w:sz w:val="22"/>
                <w:szCs w:val="22"/>
              </w:rPr>
            </w:pPr>
            <w:r w:rsidRPr="009E5034">
              <w:rPr>
                <w:sz w:val="22"/>
                <w:szCs w:val="22"/>
              </w:rPr>
              <w:t>Les espaces maraîchers sont en diminution, pour ne plus représenter que 1/5 environ de ce qu’ils étaient en 1960,</w:t>
            </w:r>
          </w:p>
          <w:p w:rsidR="00F164EF" w:rsidRPr="009E5034" w:rsidRDefault="00F164EF" w:rsidP="00E547B2">
            <w:pPr>
              <w:pStyle w:val="Tableau"/>
              <w:ind w:left="1"/>
              <w:jc w:val="left"/>
              <w:rPr>
                <w:rStyle w:val="Heading2Char"/>
                <w:rFonts w:ascii="Times New Roman" w:hAnsi="Times New Roman" w:cs="Times New Roman"/>
                <w:b w:val="0"/>
                <w:sz w:val="22"/>
                <w:szCs w:val="22"/>
              </w:rPr>
            </w:pPr>
            <w:r w:rsidRPr="009E5034">
              <w:rPr>
                <w:sz w:val="22"/>
                <w:szCs w:val="22"/>
              </w:rPr>
              <w:t>Pollution des terres agricoles: pesticides et engrais chimiques, eaux de d’irrigation polluées.</w:t>
            </w:r>
          </w:p>
        </w:tc>
      </w:tr>
      <w:tr w:rsidR="00F164EF" w:rsidRPr="009E5034" w:rsidTr="00072CBC">
        <w:tc>
          <w:tcPr>
            <w:tcW w:w="1815" w:type="dxa"/>
            <w:vMerge w:val="restart"/>
            <w:vAlign w:val="center"/>
          </w:tcPr>
          <w:p w:rsidR="00F164EF" w:rsidRPr="009E5034" w:rsidRDefault="00F164EF" w:rsidP="009E5034">
            <w:pPr>
              <w:pStyle w:val="Tableau"/>
              <w:ind w:left="1"/>
              <w:jc w:val="left"/>
              <w:rPr>
                <w:sz w:val="22"/>
                <w:szCs w:val="22"/>
              </w:rPr>
            </w:pPr>
            <w:r w:rsidRPr="009E5034">
              <w:rPr>
                <w:sz w:val="22"/>
                <w:szCs w:val="22"/>
              </w:rPr>
              <w:t xml:space="preserve">Problématiques liées à la gestion de l’environnement </w:t>
            </w:r>
          </w:p>
        </w:tc>
        <w:tc>
          <w:tcPr>
            <w:tcW w:w="2258" w:type="dxa"/>
            <w:vAlign w:val="center"/>
          </w:tcPr>
          <w:p w:rsidR="00F164EF" w:rsidRPr="009E5034" w:rsidRDefault="00F164EF" w:rsidP="009E5034">
            <w:pPr>
              <w:pStyle w:val="Tableau"/>
              <w:ind w:left="1"/>
              <w:jc w:val="left"/>
              <w:rPr>
                <w:sz w:val="22"/>
                <w:szCs w:val="22"/>
              </w:rPr>
            </w:pPr>
            <w:r w:rsidRPr="009E5034">
              <w:rPr>
                <w:sz w:val="22"/>
                <w:szCs w:val="22"/>
              </w:rPr>
              <w:t>Accès à l’eau potable</w:t>
            </w:r>
          </w:p>
        </w:tc>
        <w:tc>
          <w:tcPr>
            <w:tcW w:w="5449" w:type="dxa"/>
            <w:vAlign w:val="center"/>
          </w:tcPr>
          <w:p w:rsidR="00F164EF" w:rsidRPr="009E5034" w:rsidRDefault="00F164EF" w:rsidP="009E5034">
            <w:pPr>
              <w:pStyle w:val="Tableau"/>
              <w:ind w:left="1"/>
              <w:jc w:val="left"/>
              <w:rPr>
                <w:sz w:val="22"/>
                <w:szCs w:val="22"/>
              </w:rPr>
            </w:pPr>
            <w:r w:rsidRPr="009E5034">
              <w:rPr>
                <w:sz w:val="22"/>
                <w:szCs w:val="22"/>
              </w:rPr>
              <w:t>Utilisation de plusieurs sources d’eau: puits de surface, borne fontaine, branchement privé, approvisionnement direct des eaux du fleuve: 73.6% de la population utilise les eaux des puits dont 65.5% en accompagnement avec d’autres sources et 8.1% comme source unique y compris pour la boisson,</w:t>
            </w:r>
          </w:p>
          <w:p w:rsidR="00F164EF" w:rsidRPr="009E5034" w:rsidRDefault="00F164EF" w:rsidP="009E5034">
            <w:pPr>
              <w:pStyle w:val="Tableau"/>
              <w:ind w:left="1"/>
              <w:jc w:val="left"/>
              <w:rPr>
                <w:sz w:val="22"/>
                <w:szCs w:val="22"/>
              </w:rPr>
            </w:pPr>
            <w:r w:rsidRPr="009E5034">
              <w:rPr>
                <w:sz w:val="22"/>
                <w:szCs w:val="22"/>
              </w:rPr>
              <w:t>EDM est le principal fournisseur en eau potable de la ville de Bamako : population totale desservie: 75% (49% branchement privé et 26% bornes fontaines).</w:t>
            </w:r>
          </w:p>
          <w:p w:rsidR="00F164EF" w:rsidRPr="009E5034" w:rsidRDefault="00F164EF" w:rsidP="009E5034">
            <w:pPr>
              <w:pStyle w:val="Tableau"/>
              <w:ind w:left="1"/>
              <w:jc w:val="left"/>
              <w:rPr>
                <w:rStyle w:val="Heading2Char"/>
                <w:rFonts w:ascii="Times New Roman" w:hAnsi="Times New Roman" w:cs="Times New Roman"/>
                <w:b w:val="0"/>
                <w:sz w:val="22"/>
                <w:szCs w:val="22"/>
              </w:rPr>
            </w:pPr>
            <w:r w:rsidRPr="009E5034">
              <w:rPr>
                <w:sz w:val="22"/>
                <w:szCs w:val="22"/>
              </w:rPr>
              <w:t>Les puits traditionnels ne disposent pas d’étanchéités latérales et souvent situés à proximité des latrines présentant une grande vulnérabilité à la contamination fécale. L’eau puisée dans ces puits se révèle souvent impropre à la consommation</w:t>
            </w:r>
            <w:r w:rsidRPr="009E5034">
              <w:rPr>
                <w:rStyle w:val="Heading2Char"/>
                <w:rFonts w:ascii="Times New Roman" w:hAnsi="Times New Roman" w:cs="Times New Roman"/>
                <w:sz w:val="22"/>
                <w:szCs w:val="22"/>
              </w:rPr>
              <w:t>.</w:t>
            </w:r>
          </w:p>
        </w:tc>
      </w:tr>
      <w:tr w:rsidR="00F164EF" w:rsidRPr="009E5034" w:rsidTr="00072CBC">
        <w:tc>
          <w:tcPr>
            <w:tcW w:w="1815" w:type="dxa"/>
            <w:vMerge/>
          </w:tcPr>
          <w:p w:rsidR="00F164EF" w:rsidRPr="009E5034" w:rsidRDefault="00F164EF" w:rsidP="009E5034">
            <w:pPr>
              <w:pStyle w:val="Tableau"/>
              <w:ind w:left="1"/>
              <w:jc w:val="left"/>
              <w:rPr>
                <w:rStyle w:val="Heading2Char"/>
                <w:rFonts w:ascii="Times New Roman" w:hAnsi="Times New Roman" w:cs="Times New Roman"/>
                <w:sz w:val="22"/>
                <w:szCs w:val="22"/>
              </w:rPr>
            </w:pPr>
          </w:p>
        </w:tc>
        <w:tc>
          <w:tcPr>
            <w:tcW w:w="2258" w:type="dxa"/>
            <w:vAlign w:val="center"/>
          </w:tcPr>
          <w:p w:rsidR="00F164EF" w:rsidRPr="009E5034" w:rsidRDefault="00F164EF" w:rsidP="009E5034">
            <w:pPr>
              <w:pStyle w:val="Tableau"/>
              <w:ind w:left="1"/>
              <w:jc w:val="left"/>
              <w:rPr>
                <w:rStyle w:val="Heading2Char"/>
                <w:rFonts w:ascii="Times New Roman" w:hAnsi="Times New Roman" w:cs="Times New Roman"/>
                <w:b w:val="0"/>
                <w:sz w:val="22"/>
                <w:szCs w:val="22"/>
              </w:rPr>
            </w:pPr>
            <w:r w:rsidRPr="009E5034">
              <w:rPr>
                <w:sz w:val="22"/>
                <w:szCs w:val="22"/>
              </w:rPr>
              <w:t>Gestion des eaux usées</w:t>
            </w:r>
          </w:p>
        </w:tc>
        <w:tc>
          <w:tcPr>
            <w:tcW w:w="5449" w:type="dxa"/>
          </w:tcPr>
          <w:p w:rsidR="00F164EF" w:rsidRPr="009E5034" w:rsidRDefault="00F164EF" w:rsidP="009E5034">
            <w:pPr>
              <w:pStyle w:val="Tableau"/>
              <w:ind w:left="1"/>
              <w:jc w:val="left"/>
              <w:rPr>
                <w:sz w:val="22"/>
                <w:szCs w:val="22"/>
              </w:rPr>
            </w:pPr>
            <w:r w:rsidRPr="009E5034">
              <w:rPr>
                <w:sz w:val="22"/>
                <w:szCs w:val="22"/>
              </w:rPr>
              <w:t xml:space="preserve">le pourcentage de la population couverte par des réseaux d’égouts actuellement est de 2.3%. </w:t>
            </w:r>
          </w:p>
          <w:p w:rsidR="00F164EF" w:rsidRPr="009E5034" w:rsidRDefault="00F164EF" w:rsidP="009E5034">
            <w:pPr>
              <w:pStyle w:val="Tableau"/>
              <w:ind w:left="1"/>
              <w:jc w:val="left"/>
              <w:rPr>
                <w:sz w:val="22"/>
                <w:szCs w:val="22"/>
              </w:rPr>
            </w:pPr>
            <w:r w:rsidRPr="009E5034">
              <w:rPr>
                <w:sz w:val="22"/>
                <w:szCs w:val="22"/>
              </w:rPr>
              <w:t>Les eaux usées sont rejetées sur la voie publique, dans des puisards, dans les caniveaux destinés aux eaux pluviales ou bien dans des fosses sceptiques (60% de la population jettent ses eaux usées grises à l’extérieur de leurs concessions dans la rue ou dans les caniveaux).</w:t>
            </w:r>
          </w:p>
          <w:p w:rsidR="00F164EF" w:rsidRPr="009E5034" w:rsidRDefault="00F164EF" w:rsidP="009E5034">
            <w:pPr>
              <w:pStyle w:val="Tableau"/>
              <w:ind w:left="1"/>
              <w:jc w:val="left"/>
              <w:rPr>
                <w:rStyle w:val="Heading2Char"/>
                <w:rFonts w:ascii="Times New Roman" w:hAnsi="Times New Roman" w:cs="Times New Roman"/>
                <w:b w:val="0"/>
                <w:bCs/>
                <w:iCs w:val="0"/>
                <w:sz w:val="22"/>
                <w:szCs w:val="22"/>
              </w:rPr>
            </w:pPr>
            <w:r w:rsidRPr="009E5034">
              <w:rPr>
                <w:sz w:val="22"/>
                <w:szCs w:val="22"/>
              </w:rPr>
              <w:t>Les fosses sont vidées occasionnellement et déversées dans le milieu naturel à l’extérieur de la ville.</w:t>
            </w:r>
          </w:p>
        </w:tc>
      </w:tr>
      <w:tr w:rsidR="00F164EF" w:rsidRPr="009E5034" w:rsidTr="00072CBC">
        <w:tc>
          <w:tcPr>
            <w:tcW w:w="1815" w:type="dxa"/>
            <w:vMerge/>
          </w:tcPr>
          <w:p w:rsidR="00F164EF" w:rsidRPr="009E5034" w:rsidRDefault="00F164EF" w:rsidP="009E5034">
            <w:pPr>
              <w:pStyle w:val="Tableau"/>
              <w:ind w:left="1"/>
              <w:jc w:val="left"/>
              <w:rPr>
                <w:rStyle w:val="Heading2Char"/>
                <w:rFonts w:ascii="Times New Roman" w:hAnsi="Times New Roman" w:cs="Times New Roman"/>
                <w:sz w:val="22"/>
                <w:szCs w:val="22"/>
              </w:rPr>
            </w:pPr>
          </w:p>
        </w:tc>
        <w:tc>
          <w:tcPr>
            <w:tcW w:w="2258" w:type="dxa"/>
            <w:vAlign w:val="center"/>
          </w:tcPr>
          <w:p w:rsidR="00F164EF" w:rsidRPr="009E5034" w:rsidRDefault="00F164EF" w:rsidP="009E5034">
            <w:pPr>
              <w:pStyle w:val="Tableau"/>
              <w:ind w:left="1"/>
              <w:jc w:val="left"/>
              <w:rPr>
                <w:rStyle w:val="Heading2Char"/>
                <w:rFonts w:ascii="Times New Roman" w:hAnsi="Times New Roman" w:cs="Times New Roman"/>
                <w:b w:val="0"/>
                <w:sz w:val="22"/>
                <w:szCs w:val="22"/>
              </w:rPr>
            </w:pPr>
            <w:r w:rsidRPr="009E5034">
              <w:rPr>
                <w:sz w:val="22"/>
                <w:szCs w:val="22"/>
              </w:rPr>
              <w:t xml:space="preserve">Gestion des déchets solides </w:t>
            </w:r>
          </w:p>
        </w:tc>
        <w:tc>
          <w:tcPr>
            <w:tcW w:w="5449" w:type="dxa"/>
          </w:tcPr>
          <w:p w:rsidR="00F164EF" w:rsidRPr="009E5034" w:rsidRDefault="00F164EF" w:rsidP="009E5034">
            <w:pPr>
              <w:pStyle w:val="Tableau"/>
              <w:ind w:left="1"/>
              <w:jc w:val="left"/>
              <w:rPr>
                <w:sz w:val="22"/>
                <w:szCs w:val="22"/>
              </w:rPr>
            </w:pPr>
            <w:r w:rsidRPr="009E5034">
              <w:rPr>
                <w:sz w:val="22"/>
                <w:szCs w:val="22"/>
              </w:rPr>
              <w:t>Production journalière de déchets ménagers de la ville de Bamako est de 2100 m3/j.</w:t>
            </w:r>
          </w:p>
          <w:p w:rsidR="00F164EF" w:rsidRPr="009E5034" w:rsidRDefault="00F164EF" w:rsidP="009E5034">
            <w:pPr>
              <w:pStyle w:val="Tableau"/>
              <w:ind w:left="1"/>
              <w:jc w:val="left"/>
              <w:rPr>
                <w:rStyle w:val="Heading2Char"/>
                <w:rFonts w:ascii="Times New Roman" w:hAnsi="Times New Roman" w:cs="Times New Roman"/>
                <w:b w:val="0"/>
                <w:sz w:val="22"/>
                <w:szCs w:val="22"/>
              </w:rPr>
            </w:pPr>
            <w:r w:rsidRPr="009E5034">
              <w:rPr>
                <w:sz w:val="22"/>
                <w:szCs w:val="22"/>
              </w:rPr>
              <w:t>On dénombre à Bamako un très grand nombre dépotoirs sauvages (300 selon le rapport Etat de l’Environnement au Mali de 2005). Le taux de collecte des déchets ménagers est de 60%.</w:t>
            </w:r>
          </w:p>
        </w:tc>
      </w:tr>
      <w:tr w:rsidR="00F164EF" w:rsidRPr="009E5034" w:rsidTr="00072CBC">
        <w:tc>
          <w:tcPr>
            <w:tcW w:w="1815" w:type="dxa"/>
            <w:vMerge/>
          </w:tcPr>
          <w:p w:rsidR="00F164EF" w:rsidRPr="009E5034" w:rsidRDefault="00F164EF" w:rsidP="009E5034">
            <w:pPr>
              <w:pStyle w:val="Tableau"/>
              <w:ind w:left="1"/>
              <w:jc w:val="left"/>
              <w:rPr>
                <w:rStyle w:val="Heading2Char"/>
                <w:rFonts w:ascii="Times New Roman" w:hAnsi="Times New Roman" w:cs="Times New Roman"/>
                <w:sz w:val="22"/>
                <w:szCs w:val="22"/>
              </w:rPr>
            </w:pPr>
          </w:p>
        </w:tc>
        <w:tc>
          <w:tcPr>
            <w:tcW w:w="2258" w:type="dxa"/>
            <w:vAlign w:val="center"/>
          </w:tcPr>
          <w:p w:rsidR="00F164EF" w:rsidRPr="009E5034" w:rsidRDefault="00F164EF" w:rsidP="009E5034">
            <w:pPr>
              <w:pStyle w:val="Tableau"/>
              <w:ind w:left="1"/>
              <w:jc w:val="left"/>
              <w:rPr>
                <w:sz w:val="22"/>
                <w:szCs w:val="22"/>
              </w:rPr>
            </w:pPr>
            <w:r w:rsidRPr="009E5034">
              <w:rPr>
                <w:sz w:val="22"/>
                <w:szCs w:val="22"/>
              </w:rPr>
              <w:t>Gestion des eaux pluviales et contrôle des inondations</w:t>
            </w:r>
          </w:p>
        </w:tc>
        <w:tc>
          <w:tcPr>
            <w:tcW w:w="5449" w:type="dxa"/>
          </w:tcPr>
          <w:p w:rsidR="00F164EF" w:rsidRPr="009E5034" w:rsidRDefault="00F164EF" w:rsidP="009E5034">
            <w:pPr>
              <w:pStyle w:val="Tableau"/>
              <w:ind w:left="1"/>
              <w:jc w:val="left"/>
              <w:rPr>
                <w:sz w:val="22"/>
                <w:szCs w:val="22"/>
              </w:rPr>
            </w:pPr>
            <w:r w:rsidRPr="009E5034">
              <w:rPr>
                <w:sz w:val="22"/>
                <w:szCs w:val="22"/>
              </w:rPr>
              <w:t>Absence à Bamako de décharge contrôlée, un terrain est disponible en attente du financement pour un projet de décharge contrôlée.</w:t>
            </w:r>
          </w:p>
          <w:p w:rsidR="00F164EF" w:rsidRPr="009E5034" w:rsidRDefault="00F164EF" w:rsidP="009E5034">
            <w:pPr>
              <w:pStyle w:val="Tableau"/>
              <w:ind w:left="1"/>
              <w:jc w:val="left"/>
              <w:rPr>
                <w:rStyle w:val="Heading2Char"/>
                <w:rFonts w:ascii="Times New Roman" w:hAnsi="Times New Roman" w:cs="Times New Roman"/>
                <w:b w:val="0"/>
                <w:bCs/>
                <w:iCs w:val="0"/>
                <w:sz w:val="22"/>
                <w:szCs w:val="22"/>
              </w:rPr>
            </w:pPr>
            <w:r w:rsidRPr="009E5034">
              <w:rPr>
                <w:sz w:val="22"/>
                <w:szCs w:val="22"/>
              </w:rPr>
              <w:t>le pourcentage des zones urbaines couvertes par des réseaux de caniveaux se limite à 17% (une nuance pour la commune 2 : 45% et la commune 3 : 44%).</w:t>
            </w:r>
          </w:p>
        </w:tc>
      </w:tr>
      <w:tr w:rsidR="00F164EF" w:rsidRPr="009E5034" w:rsidTr="00072CBC">
        <w:tc>
          <w:tcPr>
            <w:tcW w:w="1815" w:type="dxa"/>
            <w:vMerge/>
          </w:tcPr>
          <w:p w:rsidR="00F164EF" w:rsidRPr="009E5034" w:rsidRDefault="00F164EF" w:rsidP="009E5034">
            <w:pPr>
              <w:pStyle w:val="Tableau"/>
              <w:ind w:left="1"/>
              <w:jc w:val="left"/>
              <w:rPr>
                <w:rStyle w:val="Heading2Char"/>
                <w:rFonts w:ascii="Times New Roman" w:hAnsi="Times New Roman" w:cs="Times New Roman"/>
                <w:sz w:val="22"/>
                <w:szCs w:val="22"/>
              </w:rPr>
            </w:pPr>
          </w:p>
        </w:tc>
        <w:tc>
          <w:tcPr>
            <w:tcW w:w="2258" w:type="dxa"/>
            <w:vAlign w:val="center"/>
          </w:tcPr>
          <w:p w:rsidR="00F164EF" w:rsidRPr="009E5034" w:rsidRDefault="00F164EF" w:rsidP="009E5034">
            <w:pPr>
              <w:pStyle w:val="Tableau"/>
              <w:ind w:left="1"/>
              <w:jc w:val="left"/>
              <w:rPr>
                <w:rStyle w:val="Heading2Char"/>
                <w:rFonts w:ascii="Times New Roman" w:hAnsi="Times New Roman" w:cs="Times New Roman"/>
                <w:b w:val="0"/>
                <w:sz w:val="22"/>
                <w:szCs w:val="22"/>
              </w:rPr>
            </w:pPr>
            <w:r w:rsidRPr="009E5034">
              <w:rPr>
                <w:sz w:val="22"/>
                <w:szCs w:val="22"/>
              </w:rPr>
              <w:t xml:space="preserve">Utilisation de l’énergie </w:t>
            </w:r>
          </w:p>
        </w:tc>
        <w:tc>
          <w:tcPr>
            <w:tcW w:w="5449" w:type="dxa"/>
          </w:tcPr>
          <w:p w:rsidR="00F164EF" w:rsidRPr="009E5034" w:rsidRDefault="00F164EF" w:rsidP="009E5034">
            <w:pPr>
              <w:pStyle w:val="Tableau"/>
              <w:ind w:left="1"/>
              <w:jc w:val="left"/>
              <w:rPr>
                <w:sz w:val="22"/>
                <w:szCs w:val="22"/>
              </w:rPr>
            </w:pPr>
            <w:r w:rsidRPr="009E5034">
              <w:rPr>
                <w:sz w:val="22"/>
                <w:szCs w:val="22"/>
              </w:rPr>
              <w:t xml:space="preserve">Forte consommation de bois énergie de Bamako a atteint la barre de 1.000.000 de tonnes par an, soit un peu moins de 2 kilos de bois par jour et par habitant. </w:t>
            </w:r>
          </w:p>
          <w:p w:rsidR="00F164EF" w:rsidRPr="009E5034" w:rsidRDefault="00F164EF" w:rsidP="009E5034">
            <w:pPr>
              <w:pStyle w:val="Tableau"/>
              <w:ind w:left="1"/>
              <w:jc w:val="left"/>
              <w:rPr>
                <w:rStyle w:val="Heading2Char"/>
                <w:rFonts w:ascii="Times New Roman" w:hAnsi="Times New Roman" w:cs="Times New Roman"/>
                <w:b w:val="0"/>
                <w:sz w:val="22"/>
                <w:szCs w:val="22"/>
              </w:rPr>
            </w:pPr>
            <w:r w:rsidRPr="009E5034">
              <w:rPr>
                <w:sz w:val="22"/>
                <w:szCs w:val="22"/>
              </w:rPr>
              <w:t>La part de contribution des trois forêts classées limitrophes à Bamako à l'approvisionnement de la capitale en perpétuelle évolution passant de 4% en 1994 à plus de 15% en 2000.</w:t>
            </w:r>
          </w:p>
        </w:tc>
      </w:tr>
      <w:tr w:rsidR="00F164EF" w:rsidRPr="009E5034" w:rsidTr="00072CBC">
        <w:tc>
          <w:tcPr>
            <w:tcW w:w="1815" w:type="dxa"/>
            <w:vMerge/>
          </w:tcPr>
          <w:p w:rsidR="00F164EF" w:rsidRPr="009E5034" w:rsidRDefault="00F164EF" w:rsidP="009E5034">
            <w:pPr>
              <w:pStyle w:val="Tableau"/>
              <w:ind w:left="1"/>
              <w:jc w:val="left"/>
              <w:rPr>
                <w:rStyle w:val="Heading2Char"/>
                <w:rFonts w:ascii="Times New Roman" w:hAnsi="Times New Roman" w:cs="Times New Roman"/>
                <w:sz w:val="22"/>
                <w:szCs w:val="22"/>
              </w:rPr>
            </w:pPr>
          </w:p>
        </w:tc>
        <w:tc>
          <w:tcPr>
            <w:tcW w:w="2258" w:type="dxa"/>
            <w:vAlign w:val="center"/>
          </w:tcPr>
          <w:p w:rsidR="00F164EF" w:rsidRPr="009E5034" w:rsidRDefault="00F164EF" w:rsidP="009E5034">
            <w:pPr>
              <w:pStyle w:val="Tableau"/>
              <w:ind w:left="1"/>
              <w:jc w:val="left"/>
              <w:rPr>
                <w:sz w:val="22"/>
                <w:szCs w:val="22"/>
              </w:rPr>
            </w:pPr>
            <w:r w:rsidRPr="009E5034">
              <w:rPr>
                <w:sz w:val="22"/>
                <w:szCs w:val="22"/>
              </w:rPr>
              <w:t>Santé</w:t>
            </w:r>
          </w:p>
        </w:tc>
        <w:tc>
          <w:tcPr>
            <w:tcW w:w="5449" w:type="dxa"/>
          </w:tcPr>
          <w:p w:rsidR="00F164EF" w:rsidRPr="009E5034" w:rsidRDefault="00F164EF" w:rsidP="009E5034">
            <w:pPr>
              <w:pStyle w:val="Tableau"/>
              <w:ind w:left="1"/>
              <w:jc w:val="left"/>
              <w:rPr>
                <w:sz w:val="22"/>
                <w:szCs w:val="22"/>
              </w:rPr>
            </w:pPr>
            <w:r w:rsidRPr="009E5034">
              <w:rPr>
                <w:sz w:val="22"/>
                <w:szCs w:val="22"/>
              </w:rPr>
              <w:t>prévalence des maladies liées à l’environnement et particulièrement à l’eau  et à la pollution atmosphérique</w:t>
            </w:r>
          </w:p>
          <w:p w:rsidR="00F164EF" w:rsidRPr="009E5034" w:rsidRDefault="00F164EF" w:rsidP="009E5034">
            <w:pPr>
              <w:pStyle w:val="Tableau"/>
              <w:ind w:left="1"/>
              <w:jc w:val="left"/>
              <w:rPr>
                <w:rStyle w:val="Heading2Char"/>
                <w:rFonts w:ascii="Times New Roman" w:hAnsi="Times New Roman" w:cs="Times New Roman"/>
                <w:b w:val="0"/>
                <w:sz w:val="22"/>
                <w:szCs w:val="22"/>
              </w:rPr>
            </w:pPr>
            <w:r w:rsidRPr="009E5034">
              <w:rPr>
                <w:sz w:val="22"/>
                <w:szCs w:val="22"/>
              </w:rPr>
              <w:t>Les trois principales atteintes à la santé sont : le paludisme (12% de la population atteinte en 2006), les infections respiratoires basses et hautes (30%) et la diarrhée (2%).</w:t>
            </w:r>
          </w:p>
        </w:tc>
      </w:tr>
      <w:tr w:rsidR="00F164EF" w:rsidRPr="009E5034" w:rsidTr="00072CBC">
        <w:tc>
          <w:tcPr>
            <w:tcW w:w="1815" w:type="dxa"/>
            <w:vMerge/>
          </w:tcPr>
          <w:p w:rsidR="00F164EF" w:rsidRPr="009E5034" w:rsidRDefault="00F164EF" w:rsidP="009E5034">
            <w:pPr>
              <w:pStyle w:val="Tableau"/>
              <w:ind w:left="1"/>
              <w:jc w:val="left"/>
              <w:rPr>
                <w:rStyle w:val="Heading2Char"/>
                <w:rFonts w:ascii="Times New Roman" w:hAnsi="Times New Roman" w:cs="Times New Roman"/>
                <w:sz w:val="22"/>
                <w:szCs w:val="22"/>
              </w:rPr>
            </w:pPr>
          </w:p>
        </w:tc>
        <w:tc>
          <w:tcPr>
            <w:tcW w:w="2258" w:type="dxa"/>
            <w:vAlign w:val="center"/>
          </w:tcPr>
          <w:p w:rsidR="00F164EF" w:rsidRPr="009E5034" w:rsidRDefault="00F164EF" w:rsidP="009E5034">
            <w:pPr>
              <w:pStyle w:val="Tableau"/>
              <w:ind w:left="1"/>
              <w:jc w:val="left"/>
              <w:rPr>
                <w:sz w:val="22"/>
                <w:szCs w:val="22"/>
              </w:rPr>
            </w:pPr>
            <w:r w:rsidRPr="009E5034">
              <w:rPr>
                <w:sz w:val="22"/>
                <w:szCs w:val="22"/>
              </w:rPr>
              <w:t>Transport urbain</w:t>
            </w:r>
          </w:p>
        </w:tc>
        <w:tc>
          <w:tcPr>
            <w:tcW w:w="5449" w:type="dxa"/>
          </w:tcPr>
          <w:p w:rsidR="00F164EF" w:rsidRPr="009E5034" w:rsidRDefault="00F164EF" w:rsidP="009E5034">
            <w:pPr>
              <w:pStyle w:val="Tableau"/>
              <w:ind w:left="1"/>
              <w:jc w:val="left"/>
              <w:rPr>
                <w:sz w:val="22"/>
                <w:szCs w:val="22"/>
              </w:rPr>
            </w:pPr>
            <w:r w:rsidRPr="009E5034">
              <w:rPr>
                <w:sz w:val="22"/>
                <w:szCs w:val="22"/>
              </w:rPr>
              <w:t>Les ¾ des véhicules du pays sont concentrés à Bamako.</w:t>
            </w:r>
          </w:p>
          <w:p w:rsidR="00F164EF" w:rsidRPr="009E5034" w:rsidRDefault="00F164EF" w:rsidP="009E5034">
            <w:pPr>
              <w:pStyle w:val="Tableau"/>
              <w:ind w:left="1"/>
              <w:jc w:val="left"/>
              <w:rPr>
                <w:sz w:val="22"/>
                <w:szCs w:val="22"/>
              </w:rPr>
            </w:pPr>
            <w:r w:rsidRPr="009E5034">
              <w:rPr>
                <w:sz w:val="22"/>
                <w:szCs w:val="22"/>
              </w:rPr>
              <w:t xml:space="preserve">L’âge moyen des véhicules est supérieur à 15 ans. </w:t>
            </w:r>
          </w:p>
          <w:p w:rsidR="00F164EF" w:rsidRPr="009E5034" w:rsidRDefault="00F164EF" w:rsidP="009E5034">
            <w:pPr>
              <w:pStyle w:val="Tableau"/>
              <w:ind w:left="1"/>
              <w:jc w:val="left"/>
              <w:rPr>
                <w:rStyle w:val="Heading2Char"/>
                <w:rFonts w:ascii="Times New Roman" w:hAnsi="Times New Roman" w:cs="Times New Roman"/>
                <w:b w:val="0"/>
                <w:sz w:val="22"/>
                <w:szCs w:val="22"/>
              </w:rPr>
            </w:pPr>
            <w:r w:rsidRPr="009E5034">
              <w:rPr>
                <w:sz w:val="22"/>
                <w:szCs w:val="22"/>
              </w:rPr>
              <w:t>La croissance du parc véhiculaire est actuellement de 8 à 10%, soit un doublement du parc d’ici moins de 10 ans.</w:t>
            </w:r>
          </w:p>
        </w:tc>
      </w:tr>
    </w:tbl>
    <w:p w:rsidR="00F164EF" w:rsidRPr="009E5034" w:rsidRDefault="00F164EF" w:rsidP="009E5034">
      <w:pPr>
        <w:ind w:left="0"/>
        <w:jc w:val="left"/>
        <w:rPr>
          <w:sz w:val="22"/>
          <w:szCs w:val="22"/>
        </w:rPr>
      </w:pPr>
    </w:p>
    <w:p w:rsidR="00F164EF" w:rsidRPr="009E5034" w:rsidRDefault="00F164EF" w:rsidP="000D57C1">
      <w:pPr>
        <w:pStyle w:val="Heading1"/>
      </w:pPr>
      <w:r w:rsidRPr="009E5034">
        <w:br w:type="page"/>
      </w:r>
      <w:bookmarkStart w:id="84" w:name="_Toc264716123"/>
      <w:bookmarkStart w:id="85" w:name="_Toc289855978"/>
      <w:r w:rsidR="000D57C1">
        <w:t>III.</w:t>
      </w:r>
      <w:r w:rsidR="000D57C1">
        <w:tab/>
      </w:r>
      <w:r w:rsidRPr="009E5034">
        <w:t>Profil environnemental de la ville de Gao</w:t>
      </w:r>
      <w:bookmarkEnd w:id="84"/>
      <w:bookmarkEnd w:id="85"/>
    </w:p>
    <w:p w:rsidR="00FC49A7" w:rsidRPr="009E5034" w:rsidRDefault="00FC49A7" w:rsidP="009E5034">
      <w:pPr>
        <w:rPr>
          <w:sz w:val="22"/>
          <w:szCs w:val="22"/>
        </w:rPr>
      </w:pPr>
    </w:p>
    <w:p w:rsidR="00F164EF" w:rsidRPr="009E5034" w:rsidRDefault="00F164EF" w:rsidP="009E5034">
      <w:pPr>
        <w:spacing w:after="240"/>
        <w:ind w:left="0"/>
        <w:jc w:val="left"/>
        <w:rPr>
          <w:rStyle w:val="Strong"/>
          <w:rFonts w:eastAsia="MS Mincho"/>
          <w:sz w:val="22"/>
          <w:szCs w:val="22"/>
        </w:rPr>
      </w:pPr>
      <w:bookmarkStart w:id="86" w:name="_Toc253581225"/>
      <w:bookmarkStart w:id="87" w:name="_Toc261170248"/>
      <w:r w:rsidRPr="009E5034">
        <w:rPr>
          <w:rStyle w:val="Strong"/>
          <w:rFonts w:eastAsia="MS Mincho"/>
          <w:sz w:val="22"/>
          <w:szCs w:val="22"/>
        </w:rPr>
        <w:t>1. Positionnement et principales caractéristiques naturelles de la ville</w:t>
      </w:r>
      <w:bookmarkEnd w:id="86"/>
      <w:bookmarkEnd w:id="87"/>
    </w:p>
    <w:p w:rsidR="00F164EF" w:rsidRPr="009E5034" w:rsidRDefault="00F164EF" w:rsidP="009E5034">
      <w:pPr>
        <w:spacing w:before="120" w:after="120"/>
        <w:ind w:left="0"/>
        <w:jc w:val="left"/>
        <w:rPr>
          <w:sz w:val="22"/>
          <w:szCs w:val="22"/>
        </w:rPr>
      </w:pPr>
      <w:r w:rsidRPr="009E5034">
        <w:rPr>
          <w:sz w:val="22"/>
          <w:szCs w:val="22"/>
        </w:rPr>
        <w:t>La ville de Gao est située sur le fleuve Niger à l’extrémité Nord Est du Mali, relativement à l’écart des grands centres de décision du pays. Toutefois et grâce à sa situation sur le Niger, au carrefour de trois routes nationales (RN 16, 17 et 18), de voies navigable et aérienne, proche des frontières algérienne et nigérienne et la vocation commerciale qui en résulte, la ville de Gao présente les atouts pour concurrencer les grands centres urbains nationaux et ceux de la sous région.</w:t>
      </w:r>
    </w:p>
    <w:p w:rsidR="00F164EF" w:rsidRPr="009E5034" w:rsidRDefault="00F164EF" w:rsidP="009E5034">
      <w:pPr>
        <w:spacing w:after="240"/>
        <w:ind w:left="0"/>
        <w:jc w:val="left"/>
        <w:rPr>
          <w:rStyle w:val="Strong"/>
          <w:rFonts w:eastAsia="MS Mincho"/>
          <w:sz w:val="22"/>
          <w:szCs w:val="22"/>
        </w:rPr>
      </w:pPr>
      <w:bookmarkStart w:id="88" w:name="_Toc253581226"/>
      <w:bookmarkStart w:id="89" w:name="_Toc261170249"/>
      <w:r w:rsidRPr="009E5034">
        <w:rPr>
          <w:rStyle w:val="Strong"/>
          <w:rFonts w:eastAsia="MS Mincho"/>
          <w:sz w:val="22"/>
          <w:szCs w:val="22"/>
        </w:rPr>
        <w:t>1.1. Cadre naturel</w:t>
      </w:r>
      <w:bookmarkEnd w:id="88"/>
      <w:bookmarkEnd w:id="89"/>
    </w:p>
    <w:p w:rsidR="00F164EF" w:rsidRPr="009E5034" w:rsidRDefault="00F164EF" w:rsidP="009E5034">
      <w:pPr>
        <w:spacing w:before="120" w:after="120"/>
        <w:ind w:left="0"/>
        <w:jc w:val="left"/>
        <w:rPr>
          <w:sz w:val="22"/>
          <w:szCs w:val="22"/>
        </w:rPr>
      </w:pPr>
      <w:r w:rsidRPr="009E5034">
        <w:rPr>
          <w:sz w:val="22"/>
          <w:szCs w:val="22"/>
        </w:rPr>
        <w:t>La ville de Gao est la capitale de la région qui porte le même nom, elle s’étale le long du fleuve Niger et sur sa rive gauche. La région de Gao est située au Nord-est de la République du Mali entre les 15è et 22è degrés de latitude Nord, le 5è degré de longitude Est et le 2è de longitude Ouest. Elle est limitée au Nord par la région de Kidal ; au Sud par le Burkina Faso et le Niger ; à l'Est par le Niger  et à l'Ouest par la Région de Tombouctou.</w:t>
      </w:r>
    </w:p>
    <w:p w:rsidR="00F164EF" w:rsidRPr="009E5034" w:rsidRDefault="00F164EF" w:rsidP="009E5034">
      <w:pPr>
        <w:spacing w:before="120" w:after="120"/>
        <w:ind w:left="0"/>
        <w:jc w:val="left"/>
        <w:rPr>
          <w:sz w:val="22"/>
          <w:szCs w:val="22"/>
        </w:rPr>
      </w:pPr>
      <w:r w:rsidRPr="009E5034">
        <w:rPr>
          <w:sz w:val="22"/>
          <w:szCs w:val="22"/>
        </w:rPr>
        <w:t xml:space="preserve">Avec une superficie de 170 564 km2, la région occupe 14,22% de la superficie totale du Mali. Elle est la 7ème région administrative du pays et divisée en quatre cercles, 24 communes rurales,  une commune urbaine, 123 villages et 269 fractions nomades. </w:t>
      </w:r>
    </w:p>
    <w:p w:rsidR="00F164EF" w:rsidRPr="009E5034" w:rsidRDefault="00F164EF" w:rsidP="009E5034">
      <w:pPr>
        <w:spacing w:before="120" w:after="120"/>
        <w:ind w:left="0"/>
        <w:jc w:val="left"/>
        <w:rPr>
          <w:sz w:val="22"/>
          <w:szCs w:val="22"/>
        </w:rPr>
      </w:pPr>
      <w:r w:rsidRPr="009E5034">
        <w:rPr>
          <w:sz w:val="22"/>
          <w:szCs w:val="22"/>
        </w:rPr>
        <w:t xml:space="preserve">Le relief est formé d’un ensemble de monts usés, de dunes de sable et de bas plateaux surplombants des plaines. A l’exception des bordures du Niger où l’on rencontre des plaines fertiles, les sols sont souvent argileux  et sableux rendant l’agriculture difficile au fur et à mesure qu’on s’éloigne du fleuve et des mares. </w:t>
      </w:r>
    </w:p>
    <w:p w:rsidR="00F164EF" w:rsidRPr="009E5034" w:rsidRDefault="00F164EF" w:rsidP="009E5034">
      <w:pPr>
        <w:spacing w:before="120" w:after="120"/>
        <w:ind w:left="0"/>
        <w:jc w:val="left"/>
        <w:rPr>
          <w:sz w:val="22"/>
          <w:szCs w:val="22"/>
        </w:rPr>
      </w:pPr>
      <w:r w:rsidRPr="009E5034">
        <w:rPr>
          <w:sz w:val="22"/>
          <w:szCs w:val="22"/>
        </w:rPr>
        <w:t>Le relief de la commune est très monotone et est dominé par la présence de plaine surtout dans la vallée du fleuve Niger.</w:t>
      </w:r>
    </w:p>
    <w:p w:rsidR="00F164EF" w:rsidRPr="009E5034" w:rsidRDefault="00F164EF" w:rsidP="009E5034">
      <w:pPr>
        <w:spacing w:after="240"/>
        <w:ind w:left="0"/>
        <w:jc w:val="left"/>
        <w:rPr>
          <w:rStyle w:val="Strong"/>
          <w:rFonts w:eastAsia="MS Mincho"/>
          <w:sz w:val="22"/>
          <w:szCs w:val="22"/>
        </w:rPr>
      </w:pPr>
      <w:bookmarkStart w:id="90" w:name="_Toc253581227"/>
      <w:bookmarkStart w:id="91" w:name="_Toc261170250"/>
      <w:r w:rsidRPr="009E5034">
        <w:rPr>
          <w:rStyle w:val="Strong"/>
          <w:rFonts w:eastAsia="MS Mincho"/>
          <w:sz w:val="22"/>
          <w:szCs w:val="22"/>
        </w:rPr>
        <w:t>1.2. Cadre climatique</w:t>
      </w:r>
      <w:bookmarkEnd w:id="90"/>
      <w:bookmarkEnd w:id="91"/>
    </w:p>
    <w:p w:rsidR="00F164EF" w:rsidRPr="009E5034" w:rsidRDefault="00F164EF" w:rsidP="009E5034">
      <w:pPr>
        <w:spacing w:before="120" w:after="120"/>
        <w:ind w:left="0"/>
        <w:jc w:val="left"/>
        <w:rPr>
          <w:sz w:val="22"/>
          <w:szCs w:val="22"/>
        </w:rPr>
      </w:pPr>
      <w:r w:rsidRPr="009E5034">
        <w:rPr>
          <w:sz w:val="22"/>
          <w:szCs w:val="22"/>
        </w:rPr>
        <w:t xml:space="preserve">La région se caractérise par une diminution de la pluie au fur et  à mesure que l’on avance vers le Nord. Le climat est Sud Saharien et se caractérise par des précipitations très irrégulières et inférieures à 250 mm/an. La région connait en moyenne huit mois de sécheresse absolue d’Octobre à Mai, quatre mois de sécheresse moyenne émaillée de quelques précipitations de Juin à Septembre. Au cours de l’année l’amplitude thermique moyenne est de l’ordre de </w:t>
      </w:r>
      <w:smartTag w:uri="urn:schemas-microsoft-com:office:smarttags" w:element="metricconverter">
        <w:smartTagPr>
          <w:attr w:name="ProductID" w:val="27.7ﾰC"/>
        </w:smartTagPr>
        <w:r w:rsidRPr="009E5034">
          <w:rPr>
            <w:sz w:val="22"/>
            <w:szCs w:val="22"/>
          </w:rPr>
          <w:t>27.7°C</w:t>
        </w:r>
      </w:smartTag>
      <w:r w:rsidRPr="009E5034">
        <w:rPr>
          <w:sz w:val="22"/>
          <w:szCs w:val="22"/>
        </w:rPr>
        <w:t xml:space="preserve"> avec une température maximale de </w:t>
      </w:r>
      <w:smartTag w:uri="urn:schemas-microsoft-com:office:smarttags" w:element="metricconverter">
        <w:smartTagPr>
          <w:attr w:name="ProductID" w:val="46ﾰC"/>
        </w:smartTagPr>
        <w:r w:rsidRPr="009E5034">
          <w:rPr>
            <w:sz w:val="22"/>
            <w:szCs w:val="22"/>
          </w:rPr>
          <w:t>46°C</w:t>
        </w:r>
      </w:smartTag>
      <w:r w:rsidRPr="009E5034">
        <w:rPr>
          <w:sz w:val="22"/>
          <w:szCs w:val="22"/>
        </w:rPr>
        <w:t xml:space="preserve"> en Mai - Juin et une température minimale de </w:t>
      </w:r>
      <w:smartTag w:uri="urn:schemas-microsoft-com:office:smarttags" w:element="metricconverter">
        <w:smartTagPr>
          <w:attr w:name="ProductID" w:val="11ﾰC"/>
        </w:smartTagPr>
        <w:r w:rsidRPr="009E5034">
          <w:rPr>
            <w:sz w:val="22"/>
            <w:szCs w:val="22"/>
          </w:rPr>
          <w:t>11°C</w:t>
        </w:r>
      </w:smartTag>
      <w:r w:rsidRPr="009E5034">
        <w:rPr>
          <w:sz w:val="22"/>
          <w:szCs w:val="22"/>
        </w:rPr>
        <w:t xml:space="preserve"> en Décembre - Janvier.</w:t>
      </w:r>
    </w:p>
    <w:p w:rsidR="00F164EF" w:rsidRPr="009E5034" w:rsidRDefault="00F164EF" w:rsidP="009E5034">
      <w:pPr>
        <w:spacing w:after="240"/>
        <w:ind w:left="0"/>
        <w:jc w:val="left"/>
        <w:rPr>
          <w:rStyle w:val="Strong"/>
          <w:rFonts w:eastAsia="MS Mincho"/>
          <w:sz w:val="22"/>
          <w:szCs w:val="22"/>
        </w:rPr>
      </w:pPr>
      <w:bookmarkStart w:id="92" w:name="_Toc253581228"/>
      <w:bookmarkStart w:id="93" w:name="_Toc261170251"/>
      <w:r w:rsidRPr="009E5034">
        <w:rPr>
          <w:rStyle w:val="Strong"/>
          <w:rFonts w:eastAsia="MS Mincho"/>
          <w:sz w:val="22"/>
          <w:szCs w:val="22"/>
        </w:rPr>
        <w:t>2. Caractéristiques socioéconomiques de la population</w:t>
      </w:r>
      <w:bookmarkEnd w:id="92"/>
      <w:bookmarkEnd w:id="93"/>
    </w:p>
    <w:p w:rsidR="00F164EF" w:rsidRPr="009E5034" w:rsidRDefault="00F164EF" w:rsidP="009E5034">
      <w:pPr>
        <w:spacing w:after="240"/>
        <w:ind w:left="0"/>
        <w:jc w:val="left"/>
        <w:rPr>
          <w:rStyle w:val="Strong"/>
          <w:rFonts w:eastAsia="MS Mincho"/>
          <w:sz w:val="22"/>
          <w:szCs w:val="22"/>
        </w:rPr>
      </w:pPr>
      <w:bookmarkStart w:id="94" w:name="_Toc253581229"/>
      <w:bookmarkStart w:id="95" w:name="_Toc261170252"/>
      <w:r w:rsidRPr="009E5034">
        <w:rPr>
          <w:rStyle w:val="Strong"/>
          <w:rFonts w:eastAsia="MS Mincho"/>
          <w:sz w:val="22"/>
          <w:szCs w:val="22"/>
        </w:rPr>
        <w:t>2.1. Population et dynamique démographique</w:t>
      </w:r>
      <w:bookmarkEnd w:id="94"/>
      <w:bookmarkEnd w:id="95"/>
    </w:p>
    <w:p w:rsidR="00F164EF" w:rsidRPr="009E5034" w:rsidRDefault="00F164EF" w:rsidP="009E5034">
      <w:pPr>
        <w:spacing w:before="120" w:after="120"/>
        <w:ind w:left="0"/>
        <w:jc w:val="left"/>
        <w:rPr>
          <w:sz w:val="22"/>
          <w:szCs w:val="22"/>
        </w:rPr>
      </w:pPr>
      <w:r w:rsidRPr="009E5034">
        <w:rPr>
          <w:sz w:val="22"/>
          <w:szCs w:val="22"/>
        </w:rPr>
        <w:t xml:space="preserve">Selon le recensement général de la population et de l’habitat de 1998, la population de la ville de Gao était de 52221 habitants. Elle est passée à 86633 habitants en 2009; ce qui correspond à un taux d’accroissement annuel moyen de 4.7 %, l’un des plus élevés du Mali. </w:t>
      </w:r>
    </w:p>
    <w:p w:rsidR="00F164EF" w:rsidRPr="009E5034" w:rsidRDefault="00F164EF" w:rsidP="009E5034">
      <w:pPr>
        <w:spacing w:before="120" w:after="120"/>
        <w:ind w:left="0"/>
        <w:jc w:val="left"/>
        <w:rPr>
          <w:sz w:val="22"/>
          <w:szCs w:val="22"/>
        </w:rPr>
      </w:pPr>
      <w:r w:rsidRPr="009E5034">
        <w:rPr>
          <w:sz w:val="22"/>
          <w:szCs w:val="22"/>
        </w:rPr>
        <w:t>La population est composée de: Sonrhai, Tamasheqs, Peuls, Arabes, Bambaras, Haoussa et Bozos. L’Islam est la religion prépondérante, 97%, la ville renferme toutefois quelques chrétiens, 3%.</w:t>
      </w:r>
    </w:p>
    <w:p w:rsidR="00F164EF" w:rsidRPr="009E5034" w:rsidRDefault="00F164EF" w:rsidP="009E5034">
      <w:pPr>
        <w:spacing w:before="120" w:after="120"/>
        <w:ind w:left="0"/>
        <w:jc w:val="left"/>
        <w:rPr>
          <w:sz w:val="22"/>
          <w:szCs w:val="22"/>
        </w:rPr>
      </w:pPr>
      <w:r w:rsidRPr="009E5034">
        <w:rPr>
          <w:sz w:val="22"/>
          <w:szCs w:val="22"/>
        </w:rPr>
        <w:t xml:space="preserve">Selon les chiffres du RGPH de 1989, environ 45% de la population a moins de 15 ans et un peu plus de 1 habitant sur 2, (55%), a moins de 20 ans. </w:t>
      </w:r>
      <w:r w:rsidRPr="009E5034">
        <w:rPr>
          <w:color w:val="000000"/>
          <w:sz w:val="22"/>
          <w:szCs w:val="22"/>
        </w:rPr>
        <w:t>Dans le même temps, 5% seulement de la population à 60 ans et plus ; la population est ainsi en majorité très jeune.</w:t>
      </w:r>
    </w:p>
    <w:p w:rsidR="00F164EF" w:rsidRPr="009E5034" w:rsidRDefault="00F164EF" w:rsidP="009E5034">
      <w:pPr>
        <w:spacing w:after="240"/>
        <w:ind w:left="0"/>
        <w:jc w:val="left"/>
        <w:rPr>
          <w:rStyle w:val="Strong"/>
          <w:rFonts w:eastAsia="MS Mincho"/>
          <w:sz w:val="22"/>
          <w:szCs w:val="22"/>
        </w:rPr>
      </w:pPr>
      <w:bookmarkStart w:id="96" w:name="_Toc253581230"/>
      <w:bookmarkStart w:id="97" w:name="_Toc261170253"/>
      <w:r w:rsidRPr="009E5034">
        <w:rPr>
          <w:rStyle w:val="Strong"/>
          <w:rFonts w:eastAsia="MS Mincho"/>
          <w:sz w:val="22"/>
          <w:szCs w:val="22"/>
        </w:rPr>
        <w:t>2.2. Emplois, revenus et dépenses</w:t>
      </w:r>
      <w:bookmarkEnd w:id="96"/>
      <w:r w:rsidRPr="009E5034">
        <w:rPr>
          <w:rStyle w:val="Strong"/>
          <w:rFonts w:eastAsia="MS Mincho"/>
          <w:sz w:val="22"/>
          <w:szCs w:val="22"/>
        </w:rPr>
        <w:t xml:space="preserve"> des ménages</w:t>
      </w:r>
      <w:bookmarkEnd w:id="97"/>
    </w:p>
    <w:p w:rsidR="00F164EF" w:rsidRPr="009E5034" w:rsidRDefault="00F164EF" w:rsidP="009E5034">
      <w:pPr>
        <w:spacing w:before="120" w:after="120"/>
        <w:ind w:left="0"/>
        <w:jc w:val="left"/>
        <w:rPr>
          <w:sz w:val="22"/>
          <w:szCs w:val="22"/>
        </w:rPr>
      </w:pPr>
      <w:r w:rsidRPr="009E5034">
        <w:rPr>
          <w:sz w:val="22"/>
          <w:szCs w:val="22"/>
        </w:rPr>
        <w:t xml:space="preserve">D’après l’enquête de 2005, il apparait que les agriculteurs, les fonctionnaires et les commerçants constituent la part prépondérante de la population active, ils représentent respectivement 15.7%, 12.7% et 15.3%. </w:t>
      </w:r>
    </w:p>
    <w:p w:rsidR="00F164EF" w:rsidRPr="009E5034" w:rsidRDefault="00F164EF" w:rsidP="009E5034">
      <w:pPr>
        <w:spacing w:before="120" w:after="120"/>
        <w:ind w:left="0"/>
        <w:jc w:val="left"/>
        <w:rPr>
          <w:sz w:val="22"/>
          <w:szCs w:val="22"/>
        </w:rPr>
      </w:pPr>
      <w:r w:rsidRPr="009E5034">
        <w:rPr>
          <w:sz w:val="22"/>
          <w:szCs w:val="22"/>
        </w:rPr>
        <w:t xml:space="preserve">Le commerce représente environ 40% de la valeur ajoutée totale urbaine et constitue de ce fait l’activité génératrice de revenus la plus importante de la ville. Il faut signaler que le commerce informel, représente 80% de la totalité du commerce. </w:t>
      </w:r>
    </w:p>
    <w:p w:rsidR="00F164EF" w:rsidRPr="009E5034" w:rsidRDefault="00F164EF" w:rsidP="009E5034">
      <w:pPr>
        <w:spacing w:before="120" w:after="120"/>
        <w:ind w:left="0"/>
        <w:jc w:val="left"/>
        <w:rPr>
          <w:sz w:val="22"/>
          <w:szCs w:val="22"/>
        </w:rPr>
      </w:pPr>
      <w:r w:rsidRPr="009E5034">
        <w:rPr>
          <w:sz w:val="22"/>
          <w:szCs w:val="22"/>
        </w:rPr>
        <w:t>Les importations concernent les types de produits suivants: produits alimentaires, hydrocarbures, matériaux de construction, textiles et bonneterie, engrais, divers produits. Quant aux exportations, elles  portent sur le bétail (ovins, bovins, camelins), les céréales, les oléagineux, les mangues, les noix de coco, le thé,  les dattes, le sel gemme, etc. Le commerce souffre du manque d’infrastructures routières et  de ressources financières.</w:t>
      </w:r>
    </w:p>
    <w:p w:rsidR="00F164EF" w:rsidRPr="009E5034" w:rsidRDefault="00F164EF" w:rsidP="009E5034">
      <w:pPr>
        <w:spacing w:after="240"/>
        <w:ind w:left="0"/>
        <w:jc w:val="left"/>
        <w:rPr>
          <w:rStyle w:val="Strong"/>
          <w:rFonts w:eastAsia="MS Mincho"/>
          <w:sz w:val="22"/>
          <w:szCs w:val="22"/>
        </w:rPr>
      </w:pPr>
      <w:bookmarkStart w:id="98" w:name="_Toc253581231"/>
      <w:bookmarkStart w:id="99" w:name="_Toc261170254"/>
      <w:r w:rsidRPr="009E5034">
        <w:rPr>
          <w:rStyle w:val="Strong"/>
          <w:rFonts w:eastAsia="MS Mincho"/>
          <w:sz w:val="22"/>
          <w:szCs w:val="22"/>
        </w:rPr>
        <w:t>2.3. Urbanisation et conditions d’habitat</w:t>
      </w:r>
      <w:bookmarkEnd w:id="98"/>
      <w:bookmarkEnd w:id="99"/>
    </w:p>
    <w:p w:rsidR="00F164EF" w:rsidRPr="009E5034" w:rsidRDefault="00F164EF" w:rsidP="009E5034">
      <w:pPr>
        <w:spacing w:before="120" w:after="120"/>
        <w:ind w:left="0"/>
        <w:jc w:val="left"/>
        <w:rPr>
          <w:sz w:val="22"/>
          <w:szCs w:val="22"/>
        </w:rPr>
      </w:pPr>
      <w:r w:rsidRPr="009E5034">
        <w:rPr>
          <w:sz w:val="22"/>
          <w:szCs w:val="22"/>
        </w:rPr>
        <w:t>D'après le Plan Stratégique d’Assainissement de la ville de GAO daté de février 2005, la commune de Gao avait une population estimée à 59 120 habitants vivant dans neuf quartiers composés de 5 307 concessions et 8 335 ménages. L’analyse de la situation urbaine de la ville fait apparaitre</w:t>
      </w:r>
      <w:r w:rsidR="00CF5FAC">
        <w:rPr>
          <w:sz w:val="22"/>
          <w:szCs w:val="22"/>
        </w:rPr>
        <w:t xml:space="preserve"> </w:t>
      </w:r>
      <w:r w:rsidRPr="009E5034">
        <w:rPr>
          <w:sz w:val="22"/>
          <w:szCs w:val="22"/>
        </w:rPr>
        <w:t>l’existence de trois grands quartiers Aldjanabandja, Boulgoundjé et le quartier du château. Le quartier de Farandjireye apparaît par contre, comme le plus petit quartier (environ 6% de la population).</w:t>
      </w:r>
    </w:p>
    <w:p w:rsidR="00F164EF" w:rsidRPr="009E5034" w:rsidRDefault="00F164EF" w:rsidP="009E5034">
      <w:pPr>
        <w:spacing w:before="120" w:after="120"/>
        <w:ind w:left="0"/>
        <w:jc w:val="left"/>
        <w:rPr>
          <w:sz w:val="22"/>
          <w:szCs w:val="22"/>
        </w:rPr>
      </w:pPr>
      <w:r w:rsidRPr="009E5034">
        <w:rPr>
          <w:sz w:val="22"/>
          <w:szCs w:val="22"/>
        </w:rPr>
        <w:t>La taille moyenne des concessions est</w:t>
      </w:r>
      <w:r w:rsidR="00CF5FAC">
        <w:rPr>
          <w:sz w:val="22"/>
          <w:szCs w:val="22"/>
        </w:rPr>
        <w:t xml:space="preserve"> </w:t>
      </w:r>
      <w:r w:rsidRPr="009E5034">
        <w:rPr>
          <w:sz w:val="22"/>
          <w:szCs w:val="22"/>
        </w:rPr>
        <w:t>de 11 membres</w:t>
      </w:r>
      <w:r w:rsidR="00CF5FAC">
        <w:rPr>
          <w:sz w:val="22"/>
          <w:szCs w:val="22"/>
        </w:rPr>
        <w:t xml:space="preserve"> </w:t>
      </w:r>
      <w:r w:rsidRPr="009E5034">
        <w:rPr>
          <w:sz w:val="22"/>
          <w:szCs w:val="22"/>
        </w:rPr>
        <w:t xml:space="preserve"> et la taille moyenne des ménages est de 7,1. Pour une superficie urbanisée de </w:t>
      </w:r>
      <w:smartTag w:uri="urn:schemas-microsoft-com:office:smarttags" w:element="metricconverter">
        <w:smartTagPr>
          <w:attr w:name="ProductID" w:val="1 600 hectares"/>
        </w:smartTagPr>
        <w:r w:rsidRPr="009E5034">
          <w:rPr>
            <w:sz w:val="22"/>
            <w:szCs w:val="22"/>
          </w:rPr>
          <w:t>1 600 hectares</w:t>
        </w:r>
      </w:smartTag>
      <w:r w:rsidRPr="009E5034">
        <w:rPr>
          <w:sz w:val="22"/>
          <w:szCs w:val="22"/>
        </w:rPr>
        <w:t xml:space="preserve">, la densité de la population est de 37 habitants par hectare, elle était en 1986 de l’ordre de 45 habitants à l’hectare </w:t>
      </w:r>
      <w:r w:rsidR="00CF5FAC">
        <w:rPr>
          <w:sz w:val="22"/>
          <w:szCs w:val="22"/>
        </w:rPr>
        <w:t>pour une surface urbanisée de 110</w:t>
      </w:r>
      <w:r w:rsidRPr="009E5034">
        <w:rPr>
          <w:sz w:val="22"/>
          <w:szCs w:val="22"/>
        </w:rPr>
        <w:t>5</w:t>
      </w:r>
      <w:r w:rsidR="00CF5FAC">
        <w:rPr>
          <w:sz w:val="22"/>
          <w:szCs w:val="22"/>
        </w:rPr>
        <w:t xml:space="preserve"> </w:t>
      </w:r>
      <w:r w:rsidRPr="009E5034">
        <w:rPr>
          <w:sz w:val="22"/>
          <w:szCs w:val="22"/>
        </w:rPr>
        <w:t xml:space="preserve">hectares. </w:t>
      </w:r>
    </w:p>
    <w:p w:rsidR="00F164EF" w:rsidRPr="009E5034" w:rsidRDefault="00F164EF" w:rsidP="009E5034">
      <w:pPr>
        <w:spacing w:after="240"/>
        <w:ind w:left="0"/>
        <w:jc w:val="left"/>
        <w:rPr>
          <w:rStyle w:val="Strong"/>
          <w:rFonts w:eastAsia="MS Mincho"/>
          <w:sz w:val="22"/>
          <w:szCs w:val="22"/>
        </w:rPr>
      </w:pPr>
      <w:bookmarkStart w:id="100" w:name="_Toc253581232"/>
      <w:bookmarkStart w:id="101" w:name="_Toc261170255"/>
      <w:r w:rsidRPr="009E5034">
        <w:rPr>
          <w:rStyle w:val="Strong"/>
          <w:rFonts w:eastAsia="MS Mincho"/>
          <w:sz w:val="22"/>
          <w:szCs w:val="22"/>
        </w:rPr>
        <w:t>2.4. Alphabétisation</w:t>
      </w:r>
      <w:bookmarkEnd w:id="100"/>
      <w:bookmarkEnd w:id="101"/>
    </w:p>
    <w:p w:rsidR="00F164EF" w:rsidRPr="009E5034" w:rsidRDefault="00F164EF" w:rsidP="009E5034">
      <w:pPr>
        <w:spacing w:before="120" w:after="120"/>
        <w:ind w:left="0"/>
        <w:jc w:val="left"/>
        <w:rPr>
          <w:sz w:val="22"/>
          <w:szCs w:val="22"/>
        </w:rPr>
      </w:pPr>
      <w:r w:rsidRPr="009E5034">
        <w:rPr>
          <w:sz w:val="22"/>
          <w:szCs w:val="22"/>
        </w:rPr>
        <w:t xml:space="preserve">Afin de lutter contre les taux élevés de l’analphabétisme constaté dans la population particulièrement adulte et féminine, de gros efforts sont consentis ces dernières années  par les autorités scolaires, les collectivités décentralisées et les parents d’élèves. Ainsi le taux  brut de scolarisation  a atteint 83% au cours de l’année scolaire 2003-2004.  </w:t>
      </w:r>
    </w:p>
    <w:p w:rsidR="00F164EF" w:rsidRPr="009E5034" w:rsidRDefault="00F164EF" w:rsidP="009E5034">
      <w:pPr>
        <w:spacing w:before="120" w:after="120"/>
        <w:ind w:left="0"/>
        <w:jc w:val="left"/>
        <w:rPr>
          <w:sz w:val="22"/>
          <w:szCs w:val="22"/>
        </w:rPr>
      </w:pPr>
      <w:r w:rsidRPr="009E5034">
        <w:rPr>
          <w:sz w:val="22"/>
          <w:szCs w:val="22"/>
        </w:rPr>
        <w:t>La commune compte au total 17 écoles primaires, 8 collèges, un lycée, 4 instituts secondaires et 3 jardins d’enfants. Ces écoles, toutes publiques, connaissent également des problèmes d’équipement et de manque de personnel enseignant.</w:t>
      </w:r>
    </w:p>
    <w:p w:rsidR="00F164EF" w:rsidRPr="009E5034" w:rsidRDefault="00F164EF" w:rsidP="009E5034">
      <w:pPr>
        <w:spacing w:after="240"/>
        <w:ind w:left="0"/>
        <w:jc w:val="left"/>
        <w:rPr>
          <w:rStyle w:val="Strong"/>
          <w:rFonts w:eastAsia="MS Mincho"/>
          <w:sz w:val="22"/>
          <w:szCs w:val="22"/>
        </w:rPr>
      </w:pPr>
      <w:bookmarkStart w:id="102" w:name="_Toc253581233"/>
      <w:bookmarkStart w:id="103" w:name="_Toc261170256"/>
      <w:r w:rsidRPr="009E5034">
        <w:rPr>
          <w:rStyle w:val="Strong"/>
          <w:rFonts w:eastAsia="MS Mincho"/>
          <w:sz w:val="22"/>
          <w:szCs w:val="22"/>
        </w:rPr>
        <w:t>2.5. Accès à l’eau potable</w:t>
      </w:r>
      <w:bookmarkEnd w:id="102"/>
      <w:bookmarkEnd w:id="103"/>
    </w:p>
    <w:p w:rsidR="00F164EF" w:rsidRPr="009E5034" w:rsidRDefault="00F164EF" w:rsidP="009E5034">
      <w:pPr>
        <w:spacing w:before="120" w:after="120"/>
        <w:ind w:left="0"/>
        <w:jc w:val="left"/>
        <w:rPr>
          <w:sz w:val="22"/>
          <w:szCs w:val="22"/>
        </w:rPr>
      </w:pPr>
      <w:r w:rsidRPr="009E5034">
        <w:rPr>
          <w:sz w:val="22"/>
          <w:szCs w:val="22"/>
        </w:rPr>
        <w:t>En matière d’alimentation en eau potable, des efforts considérables ont été réalisés ces dernières années. Le dernier Schéma Directeur d’Urbanisme de la ville de Gao et ses environs réalisé en 2005, montre que la population de la ville de Gao s’approvisionne en eau essentiellement à raison de 88% à partir du réseau de distribution d’eau de l’EDM-SA et des forages équipés de pompes manuelles.</w:t>
      </w:r>
    </w:p>
    <w:p w:rsidR="00F164EF" w:rsidRPr="009E5034" w:rsidRDefault="00F164EF" w:rsidP="009E5034">
      <w:pPr>
        <w:spacing w:before="120" w:after="120"/>
        <w:ind w:left="0"/>
        <w:jc w:val="left"/>
        <w:rPr>
          <w:sz w:val="22"/>
          <w:szCs w:val="22"/>
        </w:rPr>
      </w:pPr>
      <w:r w:rsidRPr="009E5034">
        <w:rPr>
          <w:sz w:val="22"/>
          <w:szCs w:val="22"/>
        </w:rPr>
        <w:t>Selon les enquêtes du Plan Stratégique d’Assainissement de la ville de Gao, une faible proportion de la population autour de 5% utilise des sources d’eau sans traitement à partir de puits, mares ou directement du fleuve.</w:t>
      </w:r>
    </w:p>
    <w:p w:rsidR="00F164EF" w:rsidRPr="009E5034" w:rsidRDefault="00F164EF" w:rsidP="009E5034">
      <w:pPr>
        <w:spacing w:before="120" w:after="120"/>
        <w:ind w:left="0"/>
        <w:jc w:val="left"/>
        <w:rPr>
          <w:sz w:val="22"/>
          <w:szCs w:val="22"/>
        </w:rPr>
      </w:pPr>
      <w:r w:rsidRPr="009E5034">
        <w:rPr>
          <w:sz w:val="22"/>
          <w:szCs w:val="22"/>
        </w:rPr>
        <w:t xml:space="preserve">La ville jadis alimentée en eau de surface à partir d’une station de pompage située au bord du fleuve l’est actuellement grâce à 9 forages et  1 puits à grand diamètre. La production d’eau est estimée à 7 100 m3/ jour. Les bornes fontaines sont au nombre de 48 dont 12 en service, toutes gérées par des privées. Le nombre d’abonnés dans la ville est passé de 2 779 en 2001 à 3 720 en 2005. La consommation annuelle en eau de la ville est de l’ordre de </w:t>
      </w:r>
      <w:smartTag w:uri="urn:schemas-microsoft-com:office:smarttags" w:element="metricconverter">
        <w:smartTagPr>
          <w:attr w:name="ProductID" w:val="1ﾠ500ﾠ000 m3"/>
        </w:smartTagPr>
        <w:r w:rsidRPr="009E5034">
          <w:rPr>
            <w:sz w:val="22"/>
            <w:szCs w:val="22"/>
          </w:rPr>
          <w:t>1 500 000 m3</w:t>
        </w:r>
      </w:smartTag>
      <w:r w:rsidRPr="009E5034">
        <w:rPr>
          <w:sz w:val="22"/>
          <w:szCs w:val="22"/>
        </w:rPr>
        <w:t xml:space="preserve"> pour l’année 2009, son évolution est représentée dans le tableau suivant:</w:t>
      </w:r>
    </w:p>
    <w:p w:rsidR="00F164EF" w:rsidRPr="009E5034" w:rsidRDefault="00F164EF" w:rsidP="009E5034">
      <w:pPr>
        <w:keepNext/>
        <w:ind w:left="0"/>
        <w:jc w:val="left"/>
        <w:rPr>
          <w:sz w:val="22"/>
          <w:szCs w:val="22"/>
        </w:rPr>
      </w:pPr>
      <w:r w:rsidRPr="009E5034">
        <w:rPr>
          <w:noProof/>
          <w:sz w:val="22"/>
          <w:szCs w:val="22"/>
          <w:lang w:val="en-US"/>
        </w:rPr>
        <w:drawing>
          <wp:inline distT="0" distB="0" distL="0" distR="0">
            <wp:extent cx="3943350" cy="17716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cstate="print"/>
                    <a:srcRect/>
                    <a:stretch>
                      <a:fillRect/>
                    </a:stretch>
                  </pic:blipFill>
                  <pic:spPr bwMode="auto">
                    <a:xfrm>
                      <a:off x="0" y="0"/>
                      <a:ext cx="3943350" cy="1771650"/>
                    </a:xfrm>
                    <a:prstGeom prst="rect">
                      <a:avLst/>
                    </a:prstGeom>
                    <a:noFill/>
                    <a:ln w="9525">
                      <a:noFill/>
                      <a:miter lim="800000"/>
                      <a:headEnd/>
                      <a:tailEnd/>
                    </a:ln>
                  </pic:spPr>
                </pic:pic>
              </a:graphicData>
            </a:graphic>
          </wp:inline>
        </w:drawing>
      </w:r>
    </w:p>
    <w:p w:rsidR="00F164EF" w:rsidRPr="009E5034" w:rsidRDefault="00F164EF" w:rsidP="009E5034">
      <w:pPr>
        <w:pStyle w:val="Caption"/>
        <w:ind w:left="899"/>
        <w:rPr>
          <w:rStyle w:val="Emphasis"/>
          <w:sz w:val="22"/>
          <w:szCs w:val="22"/>
        </w:rPr>
      </w:pPr>
      <w:r w:rsidRPr="009E5034">
        <w:rPr>
          <w:rStyle w:val="Emphasis"/>
          <w:sz w:val="22"/>
          <w:szCs w:val="22"/>
        </w:rPr>
        <w:t>Figure A2.1: Evolution de la consommation d’eau potable dans la ville de Gao</w:t>
      </w:r>
    </w:p>
    <w:p w:rsidR="00F164EF" w:rsidRPr="009E5034" w:rsidRDefault="00F164EF" w:rsidP="009E5034">
      <w:pPr>
        <w:spacing w:before="120" w:after="120"/>
        <w:ind w:left="0"/>
        <w:jc w:val="left"/>
        <w:rPr>
          <w:sz w:val="22"/>
          <w:szCs w:val="22"/>
        </w:rPr>
      </w:pPr>
      <w:r w:rsidRPr="009E5034">
        <w:rPr>
          <w:sz w:val="22"/>
          <w:szCs w:val="22"/>
        </w:rPr>
        <w:t>Malgré une couverture satisfaisante de la ville par le réseau principal d’adduction d’eau, le taux de branchement des concessions est d’environ 60%. Ceci s’explique par le faible pouvoir d’achat de la population face aux coûts élevés des branchements privés. La Société EDM est souvent confrontée à un problème de recouvrement des factures.</w:t>
      </w:r>
    </w:p>
    <w:p w:rsidR="00F164EF" w:rsidRPr="009E5034" w:rsidRDefault="00F164EF" w:rsidP="009E5034">
      <w:pPr>
        <w:spacing w:before="120" w:after="120"/>
        <w:ind w:left="0"/>
        <w:jc w:val="left"/>
        <w:rPr>
          <w:sz w:val="22"/>
          <w:szCs w:val="22"/>
        </w:rPr>
      </w:pPr>
      <w:r w:rsidRPr="009E5034">
        <w:rPr>
          <w:sz w:val="22"/>
          <w:szCs w:val="22"/>
        </w:rPr>
        <w:t xml:space="preserve">Les 40% de la population non branchés </w:t>
      </w:r>
      <w:r w:rsidR="004C7D05">
        <w:rPr>
          <w:sz w:val="22"/>
          <w:szCs w:val="22"/>
        </w:rPr>
        <w:t>au réseau d’eau potable d’EDM  s’</w:t>
      </w:r>
      <w:r w:rsidRPr="009E5034">
        <w:rPr>
          <w:sz w:val="22"/>
          <w:szCs w:val="22"/>
        </w:rPr>
        <w:t>alimente  soit au niveau des bornes fontaines ou des forages, soit au niveau des sources d’eau non traitées telles qu’essentiellement les puits et le fleuve.</w:t>
      </w:r>
    </w:p>
    <w:p w:rsidR="00F164EF" w:rsidRPr="009E5034" w:rsidRDefault="00F164EF" w:rsidP="009E5034">
      <w:pPr>
        <w:spacing w:after="240"/>
        <w:ind w:left="0"/>
        <w:jc w:val="left"/>
        <w:rPr>
          <w:rStyle w:val="Strong"/>
          <w:rFonts w:eastAsia="MS Mincho"/>
          <w:sz w:val="22"/>
          <w:szCs w:val="22"/>
        </w:rPr>
      </w:pPr>
      <w:bookmarkStart w:id="104" w:name="_Toc253581234"/>
      <w:bookmarkStart w:id="105" w:name="_Toc261170257"/>
      <w:r w:rsidRPr="009E5034">
        <w:rPr>
          <w:rStyle w:val="Strong"/>
          <w:rFonts w:eastAsia="MS Mincho"/>
          <w:sz w:val="22"/>
          <w:szCs w:val="22"/>
        </w:rPr>
        <w:t>2.6. Pauvreté</w:t>
      </w:r>
      <w:bookmarkEnd w:id="104"/>
      <w:bookmarkEnd w:id="105"/>
    </w:p>
    <w:p w:rsidR="00F164EF" w:rsidRPr="009E5034" w:rsidRDefault="00F164EF" w:rsidP="009E5034">
      <w:pPr>
        <w:spacing w:before="120" w:after="120"/>
        <w:ind w:left="0"/>
        <w:jc w:val="left"/>
        <w:rPr>
          <w:sz w:val="22"/>
          <w:szCs w:val="22"/>
        </w:rPr>
      </w:pPr>
      <w:r w:rsidRPr="009E5034">
        <w:rPr>
          <w:sz w:val="22"/>
          <w:szCs w:val="22"/>
        </w:rPr>
        <w:t>Le taux de pauvreté dans la région de Gao est parmi les plus faibles du Mali, il a été évalué en 2006 à 29% de la population.</w:t>
      </w:r>
    </w:p>
    <w:p w:rsidR="00F164EF" w:rsidRPr="009E5034" w:rsidRDefault="00F164EF" w:rsidP="009E5034">
      <w:pPr>
        <w:spacing w:after="240"/>
        <w:ind w:left="0"/>
        <w:jc w:val="left"/>
        <w:rPr>
          <w:rStyle w:val="Strong"/>
          <w:rFonts w:eastAsia="MS Mincho"/>
          <w:sz w:val="22"/>
          <w:szCs w:val="22"/>
        </w:rPr>
      </w:pPr>
      <w:bookmarkStart w:id="106" w:name="_Toc253581235"/>
      <w:bookmarkStart w:id="107" w:name="_Toc261170258"/>
      <w:r w:rsidRPr="009E5034">
        <w:rPr>
          <w:rStyle w:val="Strong"/>
          <w:rFonts w:eastAsia="MS Mincho"/>
          <w:sz w:val="22"/>
          <w:szCs w:val="22"/>
        </w:rPr>
        <w:t>2.7. Santé</w:t>
      </w:r>
      <w:bookmarkEnd w:id="106"/>
      <w:bookmarkEnd w:id="107"/>
    </w:p>
    <w:p w:rsidR="00F164EF" w:rsidRPr="009E5034" w:rsidRDefault="00F164EF" w:rsidP="009E5034">
      <w:pPr>
        <w:spacing w:before="120" w:after="120"/>
        <w:ind w:left="0"/>
        <w:jc w:val="left"/>
        <w:rPr>
          <w:sz w:val="22"/>
          <w:szCs w:val="22"/>
        </w:rPr>
      </w:pPr>
      <w:r w:rsidRPr="009E5034">
        <w:rPr>
          <w:sz w:val="22"/>
          <w:szCs w:val="22"/>
        </w:rPr>
        <w:t xml:space="preserve">La commune dispose de 5 centres de santé communautaires inégalement reparties sur le territoire, un hôpital, un centre de santé de référence, un centre de protection maternel et infantile et 9 pharmacies de santé humaine. Ces infrastructures connaissent des problèmes de personnel, d’équipement et de dotation en médicaments. La région disposait en 2006 de 35 médecins, soit un médecin pour environ 14 000 habitants, 22 sages femmes et 135 infirmiers. </w:t>
      </w:r>
    </w:p>
    <w:p w:rsidR="00F164EF" w:rsidRPr="009E5034" w:rsidRDefault="00F164EF" w:rsidP="009E5034">
      <w:pPr>
        <w:spacing w:before="120" w:after="120"/>
        <w:ind w:left="0"/>
        <w:jc w:val="left"/>
        <w:rPr>
          <w:sz w:val="22"/>
          <w:szCs w:val="22"/>
        </w:rPr>
      </w:pPr>
      <w:r w:rsidRPr="009E5034">
        <w:rPr>
          <w:sz w:val="22"/>
          <w:szCs w:val="22"/>
        </w:rPr>
        <w:t xml:space="preserve">La couverture sanitaire des populations dans un rayon de </w:t>
      </w:r>
      <w:smartTag w:uri="urn:schemas-microsoft-com:office:smarttags" w:element="metricconverter">
        <w:smartTagPr>
          <w:attr w:name="ProductID" w:val="5 Km"/>
        </w:smartTagPr>
        <w:r w:rsidRPr="009E5034">
          <w:rPr>
            <w:sz w:val="22"/>
            <w:szCs w:val="22"/>
          </w:rPr>
          <w:t>5 Km</w:t>
        </w:r>
      </w:smartTag>
      <w:r w:rsidRPr="009E5034">
        <w:rPr>
          <w:sz w:val="22"/>
          <w:szCs w:val="22"/>
        </w:rPr>
        <w:t xml:space="preserve"> est de 37% en 2006 contre 46% dans un rayon à 15 kms. Ce qui représente pour les malades de longues distances à parcourir souvent dans des conditions difficiles.</w:t>
      </w:r>
    </w:p>
    <w:p w:rsidR="00F164EF" w:rsidRPr="009E5034" w:rsidRDefault="00F164EF" w:rsidP="009E5034">
      <w:pPr>
        <w:spacing w:before="120" w:after="120"/>
        <w:ind w:left="0"/>
        <w:jc w:val="left"/>
        <w:rPr>
          <w:sz w:val="22"/>
          <w:szCs w:val="22"/>
        </w:rPr>
      </w:pPr>
      <w:r w:rsidRPr="009E5034">
        <w:rPr>
          <w:sz w:val="22"/>
          <w:szCs w:val="22"/>
        </w:rPr>
        <w:t>Le paludisme constitue la maladie la plus fréquente  rencontrée  à Gao, le tableau suivant indique la nature et  le nombre de cas de maladies recensées à Gao au cours de l’année 2006</w:t>
      </w:r>
    </w:p>
    <w:p w:rsidR="00F164EF" w:rsidRPr="009E5034" w:rsidRDefault="00F164EF" w:rsidP="009E5034">
      <w:pPr>
        <w:pStyle w:val="Caption"/>
        <w:ind w:left="899"/>
        <w:rPr>
          <w:rStyle w:val="Emphasis"/>
          <w:sz w:val="22"/>
          <w:szCs w:val="22"/>
        </w:rPr>
      </w:pPr>
      <w:r w:rsidRPr="009E5034">
        <w:rPr>
          <w:rStyle w:val="Emphasis"/>
          <w:sz w:val="22"/>
          <w:szCs w:val="22"/>
        </w:rPr>
        <w:t xml:space="preserve">Tableau A2.2 : </w:t>
      </w:r>
      <w:bookmarkStart w:id="108" w:name="_Toc252522728"/>
      <w:r w:rsidRPr="009E5034">
        <w:rPr>
          <w:rStyle w:val="Emphasis"/>
          <w:sz w:val="22"/>
          <w:szCs w:val="22"/>
        </w:rPr>
        <w:t>Morbidité proportionnelle, année 2006</w:t>
      </w:r>
      <w:bookmarkEnd w:id="108"/>
      <w:r w:rsidRPr="009E5034">
        <w:rPr>
          <w:rStyle w:val="Emphasis"/>
          <w:sz w:val="22"/>
          <w:szCs w:val="22"/>
        </w:rPr>
        <w:t>, Source : Annuaire Système Local d’Information Sanitaire (SILIS)- 2006</w:t>
      </w:r>
    </w:p>
    <w:tbl>
      <w:tblPr>
        <w:tblW w:w="8825" w:type="dxa"/>
        <w:jc w:val="center"/>
        <w:tblInd w:w="140" w:type="dxa"/>
        <w:tblLayout w:type="fixed"/>
        <w:tblCellMar>
          <w:left w:w="70" w:type="dxa"/>
          <w:right w:w="70" w:type="dxa"/>
        </w:tblCellMar>
        <w:tblLook w:val="0000"/>
      </w:tblPr>
      <w:tblGrid>
        <w:gridCol w:w="1212"/>
        <w:gridCol w:w="1034"/>
        <w:gridCol w:w="648"/>
        <w:gridCol w:w="854"/>
        <w:gridCol w:w="1041"/>
        <w:gridCol w:w="961"/>
        <w:gridCol w:w="1034"/>
        <w:gridCol w:w="655"/>
        <w:gridCol w:w="693"/>
        <w:gridCol w:w="693"/>
      </w:tblGrid>
      <w:tr w:rsidR="00F164EF" w:rsidRPr="009E5034" w:rsidTr="00183B56">
        <w:trPr>
          <w:trHeight w:val="304"/>
          <w:jc w:val="center"/>
        </w:trPr>
        <w:tc>
          <w:tcPr>
            <w:tcW w:w="1212" w:type="dxa"/>
            <w:vMerge w:val="restart"/>
            <w:tcBorders>
              <w:top w:val="single" w:sz="8" w:space="0" w:color="auto"/>
              <w:left w:val="single" w:sz="8" w:space="0" w:color="auto"/>
              <w:bottom w:val="single" w:sz="4" w:space="0" w:color="000000"/>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 xml:space="preserve">Centres </w:t>
            </w:r>
          </w:p>
        </w:tc>
        <w:tc>
          <w:tcPr>
            <w:tcW w:w="1034" w:type="dxa"/>
            <w:vMerge w:val="restart"/>
            <w:tcBorders>
              <w:top w:val="single" w:sz="8" w:space="0" w:color="auto"/>
              <w:left w:val="single" w:sz="4" w:space="0" w:color="auto"/>
              <w:bottom w:val="single" w:sz="4" w:space="0" w:color="000000"/>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Paludisme présumé</w:t>
            </w:r>
          </w:p>
        </w:tc>
        <w:tc>
          <w:tcPr>
            <w:tcW w:w="648" w:type="dxa"/>
            <w:vMerge w:val="restart"/>
            <w:tcBorders>
              <w:top w:val="single" w:sz="8" w:space="0" w:color="auto"/>
              <w:left w:val="single" w:sz="4" w:space="0" w:color="auto"/>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IRA</w:t>
            </w:r>
          </w:p>
        </w:tc>
        <w:tc>
          <w:tcPr>
            <w:tcW w:w="854" w:type="dxa"/>
            <w:vMerge w:val="restart"/>
            <w:tcBorders>
              <w:top w:val="single" w:sz="8" w:space="0" w:color="auto"/>
              <w:left w:val="single" w:sz="4" w:space="0" w:color="auto"/>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Diarrhées</w:t>
            </w:r>
          </w:p>
        </w:tc>
        <w:tc>
          <w:tcPr>
            <w:tcW w:w="1041" w:type="dxa"/>
            <w:vMerge w:val="restart"/>
            <w:tcBorders>
              <w:top w:val="single" w:sz="8" w:space="0" w:color="auto"/>
              <w:left w:val="single" w:sz="4" w:space="0" w:color="auto"/>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Malnutrition</w:t>
            </w:r>
          </w:p>
        </w:tc>
        <w:tc>
          <w:tcPr>
            <w:tcW w:w="961" w:type="dxa"/>
            <w:vMerge w:val="restart"/>
            <w:tcBorders>
              <w:top w:val="single" w:sz="8" w:space="0" w:color="auto"/>
              <w:left w:val="single" w:sz="4" w:space="0" w:color="auto"/>
              <w:bottom w:val="single" w:sz="4" w:space="0" w:color="000000"/>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Affection Bouche dent</w:t>
            </w:r>
          </w:p>
        </w:tc>
        <w:tc>
          <w:tcPr>
            <w:tcW w:w="1034" w:type="dxa"/>
            <w:vMerge w:val="restart"/>
            <w:tcBorders>
              <w:top w:val="single" w:sz="8" w:space="0" w:color="auto"/>
              <w:left w:val="single" w:sz="4" w:space="0" w:color="auto"/>
              <w:bottom w:val="single" w:sz="4" w:space="0" w:color="000000"/>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Syphilis Endémique</w:t>
            </w:r>
          </w:p>
        </w:tc>
        <w:tc>
          <w:tcPr>
            <w:tcW w:w="655" w:type="dxa"/>
            <w:vMerge w:val="restart"/>
            <w:tcBorders>
              <w:top w:val="single" w:sz="8" w:space="0" w:color="auto"/>
              <w:left w:val="single" w:sz="4" w:space="0" w:color="auto"/>
              <w:bottom w:val="single" w:sz="4" w:space="0" w:color="000000"/>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 xml:space="preserve">Plaies </w:t>
            </w:r>
          </w:p>
        </w:tc>
        <w:tc>
          <w:tcPr>
            <w:tcW w:w="693" w:type="dxa"/>
            <w:vMerge w:val="restart"/>
            <w:tcBorders>
              <w:top w:val="single" w:sz="8" w:space="0" w:color="auto"/>
              <w:left w:val="single" w:sz="4" w:space="0" w:color="auto"/>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Autres</w:t>
            </w:r>
          </w:p>
        </w:tc>
        <w:tc>
          <w:tcPr>
            <w:tcW w:w="693" w:type="dxa"/>
            <w:vMerge w:val="restart"/>
            <w:tcBorders>
              <w:top w:val="single" w:sz="8" w:space="0" w:color="auto"/>
              <w:left w:val="single" w:sz="4" w:space="0" w:color="auto"/>
              <w:bottom w:val="single" w:sz="4" w:space="0" w:color="auto"/>
              <w:right w:val="single" w:sz="8" w:space="0" w:color="auto"/>
            </w:tcBorders>
            <w:vAlign w:val="center"/>
          </w:tcPr>
          <w:p w:rsidR="00F164EF" w:rsidRPr="009E5034" w:rsidRDefault="00F164EF" w:rsidP="009E5034">
            <w:pPr>
              <w:pStyle w:val="Tableau"/>
              <w:ind w:left="1"/>
              <w:jc w:val="left"/>
              <w:rPr>
                <w:sz w:val="22"/>
                <w:szCs w:val="22"/>
              </w:rPr>
            </w:pPr>
            <w:r w:rsidRPr="009E5034">
              <w:rPr>
                <w:sz w:val="22"/>
                <w:szCs w:val="22"/>
              </w:rPr>
              <w:t>Total</w:t>
            </w:r>
          </w:p>
        </w:tc>
      </w:tr>
      <w:tr w:rsidR="00F164EF" w:rsidRPr="009E5034" w:rsidTr="00183B56">
        <w:trPr>
          <w:trHeight w:val="304"/>
          <w:jc w:val="center"/>
        </w:trPr>
        <w:tc>
          <w:tcPr>
            <w:tcW w:w="1212" w:type="dxa"/>
            <w:vMerge/>
            <w:tcBorders>
              <w:top w:val="single" w:sz="8" w:space="0" w:color="auto"/>
              <w:left w:val="single" w:sz="8" w:space="0" w:color="auto"/>
              <w:bottom w:val="single" w:sz="4" w:space="0" w:color="000000"/>
              <w:right w:val="single" w:sz="4" w:space="0" w:color="auto"/>
            </w:tcBorders>
            <w:vAlign w:val="center"/>
          </w:tcPr>
          <w:p w:rsidR="00F164EF" w:rsidRPr="009E5034" w:rsidRDefault="00F164EF" w:rsidP="009E5034">
            <w:pPr>
              <w:pStyle w:val="Tableau"/>
              <w:ind w:left="1"/>
              <w:jc w:val="left"/>
              <w:rPr>
                <w:sz w:val="22"/>
                <w:szCs w:val="22"/>
              </w:rPr>
            </w:pPr>
          </w:p>
        </w:tc>
        <w:tc>
          <w:tcPr>
            <w:tcW w:w="1034" w:type="dxa"/>
            <w:vMerge/>
            <w:tcBorders>
              <w:top w:val="single" w:sz="8" w:space="0" w:color="auto"/>
              <w:left w:val="single" w:sz="4" w:space="0" w:color="auto"/>
              <w:bottom w:val="single" w:sz="4" w:space="0" w:color="000000"/>
              <w:right w:val="single" w:sz="4" w:space="0" w:color="auto"/>
            </w:tcBorders>
            <w:vAlign w:val="center"/>
          </w:tcPr>
          <w:p w:rsidR="00F164EF" w:rsidRPr="009E5034" w:rsidRDefault="00F164EF" w:rsidP="009E5034">
            <w:pPr>
              <w:pStyle w:val="Tableau"/>
              <w:ind w:left="1"/>
              <w:jc w:val="left"/>
              <w:rPr>
                <w:sz w:val="22"/>
                <w:szCs w:val="22"/>
              </w:rPr>
            </w:pPr>
          </w:p>
        </w:tc>
        <w:tc>
          <w:tcPr>
            <w:tcW w:w="648" w:type="dxa"/>
            <w:vMerge/>
            <w:tcBorders>
              <w:top w:val="single" w:sz="8" w:space="0" w:color="auto"/>
              <w:left w:val="single" w:sz="4" w:space="0" w:color="auto"/>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p>
        </w:tc>
        <w:tc>
          <w:tcPr>
            <w:tcW w:w="854" w:type="dxa"/>
            <w:vMerge/>
            <w:tcBorders>
              <w:top w:val="single" w:sz="8" w:space="0" w:color="auto"/>
              <w:left w:val="single" w:sz="4" w:space="0" w:color="auto"/>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p>
        </w:tc>
        <w:tc>
          <w:tcPr>
            <w:tcW w:w="1041" w:type="dxa"/>
            <w:vMerge/>
            <w:tcBorders>
              <w:top w:val="single" w:sz="8" w:space="0" w:color="auto"/>
              <w:left w:val="single" w:sz="4" w:space="0" w:color="auto"/>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p>
        </w:tc>
        <w:tc>
          <w:tcPr>
            <w:tcW w:w="961" w:type="dxa"/>
            <w:vMerge/>
            <w:tcBorders>
              <w:top w:val="single" w:sz="8" w:space="0" w:color="auto"/>
              <w:left w:val="single" w:sz="4" w:space="0" w:color="auto"/>
              <w:bottom w:val="single" w:sz="4" w:space="0" w:color="000000"/>
              <w:right w:val="single" w:sz="4" w:space="0" w:color="auto"/>
            </w:tcBorders>
            <w:vAlign w:val="center"/>
          </w:tcPr>
          <w:p w:rsidR="00F164EF" w:rsidRPr="009E5034" w:rsidRDefault="00F164EF" w:rsidP="009E5034">
            <w:pPr>
              <w:pStyle w:val="Tableau"/>
              <w:ind w:left="1"/>
              <w:jc w:val="left"/>
              <w:rPr>
                <w:sz w:val="22"/>
                <w:szCs w:val="22"/>
              </w:rPr>
            </w:pPr>
          </w:p>
        </w:tc>
        <w:tc>
          <w:tcPr>
            <w:tcW w:w="1034" w:type="dxa"/>
            <w:vMerge/>
            <w:tcBorders>
              <w:top w:val="single" w:sz="8" w:space="0" w:color="auto"/>
              <w:left w:val="single" w:sz="4" w:space="0" w:color="auto"/>
              <w:bottom w:val="single" w:sz="4" w:space="0" w:color="000000"/>
              <w:right w:val="single" w:sz="4" w:space="0" w:color="auto"/>
            </w:tcBorders>
            <w:vAlign w:val="center"/>
          </w:tcPr>
          <w:p w:rsidR="00F164EF" w:rsidRPr="009E5034" w:rsidRDefault="00F164EF" w:rsidP="009E5034">
            <w:pPr>
              <w:pStyle w:val="Tableau"/>
              <w:ind w:left="1"/>
              <w:jc w:val="left"/>
              <w:rPr>
                <w:sz w:val="22"/>
                <w:szCs w:val="22"/>
              </w:rPr>
            </w:pPr>
          </w:p>
        </w:tc>
        <w:tc>
          <w:tcPr>
            <w:tcW w:w="655" w:type="dxa"/>
            <w:vMerge/>
            <w:tcBorders>
              <w:top w:val="single" w:sz="8" w:space="0" w:color="auto"/>
              <w:left w:val="single" w:sz="4" w:space="0" w:color="auto"/>
              <w:bottom w:val="single" w:sz="4" w:space="0" w:color="000000"/>
              <w:right w:val="single" w:sz="4" w:space="0" w:color="auto"/>
            </w:tcBorders>
            <w:vAlign w:val="center"/>
          </w:tcPr>
          <w:p w:rsidR="00F164EF" w:rsidRPr="009E5034" w:rsidRDefault="00F164EF" w:rsidP="009E5034">
            <w:pPr>
              <w:pStyle w:val="Tableau"/>
              <w:ind w:left="1"/>
              <w:jc w:val="left"/>
              <w:rPr>
                <w:sz w:val="22"/>
                <w:szCs w:val="22"/>
              </w:rPr>
            </w:pPr>
          </w:p>
        </w:tc>
        <w:tc>
          <w:tcPr>
            <w:tcW w:w="693" w:type="dxa"/>
            <w:vMerge/>
            <w:tcBorders>
              <w:top w:val="single" w:sz="8" w:space="0" w:color="auto"/>
              <w:left w:val="single" w:sz="4" w:space="0" w:color="auto"/>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p>
        </w:tc>
        <w:tc>
          <w:tcPr>
            <w:tcW w:w="693" w:type="dxa"/>
            <w:vMerge/>
            <w:tcBorders>
              <w:top w:val="single" w:sz="8" w:space="0" w:color="auto"/>
              <w:left w:val="single" w:sz="4" w:space="0" w:color="auto"/>
              <w:bottom w:val="single" w:sz="4" w:space="0" w:color="auto"/>
              <w:right w:val="single" w:sz="8" w:space="0" w:color="auto"/>
            </w:tcBorders>
            <w:vAlign w:val="center"/>
          </w:tcPr>
          <w:p w:rsidR="00F164EF" w:rsidRPr="009E5034" w:rsidRDefault="00F164EF" w:rsidP="009E5034">
            <w:pPr>
              <w:pStyle w:val="Tableau"/>
              <w:ind w:left="1"/>
              <w:jc w:val="left"/>
              <w:rPr>
                <w:sz w:val="22"/>
                <w:szCs w:val="22"/>
              </w:rPr>
            </w:pPr>
          </w:p>
        </w:tc>
      </w:tr>
      <w:tr w:rsidR="00F164EF" w:rsidRPr="009E5034" w:rsidTr="00183B56">
        <w:trPr>
          <w:trHeight w:val="304"/>
          <w:jc w:val="center"/>
        </w:trPr>
        <w:tc>
          <w:tcPr>
            <w:tcW w:w="1212" w:type="dxa"/>
            <w:vMerge w:val="restart"/>
            <w:tcBorders>
              <w:top w:val="nil"/>
              <w:left w:val="single" w:sz="8" w:space="0" w:color="auto"/>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Hôpital Gao</w:t>
            </w:r>
          </w:p>
        </w:tc>
        <w:tc>
          <w:tcPr>
            <w:tcW w:w="1034" w:type="dxa"/>
            <w:vMerge w:val="restart"/>
            <w:tcBorders>
              <w:top w:val="nil"/>
              <w:left w:val="single" w:sz="4" w:space="0" w:color="auto"/>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w:t>
            </w:r>
          </w:p>
        </w:tc>
        <w:tc>
          <w:tcPr>
            <w:tcW w:w="648" w:type="dxa"/>
            <w:vMerge w:val="restart"/>
            <w:tcBorders>
              <w:top w:val="nil"/>
              <w:left w:val="single" w:sz="4" w:space="0" w:color="auto"/>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w:t>
            </w:r>
          </w:p>
        </w:tc>
        <w:tc>
          <w:tcPr>
            <w:tcW w:w="854" w:type="dxa"/>
            <w:vMerge w:val="restart"/>
            <w:tcBorders>
              <w:top w:val="nil"/>
              <w:left w:val="single" w:sz="4" w:space="0" w:color="auto"/>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w:t>
            </w:r>
          </w:p>
        </w:tc>
        <w:tc>
          <w:tcPr>
            <w:tcW w:w="1041" w:type="dxa"/>
            <w:vMerge w:val="restart"/>
            <w:tcBorders>
              <w:top w:val="nil"/>
              <w:left w:val="single" w:sz="4" w:space="0" w:color="auto"/>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168</w:t>
            </w:r>
          </w:p>
        </w:tc>
        <w:tc>
          <w:tcPr>
            <w:tcW w:w="961" w:type="dxa"/>
            <w:vMerge w:val="restart"/>
            <w:tcBorders>
              <w:top w:val="nil"/>
              <w:left w:val="single" w:sz="4" w:space="0" w:color="auto"/>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3 662</w:t>
            </w:r>
          </w:p>
        </w:tc>
        <w:tc>
          <w:tcPr>
            <w:tcW w:w="1034" w:type="dxa"/>
            <w:vMerge w:val="restart"/>
            <w:tcBorders>
              <w:top w:val="nil"/>
              <w:left w:val="single" w:sz="4" w:space="0" w:color="auto"/>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w:t>
            </w:r>
          </w:p>
        </w:tc>
        <w:tc>
          <w:tcPr>
            <w:tcW w:w="655" w:type="dxa"/>
            <w:vMerge w:val="restart"/>
            <w:tcBorders>
              <w:top w:val="nil"/>
              <w:left w:val="single" w:sz="4" w:space="0" w:color="auto"/>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211</w:t>
            </w:r>
          </w:p>
        </w:tc>
        <w:tc>
          <w:tcPr>
            <w:tcW w:w="693" w:type="dxa"/>
            <w:vMerge w:val="restart"/>
            <w:tcBorders>
              <w:top w:val="nil"/>
              <w:left w:val="single" w:sz="4" w:space="0" w:color="auto"/>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3 636</w:t>
            </w:r>
          </w:p>
        </w:tc>
        <w:tc>
          <w:tcPr>
            <w:tcW w:w="693" w:type="dxa"/>
            <w:vMerge w:val="restart"/>
            <w:tcBorders>
              <w:top w:val="nil"/>
              <w:left w:val="single" w:sz="4" w:space="0" w:color="auto"/>
              <w:bottom w:val="single" w:sz="4" w:space="0" w:color="auto"/>
              <w:right w:val="single" w:sz="8" w:space="0" w:color="auto"/>
            </w:tcBorders>
            <w:vAlign w:val="center"/>
          </w:tcPr>
          <w:p w:rsidR="00F164EF" w:rsidRPr="009E5034" w:rsidRDefault="00F164EF" w:rsidP="009E5034">
            <w:pPr>
              <w:pStyle w:val="Tableau"/>
              <w:ind w:left="1"/>
              <w:jc w:val="left"/>
              <w:rPr>
                <w:sz w:val="22"/>
                <w:szCs w:val="22"/>
              </w:rPr>
            </w:pPr>
            <w:r w:rsidRPr="009E5034">
              <w:rPr>
                <w:sz w:val="22"/>
                <w:szCs w:val="22"/>
              </w:rPr>
              <w:t>-</w:t>
            </w:r>
          </w:p>
        </w:tc>
      </w:tr>
      <w:tr w:rsidR="00F164EF" w:rsidRPr="009E5034" w:rsidTr="00183B56">
        <w:trPr>
          <w:trHeight w:val="304"/>
          <w:jc w:val="center"/>
        </w:trPr>
        <w:tc>
          <w:tcPr>
            <w:tcW w:w="1212" w:type="dxa"/>
            <w:vMerge/>
            <w:tcBorders>
              <w:top w:val="single" w:sz="4" w:space="0" w:color="auto"/>
              <w:left w:val="single" w:sz="8" w:space="0" w:color="auto"/>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p>
        </w:tc>
        <w:tc>
          <w:tcPr>
            <w:tcW w:w="1034" w:type="dxa"/>
            <w:vMerge/>
            <w:tcBorders>
              <w:top w:val="single" w:sz="4" w:space="0" w:color="auto"/>
              <w:left w:val="single" w:sz="4" w:space="0" w:color="auto"/>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p>
        </w:tc>
        <w:tc>
          <w:tcPr>
            <w:tcW w:w="854" w:type="dxa"/>
            <w:vMerge/>
            <w:tcBorders>
              <w:top w:val="single" w:sz="4" w:space="0" w:color="auto"/>
              <w:left w:val="single" w:sz="4" w:space="0" w:color="auto"/>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p>
        </w:tc>
        <w:tc>
          <w:tcPr>
            <w:tcW w:w="1041" w:type="dxa"/>
            <w:vMerge/>
            <w:tcBorders>
              <w:top w:val="single" w:sz="4" w:space="0" w:color="auto"/>
              <w:left w:val="single" w:sz="4" w:space="0" w:color="auto"/>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p>
        </w:tc>
        <w:tc>
          <w:tcPr>
            <w:tcW w:w="961" w:type="dxa"/>
            <w:vMerge/>
            <w:tcBorders>
              <w:top w:val="single" w:sz="4" w:space="0" w:color="auto"/>
              <w:left w:val="single" w:sz="4" w:space="0" w:color="auto"/>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p>
        </w:tc>
        <w:tc>
          <w:tcPr>
            <w:tcW w:w="1034" w:type="dxa"/>
            <w:vMerge/>
            <w:tcBorders>
              <w:top w:val="single" w:sz="4" w:space="0" w:color="auto"/>
              <w:left w:val="single" w:sz="4" w:space="0" w:color="auto"/>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p>
        </w:tc>
        <w:tc>
          <w:tcPr>
            <w:tcW w:w="655" w:type="dxa"/>
            <w:vMerge/>
            <w:tcBorders>
              <w:top w:val="single" w:sz="4" w:space="0" w:color="auto"/>
              <w:left w:val="single" w:sz="4" w:space="0" w:color="auto"/>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p>
        </w:tc>
        <w:tc>
          <w:tcPr>
            <w:tcW w:w="693" w:type="dxa"/>
            <w:vMerge/>
            <w:tcBorders>
              <w:top w:val="single" w:sz="4" w:space="0" w:color="auto"/>
              <w:left w:val="single" w:sz="4" w:space="0" w:color="auto"/>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p>
        </w:tc>
        <w:tc>
          <w:tcPr>
            <w:tcW w:w="693" w:type="dxa"/>
            <w:vMerge/>
            <w:tcBorders>
              <w:top w:val="single" w:sz="4" w:space="0" w:color="auto"/>
              <w:left w:val="single" w:sz="4" w:space="0" w:color="auto"/>
              <w:bottom w:val="single" w:sz="4" w:space="0" w:color="auto"/>
              <w:right w:val="single" w:sz="8" w:space="0" w:color="auto"/>
            </w:tcBorders>
            <w:vAlign w:val="center"/>
          </w:tcPr>
          <w:p w:rsidR="00F164EF" w:rsidRPr="009E5034" w:rsidRDefault="00F164EF" w:rsidP="009E5034">
            <w:pPr>
              <w:pStyle w:val="Tableau"/>
              <w:ind w:left="1"/>
              <w:jc w:val="left"/>
              <w:rPr>
                <w:sz w:val="22"/>
                <w:szCs w:val="22"/>
              </w:rPr>
            </w:pPr>
          </w:p>
        </w:tc>
      </w:tr>
      <w:tr w:rsidR="00F164EF" w:rsidRPr="009E5034" w:rsidTr="00183B56">
        <w:trPr>
          <w:trHeight w:val="304"/>
          <w:jc w:val="center"/>
        </w:trPr>
        <w:tc>
          <w:tcPr>
            <w:tcW w:w="1212" w:type="dxa"/>
            <w:vMerge w:val="restart"/>
            <w:tcBorders>
              <w:top w:val="single" w:sz="4" w:space="0" w:color="auto"/>
              <w:left w:val="single" w:sz="8" w:space="0" w:color="auto"/>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Gao</w:t>
            </w:r>
          </w:p>
        </w:tc>
        <w:tc>
          <w:tcPr>
            <w:tcW w:w="1034" w:type="dxa"/>
            <w:vMerge w:val="restart"/>
            <w:tcBorders>
              <w:top w:val="single" w:sz="4" w:space="0" w:color="auto"/>
              <w:left w:val="single" w:sz="4" w:space="0" w:color="auto"/>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14 219</w:t>
            </w:r>
          </w:p>
        </w:tc>
        <w:tc>
          <w:tcPr>
            <w:tcW w:w="648" w:type="dxa"/>
            <w:vMerge w:val="restart"/>
            <w:tcBorders>
              <w:top w:val="single" w:sz="4" w:space="0" w:color="auto"/>
              <w:left w:val="single" w:sz="4" w:space="0" w:color="auto"/>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4 232</w:t>
            </w:r>
          </w:p>
        </w:tc>
        <w:tc>
          <w:tcPr>
            <w:tcW w:w="854" w:type="dxa"/>
            <w:vMerge w:val="restart"/>
            <w:tcBorders>
              <w:top w:val="single" w:sz="4" w:space="0" w:color="auto"/>
              <w:left w:val="single" w:sz="4" w:space="0" w:color="auto"/>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2 649</w:t>
            </w:r>
          </w:p>
        </w:tc>
        <w:tc>
          <w:tcPr>
            <w:tcW w:w="1041" w:type="dxa"/>
            <w:vMerge w:val="restart"/>
            <w:tcBorders>
              <w:top w:val="single" w:sz="4" w:space="0" w:color="auto"/>
              <w:left w:val="single" w:sz="4" w:space="0" w:color="auto"/>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479</w:t>
            </w:r>
          </w:p>
        </w:tc>
        <w:tc>
          <w:tcPr>
            <w:tcW w:w="961" w:type="dxa"/>
            <w:vMerge w:val="restart"/>
            <w:tcBorders>
              <w:top w:val="single" w:sz="4" w:space="0" w:color="auto"/>
              <w:left w:val="single" w:sz="4" w:space="0" w:color="auto"/>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1 233</w:t>
            </w:r>
          </w:p>
        </w:tc>
        <w:tc>
          <w:tcPr>
            <w:tcW w:w="1034" w:type="dxa"/>
            <w:vMerge w:val="restart"/>
            <w:tcBorders>
              <w:top w:val="single" w:sz="4" w:space="0" w:color="auto"/>
              <w:left w:val="single" w:sz="4" w:space="0" w:color="auto"/>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1 556</w:t>
            </w:r>
          </w:p>
        </w:tc>
        <w:tc>
          <w:tcPr>
            <w:tcW w:w="655" w:type="dxa"/>
            <w:vMerge w:val="restart"/>
            <w:tcBorders>
              <w:top w:val="single" w:sz="4" w:space="0" w:color="auto"/>
              <w:left w:val="single" w:sz="4" w:space="0" w:color="auto"/>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2 422</w:t>
            </w:r>
          </w:p>
        </w:tc>
        <w:tc>
          <w:tcPr>
            <w:tcW w:w="693" w:type="dxa"/>
            <w:vMerge w:val="restart"/>
            <w:tcBorders>
              <w:top w:val="single" w:sz="4" w:space="0" w:color="auto"/>
              <w:left w:val="single" w:sz="4" w:space="0" w:color="auto"/>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6 651</w:t>
            </w:r>
          </w:p>
        </w:tc>
        <w:tc>
          <w:tcPr>
            <w:tcW w:w="693" w:type="dxa"/>
            <w:vMerge w:val="restart"/>
            <w:tcBorders>
              <w:top w:val="single" w:sz="4" w:space="0" w:color="auto"/>
              <w:left w:val="single" w:sz="4" w:space="0" w:color="auto"/>
              <w:bottom w:val="single" w:sz="4" w:space="0" w:color="auto"/>
              <w:right w:val="single" w:sz="8" w:space="0" w:color="auto"/>
            </w:tcBorders>
            <w:vAlign w:val="center"/>
          </w:tcPr>
          <w:p w:rsidR="00F164EF" w:rsidRPr="009E5034" w:rsidRDefault="00F164EF" w:rsidP="009E5034">
            <w:pPr>
              <w:pStyle w:val="Tableau"/>
              <w:ind w:left="1"/>
              <w:jc w:val="left"/>
              <w:rPr>
                <w:sz w:val="22"/>
                <w:szCs w:val="22"/>
              </w:rPr>
            </w:pPr>
            <w:r w:rsidRPr="009E5034">
              <w:rPr>
                <w:sz w:val="22"/>
                <w:szCs w:val="22"/>
              </w:rPr>
              <w:t>33441</w:t>
            </w:r>
          </w:p>
        </w:tc>
      </w:tr>
      <w:tr w:rsidR="00F164EF" w:rsidRPr="009E5034" w:rsidTr="00183B56">
        <w:trPr>
          <w:trHeight w:val="304"/>
          <w:jc w:val="center"/>
        </w:trPr>
        <w:tc>
          <w:tcPr>
            <w:tcW w:w="1212" w:type="dxa"/>
            <w:vMerge/>
            <w:tcBorders>
              <w:top w:val="single" w:sz="4" w:space="0" w:color="auto"/>
              <w:left w:val="single" w:sz="8" w:space="0" w:color="auto"/>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p>
        </w:tc>
        <w:tc>
          <w:tcPr>
            <w:tcW w:w="1034" w:type="dxa"/>
            <w:vMerge/>
            <w:tcBorders>
              <w:top w:val="single" w:sz="4" w:space="0" w:color="auto"/>
              <w:left w:val="single" w:sz="4" w:space="0" w:color="auto"/>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p>
        </w:tc>
        <w:tc>
          <w:tcPr>
            <w:tcW w:w="854" w:type="dxa"/>
            <w:vMerge/>
            <w:tcBorders>
              <w:top w:val="single" w:sz="4" w:space="0" w:color="auto"/>
              <w:left w:val="single" w:sz="4" w:space="0" w:color="auto"/>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p>
        </w:tc>
        <w:tc>
          <w:tcPr>
            <w:tcW w:w="1041" w:type="dxa"/>
            <w:vMerge/>
            <w:tcBorders>
              <w:top w:val="single" w:sz="4" w:space="0" w:color="auto"/>
              <w:left w:val="single" w:sz="4" w:space="0" w:color="auto"/>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p>
        </w:tc>
        <w:tc>
          <w:tcPr>
            <w:tcW w:w="961" w:type="dxa"/>
            <w:vMerge/>
            <w:tcBorders>
              <w:top w:val="single" w:sz="4" w:space="0" w:color="auto"/>
              <w:left w:val="single" w:sz="4" w:space="0" w:color="auto"/>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p>
        </w:tc>
        <w:tc>
          <w:tcPr>
            <w:tcW w:w="1034" w:type="dxa"/>
            <w:vMerge/>
            <w:tcBorders>
              <w:top w:val="single" w:sz="4" w:space="0" w:color="auto"/>
              <w:left w:val="single" w:sz="4" w:space="0" w:color="auto"/>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p>
        </w:tc>
        <w:tc>
          <w:tcPr>
            <w:tcW w:w="655" w:type="dxa"/>
            <w:vMerge/>
            <w:tcBorders>
              <w:top w:val="single" w:sz="4" w:space="0" w:color="auto"/>
              <w:left w:val="single" w:sz="4" w:space="0" w:color="auto"/>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p>
        </w:tc>
        <w:tc>
          <w:tcPr>
            <w:tcW w:w="693" w:type="dxa"/>
            <w:vMerge/>
            <w:tcBorders>
              <w:top w:val="single" w:sz="4" w:space="0" w:color="auto"/>
              <w:left w:val="single" w:sz="4" w:space="0" w:color="auto"/>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p>
        </w:tc>
        <w:tc>
          <w:tcPr>
            <w:tcW w:w="693" w:type="dxa"/>
            <w:vMerge/>
            <w:tcBorders>
              <w:top w:val="single" w:sz="4" w:space="0" w:color="auto"/>
              <w:left w:val="single" w:sz="4" w:space="0" w:color="auto"/>
              <w:bottom w:val="single" w:sz="4" w:space="0" w:color="auto"/>
              <w:right w:val="single" w:sz="8" w:space="0" w:color="auto"/>
            </w:tcBorders>
            <w:vAlign w:val="center"/>
          </w:tcPr>
          <w:p w:rsidR="00F164EF" w:rsidRPr="009E5034" w:rsidRDefault="00F164EF" w:rsidP="009E5034">
            <w:pPr>
              <w:pStyle w:val="Tableau"/>
              <w:ind w:left="1"/>
              <w:jc w:val="left"/>
              <w:rPr>
                <w:sz w:val="22"/>
                <w:szCs w:val="22"/>
              </w:rPr>
            </w:pPr>
          </w:p>
        </w:tc>
      </w:tr>
      <w:tr w:rsidR="00F164EF" w:rsidRPr="009E5034" w:rsidTr="00183B56">
        <w:trPr>
          <w:trHeight w:val="315"/>
          <w:jc w:val="center"/>
        </w:trPr>
        <w:tc>
          <w:tcPr>
            <w:tcW w:w="1212" w:type="dxa"/>
            <w:tcBorders>
              <w:top w:val="nil"/>
              <w:left w:val="single" w:sz="8" w:space="0" w:color="auto"/>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Total</w:t>
            </w:r>
          </w:p>
        </w:tc>
        <w:tc>
          <w:tcPr>
            <w:tcW w:w="1034" w:type="dxa"/>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14219</w:t>
            </w:r>
          </w:p>
        </w:tc>
        <w:tc>
          <w:tcPr>
            <w:tcW w:w="648" w:type="dxa"/>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4232</w:t>
            </w:r>
          </w:p>
        </w:tc>
        <w:tc>
          <w:tcPr>
            <w:tcW w:w="854" w:type="dxa"/>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2649</w:t>
            </w:r>
          </w:p>
        </w:tc>
        <w:tc>
          <w:tcPr>
            <w:tcW w:w="1041" w:type="dxa"/>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647</w:t>
            </w:r>
          </w:p>
        </w:tc>
        <w:tc>
          <w:tcPr>
            <w:tcW w:w="961" w:type="dxa"/>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4895</w:t>
            </w:r>
          </w:p>
        </w:tc>
        <w:tc>
          <w:tcPr>
            <w:tcW w:w="1034" w:type="dxa"/>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1556</w:t>
            </w:r>
          </w:p>
        </w:tc>
        <w:tc>
          <w:tcPr>
            <w:tcW w:w="655" w:type="dxa"/>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2633</w:t>
            </w:r>
          </w:p>
        </w:tc>
        <w:tc>
          <w:tcPr>
            <w:tcW w:w="693" w:type="dxa"/>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10287</w:t>
            </w:r>
          </w:p>
        </w:tc>
        <w:tc>
          <w:tcPr>
            <w:tcW w:w="693" w:type="dxa"/>
            <w:tcBorders>
              <w:top w:val="nil"/>
              <w:left w:val="nil"/>
              <w:bottom w:val="single" w:sz="4" w:space="0" w:color="auto"/>
              <w:right w:val="single" w:sz="8"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41118</w:t>
            </w:r>
          </w:p>
        </w:tc>
      </w:tr>
      <w:tr w:rsidR="00F164EF" w:rsidRPr="009E5034" w:rsidTr="00183B56">
        <w:trPr>
          <w:trHeight w:val="330"/>
          <w:jc w:val="center"/>
        </w:trPr>
        <w:tc>
          <w:tcPr>
            <w:tcW w:w="1212" w:type="dxa"/>
            <w:tcBorders>
              <w:top w:val="nil"/>
              <w:left w:val="single" w:sz="8" w:space="0" w:color="auto"/>
              <w:bottom w:val="single" w:sz="8"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w:t>
            </w:r>
          </w:p>
        </w:tc>
        <w:tc>
          <w:tcPr>
            <w:tcW w:w="1034" w:type="dxa"/>
            <w:tcBorders>
              <w:top w:val="nil"/>
              <w:left w:val="nil"/>
              <w:bottom w:val="single" w:sz="8"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34,6</w:t>
            </w:r>
          </w:p>
        </w:tc>
        <w:tc>
          <w:tcPr>
            <w:tcW w:w="648" w:type="dxa"/>
            <w:tcBorders>
              <w:top w:val="nil"/>
              <w:left w:val="nil"/>
              <w:bottom w:val="single" w:sz="8"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10,3</w:t>
            </w:r>
          </w:p>
        </w:tc>
        <w:tc>
          <w:tcPr>
            <w:tcW w:w="854" w:type="dxa"/>
            <w:tcBorders>
              <w:top w:val="nil"/>
              <w:left w:val="nil"/>
              <w:bottom w:val="single" w:sz="8"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6,4</w:t>
            </w:r>
          </w:p>
        </w:tc>
        <w:tc>
          <w:tcPr>
            <w:tcW w:w="1041" w:type="dxa"/>
            <w:tcBorders>
              <w:top w:val="nil"/>
              <w:left w:val="nil"/>
              <w:bottom w:val="single" w:sz="8"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1,6</w:t>
            </w:r>
          </w:p>
        </w:tc>
        <w:tc>
          <w:tcPr>
            <w:tcW w:w="961" w:type="dxa"/>
            <w:tcBorders>
              <w:top w:val="nil"/>
              <w:left w:val="nil"/>
              <w:bottom w:val="single" w:sz="8"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11,9</w:t>
            </w:r>
          </w:p>
        </w:tc>
        <w:tc>
          <w:tcPr>
            <w:tcW w:w="1034" w:type="dxa"/>
            <w:tcBorders>
              <w:top w:val="nil"/>
              <w:left w:val="nil"/>
              <w:bottom w:val="single" w:sz="8"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3,8</w:t>
            </w:r>
          </w:p>
        </w:tc>
        <w:tc>
          <w:tcPr>
            <w:tcW w:w="655" w:type="dxa"/>
            <w:tcBorders>
              <w:top w:val="nil"/>
              <w:left w:val="nil"/>
              <w:bottom w:val="single" w:sz="8"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6,4</w:t>
            </w:r>
          </w:p>
        </w:tc>
        <w:tc>
          <w:tcPr>
            <w:tcW w:w="693" w:type="dxa"/>
            <w:tcBorders>
              <w:top w:val="nil"/>
              <w:left w:val="nil"/>
              <w:bottom w:val="single" w:sz="8"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25,0</w:t>
            </w:r>
          </w:p>
        </w:tc>
        <w:tc>
          <w:tcPr>
            <w:tcW w:w="693" w:type="dxa"/>
            <w:tcBorders>
              <w:top w:val="nil"/>
              <w:left w:val="nil"/>
              <w:bottom w:val="single" w:sz="8" w:space="0" w:color="auto"/>
              <w:right w:val="single" w:sz="8"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100</w:t>
            </w:r>
          </w:p>
        </w:tc>
      </w:tr>
    </w:tbl>
    <w:p w:rsidR="00F164EF" w:rsidRPr="009E5034" w:rsidRDefault="00F164EF" w:rsidP="009E5034">
      <w:pPr>
        <w:spacing w:before="120" w:after="120"/>
        <w:ind w:left="0"/>
        <w:jc w:val="left"/>
        <w:rPr>
          <w:sz w:val="22"/>
          <w:szCs w:val="22"/>
        </w:rPr>
      </w:pPr>
      <w:r w:rsidRPr="009E5034">
        <w:rPr>
          <w:sz w:val="22"/>
          <w:szCs w:val="22"/>
        </w:rPr>
        <w:t>En dépit des progrès enregistrés dans ce secteur, les indicateurs de la santé publique de la région restent en deçà des normes nationales. En effet et selon le rapport bilan 2006 de l’annuaire statistique de la santé, les maladies infectieuses et parasitaires comme le paludisme (34.6%), l’affection bouche dent (11.9%) continuent d’y être endémique.</w:t>
      </w:r>
    </w:p>
    <w:p w:rsidR="00F164EF" w:rsidRPr="009E5034" w:rsidRDefault="00F164EF" w:rsidP="009E5034">
      <w:pPr>
        <w:spacing w:after="240"/>
        <w:ind w:left="0"/>
        <w:jc w:val="left"/>
        <w:rPr>
          <w:rStyle w:val="Strong"/>
          <w:rFonts w:eastAsia="MS Mincho"/>
          <w:sz w:val="22"/>
          <w:szCs w:val="22"/>
        </w:rPr>
      </w:pPr>
      <w:bookmarkStart w:id="109" w:name="_Toc253581236"/>
      <w:bookmarkStart w:id="110" w:name="_Toc261170259"/>
      <w:r w:rsidRPr="009E5034">
        <w:rPr>
          <w:rStyle w:val="Strong"/>
          <w:rFonts w:eastAsia="MS Mincho"/>
          <w:sz w:val="22"/>
          <w:szCs w:val="22"/>
        </w:rPr>
        <w:t>3. Activités économiques</w:t>
      </w:r>
      <w:bookmarkEnd w:id="109"/>
      <w:bookmarkEnd w:id="110"/>
    </w:p>
    <w:p w:rsidR="00F164EF" w:rsidRPr="009E5034" w:rsidRDefault="00F164EF" w:rsidP="009E5034">
      <w:pPr>
        <w:spacing w:after="240"/>
        <w:ind w:left="0"/>
        <w:jc w:val="left"/>
        <w:rPr>
          <w:rStyle w:val="Strong"/>
          <w:rFonts w:eastAsia="MS Mincho"/>
          <w:sz w:val="22"/>
          <w:szCs w:val="22"/>
        </w:rPr>
      </w:pPr>
      <w:bookmarkStart w:id="111" w:name="_Toc253581237"/>
      <w:bookmarkStart w:id="112" w:name="_Toc261170260"/>
      <w:r w:rsidRPr="009E5034">
        <w:rPr>
          <w:rStyle w:val="Strong"/>
          <w:rFonts w:eastAsia="MS Mincho"/>
          <w:sz w:val="22"/>
          <w:szCs w:val="22"/>
        </w:rPr>
        <w:t>3.1. Agriculture</w:t>
      </w:r>
      <w:bookmarkEnd w:id="111"/>
      <w:bookmarkEnd w:id="112"/>
      <w:r w:rsidRPr="009E5034">
        <w:rPr>
          <w:rStyle w:val="Strong"/>
          <w:rFonts w:eastAsia="MS Mincho"/>
          <w:sz w:val="22"/>
          <w:szCs w:val="22"/>
        </w:rPr>
        <w:t xml:space="preserve"> </w:t>
      </w:r>
    </w:p>
    <w:p w:rsidR="00F164EF" w:rsidRPr="009E5034" w:rsidRDefault="00F164EF" w:rsidP="009E5034">
      <w:pPr>
        <w:spacing w:before="120" w:after="120"/>
        <w:ind w:left="0"/>
        <w:jc w:val="left"/>
        <w:rPr>
          <w:sz w:val="22"/>
          <w:szCs w:val="22"/>
        </w:rPr>
      </w:pPr>
      <w:r w:rsidRPr="009E5034">
        <w:rPr>
          <w:sz w:val="22"/>
          <w:szCs w:val="22"/>
        </w:rPr>
        <w:t xml:space="preserve">Le secteur de l’agriculture et de l’élevage contribue environ à hauteur de 25% à l’économie des ménages et occupe environ 16% de la population active. </w:t>
      </w:r>
    </w:p>
    <w:p w:rsidR="00F164EF" w:rsidRPr="009E5034" w:rsidRDefault="00F164EF" w:rsidP="009E5034">
      <w:pPr>
        <w:spacing w:before="120" w:after="120"/>
        <w:ind w:left="0"/>
        <w:jc w:val="left"/>
        <w:rPr>
          <w:sz w:val="22"/>
          <w:szCs w:val="22"/>
        </w:rPr>
      </w:pPr>
      <w:r w:rsidRPr="009E5034">
        <w:rPr>
          <w:sz w:val="22"/>
          <w:szCs w:val="22"/>
        </w:rPr>
        <w:t>D’après le Plan Stratégique d’Assainissement de la ville de GAO, l’agriculture contribue pour 10,27% à l’économie des ménages de la commune de Gao. Elle est axée essentiellement sur les cultures vivrières et le maraîchage. Le riz est la principale céréale cultivée avec environ 76% des productions. Au niveau de la ville de Gao et ses environs, l’agriculture est axée essentiellement sur les cultures vivrières et le maraîchage qui acquiert une place grandissante aux abords du fleuve notamment dans les quartiers de Djidara au Sud et Gadeye au Nord de la ville. Les autres zones de culture sont les bas fonds, les plaines argileuses et sablonneuses.</w:t>
      </w:r>
    </w:p>
    <w:p w:rsidR="00F164EF" w:rsidRPr="009E5034" w:rsidRDefault="00F164EF" w:rsidP="009E5034">
      <w:pPr>
        <w:spacing w:before="120" w:after="120"/>
        <w:ind w:left="0"/>
        <w:jc w:val="left"/>
        <w:rPr>
          <w:sz w:val="22"/>
          <w:szCs w:val="22"/>
        </w:rPr>
      </w:pPr>
      <w:r w:rsidRPr="009E5034">
        <w:rPr>
          <w:sz w:val="22"/>
          <w:szCs w:val="22"/>
        </w:rPr>
        <w:t xml:space="preserve">Le dernier Schéma Directeur d’Urbanisme de la ville de Gao et de ses environs de 2005, montre que l’élevage occupe 15,7% de la population de la commune de Gao et ses environs, et  contribue  pour 14,81% dans l’économie des ménages. Il est pratiqué par la majorité de la population et demeure extensif ; cet élevage porte surtout sur les ovins  et les caprins, auxquels il faut ajouter la volaille qui porte sur </w:t>
      </w:r>
      <w:r w:rsidRPr="009E5034">
        <w:rPr>
          <w:iCs/>
          <w:sz w:val="22"/>
          <w:szCs w:val="22"/>
        </w:rPr>
        <w:t>les poules et les pintades</w:t>
      </w:r>
      <w:r w:rsidRPr="009E5034">
        <w:rPr>
          <w:sz w:val="22"/>
          <w:szCs w:val="22"/>
        </w:rPr>
        <w:t xml:space="preserve">. </w:t>
      </w:r>
    </w:p>
    <w:p w:rsidR="00F164EF" w:rsidRPr="009E5034" w:rsidRDefault="00F164EF" w:rsidP="009E5034">
      <w:pPr>
        <w:spacing w:after="240"/>
        <w:ind w:left="0"/>
        <w:jc w:val="left"/>
        <w:rPr>
          <w:rStyle w:val="Strong"/>
          <w:rFonts w:eastAsia="MS Mincho"/>
          <w:sz w:val="22"/>
          <w:szCs w:val="22"/>
        </w:rPr>
      </w:pPr>
      <w:bookmarkStart w:id="113" w:name="_Toc253581238"/>
      <w:bookmarkStart w:id="114" w:name="_Toc261170261"/>
      <w:r w:rsidRPr="009E5034">
        <w:rPr>
          <w:rStyle w:val="Strong"/>
          <w:rFonts w:eastAsia="MS Mincho"/>
          <w:sz w:val="22"/>
          <w:szCs w:val="22"/>
        </w:rPr>
        <w:t>3.2. Pêche</w:t>
      </w:r>
      <w:bookmarkEnd w:id="113"/>
      <w:bookmarkEnd w:id="114"/>
    </w:p>
    <w:p w:rsidR="00F164EF" w:rsidRPr="009E5034" w:rsidRDefault="00F164EF" w:rsidP="009E5034">
      <w:pPr>
        <w:spacing w:before="120" w:after="120"/>
        <w:ind w:left="0"/>
        <w:jc w:val="left"/>
        <w:rPr>
          <w:sz w:val="22"/>
          <w:szCs w:val="22"/>
        </w:rPr>
      </w:pPr>
      <w:r w:rsidRPr="009E5034">
        <w:rPr>
          <w:sz w:val="22"/>
          <w:szCs w:val="22"/>
        </w:rPr>
        <w:t xml:space="preserve">Activité marginale, la pêche ne contribue que pour 1,4 % à l’économie de la commune. Les poissons pêchés sont les silures, les capitaines, le poisson chien et le tylapia. Ils proviennent essentiellement des communes voisines de Sonni Aliber, Gabéro et Gounzourey et du cercle de Bourem. La seule zone de  pêche de la commune de Gao se situe dans la partie du fleuve comprise entre les quartiers de Djidara et Gadeye. Au cours des dernières années, les quantités capturées ont varié de 140 Tonnes au cours de 2003 à plus de 400 Tonnes au cours de l’année 2005. </w:t>
      </w:r>
    </w:p>
    <w:p w:rsidR="00F164EF" w:rsidRPr="009E5034" w:rsidRDefault="00F164EF" w:rsidP="009E5034">
      <w:pPr>
        <w:spacing w:before="120" w:after="120"/>
        <w:ind w:left="0"/>
        <w:jc w:val="left"/>
        <w:rPr>
          <w:sz w:val="22"/>
          <w:szCs w:val="22"/>
        </w:rPr>
      </w:pPr>
      <w:r w:rsidRPr="009E5034">
        <w:rPr>
          <w:sz w:val="22"/>
          <w:szCs w:val="22"/>
        </w:rPr>
        <w:t xml:space="preserve">La pêche est pratiquée dans la vallée du fleuve du Niger mais reste tributaire des aléas naturels et plus particulièrement les faibles crues du fleuve pendant une longue période de l’année ainsi que les phénomènes d’ensablement. </w:t>
      </w:r>
    </w:p>
    <w:p w:rsidR="00F164EF" w:rsidRPr="009E5034" w:rsidRDefault="00F164EF" w:rsidP="009E5034">
      <w:pPr>
        <w:spacing w:after="240"/>
        <w:ind w:left="0"/>
        <w:jc w:val="left"/>
        <w:rPr>
          <w:rStyle w:val="Strong"/>
          <w:rFonts w:eastAsia="MS Mincho"/>
          <w:sz w:val="22"/>
          <w:szCs w:val="22"/>
        </w:rPr>
      </w:pPr>
      <w:bookmarkStart w:id="115" w:name="_Toc253581239"/>
      <w:bookmarkStart w:id="116" w:name="_Toc261170262"/>
      <w:r w:rsidRPr="009E5034">
        <w:rPr>
          <w:rStyle w:val="Strong"/>
          <w:rFonts w:eastAsia="MS Mincho"/>
          <w:sz w:val="22"/>
          <w:szCs w:val="22"/>
        </w:rPr>
        <w:t>3.3. Industrie</w:t>
      </w:r>
      <w:bookmarkEnd w:id="115"/>
      <w:bookmarkEnd w:id="116"/>
    </w:p>
    <w:p w:rsidR="00F164EF" w:rsidRPr="009E5034" w:rsidRDefault="00F164EF" w:rsidP="009E5034">
      <w:pPr>
        <w:spacing w:before="120" w:after="120"/>
        <w:ind w:left="0"/>
        <w:jc w:val="left"/>
        <w:rPr>
          <w:sz w:val="22"/>
          <w:szCs w:val="22"/>
        </w:rPr>
      </w:pPr>
      <w:r w:rsidRPr="009E5034">
        <w:rPr>
          <w:sz w:val="22"/>
          <w:szCs w:val="22"/>
        </w:rPr>
        <w:t>Comme dans toutes les régions du Nord du pays, l’artisanat procure une part importante des emplois, notamment en milieu urbain. Elle occupe ainsi 13,86% de la population active de la ville de Gao. Les adhérents des associations et groupements de l’Union des artisans de Gao pratiquent 27 corps de métiers dont les plus représentatifs sont : les maroquiniers, les cordonniers, les menuisiers, les forgerons et les bijoutiers. Les autres artisans ne sont pas regroupés en associations.</w:t>
      </w:r>
    </w:p>
    <w:p w:rsidR="00F164EF" w:rsidRPr="009E5034" w:rsidRDefault="00F164EF" w:rsidP="009E5034">
      <w:pPr>
        <w:spacing w:before="120" w:after="120"/>
        <w:ind w:left="0"/>
        <w:jc w:val="left"/>
        <w:rPr>
          <w:sz w:val="22"/>
          <w:szCs w:val="22"/>
        </w:rPr>
      </w:pPr>
      <w:r w:rsidRPr="009E5034">
        <w:rPr>
          <w:sz w:val="22"/>
          <w:szCs w:val="22"/>
        </w:rPr>
        <w:t xml:space="preserve">D’après le Programme Régional Prioritaire d’Investissements en matière de population (2004-2008) de décembre 2005, l’industrie se résume à deux boulangeries modernes à Gao, un atelier de pierres à lécher et l’usine de phosphate de Bourem. </w:t>
      </w:r>
    </w:p>
    <w:p w:rsidR="00F164EF" w:rsidRPr="009E5034" w:rsidRDefault="00F164EF" w:rsidP="009E5034">
      <w:pPr>
        <w:spacing w:after="240"/>
        <w:ind w:left="0"/>
        <w:jc w:val="left"/>
        <w:rPr>
          <w:rStyle w:val="Strong"/>
          <w:rFonts w:eastAsia="MS Mincho"/>
          <w:sz w:val="22"/>
          <w:szCs w:val="22"/>
        </w:rPr>
      </w:pPr>
      <w:bookmarkStart w:id="117" w:name="_Toc253581240"/>
      <w:bookmarkStart w:id="118" w:name="_Toc261170263"/>
      <w:r w:rsidRPr="009E5034">
        <w:rPr>
          <w:rStyle w:val="Strong"/>
          <w:rFonts w:eastAsia="MS Mincho"/>
          <w:sz w:val="22"/>
          <w:szCs w:val="22"/>
        </w:rPr>
        <w:t>3.4. Transport</w:t>
      </w:r>
      <w:bookmarkEnd w:id="117"/>
      <w:bookmarkEnd w:id="118"/>
    </w:p>
    <w:p w:rsidR="00F164EF" w:rsidRPr="009E5034" w:rsidRDefault="00F164EF" w:rsidP="009E5034">
      <w:pPr>
        <w:spacing w:before="120" w:after="120"/>
        <w:ind w:left="0"/>
        <w:jc w:val="left"/>
        <w:rPr>
          <w:sz w:val="22"/>
          <w:szCs w:val="22"/>
        </w:rPr>
      </w:pPr>
      <w:r w:rsidRPr="009E5034">
        <w:rPr>
          <w:sz w:val="22"/>
          <w:szCs w:val="22"/>
        </w:rPr>
        <w:t>Le transport dans la ville de Gao et ses environs est composé des transports terrestre, fluvial et aérien.</w:t>
      </w:r>
    </w:p>
    <w:p w:rsidR="00F164EF" w:rsidRPr="009E5034" w:rsidRDefault="00F164EF" w:rsidP="009E5034">
      <w:pPr>
        <w:spacing w:before="120" w:after="120"/>
        <w:ind w:left="0"/>
        <w:jc w:val="left"/>
        <w:rPr>
          <w:sz w:val="22"/>
          <w:szCs w:val="22"/>
        </w:rPr>
      </w:pPr>
      <w:r w:rsidRPr="009E5034">
        <w:rPr>
          <w:sz w:val="22"/>
          <w:szCs w:val="22"/>
        </w:rPr>
        <w:t xml:space="preserve">Selon les données de l’étude du Schéma  Directeur d’Aménagement et d’Urbanisme de la de la ville de Gao, le parc automobile est vétuste et compte 113 véhicules dont 45 véhicules de charge utile égale à 10 tonnes et de 68 camionnettes bâchées.  </w:t>
      </w:r>
    </w:p>
    <w:p w:rsidR="00F164EF" w:rsidRPr="009E5034" w:rsidRDefault="00F164EF" w:rsidP="009E5034">
      <w:pPr>
        <w:spacing w:before="120" w:after="120"/>
        <w:ind w:left="0"/>
        <w:jc w:val="left"/>
        <w:rPr>
          <w:sz w:val="22"/>
          <w:szCs w:val="22"/>
        </w:rPr>
      </w:pPr>
      <w:r w:rsidRPr="009E5034">
        <w:rPr>
          <w:sz w:val="22"/>
          <w:szCs w:val="22"/>
        </w:rPr>
        <w:t>Le transport fluvial est assuré par la Compagnie Malienne de Navigation et les coopératives des transporteurs fluviaux. Ce transport fluvial dure 5 mois et s’étant d’Août à Décembre avec une fréquence de mouvement de 40 voyages. Pour la compagne 1999 - 2000, le transport fluvial a enregistré 377 440 tonnes de marchandises et 1 390 passagers.</w:t>
      </w:r>
    </w:p>
    <w:p w:rsidR="00F164EF" w:rsidRPr="009E5034" w:rsidRDefault="00F164EF" w:rsidP="009E5034">
      <w:pPr>
        <w:spacing w:before="120" w:after="120"/>
        <w:ind w:left="0"/>
        <w:jc w:val="left"/>
        <w:rPr>
          <w:sz w:val="22"/>
          <w:szCs w:val="22"/>
        </w:rPr>
      </w:pPr>
      <w:r w:rsidRPr="009E5034">
        <w:rPr>
          <w:sz w:val="22"/>
          <w:szCs w:val="22"/>
        </w:rPr>
        <w:t>Enfin, le transport aérien existe à travers l’Aéroport International de Gao qui reçoit en moyenne 22 vols par mois pendant la période d’abondance située entre Décembre et Mars ou le nombre de touristes reçus dans la ville atteint en moyenne 2 200 personnes.</w:t>
      </w:r>
    </w:p>
    <w:p w:rsidR="00F164EF" w:rsidRPr="009E5034" w:rsidRDefault="00F164EF" w:rsidP="009E5034">
      <w:pPr>
        <w:spacing w:after="240"/>
        <w:ind w:left="0"/>
        <w:jc w:val="left"/>
        <w:rPr>
          <w:rStyle w:val="Strong"/>
          <w:rFonts w:eastAsia="MS Mincho"/>
          <w:sz w:val="22"/>
          <w:szCs w:val="22"/>
        </w:rPr>
      </w:pPr>
      <w:bookmarkStart w:id="119" w:name="_Toc253581241"/>
      <w:bookmarkStart w:id="120" w:name="_Toc261170264"/>
      <w:r w:rsidRPr="009E5034">
        <w:rPr>
          <w:rStyle w:val="Strong"/>
          <w:rFonts w:eastAsia="MS Mincho"/>
          <w:sz w:val="22"/>
          <w:szCs w:val="22"/>
        </w:rPr>
        <w:t>3.5. Tourisme</w:t>
      </w:r>
      <w:bookmarkEnd w:id="119"/>
      <w:bookmarkEnd w:id="120"/>
    </w:p>
    <w:p w:rsidR="00F164EF" w:rsidRPr="009E5034" w:rsidRDefault="00F164EF" w:rsidP="009E5034">
      <w:pPr>
        <w:spacing w:before="120" w:after="120"/>
        <w:ind w:left="0"/>
        <w:jc w:val="left"/>
        <w:rPr>
          <w:sz w:val="22"/>
          <w:szCs w:val="22"/>
        </w:rPr>
      </w:pPr>
      <w:r w:rsidRPr="009E5034">
        <w:rPr>
          <w:sz w:val="22"/>
          <w:szCs w:val="22"/>
        </w:rPr>
        <w:t xml:space="preserve">L’existence des monuments à réputation mondiale comme le Tombeau des Askia, la Mosquée de KANKOU Moussa et des sites touristiques tels que les sites archéologiques de Saneye, la dune rose de Koïma (à </w:t>
      </w:r>
      <w:smartTag w:uri="urn:schemas-microsoft-com:office:smarttags" w:element="metricconverter">
        <w:smartTagPr>
          <w:attr w:name="ProductID" w:val="5 Km"/>
        </w:smartTagPr>
        <w:r w:rsidRPr="009E5034">
          <w:rPr>
            <w:sz w:val="22"/>
            <w:szCs w:val="22"/>
          </w:rPr>
          <w:t>5 km</w:t>
        </w:r>
      </w:smartTag>
      <w:r w:rsidRPr="009E5034">
        <w:rPr>
          <w:sz w:val="22"/>
          <w:szCs w:val="22"/>
        </w:rPr>
        <w:t xml:space="preserve">) et l’île verte de Gounzoureye (à </w:t>
      </w:r>
      <w:smartTag w:uri="urn:schemas-microsoft-com:office:smarttags" w:element="metricconverter">
        <w:smartTagPr>
          <w:attr w:name="ProductID" w:val="5 Km"/>
        </w:smartTagPr>
        <w:r w:rsidRPr="009E5034">
          <w:rPr>
            <w:sz w:val="22"/>
            <w:szCs w:val="22"/>
          </w:rPr>
          <w:t>5 km</w:t>
        </w:r>
      </w:smartTag>
      <w:r w:rsidRPr="009E5034">
        <w:rPr>
          <w:sz w:val="22"/>
          <w:szCs w:val="22"/>
        </w:rPr>
        <w:t>) font que le tourisme est un sous secteur non négligeable du tissu économique de la commune où il contribue pour environ 6% de la richesse urbaine à Gao.</w:t>
      </w:r>
    </w:p>
    <w:p w:rsidR="00F164EF" w:rsidRPr="009E5034" w:rsidRDefault="00F164EF" w:rsidP="009E5034">
      <w:pPr>
        <w:spacing w:after="240"/>
        <w:ind w:left="0"/>
        <w:jc w:val="left"/>
        <w:rPr>
          <w:rStyle w:val="Strong"/>
          <w:rFonts w:eastAsia="MS Mincho"/>
          <w:sz w:val="22"/>
          <w:szCs w:val="22"/>
        </w:rPr>
      </w:pPr>
      <w:bookmarkStart w:id="121" w:name="_Toc253581242"/>
      <w:bookmarkStart w:id="122" w:name="_Toc261170265"/>
      <w:r w:rsidRPr="009E5034">
        <w:rPr>
          <w:rStyle w:val="Strong"/>
          <w:rFonts w:eastAsia="MS Mincho"/>
          <w:sz w:val="22"/>
          <w:szCs w:val="22"/>
        </w:rPr>
        <w:t>3.6. Consommation d’énergie</w:t>
      </w:r>
      <w:bookmarkEnd w:id="121"/>
      <w:bookmarkEnd w:id="122"/>
    </w:p>
    <w:p w:rsidR="00F164EF" w:rsidRPr="009E5034" w:rsidRDefault="00F164EF" w:rsidP="009E5034">
      <w:pPr>
        <w:ind w:left="0"/>
        <w:jc w:val="left"/>
        <w:rPr>
          <w:sz w:val="22"/>
          <w:szCs w:val="22"/>
        </w:rPr>
      </w:pPr>
      <w:r w:rsidRPr="009E5034">
        <w:rPr>
          <w:sz w:val="22"/>
          <w:szCs w:val="22"/>
        </w:rPr>
        <w:t xml:space="preserve">Le bois et le charbon de bois constituent la principale source d’énergie utilisée par les ménages dans la cuisson des aliments. Les estimations avancent des quantités journalières et par habitant de l’ordre de </w:t>
      </w:r>
      <w:smartTag w:uri="urn:schemas-microsoft-com:office:smarttags" w:element="metricconverter">
        <w:smartTagPr>
          <w:attr w:name="ProductID" w:val="1.5 kg"/>
        </w:smartTagPr>
        <w:r w:rsidRPr="009E5034">
          <w:rPr>
            <w:sz w:val="22"/>
            <w:szCs w:val="22"/>
          </w:rPr>
          <w:t>1.5 kg</w:t>
        </w:r>
      </w:smartTag>
      <w:r w:rsidRPr="009E5034">
        <w:rPr>
          <w:sz w:val="22"/>
          <w:szCs w:val="22"/>
        </w:rPr>
        <w:t xml:space="preserve">. </w:t>
      </w:r>
    </w:p>
    <w:p w:rsidR="00F164EF" w:rsidRPr="009E5034" w:rsidRDefault="00F164EF" w:rsidP="009E5034">
      <w:pPr>
        <w:spacing w:after="240"/>
        <w:ind w:left="0"/>
        <w:jc w:val="left"/>
        <w:rPr>
          <w:rStyle w:val="Strong"/>
          <w:rFonts w:eastAsia="MS Mincho"/>
          <w:sz w:val="22"/>
          <w:szCs w:val="22"/>
        </w:rPr>
      </w:pPr>
      <w:bookmarkStart w:id="123" w:name="_Toc253581243"/>
      <w:bookmarkStart w:id="124" w:name="_Toc261170266"/>
      <w:r w:rsidRPr="009E5034">
        <w:rPr>
          <w:rStyle w:val="Strong"/>
          <w:rFonts w:eastAsia="MS Mincho"/>
          <w:sz w:val="22"/>
          <w:szCs w:val="22"/>
        </w:rPr>
        <w:t>4. Etat de l’environnement et des ressources naturelles</w:t>
      </w:r>
      <w:bookmarkEnd w:id="123"/>
      <w:bookmarkEnd w:id="124"/>
    </w:p>
    <w:p w:rsidR="00F164EF" w:rsidRPr="009E5034" w:rsidRDefault="00F164EF" w:rsidP="009E5034">
      <w:pPr>
        <w:spacing w:after="240"/>
        <w:ind w:left="0"/>
        <w:jc w:val="left"/>
        <w:rPr>
          <w:rStyle w:val="Strong"/>
          <w:rFonts w:eastAsia="MS Mincho"/>
          <w:sz w:val="22"/>
          <w:szCs w:val="22"/>
        </w:rPr>
      </w:pPr>
      <w:bookmarkStart w:id="125" w:name="_Toc253581244"/>
      <w:bookmarkStart w:id="126" w:name="_Toc261170267"/>
      <w:r w:rsidRPr="009E5034">
        <w:rPr>
          <w:rStyle w:val="Strong"/>
          <w:rFonts w:eastAsia="MS Mincho"/>
          <w:sz w:val="22"/>
          <w:szCs w:val="22"/>
        </w:rPr>
        <w:t>4.1. Air</w:t>
      </w:r>
      <w:bookmarkEnd w:id="125"/>
      <w:bookmarkEnd w:id="126"/>
    </w:p>
    <w:p w:rsidR="00F164EF" w:rsidRPr="009E5034" w:rsidRDefault="00F164EF" w:rsidP="009E5034">
      <w:pPr>
        <w:spacing w:before="120" w:after="120"/>
        <w:ind w:left="0"/>
        <w:jc w:val="left"/>
        <w:rPr>
          <w:sz w:val="22"/>
          <w:szCs w:val="22"/>
        </w:rPr>
      </w:pPr>
      <w:r w:rsidRPr="009E5034">
        <w:rPr>
          <w:sz w:val="22"/>
          <w:szCs w:val="22"/>
        </w:rPr>
        <w:t>L'atmosphère à la ville de Gao constitue une particularité par rapport à la pratique de gestion des déchets et de sa situation en zone désertique. La pollution atmosphérique survient surtout en période de vent et de tornade de poussières qui entraînent les polluants des déchets solides. Cette situation présente des préjudices pour la santé humaine.</w:t>
      </w:r>
    </w:p>
    <w:p w:rsidR="00F164EF" w:rsidRPr="009E5034" w:rsidRDefault="00F164EF" w:rsidP="009E5034">
      <w:pPr>
        <w:spacing w:before="120" w:after="120"/>
        <w:ind w:left="0"/>
        <w:jc w:val="left"/>
        <w:rPr>
          <w:sz w:val="22"/>
          <w:szCs w:val="22"/>
        </w:rPr>
      </w:pPr>
      <w:r w:rsidRPr="009E5034">
        <w:rPr>
          <w:sz w:val="22"/>
          <w:szCs w:val="22"/>
        </w:rPr>
        <w:t>En plus, le dégagement de fumées de toutes sources (concessions, véhicules, brûlage anarchique des déchets, incinérateur ou autres), contribue à la pollution de l'air ambiant.</w:t>
      </w:r>
    </w:p>
    <w:p w:rsidR="00F164EF" w:rsidRPr="009E5034" w:rsidRDefault="00F164EF" w:rsidP="009E5034">
      <w:pPr>
        <w:spacing w:after="240"/>
        <w:ind w:left="0"/>
        <w:jc w:val="left"/>
        <w:rPr>
          <w:rStyle w:val="Strong"/>
          <w:rFonts w:eastAsia="MS Mincho"/>
          <w:sz w:val="22"/>
          <w:szCs w:val="22"/>
        </w:rPr>
      </w:pPr>
      <w:bookmarkStart w:id="127" w:name="_Toc253581245"/>
      <w:bookmarkStart w:id="128" w:name="_Toc261170268"/>
      <w:r w:rsidRPr="009E5034">
        <w:rPr>
          <w:rStyle w:val="Strong"/>
          <w:rFonts w:eastAsia="MS Mincho"/>
          <w:sz w:val="22"/>
          <w:szCs w:val="22"/>
        </w:rPr>
        <w:t>4.2. Eaux de surface</w:t>
      </w:r>
      <w:bookmarkEnd w:id="127"/>
      <w:bookmarkEnd w:id="128"/>
    </w:p>
    <w:p w:rsidR="00F164EF" w:rsidRPr="009E5034" w:rsidRDefault="00F164EF" w:rsidP="009E5034">
      <w:pPr>
        <w:spacing w:before="120" w:after="120"/>
        <w:ind w:left="0"/>
        <w:jc w:val="left"/>
        <w:rPr>
          <w:sz w:val="22"/>
          <w:szCs w:val="22"/>
        </w:rPr>
      </w:pPr>
      <w:r w:rsidRPr="009E5034">
        <w:rPr>
          <w:sz w:val="22"/>
          <w:szCs w:val="22"/>
        </w:rPr>
        <w:t xml:space="preserve">La commune de </w:t>
      </w:r>
      <w:r w:rsidRPr="009E5034">
        <w:rPr>
          <w:iCs/>
          <w:sz w:val="22"/>
          <w:szCs w:val="22"/>
        </w:rPr>
        <w:t>Gao</w:t>
      </w:r>
      <w:r w:rsidRPr="009E5034">
        <w:rPr>
          <w:i/>
          <w:iCs/>
          <w:sz w:val="22"/>
          <w:szCs w:val="22"/>
        </w:rPr>
        <w:t xml:space="preserve"> </w:t>
      </w:r>
      <w:r w:rsidRPr="009E5034">
        <w:rPr>
          <w:sz w:val="22"/>
          <w:szCs w:val="22"/>
        </w:rPr>
        <w:t xml:space="preserve">est traversée du Nord au Sud par le fleuve Niger sur une distance d’environ </w:t>
      </w:r>
      <w:smartTag w:uri="urn:schemas-microsoft-com:office:smarttags" w:element="metricconverter">
        <w:smartTagPr>
          <w:attr w:name="ProductID" w:val="15 km"/>
        </w:smartTagPr>
        <w:r w:rsidRPr="009E5034">
          <w:rPr>
            <w:sz w:val="22"/>
            <w:szCs w:val="22"/>
          </w:rPr>
          <w:t>15 km</w:t>
        </w:r>
      </w:smartTag>
      <w:r w:rsidRPr="009E5034">
        <w:rPr>
          <w:sz w:val="22"/>
          <w:szCs w:val="22"/>
        </w:rPr>
        <w:t xml:space="preserve">. Les ressources en eau de la région de Gao sont très abondantes. Elles sont constituées essentiellement du fleuve Niger qui s’étend dans la région sur environ </w:t>
      </w:r>
      <w:smartTag w:uri="urn:schemas-microsoft-com:office:smarttags" w:element="metricconverter">
        <w:smartTagPr>
          <w:attr w:name="ProductID" w:val="400 km"/>
        </w:smartTagPr>
        <w:r w:rsidRPr="009E5034">
          <w:rPr>
            <w:sz w:val="22"/>
            <w:szCs w:val="22"/>
          </w:rPr>
          <w:t>400 km</w:t>
        </w:r>
      </w:smartTag>
      <w:r w:rsidRPr="009E5034">
        <w:rPr>
          <w:sz w:val="22"/>
          <w:szCs w:val="22"/>
        </w:rPr>
        <w:t xml:space="preserve"> et de nombreuses mares et lacs.</w:t>
      </w:r>
    </w:p>
    <w:p w:rsidR="00F164EF" w:rsidRPr="009E5034" w:rsidRDefault="00F164EF" w:rsidP="009E5034">
      <w:pPr>
        <w:spacing w:before="120" w:after="120"/>
        <w:ind w:left="0"/>
        <w:jc w:val="left"/>
        <w:rPr>
          <w:sz w:val="22"/>
          <w:szCs w:val="22"/>
        </w:rPr>
      </w:pPr>
      <w:r w:rsidRPr="009E5034">
        <w:rPr>
          <w:sz w:val="22"/>
          <w:szCs w:val="22"/>
        </w:rPr>
        <w:t xml:space="preserve">Le suivi hydrologique du Niger depuis 80 ans a permis de déterminer que les ressources en eau du Niger moyen dépendent exclusivement du bief amont du Massif du Fouta-Djalon jusqu’au delta intérieur, dans lequel se perdent par évaporation et infiltration près de 50 % des apports en eau du fleuve. En aval du delta intérieur les apports latéraux sont très faibles. La côte maximale de la crue du fleuve est de </w:t>
      </w:r>
      <w:smartTag w:uri="urn:schemas-microsoft-com:office:smarttags" w:element="metricconverter">
        <w:smartTagPr>
          <w:attr w:name="ProductID" w:val="249 m"/>
        </w:smartTagPr>
        <w:r w:rsidRPr="009E5034">
          <w:rPr>
            <w:sz w:val="22"/>
            <w:szCs w:val="22"/>
          </w:rPr>
          <w:t>249 m</w:t>
        </w:r>
      </w:smartTag>
      <w:r w:rsidRPr="009E5034">
        <w:rPr>
          <w:sz w:val="22"/>
          <w:szCs w:val="22"/>
        </w:rPr>
        <w:t>.</w:t>
      </w:r>
    </w:p>
    <w:p w:rsidR="00F164EF" w:rsidRPr="009E5034" w:rsidRDefault="00F164EF" w:rsidP="009E5034">
      <w:pPr>
        <w:spacing w:before="120" w:after="120"/>
        <w:ind w:left="0"/>
        <w:jc w:val="left"/>
        <w:rPr>
          <w:sz w:val="22"/>
          <w:szCs w:val="22"/>
        </w:rPr>
      </w:pPr>
      <w:r w:rsidRPr="009E5034">
        <w:rPr>
          <w:sz w:val="22"/>
          <w:szCs w:val="22"/>
        </w:rPr>
        <w:t xml:space="preserve">Les mares permanentes, semi – permanentes ou mêmes temporaires, constituent également des éléments important du régime hydrographique de la région de Gao. Elles conditionnent beaucoup avec les puits les systèmes pastoraux notamment les itinéraires et les périodes/durées de nomadisme, de déplacements saisonniers de la faune, etc.  </w:t>
      </w:r>
    </w:p>
    <w:p w:rsidR="00F164EF" w:rsidRPr="009E5034" w:rsidRDefault="00F164EF" w:rsidP="009E5034">
      <w:pPr>
        <w:spacing w:after="240"/>
        <w:ind w:left="0"/>
        <w:jc w:val="left"/>
        <w:rPr>
          <w:rStyle w:val="Strong"/>
          <w:rFonts w:eastAsia="MS Mincho"/>
          <w:sz w:val="22"/>
          <w:szCs w:val="22"/>
        </w:rPr>
      </w:pPr>
      <w:bookmarkStart w:id="129" w:name="_Toc253581246"/>
      <w:bookmarkStart w:id="130" w:name="_Toc261170269"/>
      <w:r w:rsidRPr="009E5034">
        <w:rPr>
          <w:rStyle w:val="Strong"/>
          <w:rFonts w:eastAsia="MS Mincho"/>
          <w:sz w:val="22"/>
          <w:szCs w:val="22"/>
        </w:rPr>
        <w:t>4.3. Eaux souterraines</w:t>
      </w:r>
      <w:bookmarkEnd w:id="129"/>
      <w:bookmarkEnd w:id="130"/>
    </w:p>
    <w:p w:rsidR="00F164EF" w:rsidRPr="009E5034" w:rsidRDefault="00F164EF" w:rsidP="009E5034">
      <w:pPr>
        <w:spacing w:before="120" w:after="120"/>
        <w:ind w:left="0"/>
        <w:jc w:val="left"/>
        <w:rPr>
          <w:b/>
          <w:sz w:val="22"/>
          <w:szCs w:val="22"/>
        </w:rPr>
      </w:pPr>
      <w:r w:rsidRPr="009E5034">
        <w:rPr>
          <w:sz w:val="22"/>
          <w:szCs w:val="22"/>
        </w:rPr>
        <w:t>Les potentialités en eaux souterraines sont importantes. Elles sont disponibles dans le continental terminal où la nappe aquifère constitue une importante ressource en eau.</w:t>
      </w:r>
      <w:r w:rsidRPr="009E5034">
        <w:rPr>
          <w:b/>
          <w:sz w:val="22"/>
          <w:szCs w:val="22"/>
        </w:rPr>
        <w:t xml:space="preserve"> </w:t>
      </w:r>
      <w:r w:rsidRPr="009E5034">
        <w:rPr>
          <w:sz w:val="22"/>
          <w:szCs w:val="22"/>
        </w:rPr>
        <w:t>La qualité de l’eau souterraine est jugée bonne.</w:t>
      </w:r>
    </w:p>
    <w:p w:rsidR="00F164EF" w:rsidRPr="009E5034" w:rsidRDefault="00F164EF" w:rsidP="009E5034">
      <w:pPr>
        <w:spacing w:after="240"/>
        <w:ind w:left="0"/>
        <w:jc w:val="left"/>
        <w:rPr>
          <w:rStyle w:val="Strong"/>
          <w:rFonts w:eastAsia="MS Mincho"/>
          <w:sz w:val="22"/>
          <w:szCs w:val="22"/>
        </w:rPr>
      </w:pPr>
      <w:bookmarkStart w:id="131" w:name="_Toc253581247"/>
      <w:bookmarkStart w:id="132" w:name="_Toc261170270"/>
      <w:r w:rsidRPr="009E5034">
        <w:rPr>
          <w:rStyle w:val="Strong"/>
          <w:rFonts w:eastAsia="MS Mincho"/>
          <w:sz w:val="22"/>
          <w:szCs w:val="22"/>
        </w:rPr>
        <w:t>4.4. Terres agricoles</w:t>
      </w:r>
      <w:bookmarkEnd w:id="131"/>
      <w:bookmarkEnd w:id="132"/>
    </w:p>
    <w:p w:rsidR="00F164EF" w:rsidRPr="009E5034" w:rsidRDefault="00F164EF" w:rsidP="009E5034">
      <w:pPr>
        <w:spacing w:before="120" w:after="120"/>
        <w:ind w:left="0"/>
        <w:jc w:val="left"/>
        <w:rPr>
          <w:sz w:val="22"/>
          <w:szCs w:val="22"/>
        </w:rPr>
      </w:pPr>
      <w:r w:rsidRPr="009E5034">
        <w:rPr>
          <w:sz w:val="22"/>
          <w:szCs w:val="22"/>
        </w:rPr>
        <w:t xml:space="preserve">Les superficies emblavées, toutes spéculations confondues sont estimées à 508  ha au cours de la campagne 2003-2004 par le service technique de l’agriculture. Le maraîchage activité pratiquée en bordure du fleuve avec une superficie cultivée de </w:t>
      </w:r>
      <w:smartTag w:uri="urn:schemas-microsoft-com:office:smarttags" w:element="metricconverter">
        <w:smartTagPr>
          <w:attr w:name="ProductID" w:val="70 ha"/>
        </w:smartTagPr>
        <w:r w:rsidRPr="009E5034">
          <w:rPr>
            <w:sz w:val="22"/>
            <w:szCs w:val="22"/>
          </w:rPr>
          <w:t>70 ha</w:t>
        </w:r>
      </w:smartTag>
      <w:r w:rsidRPr="009E5034">
        <w:rPr>
          <w:sz w:val="22"/>
          <w:szCs w:val="22"/>
        </w:rPr>
        <w:t>, porte sur les légumineuses et les tubercules. Cette agriculture est tributaire des aléas climatiques mais bénéficie de la fertilité alluvionnaire des sols.</w:t>
      </w:r>
    </w:p>
    <w:p w:rsidR="00F164EF" w:rsidRPr="009E5034" w:rsidRDefault="00F164EF" w:rsidP="009E5034">
      <w:pPr>
        <w:spacing w:after="240"/>
        <w:ind w:left="0"/>
        <w:jc w:val="left"/>
        <w:rPr>
          <w:rStyle w:val="Strong"/>
          <w:rFonts w:eastAsia="MS Mincho"/>
          <w:sz w:val="22"/>
          <w:szCs w:val="22"/>
        </w:rPr>
      </w:pPr>
      <w:bookmarkStart w:id="133" w:name="_Toc253581248"/>
      <w:bookmarkStart w:id="134" w:name="_Toc261170271"/>
      <w:r w:rsidRPr="009E5034">
        <w:rPr>
          <w:rStyle w:val="Strong"/>
          <w:rFonts w:eastAsia="MS Mincho"/>
          <w:sz w:val="22"/>
          <w:szCs w:val="22"/>
        </w:rPr>
        <w:t>4.5. Végétations naturelles et forêts</w:t>
      </w:r>
      <w:bookmarkEnd w:id="133"/>
      <w:bookmarkEnd w:id="134"/>
    </w:p>
    <w:p w:rsidR="00F164EF" w:rsidRPr="009E5034" w:rsidRDefault="00F164EF" w:rsidP="009E5034">
      <w:pPr>
        <w:spacing w:before="120" w:after="120"/>
        <w:ind w:left="0"/>
        <w:jc w:val="left"/>
        <w:rPr>
          <w:sz w:val="22"/>
          <w:szCs w:val="22"/>
        </w:rPr>
      </w:pPr>
      <w:r w:rsidRPr="009E5034">
        <w:rPr>
          <w:sz w:val="22"/>
          <w:szCs w:val="22"/>
        </w:rPr>
        <w:t xml:space="preserve">Les espèces ligneuses plantées dans la commune concernent essentiellement les eucalyptus, les neem et les palmiers doum. La seule forêt classée qui existe depuis 1950 est celle de Djidara d’une superficie d’environ </w:t>
      </w:r>
      <w:smartTag w:uri="urn:schemas-microsoft-com:office:smarttags" w:element="metricconverter">
        <w:smartTagPr>
          <w:attr w:name="ProductID" w:val="125 hectares"/>
        </w:smartTagPr>
        <w:r w:rsidRPr="009E5034">
          <w:rPr>
            <w:sz w:val="22"/>
            <w:szCs w:val="22"/>
          </w:rPr>
          <w:t>125 hectares</w:t>
        </w:r>
      </w:smartTag>
      <w:r w:rsidRPr="009E5034">
        <w:rPr>
          <w:sz w:val="22"/>
          <w:szCs w:val="22"/>
        </w:rPr>
        <w:t xml:space="preserve">. De 1991 à nos jours environ </w:t>
      </w:r>
      <w:smartTag w:uri="urn:schemas-microsoft-com:office:smarttags" w:element="metricconverter">
        <w:smartTagPr>
          <w:attr w:name="ProductID" w:val="70 ha"/>
        </w:smartTagPr>
        <w:r w:rsidRPr="009E5034">
          <w:rPr>
            <w:sz w:val="22"/>
            <w:szCs w:val="22"/>
          </w:rPr>
          <w:t>70 ha</w:t>
        </w:r>
      </w:smartTag>
      <w:r w:rsidRPr="009E5034">
        <w:rPr>
          <w:sz w:val="22"/>
          <w:szCs w:val="22"/>
        </w:rPr>
        <w:t xml:space="preserve"> de cette superficie ont été occupés par les habitations. Le reste présente un état végétatif dégradé avec un faible peuplement de palmiers doum.</w:t>
      </w:r>
    </w:p>
    <w:p w:rsidR="00F164EF" w:rsidRPr="009E5034" w:rsidRDefault="00F164EF" w:rsidP="009E5034">
      <w:pPr>
        <w:spacing w:before="120" w:after="120"/>
        <w:ind w:left="0"/>
        <w:jc w:val="left"/>
        <w:rPr>
          <w:sz w:val="22"/>
          <w:szCs w:val="22"/>
        </w:rPr>
      </w:pPr>
      <w:r w:rsidRPr="009E5034">
        <w:rPr>
          <w:sz w:val="22"/>
          <w:szCs w:val="22"/>
        </w:rPr>
        <w:t xml:space="preserve">L’exploitation forestière est destinée à </w:t>
      </w:r>
      <w:r w:rsidRPr="009E5034">
        <w:rPr>
          <w:color w:val="000000"/>
          <w:sz w:val="22"/>
          <w:szCs w:val="22"/>
        </w:rPr>
        <w:t>l’usage domestique pour le bois de chauffe et le charbon</w:t>
      </w:r>
      <w:r w:rsidRPr="009E5034">
        <w:rPr>
          <w:sz w:val="22"/>
          <w:szCs w:val="22"/>
        </w:rPr>
        <w:t xml:space="preserve">  et à </w:t>
      </w:r>
      <w:r w:rsidRPr="009E5034">
        <w:rPr>
          <w:color w:val="000000"/>
          <w:sz w:val="22"/>
          <w:szCs w:val="22"/>
        </w:rPr>
        <w:t>l’usage artisanal pour la construction et la menuiserie</w:t>
      </w:r>
      <w:r w:rsidRPr="009E5034">
        <w:rPr>
          <w:sz w:val="22"/>
          <w:szCs w:val="22"/>
        </w:rPr>
        <w:t>. A part les eucalyptus, le bois de service pour la construction et la menuiserie  provient des autres régions du Mali et  des pays côtiers. Quant au bois de chauffe, il  provient des communes voisines d’Anchawadj, d’Intilit, de Gabéro, de Sonni Aliber, de Gounzourey et de Bamba. Le bois de chauffe est transporté par camions, charrettes, voie fluviale et à dos d’ânes.</w:t>
      </w:r>
    </w:p>
    <w:p w:rsidR="00F164EF" w:rsidRPr="009E5034" w:rsidRDefault="00F164EF" w:rsidP="009E5034">
      <w:pPr>
        <w:spacing w:after="240"/>
        <w:ind w:left="0"/>
        <w:jc w:val="left"/>
        <w:rPr>
          <w:rStyle w:val="Strong"/>
          <w:rFonts w:eastAsia="MS Mincho"/>
          <w:sz w:val="22"/>
          <w:szCs w:val="22"/>
        </w:rPr>
      </w:pPr>
      <w:bookmarkStart w:id="135" w:name="_Toc253581249"/>
      <w:bookmarkStart w:id="136" w:name="_Toc261170272"/>
      <w:r w:rsidRPr="009E5034">
        <w:rPr>
          <w:rStyle w:val="Strong"/>
          <w:rFonts w:eastAsia="MS Mincho"/>
          <w:sz w:val="22"/>
          <w:szCs w:val="22"/>
        </w:rPr>
        <w:t>5. Gestion des nuisances</w:t>
      </w:r>
      <w:bookmarkEnd w:id="135"/>
      <w:bookmarkEnd w:id="136"/>
    </w:p>
    <w:p w:rsidR="00F164EF" w:rsidRPr="009E5034" w:rsidRDefault="00F164EF" w:rsidP="009E5034">
      <w:pPr>
        <w:spacing w:after="240"/>
        <w:ind w:left="0"/>
        <w:jc w:val="left"/>
        <w:rPr>
          <w:rStyle w:val="Strong"/>
          <w:rFonts w:eastAsia="MS Mincho"/>
          <w:sz w:val="22"/>
          <w:szCs w:val="22"/>
        </w:rPr>
      </w:pPr>
      <w:bookmarkStart w:id="137" w:name="_Toc253581250"/>
      <w:bookmarkStart w:id="138" w:name="_Toc261170273"/>
      <w:r w:rsidRPr="009E5034">
        <w:rPr>
          <w:rStyle w:val="Strong"/>
          <w:rFonts w:eastAsia="MS Mincho"/>
          <w:sz w:val="22"/>
          <w:szCs w:val="22"/>
        </w:rPr>
        <w:t>5.1. Gestion des eaux usées</w:t>
      </w:r>
      <w:bookmarkEnd w:id="137"/>
      <w:bookmarkEnd w:id="138"/>
    </w:p>
    <w:p w:rsidR="00F164EF" w:rsidRPr="009E5034" w:rsidRDefault="00F164EF" w:rsidP="009E5034">
      <w:pPr>
        <w:spacing w:before="120" w:after="120"/>
        <w:ind w:left="0"/>
        <w:jc w:val="left"/>
        <w:rPr>
          <w:sz w:val="22"/>
          <w:szCs w:val="22"/>
        </w:rPr>
      </w:pPr>
      <w:r w:rsidRPr="009E5034">
        <w:rPr>
          <w:sz w:val="22"/>
          <w:szCs w:val="22"/>
        </w:rPr>
        <w:t xml:space="preserve">A Gao les déchets liquides sont constitués par les excréta, les eaux usées domestiques, les eaux usées artisanales et les eaux usées en provenance des collectifs à caractère peu ou pas industriel tels que les marchés, l’abattoir, les boulangeries, les écoles, les hôtels, le centre de santé et les stations d’essence. </w:t>
      </w:r>
    </w:p>
    <w:p w:rsidR="00F164EF" w:rsidRPr="009E5034" w:rsidRDefault="00F164EF" w:rsidP="009E5034">
      <w:pPr>
        <w:spacing w:before="120" w:after="120"/>
        <w:ind w:left="0"/>
        <w:jc w:val="left"/>
        <w:rPr>
          <w:sz w:val="22"/>
          <w:szCs w:val="22"/>
        </w:rPr>
      </w:pPr>
      <w:r w:rsidRPr="009E5034">
        <w:rPr>
          <w:sz w:val="22"/>
          <w:szCs w:val="22"/>
        </w:rPr>
        <w:t xml:space="preserve">Selon les normes retenues par le PSA de Gao, la consommation spécifique d’eau est estimée à </w:t>
      </w:r>
      <w:smartTag w:uri="urn:schemas-microsoft-com:office:smarttags" w:element="metricconverter">
        <w:smartTagPr>
          <w:attr w:name="ProductID" w:val="59 litres"/>
        </w:smartTagPr>
        <w:r w:rsidRPr="009E5034">
          <w:rPr>
            <w:sz w:val="22"/>
            <w:szCs w:val="22"/>
          </w:rPr>
          <w:t>59 litres</w:t>
        </w:r>
      </w:smartTag>
      <w:r w:rsidRPr="009E5034">
        <w:rPr>
          <w:sz w:val="22"/>
          <w:szCs w:val="22"/>
        </w:rPr>
        <w:t xml:space="preserve"> par habitant et par jour. La population de la Commune Urbaine de Gao est estimée à 86 633 habitants en 2009 (RGPH 2009). Soit une consommation spécifique en eau/jour de </w:t>
      </w:r>
      <w:smartTag w:uri="urn:schemas-microsoft-com:office:smarttags" w:element="metricconverter">
        <w:smartTagPr>
          <w:attr w:name="ProductID" w:val="5ﾠ123 m3"/>
        </w:smartTagPr>
        <w:r w:rsidRPr="009E5034">
          <w:rPr>
            <w:sz w:val="22"/>
            <w:szCs w:val="22"/>
          </w:rPr>
          <w:t>5 123 m</w:t>
        </w:r>
        <w:r w:rsidRPr="009E5034">
          <w:rPr>
            <w:sz w:val="22"/>
            <w:szCs w:val="22"/>
            <w:vertAlign w:val="superscript"/>
          </w:rPr>
          <w:t>3</w:t>
        </w:r>
      </w:smartTag>
      <w:r w:rsidRPr="009E5034">
        <w:rPr>
          <w:sz w:val="22"/>
          <w:szCs w:val="22"/>
        </w:rPr>
        <w:t>. Le taux de rejet est estimé à 90% soit environ  4 600 m</w:t>
      </w:r>
      <w:r w:rsidRPr="009E5034">
        <w:rPr>
          <w:sz w:val="22"/>
          <w:szCs w:val="22"/>
          <w:vertAlign w:val="superscript"/>
        </w:rPr>
        <w:t>3</w:t>
      </w:r>
      <w:r w:rsidRPr="009E5034">
        <w:rPr>
          <w:sz w:val="22"/>
          <w:szCs w:val="22"/>
        </w:rPr>
        <w:t>/jour.</w:t>
      </w:r>
    </w:p>
    <w:p w:rsidR="00F164EF" w:rsidRPr="009E5034" w:rsidRDefault="00F164EF" w:rsidP="009E5034">
      <w:pPr>
        <w:spacing w:before="120" w:after="120"/>
        <w:ind w:left="0"/>
        <w:jc w:val="left"/>
        <w:rPr>
          <w:sz w:val="22"/>
          <w:szCs w:val="22"/>
        </w:rPr>
      </w:pPr>
      <w:r w:rsidRPr="009E5034">
        <w:rPr>
          <w:sz w:val="22"/>
          <w:szCs w:val="22"/>
        </w:rPr>
        <w:t xml:space="preserve">Il n’existe pas à proprement parler de système d’évacuation des eaux usées domestiques à Gao. Celles-ci sont directement déversées dans les rues à travers des saignées effectuées dans les murs de clôtures ou dans des petites excavations faisant office de puisard ou directement dans les caniveaux. Malgré un sol plutôt sablonneux, cette solution pose des problèmes environnementaux majeurs dans les quartiers à forte densité d’occupation où la concentration des effluents peut facilement saturer le sol d’où des nuisances et pollutions. </w:t>
      </w:r>
      <w:bookmarkStart w:id="139" w:name="OLE_LINK3"/>
      <w:bookmarkStart w:id="140" w:name="OLE_LINK4"/>
      <w:r w:rsidRPr="009E5034">
        <w:rPr>
          <w:sz w:val="22"/>
          <w:szCs w:val="22"/>
        </w:rPr>
        <w:t xml:space="preserve"> Quelques familles disposent de puisards ou de fosses étanches. Les eaux recueillies dans ces fosses sont évacuées à l’extérieur de la ville par camion spiros </w:t>
      </w:r>
      <w:bookmarkEnd w:id="139"/>
      <w:bookmarkEnd w:id="140"/>
      <w:r w:rsidRPr="009E5034">
        <w:rPr>
          <w:sz w:val="22"/>
          <w:szCs w:val="22"/>
        </w:rPr>
        <w:t>appartenant au GIE.</w:t>
      </w:r>
    </w:p>
    <w:p w:rsidR="00F164EF" w:rsidRPr="009E5034" w:rsidRDefault="00F164EF" w:rsidP="009E5034">
      <w:pPr>
        <w:spacing w:before="120" w:after="120"/>
        <w:ind w:left="0"/>
        <w:jc w:val="left"/>
        <w:rPr>
          <w:sz w:val="22"/>
          <w:szCs w:val="22"/>
        </w:rPr>
      </w:pPr>
      <w:r w:rsidRPr="009E5034">
        <w:rPr>
          <w:sz w:val="22"/>
          <w:szCs w:val="22"/>
        </w:rPr>
        <w:t xml:space="preserve">La production de boues à Gao a été estimée en 2004 à </w:t>
      </w:r>
      <w:smartTag w:uri="urn:schemas-microsoft-com:office:smarttags" w:element="metricconverter">
        <w:smartTagPr>
          <w:attr w:name="ProductID" w:val="3ﾠ636 m3"/>
        </w:smartTagPr>
        <w:r w:rsidRPr="009E5034">
          <w:rPr>
            <w:sz w:val="22"/>
            <w:szCs w:val="22"/>
          </w:rPr>
          <w:t>3 636 m</w:t>
        </w:r>
        <w:r w:rsidRPr="009E5034">
          <w:rPr>
            <w:sz w:val="22"/>
            <w:szCs w:val="22"/>
            <w:vertAlign w:val="superscript"/>
          </w:rPr>
          <w:t>3</w:t>
        </w:r>
      </w:smartTag>
      <w:r w:rsidRPr="009E5034">
        <w:rPr>
          <w:sz w:val="22"/>
          <w:szCs w:val="22"/>
        </w:rPr>
        <w:t xml:space="preserve"> soit </w:t>
      </w:r>
      <w:smartTag w:uri="urn:schemas-microsoft-com:office:smarttags" w:element="metricconverter">
        <w:smartTagPr>
          <w:attr w:name="ProductID" w:val="10 m3"/>
        </w:smartTagPr>
        <w:r w:rsidRPr="009E5034">
          <w:rPr>
            <w:sz w:val="22"/>
            <w:szCs w:val="22"/>
          </w:rPr>
          <w:t>10 m</w:t>
        </w:r>
        <w:r w:rsidRPr="009E5034">
          <w:rPr>
            <w:sz w:val="22"/>
            <w:szCs w:val="22"/>
            <w:vertAlign w:val="superscript"/>
          </w:rPr>
          <w:t>3</w:t>
        </w:r>
      </w:smartTag>
      <w:r w:rsidRPr="009E5034">
        <w:rPr>
          <w:sz w:val="22"/>
          <w:szCs w:val="22"/>
        </w:rPr>
        <w:t xml:space="preserve"> par jour selon le Plan Stratégique d’Assainissement de Gao. La majeure partie des familles possède des latrines traditionnelles ou améliorées. Ces latrines, une fois remplies, sont vidangées manuellement ou par spiros. Seuls quelques familles et les services publics disposent de fosses septiques avec puisards. Quelques latrines améliorées à fosses ventilées (VIP) ont été construites au niveau de certains lieux publics (marchés, gares, écoles et centre de santé).</w:t>
      </w:r>
    </w:p>
    <w:p w:rsidR="00F164EF" w:rsidRPr="009E5034" w:rsidRDefault="00F164EF" w:rsidP="009E5034">
      <w:pPr>
        <w:spacing w:before="120" w:after="120"/>
        <w:ind w:left="0"/>
        <w:jc w:val="left"/>
        <w:rPr>
          <w:sz w:val="22"/>
          <w:szCs w:val="22"/>
        </w:rPr>
      </w:pPr>
      <w:r w:rsidRPr="009E5034">
        <w:rPr>
          <w:sz w:val="22"/>
          <w:szCs w:val="22"/>
        </w:rPr>
        <w:t>En 2004, un programme de la Direction Régionale de l’Assainissement et du Contrôle des Pollutions et des Nuisances a doté la ville de 162 puisards. Le programme de 2009-</w:t>
      </w:r>
      <w:smartTag w:uri="urn:schemas-microsoft-com:office:smarttags" w:element="metricconverter">
        <w:smartTagPr>
          <w:attr w:name="ProductID" w:val="2010 a"/>
        </w:smartTagPr>
        <w:r w:rsidRPr="009E5034">
          <w:rPr>
            <w:sz w:val="22"/>
            <w:szCs w:val="22"/>
          </w:rPr>
          <w:t>2010 a</w:t>
        </w:r>
      </w:smartTag>
      <w:r w:rsidRPr="009E5034">
        <w:rPr>
          <w:sz w:val="22"/>
          <w:szCs w:val="22"/>
        </w:rPr>
        <w:t xml:space="preserve"> permis de créer 42 nouveaux puisards, et ce, outre 28 en cours de réalisation en 2010. Ce projet a apporté une amélioration considérable des conditions d’hygiène dans les quartiers concernés.</w:t>
      </w:r>
    </w:p>
    <w:p w:rsidR="00F164EF" w:rsidRPr="009E5034" w:rsidRDefault="00F164EF" w:rsidP="009E5034">
      <w:pPr>
        <w:spacing w:before="120" w:after="120"/>
        <w:ind w:left="0"/>
        <w:jc w:val="left"/>
        <w:rPr>
          <w:sz w:val="22"/>
          <w:szCs w:val="22"/>
        </w:rPr>
      </w:pPr>
      <w:r w:rsidRPr="009E5034">
        <w:rPr>
          <w:sz w:val="22"/>
          <w:szCs w:val="22"/>
        </w:rPr>
        <w:t>Pour ce qui est des eaux artisanales, constituées essentiellement d’eaux en provenance des teinturières, celles-ci sont déversées dans le fleuve sans prétraitement.</w:t>
      </w:r>
    </w:p>
    <w:p w:rsidR="00F164EF" w:rsidRPr="009E5034" w:rsidRDefault="00F164EF" w:rsidP="009E5034">
      <w:pPr>
        <w:spacing w:after="240"/>
        <w:ind w:left="0"/>
        <w:jc w:val="left"/>
        <w:rPr>
          <w:rStyle w:val="Strong"/>
          <w:rFonts w:eastAsia="MS Mincho"/>
          <w:sz w:val="22"/>
          <w:szCs w:val="22"/>
        </w:rPr>
      </w:pPr>
      <w:bookmarkStart w:id="141" w:name="_Toc253581251"/>
      <w:bookmarkStart w:id="142" w:name="_Toc261170274"/>
      <w:r w:rsidRPr="009E5034">
        <w:rPr>
          <w:rStyle w:val="Strong"/>
          <w:rFonts w:eastAsia="MS Mincho"/>
          <w:sz w:val="22"/>
          <w:szCs w:val="22"/>
        </w:rPr>
        <w:t>5.2. Gestion des déchets solides</w:t>
      </w:r>
      <w:bookmarkEnd w:id="141"/>
      <w:bookmarkEnd w:id="142"/>
    </w:p>
    <w:p w:rsidR="00F164EF" w:rsidRPr="009E5034" w:rsidRDefault="00F164EF" w:rsidP="009E5034">
      <w:pPr>
        <w:spacing w:before="120" w:after="120"/>
        <w:ind w:left="0"/>
        <w:jc w:val="left"/>
        <w:rPr>
          <w:sz w:val="22"/>
          <w:szCs w:val="22"/>
        </w:rPr>
      </w:pPr>
      <w:r w:rsidRPr="009E5034">
        <w:rPr>
          <w:sz w:val="22"/>
          <w:szCs w:val="22"/>
        </w:rPr>
        <w:t>Les déchets solides produits dans la ville de Gao sont issus des ménages, des établissements collectifs  et des établissements sanitaires. Ils sont principalement constitués par les ordures ménagères (les plastiques, les papiers, les feuilles mortes, les verres, les restes d’aliments et les crottes d’animaux) et  les déchets biomédicaux produits dans les centres de santé et l’hôpital.</w:t>
      </w:r>
    </w:p>
    <w:p w:rsidR="00F164EF" w:rsidRPr="009E5034" w:rsidRDefault="00F164EF" w:rsidP="009E5034">
      <w:pPr>
        <w:spacing w:before="120" w:after="120"/>
        <w:ind w:left="0"/>
        <w:jc w:val="left"/>
        <w:rPr>
          <w:sz w:val="22"/>
          <w:szCs w:val="22"/>
        </w:rPr>
      </w:pPr>
      <w:r w:rsidRPr="009E5034">
        <w:rPr>
          <w:sz w:val="22"/>
          <w:szCs w:val="22"/>
        </w:rPr>
        <w:t xml:space="preserve">Les GIE assurent, à l’intérieur de la ville, un système de ramassage des ordures, celui-ci est loin de couvrir les besoins de l’espace urbain. Les ordures sont collectées au niveau des familles dans des poubelles. </w:t>
      </w:r>
    </w:p>
    <w:p w:rsidR="00F164EF" w:rsidRPr="009E5034" w:rsidRDefault="00F164EF" w:rsidP="009E5034">
      <w:pPr>
        <w:ind w:left="0"/>
        <w:jc w:val="left"/>
        <w:rPr>
          <w:sz w:val="22"/>
          <w:szCs w:val="22"/>
        </w:rPr>
      </w:pPr>
      <w:r w:rsidRPr="009E5034">
        <w:rPr>
          <w:sz w:val="22"/>
          <w:szCs w:val="22"/>
        </w:rPr>
        <w:t>Le système de gestion des ordures dans la ville de Gao souffre de plusieurs défaillances : insuffisance de poubelles normalisées ; absence de dépôts de transit ; absence de décharge finale ; faiblesse du taux de pré-collecte par les GIE ; utilisation par la population des déchets pour combler les dépressions dans les rues et dans les concessions. Actuellement, 8 GIE sont chargés de la pré-collecte des ordures. En plus de l’action des GIE, il faut noter la création dans certains quartiers de la ville (Sossokoïra et Château) de Comités d’Assainissement qui disposent de charrettes pour l’évacuation des ordures. Le taux de collecte des déchets ménagers est évalué à 60%.</w:t>
      </w:r>
    </w:p>
    <w:p w:rsidR="00F164EF" w:rsidRPr="009E5034" w:rsidRDefault="00F164EF" w:rsidP="009E5034">
      <w:pPr>
        <w:spacing w:before="120" w:after="120"/>
        <w:ind w:left="0"/>
        <w:jc w:val="left"/>
        <w:rPr>
          <w:sz w:val="22"/>
          <w:szCs w:val="22"/>
        </w:rPr>
      </w:pPr>
      <w:r w:rsidRPr="009E5034">
        <w:rPr>
          <w:sz w:val="22"/>
          <w:szCs w:val="22"/>
        </w:rPr>
        <w:t xml:space="preserve">Malgré l’existence de ces différentes structures, les dépôts anarchiques pullulent un peu partout dans la ville. La décharge finale prévue par le Schéma à </w:t>
      </w:r>
      <w:smartTag w:uri="urn:schemas-microsoft-com:office:smarttags" w:element="metricconverter">
        <w:smartTagPr>
          <w:attr w:name="ProductID" w:val="15 km"/>
        </w:smartTagPr>
        <w:r w:rsidRPr="009E5034">
          <w:rPr>
            <w:sz w:val="22"/>
            <w:szCs w:val="22"/>
          </w:rPr>
          <w:t>15 km</w:t>
        </w:r>
      </w:smartTag>
      <w:r w:rsidRPr="009E5034">
        <w:rPr>
          <w:sz w:val="22"/>
          <w:szCs w:val="22"/>
        </w:rPr>
        <w:t xml:space="preserve"> de la ville sur la route de Djebock n’a pas été réalisée. Les ordures collectées par les GIE sont transportées à la périphérie où elles sont déversées dans des carrières à Banco. </w:t>
      </w:r>
    </w:p>
    <w:p w:rsidR="00F164EF" w:rsidRPr="009E5034" w:rsidRDefault="00F164EF" w:rsidP="009E5034">
      <w:pPr>
        <w:ind w:left="0"/>
        <w:jc w:val="left"/>
        <w:rPr>
          <w:sz w:val="22"/>
          <w:szCs w:val="22"/>
        </w:rPr>
      </w:pPr>
      <w:r w:rsidRPr="009E5034">
        <w:rPr>
          <w:sz w:val="22"/>
          <w:szCs w:val="22"/>
        </w:rPr>
        <w:t>Pour ce qui est des déchets biomédicaux, produits à l’hôpital et dans les centres de santé, ceux-ci sont incinérés. Les résidus sont ensuite transportés et déposés dans des carrières situées hors de la ville.</w:t>
      </w:r>
    </w:p>
    <w:p w:rsidR="00F164EF" w:rsidRPr="009E5034" w:rsidRDefault="00F164EF" w:rsidP="009E5034">
      <w:pPr>
        <w:spacing w:after="240"/>
        <w:ind w:left="0"/>
        <w:jc w:val="left"/>
        <w:rPr>
          <w:rStyle w:val="Strong"/>
          <w:rFonts w:eastAsia="MS Mincho"/>
          <w:sz w:val="22"/>
          <w:szCs w:val="22"/>
        </w:rPr>
      </w:pPr>
      <w:bookmarkStart w:id="143" w:name="_Toc253581252"/>
      <w:bookmarkStart w:id="144" w:name="_Toc261170275"/>
      <w:r w:rsidRPr="009E5034">
        <w:rPr>
          <w:rStyle w:val="Strong"/>
          <w:rFonts w:eastAsia="MS Mincho"/>
          <w:sz w:val="22"/>
          <w:szCs w:val="22"/>
        </w:rPr>
        <w:t>5.3. Gestion des eaux pluviales et contrôles des inondations</w:t>
      </w:r>
      <w:bookmarkEnd w:id="143"/>
      <w:bookmarkEnd w:id="144"/>
    </w:p>
    <w:p w:rsidR="00F164EF" w:rsidRPr="009E5034" w:rsidRDefault="00F164EF" w:rsidP="009E5034">
      <w:pPr>
        <w:spacing w:before="120" w:after="120"/>
        <w:ind w:left="0"/>
        <w:jc w:val="left"/>
        <w:rPr>
          <w:sz w:val="22"/>
          <w:szCs w:val="22"/>
        </w:rPr>
      </w:pPr>
      <w:r w:rsidRPr="009E5034">
        <w:rPr>
          <w:sz w:val="22"/>
          <w:szCs w:val="22"/>
        </w:rPr>
        <w:t>L’enquête sur terrain réalisée dans le cadre du Plan Stratégique d’Assainissement de la ville de Gao en 2005 fait apparaitre que le réseau de drainage aménagé ne couvre que 30% de la superficie urbanisée. Ce réseau est localisé dans les quartiers de Dioulabougou, Saneye, Farandjireye et une petite partie de Sosso Koïra et Alzanabandia. Le linéaire des caniveaux est long de 13 118 ml.</w:t>
      </w:r>
    </w:p>
    <w:p w:rsidR="00F164EF" w:rsidRPr="009E5034" w:rsidRDefault="00F164EF" w:rsidP="009E5034">
      <w:pPr>
        <w:spacing w:before="120" w:after="120"/>
        <w:ind w:left="0"/>
        <w:jc w:val="left"/>
        <w:rPr>
          <w:bCs/>
          <w:iCs/>
          <w:sz w:val="22"/>
          <w:szCs w:val="22"/>
        </w:rPr>
      </w:pPr>
      <w:r w:rsidRPr="009E5034">
        <w:rPr>
          <w:bCs/>
          <w:iCs/>
          <w:sz w:val="22"/>
          <w:szCs w:val="22"/>
        </w:rPr>
        <w:t xml:space="preserve">L’analyse de la situation à la fin des cinq premières années du Schéma d’aménagement en 2005 fait ressortir  que le taux de réalisation des collecteurs primaires projetés est nul et que sur </w:t>
      </w:r>
      <w:smartTag w:uri="urn:schemas-microsoft-com:office:smarttags" w:element="metricconverter">
        <w:smartTagPr>
          <w:attr w:name="ProductID" w:val="12ﾠ250 m"/>
        </w:smartTagPr>
        <w:r w:rsidRPr="009E5034">
          <w:rPr>
            <w:bCs/>
            <w:iCs/>
            <w:sz w:val="22"/>
            <w:szCs w:val="22"/>
          </w:rPr>
          <w:t>12 250 m</w:t>
        </w:r>
      </w:smartTag>
      <w:r w:rsidRPr="009E5034">
        <w:rPr>
          <w:bCs/>
          <w:iCs/>
          <w:sz w:val="22"/>
          <w:szCs w:val="22"/>
        </w:rPr>
        <w:t xml:space="preserve"> de collecteurs secondaires projetés seulement </w:t>
      </w:r>
      <w:smartTag w:uri="urn:schemas-microsoft-com:office:smarttags" w:element="metricconverter">
        <w:smartTagPr>
          <w:attr w:name="ProductID" w:val="1ﾠ220 m"/>
        </w:smartTagPr>
        <w:r w:rsidRPr="009E5034">
          <w:rPr>
            <w:bCs/>
            <w:iCs/>
            <w:sz w:val="22"/>
            <w:szCs w:val="22"/>
          </w:rPr>
          <w:t>1 220 m</w:t>
        </w:r>
      </w:smartTag>
      <w:r w:rsidRPr="009E5034">
        <w:rPr>
          <w:bCs/>
          <w:iCs/>
          <w:sz w:val="22"/>
          <w:szCs w:val="22"/>
        </w:rPr>
        <w:t xml:space="preserve"> ont été réalisés soit un taux de réalisation de 10%. Il est à noter que les seules réalisations faites sont celles du PDUD.</w:t>
      </w:r>
    </w:p>
    <w:p w:rsidR="00F164EF" w:rsidRPr="009E5034" w:rsidRDefault="00F164EF" w:rsidP="009E5034">
      <w:pPr>
        <w:spacing w:before="120" w:after="120"/>
        <w:ind w:left="0"/>
        <w:jc w:val="left"/>
        <w:rPr>
          <w:bCs/>
          <w:iCs/>
          <w:sz w:val="22"/>
          <w:szCs w:val="22"/>
        </w:rPr>
      </w:pPr>
      <w:r w:rsidRPr="009E5034">
        <w:rPr>
          <w:bCs/>
          <w:iCs/>
          <w:sz w:val="22"/>
          <w:szCs w:val="22"/>
        </w:rPr>
        <w:t>Le manque d’entretien du réseau existant fait que, la ville est confrontée à des problèmes cruciaux de drainage des eaux de ruissellement. Aucune opération de lotissement durant les dernières années n’a été accompagnée de la réalisation des infrastructures de drainage.</w:t>
      </w:r>
    </w:p>
    <w:p w:rsidR="00F164EF" w:rsidRPr="009E5034" w:rsidRDefault="00F164EF" w:rsidP="009E5034">
      <w:pPr>
        <w:spacing w:after="240"/>
        <w:ind w:left="0"/>
        <w:jc w:val="left"/>
        <w:rPr>
          <w:rStyle w:val="Strong"/>
          <w:rFonts w:eastAsia="MS Mincho"/>
          <w:sz w:val="22"/>
          <w:szCs w:val="22"/>
        </w:rPr>
      </w:pPr>
      <w:bookmarkStart w:id="145" w:name="_Toc253581253"/>
      <w:bookmarkStart w:id="146" w:name="_Toc261170276"/>
      <w:r w:rsidRPr="009E5034">
        <w:rPr>
          <w:rStyle w:val="Strong"/>
          <w:rFonts w:eastAsia="MS Mincho"/>
          <w:sz w:val="22"/>
          <w:szCs w:val="22"/>
        </w:rPr>
        <w:t>6. Aperçu synthétique des problématiques environnementales majeures</w:t>
      </w:r>
      <w:bookmarkEnd w:id="145"/>
      <w:bookmarkEnd w:id="146"/>
    </w:p>
    <w:tbl>
      <w:tblPr>
        <w:tblW w:w="9522" w:type="dxa"/>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908"/>
        <w:gridCol w:w="2160"/>
        <w:gridCol w:w="5454"/>
      </w:tblGrid>
      <w:tr w:rsidR="00F164EF" w:rsidRPr="009E5034" w:rsidTr="00183B56">
        <w:trPr>
          <w:tblHeader/>
        </w:trPr>
        <w:tc>
          <w:tcPr>
            <w:tcW w:w="4068" w:type="dxa"/>
            <w:gridSpan w:val="2"/>
            <w:tcBorders>
              <w:top w:val="single" w:sz="4" w:space="0" w:color="auto"/>
              <w:bottom w:val="single" w:sz="4" w:space="0" w:color="auto"/>
            </w:tcBorders>
          </w:tcPr>
          <w:p w:rsidR="00F164EF" w:rsidRPr="009E5034" w:rsidRDefault="00F164EF" w:rsidP="009E5034">
            <w:pPr>
              <w:pStyle w:val="Tableau"/>
              <w:ind w:left="1"/>
              <w:jc w:val="left"/>
              <w:rPr>
                <w:sz w:val="22"/>
                <w:szCs w:val="22"/>
              </w:rPr>
            </w:pPr>
            <w:r w:rsidRPr="009E5034">
              <w:rPr>
                <w:sz w:val="22"/>
                <w:szCs w:val="22"/>
              </w:rPr>
              <w:t>Composantes de l’environnement urbain</w:t>
            </w:r>
          </w:p>
        </w:tc>
        <w:tc>
          <w:tcPr>
            <w:tcW w:w="5454" w:type="dxa"/>
            <w:tcBorders>
              <w:top w:val="single" w:sz="4" w:space="0" w:color="auto"/>
              <w:bottom w:val="single" w:sz="4" w:space="0" w:color="auto"/>
            </w:tcBorders>
          </w:tcPr>
          <w:p w:rsidR="00F164EF" w:rsidRPr="009E5034" w:rsidRDefault="00F164EF" w:rsidP="009E5034">
            <w:pPr>
              <w:pStyle w:val="Tableau"/>
              <w:ind w:left="1"/>
              <w:jc w:val="left"/>
              <w:rPr>
                <w:sz w:val="22"/>
                <w:szCs w:val="22"/>
              </w:rPr>
            </w:pPr>
            <w:r w:rsidRPr="009E5034">
              <w:rPr>
                <w:sz w:val="22"/>
                <w:szCs w:val="22"/>
              </w:rPr>
              <w:t>Caractérisation des problématiques</w:t>
            </w:r>
          </w:p>
        </w:tc>
      </w:tr>
      <w:tr w:rsidR="00F164EF" w:rsidRPr="009E5034" w:rsidTr="00183B56">
        <w:tc>
          <w:tcPr>
            <w:tcW w:w="1908" w:type="dxa"/>
            <w:vMerge w:val="restart"/>
            <w:tcBorders>
              <w:top w:val="single" w:sz="4" w:space="0" w:color="auto"/>
              <w:bottom w:val="single" w:sz="4" w:space="0" w:color="auto"/>
            </w:tcBorders>
            <w:vAlign w:val="center"/>
          </w:tcPr>
          <w:p w:rsidR="00F164EF" w:rsidRPr="009E5034" w:rsidRDefault="00F164EF" w:rsidP="009E5034">
            <w:pPr>
              <w:pStyle w:val="Tableau"/>
              <w:ind w:left="1"/>
              <w:jc w:val="left"/>
              <w:rPr>
                <w:rStyle w:val="Heading2Char"/>
                <w:rFonts w:ascii="Times New Roman" w:hAnsi="Times New Roman" w:cs="Times New Roman"/>
                <w:sz w:val="22"/>
                <w:szCs w:val="22"/>
              </w:rPr>
            </w:pPr>
            <w:r w:rsidRPr="009E5034">
              <w:rPr>
                <w:sz w:val="22"/>
                <w:szCs w:val="22"/>
              </w:rPr>
              <w:t>Problématiques liées  aux ressources naturelles</w:t>
            </w:r>
          </w:p>
        </w:tc>
        <w:tc>
          <w:tcPr>
            <w:tcW w:w="2160" w:type="dxa"/>
            <w:tcBorders>
              <w:top w:val="single" w:sz="4" w:space="0" w:color="auto"/>
              <w:bottom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Qualité de l’air</w:t>
            </w:r>
          </w:p>
        </w:tc>
        <w:tc>
          <w:tcPr>
            <w:tcW w:w="5454" w:type="dxa"/>
            <w:tcBorders>
              <w:top w:val="single" w:sz="4" w:space="0" w:color="auto"/>
              <w:bottom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 xml:space="preserve">Atmosphère particulièrement vulnérable en raison de la situation de la Gao en zone désertique. </w:t>
            </w:r>
          </w:p>
          <w:p w:rsidR="00F164EF" w:rsidRPr="009E5034" w:rsidRDefault="00F164EF" w:rsidP="009E5034">
            <w:pPr>
              <w:pStyle w:val="Tableau"/>
              <w:ind w:left="1"/>
              <w:jc w:val="left"/>
              <w:rPr>
                <w:rStyle w:val="Heading2Char"/>
                <w:rFonts w:ascii="Times New Roman" w:hAnsi="Times New Roman" w:cs="Times New Roman"/>
                <w:b w:val="0"/>
                <w:sz w:val="22"/>
                <w:szCs w:val="22"/>
              </w:rPr>
            </w:pPr>
            <w:r w:rsidRPr="009E5034">
              <w:rPr>
                <w:sz w:val="22"/>
                <w:szCs w:val="22"/>
              </w:rPr>
              <w:t>Pollution atmosphérique survient surtout en période de vent et de tornade de poussières qui entraînent les polluants des déchets solides</w:t>
            </w:r>
            <w:r w:rsidRPr="009E5034">
              <w:rPr>
                <w:rStyle w:val="Heading2Char"/>
                <w:rFonts w:ascii="Times New Roman" w:hAnsi="Times New Roman" w:cs="Times New Roman"/>
                <w:sz w:val="22"/>
                <w:szCs w:val="22"/>
              </w:rPr>
              <w:t xml:space="preserve"> </w:t>
            </w:r>
          </w:p>
          <w:p w:rsidR="00F164EF" w:rsidRPr="009E5034" w:rsidRDefault="00F164EF" w:rsidP="009E5034">
            <w:pPr>
              <w:pStyle w:val="Tableau"/>
              <w:ind w:left="1"/>
              <w:jc w:val="left"/>
              <w:rPr>
                <w:rStyle w:val="Heading2Char"/>
                <w:rFonts w:ascii="Times New Roman" w:hAnsi="Times New Roman" w:cs="Times New Roman"/>
                <w:b w:val="0"/>
                <w:sz w:val="22"/>
                <w:szCs w:val="22"/>
              </w:rPr>
            </w:pPr>
            <w:r w:rsidRPr="009E5034">
              <w:rPr>
                <w:sz w:val="22"/>
                <w:szCs w:val="22"/>
              </w:rPr>
              <w:t>Dégagement de fumées de toutes sources (véhicules, brûlage anarchique des déchets, utilisation de bois de chauffe et de charbon de bois comme principale source d’énergie des ménages, ..).</w:t>
            </w:r>
          </w:p>
        </w:tc>
      </w:tr>
      <w:tr w:rsidR="00F164EF" w:rsidRPr="009E5034" w:rsidTr="00183B56">
        <w:tc>
          <w:tcPr>
            <w:tcW w:w="1908" w:type="dxa"/>
            <w:vMerge/>
            <w:tcBorders>
              <w:top w:val="nil"/>
              <w:bottom w:val="single" w:sz="4" w:space="0" w:color="auto"/>
            </w:tcBorders>
            <w:vAlign w:val="center"/>
          </w:tcPr>
          <w:p w:rsidR="00F164EF" w:rsidRPr="009E5034" w:rsidRDefault="00F164EF" w:rsidP="009E5034">
            <w:pPr>
              <w:pStyle w:val="Tableau"/>
              <w:ind w:left="1"/>
              <w:jc w:val="left"/>
              <w:rPr>
                <w:rStyle w:val="Heading2Char"/>
                <w:rFonts w:ascii="Times New Roman" w:hAnsi="Times New Roman" w:cs="Times New Roman"/>
                <w:sz w:val="22"/>
                <w:szCs w:val="22"/>
              </w:rPr>
            </w:pPr>
          </w:p>
        </w:tc>
        <w:tc>
          <w:tcPr>
            <w:tcW w:w="2160" w:type="dxa"/>
            <w:tcBorders>
              <w:top w:val="single" w:sz="4" w:space="0" w:color="auto"/>
              <w:bottom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 xml:space="preserve">Ressources en eau </w:t>
            </w:r>
          </w:p>
        </w:tc>
        <w:tc>
          <w:tcPr>
            <w:tcW w:w="5454" w:type="dxa"/>
            <w:tcBorders>
              <w:top w:val="single" w:sz="4" w:space="0" w:color="auto"/>
              <w:bottom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La région renferme d’importantes potentialités en eaux de surface et souterraines, Fleuve Niger, Mares et nappes souterraines</w:t>
            </w:r>
          </w:p>
        </w:tc>
      </w:tr>
      <w:tr w:rsidR="00F164EF" w:rsidRPr="009E5034" w:rsidTr="00183B56">
        <w:tc>
          <w:tcPr>
            <w:tcW w:w="1908" w:type="dxa"/>
            <w:vMerge/>
            <w:tcBorders>
              <w:top w:val="nil"/>
              <w:bottom w:val="single" w:sz="4" w:space="0" w:color="auto"/>
            </w:tcBorders>
            <w:vAlign w:val="center"/>
          </w:tcPr>
          <w:p w:rsidR="00F164EF" w:rsidRPr="009E5034" w:rsidRDefault="00F164EF" w:rsidP="009E5034">
            <w:pPr>
              <w:pStyle w:val="Tableau"/>
              <w:ind w:left="1"/>
              <w:jc w:val="left"/>
              <w:rPr>
                <w:rStyle w:val="Heading2Char"/>
                <w:rFonts w:ascii="Times New Roman" w:hAnsi="Times New Roman" w:cs="Times New Roman"/>
                <w:sz w:val="22"/>
                <w:szCs w:val="22"/>
              </w:rPr>
            </w:pPr>
          </w:p>
        </w:tc>
        <w:tc>
          <w:tcPr>
            <w:tcW w:w="2160" w:type="dxa"/>
            <w:tcBorders>
              <w:top w:val="single" w:sz="4" w:space="0" w:color="auto"/>
              <w:bottom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Végétation naturelle et forêts</w:t>
            </w:r>
          </w:p>
        </w:tc>
        <w:tc>
          <w:tcPr>
            <w:tcW w:w="5454" w:type="dxa"/>
            <w:tcBorders>
              <w:top w:val="single" w:sz="4" w:space="0" w:color="auto"/>
              <w:bottom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Une seule forêt classée d’une centaine d’hectares dans un état dégradé</w:t>
            </w:r>
          </w:p>
          <w:p w:rsidR="00F164EF" w:rsidRPr="009E5034" w:rsidRDefault="00F164EF" w:rsidP="009E5034">
            <w:pPr>
              <w:pStyle w:val="Tableau"/>
              <w:ind w:left="1"/>
              <w:jc w:val="left"/>
              <w:rPr>
                <w:sz w:val="22"/>
                <w:szCs w:val="22"/>
              </w:rPr>
            </w:pPr>
            <w:r w:rsidRPr="009E5034">
              <w:rPr>
                <w:sz w:val="22"/>
                <w:szCs w:val="22"/>
              </w:rPr>
              <w:t>Déclassement des forêts dues à la pression anthropique</w:t>
            </w:r>
          </w:p>
          <w:p w:rsidR="00F164EF" w:rsidRPr="009E5034" w:rsidRDefault="00F164EF" w:rsidP="009E5034">
            <w:pPr>
              <w:pStyle w:val="Tableau"/>
              <w:ind w:left="1"/>
              <w:jc w:val="left"/>
              <w:rPr>
                <w:sz w:val="22"/>
                <w:szCs w:val="22"/>
              </w:rPr>
            </w:pPr>
            <w:r w:rsidRPr="009E5034">
              <w:rPr>
                <w:sz w:val="22"/>
                <w:szCs w:val="22"/>
              </w:rPr>
              <w:t>Régénération lente des forêts due aux violations intempestives</w:t>
            </w:r>
          </w:p>
        </w:tc>
      </w:tr>
      <w:tr w:rsidR="00F164EF" w:rsidRPr="009E5034" w:rsidTr="00183B56">
        <w:tc>
          <w:tcPr>
            <w:tcW w:w="1908" w:type="dxa"/>
            <w:vMerge/>
            <w:tcBorders>
              <w:top w:val="nil"/>
              <w:bottom w:val="single" w:sz="4" w:space="0" w:color="auto"/>
            </w:tcBorders>
          </w:tcPr>
          <w:p w:rsidR="00F164EF" w:rsidRPr="009E5034" w:rsidRDefault="00F164EF" w:rsidP="009E5034">
            <w:pPr>
              <w:pStyle w:val="Tableau"/>
              <w:ind w:left="1"/>
              <w:jc w:val="left"/>
              <w:rPr>
                <w:rStyle w:val="Heading2Char"/>
                <w:rFonts w:ascii="Times New Roman" w:hAnsi="Times New Roman" w:cs="Times New Roman"/>
                <w:sz w:val="22"/>
                <w:szCs w:val="22"/>
              </w:rPr>
            </w:pPr>
          </w:p>
        </w:tc>
        <w:tc>
          <w:tcPr>
            <w:tcW w:w="2160" w:type="dxa"/>
            <w:tcBorders>
              <w:top w:val="single" w:sz="4" w:space="0" w:color="auto"/>
              <w:bottom w:val="single" w:sz="4" w:space="0" w:color="auto"/>
            </w:tcBorders>
            <w:vAlign w:val="center"/>
          </w:tcPr>
          <w:p w:rsidR="00F164EF" w:rsidRPr="009E5034" w:rsidRDefault="00F164EF" w:rsidP="009E5034">
            <w:pPr>
              <w:pStyle w:val="Tableau"/>
              <w:ind w:left="1"/>
              <w:jc w:val="left"/>
              <w:rPr>
                <w:sz w:val="22"/>
                <w:szCs w:val="22"/>
              </w:rPr>
            </w:pPr>
          </w:p>
          <w:p w:rsidR="00F164EF" w:rsidRPr="009E5034" w:rsidRDefault="00F164EF" w:rsidP="009E5034">
            <w:pPr>
              <w:pStyle w:val="Tableau"/>
              <w:ind w:left="1"/>
              <w:jc w:val="left"/>
              <w:rPr>
                <w:sz w:val="22"/>
                <w:szCs w:val="22"/>
              </w:rPr>
            </w:pPr>
            <w:r w:rsidRPr="009E5034">
              <w:rPr>
                <w:sz w:val="22"/>
                <w:szCs w:val="22"/>
              </w:rPr>
              <w:t>Terres agricoles</w:t>
            </w:r>
          </w:p>
          <w:p w:rsidR="00F164EF" w:rsidRPr="009E5034" w:rsidRDefault="00F164EF" w:rsidP="009E5034">
            <w:pPr>
              <w:pStyle w:val="Tableau"/>
              <w:ind w:left="1"/>
              <w:jc w:val="left"/>
              <w:rPr>
                <w:sz w:val="22"/>
                <w:szCs w:val="22"/>
              </w:rPr>
            </w:pPr>
          </w:p>
        </w:tc>
        <w:tc>
          <w:tcPr>
            <w:tcW w:w="5454" w:type="dxa"/>
            <w:tcBorders>
              <w:top w:val="single" w:sz="4" w:space="0" w:color="auto"/>
              <w:bottom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L’agriculture constitue une des activités principales dans la région de Gao</w:t>
            </w:r>
          </w:p>
          <w:p w:rsidR="00F164EF" w:rsidRPr="009E5034" w:rsidRDefault="00F164EF" w:rsidP="009E5034">
            <w:pPr>
              <w:pStyle w:val="Tableau"/>
              <w:ind w:left="1"/>
              <w:jc w:val="left"/>
              <w:rPr>
                <w:rStyle w:val="Heading2Char"/>
                <w:rFonts w:ascii="Times New Roman" w:hAnsi="Times New Roman" w:cs="Times New Roman"/>
                <w:b w:val="0"/>
                <w:sz w:val="22"/>
                <w:szCs w:val="22"/>
              </w:rPr>
            </w:pPr>
            <w:r w:rsidRPr="009E5034">
              <w:rPr>
                <w:sz w:val="22"/>
                <w:szCs w:val="22"/>
              </w:rPr>
              <w:t>le riz constitue la principale production agricole (60 % de la production totale).</w:t>
            </w:r>
          </w:p>
        </w:tc>
      </w:tr>
      <w:tr w:rsidR="00F164EF" w:rsidRPr="009E5034" w:rsidTr="00183B56">
        <w:tc>
          <w:tcPr>
            <w:tcW w:w="1908" w:type="dxa"/>
            <w:vMerge w:val="restart"/>
            <w:tcBorders>
              <w:top w:val="single" w:sz="4" w:space="0" w:color="auto"/>
            </w:tcBorders>
            <w:vAlign w:val="center"/>
          </w:tcPr>
          <w:p w:rsidR="00F164EF" w:rsidRPr="009E5034" w:rsidRDefault="00F164EF" w:rsidP="009E5034">
            <w:pPr>
              <w:pStyle w:val="Tableau"/>
              <w:ind w:left="1"/>
              <w:jc w:val="left"/>
              <w:rPr>
                <w:rStyle w:val="Heading2Char"/>
                <w:rFonts w:ascii="Times New Roman" w:hAnsi="Times New Roman" w:cs="Times New Roman"/>
                <w:b w:val="0"/>
                <w:sz w:val="22"/>
                <w:szCs w:val="22"/>
              </w:rPr>
            </w:pPr>
            <w:r w:rsidRPr="009E5034">
              <w:rPr>
                <w:sz w:val="22"/>
                <w:szCs w:val="22"/>
              </w:rPr>
              <w:t xml:space="preserve">Problématiques liées à la gestion de l’environnement </w:t>
            </w:r>
          </w:p>
        </w:tc>
        <w:tc>
          <w:tcPr>
            <w:tcW w:w="2160" w:type="dxa"/>
            <w:tcBorders>
              <w:top w:val="single" w:sz="4" w:space="0" w:color="auto"/>
              <w:bottom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Accès à l’eau potable</w:t>
            </w:r>
          </w:p>
        </w:tc>
        <w:tc>
          <w:tcPr>
            <w:tcW w:w="5454" w:type="dxa"/>
            <w:tcBorders>
              <w:top w:val="single" w:sz="4" w:space="0" w:color="auto"/>
              <w:bottom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Utilisation de sources d’approvisionnement en eau potable :</w:t>
            </w:r>
          </w:p>
          <w:p w:rsidR="00F164EF" w:rsidRPr="009E5034" w:rsidRDefault="00F164EF" w:rsidP="009E5034">
            <w:pPr>
              <w:pStyle w:val="Tableau"/>
              <w:ind w:left="1"/>
              <w:jc w:val="left"/>
              <w:rPr>
                <w:sz w:val="22"/>
                <w:szCs w:val="22"/>
              </w:rPr>
            </w:pPr>
            <w:r w:rsidRPr="009E5034">
              <w:rPr>
                <w:sz w:val="22"/>
                <w:szCs w:val="22"/>
              </w:rPr>
              <w:t>88% de la population s’approvisionne du réseau de distribution d’eau de l’EDM et des forages équipés,</w:t>
            </w:r>
          </w:p>
          <w:p w:rsidR="00F164EF" w:rsidRPr="009E5034" w:rsidRDefault="00F164EF" w:rsidP="009E5034">
            <w:pPr>
              <w:pStyle w:val="Tableau"/>
              <w:ind w:left="1"/>
              <w:jc w:val="left"/>
              <w:rPr>
                <w:sz w:val="22"/>
                <w:szCs w:val="22"/>
              </w:rPr>
            </w:pPr>
            <w:r w:rsidRPr="009E5034">
              <w:rPr>
                <w:sz w:val="22"/>
                <w:szCs w:val="22"/>
              </w:rPr>
              <w:t>Une faible proportion 5% utilise des sources d’eau sans traitement : puits, mares ou directement du fleuve.</w:t>
            </w:r>
          </w:p>
          <w:p w:rsidR="00F164EF" w:rsidRPr="009E5034" w:rsidRDefault="00F164EF" w:rsidP="009E5034">
            <w:pPr>
              <w:pStyle w:val="Tableau"/>
              <w:ind w:left="1"/>
              <w:jc w:val="left"/>
              <w:rPr>
                <w:rStyle w:val="Heading2Char"/>
                <w:rFonts w:ascii="Times New Roman" w:hAnsi="Times New Roman" w:cs="Times New Roman"/>
                <w:b w:val="0"/>
                <w:sz w:val="22"/>
                <w:szCs w:val="22"/>
              </w:rPr>
            </w:pPr>
            <w:r w:rsidRPr="009E5034">
              <w:rPr>
                <w:sz w:val="22"/>
                <w:szCs w:val="22"/>
              </w:rPr>
              <w:t>Consommation spécifique d’eau par habitant s’établit à  59 l/j.</w:t>
            </w:r>
          </w:p>
        </w:tc>
      </w:tr>
      <w:tr w:rsidR="00F164EF" w:rsidRPr="009E5034" w:rsidTr="00183B56">
        <w:tc>
          <w:tcPr>
            <w:tcW w:w="1908" w:type="dxa"/>
            <w:vMerge/>
          </w:tcPr>
          <w:p w:rsidR="00F164EF" w:rsidRPr="009E5034" w:rsidRDefault="00F164EF" w:rsidP="009E5034">
            <w:pPr>
              <w:pStyle w:val="Tableau"/>
              <w:ind w:left="1"/>
              <w:jc w:val="left"/>
              <w:rPr>
                <w:rStyle w:val="Heading2Char"/>
                <w:rFonts w:ascii="Times New Roman" w:hAnsi="Times New Roman" w:cs="Times New Roman"/>
                <w:sz w:val="22"/>
                <w:szCs w:val="22"/>
              </w:rPr>
            </w:pPr>
          </w:p>
        </w:tc>
        <w:tc>
          <w:tcPr>
            <w:tcW w:w="2160" w:type="dxa"/>
            <w:tcBorders>
              <w:top w:val="single" w:sz="4" w:space="0" w:color="auto"/>
              <w:bottom w:val="single" w:sz="4" w:space="0" w:color="auto"/>
            </w:tcBorders>
            <w:vAlign w:val="center"/>
          </w:tcPr>
          <w:p w:rsidR="00F164EF" w:rsidRPr="009E5034" w:rsidRDefault="00F164EF" w:rsidP="009E5034">
            <w:pPr>
              <w:pStyle w:val="Tableau"/>
              <w:ind w:left="1"/>
              <w:jc w:val="left"/>
              <w:rPr>
                <w:rStyle w:val="Heading2Char"/>
                <w:rFonts w:ascii="Times New Roman" w:hAnsi="Times New Roman" w:cs="Times New Roman"/>
                <w:b w:val="0"/>
                <w:sz w:val="22"/>
                <w:szCs w:val="22"/>
              </w:rPr>
            </w:pPr>
            <w:r w:rsidRPr="009E5034">
              <w:rPr>
                <w:sz w:val="22"/>
                <w:szCs w:val="22"/>
              </w:rPr>
              <w:t>Gestion des eaux usées</w:t>
            </w:r>
          </w:p>
        </w:tc>
        <w:tc>
          <w:tcPr>
            <w:tcW w:w="5454" w:type="dxa"/>
            <w:tcBorders>
              <w:top w:val="single" w:sz="4" w:space="0" w:color="auto"/>
              <w:bottom w:val="single" w:sz="4" w:space="0" w:color="auto"/>
            </w:tcBorders>
          </w:tcPr>
          <w:p w:rsidR="00F164EF" w:rsidRPr="009E5034" w:rsidRDefault="00F164EF" w:rsidP="009E5034">
            <w:pPr>
              <w:pStyle w:val="Tableau"/>
              <w:ind w:left="1"/>
              <w:jc w:val="left"/>
              <w:rPr>
                <w:sz w:val="22"/>
                <w:szCs w:val="22"/>
              </w:rPr>
            </w:pPr>
            <w:r w:rsidRPr="009E5034">
              <w:rPr>
                <w:sz w:val="22"/>
                <w:szCs w:val="22"/>
              </w:rPr>
              <w:t>Absence de système d’évacuation des eaux usées domestiques</w:t>
            </w:r>
          </w:p>
          <w:p w:rsidR="00F164EF" w:rsidRPr="009E5034" w:rsidRDefault="00F164EF" w:rsidP="009E5034">
            <w:pPr>
              <w:pStyle w:val="Tableau"/>
              <w:ind w:left="1"/>
              <w:jc w:val="left"/>
              <w:rPr>
                <w:sz w:val="22"/>
                <w:szCs w:val="22"/>
              </w:rPr>
            </w:pPr>
            <w:r w:rsidRPr="009E5034">
              <w:rPr>
                <w:sz w:val="22"/>
                <w:szCs w:val="22"/>
              </w:rPr>
              <w:t>Déversement dans les rues (des saignées) ou dans des petites excavations et dans les caniveaux occasionnant de fortes nuisances et pollutions,</w:t>
            </w:r>
          </w:p>
          <w:p w:rsidR="00F164EF" w:rsidRPr="009E5034" w:rsidRDefault="00F164EF" w:rsidP="009E5034">
            <w:pPr>
              <w:pStyle w:val="Tableau"/>
              <w:ind w:left="1"/>
              <w:jc w:val="left"/>
              <w:rPr>
                <w:rStyle w:val="Heading2Char"/>
                <w:rFonts w:ascii="Times New Roman" w:hAnsi="Times New Roman" w:cs="Times New Roman"/>
                <w:b w:val="0"/>
                <w:sz w:val="22"/>
                <w:szCs w:val="22"/>
              </w:rPr>
            </w:pPr>
            <w:r w:rsidRPr="009E5034">
              <w:rPr>
                <w:sz w:val="22"/>
                <w:szCs w:val="22"/>
              </w:rPr>
              <w:t xml:space="preserve">Nombre très faible de familles disposant de puisards ou de fosses étanches. Les eaux recueillies dans ces fosses sont rejetées sans traitement à l’extérieur de la ville </w:t>
            </w:r>
          </w:p>
        </w:tc>
      </w:tr>
      <w:tr w:rsidR="00F164EF" w:rsidRPr="009E5034" w:rsidTr="00183B56">
        <w:tc>
          <w:tcPr>
            <w:tcW w:w="1908" w:type="dxa"/>
            <w:vMerge/>
          </w:tcPr>
          <w:p w:rsidR="00F164EF" w:rsidRPr="009E5034" w:rsidRDefault="00F164EF" w:rsidP="009E5034">
            <w:pPr>
              <w:pStyle w:val="Tableau"/>
              <w:ind w:left="1"/>
              <w:jc w:val="left"/>
              <w:rPr>
                <w:rStyle w:val="Heading2Char"/>
                <w:rFonts w:ascii="Times New Roman" w:hAnsi="Times New Roman" w:cs="Times New Roman"/>
                <w:sz w:val="22"/>
                <w:szCs w:val="22"/>
              </w:rPr>
            </w:pPr>
          </w:p>
        </w:tc>
        <w:tc>
          <w:tcPr>
            <w:tcW w:w="2160" w:type="dxa"/>
            <w:tcBorders>
              <w:top w:val="single" w:sz="4" w:space="0" w:color="auto"/>
              <w:bottom w:val="single" w:sz="4" w:space="0" w:color="auto"/>
            </w:tcBorders>
            <w:vAlign w:val="center"/>
          </w:tcPr>
          <w:p w:rsidR="00F164EF" w:rsidRPr="009E5034" w:rsidRDefault="00F164EF" w:rsidP="009E5034">
            <w:pPr>
              <w:pStyle w:val="Tableau"/>
              <w:ind w:left="1"/>
              <w:jc w:val="left"/>
              <w:rPr>
                <w:rStyle w:val="Heading2Char"/>
                <w:rFonts w:ascii="Times New Roman" w:hAnsi="Times New Roman" w:cs="Times New Roman"/>
                <w:b w:val="0"/>
                <w:sz w:val="22"/>
                <w:szCs w:val="22"/>
              </w:rPr>
            </w:pPr>
            <w:r w:rsidRPr="009E5034">
              <w:rPr>
                <w:sz w:val="22"/>
                <w:szCs w:val="22"/>
              </w:rPr>
              <w:t xml:space="preserve">Gestion des déchets solides </w:t>
            </w:r>
          </w:p>
        </w:tc>
        <w:tc>
          <w:tcPr>
            <w:tcW w:w="5454" w:type="dxa"/>
            <w:tcBorders>
              <w:top w:val="single" w:sz="4" w:space="0" w:color="auto"/>
              <w:bottom w:val="single" w:sz="4" w:space="0" w:color="auto"/>
            </w:tcBorders>
          </w:tcPr>
          <w:p w:rsidR="00F164EF" w:rsidRPr="009E5034" w:rsidRDefault="00F164EF" w:rsidP="009E5034">
            <w:pPr>
              <w:pStyle w:val="Tableau"/>
              <w:ind w:left="1"/>
              <w:jc w:val="left"/>
              <w:rPr>
                <w:sz w:val="22"/>
                <w:szCs w:val="22"/>
              </w:rPr>
            </w:pPr>
            <w:r w:rsidRPr="009E5034">
              <w:rPr>
                <w:sz w:val="22"/>
                <w:szCs w:val="22"/>
              </w:rPr>
              <w:t>Taux de collecte des déchets ménagers avec le concours des GIE est évalué de 60%</w:t>
            </w:r>
          </w:p>
          <w:p w:rsidR="00F164EF" w:rsidRPr="009E5034" w:rsidRDefault="00F164EF" w:rsidP="009E5034">
            <w:pPr>
              <w:pStyle w:val="Tableau"/>
              <w:ind w:left="1"/>
              <w:jc w:val="left"/>
              <w:rPr>
                <w:sz w:val="22"/>
                <w:szCs w:val="22"/>
              </w:rPr>
            </w:pPr>
            <w:r w:rsidRPr="009E5034">
              <w:rPr>
                <w:sz w:val="22"/>
                <w:szCs w:val="22"/>
              </w:rPr>
              <w:t>Absence de dépôts de transit et multiplication des dépôts anarchiques</w:t>
            </w:r>
          </w:p>
          <w:p w:rsidR="00F164EF" w:rsidRPr="009E5034" w:rsidRDefault="00F164EF" w:rsidP="009E5034">
            <w:pPr>
              <w:pStyle w:val="Tableau"/>
              <w:ind w:left="1"/>
              <w:jc w:val="left"/>
              <w:rPr>
                <w:sz w:val="22"/>
                <w:szCs w:val="22"/>
              </w:rPr>
            </w:pPr>
            <w:r w:rsidRPr="009E5034">
              <w:rPr>
                <w:sz w:val="22"/>
                <w:szCs w:val="22"/>
              </w:rPr>
              <w:t>La production d’ordure par ménage est estimée à 4 Kg/j.</w:t>
            </w:r>
          </w:p>
        </w:tc>
      </w:tr>
      <w:tr w:rsidR="00F164EF" w:rsidRPr="009E5034" w:rsidTr="00183B56">
        <w:tc>
          <w:tcPr>
            <w:tcW w:w="1908" w:type="dxa"/>
            <w:vMerge/>
          </w:tcPr>
          <w:p w:rsidR="00F164EF" w:rsidRPr="009E5034" w:rsidRDefault="00F164EF" w:rsidP="009E5034">
            <w:pPr>
              <w:pStyle w:val="Tableau"/>
              <w:ind w:left="1"/>
              <w:jc w:val="left"/>
              <w:rPr>
                <w:rStyle w:val="Heading2Char"/>
                <w:rFonts w:ascii="Times New Roman" w:hAnsi="Times New Roman" w:cs="Times New Roman"/>
                <w:sz w:val="22"/>
                <w:szCs w:val="22"/>
              </w:rPr>
            </w:pPr>
          </w:p>
        </w:tc>
        <w:tc>
          <w:tcPr>
            <w:tcW w:w="2160" w:type="dxa"/>
            <w:tcBorders>
              <w:top w:val="single" w:sz="4" w:space="0" w:color="auto"/>
              <w:bottom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Gestion des eaux pluviales</w:t>
            </w:r>
          </w:p>
        </w:tc>
        <w:tc>
          <w:tcPr>
            <w:tcW w:w="5454" w:type="dxa"/>
            <w:tcBorders>
              <w:top w:val="single" w:sz="4" w:space="0" w:color="auto"/>
              <w:bottom w:val="single" w:sz="4" w:space="0" w:color="auto"/>
            </w:tcBorders>
          </w:tcPr>
          <w:p w:rsidR="00F164EF" w:rsidRPr="009E5034" w:rsidRDefault="00F164EF" w:rsidP="009E5034">
            <w:pPr>
              <w:pStyle w:val="Tableau"/>
              <w:ind w:left="1"/>
              <w:jc w:val="left"/>
              <w:rPr>
                <w:sz w:val="22"/>
                <w:szCs w:val="22"/>
              </w:rPr>
            </w:pPr>
            <w:r w:rsidRPr="009E5034">
              <w:rPr>
                <w:sz w:val="22"/>
                <w:szCs w:val="22"/>
              </w:rPr>
              <w:t>Evacuation des eaux pluviales par les caniveaux (longueur : 13118 ml)</w:t>
            </w:r>
          </w:p>
          <w:p w:rsidR="00F164EF" w:rsidRPr="009E5034" w:rsidRDefault="00F164EF" w:rsidP="009E5034">
            <w:pPr>
              <w:pStyle w:val="Tableau"/>
              <w:ind w:left="1"/>
              <w:jc w:val="left"/>
              <w:rPr>
                <w:sz w:val="22"/>
                <w:szCs w:val="22"/>
              </w:rPr>
            </w:pPr>
            <w:r w:rsidRPr="009E5034">
              <w:rPr>
                <w:sz w:val="22"/>
                <w:szCs w:val="22"/>
              </w:rPr>
              <w:t>Réseau d’évacuation des eaux pluviales ne couvre que  30% de la superficie urbanisée</w:t>
            </w:r>
          </w:p>
          <w:p w:rsidR="00F164EF" w:rsidRPr="009E5034" w:rsidRDefault="00F164EF" w:rsidP="009E5034">
            <w:pPr>
              <w:pStyle w:val="Tableau"/>
              <w:ind w:left="1"/>
              <w:jc w:val="left"/>
              <w:rPr>
                <w:sz w:val="22"/>
                <w:szCs w:val="22"/>
              </w:rPr>
            </w:pPr>
            <w:r w:rsidRPr="009E5034">
              <w:rPr>
                <w:sz w:val="22"/>
                <w:szCs w:val="22"/>
              </w:rPr>
              <w:t>La ville compte 12 exutoires aboutissant au fleuve (E1 à E12) dont trois seulement sont aménagés en amont</w:t>
            </w:r>
          </w:p>
          <w:p w:rsidR="00F164EF" w:rsidRPr="009E5034" w:rsidRDefault="00F164EF" w:rsidP="009E5034">
            <w:pPr>
              <w:pStyle w:val="Tableau"/>
              <w:ind w:left="1"/>
              <w:jc w:val="left"/>
              <w:rPr>
                <w:sz w:val="22"/>
                <w:szCs w:val="22"/>
              </w:rPr>
            </w:pPr>
            <w:r w:rsidRPr="009E5034">
              <w:rPr>
                <w:sz w:val="22"/>
                <w:szCs w:val="22"/>
              </w:rPr>
              <w:t>Défaillance d’entretien des ouvrages d’évacuations des eaux.</w:t>
            </w:r>
          </w:p>
          <w:p w:rsidR="00F164EF" w:rsidRPr="009E5034" w:rsidRDefault="00F164EF" w:rsidP="009E5034">
            <w:pPr>
              <w:pStyle w:val="Tableau"/>
              <w:ind w:left="1"/>
              <w:jc w:val="left"/>
              <w:rPr>
                <w:sz w:val="22"/>
                <w:szCs w:val="22"/>
              </w:rPr>
            </w:pPr>
          </w:p>
        </w:tc>
      </w:tr>
      <w:tr w:rsidR="00F164EF" w:rsidRPr="009E5034" w:rsidTr="00183B56">
        <w:tc>
          <w:tcPr>
            <w:tcW w:w="1908" w:type="dxa"/>
            <w:vMerge w:val="restart"/>
          </w:tcPr>
          <w:p w:rsidR="00F164EF" w:rsidRPr="009E5034" w:rsidRDefault="00F164EF" w:rsidP="009E5034">
            <w:pPr>
              <w:pStyle w:val="Tableau"/>
              <w:ind w:left="1"/>
              <w:jc w:val="left"/>
              <w:rPr>
                <w:rStyle w:val="Heading2Char"/>
                <w:rFonts w:ascii="Times New Roman" w:hAnsi="Times New Roman" w:cs="Times New Roman"/>
                <w:sz w:val="22"/>
                <w:szCs w:val="22"/>
              </w:rPr>
            </w:pPr>
          </w:p>
        </w:tc>
        <w:tc>
          <w:tcPr>
            <w:tcW w:w="2160" w:type="dxa"/>
            <w:tcBorders>
              <w:top w:val="single" w:sz="4" w:space="0" w:color="auto"/>
              <w:bottom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 xml:space="preserve">Utilisation de l’énergie </w:t>
            </w:r>
          </w:p>
        </w:tc>
        <w:tc>
          <w:tcPr>
            <w:tcW w:w="5454" w:type="dxa"/>
            <w:tcBorders>
              <w:top w:val="single" w:sz="4" w:space="0" w:color="auto"/>
              <w:bottom w:val="single" w:sz="4" w:space="0" w:color="auto"/>
            </w:tcBorders>
          </w:tcPr>
          <w:p w:rsidR="00F164EF" w:rsidRPr="009E5034" w:rsidRDefault="00F164EF" w:rsidP="009E5034">
            <w:pPr>
              <w:pStyle w:val="Tableau"/>
              <w:ind w:left="1"/>
              <w:jc w:val="left"/>
              <w:rPr>
                <w:sz w:val="22"/>
                <w:szCs w:val="22"/>
              </w:rPr>
            </w:pPr>
            <w:r w:rsidRPr="009E5034">
              <w:rPr>
                <w:sz w:val="22"/>
                <w:szCs w:val="22"/>
              </w:rPr>
              <w:t xml:space="preserve"> Forte pression sur les ressources ligneuses pour la satisfaction des besoins de cuissons, 1.5 kg /habitant et par jour.</w:t>
            </w:r>
          </w:p>
          <w:p w:rsidR="00F164EF" w:rsidRPr="009E5034" w:rsidRDefault="00F164EF" w:rsidP="009E5034">
            <w:pPr>
              <w:pStyle w:val="Tableau"/>
              <w:ind w:left="1"/>
              <w:jc w:val="left"/>
              <w:rPr>
                <w:sz w:val="22"/>
                <w:szCs w:val="22"/>
              </w:rPr>
            </w:pPr>
          </w:p>
        </w:tc>
      </w:tr>
      <w:tr w:rsidR="00F164EF" w:rsidRPr="009E5034" w:rsidTr="00183B56">
        <w:tc>
          <w:tcPr>
            <w:tcW w:w="1908" w:type="dxa"/>
            <w:vMerge/>
            <w:tcBorders>
              <w:bottom w:val="single" w:sz="4" w:space="0" w:color="auto"/>
            </w:tcBorders>
          </w:tcPr>
          <w:p w:rsidR="00F164EF" w:rsidRPr="009E5034" w:rsidRDefault="00F164EF" w:rsidP="009E5034">
            <w:pPr>
              <w:pStyle w:val="Tableau"/>
              <w:ind w:left="1"/>
              <w:jc w:val="left"/>
              <w:rPr>
                <w:rStyle w:val="Heading2Char"/>
                <w:rFonts w:ascii="Times New Roman" w:hAnsi="Times New Roman" w:cs="Times New Roman"/>
                <w:sz w:val="22"/>
                <w:szCs w:val="22"/>
              </w:rPr>
            </w:pPr>
          </w:p>
        </w:tc>
        <w:tc>
          <w:tcPr>
            <w:tcW w:w="2160" w:type="dxa"/>
            <w:tcBorders>
              <w:top w:val="single" w:sz="4" w:space="0" w:color="auto"/>
              <w:bottom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Santé</w:t>
            </w:r>
          </w:p>
        </w:tc>
        <w:tc>
          <w:tcPr>
            <w:tcW w:w="5454" w:type="dxa"/>
            <w:tcBorders>
              <w:top w:val="single" w:sz="4" w:space="0" w:color="auto"/>
              <w:bottom w:val="single" w:sz="4" w:space="0" w:color="auto"/>
            </w:tcBorders>
          </w:tcPr>
          <w:p w:rsidR="00F164EF" w:rsidRPr="009E5034" w:rsidRDefault="00F164EF" w:rsidP="009E5034">
            <w:pPr>
              <w:pStyle w:val="Tableau"/>
              <w:ind w:left="1"/>
              <w:jc w:val="left"/>
              <w:rPr>
                <w:sz w:val="22"/>
                <w:szCs w:val="22"/>
              </w:rPr>
            </w:pPr>
            <w:r w:rsidRPr="009E5034">
              <w:rPr>
                <w:sz w:val="22"/>
                <w:szCs w:val="22"/>
              </w:rPr>
              <w:t>Les trois principales atteintes à la santé sont : le paludisme (34,6% de la population atteintes en 2006), les infections respiratoires IRA (10%) et la diarrhée (6,4%),</w:t>
            </w:r>
          </w:p>
          <w:p w:rsidR="00F164EF" w:rsidRPr="009E5034" w:rsidRDefault="00F164EF" w:rsidP="009E5034">
            <w:pPr>
              <w:pStyle w:val="Tableau"/>
              <w:ind w:left="1"/>
              <w:jc w:val="left"/>
              <w:rPr>
                <w:sz w:val="22"/>
                <w:szCs w:val="22"/>
              </w:rPr>
            </w:pPr>
            <w:r w:rsidRPr="009E5034">
              <w:rPr>
                <w:sz w:val="22"/>
                <w:szCs w:val="22"/>
              </w:rPr>
              <w:t xml:space="preserve"> Eloignement des centres des services de santé</w:t>
            </w:r>
          </w:p>
          <w:p w:rsidR="00F164EF" w:rsidRPr="009E5034" w:rsidRDefault="00F164EF" w:rsidP="009E5034">
            <w:pPr>
              <w:pStyle w:val="Tableau"/>
              <w:ind w:left="1"/>
              <w:jc w:val="left"/>
              <w:rPr>
                <w:sz w:val="22"/>
                <w:szCs w:val="22"/>
              </w:rPr>
            </w:pPr>
            <w:r w:rsidRPr="009E5034">
              <w:rPr>
                <w:sz w:val="22"/>
                <w:szCs w:val="22"/>
              </w:rPr>
              <w:t>Indicateurs de la santé publique de la région restent en deçà des normes nationales : maladies infectieuses et parasitaires (le paludisme, l’affection bouche dent, ..) continuent d’y être endémique.</w:t>
            </w:r>
          </w:p>
        </w:tc>
      </w:tr>
    </w:tbl>
    <w:p w:rsidR="00F164EF" w:rsidRPr="009E5034" w:rsidRDefault="00F164EF" w:rsidP="009E5034">
      <w:pPr>
        <w:ind w:left="0"/>
        <w:jc w:val="left"/>
        <w:rPr>
          <w:sz w:val="22"/>
          <w:szCs w:val="22"/>
        </w:rPr>
      </w:pPr>
    </w:p>
    <w:p w:rsidR="00F164EF" w:rsidRPr="009E5034" w:rsidRDefault="00F164EF" w:rsidP="000D57C1">
      <w:pPr>
        <w:pStyle w:val="Heading1"/>
      </w:pPr>
      <w:r w:rsidRPr="009E5034">
        <w:br w:type="page"/>
      </w:r>
      <w:bookmarkStart w:id="147" w:name="_Toc264716124"/>
      <w:bookmarkStart w:id="148" w:name="_Toc289855979"/>
      <w:r w:rsidR="000D57C1">
        <w:t>IV.</w:t>
      </w:r>
      <w:r w:rsidR="000D57C1">
        <w:tab/>
      </w:r>
      <w:r w:rsidRPr="009E5034">
        <w:t>Profil environnemental de la ville de Mopti</w:t>
      </w:r>
      <w:bookmarkEnd w:id="147"/>
      <w:bookmarkEnd w:id="148"/>
    </w:p>
    <w:p w:rsidR="00FC49A7" w:rsidRPr="009E5034" w:rsidRDefault="00FC49A7" w:rsidP="009E5034">
      <w:pPr>
        <w:rPr>
          <w:sz w:val="22"/>
          <w:szCs w:val="22"/>
        </w:rPr>
      </w:pPr>
    </w:p>
    <w:p w:rsidR="00F164EF" w:rsidRPr="009E5034" w:rsidRDefault="00F164EF" w:rsidP="009E5034">
      <w:pPr>
        <w:spacing w:after="240"/>
        <w:ind w:left="0"/>
        <w:jc w:val="left"/>
        <w:rPr>
          <w:rStyle w:val="Strong"/>
          <w:rFonts w:eastAsia="MS Mincho"/>
          <w:sz w:val="22"/>
          <w:szCs w:val="22"/>
        </w:rPr>
      </w:pPr>
      <w:bookmarkStart w:id="149" w:name="_Toc253580373"/>
      <w:bookmarkStart w:id="150" w:name="_Toc261170218"/>
      <w:r w:rsidRPr="009E5034">
        <w:rPr>
          <w:rStyle w:val="Strong"/>
          <w:rFonts w:eastAsia="MS Mincho"/>
          <w:sz w:val="22"/>
          <w:szCs w:val="22"/>
        </w:rPr>
        <w:t>1. Dimension et principales caractéristiques naturelles de la ville</w:t>
      </w:r>
      <w:bookmarkEnd w:id="149"/>
      <w:bookmarkEnd w:id="150"/>
    </w:p>
    <w:p w:rsidR="00F164EF" w:rsidRPr="009E5034" w:rsidRDefault="00F164EF" w:rsidP="009E5034">
      <w:pPr>
        <w:spacing w:before="120" w:after="120"/>
        <w:ind w:left="0"/>
        <w:jc w:val="left"/>
        <w:rPr>
          <w:sz w:val="22"/>
          <w:szCs w:val="22"/>
        </w:rPr>
      </w:pPr>
      <w:r w:rsidRPr="009E5034">
        <w:rPr>
          <w:sz w:val="22"/>
          <w:szCs w:val="22"/>
        </w:rPr>
        <w:t xml:space="preserve">Mopti, 4ème ville du Mali est située à </w:t>
      </w:r>
      <w:smartTag w:uri="urn:schemas-microsoft-com:office:smarttags" w:element="metricconverter">
        <w:smartTagPr>
          <w:attr w:name="ProductID" w:val="650 km"/>
        </w:smartTagPr>
        <w:r w:rsidRPr="009E5034">
          <w:rPr>
            <w:sz w:val="22"/>
            <w:szCs w:val="22"/>
          </w:rPr>
          <w:t>650 km</w:t>
        </w:r>
      </w:smartTag>
      <w:r w:rsidRPr="009E5034">
        <w:rPr>
          <w:sz w:val="22"/>
          <w:szCs w:val="22"/>
        </w:rPr>
        <w:t xml:space="preserve"> au Nord-est de Bamako. Elle doit son développement à une remarquable situation à la confluence Niger-Bani à proximité de l'axe routier qui relie la capitale au Nord-est du pays et au plateau de Bandiagara. </w:t>
      </w:r>
    </w:p>
    <w:p w:rsidR="00F164EF" w:rsidRPr="009E5034" w:rsidRDefault="00F164EF" w:rsidP="009E5034">
      <w:pPr>
        <w:spacing w:before="120" w:after="120"/>
        <w:ind w:left="0"/>
        <w:jc w:val="left"/>
        <w:rPr>
          <w:sz w:val="22"/>
          <w:szCs w:val="22"/>
        </w:rPr>
      </w:pPr>
      <w:r w:rsidRPr="009E5034">
        <w:rPr>
          <w:sz w:val="22"/>
          <w:szCs w:val="22"/>
        </w:rPr>
        <w:t>Le périmètre urbain de cette ville est physiquement limité par l'eau : la construction du sol urbanisé s'est réalisée par un travail de remblaiement considérable le long de digues fixées sur cinq petites buttes échelonnées sur une levée alluviale naturelle du Bani.</w:t>
      </w:r>
    </w:p>
    <w:p w:rsidR="00F164EF" w:rsidRPr="009E5034" w:rsidRDefault="00F164EF" w:rsidP="009E5034">
      <w:pPr>
        <w:spacing w:after="240"/>
        <w:ind w:left="0"/>
        <w:jc w:val="left"/>
        <w:rPr>
          <w:rStyle w:val="Strong"/>
          <w:rFonts w:eastAsia="MS Mincho"/>
          <w:sz w:val="22"/>
          <w:szCs w:val="22"/>
        </w:rPr>
      </w:pPr>
      <w:bookmarkStart w:id="151" w:name="_Toc253580374"/>
      <w:bookmarkStart w:id="152" w:name="_Toc261170219"/>
      <w:r w:rsidRPr="009E5034">
        <w:rPr>
          <w:rStyle w:val="Strong"/>
          <w:rFonts w:eastAsia="MS Mincho"/>
          <w:sz w:val="22"/>
          <w:szCs w:val="22"/>
        </w:rPr>
        <w:t>1.1. Cadre naturel</w:t>
      </w:r>
      <w:bookmarkEnd w:id="151"/>
      <w:bookmarkEnd w:id="152"/>
    </w:p>
    <w:p w:rsidR="00F164EF" w:rsidRPr="009E5034" w:rsidRDefault="00F164EF" w:rsidP="009E5034">
      <w:pPr>
        <w:spacing w:before="120" w:after="120"/>
        <w:ind w:left="0"/>
        <w:jc w:val="left"/>
        <w:rPr>
          <w:sz w:val="22"/>
          <w:szCs w:val="22"/>
        </w:rPr>
      </w:pPr>
      <w:r w:rsidRPr="009E5034">
        <w:rPr>
          <w:sz w:val="22"/>
          <w:szCs w:val="22"/>
        </w:rPr>
        <w:t>Mopti est le chef lieu du cercle du même nom et également capitale de la cinquième région économique du Mali. Elle est située en plein cœur du delta intérieur du Niger, est bordée par la rivière du Bani dont la confluence se situe avec le Niger en aval, au Nord de la ville. Surnommé la Venise malienne en raison de son implantation dans la plaine inondable; Mopti est encerclé par les digues de protection contre les inondations sur une superficie totale de l’ordre de 2,2km².</w:t>
      </w:r>
    </w:p>
    <w:p w:rsidR="00F164EF" w:rsidRPr="009E5034" w:rsidRDefault="00F164EF" w:rsidP="009E5034">
      <w:pPr>
        <w:spacing w:before="120" w:after="120"/>
        <w:ind w:left="0"/>
        <w:jc w:val="left"/>
        <w:rPr>
          <w:sz w:val="22"/>
          <w:szCs w:val="22"/>
        </w:rPr>
      </w:pPr>
      <w:r w:rsidRPr="009E5034">
        <w:rPr>
          <w:sz w:val="22"/>
          <w:szCs w:val="22"/>
        </w:rPr>
        <w:t>Sévaré, localité urbaine, développée pour décongestionner Mopti est située à 13km à l'Est de cette dernière, au bord de la plaine d'inondation ; elle s'étend sur une superficie de 2,8km². Les deux centres, Mopti et Sévaré, sont situés à une altitude moyenne de 268,5m, juste au dessus de la côte de la crue maximum du Bani pour une période de retour de 100 ans, qui est évaluée à 268,2m.</w:t>
      </w:r>
    </w:p>
    <w:p w:rsidR="00F164EF" w:rsidRPr="009E5034" w:rsidRDefault="00F164EF" w:rsidP="009E5034">
      <w:pPr>
        <w:spacing w:after="240"/>
        <w:ind w:left="0"/>
        <w:jc w:val="left"/>
        <w:rPr>
          <w:rStyle w:val="Strong"/>
          <w:rFonts w:eastAsia="MS Mincho"/>
          <w:sz w:val="22"/>
          <w:szCs w:val="22"/>
        </w:rPr>
      </w:pPr>
      <w:bookmarkStart w:id="153" w:name="_Toc253580375"/>
      <w:bookmarkStart w:id="154" w:name="_Toc261170220"/>
      <w:r w:rsidRPr="009E5034">
        <w:rPr>
          <w:rStyle w:val="Strong"/>
          <w:rFonts w:eastAsia="MS Mincho"/>
          <w:sz w:val="22"/>
          <w:szCs w:val="22"/>
        </w:rPr>
        <w:t>1.2. Cadre climatique</w:t>
      </w:r>
      <w:bookmarkEnd w:id="153"/>
      <w:bookmarkEnd w:id="154"/>
    </w:p>
    <w:p w:rsidR="00F164EF" w:rsidRPr="009E5034" w:rsidRDefault="00F164EF" w:rsidP="009E5034">
      <w:pPr>
        <w:spacing w:before="120" w:after="120"/>
        <w:ind w:left="0"/>
        <w:jc w:val="left"/>
        <w:rPr>
          <w:sz w:val="22"/>
          <w:szCs w:val="22"/>
        </w:rPr>
      </w:pPr>
      <w:r w:rsidRPr="009E5034">
        <w:rPr>
          <w:sz w:val="22"/>
          <w:szCs w:val="22"/>
        </w:rPr>
        <w:t xml:space="preserve">Les conditions climatiques sont relativement douces dans la région de Mopti ; la température maximale, enregistrée habituellement au mois de Mai, ne dépasse pratiquement jamais </w:t>
      </w:r>
      <w:smartTag w:uri="urn:schemas-microsoft-com:office:smarttags" w:element="metricconverter">
        <w:smartTagPr>
          <w:attr w:name="ProductID" w:val="33ﾰC"/>
        </w:smartTagPr>
        <w:r w:rsidRPr="009E5034">
          <w:rPr>
            <w:sz w:val="22"/>
            <w:szCs w:val="22"/>
          </w:rPr>
          <w:t>33°C</w:t>
        </w:r>
      </w:smartTag>
      <w:r w:rsidRPr="009E5034">
        <w:rPr>
          <w:sz w:val="22"/>
          <w:szCs w:val="22"/>
        </w:rPr>
        <w:t xml:space="preserve"> et la température minimale enregistrée au mois de Janvier descend rarement au dessous de </w:t>
      </w:r>
      <w:smartTag w:uri="urn:schemas-microsoft-com:office:smarttags" w:element="metricconverter">
        <w:smartTagPr>
          <w:attr w:name="ProductID" w:val="22ﾰC"/>
        </w:smartTagPr>
        <w:r w:rsidRPr="009E5034">
          <w:rPr>
            <w:sz w:val="22"/>
            <w:szCs w:val="22"/>
          </w:rPr>
          <w:t>22°C</w:t>
        </w:r>
      </w:smartTag>
      <w:r w:rsidRPr="009E5034">
        <w:rPr>
          <w:sz w:val="22"/>
          <w:szCs w:val="22"/>
        </w:rPr>
        <w:t xml:space="preserve">. La moyenne annuelle est de 27.9°C. La pluviométrie annuelle moyenne est de </w:t>
      </w:r>
      <w:smartTag w:uri="urn:schemas-microsoft-com:office:smarttags" w:element="metricconverter">
        <w:smartTagPr>
          <w:attr w:name="ProductID" w:val="552 mm"/>
        </w:smartTagPr>
        <w:r w:rsidRPr="009E5034">
          <w:rPr>
            <w:sz w:val="22"/>
            <w:szCs w:val="22"/>
          </w:rPr>
          <w:t>552 mm</w:t>
        </w:r>
      </w:smartTag>
      <w:r w:rsidRPr="009E5034">
        <w:rPr>
          <w:sz w:val="22"/>
          <w:szCs w:val="22"/>
        </w:rPr>
        <w:t xml:space="preserve">, la saison des pluies s’étend de Juin à Septembre.   </w:t>
      </w:r>
    </w:p>
    <w:p w:rsidR="00F164EF" w:rsidRPr="009E5034" w:rsidRDefault="00F164EF" w:rsidP="009E5034">
      <w:pPr>
        <w:spacing w:after="240"/>
        <w:ind w:left="0"/>
        <w:jc w:val="left"/>
        <w:rPr>
          <w:rStyle w:val="Strong"/>
          <w:rFonts w:eastAsia="MS Mincho"/>
          <w:sz w:val="22"/>
          <w:szCs w:val="22"/>
        </w:rPr>
      </w:pPr>
      <w:bookmarkStart w:id="155" w:name="_Toc253580376"/>
      <w:bookmarkStart w:id="156" w:name="_Toc261170221"/>
      <w:r w:rsidRPr="009E5034">
        <w:rPr>
          <w:rStyle w:val="Strong"/>
          <w:rFonts w:eastAsia="MS Mincho"/>
          <w:sz w:val="22"/>
          <w:szCs w:val="22"/>
        </w:rPr>
        <w:t>2. Caractéristiques socioéconomiques de la population</w:t>
      </w:r>
      <w:bookmarkEnd w:id="155"/>
      <w:bookmarkEnd w:id="156"/>
    </w:p>
    <w:p w:rsidR="00F164EF" w:rsidRPr="009E5034" w:rsidRDefault="00F164EF" w:rsidP="009E5034">
      <w:pPr>
        <w:spacing w:after="240"/>
        <w:ind w:left="0"/>
        <w:jc w:val="left"/>
        <w:rPr>
          <w:rStyle w:val="Strong"/>
          <w:rFonts w:eastAsia="MS Mincho"/>
          <w:sz w:val="22"/>
          <w:szCs w:val="22"/>
        </w:rPr>
      </w:pPr>
      <w:bookmarkStart w:id="157" w:name="_Toc253580377"/>
      <w:bookmarkStart w:id="158" w:name="_Toc261170222"/>
      <w:r w:rsidRPr="009E5034">
        <w:rPr>
          <w:rStyle w:val="Strong"/>
          <w:rFonts w:eastAsia="MS Mincho"/>
          <w:sz w:val="22"/>
          <w:szCs w:val="22"/>
        </w:rPr>
        <w:t>2.1. Population et dynamique démographique</w:t>
      </w:r>
      <w:bookmarkEnd w:id="157"/>
      <w:bookmarkEnd w:id="158"/>
    </w:p>
    <w:p w:rsidR="00F164EF" w:rsidRPr="009E5034" w:rsidRDefault="00F164EF" w:rsidP="009E5034">
      <w:pPr>
        <w:spacing w:before="120" w:after="120"/>
        <w:ind w:left="0"/>
        <w:jc w:val="left"/>
        <w:rPr>
          <w:sz w:val="22"/>
          <w:szCs w:val="22"/>
        </w:rPr>
      </w:pPr>
      <w:r w:rsidRPr="009E5034">
        <w:rPr>
          <w:sz w:val="22"/>
          <w:szCs w:val="22"/>
        </w:rPr>
        <w:t>La ville de Mopti est un véritable creuset de civilisation et carrefour de rencontres ; sa population présente une grande diversité, elle est constituée essentiellement de Bozo, Peulh, Bambara, Dogon, Mossi, Sarakolé, Sonrhaï, Tamasheq, Bobo, Samogo et Minianka. Le peulh est le parler dominant secondé par le Bozo. La population globale est estimée à environ 141 296 habitants selon le dernier recensement réalisé en 2009.</w:t>
      </w:r>
    </w:p>
    <w:p w:rsidR="00F164EF" w:rsidRPr="009E5034" w:rsidRDefault="00F164EF" w:rsidP="009E5034">
      <w:pPr>
        <w:spacing w:after="240"/>
        <w:ind w:left="0"/>
        <w:jc w:val="left"/>
        <w:rPr>
          <w:rStyle w:val="Strong"/>
          <w:rFonts w:eastAsia="MS Mincho"/>
          <w:sz w:val="22"/>
          <w:szCs w:val="22"/>
        </w:rPr>
      </w:pPr>
      <w:bookmarkStart w:id="159" w:name="_Toc253580378"/>
      <w:bookmarkStart w:id="160" w:name="_Toc261170223"/>
      <w:r w:rsidRPr="009E5034">
        <w:rPr>
          <w:rStyle w:val="Strong"/>
          <w:rFonts w:eastAsia="MS Mincho"/>
          <w:sz w:val="22"/>
          <w:szCs w:val="22"/>
        </w:rPr>
        <w:t>2.2. Emplois, revenus et dépenses</w:t>
      </w:r>
      <w:bookmarkEnd w:id="159"/>
      <w:r w:rsidRPr="009E5034">
        <w:rPr>
          <w:rStyle w:val="Strong"/>
          <w:rFonts w:eastAsia="MS Mincho"/>
          <w:sz w:val="22"/>
          <w:szCs w:val="22"/>
        </w:rPr>
        <w:t xml:space="preserve"> des ménages</w:t>
      </w:r>
      <w:bookmarkEnd w:id="160"/>
    </w:p>
    <w:p w:rsidR="00F164EF" w:rsidRPr="009E5034" w:rsidRDefault="00F164EF" w:rsidP="009E5034">
      <w:pPr>
        <w:spacing w:before="120" w:after="120"/>
        <w:ind w:left="0"/>
        <w:jc w:val="left"/>
        <w:rPr>
          <w:sz w:val="22"/>
          <w:szCs w:val="22"/>
        </w:rPr>
      </w:pPr>
      <w:r w:rsidRPr="009E5034">
        <w:rPr>
          <w:sz w:val="22"/>
          <w:szCs w:val="22"/>
        </w:rPr>
        <w:t>Les emplois dans la ville de Mopti se structurent essentiellement autour des activités économiques classiques qui caractérisent la ville et plus particulièrement la pêche et la culture du riz. Les revenus engendrés par de telles activités apparaissent assez limités octroyant à la population à peine les moyens nécessaires pour subvenir aux besoins alimentaires quotidiens.</w:t>
      </w:r>
    </w:p>
    <w:p w:rsidR="00F164EF" w:rsidRPr="009E5034" w:rsidRDefault="00F164EF" w:rsidP="009E5034">
      <w:pPr>
        <w:ind w:left="0"/>
        <w:jc w:val="left"/>
        <w:rPr>
          <w:sz w:val="22"/>
          <w:szCs w:val="22"/>
        </w:rPr>
      </w:pPr>
      <w:r w:rsidRPr="009E5034">
        <w:rPr>
          <w:sz w:val="22"/>
          <w:szCs w:val="22"/>
        </w:rPr>
        <w:t xml:space="preserve">La région enregistre les indicateurs sociodémographiques les plus préoccupants : 12.7% de la population vit en milieu urbain ; près de 44% de la population a moins de 15 ans ; le nombre moyen d’enfant par femme est de 6.4 ; le taux de mortalité infantile est de 142.4 pour mille ; le taux de couverture vaccinale de 23.6% ; 14.6% des ménages ont accès à l’eau potable ; près de 90% des femmes et 86% des hommes sont analphabètes ; les dépenses annuelles moyennes par tête sont de 65 171 FCFA. </w:t>
      </w:r>
    </w:p>
    <w:p w:rsidR="00F164EF" w:rsidRPr="009E5034" w:rsidRDefault="00F164EF" w:rsidP="009E5034">
      <w:pPr>
        <w:ind w:left="0"/>
        <w:jc w:val="left"/>
        <w:rPr>
          <w:sz w:val="22"/>
          <w:szCs w:val="22"/>
        </w:rPr>
      </w:pPr>
    </w:p>
    <w:p w:rsidR="00F164EF" w:rsidRPr="009E5034" w:rsidRDefault="00F164EF" w:rsidP="009E5034">
      <w:pPr>
        <w:spacing w:after="240"/>
        <w:ind w:left="0"/>
        <w:jc w:val="left"/>
        <w:rPr>
          <w:rStyle w:val="Strong"/>
          <w:rFonts w:eastAsia="MS Mincho"/>
          <w:sz w:val="22"/>
          <w:szCs w:val="22"/>
        </w:rPr>
      </w:pPr>
      <w:bookmarkStart w:id="161" w:name="_Toc253580379"/>
      <w:bookmarkStart w:id="162" w:name="_Toc261170224"/>
      <w:r w:rsidRPr="009E5034">
        <w:rPr>
          <w:rStyle w:val="Strong"/>
          <w:rFonts w:eastAsia="MS Mincho"/>
          <w:sz w:val="22"/>
          <w:szCs w:val="22"/>
        </w:rPr>
        <w:t>2.3. Urbanisation et conditions d’habitat</w:t>
      </w:r>
      <w:bookmarkEnd w:id="161"/>
      <w:bookmarkEnd w:id="162"/>
    </w:p>
    <w:p w:rsidR="00F164EF" w:rsidRPr="009E5034" w:rsidRDefault="00F164EF" w:rsidP="009E5034">
      <w:pPr>
        <w:spacing w:before="120" w:after="120"/>
        <w:ind w:left="0"/>
        <w:jc w:val="left"/>
        <w:rPr>
          <w:sz w:val="22"/>
          <w:szCs w:val="22"/>
        </w:rPr>
      </w:pPr>
      <w:r w:rsidRPr="009E5034">
        <w:rPr>
          <w:sz w:val="22"/>
          <w:szCs w:val="22"/>
        </w:rPr>
        <w:t xml:space="preserve">La vieille ville de Mopti très compacte constitue le centre-ville proprement dit. La structure urbaine est caractérisée par un réseau quadrangulaire qui divise toute la surface en îlots ou "carrés" d'une forme régulière et à peu près rectangulaire. Chaque îlot est subdivisé en un certain nombre de "concessions" ou habitations, généralement disposées en rangées de manière à ce que chacune d'elles ait une issue sur la rue. La plupart de ces maisons sont en étage. La densité est très élevée dans le centre ville de Mopti, elle avoisine localement 600 habitants à l’hectare. Cette concentration excessive est amenée à se poursuivre et augmenter dans l’avenir avec le développement du phénomène de morcellement des concessions existantes. </w:t>
      </w:r>
    </w:p>
    <w:p w:rsidR="00F164EF" w:rsidRPr="009E5034" w:rsidRDefault="00F164EF" w:rsidP="009E5034">
      <w:pPr>
        <w:spacing w:before="120" w:after="120"/>
        <w:ind w:left="0"/>
        <w:jc w:val="left"/>
        <w:rPr>
          <w:sz w:val="22"/>
          <w:szCs w:val="22"/>
        </w:rPr>
      </w:pPr>
      <w:r w:rsidRPr="009E5034">
        <w:rPr>
          <w:sz w:val="22"/>
          <w:szCs w:val="22"/>
        </w:rPr>
        <w:t>A Médina-Coura, le lotissement réalisé en 1980 par les services municipaux au sud du quartier n’a pas endigué le processus de congestion du centre de la ville. Médina Coura, préalablement destiné aux déguerpis du bas-fond, est devenu aujourd’hui un quartier sous-équipé et très éloigné du centre ville (</w:t>
      </w:r>
      <w:smartTag w:uri="urn:schemas-microsoft-com:office:smarttags" w:element="metricconverter">
        <w:smartTagPr>
          <w:attr w:name="ProductID" w:val="8 km"/>
        </w:smartTagPr>
        <w:r w:rsidRPr="009E5034">
          <w:rPr>
            <w:sz w:val="22"/>
            <w:szCs w:val="22"/>
          </w:rPr>
          <w:t>8 km</w:t>
        </w:r>
      </w:smartTag>
      <w:r w:rsidRPr="009E5034">
        <w:rPr>
          <w:sz w:val="22"/>
          <w:szCs w:val="22"/>
        </w:rPr>
        <w:t xml:space="preserve">). Son peuplement fait de façon marginale lui donne une allure de cité-dortoir, servant de soupape à l’encombrement de la ville-mère. </w:t>
      </w:r>
    </w:p>
    <w:p w:rsidR="00F164EF" w:rsidRPr="009E5034" w:rsidRDefault="00F164EF" w:rsidP="009E5034">
      <w:pPr>
        <w:spacing w:before="120" w:after="120"/>
        <w:ind w:left="0"/>
        <w:jc w:val="left"/>
        <w:rPr>
          <w:sz w:val="22"/>
          <w:szCs w:val="22"/>
        </w:rPr>
      </w:pPr>
      <w:r w:rsidRPr="009E5034">
        <w:rPr>
          <w:sz w:val="22"/>
          <w:szCs w:val="22"/>
        </w:rPr>
        <w:t xml:space="preserve">Taïkiri complète les quartiers de Mopti Ville. Ce quartier demeure encore à l’état de quasi village. Il constitue, avec Djenedaga, Pera, Mopti Hindé, Bargondaga et Bignat-ville les quartiers non tramés de Mopti Ville. Ces diverses entités exigent de la part des gestionnaires de la commune un grand effort de réelle planification pour le développement. </w:t>
      </w:r>
    </w:p>
    <w:p w:rsidR="00F164EF" w:rsidRPr="009E5034" w:rsidRDefault="00F164EF" w:rsidP="009E5034">
      <w:pPr>
        <w:spacing w:before="120" w:after="120"/>
        <w:ind w:left="0"/>
        <w:jc w:val="left"/>
        <w:rPr>
          <w:sz w:val="22"/>
          <w:szCs w:val="22"/>
        </w:rPr>
      </w:pPr>
      <w:r w:rsidRPr="009E5034">
        <w:rPr>
          <w:sz w:val="22"/>
          <w:szCs w:val="22"/>
        </w:rPr>
        <w:t xml:space="preserve">La superficie moyenne des concessions ne dépasse guère </w:t>
      </w:r>
      <w:smartTag w:uri="urn:schemas-microsoft-com:office:smarttags" w:element="metricconverter">
        <w:smartTagPr>
          <w:attr w:name="ProductID" w:val="200 m2"/>
        </w:smartTagPr>
        <w:r w:rsidRPr="009E5034">
          <w:rPr>
            <w:sz w:val="22"/>
            <w:szCs w:val="22"/>
          </w:rPr>
          <w:t>200 m2</w:t>
        </w:r>
      </w:smartTag>
      <w:r w:rsidRPr="009E5034">
        <w:rPr>
          <w:sz w:val="22"/>
          <w:szCs w:val="22"/>
        </w:rPr>
        <w:t xml:space="preserve"> avec un taux d’occupation de 85%. Par manque de place, les rues sont les lieux de rencontre et de vie sociale et l’habitat précaire prend de l’ampleur dans le tissu urbain. La ville de Mopti connaît aussi une forte proportion d’occupations illégales du domaine. Ce phénomène se retrouve principalement dans les quartiers de la "vieille ville".  </w:t>
      </w:r>
    </w:p>
    <w:p w:rsidR="00F164EF" w:rsidRPr="009E5034" w:rsidRDefault="00F164EF" w:rsidP="009E5034">
      <w:pPr>
        <w:spacing w:before="120" w:after="120"/>
        <w:ind w:left="0"/>
        <w:jc w:val="left"/>
        <w:rPr>
          <w:sz w:val="22"/>
          <w:szCs w:val="22"/>
        </w:rPr>
      </w:pPr>
      <w:r w:rsidRPr="009E5034">
        <w:rPr>
          <w:sz w:val="22"/>
          <w:szCs w:val="22"/>
        </w:rPr>
        <w:t xml:space="preserve">La zone résidentielle, le long du Bani, se caractérise également par sa configuration linéaire dans la disposition des bâtiments distribués en rangées le long d'un quai. Presque tous les édifices sont plongés dans la végétation, assez luxuriante, qui forme une sorte de bande parallèle au quai. De façon globale, avec la grande mosquée et certaines autres disséminées dans la ville, Mopti a une allure singulière qui lui donne un cachet enjoliveur et unique. </w:t>
      </w:r>
    </w:p>
    <w:p w:rsidR="00F164EF" w:rsidRPr="009E5034" w:rsidRDefault="00F164EF" w:rsidP="009E5034">
      <w:pPr>
        <w:spacing w:before="120" w:after="120"/>
        <w:ind w:left="0"/>
        <w:jc w:val="left"/>
        <w:rPr>
          <w:sz w:val="22"/>
          <w:szCs w:val="22"/>
        </w:rPr>
      </w:pPr>
      <w:r w:rsidRPr="009E5034">
        <w:rPr>
          <w:sz w:val="22"/>
          <w:szCs w:val="22"/>
        </w:rPr>
        <w:t xml:space="preserve">La ville de Sévaré, située à 13km de Mopti-ville, formée autour du carrefour des routes reliant Mopti au reste du pays, se caractérise par sa structure quadrangulaire qui divise toute la surface en îlots de forme rectangulaire. La ville, composée de lotissements récents, possède de vastes espaces publics et les concessions sont séparées par des murs et disposent d'une grande cour. Les rues, plus larges que celles de Mopti, sont de dimensions variées. Sa structure urbaine est totalement différente de celle de Mopti.  Le type de construction le plus répandu est la cour, modèle traditionnel, qui caractérise l'architecture de la villa (80 % des concessions). La superficie minimale des concessions est de </w:t>
      </w:r>
      <w:smartTag w:uri="urn:schemas-microsoft-com:office:smarttags" w:element="metricconverter">
        <w:smartTagPr>
          <w:attr w:name="ProductID" w:val="420 m2"/>
        </w:smartTagPr>
        <w:r w:rsidRPr="009E5034">
          <w:rPr>
            <w:sz w:val="22"/>
            <w:szCs w:val="22"/>
          </w:rPr>
          <w:t>420 m2</w:t>
        </w:r>
      </w:smartTag>
      <w:r w:rsidRPr="009E5034">
        <w:rPr>
          <w:sz w:val="22"/>
          <w:szCs w:val="22"/>
        </w:rPr>
        <w:t>. Les étages en dur et les villas sont très rares. 77,9 % des maisons sont construites en banco et 16,4 % en construction semi-dure. C'est pourquoi les habitants sont obligés de remblayer chaque année autour des maisons pour les protéger contre les eaux pluviales qui pourraient provoquer leur effondrement.  Ces remblais sont très coûteux et les chefs de ménages cotisent au début de chaque hivernage pour les effectuer (</w:t>
      </w:r>
      <w:smartTag w:uri="urn:schemas-microsoft-com:office:smarttags" w:element="metricconverter">
        <w:smartTagPr>
          <w:attr w:name="ProductID" w:val="500 F"/>
        </w:smartTagPr>
        <w:r w:rsidRPr="009E5034">
          <w:rPr>
            <w:sz w:val="22"/>
            <w:szCs w:val="22"/>
          </w:rPr>
          <w:t>500 F</w:t>
        </w:r>
      </w:smartTag>
      <w:r w:rsidRPr="009E5034">
        <w:rPr>
          <w:sz w:val="22"/>
          <w:szCs w:val="22"/>
        </w:rPr>
        <w:t xml:space="preserve">.CFA par chef de ménage). Lorsque les dépenses sont faites individuellement, elles atteignent souvent </w:t>
      </w:r>
      <w:smartTag w:uri="urn:schemas-microsoft-com:office:smarttags" w:element="metricconverter">
        <w:smartTagPr>
          <w:attr w:name="ProductID" w:val="20.000 F"/>
        </w:smartTagPr>
        <w:r w:rsidRPr="009E5034">
          <w:rPr>
            <w:sz w:val="22"/>
            <w:szCs w:val="22"/>
          </w:rPr>
          <w:t>20.000 F</w:t>
        </w:r>
      </w:smartTag>
      <w:r w:rsidRPr="009E5034">
        <w:rPr>
          <w:sz w:val="22"/>
          <w:szCs w:val="22"/>
        </w:rPr>
        <w:t xml:space="preserve">.CFA par an et par ménage. </w:t>
      </w:r>
    </w:p>
    <w:p w:rsidR="00F164EF" w:rsidRPr="009E5034" w:rsidRDefault="00F164EF" w:rsidP="009E5034">
      <w:pPr>
        <w:spacing w:after="240"/>
        <w:ind w:left="0"/>
        <w:jc w:val="left"/>
        <w:rPr>
          <w:rStyle w:val="Strong"/>
          <w:rFonts w:eastAsia="MS Mincho"/>
          <w:sz w:val="22"/>
          <w:szCs w:val="22"/>
        </w:rPr>
      </w:pPr>
      <w:bookmarkStart w:id="163" w:name="_Toc253580380"/>
      <w:bookmarkStart w:id="164" w:name="_Toc261170225"/>
      <w:r w:rsidRPr="009E5034">
        <w:rPr>
          <w:rStyle w:val="Strong"/>
          <w:rFonts w:eastAsia="MS Mincho"/>
          <w:sz w:val="22"/>
          <w:szCs w:val="22"/>
        </w:rPr>
        <w:t>2.4. Alphabétisation</w:t>
      </w:r>
      <w:bookmarkEnd w:id="163"/>
      <w:bookmarkEnd w:id="164"/>
    </w:p>
    <w:p w:rsidR="00F164EF" w:rsidRPr="009E5034" w:rsidRDefault="00F164EF" w:rsidP="009E5034">
      <w:pPr>
        <w:ind w:left="0"/>
        <w:jc w:val="left"/>
        <w:rPr>
          <w:sz w:val="22"/>
          <w:szCs w:val="22"/>
        </w:rPr>
      </w:pPr>
      <w:r w:rsidRPr="009E5034">
        <w:rPr>
          <w:sz w:val="22"/>
          <w:szCs w:val="22"/>
        </w:rPr>
        <w:t>L’analyse des données collectées depuis la DRPSIAP, montre que la population scolarisable dans la région de Mopti est en augmentation continue. Elle a dépassé les 300 000 individus en 2006. Seulement à peine la moitié de cette population fréquente réellement l’école d’après ces statistiques.</w:t>
      </w:r>
    </w:p>
    <w:p w:rsidR="00F164EF" w:rsidRPr="009E5034" w:rsidRDefault="00F164EF" w:rsidP="009E5034">
      <w:pPr>
        <w:spacing w:before="120" w:after="120"/>
        <w:ind w:left="0"/>
        <w:jc w:val="left"/>
        <w:rPr>
          <w:sz w:val="22"/>
          <w:szCs w:val="22"/>
        </w:rPr>
      </w:pPr>
      <w:r w:rsidRPr="009E5034">
        <w:rPr>
          <w:sz w:val="22"/>
          <w:szCs w:val="22"/>
        </w:rPr>
        <w:t>A l’échelle de la population adulte le taux d’analphabétisme demeure excessivement élevé, il</w:t>
      </w:r>
      <w:r w:rsidR="000E77D8" w:rsidRPr="009E5034">
        <w:rPr>
          <w:sz w:val="22"/>
          <w:szCs w:val="22"/>
        </w:rPr>
        <w:t xml:space="preserve"> dépasse 80% auprès des femmes.</w:t>
      </w:r>
    </w:p>
    <w:p w:rsidR="00F164EF" w:rsidRPr="009E5034" w:rsidRDefault="00F164EF" w:rsidP="009E5034">
      <w:pPr>
        <w:ind w:left="0"/>
        <w:jc w:val="left"/>
        <w:rPr>
          <w:rStyle w:val="Emphasis"/>
          <w:sz w:val="22"/>
          <w:szCs w:val="22"/>
        </w:rPr>
      </w:pPr>
      <w:r w:rsidRPr="009E5034">
        <w:rPr>
          <w:rStyle w:val="Emphasis"/>
          <w:sz w:val="22"/>
          <w:szCs w:val="22"/>
        </w:rPr>
        <w:t xml:space="preserve">Tableau A3.1 : </w:t>
      </w:r>
      <w:bookmarkStart w:id="165" w:name="_Toc252453611"/>
      <w:r w:rsidRPr="009E5034">
        <w:rPr>
          <w:rStyle w:val="Emphasis"/>
          <w:sz w:val="22"/>
          <w:szCs w:val="22"/>
        </w:rPr>
        <w:t>Taux brute de scolarisation</w:t>
      </w:r>
      <w:bookmarkEnd w:id="165"/>
      <w:r w:rsidRPr="009E5034">
        <w:rPr>
          <w:rStyle w:val="Emphasis"/>
          <w:sz w:val="22"/>
          <w:szCs w:val="22"/>
        </w:rPr>
        <w:t>, Source : DRPSIAP de Mopti et Académies de Mopti.</w:t>
      </w:r>
    </w:p>
    <w:tbl>
      <w:tblPr>
        <w:tblW w:w="5000" w:type="pct"/>
        <w:jc w:val="center"/>
        <w:tblCellMar>
          <w:left w:w="70" w:type="dxa"/>
          <w:right w:w="70" w:type="dxa"/>
        </w:tblCellMar>
        <w:tblLook w:val="0000"/>
      </w:tblPr>
      <w:tblGrid>
        <w:gridCol w:w="3069"/>
        <w:gridCol w:w="2310"/>
        <w:gridCol w:w="1448"/>
        <w:gridCol w:w="2339"/>
      </w:tblGrid>
      <w:tr w:rsidR="00F164EF" w:rsidRPr="009E5034" w:rsidTr="00183B56">
        <w:trPr>
          <w:trHeight w:val="893"/>
          <w:jc w:val="center"/>
        </w:trPr>
        <w:tc>
          <w:tcPr>
            <w:tcW w:w="1674" w:type="pct"/>
            <w:tcBorders>
              <w:top w:val="single" w:sz="4" w:space="0" w:color="auto"/>
              <w:left w:val="single" w:sz="4" w:space="0" w:color="auto"/>
              <w:bottom w:val="single" w:sz="4" w:space="0" w:color="auto"/>
              <w:right w:val="single" w:sz="4" w:space="0" w:color="auto"/>
              <w:tl2br w:val="single" w:sz="4" w:space="0" w:color="auto"/>
            </w:tcBorders>
            <w:shd w:val="clear" w:color="auto" w:fill="FFFFFF"/>
            <w:vAlign w:val="center"/>
          </w:tcPr>
          <w:p w:rsidR="00F164EF" w:rsidRPr="009E5034" w:rsidRDefault="00F164EF" w:rsidP="009E5034">
            <w:pPr>
              <w:pStyle w:val="Tableau"/>
              <w:ind w:left="1"/>
              <w:jc w:val="left"/>
              <w:rPr>
                <w:sz w:val="22"/>
                <w:szCs w:val="22"/>
              </w:rPr>
            </w:pPr>
            <w:r w:rsidRPr="009E5034">
              <w:rPr>
                <w:sz w:val="22"/>
                <w:szCs w:val="22"/>
              </w:rPr>
              <w:t>Effectifs</w:t>
            </w:r>
          </w:p>
          <w:p w:rsidR="00F164EF" w:rsidRPr="009E5034" w:rsidRDefault="00F164EF" w:rsidP="009E5034">
            <w:pPr>
              <w:pStyle w:val="Tableau"/>
              <w:ind w:left="1"/>
              <w:jc w:val="left"/>
              <w:rPr>
                <w:sz w:val="22"/>
                <w:szCs w:val="22"/>
              </w:rPr>
            </w:pPr>
          </w:p>
          <w:p w:rsidR="00F164EF" w:rsidRPr="009E5034" w:rsidRDefault="00F164EF" w:rsidP="009E5034">
            <w:pPr>
              <w:pStyle w:val="Tableau"/>
              <w:ind w:left="1"/>
              <w:jc w:val="left"/>
              <w:rPr>
                <w:sz w:val="22"/>
                <w:szCs w:val="22"/>
              </w:rPr>
            </w:pPr>
            <w:r w:rsidRPr="009E5034">
              <w:rPr>
                <w:sz w:val="22"/>
                <w:szCs w:val="22"/>
              </w:rPr>
              <w:t>Années Scolaires</w:t>
            </w:r>
          </w:p>
        </w:tc>
        <w:tc>
          <w:tcPr>
            <w:tcW w:w="1260" w:type="pct"/>
            <w:tcBorders>
              <w:top w:val="single" w:sz="4" w:space="0" w:color="auto"/>
              <w:left w:val="nil"/>
              <w:bottom w:val="single" w:sz="4" w:space="0" w:color="auto"/>
              <w:right w:val="single" w:sz="4" w:space="0" w:color="auto"/>
            </w:tcBorders>
            <w:shd w:val="clear" w:color="auto" w:fill="FFFFFF"/>
            <w:vAlign w:val="center"/>
          </w:tcPr>
          <w:p w:rsidR="00F164EF" w:rsidRPr="009E5034" w:rsidRDefault="00F164EF" w:rsidP="009E5034">
            <w:pPr>
              <w:pStyle w:val="Tableau"/>
              <w:ind w:left="1"/>
              <w:jc w:val="left"/>
              <w:rPr>
                <w:sz w:val="22"/>
                <w:szCs w:val="22"/>
              </w:rPr>
            </w:pPr>
            <w:r w:rsidRPr="009E5034">
              <w:rPr>
                <w:sz w:val="22"/>
                <w:szCs w:val="22"/>
              </w:rPr>
              <w:t>Population scolarisable 7-12 ans</w:t>
            </w:r>
          </w:p>
        </w:tc>
        <w:tc>
          <w:tcPr>
            <w:tcW w:w="790" w:type="pct"/>
            <w:tcBorders>
              <w:top w:val="single" w:sz="4" w:space="0" w:color="auto"/>
              <w:left w:val="nil"/>
              <w:bottom w:val="single" w:sz="4" w:space="0" w:color="auto"/>
              <w:right w:val="single" w:sz="4" w:space="0" w:color="auto"/>
            </w:tcBorders>
            <w:shd w:val="clear" w:color="auto" w:fill="FFFFFF"/>
            <w:vAlign w:val="center"/>
          </w:tcPr>
          <w:p w:rsidR="00F164EF" w:rsidRPr="009E5034" w:rsidRDefault="00F164EF" w:rsidP="009E5034">
            <w:pPr>
              <w:pStyle w:val="Tableau"/>
              <w:ind w:left="1"/>
              <w:jc w:val="left"/>
              <w:rPr>
                <w:sz w:val="22"/>
                <w:szCs w:val="22"/>
              </w:rPr>
            </w:pPr>
            <w:r w:rsidRPr="009E5034">
              <w:rPr>
                <w:sz w:val="22"/>
                <w:szCs w:val="22"/>
              </w:rPr>
              <w:t>Population scolaire</w:t>
            </w:r>
          </w:p>
        </w:tc>
        <w:tc>
          <w:tcPr>
            <w:tcW w:w="1276" w:type="pct"/>
            <w:tcBorders>
              <w:top w:val="single" w:sz="4" w:space="0" w:color="auto"/>
              <w:left w:val="nil"/>
              <w:bottom w:val="single" w:sz="4" w:space="0" w:color="auto"/>
              <w:right w:val="single" w:sz="4" w:space="0" w:color="auto"/>
            </w:tcBorders>
            <w:shd w:val="clear" w:color="auto" w:fill="FFFFFF"/>
            <w:vAlign w:val="center"/>
          </w:tcPr>
          <w:p w:rsidR="00F164EF" w:rsidRPr="009E5034" w:rsidRDefault="00F164EF" w:rsidP="009E5034">
            <w:pPr>
              <w:pStyle w:val="Tableau"/>
              <w:ind w:left="1"/>
              <w:jc w:val="left"/>
              <w:rPr>
                <w:sz w:val="22"/>
                <w:szCs w:val="22"/>
              </w:rPr>
            </w:pPr>
            <w:r w:rsidRPr="009E5034">
              <w:rPr>
                <w:sz w:val="22"/>
                <w:szCs w:val="22"/>
              </w:rPr>
              <w:t xml:space="preserve">Taux Brute de Scolarisation </w:t>
            </w:r>
          </w:p>
        </w:tc>
      </w:tr>
      <w:tr w:rsidR="00F164EF" w:rsidRPr="009E5034" w:rsidTr="00183B56">
        <w:trPr>
          <w:trHeight w:val="218"/>
          <w:jc w:val="center"/>
        </w:trPr>
        <w:tc>
          <w:tcPr>
            <w:tcW w:w="1674" w:type="pct"/>
            <w:tcBorders>
              <w:top w:val="nil"/>
              <w:left w:val="single" w:sz="4" w:space="0" w:color="auto"/>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sz w:val="22"/>
                <w:szCs w:val="22"/>
              </w:rPr>
            </w:pPr>
            <w:r w:rsidRPr="009E5034">
              <w:rPr>
                <w:sz w:val="22"/>
                <w:szCs w:val="22"/>
              </w:rPr>
              <w:t>2001-2002</w:t>
            </w:r>
          </w:p>
        </w:tc>
        <w:tc>
          <w:tcPr>
            <w:tcW w:w="1260" w:type="pct"/>
            <w:tcBorders>
              <w:top w:val="nil"/>
              <w:left w:val="nil"/>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sz w:val="22"/>
                <w:szCs w:val="22"/>
              </w:rPr>
            </w:pPr>
            <w:r w:rsidRPr="009E5034">
              <w:rPr>
                <w:sz w:val="22"/>
                <w:szCs w:val="22"/>
              </w:rPr>
              <w:t>273 349</w:t>
            </w:r>
          </w:p>
        </w:tc>
        <w:tc>
          <w:tcPr>
            <w:tcW w:w="790" w:type="pct"/>
            <w:tcBorders>
              <w:top w:val="nil"/>
              <w:left w:val="nil"/>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sz w:val="22"/>
                <w:szCs w:val="22"/>
              </w:rPr>
            </w:pPr>
            <w:r w:rsidRPr="009E5034">
              <w:rPr>
                <w:sz w:val="22"/>
                <w:szCs w:val="22"/>
              </w:rPr>
              <w:t>59 789</w:t>
            </w:r>
          </w:p>
        </w:tc>
        <w:tc>
          <w:tcPr>
            <w:tcW w:w="1276" w:type="pct"/>
            <w:tcBorders>
              <w:top w:val="nil"/>
              <w:left w:val="nil"/>
              <w:bottom w:val="single" w:sz="4" w:space="0" w:color="auto"/>
              <w:right w:val="single" w:sz="4" w:space="0" w:color="auto"/>
            </w:tcBorders>
            <w:shd w:val="clear" w:color="auto" w:fill="FFFFFF"/>
            <w:noWrap/>
            <w:vAlign w:val="bottom"/>
          </w:tcPr>
          <w:p w:rsidR="00F164EF" w:rsidRPr="009E5034" w:rsidRDefault="00F164EF" w:rsidP="009E5034">
            <w:pPr>
              <w:pStyle w:val="Tableau"/>
              <w:ind w:left="1"/>
              <w:jc w:val="left"/>
              <w:rPr>
                <w:b/>
                <w:sz w:val="22"/>
                <w:szCs w:val="22"/>
              </w:rPr>
            </w:pPr>
            <w:r w:rsidRPr="009E5034">
              <w:rPr>
                <w:b/>
                <w:sz w:val="22"/>
                <w:szCs w:val="22"/>
              </w:rPr>
              <w:t>21,87 %</w:t>
            </w:r>
          </w:p>
        </w:tc>
      </w:tr>
      <w:tr w:rsidR="00F164EF" w:rsidRPr="009E5034" w:rsidTr="00183B56">
        <w:trPr>
          <w:trHeight w:val="133"/>
          <w:jc w:val="center"/>
        </w:trPr>
        <w:tc>
          <w:tcPr>
            <w:tcW w:w="1674" w:type="pct"/>
            <w:tcBorders>
              <w:top w:val="nil"/>
              <w:left w:val="single" w:sz="4" w:space="0" w:color="auto"/>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sz w:val="22"/>
                <w:szCs w:val="22"/>
              </w:rPr>
            </w:pPr>
            <w:r w:rsidRPr="009E5034">
              <w:rPr>
                <w:sz w:val="22"/>
                <w:szCs w:val="22"/>
              </w:rPr>
              <w:t>2002-2003</w:t>
            </w:r>
          </w:p>
        </w:tc>
        <w:tc>
          <w:tcPr>
            <w:tcW w:w="1260" w:type="pct"/>
            <w:tcBorders>
              <w:top w:val="nil"/>
              <w:left w:val="nil"/>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sz w:val="22"/>
                <w:szCs w:val="22"/>
              </w:rPr>
            </w:pPr>
            <w:r w:rsidRPr="009E5034">
              <w:rPr>
                <w:sz w:val="22"/>
                <w:szCs w:val="22"/>
              </w:rPr>
              <w:t>280 874</w:t>
            </w:r>
          </w:p>
        </w:tc>
        <w:tc>
          <w:tcPr>
            <w:tcW w:w="790" w:type="pct"/>
            <w:tcBorders>
              <w:top w:val="nil"/>
              <w:left w:val="nil"/>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sz w:val="22"/>
                <w:szCs w:val="22"/>
              </w:rPr>
            </w:pPr>
            <w:r w:rsidRPr="009E5034">
              <w:rPr>
                <w:sz w:val="22"/>
                <w:szCs w:val="22"/>
              </w:rPr>
              <w:t>64 971</w:t>
            </w:r>
          </w:p>
        </w:tc>
        <w:tc>
          <w:tcPr>
            <w:tcW w:w="1276" w:type="pct"/>
            <w:tcBorders>
              <w:top w:val="nil"/>
              <w:left w:val="nil"/>
              <w:bottom w:val="single" w:sz="4" w:space="0" w:color="auto"/>
              <w:right w:val="single" w:sz="4" w:space="0" w:color="auto"/>
            </w:tcBorders>
            <w:shd w:val="clear" w:color="auto" w:fill="FFFFFF"/>
            <w:noWrap/>
            <w:vAlign w:val="bottom"/>
          </w:tcPr>
          <w:p w:rsidR="00F164EF" w:rsidRPr="009E5034" w:rsidRDefault="00F164EF" w:rsidP="009E5034">
            <w:pPr>
              <w:pStyle w:val="Tableau"/>
              <w:ind w:left="1"/>
              <w:jc w:val="left"/>
              <w:rPr>
                <w:b/>
                <w:sz w:val="22"/>
                <w:szCs w:val="22"/>
              </w:rPr>
            </w:pPr>
            <w:r w:rsidRPr="009E5034">
              <w:rPr>
                <w:b/>
                <w:sz w:val="22"/>
                <w:szCs w:val="22"/>
              </w:rPr>
              <w:t>23,13 %</w:t>
            </w:r>
          </w:p>
        </w:tc>
      </w:tr>
      <w:tr w:rsidR="00F164EF" w:rsidRPr="009E5034" w:rsidTr="00183B56">
        <w:trPr>
          <w:trHeight w:val="240"/>
          <w:jc w:val="center"/>
        </w:trPr>
        <w:tc>
          <w:tcPr>
            <w:tcW w:w="1674" w:type="pct"/>
            <w:tcBorders>
              <w:top w:val="nil"/>
              <w:left w:val="single" w:sz="4" w:space="0" w:color="auto"/>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sz w:val="22"/>
                <w:szCs w:val="22"/>
              </w:rPr>
            </w:pPr>
            <w:r w:rsidRPr="009E5034">
              <w:rPr>
                <w:sz w:val="22"/>
                <w:szCs w:val="22"/>
              </w:rPr>
              <w:t>2003-2004</w:t>
            </w:r>
          </w:p>
        </w:tc>
        <w:tc>
          <w:tcPr>
            <w:tcW w:w="1260" w:type="pct"/>
            <w:tcBorders>
              <w:top w:val="nil"/>
              <w:left w:val="nil"/>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sz w:val="22"/>
                <w:szCs w:val="22"/>
              </w:rPr>
            </w:pPr>
            <w:r w:rsidRPr="009E5034">
              <w:rPr>
                <w:sz w:val="22"/>
                <w:szCs w:val="22"/>
              </w:rPr>
              <w:t>288 668</w:t>
            </w:r>
          </w:p>
        </w:tc>
        <w:tc>
          <w:tcPr>
            <w:tcW w:w="790" w:type="pct"/>
            <w:tcBorders>
              <w:top w:val="nil"/>
              <w:left w:val="nil"/>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sz w:val="22"/>
                <w:szCs w:val="22"/>
              </w:rPr>
            </w:pPr>
            <w:r w:rsidRPr="009E5034">
              <w:rPr>
                <w:sz w:val="22"/>
                <w:szCs w:val="22"/>
              </w:rPr>
              <w:t>91 129</w:t>
            </w:r>
          </w:p>
        </w:tc>
        <w:tc>
          <w:tcPr>
            <w:tcW w:w="1276" w:type="pct"/>
            <w:tcBorders>
              <w:top w:val="nil"/>
              <w:left w:val="nil"/>
              <w:bottom w:val="single" w:sz="4" w:space="0" w:color="auto"/>
              <w:right w:val="single" w:sz="4" w:space="0" w:color="auto"/>
            </w:tcBorders>
            <w:shd w:val="clear" w:color="auto" w:fill="FFFFFF"/>
            <w:noWrap/>
            <w:vAlign w:val="bottom"/>
          </w:tcPr>
          <w:p w:rsidR="00F164EF" w:rsidRPr="009E5034" w:rsidRDefault="00F164EF" w:rsidP="009E5034">
            <w:pPr>
              <w:pStyle w:val="Tableau"/>
              <w:ind w:left="1"/>
              <w:jc w:val="left"/>
              <w:rPr>
                <w:b/>
                <w:sz w:val="22"/>
                <w:szCs w:val="22"/>
              </w:rPr>
            </w:pPr>
            <w:r w:rsidRPr="009E5034">
              <w:rPr>
                <w:b/>
                <w:sz w:val="22"/>
                <w:szCs w:val="22"/>
              </w:rPr>
              <w:t>31,57 %</w:t>
            </w:r>
          </w:p>
        </w:tc>
      </w:tr>
      <w:tr w:rsidR="00F164EF" w:rsidRPr="009E5034" w:rsidTr="00183B56">
        <w:trPr>
          <w:trHeight w:val="168"/>
          <w:jc w:val="center"/>
        </w:trPr>
        <w:tc>
          <w:tcPr>
            <w:tcW w:w="1674" w:type="pct"/>
            <w:tcBorders>
              <w:top w:val="nil"/>
              <w:left w:val="single" w:sz="4" w:space="0" w:color="auto"/>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sz w:val="22"/>
                <w:szCs w:val="22"/>
              </w:rPr>
            </w:pPr>
            <w:r w:rsidRPr="009E5034">
              <w:rPr>
                <w:sz w:val="22"/>
                <w:szCs w:val="22"/>
              </w:rPr>
              <w:t>2004-2005</w:t>
            </w:r>
          </w:p>
        </w:tc>
        <w:tc>
          <w:tcPr>
            <w:tcW w:w="1260" w:type="pct"/>
            <w:tcBorders>
              <w:top w:val="nil"/>
              <w:left w:val="nil"/>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sz w:val="22"/>
                <w:szCs w:val="22"/>
              </w:rPr>
            </w:pPr>
            <w:r w:rsidRPr="009E5034">
              <w:rPr>
                <w:sz w:val="22"/>
                <w:szCs w:val="22"/>
              </w:rPr>
              <w:t>296 577</w:t>
            </w:r>
          </w:p>
        </w:tc>
        <w:tc>
          <w:tcPr>
            <w:tcW w:w="790" w:type="pct"/>
            <w:tcBorders>
              <w:top w:val="nil"/>
              <w:left w:val="nil"/>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sz w:val="22"/>
                <w:szCs w:val="22"/>
              </w:rPr>
            </w:pPr>
            <w:r w:rsidRPr="009E5034">
              <w:rPr>
                <w:sz w:val="22"/>
                <w:szCs w:val="22"/>
              </w:rPr>
              <w:t>151 156</w:t>
            </w:r>
          </w:p>
        </w:tc>
        <w:tc>
          <w:tcPr>
            <w:tcW w:w="1276" w:type="pct"/>
            <w:tcBorders>
              <w:top w:val="nil"/>
              <w:left w:val="nil"/>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b/>
                <w:sz w:val="22"/>
                <w:szCs w:val="22"/>
              </w:rPr>
            </w:pPr>
            <w:r w:rsidRPr="009E5034">
              <w:rPr>
                <w:b/>
                <w:sz w:val="22"/>
                <w:szCs w:val="22"/>
              </w:rPr>
              <w:t>50,97 %</w:t>
            </w:r>
          </w:p>
        </w:tc>
      </w:tr>
      <w:tr w:rsidR="00F164EF" w:rsidRPr="009E5034" w:rsidTr="00183B56">
        <w:trPr>
          <w:trHeight w:val="96"/>
          <w:jc w:val="center"/>
        </w:trPr>
        <w:tc>
          <w:tcPr>
            <w:tcW w:w="1674" w:type="pct"/>
            <w:tcBorders>
              <w:top w:val="nil"/>
              <w:left w:val="single" w:sz="4" w:space="0" w:color="auto"/>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sz w:val="22"/>
                <w:szCs w:val="22"/>
              </w:rPr>
            </w:pPr>
            <w:r w:rsidRPr="009E5034">
              <w:rPr>
                <w:sz w:val="22"/>
                <w:szCs w:val="22"/>
              </w:rPr>
              <w:t>2005-2006</w:t>
            </w:r>
          </w:p>
        </w:tc>
        <w:tc>
          <w:tcPr>
            <w:tcW w:w="1260" w:type="pct"/>
            <w:tcBorders>
              <w:top w:val="nil"/>
              <w:left w:val="nil"/>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sz w:val="22"/>
                <w:szCs w:val="22"/>
              </w:rPr>
            </w:pPr>
            <w:r w:rsidRPr="009E5034">
              <w:rPr>
                <w:sz w:val="22"/>
                <w:szCs w:val="22"/>
              </w:rPr>
              <w:t>304 631</w:t>
            </w:r>
          </w:p>
        </w:tc>
        <w:tc>
          <w:tcPr>
            <w:tcW w:w="790" w:type="pct"/>
            <w:tcBorders>
              <w:top w:val="nil"/>
              <w:left w:val="nil"/>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sz w:val="22"/>
                <w:szCs w:val="22"/>
              </w:rPr>
            </w:pPr>
            <w:r w:rsidRPr="009E5034">
              <w:rPr>
                <w:sz w:val="22"/>
                <w:szCs w:val="22"/>
              </w:rPr>
              <w:t>165 480</w:t>
            </w:r>
          </w:p>
        </w:tc>
        <w:tc>
          <w:tcPr>
            <w:tcW w:w="1276" w:type="pct"/>
            <w:tcBorders>
              <w:top w:val="nil"/>
              <w:left w:val="nil"/>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b/>
                <w:sz w:val="22"/>
                <w:szCs w:val="22"/>
              </w:rPr>
            </w:pPr>
            <w:r w:rsidRPr="009E5034">
              <w:rPr>
                <w:b/>
                <w:sz w:val="22"/>
                <w:szCs w:val="22"/>
              </w:rPr>
              <w:t>54,32 %</w:t>
            </w:r>
          </w:p>
        </w:tc>
      </w:tr>
    </w:tbl>
    <w:p w:rsidR="00F164EF" w:rsidRPr="009E5034" w:rsidRDefault="00F164EF" w:rsidP="009E5034">
      <w:pPr>
        <w:pStyle w:val="Caption"/>
        <w:ind w:left="899"/>
        <w:rPr>
          <w:sz w:val="22"/>
          <w:szCs w:val="22"/>
        </w:rPr>
      </w:pPr>
    </w:p>
    <w:p w:rsidR="00F164EF" w:rsidRPr="009E5034" w:rsidRDefault="00F164EF" w:rsidP="009E5034">
      <w:pPr>
        <w:spacing w:after="240"/>
        <w:ind w:left="0"/>
        <w:jc w:val="left"/>
        <w:rPr>
          <w:rStyle w:val="Strong"/>
          <w:rFonts w:eastAsia="MS Mincho"/>
          <w:sz w:val="22"/>
          <w:szCs w:val="22"/>
        </w:rPr>
      </w:pPr>
      <w:bookmarkStart w:id="166" w:name="_Toc253580381"/>
      <w:bookmarkStart w:id="167" w:name="_Toc261170226"/>
      <w:r w:rsidRPr="009E5034">
        <w:rPr>
          <w:rStyle w:val="Strong"/>
          <w:rFonts w:eastAsia="MS Mincho"/>
          <w:sz w:val="22"/>
          <w:szCs w:val="22"/>
        </w:rPr>
        <w:t>2.5. Accès à l’eau potable</w:t>
      </w:r>
      <w:bookmarkEnd w:id="166"/>
      <w:bookmarkEnd w:id="167"/>
    </w:p>
    <w:p w:rsidR="00F164EF" w:rsidRPr="009E5034" w:rsidRDefault="00F164EF" w:rsidP="009E5034">
      <w:pPr>
        <w:spacing w:before="120" w:after="120"/>
        <w:ind w:left="0"/>
        <w:jc w:val="left"/>
        <w:rPr>
          <w:sz w:val="22"/>
          <w:szCs w:val="22"/>
        </w:rPr>
      </w:pPr>
      <w:r w:rsidRPr="009E5034">
        <w:rPr>
          <w:sz w:val="22"/>
          <w:szCs w:val="22"/>
        </w:rPr>
        <w:t>EDM est le principal fournisseur en eau potable du Mali et de la ville de Mopti. Cette dernière est dotée d’une station de traitement, dont la capacité nominale actuelle est de 104 000 m</w:t>
      </w:r>
      <w:r w:rsidRPr="009E5034">
        <w:rPr>
          <w:sz w:val="22"/>
          <w:szCs w:val="22"/>
          <w:vertAlign w:val="superscript"/>
        </w:rPr>
        <w:t>3</w:t>
      </w:r>
      <w:r w:rsidRPr="009E5034">
        <w:rPr>
          <w:sz w:val="22"/>
          <w:szCs w:val="22"/>
        </w:rPr>
        <w:t xml:space="preserve">/jour. La commune dispose d’un réseau d’adduction d’eau moderne EDM alimenté par une station de pompage installé sur le Bani et 5 forages réalisés à Sévaré. </w:t>
      </w:r>
    </w:p>
    <w:p w:rsidR="00F164EF" w:rsidRPr="009E5034" w:rsidRDefault="00F164EF" w:rsidP="009E5034">
      <w:pPr>
        <w:spacing w:before="120" w:after="120"/>
        <w:ind w:left="0"/>
        <w:jc w:val="left"/>
        <w:rPr>
          <w:sz w:val="22"/>
          <w:szCs w:val="22"/>
        </w:rPr>
      </w:pPr>
      <w:r w:rsidRPr="009E5034">
        <w:rPr>
          <w:sz w:val="22"/>
          <w:szCs w:val="22"/>
        </w:rPr>
        <w:t>Selon le plan décennal de développement de la commune de Mopti réalisé en 2001 pour la décennie 2002-2011, la production nette d’eau et les quantités consommées de 1998 à 2007 sont regroupées dans le tableau  suivant.</w:t>
      </w:r>
    </w:p>
    <w:p w:rsidR="00F164EF" w:rsidRPr="009E5034" w:rsidRDefault="00F164EF" w:rsidP="009E5034">
      <w:pPr>
        <w:pStyle w:val="Caption"/>
        <w:ind w:left="899"/>
        <w:rPr>
          <w:rStyle w:val="Emphasis"/>
          <w:sz w:val="22"/>
          <w:szCs w:val="22"/>
        </w:rPr>
      </w:pPr>
      <w:r w:rsidRPr="009E5034">
        <w:rPr>
          <w:rStyle w:val="Emphasis"/>
          <w:sz w:val="22"/>
          <w:szCs w:val="22"/>
        </w:rPr>
        <w:t xml:space="preserve">Tableau A3.2: </w:t>
      </w:r>
      <w:bookmarkStart w:id="168" w:name="_Toc252453616"/>
      <w:r w:rsidRPr="009E5034">
        <w:rPr>
          <w:rStyle w:val="Emphasis"/>
          <w:sz w:val="22"/>
          <w:szCs w:val="22"/>
        </w:rPr>
        <w:t>Production nette d’eau potable à Mopti (1998-2007)</w:t>
      </w:r>
      <w:bookmarkEnd w:id="168"/>
      <w:r w:rsidRPr="009E5034">
        <w:rPr>
          <w:rStyle w:val="Emphasis"/>
          <w:sz w:val="22"/>
          <w:szCs w:val="22"/>
        </w:rPr>
        <w:t xml:space="preserve">, Source: EDM </w:t>
      </w:r>
    </w:p>
    <w:tbl>
      <w:tblPr>
        <w:tblW w:w="2046" w:type="pct"/>
        <w:jc w:val="center"/>
        <w:tblCellMar>
          <w:left w:w="70" w:type="dxa"/>
          <w:right w:w="70" w:type="dxa"/>
        </w:tblCellMar>
        <w:tblLook w:val="0000"/>
      </w:tblPr>
      <w:tblGrid>
        <w:gridCol w:w="811"/>
        <w:gridCol w:w="1255"/>
        <w:gridCol w:w="1685"/>
      </w:tblGrid>
      <w:tr w:rsidR="00F164EF" w:rsidRPr="009E5034" w:rsidTr="00072CBC">
        <w:trPr>
          <w:trHeight w:val="840"/>
          <w:jc w:val="center"/>
        </w:trPr>
        <w:tc>
          <w:tcPr>
            <w:tcW w:w="1081" w:type="pct"/>
            <w:tcBorders>
              <w:top w:val="single" w:sz="8" w:space="0" w:color="auto"/>
              <w:left w:val="single" w:sz="8" w:space="0" w:color="auto"/>
              <w:bottom w:val="single" w:sz="8"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Année</w:t>
            </w:r>
          </w:p>
        </w:tc>
        <w:tc>
          <w:tcPr>
            <w:tcW w:w="1673" w:type="pct"/>
            <w:tcBorders>
              <w:top w:val="single" w:sz="8" w:space="0" w:color="auto"/>
              <w:left w:val="nil"/>
              <w:bottom w:val="single" w:sz="8"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 xml:space="preserve">Production </w:t>
            </w:r>
          </w:p>
          <w:p w:rsidR="00F164EF" w:rsidRPr="009E5034" w:rsidRDefault="00F164EF" w:rsidP="009E5034">
            <w:pPr>
              <w:pStyle w:val="Tableau"/>
              <w:ind w:left="1"/>
              <w:jc w:val="left"/>
              <w:rPr>
                <w:sz w:val="22"/>
                <w:szCs w:val="22"/>
              </w:rPr>
            </w:pPr>
            <w:r w:rsidRPr="009E5034">
              <w:rPr>
                <w:sz w:val="22"/>
                <w:szCs w:val="22"/>
              </w:rPr>
              <w:t>d'eau potable</w:t>
            </w:r>
          </w:p>
          <w:p w:rsidR="00F164EF" w:rsidRPr="009E5034" w:rsidRDefault="00F164EF" w:rsidP="009E5034">
            <w:pPr>
              <w:pStyle w:val="Tableau"/>
              <w:ind w:left="1"/>
              <w:jc w:val="left"/>
              <w:rPr>
                <w:sz w:val="22"/>
                <w:szCs w:val="22"/>
              </w:rPr>
            </w:pPr>
            <w:r w:rsidRPr="009E5034">
              <w:rPr>
                <w:sz w:val="22"/>
                <w:szCs w:val="22"/>
              </w:rPr>
              <w:t>(1000m</w:t>
            </w:r>
            <w:r w:rsidRPr="009E5034">
              <w:rPr>
                <w:sz w:val="22"/>
                <w:szCs w:val="22"/>
                <w:vertAlign w:val="superscript"/>
              </w:rPr>
              <w:t>3</w:t>
            </w:r>
            <w:r w:rsidRPr="009E5034">
              <w:rPr>
                <w:sz w:val="22"/>
                <w:szCs w:val="22"/>
              </w:rPr>
              <w:t>)</w:t>
            </w:r>
          </w:p>
        </w:tc>
        <w:tc>
          <w:tcPr>
            <w:tcW w:w="2246" w:type="pct"/>
            <w:tcBorders>
              <w:top w:val="single" w:sz="8" w:space="0" w:color="auto"/>
              <w:left w:val="nil"/>
              <w:bottom w:val="single" w:sz="8" w:space="0" w:color="auto"/>
              <w:right w:val="single" w:sz="8" w:space="0" w:color="auto"/>
            </w:tcBorders>
            <w:vAlign w:val="center"/>
          </w:tcPr>
          <w:p w:rsidR="00F164EF" w:rsidRPr="009E5034" w:rsidRDefault="00F164EF" w:rsidP="009E5034">
            <w:pPr>
              <w:pStyle w:val="Tableau"/>
              <w:ind w:left="1"/>
              <w:jc w:val="left"/>
              <w:rPr>
                <w:sz w:val="22"/>
                <w:szCs w:val="22"/>
              </w:rPr>
            </w:pPr>
            <w:r w:rsidRPr="009E5034">
              <w:rPr>
                <w:sz w:val="22"/>
                <w:szCs w:val="22"/>
              </w:rPr>
              <w:t xml:space="preserve">Consommation </w:t>
            </w:r>
          </w:p>
          <w:p w:rsidR="00F164EF" w:rsidRPr="009E5034" w:rsidRDefault="00F164EF" w:rsidP="009E5034">
            <w:pPr>
              <w:pStyle w:val="Tableau"/>
              <w:ind w:left="1"/>
              <w:jc w:val="left"/>
              <w:rPr>
                <w:sz w:val="22"/>
                <w:szCs w:val="22"/>
              </w:rPr>
            </w:pPr>
            <w:r w:rsidRPr="009E5034">
              <w:rPr>
                <w:sz w:val="22"/>
                <w:szCs w:val="22"/>
              </w:rPr>
              <w:t xml:space="preserve">d'eau potable </w:t>
            </w:r>
          </w:p>
          <w:p w:rsidR="00F164EF" w:rsidRPr="009E5034" w:rsidRDefault="00F164EF" w:rsidP="009E5034">
            <w:pPr>
              <w:pStyle w:val="Tableau"/>
              <w:ind w:left="1"/>
              <w:jc w:val="left"/>
              <w:rPr>
                <w:sz w:val="22"/>
                <w:szCs w:val="22"/>
              </w:rPr>
            </w:pPr>
            <w:r w:rsidRPr="009E5034">
              <w:rPr>
                <w:sz w:val="22"/>
                <w:szCs w:val="22"/>
              </w:rPr>
              <w:t>(1000m</w:t>
            </w:r>
            <w:r w:rsidRPr="009E5034">
              <w:rPr>
                <w:sz w:val="22"/>
                <w:szCs w:val="22"/>
                <w:vertAlign w:val="superscript"/>
              </w:rPr>
              <w:t>3</w:t>
            </w:r>
            <w:r w:rsidRPr="009E5034">
              <w:rPr>
                <w:sz w:val="22"/>
                <w:szCs w:val="22"/>
              </w:rPr>
              <w:t>)</w:t>
            </w:r>
          </w:p>
        </w:tc>
      </w:tr>
      <w:tr w:rsidR="00F164EF" w:rsidRPr="009E5034" w:rsidTr="00072CBC">
        <w:trPr>
          <w:trHeight w:val="255"/>
          <w:jc w:val="center"/>
        </w:trPr>
        <w:tc>
          <w:tcPr>
            <w:tcW w:w="1081" w:type="pct"/>
            <w:tcBorders>
              <w:top w:val="nil"/>
              <w:left w:val="single" w:sz="8" w:space="0" w:color="auto"/>
              <w:bottom w:val="single" w:sz="4" w:space="0" w:color="auto"/>
              <w:right w:val="single" w:sz="4" w:space="0" w:color="auto"/>
            </w:tcBorders>
            <w:noWrap/>
            <w:vAlign w:val="bottom"/>
          </w:tcPr>
          <w:p w:rsidR="00F164EF" w:rsidRPr="009E5034" w:rsidRDefault="00F164EF" w:rsidP="009E5034">
            <w:pPr>
              <w:pStyle w:val="Tableau"/>
              <w:ind w:left="1"/>
              <w:jc w:val="left"/>
              <w:rPr>
                <w:sz w:val="22"/>
                <w:szCs w:val="22"/>
              </w:rPr>
            </w:pPr>
            <w:r w:rsidRPr="009E5034">
              <w:rPr>
                <w:sz w:val="22"/>
                <w:szCs w:val="22"/>
              </w:rPr>
              <w:t>1998</w:t>
            </w:r>
          </w:p>
        </w:tc>
        <w:tc>
          <w:tcPr>
            <w:tcW w:w="1673" w:type="pct"/>
            <w:tcBorders>
              <w:top w:val="nil"/>
              <w:left w:val="nil"/>
              <w:bottom w:val="single" w:sz="4" w:space="0" w:color="auto"/>
              <w:right w:val="single" w:sz="4" w:space="0" w:color="auto"/>
            </w:tcBorders>
            <w:noWrap/>
            <w:vAlign w:val="bottom"/>
          </w:tcPr>
          <w:p w:rsidR="00F164EF" w:rsidRPr="009E5034" w:rsidRDefault="00F164EF" w:rsidP="009E5034">
            <w:pPr>
              <w:pStyle w:val="Tableau"/>
              <w:ind w:left="1"/>
              <w:jc w:val="left"/>
              <w:rPr>
                <w:sz w:val="22"/>
                <w:szCs w:val="22"/>
              </w:rPr>
            </w:pPr>
            <w:r w:rsidRPr="009E5034">
              <w:rPr>
                <w:sz w:val="22"/>
                <w:szCs w:val="22"/>
              </w:rPr>
              <w:t>1515</w:t>
            </w:r>
          </w:p>
        </w:tc>
        <w:tc>
          <w:tcPr>
            <w:tcW w:w="2246" w:type="pct"/>
            <w:tcBorders>
              <w:top w:val="nil"/>
              <w:left w:val="nil"/>
              <w:bottom w:val="single" w:sz="4" w:space="0" w:color="auto"/>
              <w:right w:val="single" w:sz="8" w:space="0" w:color="auto"/>
            </w:tcBorders>
            <w:noWrap/>
            <w:vAlign w:val="bottom"/>
          </w:tcPr>
          <w:p w:rsidR="00F164EF" w:rsidRPr="009E5034" w:rsidRDefault="00F164EF" w:rsidP="009E5034">
            <w:pPr>
              <w:pStyle w:val="Tableau"/>
              <w:ind w:left="1"/>
              <w:jc w:val="left"/>
              <w:rPr>
                <w:sz w:val="22"/>
                <w:szCs w:val="22"/>
              </w:rPr>
            </w:pPr>
            <w:r w:rsidRPr="009E5034">
              <w:rPr>
                <w:sz w:val="22"/>
                <w:szCs w:val="22"/>
              </w:rPr>
              <w:t>1182</w:t>
            </w:r>
          </w:p>
        </w:tc>
      </w:tr>
      <w:tr w:rsidR="00F164EF" w:rsidRPr="009E5034" w:rsidTr="00072CBC">
        <w:trPr>
          <w:trHeight w:val="255"/>
          <w:jc w:val="center"/>
        </w:trPr>
        <w:tc>
          <w:tcPr>
            <w:tcW w:w="1081" w:type="pct"/>
            <w:tcBorders>
              <w:top w:val="nil"/>
              <w:left w:val="single" w:sz="8" w:space="0" w:color="auto"/>
              <w:bottom w:val="single" w:sz="4" w:space="0" w:color="auto"/>
              <w:right w:val="single" w:sz="4" w:space="0" w:color="auto"/>
            </w:tcBorders>
            <w:noWrap/>
            <w:vAlign w:val="bottom"/>
          </w:tcPr>
          <w:p w:rsidR="00F164EF" w:rsidRPr="009E5034" w:rsidRDefault="00F164EF" w:rsidP="009E5034">
            <w:pPr>
              <w:pStyle w:val="Tableau"/>
              <w:ind w:left="1"/>
              <w:jc w:val="left"/>
              <w:rPr>
                <w:sz w:val="22"/>
                <w:szCs w:val="22"/>
              </w:rPr>
            </w:pPr>
            <w:r w:rsidRPr="009E5034">
              <w:rPr>
                <w:sz w:val="22"/>
                <w:szCs w:val="22"/>
              </w:rPr>
              <w:t>1999</w:t>
            </w:r>
          </w:p>
        </w:tc>
        <w:tc>
          <w:tcPr>
            <w:tcW w:w="1673" w:type="pct"/>
            <w:tcBorders>
              <w:top w:val="nil"/>
              <w:left w:val="nil"/>
              <w:bottom w:val="single" w:sz="4" w:space="0" w:color="auto"/>
              <w:right w:val="single" w:sz="4" w:space="0" w:color="auto"/>
            </w:tcBorders>
            <w:noWrap/>
            <w:vAlign w:val="bottom"/>
          </w:tcPr>
          <w:p w:rsidR="00F164EF" w:rsidRPr="009E5034" w:rsidRDefault="00F164EF" w:rsidP="009E5034">
            <w:pPr>
              <w:pStyle w:val="Tableau"/>
              <w:ind w:left="1"/>
              <w:jc w:val="left"/>
              <w:rPr>
                <w:sz w:val="22"/>
                <w:szCs w:val="22"/>
              </w:rPr>
            </w:pPr>
            <w:r w:rsidRPr="009E5034">
              <w:rPr>
                <w:sz w:val="22"/>
                <w:szCs w:val="22"/>
              </w:rPr>
              <w:t>1603</w:t>
            </w:r>
          </w:p>
        </w:tc>
        <w:tc>
          <w:tcPr>
            <w:tcW w:w="2246" w:type="pct"/>
            <w:tcBorders>
              <w:top w:val="nil"/>
              <w:left w:val="nil"/>
              <w:bottom w:val="single" w:sz="4" w:space="0" w:color="auto"/>
              <w:right w:val="single" w:sz="8" w:space="0" w:color="auto"/>
            </w:tcBorders>
            <w:noWrap/>
            <w:vAlign w:val="bottom"/>
          </w:tcPr>
          <w:p w:rsidR="00F164EF" w:rsidRPr="009E5034" w:rsidRDefault="00F164EF" w:rsidP="009E5034">
            <w:pPr>
              <w:pStyle w:val="Tableau"/>
              <w:ind w:left="1"/>
              <w:jc w:val="left"/>
              <w:rPr>
                <w:sz w:val="22"/>
                <w:szCs w:val="22"/>
              </w:rPr>
            </w:pPr>
            <w:r w:rsidRPr="009E5034">
              <w:rPr>
                <w:sz w:val="22"/>
                <w:szCs w:val="22"/>
              </w:rPr>
              <w:t>1283</w:t>
            </w:r>
          </w:p>
        </w:tc>
      </w:tr>
      <w:tr w:rsidR="00F164EF" w:rsidRPr="009E5034" w:rsidTr="00072CBC">
        <w:trPr>
          <w:trHeight w:val="255"/>
          <w:jc w:val="center"/>
        </w:trPr>
        <w:tc>
          <w:tcPr>
            <w:tcW w:w="1081" w:type="pct"/>
            <w:tcBorders>
              <w:top w:val="nil"/>
              <w:left w:val="single" w:sz="8" w:space="0" w:color="auto"/>
              <w:bottom w:val="single" w:sz="4" w:space="0" w:color="auto"/>
              <w:right w:val="single" w:sz="4" w:space="0" w:color="auto"/>
            </w:tcBorders>
            <w:noWrap/>
            <w:vAlign w:val="bottom"/>
          </w:tcPr>
          <w:p w:rsidR="00F164EF" w:rsidRPr="009E5034" w:rsidRDefault="00F164EF" w:rsidP="009E5034">
            <w:pPr>
              <w:pStyle w:val="Tableau"/>
              <w:ind w:left="1"/>
              <w:jc w:val="left"/>
              <w:rPr>
                <w:sz w:val="22"/>
                <w:szCs w:val="22"/>
              </w:rPr>
            </w:pPr>
            <w:r w:rsidRPr="009E5034">
              <w:rPr>
                <w:sz w:val="22"/>
                <w:szCs w:val="22"/>
              </w:rPr>
              <w:t>2000</w:t>
            </w:r>
          </w:p>
        </w:tc>
        <w:tc>
          <w:tcPr>
            <w:tcW w:w="1673" w:type="pct"/>
            <w:tcBorders>
              <w:top w:val="nil"/>
              <w:left w:val="nil"/>
              <w:bottom w:val="single" w:sz="4" w:space="0" w:color="auto"/>
              <w:right w:val="single" w:sz="4" w:space="0" w:color="auto"/>
            </w:tcBorders>
            <w:noWrap/>
            <w:vAlign w:val="bottom"/>
          </w:tcPr>
          <w:p w:rsidR="00F164EF" w:rsidRPr="009E5034" w:rsidRDefault="00F164EF" w:rsidP="009E5034">
            <w:pPr>
              <w:pStyle w:val="Tableau"/>
              <w:ind w:left="1"/>
              <w:jc w:val="left"/>
              <w:rPr>
                <w:sz w:val="22"/>
                <w:szCs w:val="22"/>
              </w:rPr>
            </w:pPr>
            <w:r w:rsidRPr="009E5034">
              <w:rPr>
                <w:sz w:val="22"/>
                <w:szCs w:val="22"/>
              </w:rPr>
              <w:t>1775</w:t>
            </w:r>
          </w:p>
        </w:tc>
        <w:tc>
          <w:tcPr>
            <w:tcW w:w="2246" w:type="pct"/>
            <w:tcBorders>
              <w:top w:val="nil"/>
              <w:left w:val="nil"/>
              <w:bottom w:val="single" w:sz="4" w:space="0" w:color="auto"/>
              <w:right w:val="single" w:sz="8" w:space="0" w:color="auto"/>
            </w:tcBorders>
            <w:noWrap/>
            <w:vAlign w:val="bottom"/>
          </w:tcPr>
          <w:p w:rsidR="00F164EF" w:rsidRPr="009E5034" w:rsidRDefault="00F164EF" w:rsidP="009E5034">
            <w:pPr>
              <w:pStyle w:val="Tableau"/>
              <w:ind w:left="1"/>
              <w:jc w:val="left"/>
              <w:rPr>
                <w:sz w:val="22"/>
                <w:szCs w:val="22"/>
              </w:rPr>
            </w:pPr>
            <w:r w:rsidRPr="009E5034">
              <w:rPr>
                <w:sz w:val="22"/>
                <w:szCs w:val="22"/>
              </w:rPr>
              <w:t>1456</w:t>
            </w:r>
          </w:p>
        </w:tc>
      </w:tr>
      <w:tr w:rsidR="00F164EF" w:rsidRPr="009E5034" w:rsidTr="00072CBC">
        <w:trPr>
          <w:trHeight w:val="255"/>
          <w:jc w:val="center"/>
        </w:trPr>
        <w:tc>
          <w:tcPr>
            <w:tcW w:w="1081" w:type="pct"/>
            <w:tcBorders>
              <w:top w:val="nil"/>
              <w:left w:val="single" w:sz="8" w:space="0" w:color="auto"/>
              <w:bottom w:val="single" w:sz="4" w:space="0" w:color="auto"/>
              <w:right w:val="single" w:sz="4" w:space="0" w:color="auto"/>
            </w:tcBorders>
            <w:noWrap/>
            <w:vAlign w:val="bottom"/>
          </w:tcPr>
          <w:p w:rsidR="00F164EF" w:rsidRPr="009E5034" w:rsidRDefault="00F164EF" w:rsidP="009E5034">
            <w:pPr>
              <w:pStyle w:val="Tableau"/>
              <w:ind w:left="1"/>
              <w:jc w:val="left"/>
              <w:rPr>
                <w:sz w:val="22"/>
                <w:szCs w:val="22"/>
              </w:rPr>
            </w:pPr>
            <w:r w:rsidRPr="009E5034">
              <w:rPr>
                <w:sz w:val="22"/>
                <w:szCs w:val="22"/>
              </w:rPr>
              <w:t>2001</w:t>
            </w:r>
          </w:p>
        </w:tc>
        <w:tc>
          <w:tcPr>
            <w:tcW w:w="1673" w:type="pct"/>
            <w:tcBorders>
              <w:top w:val="nil"/>
              <w:left w:val="nil"/>
              <w:bottom w:val="single" w:sz="4" w:space="0" w:color="auto"/>
              <w:right w:val="single" w:sz="4" w:space="0" w:color="auto"/>
            </w:tcBorders>
            <w:noWrap/>
            <w:vAlign w:val="bottom"/>
          </w:tcPr>
          <w:p w:rsidR="00F164EF" w:rsidRPr="009E5034" w:rsidRDefault="00F164EF" w:rsidP="009E5034">
            <w:pPr>
              <w:pStyle w:val="Tableau"/>
              <w:ind w:left="1"/>
              <w:jc w:val="left"/>
              <w:rPr>
                <w:sz w:val="22"/>
                <w:szCs w:val="22"/>
              </w:rPr>
            </w:pPr>
            <w:r w:rsidRPr="009E5034">
              <w:rPr>
                <w:sz w:val="22"/>
                <w:szCs w:val="22"/>
              </w:rPr>
              <w:t>1780</w:t>
            </w:r>
          </w:p>
        </w:tc>
        <w:tc>
          <w:tcPr>
            <w:tcW w:w="2246" w:type="pct"/>
            <w:tcBorders>
              <w:top w:val="nil"/>
              <w:left w:val="nil"/>
              <w:bottom w:val="single" w:sz="4" w:space="0" w:color="auto"/>
              <w:right w:val="single" w:sz="8" w:space="0" w:color="auto"/>
            </w:tcBorders>
            <w:noWrap/>
            <w:vAlign w:val="bottom"/>
          </w:tcPr>
          <w:p w:rsidR="00F164EF" w:rsidRPr="009E5034" w:rsidRDefault="00F164EF" w:rsidP="009E5034">
            <w:pPr>
              <w:pStyle w:val="Tableau"/>
              <w:ind w:left="1"/>
              <w:jc w:val="left"/>
              <w:rPr>
                <w:sz w:val="22"/>
                <w:szCs w:val="22"/>
              </w:rPr>
            </w:pPr>
            <w:r w:rsidRPr="009E5034">
              <w:rPr>
                <w:sz w:val="22"/>
                <w:szCs w:val="22"/>
              </w:rPr>
              <w:t>1492</w:t>
            </w:r>
          </w:p>
        </w:tc>
      </w:tr>
      <w:tr w:rsidR="00F164EF" w:rsidRPr="009E5034" w:rsidTr="00072CBC">
        <w:trPr>
          <w:trHeight w:val="255"/>
          <w:jc w:val="center"/>
        </w:trPr>
        <w:tc>
          <w:tcPr>
            <w:tcW w:w="1081" w:type="pct"/>
            <w:tcBorders>
              <w:top w:val="nil"/>
              <w:left w:val="single" w:sz="8" w:space="0" w:color="auto"/>
              <w:bottom w:val="single" w:sz="4" w:space="0" w:color="auto"/>
              <w:right w:val="single" w:sz="4" w:space="0" w:color="auto"/>
            </w:tcBorders>
            <w:noWrap/>
            <w:vAlign w:val="bottom"/>
          </w:tcPr>
          <w:p w:rsidR="00F164EF" w:rsidRPr="009E5034" w:rsidRDefault="00F164EF" w:rsidP="009E5034">
            <w:pPr>
              <w:pStyle w:val="Tableau"/>
              <w:ind w:left="1"/>
              <w:jc w:val="left"/>
              <w:rPr>
                <w:sz w:val="22"/>
                <w:szCs w:val="22"/>
              </w:rPr>
            </w:pPr>
            <w:r w:rsidRPr="009E5034">
              <w:rPr>
                <w:sz w:val="22"/>
                <w:szCs w:val="22"/>
              </w:rPr>
              <w:t>2002</w:t>
            </w:r>
          </w:p>
        </w:tc>
        <w:tc>
          <w:tcPr>
            <w:tcW w:w="1673" w:type="pct"/>
            <w:tcBorders>
              <w:top w:val="nil"/>
              <w:left w:val="nil"/>
              <w:bottom w:val="single" w:sz="4" w:space="0" w:color="auto"/>
              <w:right w:val="single" w:sz="4" w:space="0" w:color="auto"/>
            </w:tcBorders>
            <w:noWrap/>
            <w:vAlign w:val="bottom"/>
          </w:tcPr>
          <w:p w:rsidR="00F164EF" w:rsidRPr="009E5034" w:rsidRDefault="00F164EF" w:rsidP="009E5034">
            <w:pPr>
              <w:pStyle w:val="Tableau"/>
              <w:ind w:left="1"/>
              <w:jc w:val="left"/>
              <w:rPr>
                <w:sz w:val="22"/>
                <w:szCs w:val="22"/>
              </w:rPr>
            </w:pPr>
            <w:r w:rsidRPr="009E5034">
              <w:rPr>
                <w:sz w:val="22"/>
                <w:szCs w:val="22"/>
              </w:rPr>
              <w:t>1794</w:t>
            </w:r>
          </w:p>
        </w:tc>
        <w:tc>
          <w:tcPr>
            <w:tcW w:w="2246" w:type="pct"/>
            <w:tcBorders>
              <w:top w:val="nil"/>
              <w:left w:val="nil"/>
              <w:bottom w:val="single" w:sz="4" w:space="0" w:color="auto"/>
              <w:right w:val="single" w:sz="8" w:space="0" w:color="auto"/>
            </w:tcBorders>
            <w:noWrap/>
            <w:vAlign w:val="bottom"/>
          </w:tcPr>
          <w:p w:rsidR="00F164EF" w:rsidRPr="009E5034" w:rsidRDefault="00F164EF" w:rsidP="009E5034">
            <w:pPr>
              <w:pStyle w:val="Tableau"/>
              <w:ind w:left="1"/>
              <w:jc w:val="left"/>
              <w:rPr>
                <w:sz w:val="22"/>
                <w:szCs w:val="22"/>
              </w:rPr>
            </w:pPr>
            <w:r w:rsidRPr="009E5034">
              <w:rPr>
                <w:sz w:val="22"/>
                <w:szCs w:val="22"/>
              </w:rPr>
              <w:t>1528</w:t>
            </w:r>
          </w:p>
        </w:tc>
      </w:tr>
      <w:tr w:rsidR="00F164EF" w:rsidRPr="009E5034" w:rsidTr="00072CBC">
        <w:trPr>
          <w:trHeight w:val="255"/>
          <w:jc w:val="center"/>
        </w:trPr>
        <w:tc>
          <w:tcPr>
            <w:tcW w:w="1081" w:type="pct"/>
            <w:tcBorders>
              <w:top w:val="nil"/>
              <w:left w:val="single" w:sz="8" w:space="0" w:color="auto"/>
              <w:bottom w:val="single" w:sz="4" w:space="0" w:color="auto"/>
              <w:right w:val="single" w:sz="4" w:space="0" w:color="auto"/>
            </w:tcBorders>
            <w:noWrap/>
            <w:vAlign w:val="bottom"/>
          </w:tcPr>
          <w:p w:rsidR="00F164EF" w:rsidRPr="009E5034" w:rsidRDefault="00F164EF" w:rsidP="009E5034">
            <w:pPr>
              <w:pStyle w:val="Tableau"/>
              <w:ind w:left="1"/>
              <w:jc w:val="left"/>
              <w:rPr>
                <w:sz w:val="22"/>
                <w:szCs w:val="22"/>
              </w:rPr>
            </w:pPr>
            <w:r w:rsidRPr="009E5034">
              <w:rPr>
                <w:sz w:val="22"/>
                <w:szCs w:val="22"/>
              </w:rPr>
              <w:t>2003</w:t>
            </w:r>
          </w:p>
        </w:tc>
        <w:tc>
          <w:tcPr>
            <w:tcW w:w="1673" w:type="pct"/>
            <w:tcBorders>
              <w:top w:val="nil"/>
              <w:left w:val="nil"/>
              <w:bottom w:val="single" w:sz="4" w:space="0" w:color="auto"/>
              <w:right w:val="single" w:sz="4" w:space="0" w:color="auto"/>
            </w:tcBorders>
            <w:noWrap/>
            <w:vAlign w:val="bottom"/>
          </w:tcPr>
          <w:p w:rsidR="00F164EF" w:rsidRPr="009E5034" w:rsidRDefault="00F164EF" w:rsidP="009E5034">
            <w:pPr>
              <w:pStyle w:val="Tableau"/>
              <w:ind w:left="1"/>
              <w:jc w:val="left"/>
              <w:rPr>
                <w:sz w:val="22"/>
                <w:szCs w:val="22"/>
              </w:rPr>
            </w:pPr>
            <w:r w:rsidRPr="009E5034">
              <w:rPr>
                <w:sz w:val="22"/>
                <w:szCs w:val="22"/>
              </w:rPr>
              <w:t>1865</w:t>
            </w:r>
          </w:p>
        </w:tc>
        <w:tc>
          <w:tcPr>
            <w:tcW w:w="2246" w:type="pct"/>
            <w:tcBorders>
              <w:top w:val="nil"/>
              <w:left w:val="nil"/>
              <w:bottom w:val="single" w:sz="4" w:space="0" w:color="auto"/>
              <w:right w:val="single" w:sz="8" w:space="0" w:color="auto"/>
            </w:tcBorders>
            <w:noWrap/>
            <w:vAlign w:val="bottom"/>
          </w:tcPr>
          <w:p w:rsidR="00F164EF" w:rsidRPr="009E5034" w:rsidRDefault="00F164EF" w:rsidP="009E5034">
            <w:pPr>
              <w:pStyle w:val="Tableau"/>
              <w:ind w:left="1"/>
              <w:jc w:val="left"/>
              <w:rPr>
                <w:sz w:val="22"/>
                <w:szCs w:val="22"/>
              </w:rPr>
            </w:pPr>
            <w:r w:rsidRPr="009E5034">
              <w:rPr>
                <w:sz w:val="22"/>
                <w:szCs w:val="22"/>
              </w:rPr>
              <w:t>1586</w:t>
            </w:r>
          </w:p>
        </w:tc>
      </w:tr>
      <w:tr w:rsidR="00F164EF" w:rsidRPr="009E5034" w:rsidTr="00072CBC">
        <w:trPr>
          <w:trHeight w:val="255"/>
          <w:jc w:val="center"/>
        </w:trPr>
        <w:tc>
          <w:tcPr>
            <w:tcW w:w="1081" w:type="pct"/>
            <w:tcBorders>
              <w:top w:val="nil"/>
              <w:left w:val="single" w:sz="8" w:space="0" w:color="auto"/>
              <w:bottom w:val="single" w:sz="4" w:space="0" w:color="auto"/>
              <w:right w:val="single" w:sz="4" w:space="0" w:color="auto"/>
            </w:tcBorders>
            <w:noWrap/>
            <w:vAlign w:val="bottom"/>
          </w:tcPr>
          <w:p w:rsidR="00F164EF" w:rsidRPr="009E5034" w:rsidRDefault="00F164EF" w:rsidP="009E5034">
            <w:pPr>
              <w:pStyle w:val="Tableau"/>
              <w:ind w:left="1"/>
              <w:jc w:val="left"/>
              <w:rPr>
                <w:sz w:val="22"/>
                <w:szCs w:val="22"/>
              </w:rPr>
            </w:pPr>
            <w:r w:rsidRPr="009E5034">
              <w:rPr>
                <w:sz w:val="22"/>
                <w:szCs w:val="22"/>
              </w:rPr>
              <w:t>2004</w:t>
            </w:r>
          </w:p>
        </w:tc>
        <w:tc>
          <w:tcPr>
            <w:tcW w:w="1673" w:type="pct"/>
            <w:tcBorders>
              <w:top w:val="nil"/>
              <w:left w:val="nil"/>
              <w:bottom w:val="single" w:sz="4" w:space="0" w:color="auto"/>
              <w:right w:val="single" w:sz="4" w:space="0" w:color="auto"/>
            </w:tcBorders>
            <w:noWrap/>
            <w:vAlign w:val="bottom"/>
          </w:tcPr>
          <w:p w:rsidR="00F164EF" w:rsidRPr="009E5034" w:rsidRDefault="00F164EF" w:rsidP="009E5034">
            <w:pPr>
              <w:pStyle w:val="Tableau"/>
              <w:ind w:left="1"/>
              <w:jc w:val="left"/>
              <w:rPr>
                <w:sz w:val="22"/>
                <w:szCs w:val="22"/>
              </w:rPr>
            </w:pPr>
            <w:r w:rsidRPr="009E5034">
              <w:rPr>
                <w:sz w:val="22"/>
                <w:szCs w:val="22"/>
              </w:rPr>
              <w:t>2038</w:t>
            </w:r>
          </w:p>
        </w:tc>
        <w:tc>
          <w:tcPr>
            <w:tcW w:w="2246" w:type="pct"/>
            <w:tcBorders>
              <w:top w:val="nil"/>
              <w:left w:val="nil"/>
              <w:bottom w:val="single" w:sz="4" w:space="0" w:color="auto"/>
              <w:right w:val="single" w:sz="8" w:space="0" w:color="auto"/>
            </w:tcBorders>
            <w:noWrap/>
            <w:vAlign w:val="bottom"/>
          </w:tcPr>
          <w:p w:rsidR="00F164EF" w:rsidRPr="009E5034" w:rsidRDefault="00F164EF" w:rsidP="009E5034">
            <w:pPr>
              <w:pStyle w:val="Tableau"/>
              <w:ind w:left="1"/>
              <w:jc w:val="left"/>
              <w:rPr>
                <w:sz w:val="22"/>
                <w:szCs w:val="22"/>
              </w:rPr>
            </w:pPr>
            <w:r w:rsidRPr="009E5034">
              <w:rPr>
                <w:sz w:val="22"/>
                <w:szCs w:val="22"/>
              </w:rPr>
              <w:t>1712</w:t>
            </w:r>
          </w:p>
        </w:tc>
      </w:tr>
      <w:tr w:rsidR="00F164EF" w:rsidRPr="009E5034" w:rsidTr="00072CBC">
        <w:trPr>
          <w:trHeight w:val="255"/>
          <w:jc w:val="center"/>
        </w:trPr>
        <w:tc>
          <w:tcPr>
            <w:tcW w:w="1081" w:type="pct"/>
            <w:tcBorders>
              <w:top w:val="nil"/>
              <w:left w:val="single" w:sz="8" w:space="0" w:color="auto"/>
              <w:bottom w:val="single" w:sz="4" w:space="0" w:color="auto"/>
              <w:right w:val="single" w:sz="4" w:space="0" w:color="auto"/>
            </w:tcBorders>
            <w:noWrap/>
            <w:vAlign w:val="bottom"/>
          </w:tcPr>
          <w:p w:rsidR="00F164EF" w:rsidRPr="009E5034" w:rsidRDefault="00F164EF" w:rsidP="009E5034">
            <w:pPr>
              <w:pStyle w:val="Tableau"/>
              <w:ind w:left="1"/>
              <w:jc w:val="left"/>
              <w:rPr>
                <w:sz w:val="22"/>
                <w:szCs w:val="22"/>
              </w:rPr>
            </w:pPr>
            <w:r w:rsidRPr="009E5034">
              <w:rPr>
                <w:sz w:val="22"/>
                <w:szCs w:val="22"/>
              </w:rPr>
              <w:t>2005</w:t>
            </w:r>
          </w:p>
        </w:tc>
        <w:tc>
          <w:tcPr>
            <w:tcW w:w="1673" w:type="pct"/>
            <w:tcBorders>
              <w:top w:val="nil"/>
              <w:left w:val="nil"/>
              <w:bottom w:val="single" w:sz="4" w:space="0" w:color="auto"/>
              <w:right w:val="single" w:sz="4" w:space="0" w:color="auto"/>
            </w:tcBorders>
            <w:noWrap/>
            <w:vAlign w:val="bottom"/>
          </w:tcPr>
          <w:p w:rsidR="00F164EF" w:rsidRPr="009E5034" w:rsidRDefault="00F164EF" w:rsidP="009E5034">
            <w:pPr>
              <w:pStyle w:val="Tableau"/>
              <w:ind w:left="1"/>
              <w:jc w:val="left"/>
              <w:rPr>
                <w:sz w:val="22"/>
                <w:szCs w:val="22"/>
              </w:rPr>
            </w:pPr>
            <w:r w:rsidRPr="009E5034">
              <w:rPr>
                <w:sz w:val="22"/>
                <w:szCs w:val="22"/>
              </w:rPr>
              <w:t>2118</w:t>
            </w:r>
          </w:p>
        </w:tc>
        <w:tc>
          <w:tcPr>
            <w:tcW w:w="2246" w:type="pct"/>
            <w:tcBorders>
              <w:top w:val="nil"/>
              <w:left w:val="nil"/>
              <w:bottom w:val="single" w:sz="4" w:space="0" w:color="auto"/>
              <w:right w:val="single" w:sz="8" w:space="0" w:color="auto"/>
            </w:tcBorders>
            <w:noWrap/>
            <w:vAlign w:val="bottom"/>
          </w:tcPr>
          <w:p w:rsidR="00F164EF" w:rsidRPr="009E5034" w:rsidRDefault="00F164EF" w:rsidP="009E5034">
            <w:pPr>
              <w:pStyle w:val="Tableau"/>
              <w:ind w:left="1"/>
              <w:jc w:val="left"/>
              <w:rPr>
                <w:sz w:val="22"/>
                <w:szCs w:val="22"/>
              </w:rPr>
            </w:pPr>
            <w:r w:rsidRPr="009E5034">
              <w:rPr>
                <w:sz w:val="22"/>
                <w:szCs w:val="22"/>
              </w:rPr>
              <w:t>1928</w:t>
            </w:r>
          </w:p>
        </w:tc>
      </w:tr>
      <w:tr w:rsidR="00F164EF" w:rsidRPr="009E5034" w:rsidTr="00072CBC">
        <w:trPr>
          <w:trHeight w:val="255"/>
          <w:jc w:val="center"/>
        </w:trPr>
        <w:tc>
          <w:tcPr>
            <w:tcW w:w="1081" w:type="pct"/>
            <w:tcBorders>
              <w:top w:val="nil"/>
              <w:left w:val="single" w:sz="8" w:space="0" w:color="auto"/>
              <w:bottom w:val="single" w:sz="4" w:space="0" w:color="auto"/>
              <w:right w:val="single" w:sz="4" w:space="0" w:color="auto"/>
            </w:tcBorders>
            <w:noWrap/>
            <w:vAlign w:val="bottom"/>
          </w:tcPr>
          <w:p w:rsidR="00F164EF" w:rsidRPr="009E5034" w:rsidRDefault="00F164EF" w:rsidP="009E5034">
            <w:pPr>
              <w:pStyle w:val="Tableau"/>
              <w:ind w:left="1"/>
              <w:jc w:val="left"/>
              <w:rPr>
                <w:sz w:val="22"/>
                <w:szCs w:val="22"/>
              </w:rPr>
            </w:pPr>
            <w:r w:rsidRPr="009E5034">
              <w:rPr>
                <w:sz w:val="22"/>
                <w:szCs w:val="22"/>
              </w:rPr>
              <w:t>2006</w:t>
            </w:r>
          </w:p>
        </w:tc>
        <w:tc>
          <w:tcPr>
            <w:tcW w:w="1673" w:type="pct"/>
            <w:tcBorders>
              <w:top w:val="nil"/>
              <w:left w:val="nil"/>
              <w:bottom w:val="single" w:sz="4" w:space="0" w:color="auto"/>
              <w:right w:val="single" w:sz="4" w:space="0" w:color="auto"/>
            </w:tcBorders>
            <w:noWrap/>
            <w:vAlign w:val="bottom"/>
          </w:tcPr>
          <w:p w:rsidR="00F164EF" w:rsidRPr="009E5034" w:rsidRDefault="00F164EF" w:rsidP="009E5034">
            <w:pPr>
              <w:pStyle w:val="Tableau"/>
              <w:ind w:left="1"/>
              <w:jc w:val="left"/>
              <w:rPr>
                <w:sz w:val="22"/>
                <w:szCs w:val="22"/>
              </w:rPr>
            </w:pPr>
            <w:r w:rsidRPr="009E5034">
              <w:rPr>
                <w:sz w:val="22"/>
                <w:szCs w:val="22"/>
              </w:rPr>
              <w:t>2266</w:t>
            </w:r>
          </w:p>
        </w:tc>
        <w:tc>
          <w:tcPr>
            <w:tcW w:w="2246" w:type="pct"/>
            <w:tcBorders>
              <w:top w:val="nil"/>
              <w:left w:val="nil"/>
              <w:bottom w:val="single" w:sz="4" w:space="0" w:color="auto"/>
              <w:right w:val="single" w:sz="8" w:space="0" w:color="auto"/>
            </w:tcBorders>
            <w:noWrap/>
            <w:vAlign w:val="bottom"/>
          </w:tcPr>
          <w:p w:rsidR="00F164EF" w:rsidRPr="009E5034" w:rsidRDefault="00F164EF" w:rsidP="009E5034">
            <w:pPr>
              <w:pStyle w:val="Tableau"/>
              <w:ind w:left="1"/>
              <w:jc w:val="left"/>
              <w:rPr>
                <w:sz w:val="22"/>
                <w:szCs w:val="22"/>
              </w:rPr>
            </w:pPr>
            <w:r w:rsidRPr="009E5034">
              <w:rPr>
                <w:sz w:val="22"/>
                <w:szCs w:val="22"/>
              </w:rPr>
              <w:t>2080</w:t>
            </w:r>
          </w:p>
        </w:tc>
      </w:tr>
      <w:tr w:rsidR="00F164EF" w:rsidRPr="009E5034" w:rsidTr="00072CBC">
        <w:trPr>
          <w:trHeight w:val="270"/>
          <w:jc w:val="center"/>
        </w:trPr>
        <w:tc>
          <w:tcPr>
            <w:tcW w:w="1081" w:type="pct"/>
            <w:tcBorders>
              <w:top w:val="nil"/>
              <w:left w:val="single" w:sz="8" w:space="0" w:color="auto"/>
              <w:bottom w:val="single" w:sz="8" w:space="0" w:color="auto"/>
              <w:right w:val="single" w:sz="4" w:space="0" w:color="auto"/>
            </w:tcBorders>
            <w:noWrap/>
            <w:vAlign w:val="bottom"/>
          </w:tcPr>
          <w:p w:rsidR="00F164EF" w:rsidRPr="009E5034" w:rsidRDefault="00F164EF" w:rsidP="009E5034">
            <w:pPr>
              <w:pStyle w:val="Tableau"/>
              <w:ind w:left="1"/>
              <w:jc w:val="left"/>
              <w:rPr>
                <w:sz w:val="22"/>
                <w:szCs w:val="22"/>
              </w:rPr>
            </w:pPr>
            <w:r w:rsidRPr="009E5034">
              <w:rPr>
                <w:sz w:val="22"/>
                <w:szCs w:val="22"/>
              </w:rPr>
              <w:t>2007</w:t>
            </w:r>
          </w:p>
        </w:tc>
        <w:tc>
          <w:tcPr>
            <w:tcW w:w="1673" w:type="pct"/>
            <w:tcBorders>
              <w:top w:val="nil"/>
              <w:left w:val="nil"/>
              <w:bottom w:val="single" w:sz="8" w:space="0" w:color="auto"/>
              <w:right w:val="single" w:sz="4" w:space="0" w:color="auto"/>
            </w:tcBorders>
            <w:noWrap/>
            <w:vAlign w:val="bottom"/>
          </w:tcPr>
          <w:p w:rsidR="00F164EF" w:rsidRPr="009E5034" w:rsidRDefault="00F164EF" w:rsidP="009E5034">
            <w:pPr>
              <w:pStyle w:val="Tableau"/>
              <w:ind w:left="1"/>
              <w:jc w:val="left"/>
              <w:rPr>
                <w:sz w:val="22"/>
                <w:szCs w:val="22"/>
              </w:rPr>
            </w:pPr>
            <w:r w:rsidRPr="009E5034">
              <w:rPr>
                <w:sz w:val="22"/>
                <w:szCs w:val="22"/>
              </w:rPr>
              <w:t>2444</w:t>
            </w:r>
          </w:p>
        </w:tc>
        <w:tc>
          <w:tcPr>
            <w:tcW w:w="2246" w:type="pct"/>
            <w:tcBorders>
              <w:top w:val="nil"/>
              <w:left w:val="nil"/>
              <w:bottom w:val="single" w:sz="8" w:space="0" w:color="auto"/>
              <w:right w:val="single" w:sz="8" w:space="0" w:color="auto"/>
            </w:tcBorders>
            <w:noWrap/>
            <w:vAlign w:val="bottom"/>
          </w:tcPr>
          <w:p w:rsidR="00F164EF" w:rsidRPr="009E5034" w:rsidRDefault="00F164EF" w:rsidP="009E5034">
            <w:pPr>
              <w:pStyle w:val="Tableau"/>
              <w:ind w:left="1"/>
              <w:jc w:val="left"/>
              <w:rPr>
                <w:sz w:val="22"/>
                <w:szCs w:val="22"/>
              </w:rPr>
            </w:pPr>
            <w:r w:rsidRPr="009E5034">
              <w:rPr>
                <w:sz w:val="22"/>
                <w:szCs w:val="22"/>
              </w:rPr>
              <w:t>2116</w:t>
            </w:r>
          </w:p>
        </w:tc>
      </w:tr>
    </w:tbl>
    <w:p w:rsidR="00F164EF" w:rsidRPr="009E5034" w:rsidRDefault="00F164EF" w:rsidP="009E5034">
      <w:pPr>
        <w:spacing w:before="120" w:after="120"/>
        <w:ind w:left="0"/>
        <w:jc w:val="left"/>
        <w:rPr>
          <w:sz w:val="22"/>
          <w:szCs w:val="22"/>
        </w:rPr>
      </w:pPr>
      <w:r w:rsidRPr="009E5034">
        <w:rPr>
          <w:sz w:val="22"/>
          <w:szCs w:val="22"/>
        </w:rPr>
        <w:t>La croissance en termes de production observée au cours de la période 1998-2007 est évaluée à 23%. En 2008, le  nombre d’abonnés au réseau d’eau potable est estimé à 4 066.</w:t>
      </w:r>
    </w:p>
    <w:p w:rsidR="00F164EF" w:rsidRPr="009E5034" w:rsidRDefault="00F164EF" w:rsidP="009E5034">
      <w:pPr>
        <w:spacing w:before="120" w:after="120"/>
        <w:ind w:left="0"/>
        <w:jc w:val="left"/>
        <w:rPr>
          <w:sz w:val="22"/>
          <w:szCs w:val="22"/>
        </w:rPr>
      </w:pPr>
      <w:r w:rsidRPr="009E5034">
        <w:rPr>
          <w:sz w:val="22"/>
          <w:szCs w:val="22"/>
        </w:rPr>
        <w:t xml:space="preserve">En 2007, le volume facturé représentait </w:t>
      </w:r>
      <w:smartTag w:uri="urn:schemas-microsoft-com:office:smarttags" w:element="metricconverter">
        <w:smartTagPr>
          <w:attr w:name="ProductID" w:val="2ﾠ116 000 m3"/>
        </w:smartTagPr>
        <w:r w:rsidRPr="009E5034">
          <w:rPr>
            <w:sz w:val="22"/>
            <w:szCs w:val="22"/>
          </w:rPr>
          <w:t>2 116 000 m</w:t>
        </w:r>
        <w:r w:rsidRPr="009E5034">
          <w:rPr>
            <w:sz w:val="22"/>
            <w:szCs w:val="22"/>
            <w:vertAlign w:val="superscript"/>
          </w:rPr>
          <w:t>3</w:t>
        </w:r>
      </w:smartTag>
      <w:r w:rsidRPr="009E5034">
        <w:rPr>
          <w:sz w:val="22"/>
          <w:szCs w:val="22"/>
        </w:rPr>
        <w:t xml:space="preserve"> pour une production totale de 2 444000 m</w:t>
      </w:r>
      <w:r w:rsidRPr="009E5034">
        <w:rPr>
          <w:sz w:val="22"/>
          <w:szCs w:val="22"/>
          <w:vertAlign w:val="superscript"/>
        </w:rPr>
        <w:t>3</w:t>
      </w:r>
      <w:r w:rsidRPr="009E5034">
        <w:rPr>
          <w:sz w:val="22"/>
          <w:szCs w:val="22"/>
        </w:rPr>
        <w:t xml:space="preserve">, soit un rendement de l’ordre de 86.5%. </w:t>
      </w:r>
    </w:p>
    <w:p w:rsidR="00F164EF" w:rsidRPr="009E5034" w:rsidRDefault="00F164EF" w:rsidP="009E5034">
      <w:pPr>
        <w:ind w:left="0"/>
        <w:jc w:val="left"/>
        <w:rPr>
          <w:sz w:val="22"/>
          <w:szCs w:val="22"/>
        </w:rPr>
      </w:pPr>
      <w:r w:rsidRPr="009E5034">
        <w:rPr>
          <w:sz w:val="22"/>
          <w:szCs w:val="22"/>
        </w:rPr>
        <w:t xml:space="preserve">Au cours de la même période la longueur du réseau de distribution de l’eau potable a évolué pour atteindre les </w:t>
      </w:r>
      <w:smartTag w:uri="urn:schemas-microsoft-com:office:smarttags" w:element="metricconverter">
        <w:smartTagPr>
          <w:attr w:name="ProductID" w:val="115,75 km"/>
        </w:smartTagPr>
        <w:r w:rsidRPr="009E5034">
          <w:rPr>
            <w:sz w:val="22"/>
            <w:szCs w:val="22"/>
          </w:rPr>
          <w:t>115,75 km</w:t>
        </w:r>
      </w:smartTag>
      <w:r w:rsidRPr="009E5034">
        <w:rPr>
          <w:sz w:val="22"/>
          <w:szCs w:val="22"/>
        </w:rPr>
        <w:t>. Il est à signaler que la population à Mopti utilise plusieurs sources d’eau, il s’agit essentiellement des puits de surface, 194 bornes fontaines dont 164 sont en service, le branchement privé dans la cour ou chez l’habitant, la revente ainsi qu’occasionnellement les eaux du fleuve.</w:t>
      </w:r>
    </w:p>
    <w:p w:rsidR="00F164EF" w:rsidRPr="009E5034" w:rsidRDefault="00F164EF" w:rsidP="009E5034">
      <w:pPr>
        <w:ind w:left="0"/>
        <w:jc w:val="left"/>
        <w:rPr>
          <w:sz w:val="22"/>
          <w:szCs w:val="22"/>
        </w:rPr>
      </w:pPr>
      <w:r w:rsidRPr="009E5034">
        <w:rPr>
          <w:sz w:val="22"/>
          <w:szCs w:val="22"/>
        </w:rPr>
        <w:t>En dépit du réseau d’eau potable, bon nombre de ménages continuent de s’approvisionner en eau de puits traditionnels et accomplir l’essentiel de leur vaisselle et lessive dans le fleuve. L’enquête a révélé que plus de 80% de la population n’est  pas raccordée au réseau de distribution d’eau potable.</w:t>
      </w:r>
    </w:p>
    <w:p w:rsidR="00F164EF" w:rsidRPr="009E5034" w:rsidRDefault="00F164EF" w:rsidP="009E5034">
      <w:pPr>
        <w:spacing w:before="120" w:after="120"/>
        <w:ind w:left="0"/>
        <w:jc w:val="left"/>
        <w:rPr>
          <w:sz w:val="22"/>
          <w:szCs w:val="22"/>
        </w:rPr>
      </w:pPr>
      <w:r w:rsidRPr="009E5034">
        <w:rPr>
          <w:sz w:val="22"/>
          <w:szCs w:val="22"/>
        </w:rPr>
        <w:t>Les puits traditionnels, exploités pour l’alimentation en eau potable, sont généralement à des niveaux superficiels et ne disposent pas d’étanchéité latérale, ils sont souvent situés à proximité des latrines présentant une grande vulnérabilité à la contamination fécale. L’eau puisée dans ces puits se révèle souvent impropre à la consommation.</w:t>
      </w:r>
    </w:p>
    <w:p w:rsidR="00F164EF" w:rsidRPr="009E5034" w:rsidRDefault="00F164EF" w:rsidP="009E5034">
      <w:pPr>
        <w:spacing w:after="240"/>
        <w:ind w:left="0"/>
        <w:jc w:val="left"/>
        <w:rPr>
          <w:rStyle w:val="Strong"/>
          <w:rFonts w:eastAsia="MS Mincho"/>
          <w:sz w:val="22"/>
          <w:szCs w:val="22"/>
        </w:rPr>
      </w:pPr>
      <w:bookmarkStart w:id="169" w:name="_Toc253580382"/>
      <w:bookmarkStart w:id="170" w:name="_Toc261170227"/>
      <w:r w:rsidRPr="009E5034">
        <w:rPr>
          <w:rStyle w:val="Strong"/>
          <w:rFonts w:eastAsia="MS Mincho"/>
          <w:sz w:val="22"/>
          <w:szCs w:val="22"/>
        </w:rPr>
        <w:t>2.6. Pauvreté</w:t>
      </w:r>
      <w:bookmarkEnd w:id="169"/>
      <w:bookmarkEnd w:id="170"/>
    </w:p>
    <w:p w:rsidR="00F164EF" w:rsidRPr="009E5034" w:rsidRDefault="00F164EF" w:rsidP="009E5034">
      <w:pPr>
        <w:spacing w:before="120" w:after="120"/>
        <w:ind w:left="0"/>
        <w:jc w:val="left"/>
        <w:rPr>
          <w:sz w:val="22"/>
          <w:szCs w:val="22"/>
        </w:rPr>
      </w:pPr>
      <w:r w:rsidRPr="009E5034">
        <w:rPr>
          <w:sz w:val="22"/>
          <w:szCs w:val="22"/>
        </w:rPr>
        <w:t>Le taux de pauvreté général à l’échelle du pays a été évalué en 2005 à environ 59.2%, avec 73% en milieu rural et 20% en milieu urbain. En milieu urbain la pauvreté dans la ville de Mopti atteint des niveaux assez élevés, ils sont de l’ordre de 50%.</w:t>
      </w:r>
    </w:p>
    <w:p w:rsidR="00F164EF" w:rsidRPr="009E5034" w:rsidRDefault="00F164EF" w:rsidP="009E5034">
      <w:pPr>
        <w:spacing w:after="240"/>
        <w:ind w:left="0"/>
        <w:jc w:val="left"/>
        <w:rPr>
          <w:rStyle w:val="Strong"/>
          <w:rFonts w:eastAsia="MS Mincho"/>
          <w:sz w:val="22"/>
          <w:szCs w:val="22"/>
        </w:rPr>
      </w:pPr>
      <w:bookmarkStart w:id="171" w:name="_Toc253580383"/>
      <w:bookmarkStart w:id="172" w:name="_Toc261170228"/>
      <w:r w:rsidRPr="009E5034">
        <w:rPr>
          <w:rStyle w:val="Strong"/>
          <w:rFonts w:eastAsia="MS Mincho"/>
          <w:sz w:val="22"/>
          <w:szCs w:val="22"/>
        </w:rPr>
        <w:t>2.7. Santé</w:t>
      </w:r>
      <w:bookmarkEnd w:id="171"/>
      <w:bookmarkEnd w:id="172"/>
    </w:p>
    <w:p w:rsidR="00F164EF" w:rsidRPr="009E5034" w:rsidRDefault="00F164EF" w:rsidP="009E5034">
      <w:pPr>
        <w:spacing w:before="120" w:after="120"/>
        <w:ind w:left="0"/>
        <w:jc w:val="left"/>
        <w:rPr>
          <w:sz w:val="22"/>
          <w:szCs w:val="22"/>
        </w:rPr>
      </w:pPr>
      <w:r w:rsidRPr="009E5034">
        <w:rPr>
          <w:sz w:val="22"/>
          <w:szCs w:val="22"/>
        </w:rPr>
        <w:t xml:space="preserve">La commune de Mopti abrite 6 centres communautaires de santé, 4 infirmeries (2 militaires, une de la croix rouge et une de l’opération pêche), 2 cabinets de soins privés, le centre de santé de référence du Cercle, le centre médical interprofessionnel CMIE, deux dispensaires scolaires, l’hôpital régional et un lazaret. Dans ce secteur, la commune bénéficie du partenariat du CESAC, de l’Action Mopti, de l’Alliance Mission, des Médecins du Monde. En plus des dépôts de médicaments des centres de santé, on note la présence de 9 officines pharmacies privées et le dépôt de la Pharmacie Populaire du Mali. </w:t>
      </w:r>
    </w:p>
    <w:p w:rsidR="00F164EF" w:rsidRPr="009E5034" w:rsidRDefault="00F164EF" w:rsidP="009E5034">
      <w:pPr>
        <w:spacing w:before="120" w:after="120"/>
        <w:ind w:left="0"/>
        <w:jc w:val="left"/>
        <w:rPr>
          <w:sz w:val="22"/>
          <w:szCs w:val="22"/>
        </w:rPr>
      </w:pPr>
      <w:r w:rsidRPr="009E5034">
        <w:rPr>
          <w:sz w:val="22"/>
          <w:szCs w:val="22"/>
        </w:rPr>
        <w:t xml:space="preserve">Le paludisme et les maladies diarrhéiques constituent les maladies les plus répandues dans la région de Mopti, le tableau suivant résume la répartition des principales maladies entre la région et la commune de Mopti pour l’année 2001. </w:t>
      </w:r>
    </w:p>
    <w:p w:rsidR="00F164EF" w:rsidRPr="009E5034" w:rsidRDefault="00F164EF" w:rsidP="009E5034">
      <w:pPr>
        <w:pStyle w:val="Caption"/>
        <w:ind w:left="899"/>
        <w:rPr>
          <w:rStyle w:val="Emphasis"/>
          <w:sz w:val="22"/>
          <w:szCs w:val="22"/>
        </w:rPr>
      </w:pPr>
      <w:r w:rsidRPr="009E5034">
        <w:rPr>
          <w:rStyle w:val="Emphasis"/>
          <w:sz w:val="22"/>
          <w:szCs w:val="22"/>
        </w:rPr>
        <w:t xml:space="preserve">Tableau A3.3: </w:t>
      </w:r>
      <w:bookmarkStart w:id="173" w:name="_Toc252453621"/>
      <w:r w:rsidRPr="009E5034">
        <w:rPr>
          <w:rStyle w:val="Emphasis"/>
          <w:sz w:val="22"/>
          <w:szCs w:val="22"/>
        </w:rPr>
        <w:t>La répartition des différentes maladies</w:t>
      </w:r>
      <w:bookmarkEnd w:id="173"/>
      <w:r w:rsidRPr="009E5034">
        <w:rPr>
          <w:rStyle w:val="Emphasis"/>
          <w:sz w:val="22"/>
          <w:szCs w:val="22"/>
        </w:rPr>
        <w:t>,  Source: DRS, 2001.</w:t>
      </w:r>
    </w:p>
    <w:tbl>
      <w:tblPr>
        <w:tblW w:w="42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90"/>
        <w:gridCol w:w="782"/>
        <w:gridCol w:w="881"/>
      </w:tblGrid>
      <w:tr w:rsidR="00F164EF" w:rsidRPr="009E5034" w:rsidTr="00072CBC">
        <w:trPr>
          <w:trHeight w:val="255"/>
          <w:jc w:val="center"/>
        </w:trPr>
        <w:tc>
          <w:tcPr>
            <w:tcW w:w="3941" w:type="pct"/>
            <w:noWrap/>
            <w:vAlign w:val="bottom"/>
          </w:tcPr>
          <w:p w:rsidR="00F164EF" w:rsidRPr="009E5034" w:rsidRDefault="00F164EF" w:rsidP="009E5034">
            <w:pPr>
              <w:pStyle w:val="Tableau"/>
              <w:ind w:left="1"/>
              <w:jc w:val="left"/>
              <w:rPr>
                <w:sz w:val="22"/>
                <w:szCs w:val="22"/>
              </w:rPr>
            </w:pPr>
            <w:r w:rsidRPr="009E5034">
              <w:rPr>
                <w:sz w:val="22"/>
                <w:szCs w:val="22"/>
              </w:rPr>
              <w:t>Maladies</w:t>
            </w:r>
          </w:p>
        </w:tc>
        <w:tc>
          <w:tcPr>
            <w:tcW w:w="498" w:type="pct"/>
            <w:noWrap/>
            <w:vAlign w:val="bottom"/>
          </w:tcPr>
          <w:p w:rsidR="00F164EF" w:rsidRPr="009E5034" w:rsidRDefault="00F164EF" w:rsidP="009E5034">
            <w:pPr>
              <w:pStyle w:val="Tableau"/>
              <w:ind w:left="1"/>
              <w:jc w:val="left"/>
              <w:rPr>
                <w:sz w:val="22"/>
                <w:szCs w:val="22"/>
              </w:rPr>
            </w:pPr>
            <w:r w:rsidRPr="009E5034">
              <w:rPr>
                <w:sz w:val="22"/>
                <w:szCs w:val="22"/>
              </w:rPr>
              <w:t>Mopti</w:t>
            </w:r>
          </w:p>
        </w:tc>
        <w:tc>
          <w:tcPr>
            <w:tcW w:w="561" w:type="pct"/>
            <w:noWrap/>
            <w:vAlign w:val="bottom"/>
          </w:tcPr>
          <w:p w:rsidR="00F164EF" w:rsidRPr="009E5034" w:rsidRDefault="00F164EF" w:rsidP="009E5034">
            <w:pPr>
              <w:pStyle w:val="Tableau"/>
              <w:ind w:left="1"/>
              <w:jc w:val="left"/>
              <w:rPr>
                <w:sz w:val="22"/>
                <w:szCs w:val="22"/>
              </w:rPr>
            </w:pPr>
            <w:r w:rsidRPr="009E5034">
              <w:rPr>
                <w:sz w:val="22"/>
                <w:szCs w:val="22"/>
              </w:rPr>
              <w:t>Région</w:t>
            </w:r>
          </w:p>
        </w:tc>
      </w:tr>
      <w:tr w:rsidR="00F164EF" w:rsidRPr="009E5034" w:rsidTr="00072CBC">
        <w:trPr>
          <w:trHeight w:val="300"/>
          <w:jc w:val="center"/>
        </w:trPr>
        <w:tc>
          <w:tcPr>
            <w:tcW w:w="3941" w:type="pct"/>
            <w:noWrap/>
            <w:vAlign w:val="bottom"/>
          </w:tcPr>
          <w:p w:rsidR="00F164EF" w:rsidRPr="009E5034" w:rsidRDefault="00F164EF" w:rsidP="009E5034">
            <w:pPr>
              <w:pStyle w:val="Tableau"/>
              <w:ind w:left="1"/>
              <w:jc w:val="left"/>
              <w:rPr>
                <w:sz w:val="22"/>
                <w:szCs w:val="22"/>
              </w:rPr>
            </w:pPr>
            <w:r w:rsidRPr="009E5034">
              <w:rPr>
                <w:sz w:val="22"/>
                <w:szCs w:val="22"/>
              </w:rPr>
              <w:t>Bilharziose urinaire</w:t>
            </w:r>
          </w:p>
        </w:tc>
        <w:tc>
          <w:tcPr>
            <w:tcW w:w="498" w:type="pct"/>
            <w:noWrap/>
            <w:vAlign w:val="bottom"/>
          </w:tcPr>
          <w:p w:rsidR="00F164EF" w:rsidRPr="009E5034" w:rsidRDefault="00F164EF" w:rsidP="009E5034">
            <w:pPr>
              <w:pStyle w:val="Tableau"/>
              <w:ind w:left="1"/>
              <w:jc w:val="left"/>
              <w:rPr>
                <w:sz w:val="22"/>
                <w:szCs w:val="22"/>
              </w:rPr>
            </w:pPr>
            <w:r w:rsidRPr="009E5034">
              <w:rPr>
                <w:sz w:val="22"/>
                <w:szCs w:val="22"/>
              </w:rPr>
              <w:t>670</w:t>
            </w:r>
          </w:p>
        </w:tc>
        <w:tc>
          <w:tcPr>
            <w:tcW w:w="561" w:type="pct"/>
            <w:noWrap/>
            <w:vAlign w:val="bottom"/>
          </w:tcPr>
          <w:p w:rsidR="00F164EF" w:rsidRPr="009E5034" w:rsidRDefault="00F164EF" w:rsidP="009E5034">
            <w:pPr>
              <w:pStyle w:val="Tableau"/>
              <w:ind w:left="1"/>
              <w:jc w:val="left"/>
              <w:rPr>
                <w:sz w:val="22"/>
                <w:szCs w:val="22"/>
              </w:rPr>
            </w:pPr>
            <w:r w:rsidRPr="009E5034">
              <w:rPr>
                <w:sz w:val="22"/>
                <w:szCs w:val="22"/>
              </w:rPr>
              <w:t>1 398</w:t>
            </w:r>
          </w:p>
        </w:tc>
      </w:tr>
      <w:tr w:rsidR="00F164EF" w:rsidRPr="009E5034" w:rsidTr="00072CBC">
        <w:trPr>
          <w:trHeight w:val="300"/>
          <w:jc w:val="center"/>
        </w:trPr>
        <w:tc>
          <w:tcPr>
            <w:tcW w:w="3941" w:type="pct"/>
            <w:noWrap/>
            <w:vAlign w:val="bottom"/>
          </w:tcPr>
          <w:p w:rsidR="00F164EF" w:rsidRPr="009E5034" w:rsidRDefault="00F164EF" w:rsidP="009E5034">
            <w:pPr>
              <w:pStyle w:val="Tableau"/>
              <w:ind w:left="1"/>
              <w:jc w:val="left"/>
              <w:rPr>
                <w:sz w:val="22"/>
                <w:szCs w:val="22"/>
              </w:rPr>
            </w:pPr>
            <w:r w:rsidRPr="009E5034">
              <w:rPr>
                <w:sz w:val="22"/>
                <w:szCs w:val="22"/>
              </w:rPr>
              <w:t xml:space="preserve">Vers intestinaux </w:t>
            </w:r>
          </w:p>
        </w:tc>
        <w:tc>
          <w:tcPr>
            <w:tcW w:w="498" w:type="pct"/>
            <w:noWrap/>
            <w:vAlign w:val="bottom"/>
          </w:tcPr>
          <w:p w:rsidR="00F164EF" w:rsidRPr="009E5034" w:rsidRDefault="00F164EF" w:rsidP="009E5034">
            <w:pPr>
              <w:pStyle w:val="Tableau"/>
              <w:ind w:left="1"/>
              <w:jc w:val="left"/>
              <w:rPr>
                <w:sz w:val="22"/>
                <w:szCs w:val="22"/>
              </w:rPr>
            </w:pPr>
            <w:r w:rsidRPr="009E5034">
              <w:rPr>
                <w:sz w:val="22"/>
                <w:szCs w:val="22"/>
              </w:rPr>
              <w:t>319</w:t>
            </w:r>
          </w:p>
        </w:tc>
        <w:tc>
          <w:tcPr>
            <w:tcW w:w="561" w:type="pct"/>
            <w:noWrap/>
            <w:vAlign w:val="bottom"/>
          </w:tcPr>
          <w:p w:rsidR="00F164EF" w:rsidRPr="009E5034" w:rsidRDefault="00F164EF" w:rsidP="009E5034">
            <w:pPr>
              <w:pStyle w:val="Tableau"/>
              <w:ind w:left="1"/>
              <w:jc w:val="left"/>
              <w:rPr>
                <w:sz w:val="22"/>
                <w:szCs w:val="22"/>
              </w:rPr>
            </w:pPr>
            <w:r w:rsidRPr="009E5034">
              <w:rPr>
                <w:sz w:val="22"/>
                <w:szCs w:val="22"/>
              </w:rPr>
              <w:t>1 125</w:t>
            </w:r>
          </w:p>
        </w:tc>
      </w:tr>
      <w:tr w:rsidR="00F164EF" w:rsidRPr="009E5034" w:rsidTr="00072CBC">
        <w:trPr>
          <w:trHeight w:val="300"/>
          <w:jc w:val="center"/>
        </w:trPr>
        <w:tc>
          <w:tcPr>
            <w:tcW w:w="3941" w:type="pct"/>
            <w:noWrap/>
            <w:vAlign w:val="bottom"/>
          </w:tcPr>
          <w:p w:rsidR="00F164EF" w:rsidRPr="009E5034" w:rsidRDefault="00F164EF" w:rsidP="009E5034">
            <w:pPr>
              <w:pStyle w:val="Tableau"/>
              <w:ind w:left="1"/>
              <w:jc w:val="left"/>
              <w:rPr>
                <w:sz w:val="22"/>
                <w:szCs w:val="22"/>
              </w:rPr>
            </w:pPr>
            <w:r w:rsidRPr="009E5034">
              <w:rPr>
                <w:sz w:val="22"/>
                <w:szCs w:val="22"/>
              </w:rPr>
              <w:t>Paludisme grave</w:t>
            </w:r>
          </w:p>
        </w:tc>
        <w:tc>
          <w:tcPr>
            <w:tcW w:w="498" w:type="pct"/>
            <w:noWrap/>
            <w:vAlign w:val="bottom"/>
          </w:tcPr>
          <w:p w:rsidR="00F164EF" w:rsidRPr="009E5034" w:rsidRDefault="00F164EF" w:rsidP="009E5034">
            <w:pPr>
              <w:pStyle w:val="Tableau"/>
              <w:ind w:left="1"/>
              <w:jc w:val="left"/>
              <w:rPr>
                <w:sz w:val="22"/>
                <w:szCs w:val="22"/>
              </w:rPr>
            </w:pPr>
            <w:r w:rsidRPr="009E5034">
              <w:rPr>
                <w:sz w:val="22"/>
                <w:szCs w:val="22"/>
              </w:rPr>
              <w:t>5687</w:t>
            </w:r>
          </w:p>
        </w:tc>
        <w:tc>
          <w:tcPr>
            <w:tcW w:w="561" w:type="pct"/>
            <w:noWrap/>
            <w:vAlign w:val="bottom"/>
          </w:tcPr>
          <w:p w:rsidR="00F164EF" w:rsidRPr="009E5034" w:rsidRDefault="00F164EF" w:rsidP="009E5034">
            <w:pPr>
              <w:pStyle w:val="Tableau"/>
              <w:ind w:left="1"/>
              <w:jc w:val="left"/>
              <w:rPr>
                <w:sz w:val="22"/>
                <w:szCs w:val="22"/>
              </w:rPr>
            </w:pPr>
            <w:r w:rsidRPr="009E5034">
              <w:rPr>
                <w:sz w:val="22"/>
                <w:szCs w:val="22"/>
              </w:rPr>
              <w:t>16 828</w:t>
            </w:r>
          </w:p>
        </w:tc>
      </w:tr>
      <w:tr w:rsidR="00F164EF" w:rsidRPr="009E5034" w:rsidTr="00072CBC">
        <w:trPr>
          <w:trHeight w:val="300"/>
          <w:jc w:val="center"/>
        </w:trPr>
        <w:tc>
          <w:tcPr>
            <w:tcW w:w="3941" w:type="pct"/>
            <w:noWrap/>
            <w:vAlign w:val="bottom"/>
          </w:tcPr>
          <w:p w:rsidR="00F164EF" w:rsidRPr="009E5034" w:rsidRDefault="00F164EF" w:rsidP="009E5034">
            <w:pPr>
              <w:pStyle w:val="Tableau"/>
              <w:ind w:left="1"/>
              <w:jc w:val="left"/>
              <w:rPr>
                <w:sz w:val="22"/>
                <w:szCs w:val="22"/>
              </w:rPr>
            </w:pPr>
            <w:r w:rsidRPr="009E5034">
              <w:rPr>
                <w:sz w:val="22"/>
                <w:szCs w:val="22"/>
              </w:rPr>
              <w:t>Paludisme simple</w:t>
            </w:r>
          </w:p>
        </w:tc>
        <w:tc>
          <w:tcPr>
            <w:tcW w:w="498" w:type="pct"/>
            <w:noWrap/>
            <w:vAlign w:val="bottom"/>
          </w:tcPr>
          <w:p w:rsidR="00F164EF" w:rsidRPr="009E5034" w:rsidRDefault="00F164EF" w:rsidP="009E5034">
            <w:pPr>
              <w:pStyle w:val="Tableau"/>
              <w:ind w:left="1"/>
              <w:jc w:val="left"/>
              <w:rPr>
                <w:sz w:val="22"/>
                <w:szCs w:val="22"/>
              </w:rPr>
            </w:pPr>
            <w:r w:rsidRPr="009E5034">
              <w:rPr>
                <w:sz w:val="22"/>
                <w:szCs w:val="22"/>
              </w:rPr>
              <w:t>24513</w:t>
            </w:r>
          </w:p>
        </w:tc>
        <w:tc>
          <w:tcPr>
            <w:tcW w:w="561" w:type="pct"/>
            <w:noWrap/>
            <w:vAlign w:val="bottom"/>
          </w:tcPr>
          <w:p w:rsidR="00F164EF" w:rsidRPr="009E5034" w:rsidRDefault="00F164EF" w:rsidP="009E5034">
            <w:pPr>
              <w:pStyle w:val="Tableau"/>
              <w:ind w:left="1"/>
              <w:jc w:val="left"/>
              <w:rPr>
                <w:sz w:val="22"/>
                <w:szCs w:val="22"/>
              </w:rPr>
            </w:pPr>
            <w:r w:rsidRPr="009E5034">
              <w:rPr>
                <w:sz w:val="22"/>
                <w:szCs w:val="22"/>
              </w:rPr>
              <w:t>54 536</w:t>
            </w:r>
          </w:p>
        </w:tc>
      </w:tr>
      <w:tr w:rsidR="00F164EF" w:rsidRPr="009E5034" w:rsidTr="00072CBC">
        <w:trPr>
          <w:trHeight w:val="300"/>
          <w:jc w:val="center"/>
        </w:trPr>
        <w:tc>
          <w:tcPr>
            <w:tcW w:w="3941" w:type="pct"/>
            <w:noWrap/>
            <w:vAlign w:val="bottom"/>
          </w:tcPr>
          <w:p w:rsidR="00F164EF" w:rsidRPr="009E5034" w:rsidRDefault="00F164EF" w:rsidP="009E5034">
            <w:pPr>
              <w:pStyle w:val="Tableau"/>
              <w:ind w:left="1"/>
              <w:jc w:val="left"/>
              <w:rPr>
                <w:sz w:val="22"/>
                <w:szCs w:val="22"/>
              </w:rPr>
            </w:pPr>
            <w:r w:rsidRPr="009E5034">
              <w:rPr>
                <w:sz w:val="22"/>
                <w:szCs w:val="22"/>
              </w:rPr>
              <w:t>Diarrhée présumée infectieuse en dehors du choléra</w:t>
            </w:r>
          </w:p>
        </w:tc>
        <w:tc>
          <w:tcPr>
            <w:tcW w:w="498" w:type="pct"/>
            <w:noWrap/>
            <w:vAlign w:val="bottom"/>
          </w:tcPr>
          <w:p w:rsidR="00F164EF" w:rsidRPr="009E5034" w:rsidRDefault="00F164EF" w:rsidP="009E5034">
            <w:pPr>
              <w:pStyle w:val="Tableau"/>
              <w:ind w:left="1"/>
              <w:jc w:val="left"/>
              <w:rPr>
                <w:sz w:val="22"/>
                <w:szCs w:val="22"/>
              </w:rPr>
            </w:pPr>
            <w:r w:rsidRPr="009E5034">
              <w:rPr>
                <w:sz w:val="22"/>
                <w:szCs w:val="22"/>
              </w:rPr>
              <w:t>4554</w:t>
            </w:r>
          </w:p>
        </w:tc>
        <w:tc>
          <w:tcPr>
            <w:tcW w:w="561" w:type="pct"/>
            <w:noWrap/>
            <w:vAlign w:val="bottom"/>
          </w:tcPr>
          <w:p w:rsidR="00F164EF" w:rsidRPr="009E5034" w:rsidRDefault="00F164EF" w:rsidP="009E5034">
            <w:pPr>
              <w:pStyle w:val="Tableau"/>
              <w:ind w:left="1"/>
              <w:jc w:val="left"/>
              <w:rPr>
                <w:sz w:val="22"/>
                <w:szCs w:val="22"/>
              </w:rPr>
            </w:pPr>
            <w:r w:rsidRPr="009E5034">
              <w:rPr>
                <w:sz w:val="22"/>
                <w:szCs w:val="22"/>
              </w:rPr>
              <w:t>10 991</w:t>
            </w:r>
          </w:p>
        </w:tc>
      </w:tr>
      <w:tr w:rsidR="00F164EF" w:rsidRPr="009E5034" w:rsidTr="00072CBC">
        <w:trPr>
          <w:trHeight w:val="300"/>
          <w:jc w:val="center"/>
        </w:trPr>
        <w:tc>
          <w:tcPr>
            <w:tcW w:w="3941" w:type="pct"/>
            <w:noWrap/>
            <w:vAlign w:val="bottom"/>
          </w:tcPr>
          <w:p w:rsidR="00F164EF" w:rsidRPr="009E5034" w:rsidRDefault="00F164EF" w:rsidP="009E5034">
            <w:pPr>
              <w:pStyle w:val="Tableau"/>
              <w:ind w:left="1"/>
              <w:jc w:val="left"/>
              <w:rPr>
                <w:sz w:val="22"/>
                <w:szCs w:val="22"/>
              </w:rPr>
            </w:pPr>
            <w:r w:rsidRPr="009E5034">
              <w:rPr>
                <w:sz w:val="22"/>
                <w:szCs w:val="22"/>
              </w:rPr>
              <w:t>Toux&lt;15 jours, IRA basses: pneumonie, bronchopneumonie</w:t>
            </w:r>
          </w:p>
        </w:tc>
        <w:tc>
          <w:tcPr>
            <w:tcW w:w="498" w:type="pct"/>
            <w:noWrap/>
            <w:vAlign w:val="bottom"/>
          </w:tcPr>
          <w:p w:rsidR="00F164EF" w:rsidRPr="009E5034" w:rsidRDefault="00F164EF" w:rsidP="009E5034">
            <w:pPr>
              <w:pStyle w:val="Tableau"/>
              <w:ind w:left="1"/>
              <w:jc w:val="left"/>
              <w:rPr>
                <w:sz w:val="22"/>
                <w:szCs w:val="22"/>
              </w:rPr>
            </w:pPr>
            <w:r w:rsidRPr="009E5034">
              <w:rPr>
                <w:sz w:val="22"/>
                <w:szCs w:val="22"/>
              </w:rPr>
              <w:t>5539</w:t>
            </w:r>
          </w:p>
        </w:tc>
        <w:tc>
          <w:tcPr>
            <w:tcW w:w="561" w:type="pct"/>
            <w:noWrap/>
            <w:vAlign w:val="bottom"/>
          </w:tcPr>
          <w:p w:rsidR="00F164EF" w:rsidRPr="009E5034" w:rsidRDefault="00F164EF" w:rsidP="009E5034">
            <w:pPr>
              <w:pStyle w:val="Tableau"/>
              <w:ind w:left="1"/>
              <w:jc w:val="left"/>
              <w:rPr>
                <w:sz w:val="22"/>
                <w:szCs w:val="22"/>
              </w:rPr>
            </w:pPr>
            <w:r w:rsidRPr="009E5034">
              <w:rPr>
                <w:sz w:val="22"/>
                <w:szCs w:val="22"/>
              </w:rPr>
              <w:t>16 096</w:t>
            </w:r>
          </w:p>
        </w:tc>
      </w:tr>
      <w:tr w:rsidR="00F164EF" w:rsidRPr="009E5034" w:rsidTr="00072CBC">
        <w:trPr>
          <w:trHeight w:val="300"/>
          <w:jc w:val="center"/>
        </w:trPr>
        <w:tc>
          <w:tcPr>
            <w:tcW w:w="3941" w:type="pct"/>
            <w:noWrap/>
            <w:vAlign w:val="bottom"/>
          </w:tcPr>
          <w:p w:rsidR="00F164EF" w:rsidRPr="009E5034" w:rsidRDefault="00F164EF" w:rsidP="009E5034">
            <w:pPr>
              <w:pStyle w:val="Tableau"/>
              <w:ind w:left="1"/>
              <w:jc w:val="left"/>
              <w:rPr>
                <w:sz w:val="22"/>
                <w:szCs w:val="22"/>
              </w:rPr>
            </w:pPr>
            <w:r w:rsidRPr="009E5034">
              <w:rPr>
                <w:sz w:val="22"/>
                <w:szCs w:val="22"/>
              </w:rPr>
              <w:t>IRA hautes (Rhinopharyngite, rhinite, trachéite)</w:t>
            </w:r>
          </w:p>
        </w:tc>
        <w:tc>
          <w:tcPr>
            <w:tcW w:w="498" w:type="pct"/>
            <w:noWrap/>
            <w:vAlign w:val="bottom"/>
          </w:tcPr>
          <w:p w:rsidR="00F164EF" w:rsidRPr="009E5034" w:rsidRDefault="00F164EF" w:rsidP="009E5034">
            <w:pPr>
              <w:pStyle w:val="Tableau"/>
              <w:ind w:left="1"/>
              <w:jc w:val="left"/>
              <w:rPr>
                <w:sz w:val="22"/>
                <w:szCs w:val="22"/>
              </w:rPr>
            </w:pPr>
            <w:r w:rsidRPr="009E5034">
              <w:rPr>
                <w:sz w:val="22"/>
                <w:szCs w:val="22"/>
              </w:rPr>
              <w:t>2121</w:t>
            </w:r>
          </w:p>
        </w:tc>
        <w:tc>
          <w:tcPr>
            <w:tcW w:w="561" w:type="pct"/>
            <w:noWrap/>
            <w:vAlign w:val="bottom"/>
          </w:tcPr>
          <w:p w:rsidR="00F164EF" w:rsidRPr="009E5034" w:rsidRDefault="00F164EF" w:rsidP="009E5034">
            <w:pPr>
              <w:pStyle w:val="Tableau"/>
              <w:ind w:left="1"/>
              <w:jc w:val="left"/>
              <w:rPr>
                <w:sz w:val="22"/>
                <w:szCs w:val="22"/>
              </w:rPr>
            </w:pPr>
            <w:r w:rsidRPr="009E5034">
              <w:rPr>
                <w:sz w:val="22"/>
                <w:szCs w:val="22"/>
              </w:rPr>
              <w:t>4 547</w:t>
            </w:r>
          </w:p>
        </w:tc>
      </w:tr>
      <w:tr w:rsidR="00F164EF" w:rsidRPr="009E5034" w:rsidTr="00072CBC">
        <w:trPr>
          <w:trHeight w:val="300"/>
          <w:jc w:val="center"/>
        </w:trPr>
        <w:tc>
          <w:tcPr>
            <w:tcW w:w="3941" w:type="pct"/>
            <w:noWrap/>
            <w:vAlign w:val="bottom"/>
          </w:tcPr>
          <w:p w:rsidR="00F164EF" w:rsidRPr="009E5034" w:rsidRDefault="00F164EF" w:rsidP="009E5034">
            <w:pPr>
              <w:pStyle w:val="Tableau"/>
              <w:ind w:left="1"/>
              <w:jc w:val="left"/>
              <w:rPr>
                <w:sz w:val="22"/>
                <w:szCs w:val="22"/>
              </w:rPr>
            </w:pPr>
            <w:r w:rsidRPr="009E5034">
              <w:rPr>
                <w:sz w:val="22"/>
                <w:szCs w:val="22"/>
              </w:rPr>
              <w:t>Conjonctivite du nouveau-né</w:t>
            </w:r>
          </w:p>
        </w:tc>
        <w:tc>
          <w:tcPr>
            <w:tcW w:w="498" w:type="pct"/>
            <w:noWrap/>
            <w:vAlign w:val="bottom"/>
          </w:tcPr>
          <w:p w:rsidR="00F164EF" w:rsidRPr="009E5034" w:rsidRDefault="00F164EF" w:rsidP="009E5034">
            <w:pPr>
              <w:pStyle w:val="Tableau"/>
              <w:ind w:left="1"/>
              <w:jc w:val="left"/>
              <w:rPr>
                <w:sz w:val="22"/>
                <w:szCs w:val="22"/>
              </w:rPr>
            </w:pPr>
            <w:r w:rsidRPr="009E5034">
              <w:rPr>
                <w:sz w:val="22"/>
                <w:szCs w:val="22"/>
              </w:rPr>
              <w:t>88</w:t>
            </w:r>
          </w:p>
        </w:tc>
        <w:tc>
          <w:tcPr>
            <w:tcW w:w="561" w:type="pct"/>
            <w:noWrap/>
            <w:vAlign w:val="bottom"/>
          </w:tcPr>
          <w:p w:rsidR="00F164EF" w:rsidRPr="009E5034" w:rsidRDefault="00F164EF" w:rsidP="009E5034">
            <w:pPr>
              <w:pStyle w:val="Tableau"/>
              <w:ind w:left="1"/>
              <w:jc w:val="left"/>
              <w:rPr>
                <w:sz w:val="22"/>
                <w:szCs w:val="22"/>
              </w:rPr>
            </w:pPr>
            <w:r w:rsidRPr="009E5034">
              <w:rPr>
                <w:sz w:val="22"/>
                <w:szCs w:val="22"/>
              </w:rPr>
              <w:t>230</w:t>
            </w:r>
          </w:p>
        </w:tc>
      </w:tr>
      <w:tr w:rsidR="00F164EF" w:rsidRPr="009E5034" w:rsidTr="00072CBC">
        <w:trPr>
          <w:trHeight w:val="300"/>
          <w:jc w:val="center"/>
        </w:trPr>
        <w:tc>
          <w:tcPr>
            <w:tcW w:w="3941" w:type="pct"/>
            <w:noWrap/>
            <w:vAlign w:val="bottom"/>
          </w:tcPr>
          <w:p w:rsidR="00F164EF" w:rsidRPr="009E5034" w:rsidRDefault="00F164EF" w:rsidP="009E5034">
            <w:pPr>
              <w:pStyle w:val="Tableau"/>
              <w:ind w:left="1"/>
              <w:jc w:val="left"/>
              <w:rPr>
                <w:sz w:val="22"/>
                <w:szCs w:val="22"/>
              </w:rPr>
            </w:pPr>
            <w:r w:rsidRPr="009E5034">
              <w:rPr>
                <w:sz w:val="22"/>
                <w:szCs w:val="22"/>
              </w:rPr>
              <w:t>Conjonctivites</w:t>
            </w:r>
          </w:p>
        </w:tc>
        <w:tc>
          <w:tcPr>
            <w:tcW w:w="498" w:type="pct"/>
            <w:noWrap/>
            <w:vAlign w:val="bottom"/>
          </w:tcPr>
          <w:p w:rsidR="00F164EF" w:rsidRPr="009E5034" w:rsidRDefault="00F164EF" w:rsidP="009E5034">
            <w:pPr>
              <w:pStyle w:val="Tableau"/>
              <w:ind w:left="1"/>
              <w:jc w:val="left"/>
              <w:rPr>
                <w:sz w:val="22"/>
                <w:szCs w:val="22"/>
              </w:rPr>
            </w:pPr>
            <w:r w:rsidRPr="009E5034">
              <w:rPr>
                <w:sz w:val="22"/>
                <w:szCs w:val="22"/>
              </w:rPr>
              <w:t>668</w:t>
            </w:r>
          </w:p>
        </w:tc>
        <w:tc>
          <w:tcPr>
            <w:tcW w:w="561" w:type="pct"/>
            <w:noWrap/>
            <w:vAlign w:val="bottom"/>
          </w:tcPr>
          <w:p w:rsidR="00F164EF" w:rsidRPr="009E5034" w:rsidRDefault="00F164EF" w:rsidP="009E5034">
            <w:pPr>
              <w:pStyle w:val="Tableau"/>
              <w:ind w:left="1"/>
              <w:jc w:val="left"/>
              <w:rPr>
                <w:sz w:val="22"/>
                <w:szCs w:val="22"/>
              </w:rPr>
            </w:pPr>
            <w:r w:rsidRPr="009E5034">
              <w:rPr>
                <w:sz w:val="22"/>
                <w:szCs w:val="22"/>
              </w:rPr>
              <w:t>1 795</w:t>
            </w:r>
          </w:p>
        </w:tc>
      </w:tr>
    </w:tbl>
    <w:p w:rsidR="00F164EF" w:rsidRPr="009E5034" w:rsidRDefault="00F164EF" w:rsidP="009E5034">
      <w:pPr>
        <w:spacing w:before="120" w:after="120"/>
        <w:ind w:left="0"/>
        <w:jc w:val="left"/>
        <w:rPr>
          <w:sz w:val="22"/>
          <w:szCs w:val="22"/>
        </w:rPr>
      </w:pPr>
      <w:r w:rsidRPr="009E5034">
        <w:rPr>
          <w:sz w:val="22"/>
          <w:szCs w:val="22"/>
        </w:rPr>
        <w:t>Les épidémies de choléra constituent un phénomène récurrents dans la région (1971, 1976, 1983, 1995 et 1997). Cet état cruel est dû principalement au manque de suivi rigoureux des conditions d’hygiène et d’assainissement dans la commune et plus particulièrement à l’abandon systématique des ordures, des eaux usées et des excréta aux abords immédiats des lieux d’habitation, la stagnation des eaux météoriques en grandes flaques et la bouchure des caniveaux putrides.</w:t>
      </w:r>
    </w:p>
    <w:p w:rsidR="00F164EF" w:rsidRPr="009E5034" w:rsidRDefault="00F164EF" w:rsidP="009E5034">
      <w:pPr>
        <w:spacing w:after="240"/>
        <w:ind w:left="0"/>
        <w:jc w:val="left"/>
        <w:rPr>
          <w:rStyle w:val="Strong"/>
          <w:rFonts w:eastAsia="MS Mincho"/>
          <w:sz w:val="22"/>
          <w:szCs w:val="22"/>
        </w:rPr>
      </w:pPr>
      <w:bookmarkStart w:id="174" w:name="_Toc253580384"/>
      <w:bookmarkStart w:id="175" w:name="_Toc261170229"/>
      <w:r w:rsidRPr="009E5034">
        <w:rPr>
          <w:rStyle w:val="Strong"/>
          <w:rFonts w:eastAsia="MS Mincho"/>
          <w:sz w:val="22"/>
          <w:szCs w:val="22"/>
        </w:rPr>
        <w:t>3. Activités économiques</w:t>
      </w:r>
      <w:bookmarkEnd w:id="174"/>
      <w:bookmarkEnd w:id="175"/>
    </w:p>
    <w:p w:rsidR="00F164EF" w:rsidRPr="009E5034" w:rsidRDefault="00F164EF" w:rsidP="009E5034">
      <w:pPr>
        <w:spacing w:after="240"/>
        <w:ind w:left="0"/>
        <w:jc w:val="left"/>
        <w:rPr>
          <w:rStyle w:val="Strong"/>
          <w:rFonts w:eastAsia="MS Mincho"/>
          <w:sz w:val="22"/>
          <w:szCs w:val="22"/>
        </w:rPr>
      </w:pPr>
      <w:bookmarkStart w:id="176" w:name="_Toc253580385"/>
      <w:bookmarkStart w:id="177" w:name="_Toc261170230"/>
      <w:r w:rsidRPr="009E5034">
        <w:rPr>
          <w:rStyle w:val="Strong"/>
          <w:rFonts w:eastAsia="MS Mincho"/>
          <w:sz w:val="22"/>
          <w:szCs w:val="22"/>
        </w:rPr>
        <w:t>3.1. Agriculture et élevage</w:t>
      </w:r>
      <w:bookmarkEnd w:id="176"/>
      <w:bookmarkEnd w:id="177"/>
    </w:p>
    <w:p w:rsidR="00F164EF" w:rsidRPr="009E5034" w:rsidRDefault="00F164EF" w:rsidP="009E5034">
      <w:pPr>
        <w:spacing w:before="120" w:after="120"/>
        <w:ind w:left="0"/>
        <w:jc w:val="left"/>
        <w:rPr>
          <w:sz w:val="22"/>
          <w:szCs w:val="22"/>
        </w:rPr>
      </w:pPr>
      <w:r w:rsidRPr="009E5034">
        <w:rPr>
          <w:sz w:val="22"/>
          <w:szCs w:val="22"/>
        </w:rPr>
        <w:t>L’agriculture occupe une place très importante dans l'économie de la ville de Mopti, elle est basée essentiellement sur la culture du riz, quelques spéculations de céréales comme le mil, le maïs et sur des cultures maraîchères pratiquée surtout pendant la saison sèche.</w:t>
      </w:r>
    </w:p>
    <w:p w:rsidR="00F164EF" w:rsidRPr="009E5034" w:rsidRDefault="00F164EF" w:rsidP="009E5034">
      <w:pPr>
        <w:spacing w:before="120" w:after="120"/>
        <w:ind w:left="0"/>
        <w:jc w:val="left"/>
        <w:rPr>
          <w:sz w:val="22"/>
          <w:szCs w:val="22"/>
        </w:rPr>
      </w:pPr>
      <w:r w:rsidRPr="009E5034">
        <w:rPr>
          <w:sz w:val="22"/>
          <w:szCs w:val="22"/>
        </w:rPr>
        <w:t>La culture du riz qui est la plus importante est encadrée par l'Office Riz Mopti (ORM), celui-ci dispose à l’échelle du pays de 16 casiers de submersion contrôlée et de 18 sites de périmètres irrigués.</w:t>
      </w:r>
    </w:p>
    <w:p w:rsidR="00F164EF" w:rsidRPr="009E5034" w:rsidRDefault="00F164EF" w:rsidP="009E5034">
      <w:pPr>
        <w:spacing w:before="120" w:after="120"/>
        <w:ind w:left="0"/>
        <w:jc w:val="left"/>
        <w:rPr>
          <w:sz w:val="22"/>
          <w:szCs w:val="22"/>
        </w:rPr>
      </w:pPr>
      <w:r w:rsidRPr="009E5034">
        <w:rPr>
          <w:sz w:val="22"/>
          <w:szCs w:val="22"/>
        </w:rPr>
        <w:t xml:space="preserve">Au niveau de la commune urbaine de Mopti, l'ORM dispose de deux casiers, le casier Nord et le casier Sud. Les superficies aménagées sont de l’ordre de 8500 hectares pour environ 2000 exploitations. La production est variable entre 5 et 6 Tonnes de riz par an pour des rendements au niveau des terres cultivées de l’ordre de </w:t>
      </w:r>
      <w:smartTag w:uri="urn:schemas-microsoft-com:office:smarttags" w:element="metricconverter">
        <w:smartTagPr>
          <w:attr w:name="ProductID" w:val="1400 kg"/>
        </w:smartTagPr>
        <w:r w:rsidRPr="009E5034">
          <w:rPr>
            <w:sz w:val="22"/>
            <w:szCs w:val="22"/>
          </w:rPr>
          <w:t>1400 kg</w:t>
        </w:r>
      </w:smartTag>
      <w:r w:rsidRPr="009E5034">
        <w:rPr>
          <w:sz w:val="22"/>
          <w:szCs w:val="22"/>
        </w:rPr>
        <w:t xml:space="preserve"> à l’hectare.</w:t>
      </w:r>
    </w:p>
    <w:p w:rsidR="00F164EF" w:rsidRPr="009E5034" w:rsidRDefault="00F164EF" w:rsidP="009E5034">
      <w:pPr>
        <w:ind w:left="0"/>
        <w:jc w:val="left"/>
        <w:rPr>
          <w:sz w:val="22"/>
          <w:szCs w:val="22"/>
        </w:rPr>
      </w:pPr>
      <w:r w:rsidRPr="009E5034">
        <w:rPr>
          <w:sz w:val="22"/>
          <w:szCs w:val="22"/>
        </w:rPr>
        <w:t>L’élevage occupe le second rang après les activités de la pêche au niveau de la commune urbaine. La région de Mopti est en général pauvre en pâturage et le cheptel est ainsi en perpétuel transhumance entre les différentes régions avoisinantes.</w:t>
      </w:r>
    </w:p>
    <w:p w:rsidR="00F164EF" w:rsidRPr="009E5034" w:rsidRDefault="00F164EF" w:rsidP="009E5034">
      <w:pPr>
        <w:spacing w:before="120" w:after="120"/>
        <w:ind w:left="0"/>
        <w:jc w:val="left"/>
        <w:rPr>
          <w:i/>
          <w:iCs/>
          <w:sz w:val="22"/>
          <w:szCs w:val="22"/>
        </w:rPr>
      </w:pPr>
      <w:r w:rsidRPr="009E5034">
        <w:rPr>
          <w:sz w:val="22"/>
          <w:szCs w:val="22"/>
        </w:rPr>
        <w:t>Les produits de l'élevage sont destinés à l'abattage sur place dans la commune et aux régions du sud du pays comme Ségou, Sikasso et Bamako. Mopti exporte du bétail essentiellement en direction de la République du Côte d’Ivoire et du Burkina Faso.</w:t>
      </w:r>
    </w:p>
    <w:p w:rsidR="00F164EF" w:rsidRPr="009E5034" w:rsidRDefault="00F164EF" w:rsidP="009E5034">
      <w:pPr>
        <w:spacing w:after="240"/>
        <w:ind w:left="0"/>
        <w:jc w:val="left"/>
        <w:rPr>
          <w:rStyle w:val="Strong"/>
          <w:rFonts w:eastAsia="MS Mincho"/>
          <w:sz w:val="22"/>
          <w:szCs w:val="22"/>
        </w:rPr>
      </w:pPr>
      <w:bookmarkStart w:id="178" w:name="_Toc253580386"/>
      <w:bookmarkStart w:id="179" w:name="_Toc261170231"/>
      <w:r w:rsidRPr="009E5034">
        <w:rPr>
          <w:rStyle w:val="Strong"/>
          <w:rFonts w:eastAsia="MS Mincho"/>
          <w:sz w:val="22"/>
          <w:szCs w:val="22"/>
        </w:rPr>
        <w:t>3.2. Pêche</w:t>
      </w:r>
      <w:bookmarkEnd w:id="178"/>
      <w:bookmarkEnd w:id="179"/>
    </w:p>
    <w:p w:rsidR="00F164EF" w:rsidRPr="009E5034" w:rsidRDefault="00F164EF" w:rsidP="009E5034">
      <w:pPr>
        <w:spacing w:before="120" w:after="120"/>
        <w:ind w:left="0"/>
        <w:jc w:val="left"/>
        <w:rPr>
          <w:sz w:val="22"/>
          <w:szCs w:val="22"/>
        </w:rPr>
      </w:pPr>
      <w:r w:rsidRPr="009E5034">
        <w:rPr>
          <w:sz w:val="22"/>
          <w:szCs w:val="22"/>
        </w:rPr>
        <w:t>La pêche constitue l’une des activités les plus florissantes de la ville de Mopti, elle est pratiquée dans le fleuve de Bani et celui du Niger. La production de poisson fumé constitue une spécificité pour la ville de Mopti, elle fait depuis longtemps sa  réputation sur le plan tant national que régional. Les quantités de poisson transformé d’une manière générale au cours de l'année 2005 s'élèvent à 2 736 T; ils se répartissent en 53% de poissons fumés, 32% de poissons brulé et de 15% de poissons séché. Les principaux marchés pourvus à l'intérieur du Mali sont: Sikasso, Ségou et Bamako.  Au cours de 2005, Mopti a servi ces marchés en poisson avec au total 1 685 T dont 35,26% pour Sikasso, 19,82% pour Ségou et 34,61%  pour Bamako. Le marché extérieur a absorbé 131 T de poisson en provenance de Mopti; ce poisson a été destiné principalement aux pays comme la République de Cote d’Ivoire et le Burkina Faso.</w:t>
      </w:r>
    </w:p>
    <w:p w:rsidR="00F164EF" w:rsidRPr="009E5034" w:rsidRDefault="00F164EF" w:rsidP="009E5034">
      <w:pPr>
        <w:spacing w:before="120" w:after="120"/>
        <w:ind w:left="0"/>
        <w:jc w:val="left"/>
        <w:rPr>
          <w:sz w:val="22"/>
          <w:szCs w:val="22"/>
        </w:rPr>
      </w:pPr>
      <w:r w:rsidRPr="009E5034">
        <w:rPr>
          <w:sz w:val="22"/>
          <w:szCs w:val="22"/>
        </w:rPr>
        <w:t>En ce qui concerne la production du poisson frais,  elle était de 770 T au cours de 2005 dont la presque totalité, 755 T, vendu à l'intérieur du Mali.</w:t>
      </w:r>
    </w:p>
    <w:p w:rsidR="00F164EF" w:rsidRPr="009E5034" w:rsidRDefault="00F164EF" w:rsidP="009E5034">
      <w:pPr>
        <w:spacing w:after="240"/>
        <w:ind w:left="0"/>
        <w:jc w:val="left"/>
        <w:rPr>
          <w:rStyle w:val="Strong"/>
          <w:rFonts w:eastAsia="MS Mincho"/>
          <w:sz w:val="22"/>
          <w:szCs w:val="22"/>
        </w:rPr>
      </w:pPr>
      <w:bookmarkStart w:id="180" w:name="_Toc253580387"/>
      <w:bookmarkStart w:id="181" w:name="_Toc261170232"/>
      <w:r w:rsidRPr="009E5034">
        <w:rPr>
          <w:rStyle w:val="Strong"/>
          <w:rFonts w:eastAsia="MS Mincho"/>
          <w:sz w:val="22"/>
          <w:szCs w:val="22"/>
        </w:rPr>
        <w:t>3.3. Industrie</w:t>
      </w:r>
      <w:bookmarkEnd w:id="180"/>
      <w:bookmarkEnd w:id="181"/>
    </w:p>
    <w:p w:rsidR="00F164EF" w:rsidRPr="009E5034" w:rsidRDefault="00F164EF" w:rsidP="009E5034">
      <w:pPr>
        <w:spacing w:before="120" w:after="120"/>
        <w:ind w:left="0"/>
        <w:jc w:val="left"/>
        <w:rPr>
          <w:sz w:val="22"/>
          <w:szCs w:val="22"/>
        </w:rPr>
      </w:pPr>
      <w:r w:rsidRPr="009E5034">
        <w:rPr>
          <w:sz w:val="22"/>
          <w:szCs w:val="22"/>
        </w:rPr>
        <w:t>Le secteur industriel dans la commune de Mopti est essentiellement marqué par la présence d’une centrale thermique EDM implantée à Sévaré ; d’une trentaine d’entreprises de bâtiments et de travaux publics réparties sur l’espace communal, d’un parc métallique; d’un abattoir, de deux usines laitières artisanales ainsi que d’un ensemble de carrières de sable à Bargondaga et de carrières de latérite à Horéguendé et Barbé constituant  les sources d’approvisionnement de la commune en matériaux de construction.</w:t>
      </w:r>
    </w:p>
    <w:p w:rsidR="00F164EF" w:rsidRPr="009E5034" w:rsidRDefault="00F164EF" w:rsidP="009E5034">
      <w:pPr>
        <w:spacing w:before="120" w:after="120"/>
        <w:ind w:left="0"/>
        <w:jc w:val="left"/>
        <w:rPr>
          <w:sz w:val="22"/>
          <w:szCs w:val="22"/>
        </w:rPr>
      </w:pPr>
      <w:r w:rsidRPr="009E5034">
        <w:rPr>
          <w:sz w:val="22"/>
          <w:szCs w:val="22"/>
        </w:rPr>
        <w:t xml:space="preserve">Le secteur artisanal est au contraire relativement développé au niveau de la commune urbaine de Mopti, il est représenté essentiellement par les potières, les sculpteurs, les bijoutiers, les maçons, les teinturiers et les cordonniers. </w:t>
      </w:r>
    </w:p>
    <w:p w:rsidR="00F164EF" w:rsidRPr="009E5034" w:rsidRDefault="00F164EF" w:rsidP="009E5034">
      <w:pPr>
        <w:spacing w:after="240"/>
        <w:ind w:left="0"/>
        <w:jc w:val="left"/>
        <w:rPr>
          <w:rStyle w:val="Strong"/>
          <w:rFonts w:eastAsia="MS Mincho"/>
          <w:sz w:val="22"/>
          <w:szCs w:val="22"/>
        </w:rPr>
      </w:pPr>
      <w:bookmarkStart w:id="182" w:name="_Toc253580388"/>
      <w:bookmarkStart w:id="183" w:name="_Toc261170233"/>
      <w:r w:rsidRPr="009E5034">
        <w:rPr>
          <w:rStyle w:val="Strong"/>
          <w:rFonts w:eastAsia="MS Mincho"/>
          <w:sz w:val="22"/>
          <w:szCs w:val="22"/>
        </w:rPr>
        <w:t>3.4. Transport</w:t>
      </w:r>
      <w:bookmarkEnd w:id="182"/>
      <w:bookmarkEnd w:id="183"/>
    </w:p>
    <w:p w:rsidR="00F164EF" w:rsidRPr="009E5034" w:rsidRDefault="00F164EF" w:rsidP="009E5034">
      <w:pPr>
        <w:ind w:left="0"/>
        <w:jc w:val="left"/>
        <w:rPr>
          <w:sz w:val="22"/>
          <w:szCs w:val="22"/>
        </w:rPr>
      </w:pPr>
      <w:r w:rsidRPr="009E5034">
        <w:rPr>
          <w:sz w:val="22"/>
          <w:szCs w:val="22"/>
        </w:rPr>
        <w:t>La commune de Mopti dispose de deux gares fluviales à savoir : le port de pêche et  l'escale COMANAV. Selon la COMANAV, qui assure les transports fluviaux, le régime du fleuve Niger dépend étroitement de la situation des crues qui débute à partir du mois de juillet et prend fin en janvier. A partir de février, le fleuve n'est plus navigable en raison de l'insuffisance d'eau. Mais, il est prévisible qu'avec la construction du barrage de Taoussa, la navigation sera possible 11 mois sur 12 (jusqu'au mois de mai)</w:t>
      </w:r>
    </w:p>
    <w:p w:rsidR="00F164EF" w:rsidRPr="009E5034" w:rsidRDefault="00F164EF" w:rsidP="009E5034">
      <w:pPr>
        <w:ind w:left="0"/>
        <w:jc w:val="left"/>
        <w:rPr>
          <w:sz w:val="22"/>
          <w:szCs w:val="22"/>
        </w:rPr>
      </w:pPr>
      <w:r w:rsidRPr="009E5034">
        <w:rPr>
          <w:sz w:val="22"/>
          <w:szCs w:val="22"/>
        </w:rPr>
        <w:t>La circulation fluviale est plus dense à Mopti que partout ailleurs au Mali. Le parc fluvial est bien fourni et en constante progression. Les engins fluviaux (pirogues, pinasses) évoluent dans tous les sens sur les deux fleuves Bani et Niger; de jour et de nuit sans balise. Les risques de collision sont donc grands. De nombreux  accidents avec souvent morts d’hommes ont déjà été enregistrés.</w:t>
      </w:r>
    </w:p>
    <w:p w:rsidR="00F164EF" w:rsidRPr="009E5034" w:rsidRDefault="00F164EF" w:rsidP="009E5034">
      <w:pPr>
        <w:ind w:left="0"/>
        <w:jc w:val="left"/>
        <w:rPr>
          <w:sz w:val="22"/>
          <w:szCs w:val="22"/>
        </w:rPr>
      </w:pPr>
      <w:r w:rsidRPr="009E5034">
        <w:rPr>
          <w:sz w:val="22"/>
          <w:szCs w:val="22"/>
        </w:rPr>
        <w:t>En terre, le réseau routier est constitué de trois routes nationales arrivant à Sevaré sous forme de pénétrantes urbaine. Le réseau routier interne reliant Mopti à Sévaré</w:t>
      </w:r>
      <w:r w:rsidR="004C7D05">
        <w:rPr>
          <w:sz w:val="22"/>
          <w:szCs w:val="22"/>
        </w:rPr>
        <w:t xml:space="preserve"> </w:t>
      </w:r>
      <w:r w:rsidRPr="009E5034">
        <w:rPr>
          <w:sz w:val="22"/>
          <w:szCs w:val="22"/>
        </w:rPr>
        <w:t xml:space="preserve">s’étend sur une longueur de 88,75Km dont </w:t>
      </w:r>
      <w:smartTag w:uri="urn:schemas-microsoft-com:office:smarttags" w:element="metricconverter">
        <w:smartTagPr>
          <w:attr w:name="ProductID" w:val="20,70 Km"/>
        </w:smartTagPr>
        <w:r w:rsidRPr="009E5034">
          <w:rPr>
            <w:sz w:val="22"/>
            <w:szCs w:val="22"/>
          </w:rPr>
          <w:t>20,70 Km</w:t>
        </w:r>
      </w:smartTag>
      <w:r w:rsidRPr="009E5034">
        <w:rPr>
          <w:sz w:val="22"/>
          <w:szCs w:val="22"/>
        </w:rPr>
        <w:t xml:space="preserve"> sont aménagés (soit un taux de 23%) et 68,05Km sont non aménagés (soit 67%). Le transport routier est assuré par</w:t>
      </w:r>
      <w:r w:rsidR="004C7D05">
        <w:rPr>
          <w:sz w:val="22"/>
          <w:szCs w:val="22"/>
        </w:rPr>
        <w:t xml:space="preserve"> </w:t>
      </w:r>
      <w:r w:rsidRPr="009E5034">
        <w:rPr>
          <w:sz w:val="22"/>
          <w:szCs w:val="22"/>
        </w:rPr>
        <w:t>au moins 13 compagnies de transport interurbain Mopti – Bamako, 4 compagnies Mopti – Sikasso et 90 Taxis et 70 Bâchées qui desservent Mopti, Médina-Coura et Sévaré.</w:t>
      </w:r>
    </w:p>
    <w:p w:rsidR="00F164EF" w:rsidRPr="009E5034" w:rsidRDefault="00F164EF" w:rsidP="009E5034">
      <w:pPr>
        <w:ind w:left="0"/>
        <w:jc w:val="left"/>
        <w:rPr>
          <w:sz w:val="22"/>
          <w:szCs w:val="22"/>
        </w:rPr>
      </w:pPr>
      <w:r w:rsidRPr="009E5034">
        <w:rPr>
          <w:sz w:val="22"/>
          <w:szCs w:val="22"/>
        </w:rPr>
        <w:t>Dans la commune de Mopti, le réseau routier est totalement vétuste. Les voies bitumées réalisées pour la plupart depuis l’indépendance (ou peu avant) sont dans un piteux état, faute d’entretien. Les seules grandes réfections des voies bitumées communales remontent à 1980. Depuis lors, un processus régulier de dégradation a commencé. Ce taux de dégradation est estimé actuellement à près de 75%. A l’intérieur des quartiers de la ville de Mopti, la voirie se compose de ruelles étroites et très insalubres. A Sévaré, les rues de quartiers sont larges mais non aménagées. Les divers travaux de la COCAN, tant à Mopti qu’à Sévaré, ont permis d’avoir des axes intra-urbains plus ouverts.</w:t>
      </w:r>
    </w:p>
    <w:p w:rsidR="00F164EF" w:rsidRPr="009E5034" w:rsidRDefault="00F164EF" w:rsidP="009E5034">
      <w:pPr>
        <w:spacing w:before="120" w:after="120"/>
        <w:ind w:left="0"/>
        <w:jc w:val="left"/>
        <w:rPr>
          <w:sz w:val="22"/>
          <w:szCs w:val="22"/>
        </w:rPr>
      </w:pPr>
      <w:r w:rsidRPr="009E5034">
        <w:rPr>
          <w:sz w:val="22"/>
          <w:szCs w:val="22"/>
        </w:rPr>
        <w:t>Classé aéroport International, l’Aéroport de Sévaré, réalisé vers 1977-</w:t>
      </w:r>
      <w:smartTag w:uri="urn:schemas-microsoft-com:office:smarttags" w:element="metricconverter">
        <w:smartTagPr>
          <w:attr w:name="ProductID" w:val="78, a"/>
        </w:smartTagPr>
        <w:r w:rsidRPr="009E5034">
          <w:rPr>
            <w:sz w:val="22"/>
            <w:szCs w:val="22"/>
          </w:rPr>
          <w:t>78, a</w:t>
        </w:r>
      </w:smartTag>
      <w:r w:rsidRPr="009E5034">
        <w:rPr>
          <w:sz w:val="22"/>
          <w:szCs w:val="22"/>
        </w:rPr>
        <w:t xml:space="preserve"> bénéficié de nouveaux équipements, ainsi que de la délimitation de son domaine. Une clôture de la zone de sécurité a été réalisée et les bâtiments dont la tour de contrôle, les pistes et les voies d’accès ont été repris totalement afin de répondre aux normes internationales. L’aéroport  reçoit aujourd’hui directement des vols charters en provenance de l’Europe avec les touristes.</w:t>
      </w:r>
    </w:p>
    <w:p w:rsidR="00F164EF" w:rsidRPr="009E5034" w:rsidRDefault="00F164EF" w:rsidP="009E5034">
      <w:pPr>
        <w:spacing w:after="240"/>
        <w:ind w:left="0"/>
        <w:jc w:val="left"/>
        <w:rPr>
          <w:rStyle w:val="Strong"/>
          <w:rFonts w:eastAsia="MS Mincho"/>
          <w:sz w:val="22"/>
          <w:szCs w:val="22"/>
        </w:rPr>
      </w:pPr>
      <w:bookmarkStart w:id="184" w:name="_Toc253580389"/>
      <w:bookmarkStart w:id="185" w:name="_Toc261170234"/>
      <w:r w:rsidRPr="009E5034">
        <w:rPr>
          <w:rStyle w:val="Strong"/>
          <w:rFonts w:eastAsia="MS Mincho"/>
          <w:sz w:val="22"/>
          <w:szCs w:val="22"/>
        </w:rPr>
        <w:t>3.5. Tourisme</w:t>
      </w:r>
      <w:bookmarkEnd w:id="184"/>
      <w:bookmarkEnd w:id="185"/>
    </w:p>
    <w:p w:rsidR="00F164EF" w:rsidRPr="009E5034" w:rsidRDefault="00F164EF" w:rsidP="009E5034">
      <w:pPr>
        <w:spacing w:before="120" w:after="120"/>
        <w:ind w:left="0"/>
        <w:jc w:val="left"/>
        <w:rPr>
          <w:sz w:val="22"/>
          <w:szCs w:val="22"/>
        </w:rPr>
      </w:pPr>
      <w:r w:rsidRPr="009E5034">
        <w:rPr>
          <w:sz w:val="22"/>
          <w:szCs w:val="22"/>
        </w:rPr>
        <w:t>Parmi les destinations touristiques qu’offre le Mali, la région de Mopti  occupe une place focale avec ses nombreux sites de renommée internationale. La commune de Mopti renferme certains de ces sites célèbres. Le tourisme y revêt un aspect culturel et est géré par le bureau régional de l’OMATHO (Office Malien du Tourisme et de l’Hôtellerie).</w:t>
      </w:r>
    </w:p>
    <w:p w:rsidR="00F164EF" w:rsidRPr="009E5034" w:rsidRDefault="00F164EF" w:rsidP="009E5034">
      <w:pPr>
        <w:ind w:left="0"/>
        <w:jc w:val="left"/>
        <w:rPr>
          <w:sz w:val="22"/>
          <w:szCs w:val="22"/>
        </w:rPr>
      </w:pPr>
      <w:r w:rsidRPr="009E5034">
        <w:rPr>
          <w:sz w:val="22"/>
          <w:szCs w:val="22"/>
        </w:rPr>
        <w:t>Malgré ses grandes potentialités touristiques, la région de Mopti ne dispose pas jusqu’à présent ni de projets, ni de programmes de développement du tourisme. Le plan directeur de développement touristique du Mali prévoit tout de même la création d’un centre de coordination des activités touristiques à Mopti, ce centre n’a pas vu encore le jour.</w:t>
      </w:r>
    </w:p>
    <w:p w:rsidR="00F164EF" w:rsidRPr="009E5034" w:rsidRDefault="00F164EF" w:rsidP="009E5034">
      <w:pPr>
        <w:spacing w:before="120" w:after="120"/>
        <w:ind w:left="0"/>
        <w:jc w:val="left"/>
        <w:rPr>
          <w:sz w:val="22"/>
          <w:szCs w:val="22"/>
        </w:rPr>
      </w:pPr>
      <w:r w:rsidRPr="009E5034">
        <w:rPr>
          <w:sz w:val="22"/>
          <w:szCs w:val="22"/>
        </w:rPr>
        <w:t>Sur le plan des infrastructures hôtelières, la commune urbaine de Mopti compte 31 unités d’hébergement (1 Motel; 1 Relais Touristique; 13 Hôtels de moyen standing; 3 Auberges). L’ensemble de ces établissements offre 278 chambres dont 19 suites pour 371 lits. Le nombre total de touristes ayant visité Mopti durant la période 2004-2006 est en permanente croissance.</w:t>
      </w:r>
    </w:p>
    <w:p w:rsidR="00F164EF" w:rsidRPr="009E5034" w:rsidRDefault="00F164EF" w:rsidP="009E5034">
      <w:pPr>
        <w:pStyle w:val="Caption"/>
        <w:ind w:left="899"/>
        <w:rPr>
          <w:rStyle w:val="Emphasis"/>
          <w:sz w:val="22"/>
          <w:szCs w:val="22"/>
        </w:rPr>
      </w:pPr>
      <w:r w:rsidRPr="009E5034">
        <w:rPr>
          <w:rStyle w:val="Emphasis"/>
          <w:sz w:val="22"/>
          <w:szCs w:val="22"/>
        </w:rPr>
        <w:t xml:space="preserve">Tableau A3.4 : </w:t>
      </w:r>
      <w:bookmarkStart w:id="186" w:name="_Toc252453608"/>
      <w:r w:rsidRPr="009E5034">
        <w:rPr>
          <w:rStyle w:val="Emphasis"/>
          <w:sz w:val="22"/>
          <w:szCs w:val="22"/>
        </w:rPr>
        <w:t>Nombre de touristes</w:t>
      </w:r>
      <w:bookmarkEnd w:id="186"/>
    </w:p>
    <w:tbl>
      <w:tblPr>
        <w:tblW w:w="5000" w:type="pct"/>
        <w:jc w:val="center"/>
        <w:tblCellMar>
          <w:left w:w="70" w:type="dxa"/>
          <w:right w:w="70" w:type="dxa"/>
        </w:tblCellMar>
        <w:tblLook w:val="0000"/>
      </w:tblPr>
      <w:tblGrid>
        <w:gridCol w:w="1580"/>
        <w:gridCol w:w="1140"/>
        <w:gridCol w:w="1390"/>
        <w:gridCol w:w="1138"/>
        <w:gridCol w:w="1390"/>
        <w:gridCol w:w="1138"/>
        <w:gridCol w:w="1390"/>
      </w:tblGrid>
      <w:tr w:rsidR="00F164EF" w:rsidRPr="009E5034" w:rsidTr="00183B56">
        <w:trPr>
          <w:trHeight w:val="495"/>
          <w:jc w:val="center"/>
        </w:trPr>
        <w:tc>
          <w:tcPr>
            <w:tcW w:w="862" w:type="pct"/>
            <w:vMerge w:val="restart"/>
            <w:tcBorders>
              <w:top w:val="single" w:sz="8" w:space="0" w:color="auto"/>
              <w:left w:val="single" w:sz="8" w:space="0" w:color="auto"/>
              <w:bottom w:val="single" w:sz="8" w:space="0" w:color="000000"/>
              <w:right w:val="single" w:sz="8" w:space="0" w:color="auto"/>
              <w:tl2br w:val="single" w:sz="4" w:space="0" w:color="auto"/>
            </w:tcBorders>
            <w:shd w:val="clear" w:color="auto" w:fill="FFFFFF"/>
            <w:vAlign w:val="center"/>
          </w:tcPr>
          <w:p w:rsidR="00F164EF" w:rsidRPr="009E5034" w:rsidRDefault="00F164EF" w:rsidP="009E5034">
            <w:pPr>
              <w:pStyle w:val="Tableau"/>
              <w:ind w:left="1"/>
              <w:jc w:val="left"/>
              <w:rPr>
                <w:sz w:val="22"/>
                <w:szCs w:val="22"/>
              </w:rPr>
            </w:pPr>
            <w:r w:rsidRPr="009E5034">
              <w:rPr>
                <w:sz w:val="22"/>
                <w:szCs w:val="22"/>
              </w:rPr>
              <w:t xml:space="preserve">          Années         Catégories                                           </w:t>
            </w:r>
          </w:p>
        </w:tc>
        <w:tc>
          <w:tcPr>
            <w:tcW w:w="1380" w:type="pct"/>
            <w:gridSpan w:val="2"/>
            <w:tcBorders>
              <w:top w:val="single" w:sz="8" w:space="0" w:color="auto"/>
              <w:left w:val="nil"/>
              <w:bottom w:val="single" w:sz="8" w:space="0" w:color="auto"/>
              <w:right w:val="single" w:sz="8" w:space="0" w:color="000000"/>
            </w:tcBorders>
            <w:shd w:val="clear" w:color="auto" w:fill="FFFFFF"/>
            <w:noWrap/>
            <w:vAlign w:val="bottom"/>
          </w:tcPr>
          <w:p w:rsidR="00F164EF" w:rsidRPr="009E5034" w:rsidRDefault="00F164EF" w:rsidP="009E5034">
            <w:pPr>
              <w:pStyle w:val="Tableau"/>
              <w:ind w:left="1"/>
              <w:jc w:val="left"/>
              <w:rPr>
                <w:sz w:val="22"/>
                <w:szCs w:val="22"/>
              </w:rPr>
            </w:pPr>
            <w:r w:rsidRPr="009E5034">
              <w:rPr>
                <w:sz w:val="22"/>
                <w:szCs w:val="22"/>
              </w:rPr>
              <w:t>2 004</w:t>
            </w:r>
          </w:p>
        </w:tc>
        <w:tc>
          <w:tcPr>
            <w:tcW w:w="1379" w:type="pct"/>
            <w:gridSpan w:val="2"/>
            <w:tcBorders>
              <w:top w:val="single" w:sz="8" w:space="0" w:color="auto"/>
              <w:left w:val="nil"/>
              <w:bottom w:val="single" w:sz="8" w:space="0" w:color="auto"/>
              <w:right w:val="single" w:sz="8" w:space="0" w:color="000000"/>
            </w:tcBorders>
            <w:shd w:val="clear" w:color="auto" w:fill="FFFFFF"/>
            <w:noWrap/>
            <w:vAlign w:val="bottom"/>
          </w:tcPr>
          <w:p w:rsidR="00F164EF" w:rsidRPr="009E5034" w:rsidRDefault="00F164EF" w:rsidP="009E5034">
            <w:pPr>
              <w:pStyle w:val="Tableau"/>
              <w:ind w:left="1"/>
              <w:jc w:val="left"/>
              <w:rPr>
                <w:sz w:val="22"/>
                <w:szCs w:val="22"/>
              </w:rPr>
            </w:pPr>
            <w:r w:rsidRPr="009E5034">
              <w:rPr>
                <w:sz w:val="22"/>
                <w:szCs w:val="22"/>
              </w:rPr>
              <w:t>2 005</w:t>
            </w:r>
          </w:p>
        </w:tc>
        <w:tc>
          <w:tcPr>
            <w:tcW w:w="1379" w:type="pct"/>
            <w:gridSpan w:val="2"/>
            <w:tcBorders>
              <w:top w:val="single" w:sz="8" w:space="0" w:color="auto"/>
              <w:left w:val="nil"/>
              <w:bottom w:val="single" w:sz="8" w:space="0" w:color="auto"/>
              <w:right w:val="single" w:sz="8" w:space="0" w:color="000000"/>
            </w:tcBorders>
            <w:shd w:val="clear" w:color="auto" w:fill="FFFFFF"/>
            <w:noWrap/>
            <w:vAlign w:val="bottom"/>
          </w:tcPr>
          <w:p w:rsidR="00F164EF" w:rsidRPr="009E5034" w:rsidRDefault="00F164EF" w:rsidP="009E5034">
            <w:pPr>
              <w:pStyle w:val="Tableau"/>
              <w:ind w:left="1"/>
              <w:jc w:val="left"/>
              <w:rPr>
                <w:sz w:val="22"/>
                <w:szCs w:val="22"/>
              </w:rPr>
            </w:pPr>
            <w:r w:rsidRPr="009E5034">
              <w:rPr>
                <w:sz w:val="22"/>
                <w:szCs w:val="22"/>
              </w:rPr>
              <w:t>2 006</w:t>
            </w:r>
          </w:p>
        </w:tc>
      </w:tr>
      <w:tr w:rsidR="00F164EF" w:rsidRPr="009E5034" w:rsidTr="00183B56">
        <w:trPr>
          <w:trHeight w:val="270"/>
          <w:jc w:val="center"/>
        </w:trPr>
        <w:tc>
          <w:tcPr>
            <w:tcW w:w="862" w:type="pct"/>
            <w:vMerge/>
            <w:tcBorders>
              <w:top w:val="single" w:sz="8" w:space="0" w:color="auto"/>
              <w:left w:val="single" w:sz="8" w:space="0" w:color="auto"/>
              <w:bottom w:val="single" w:sz="8" w:space="0" w:color="000000"/>
              <w:right w:val="single" w:sz="8" w:space="0" w:color="auto"/>
            </w:tcBorders>
            <w:vAlign w:val="center"/>
          </w:tcPr>
          <w:p w:rsidR="00F164EF" w:rsidRPr="009E5034" w:rsidRDefault="00F164EF" w:rsidP="009E5034">
            <w:pPr>
              <w:pStyle w:val="Tableau"/>
              <w:ind w:left="1"/>
              <w:jc w:val="left"/>
              <w:rPr>
                <w:sz w:val="22"/>
                <w:szCs w:val="22"/>
              </w:rPr>
            </w:pPr>
          </w:p>
        </w:tc>
        <w:tc>
          <w:tcPr>
            <w:tcW w:w="622" w:type="pct"/>
            <w:tcBorders>
              <w:top w:val="nil"/>
              <w:left w:val="nil"/>
              <w:bottom w:val="single" w:sz="8" w:space="0" w:color="auto"/>
              <w:right w:val="single" w:sz="8" w:space="0" w:color="auto"/>
            </w:tcBorders>
            <w:shd w:val="clear" w:color="auto" w:fill="FFFFFF"/>
            <w:noWrap/>
            <w:vAlign w:val="bottom"/>
          </w:tcPr>
          <w:p w:rsidR="00F164EF" w:rsidRPr="009E5034" w:rsidRDefault="00F164EF" w:rsidP="009E5034">
            <w:pPr>
              <w:pStyle w:val="Tableau"/>
              <w:ind w:left="1"/>
              <w:jc w:val="left"/>
              <w:rPr>
                <w:sz w:val="22"/>
                <w:szCs w:val="22"/>
              </w:rPr>
            </w:pPr>
            <w:r w:rsidRPr="009E5034">
              <w:rPr>
                <w:sz w:val="22"/>
                <w:szCs w:val="22"/>
              </w:rPr>
              <w:t>Malien</w:t>
            </w:r>
          </w:p>
        </w:tc>
        <w:tc>
          <w:tcPr>
            <w:tcW w:w="758" w:type="pct"/>
            <w:tcBorders>
              <w:top w:val="nil"/>
              <w:left w:val="nil"/>
              <w:bottom w:val="single" w:sz="8" w:space="0" w:color="auto"/>
              <w:right w:val="single" w:sz="8" w:space="0" w:color="auto"/>
            </w:tcBorders>
            <w:shd w:val="clear" w:color="auto" w:fill="FFFFFF"/>
            <w:noWrap/>
            <w:vAlign w:val="bottom"/>
          </w:tcPr>
          <w:p w:rsidR="00F164EF" w:rsidRPr="009E5034" w:rsidRDefault="00F164EF" w:rsidP="009E5034">
            <w:pPr>
              <w:pStyle w:val="Tableau"/>
              <w:ind w:left="1"/>
              <w:jc w:val="left"/>
              <w:rPr>
                <w:sz w:val="22"/>
                <w:szCs w:val="22"/>
              </w:rPr>
            </w:pPr>
            <w:r w:rsidRPr="009E5034">
              <w:rPr>
                <w:sz w:val="22"/>
                <w:szCs w:val="22"/>
              </w:rPr>
              <w:t>Etranger</w:t>
            </w:r>
          </w:p>
        </w:tc>
        <w:tc>
          <w:tcPr>
            <w:tcW w:w="621" w:type="pct"/>
            <w:tcBorders>
              <w:top w:val="nil"/>
              <w:left w:val="nil"/>
              <w:bottom w:val="single" w:sz="8" w:space="0" w:color="auto"/>
              <w:right w:val="single" w:sz="8" w:space="0" w:color="auto"/>
            </w:tcBorders>
            <w:shd w:val="clear" w:color="auto" w:fill="FFFFFF"/>
            <w:noWrap/>
            <w:vAlign w:val="bottom"/>
          </w:tcPr>
          <w:p w:rsidR="00F164EF" w:rsidRPr="009E5034" w:rsidRDefault="00F164EF" w:rsidP="009E5034">
            <w:pPr>
              <w:pStyle w:val="Tableau"/>
              <w:ind w:left="1"/>
              <w:jc w:val="left"/>
              <w:rPr>
                <w:sz w:val="22"/>
                <w:szCs w:val="22"/>
              </w:rPr>
            </w:pPr>
            <w:r w:rsidRPr="009E5034">
              <w:rPr>
                <w:sz w:val="22"/>
                <w:szCs w:val="22"/>
              </w:rPr>
              <w:t>Malien</w:t>
            </w:r>
          </w:p>
        </w:tc>
        <w:tc>
          <w:tcPr>
            <w:tcW w:w="758" w:type="pct"/>
            <w:tcBorders>
              <w:top w:val="nil"/>
              <w:left w:val="nil"/>
              <w:bottom w:val="single" w:sz="8" w:space="0" w:color="auto"/>
              <w:right w:val="single" w:sz="8" w:space="0" w:color="auto"/>
            </w:tcBorders>
            <w:shd w:val="clear" w:color="auto" w:fill="FFFFFF"/>
            <w:noWrap/>
            <w:vAlign w:val="bottom"/>
          </w:tcPr>
          <w:p w:rsidR="00F164EF" w:rsidRPr="009E5034" w:rsidRDefault="00F164EF" w:rsidP="009E5034">
            <w:pPr>
              <w:pStyle w:val="Tableau"/>
              <w:ind w:left="1"/>
              <w:jc w:val="left"/>
              <w:rPr>
                <w:sz w:val="22"/>
                <w:szCs w:val="22"/>
              </w:rPr>
            </w:pPr>
            <w:r w:rsidRPr="009E5034">
              <w:rPr>
                <w:sz w:val="22"/>
                <w:szCs w:val="22"/>
              </w:rPr>
              <w:t>Etranger</w:t>
            </w:r>
          </w:p>
        </w:tc>
        <w:tc>
          <w:tcPr>
            <w:tcW w:w="621" w:type="pct"/>
            <w:tcBorders>
              <w:top w:val="nil"/>
              <w:left w:val="nil"/>
              <w:bottom w:val="single" w:sz="8" w:space="0" w:color="auto"/>
              <w:right w:val="single" w:sz="8" w:space="0" w:color="auto"/>
            </w:tcBorders>
            <w:shd w:val="clear" w:color="auto" w:fill="FFFFFF"/>
            <w:noWrap/>
            <w:vAlign w:val="bottom"/>
          </w:tcPr>
          <w:p w:rsidR="00F164EF" w:rsidRPr="009E5034" w:rsidRDefault="00F164EF" w:rsidP="009E5034">
            <w:pPr>
              <w:pStyle w:val="Tableau"/>
              <w:ind w:left="1"/>
              <w:jc w:val="left"/>
              <w:rPr>
                <w:sz w:val="22"/>
                <w:szCs w:val="22"/>
              </w:rPr>
            </w:pPr>
            <w:r w:rsidRPr="009E5034">
              <w:rPr>
                <w:sz w:val="22"/>
                <w:szCs w:val="22"/>
              </w:rPr>
              <w:t>Malien</w:t>
            </w:r>
          </w:p>
        </w:tc>
        <w:tc>
          <w:tcPr>
            <w:tcW w:w="758" w:type="pct"/>
            <w:tcBorders>
              <w:top w:val="nil"/>
              <w:left w:val="nil"/>
              <w:bottom w:val="single" w:sz="8" w:space="0" w:color="auto"/>
              <w:right w:val="single" w:sz="8" w:space="0" w:color="auto"/>
            </w:tcBorders>
            <w:shd w:val="clear" w:color="auto" w:fill="FFFFFF"/>
            <w:noWrap/>
            <w:vAlign w:val="bottom"/>
          </w:tcPr>
          <w:p w:rsidR="00F164EF" w:rsidRPr="009E5034" w:rsidRDefault="00F164EF" w:rsidP="009E5034">
            <w:pPr>
              <w:pStyle w:val="Tableau"/>
              <w:ind w:left="1"/>
              <w:jc w:val="left"/>
              <w:rPr>
                <w:sz w:val="22"/>
                <w:szCs w:val="22"/>
              </w:rPr>
            </w:pPr>
            <w:r w:rsidRPr="009E5034">
              <w:rPr>
                <w:sz w:val="22"/>
                <w:szCs w:val="22"/>
              </w:rPr>
              <w:t>Etranger</w:t>
            </w:r>
          </w:p>
        </w:tc>
      </w:tr>
      <w:tr w:rsidR="00F164EF" w:rsidRPr="009E5034" w:rsidTr="00183B56">
        <w:trPr>
          <w:trHeight w:val="270"/>
          <w:jc w:val="center"/>
        </w:trPr>
        <w:tc>
          <w:tcPr>
            <w:tcW w:w="862" w:type="pct"/>
            <w:tcBorders>
              <w:top w:val="nil"/>
              <w:left w:val="single" w:sz="8" w:space="0" w:color="auto"/>
              <w:bottom w:val="single" w:sz="8" w:space="0" w:color="auto"/>
              <w:right w:val="single" w:sz="8" w:space="0" w:color="auto"/>
            </w:tcBorders>
            <w:noWrap/>
            <w:vAlign w:val="bottom"/>
          </w:tcPr>
          <w:p w:rsidR="00F164EF" w:rsidRPr="009E5034" w:rsidRDefault="00F164EF" w:rsidP="009E5034">
            <w:pPr>
              <w:pStyle w:val="Tableau"/>
              <w:ind w:left="1"/>
              <w:jc w:val="left"/>
              <w:rPr>
                <w:sz w:val="22"/>
                <w:szCs w:val="22"/>
              </w:rPr>
            </w:pPr>
            <w:r w:rsidRPr="009E5034">
              <w:rPr>
                <w:sz w:val="22"/>
                <w:szCs w:val="22"/>
              </w:rPr>
              <w:t xml:space="preserve">Total </w:t>
            </w:r>
          </w:p>
        </w:tc>
        <w:tc>
          <w:tcPr>
            <w:tcW w:w="622" w:type="pct"/>
            <w:tcBorders>
              <w:top w:val="nil"/>
              <w:left w:val="nil"/>
              <w:bottom w:val="single" w:sz="8" w:space="0" w:color="auto"/>
              <w:right w:val="single" w:sz="8" w:space="0" w:color="auto"/>
            </w:tcBorders>
            <w:noWrap/>
            <w:vAlign w:val="bottom"/>
          </w:tcPr>
          <w:p w:rsidR="00F164EF" w:rsidRPr="009E5034" w:rsidRDefault="00F164EF" w:rsidP="009E5034">
            <w:pPr>
              <w:pStyle w:val="Tableau"/>
              <w:ind w:left="1"/>
              <w:jc w:val="left"/>
              <w:rPr>
                <w:sz w:val="22"/>
                <w:szCs w:val="22"/>
              </w:rPr>
            </w:pPr>
            <w:r w:rsidRPr="009E5034">
              <w:rPr>
                <w:sz w:val="22"/>
                <w:szCs w:val="22"/>
              </w:rPr>
              <w:t>2560</w:t>
            </w:r>
          </w:p>
        </w:tc>
        <w:tc>
          <w:tcPr>
            <w:tcW w:w="758" w:type="pct"/>
            <w:tcBorders>
              <w:top w:val="nil"/>
              <w:left w:val="nil"/>
              <w:bottom w:val="single" w:sz="8" w:space="0" w:color="auto"/>
              <w:right w:val="single" w:sz="8" w:space="0" w:color="auto"/>
            </w:tcBorders>
            <w:noWrap/>
            <w:vAlign w:val="bottom"/>
          </w:tcPr>
          <w:p w:rsidR="00F164EF" w:rsidRPr="009E5034" w:rsidRDefault="00F164EF" w:rsidP="009E5034">
            <w:pPr>
              <w:pStyle w:val="Tableau"/>
              <w:ind w:left="1"/>
              <w:jc w:val="left"/>
              <w:rPr>
                <w:sz w:val="22"/>
                <w:szCs w:val="22"/>
              </w:rPr>
            </w:pPr>
            <w:r w:rsidRPr="009E5034">
              <w:rPr>
                <w:sz w:val="22"/>
                <w:szCs w:val="22"/>
              </w:rPr>
              <w:t>9323</w:t>
            </w:r>
          </w:p>
        </w:tc>
        <w:tc>
          <w:tcPr>
            <w:tcW w:w="621" w:type="pct"/>
            <w:tcBorders>
              <w:top w:val="nil"/>
              <w:left w:val="nil"/>
              <w:bottom w:val="single" w:sz="8" w:space="0" w:color="auto"/>
              <w:right w:val="single" w:sz="8" w:space="0" w:color="auto"/>
            </w:tcBorders>
            <w:noWrap/>
            <w:vAlign w:val="bottom"/>
          </w:tcPr>
          <w:p w:rsidR="00F164EF" w:rsidRPr="009E5034" w:rsidRDefault="00F164EF" w:rsidP="009E5034">
            <w:pPr>
              <w:pStyle w:val="Tableau"/>
              <w:ind w:left="1"/>
              <w:jc w:val="left"/>
              <w:rPr>
                <w:sz w:val="22"/>
                <w:szCs w:val="22"/>
              </w:rPr>
            </w:pPr>
            <w:r w:rsidRPr="009E5034">
              <w:rPr>
                <w:sz w:val="22"/>
                <w:szCs w:val="22"/>
              </w:rPr>
              <w:t>2948</w:t>
            </w:r>
          </w:p>
        </w:tc>
        <w:tc>
          <w:tcPr>
            <w:tcW w:w="758" w:type="pct"/>
            <w:tcBorders>
              <w:top w:val="nil"/>
              <w:left w:val="nil"/>
              <w:bottom w:val="single" w:sz="8" w:space="0" w:color="auto"/>
              <w:right w:val="single" w:sz="8" w:space="0" w:color="auto"/>
            </w:tcBorders>
            <w:noWrap/>
            <w:vAlign w:val="bottom"/>
          </w:tcPr>
          <w:p w:rsidR="00F164EF" w:rsidRPr="009E5034" w:rsidRDefault="00F164EF" w:rsidP="009E5034">
            <w:pPr>
              <w:pStyle w:val="Tableau"/>
              <w:ind w:left="1"/>
              <w:jc w:val="left"/>
              <w:rPr>
                <w:sz w:val="22"/>
                <w:szCs w:val="22"/>
              </w:rPr>
            </w:pPr>
            <w:r w:rsidRPr="009E5034">
              <w:rPr>
                <w:sz w:val="22"/>
                <w:szCs w:val="22"/>
              </w:rPr>
              <w:t>13369</w:t>
            </w:r>
          </w:p>
        </w:tc>
        <w:tc>
          <w:tcPr>
            <w:tcW w:w="621" w:type="pct"/>
            <w:tcBorders>
              <w:top w:val="nil"/>
              <w:left w:val="nil"/>
              <w:bottom w:val="single" w:sz="8" w:space="0" w:color="auto"/>
              <w:right w:val="single" w:sz="8" w:space="0" w:color="auto"/>
            </w:tcBorders>
            <w:noWrap/>
            <w:vAlign w:val="bottom"/>
          </w:tcPr>
          <w:p w:rsidR="00F164EF" w:rsidRPr="009E5034" w:rsidRDefault="00F164EF" w:rsidP="009E5034">
            <w:pPr>
              <w:pStyle w:val="Tableau"/>
              <w:ind w:left="1"/>
              <w:jc w:val="left"/>
              <w:rPr>
                <w:sz w:val="22"/>
                <w:szCs w:val="22"/>
              </w:rPr>
            </w:pPr>
            <w:r w:rsidRPr="009E5034">
              <w:rPr>
                <w:sz w:val="22"/>
                <w:szCs w:val="22"/>
              </w:rPr>
              <w:t>2344</w:t>
            </w:r>
          </w:p>
        </w:tc>
        <w:tc>
          <w:tcPr>
            <w:tcW w:w="758" w:type="pct"/>
            <w:tcBorders>
              <w:top w:val="nil"/>
              <w:left w:val="nil"/>
              <w:bottom w:val="single" w:sz="8" w:space="0" w:color="auto"/>
              <w:right w:val="single" w:sz="8" w:space="0" w:color="auto"/>
            </w:tcBorders>
            <w:noWrap/>
            <w:vAlign w:val="bottom"/>
          </w:tcPr>
          <w:p w:rsidR="00F164EF" w:rsidRPr="009E5034" w:rsidRDefault="00F164EF" w:rsidP="009E5034">
            <w:pPr>
              <w:pStyle w:val="Tableau"/>
              <w:ind w:left="1"/>
              <w:jc w:val="left"/>
              <w:rPr>
                <w:sz w:val="22"/>
                <w:szCs w:val="22"/>
              </w:rPr>
            </w:pPr>
            <w:r w:rsidRPr="009E5034">
              <w:rPr>
                <w:sz w:val="22"/>
                <w:szCs w:val="22"/>
              </w:rPr>
              <w:t>14433</w:t>
            </w:r>
          </w:p>
        </w:tc>
      </w:tr>
    </w:tbl>
    <w:p w:rsidR="00F164EF" w:rsidRPr="009E5034" w:rsidRDefault="00F164EF" w:rsidP="009E5034">
      <w:pPr>
        <w:spacing w:after="240"/>
        <w:ind w:left="0"/>
        <w:jc w:val="left"/>
        <w:rPr>
          <w:rStyle w:val="Strong"/>
          <w:rFonts w:eastAsia="MS Mincho"/>
          <w:sz w:val="22"/>
          <w:szCs w:val="22"/>
        </w:rPr>
      </w:pPr>
      <w:bookmarkStart w:id="187" w:name="_Toc253580390"/>
      <w:bookmarkStart w:id="188" w:name="_Toc261170235"/>
      <w:r w:rsidRPr="009E5034">
        <w:rPr>
          <w:rStyle w:val="Strong"/>
          <w:rFonts w:eastAsia="MS Mincho"/>
          <w:sz w:val="22"/>
          <w:szCs w:val="22"/>
        </w:rPr>
        <w:t>3.6. Consommation d’énergie</w:t>
      </w:r>
      <w:bookmarkEnd w:id="187"/>
      <w:bookmarkEnd w:id="188"/>
    </w:p>
    <w:p w:rsidR="00F164EF" w:rsidRPr="009E5034" w:rsidRDefault="00F164EF" w:rsidP="009E5034">
      <w:pPr>
        <w:spacing w:before="120" w:after="120"/>
        <w:ind w:left="0"/>
        <w:jc w:val="left"/>
        <w:rPr>
          <w:sz w:val="22"/>
          <w:szCs w:val="22"/>
        </w:rPr>
      </w:pPr>
      <w:r w:rsidRPr="009E5034">
        <w:rPr>
          <w:sz w:val="22"/>
          <w:szCs w:val="22"/>
        </w:rPr>
        <w:t xml:space="preserve">Au niveau de la ville de Mopti et dans sa région limitrophe, l’exploitation forestière n’est pas très développée, il n’existe pas en effet de grandes superficies reboisées d’un seul tenant. Toutefois, le capital ligneux de la région est considéré important et les prélèvements sont estimés à 1629000 m3/an. Selon les études menées en 1992 par la NEF et le groupement CTFT-SEED sur la ville de Mopti, l’intérêt économique de ces ressources est estimé à 1,2 Milliards de CFA/an pour le bois de chauffe, 100 Millions de CFA pour le charbon et 40 Millions de CFA pour la natte, pour une population de l’ordre de 1630 habitants et une consommation de 75000 Tonnes de bois /an.   </w:t>
      </w:r>
    </w:p>
    <w:p w:rsidR="00F164EF" w:rsidRPr="009E5034" w:rsidRDefault="00F164EF" w:rsidP="009E5034">
      <w:pPr>
        <w:spacing w:after="240"/>
        <w:ind w:left="0"/>
        <w:jc w:val="left"/>
        <w:rPr>
          <w:rStyle w:val="Strong"/>
          <w:rFonts w:eastAsia="MS Mincho"/>
          <w:sz w:val="22"/>
          <w:szCs w:val="22"/>
        </w:rPr>
      </w:pPr>
      <w:bookmarkStart w:id="189" w:name="_Toc253580391"/>
      <w:bookmarkStart w:id="190" w:name="_Toc261170236"/>
      <w:r w:rsidRPr="009E5034">
        <w:rPr>
          <w:rStyle w:val="Strong"/>
          <w:rFonts w:eastAsia="MS Mincho"/>
          <w:sz w:val="22"/>
          <w:szCs w:val="22"/>
        </w:rPr>
        <w:t>4. Etat de l’environnement et des ressources naturelles</w:t>
      </w:r>
      <w:bookmarkEnd w:id="189"/>
      <w:bookmarkEnd w:id="190"/>
    </w:p>
    <w:p w:rsidR="00F164EF" w:rsidRPr="009E5034" w:rsidRDefault="00F164EF" w:rsidP="009E5034">
      <w:pPr>
        <w:spacing w:after="240"/>
        <w:ind w:left="0"/>
        <w:jc w:val="left"/>
        <w:rPr>
          <w:rStyle w:val="Strong"/>
          <w:rFonts w:eastAsia="MS Mincho"/>
          <w:sz w:val="22"/>
          <w:szCs w:val="22"/>
        </w:rPr>
      </w:pPr>
      <w:bookmarkStart w:id="191" w:name="_Toc253580392"/>
      <w:bookmarkStart w:id="192" w:name="_Toc261170237"/>
      <w:r w:rsidRPr="009E5034">
        <w:rPr>
          <w:rStyle w:val="Strong"/>
          <w:rFonts w:eastAsia="MS Mincho"/>
          <w:sz w:val="22"/>
          <w:szCs w:val="22"/>
        </w:rPr>
        <w:t>4.1. Air</w:t>
      </w:r>
      <w:bookmarkEnd w:id="191"/>
      <w:bookmarkEnd w:id="192"/>
    </w:p>
    <w:p w:rsidR="00F164EF" w:rsidRPr="009E5034" w:rsidRDefault="00F164EF" w:rsidP="009E5034">
      <w:pPr>
        <w:spacing w:before="120" w:after="120"/>
        <w:ind w:left="0"/>
        <w:jc w:val="left"/>
        <w:rPr>
          <w:sz w:val="22"/>
          <w:szCs w:val="22"/>
        </w:rPr>
      </w:pPr>
      <w:r w:rsidRPr="009E5034">
        <w:rPr>
          <w:sz w:val="22"/>
          <w:szCs w:val="22"/>
        </w:rPr>
        <w:t>Il n’existe pas actuellement de réseau de suivi de la qualité de l’air à Mopti. Ainsi et en l’absence de données chiffrées sur cet aspect, nous nous sommes appuyés sur les appréciations avancées au niveau de certaines expertises antérieures ainsi que sur le jugement des personnes rencontrées.</w:t>
      </w:r>
    </w:p>
    <w:p w:rsidR="00F164EF" w:rsidRPr="009E5034" w:rsidRDefault="00F164EF" w:rsidP="009E5034">
      <w:pPr>
        <w:spacing w:before="120" w:after="120"/>
        <w:ind w:left="0"/>
        <w:jc w:val="left"/>
        <w:rPr>
          <w:sz w:val="22"/>
          <w:szCs w:val="22"/>
        </w:rPr>
      </w:pPr>
      <w:r w:rsidRPr="009E5034">
        <w:rPr>
          <w:sz w:val="22"/>
          <w:szCs w:val="22"/>
        </w:rPr>
        <w:t xml:space="preserve">Les rares travaux effectués perçoivent l’état de la qualité de l’air de Mopti comme critique et préoccupant et estimant que des mesures urgentes doivent être prises dans ce domaine, d’autant plus qu’avec la croissance observée à Sévaré, le phénomène risque de s’aggraver dans les prochaines années.  Pour cela, il est indispensable d’établir un monitoring systématique de la qualité de l’air afin de pouvoir orienter les décisions techniques et  politiques qui s’imposent. </w:t>
      </w:r>
    </w:p>
    <w:p w:rsidR="00F164EF" w:rsidRPr="009E5034" w:rsidRDefault="00F164EF" w:rsidP="009E5034">
      <w:pPr>
        <w:spacing w:before="120" w:after="120"/>
        <w:ind w:left="0"/>
        <w:jc w:val="left"/>
        <w:rPr>
          <w:sz w:val="22"/>
          <w:szCs w:val="22"/>
        </w:rPr>
      </w:pPr>
      <w:r w:rsidRPr="009E5034">
        <w:rPr>
          <w:sz w:val="22"/>
          <w:szCs w:val="22"/>
        </w:rPr>
        <w:t xml:space="preserve">Nous n’avons pas eu connaissance, lors de notre visite de la ville d’inventaires d’émissions de polluants atmosphériques pour Mopti et cela ni pour le transport, ni pour les industries et les artisanats, ni pour les sources domestiques. Toutefois et malgré l’absence d’inventaires scientifique des émissions, toutes les personnes interrogées s’accordent sur le fait que les sources d’émission les plus importantes dans la ville et dans l’ordre sont : Le transport à cause de la vétusté du parc des véhicules, la cuisine de bois, l’incinération des déchets et enfin les sources naturelles, en particulier les poussières ramenées par les vents sahariens et en provenance des rues non goudronnées.  </w:t>
      </w:r>
    </w:p>
    <w:p w:rsidR="00F164EF" w:rsidRPr="009E5034" w:rsidRDefault="00F164EF" w:rsidP="009E5034">
      <w:pPr>
        <w:spacing w:after="240"/>
        <w:ind w:left="0"/>
        <w:jc w:val="left"/>
        <w:rPr>
          <w:rStyle w:val="Strong"/>
          <w:rFonts w:eastAsia="MS Mincho"/>
          <w:sz w:val="22"/>
          <w:szCs w:val="22"/>
        </w:rPr>
      </w:pPr>
      <w:bookmarkStart w:id="193" w:name="_Toc253580393"/>
      <w:bookmarkStart w:id="194" w:name="_Toc261170238"/>
      <w:r w:rsidRPr="009E5034">
        <w:rPr>
          <w:rStyle w:val="Strong"/>
          <w:rFonts w:eastAsia="MS Mincho"/>
          <w:sz w:val="22"/>
          <w:szCs w:val="22"/>
        </w:rPr>
        <w:t>4.2. Eaux de surface</w:t>
      </w:r>
      <w:bookmarkEnd w:id="193"/>
      <w:bookmarkEnd w:id="194"/>
    </w:p>
    <w:p w:rsidR="00F164EF" w:rsidRPr="009E5034" w:rsidRDefault="00F164EF" w:rsidP="009E5034">
      <w:pPr>
        <w:spacing w:before="120" w:after="120"/>
        <w:ind w:left="0"/>
        <w:jc w:val="left"/>
        <w:rPr>
          <w:sz w:val="22"/>
          <w:szCs w:val="22"/>
        </w:rPr>
      </w:pPr>
      <w:r w:rsidRPr="009E5034">
        <w:rPr>
          <w:sz w:val="22"/>
          <w:szCs w:val="22"/>
        </w:rPr>
        <w:t xml:space="preserve">La ville Mopti est située à la confluence du Bani et du Niger, les deux plus grands cours d'eau du Mali en plus de celui du fleuve Sénégal.  C'est dire que Mopti est reliée par voie fluviale à toutes les grandes villes baignées par ces cours d'eau, aussi bien en amont qu'en aval. </w:t>
      </w:r>
    </w:p>
    <w:p w:rsidR="00F164EF" w:rsidRPr="009E5034" w:rsidRDefault="00F164EF" w:rsidP="009E5034">
      <w:pPr>
        <w:spacing w:before="120" w:after="120"/>
        <w:ind w:left="0"/>
        <w:jc w:val="left"/>
        <w:rPr>
          <w:sz w:val="22"/>
          <w:szCs w:val="22"/>
        </w:rPr>
      </w:pPr>
      <w:r w:rsidRPr="009E5034">
        <w:rPr>
          <w:sz w:val="22"/>
          <w:szCs w:val="22"/>
        </w:rPr>
        <w:t xml:space="preserve">Le fleuve Niger qui traverse Mopti constitue la principale source d’eau de la ville, il a un bassin versant de plus de 140000 Km². Le fleuve Niger est relié au niveau de la ville de Mopti et ses environs à son affluent principal le Bani qui s’étend sur une longueur totale de </w:t>
      </w:r>
      <w:smartTag w:uri="urn:schemas-microsoft-com:office:smarttags" w:element="metricconverter">
        <w:smartTagPr>
          <w:attr w:name="ProductID" w:val="775 km"/>
        </w:smartTagPr>
        <w:r w:rsidRPr="009E5034">
          <w:rPr>
            <w:sz w:val="22"/>
            <w:szCs w:val="22"/>
          </w:rPr>
          <w:t>775 km</w:t>
        </w:r>
      </w:smartTag>
      <w:r w:rsidRPr="009E5034">
        <w:rPr>
          <w:sz w:val="22"/>
          <w:szCs w:val="22"/>
        </w:rPr>
        <w:t xml:space="preserve"> et draine un bassin versant de 101600 Km2, avec un débit moyen de 513 m3/s.</w:t>
      </w:r>
    </w:p>
    <w:p w:rsidR="00F164EF" w:rsidRPr="009E5034" w:rsidRDefault="00F164EF" w:rsidP="009E5034">
      <w:pPr>
        <w:spacing w:after="240"/>
        <w:ind w:left="0"/>
        <w:jc w:val="left"/>
        <w:rPr>
          <w:rStyle w:val="Strong"/>
          <w:rFonts w:eastAsia="MS Mincho"/>
          <w:sz w:val="22"/>
          <w:szCs w:val="22"/>
        </w:rPr>
      </w:pPr>
      <w:bookmarkStart w:id="195" w:name="_Toc253580394"/>
      <w:bookmarkStart w:id="196" w:name="_Toc261170239"/>
      <w:r w:rsidRPr="009E5034">
        <w:rPr>
          <w:rStyle w:val="Strong"/>
          <w:rFonts w:eastAsia="MS Mincho"/>
          <w:sz w:val="22"/>
          <w:szCs w:val="22"/>
        </w:rPr>
        <w:t>4.3. Eaux souterraines</w:t>
      </w:r>
      <w:bookmarkEnd w:id="195"/>
      <w:bookmarkEnd w:id="196"/>
    </w:p>
    <w:p w:rsidR="00F164EF" w:rsidRPr="009E5034" w:rsidRDefault="00F164EF" w:rsidP="009E5034">
      <w:pPr>
        <w:spacing w:before="120" w:after="120"/>
        <w:ind w:left="0"/>
        <w:jc w:val="left"/>
        <w:rPr>
          <w:sz w:val="22"/>
          <w:szCs w:val="22"/>
        </w:rPr>
      </w:pPr>
      <w:r w:rsidRPr="009E5034">
        <w:rPr>
          <w:sz w:val="22"/>
          <w:szCs w:val="22"/>
        </w:rPr>
        <w:t xml:space="preserve">La deuxième source d’eau à Mopti, non moins importante est constituée par les systèmes aquifères situés dans la ville et ses environs. Il s’agit particulièrement de la nappe superficielle de la vallée du Niger, elle s’étend le long du fleuve depuis les falaises du nord vers le sud présentant une profondeur variable entre 1 à une dizaine de mètres. </w:t>
      </w:r>
    </w:p>
    <w:p w:rsidR="00F164EF" w:rsidRPr="009E5034" w:rsidRDefault="00F164EF" w:rsidP="009E5034">
      <w:pPr>
        <w:spacing w:before="120" w:after="120"/>
        <w:ind w:left="0"/>
        <w:jc w:val="left"/>
        <w:rPr>
          <w:sz w:val="22"/>
          <w:szCs w:val="22"/>
        </w:rPr>
      </w:pPr>
      <w:r w:rsidRPr="009E5034">
        <w:rPr>
          <w:sz w:val="22"/>
          <w:szCs w:val="22"/>
        </w:rPr>
        <w:t xml:space="preserve">Cette nappe est exploitée par les puits de surface limitrophe au fleuve. Les couches de recouvrement de cette nappe sont majoritairement perméables à semi-perméables favorisant ainsi l’infiltration de solutions polluées chargées en intrants agricoles, en eaux usées et en lixiviats.   </w:t>
      </w:r>
    </w:p>
    <w:p w:rsidR="00F164EF" w:rsidRPr="009E5034" w:rsidRDefault="00F164EF" w:rsidP="009E5034">
      <w:pPr>
        <w:spacing w:before="120" w:after="120"/>
        <w:ind w:left="0"/>
        <w:jc w:val="left"/>
        <w:rPr>
          <w:sz w:val="22"/>
          <w:szCs w:val="22"/>
        </w:rPr>
      </w:pPr>
      <w:r w:rsidRPr="009E5034">
        <w:rPr>
          <w:sz w:val="22"/>
          <w:szCs w:val="22"/>
        </w:rPr>
        <w:t>La ville de Mopti englobe différentes ressources en eau. Les quatre rivières de la région passent par le cercle de Mopti comme le stipule le tableau suivant.</w:t>
      </w:r>
    </w:p>
    <w:p w:rsidR="00F164EF" w:rsidRPr="009E5034" w:rsidRDefault="00F164EF" w:rsidP="009E5034">
      <w:pPr>
        <w:pStyle w:val="Caption"/>
        <w:ind w:left="899"/>
        <w:rPr>
          <w:rStyle w:val="Emphasis"/>
          <w:sz w:val="22"/>
          <w:szCs w:val="22"/>
        </w:rPr>
      </w:pPr>
      <w:r w:rsidRPr="009E5034">
        <w:rPr>
          <w:rStyle w:val="Emphasis"/>
          <w:sz w:val="22"/>
          <w:szCs w:val="22"/>
        </w:rPr>
        <w:t xml:space="preserve">Tableau A3.5: </w:t>
      </w:r>
      <w:bookmarkStart w:id="197" w:name="_Toc252453613"/>
      <w:r w:rsidRPr="009E5034">
        <w:rPr>
          <w:rStyle w:val="Emphasis"/>
          <w:sz w:val="22"/>
          <w:szCs w:val="22"/>
        </w:rPr>
        <w:t xml:space="preserve">Les différentes sources </w:t>
      </w:r>
      <w:bookmarkEnd w:id="197"/>
      <w:r w:rsidRPr="009E5034">
        <w:rPr>
          <w:rStyle w:val="Emphasis"/>
          <w:sz w:val="22"/>
          <w:szCs w:val="22"/>
        </w:rPr>
        <w:t>d’eau, Source: DRPIA de Mopti</w:t>
      </w:r>
    </w:p>
    <w:tbl>
      <w:tblPr>
        <w:tblW w:w="9349" w:type="dxa"/>
        <w:jc w:val="center"/>
        <w:tblInd w:w="65" w:type="dxa"/>
        <w:tblCellMar>
          <w:left w:w="70" w:type="dxa"/>
          <w:right w:w="70" w:type="dxa"/>
        </w:tblCellMar>
        <w:tblLook w:val="0000"/>
      </w:tblPr>
      <w:tblGrid>
        <w:gridCol w:w="1383"/>
        <w:gridCol w:w="756"/>
        <w:gridCol w:w="1078"/>
        <w:gridCol w:w="912"/>
        <w:gridCol w:w="854"/>
        <w:gridCol w:w="1019"/>
        <w:gridCol w:w="952"/>
        <w:gridCol w:w="899"/>
        <w:gridCol w:w="792"/>
        <w:gridCol w:w="704"/>
      </w:tblGrid>
      <w:tr w:rsidR="00F164EF" w:rsidRPr="009E5034" w:rsidTr="00072CBC">
        <w:trPr>
          <w:trHeight w:val="945"/>
          <w:jc w:val="center"/>
        </w:trPr>
        <w:tc>
          <w:tcPr>
            <w:tcW w:w="1383" w:type="dxa"/>
            <w:tcBorders>
              <w:top w:val="single" w:sz="4" w:space="0" w:color="auto"/>
              <w:left w:val="single" w:sz="4" w:space="0" w:color="auto"/>
              <w:bottom w:val="single" w:sz="4" w:space="0" w:color="auto"/>
              <w:right w:val="single" w:sz="4" w:space="0" w:color="auto"/>
              <w:tl2br w:val="single" w:sz="4" w:space="0" w:color="auto"/>
            </w:tcBorders>
            <w:shd w:val="clear" w:color="auto" w:fill="FFFFFF"/>
            <w:vAlign w:val="center"/>
          </w:tcPr>
          <w:p w:rsidR="00F164EF" w:rsidRPr="009E5034" w:rsidRDefault="00F164EF" w:rsidP="009E5034">
            <w:pPr>
              <w:pStyle w:val="Tableau"/>
              <w:ind w:left="1"/>
              <w:jc w:val="left"/>
              <w:rPr>
                <w:sz w:val="22"/>
                <w:szCs w:val="22"/>
              </w:rPr>
            </w:pPr>
            <w:r w:rsidRPr="009E5034">
              <w:rPr>
                <w:sz w:val="22"/>
                <w:szCs w:val="22"/>
              </w:rPr>
              <w:t xml:space="preserve">          Nature     Cercle</w:t>
            </w:r>
          </w:p>
        </w:tc>
        <w:tc>
          <w:tcPr>
            <w:tcW w:w="756" w:type="dxa"/>
            <w:tcBorders>
              <w:top w:val="single" w:sz="4" w:space="0" w:color="auto"/>
              <w:left w:val="nil"/>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sz w:val="22"/>
                <w:szCs w:val="22"/>
              </w:rPr>
            </w:pPr>
            <w:r w:rsidRPr="009E5034">
              <w:rPr>
                <w:sz w:val="22"/>
                <w:szCs w:val="22"/>
              </w:rPr>
              <w:t>Mares</w:t>
            </w:r>
          </w:p>
        </w:tc>
        <w:tc>
          <w:tcPr>
            <w:tcW w:w="1078" w:type="dxa"/>
            <w:tcBorders>
              <w:top w:val="single" w:sz="4" w:space="0" w:color="auto"/>
              <w:left w:val="nil"/>
              <w:bottom w:val="single" w:sz="4" w:space="0" w:color="auto"/>
              <w:right w:val="single" w:sz="4" w:space="0" w:color="auto"/>
            </w:tcBorders>
            <w:shd w:val="clear" w:color="auto" w:fill="FFFFFF"/>
            <w:vAlign w:val="center"/>
          </w:tcPr>
          <w:p w:rsidR="00F164EF" w:rsidRPr="009E5034" w:rsidRDefault="00F164EF" w:rsidP="009E5034">
            <w:pPr>
              <w:pStyle w:val="Tableau"/>
              <w:ind w:left="1"/>
              <w:jc w:val="left"/>
              <w:rPr>
                <w:sz w:val="22"/>
                <w:szCs w:val="22"/>
              </w:rPr>
            </w:pPr>
            <w:r w:rsidRPr="009E5034">
              <w:rPr>
                <w:sz w:val="22"/>
                <w:szCs w:val="22"/>
              </w:rPr>
              <w:t>Barrages et Retenues d'Eau</w:t>
            </w:r>
          </w:p>
        </w:tc>
        <w:tc>
          <w:tcPr>
            <w:tcW w:w="912" w:type="dxa"/>
            <w:tcBorders>
              <w:top w:val="single" w:sz="4" w:space="0" w:color="auto"/>
              <w:left w:val="nil"/>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sz w:val="22"/>
                <w:szCs w:val="22"/>
              </w:rPr>
            </w:pPr>
            <w:r w:rsidRPr="009E5034">
              <w:rPr>
                <w:sz w:val="22"/>
                <w:szCs w:val="22"/>
              </w:rPr>
              <w:t>Forages</w:t>
            </w:r>
          </w:p>
        </w:tc>
        <w:tc>
          <w:tcPr>
            <w:tcW w:w="854" w:type="dxa"/>
            <w:tcBorders>
              <w:top w:val="single" w:sz="4" w:space="0" w:color="auto"/>
              <w:left w:val="nil"/>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sz w:val="22"/>
                <w:szCs w:val="22"/>
              </w:rPr>
            </w:pPr>
            <w:r w:rsidRPr="009E5034">
              <w:rPr>
                <w:sz w:val="22"/>
                <w:szCs w:val="22"/>
              </w:rPr>
              <w:t>Puits</w:t>
            </w:r>
          </w:p>
        </w:tc>
        <w:tc>
          <w:tcPr>
            <w:tcW w:w="1019" w:type="dxa"/>
            <w:tcBorders>
              <w:top w:val="single" w:sz="4" w:space="0" w:color="auto"/>
              <w:left w:val="nil"/>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sz w:val="22"/>
                <w:szCs w:val="22"/>
              </w:rPr>
            </w:pPr>
            <w:r w:rsidRPr="009E5034">
              <w:rPr>
                <w:sz w:val="22"/>
                <w:szCs w:val="22"/>
              </w:rPr>
              <w:t>Marigots</w:t>
            </w:r>
          </w:p>
        </w:tc>
        <w:tc>
          <w:tcPr>
            <w:tcW w:w="952" w:type="dxa"/>
            <w:tcBorders>
              <w:top w:val="single" w:sz="4" w:space="0" w:color="auto"/>
              <w:left w:val="nil"/>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sz w:val="22"/>
                <w:szCs w:val="22"/>
              </w:rPr>
            </w:pPr>
            <w:r w:rsidRPr="009E5034">
              <w:rPr>
                <w:sz w:val="22"/>
                <w:szCs w:val="22"/>
              </w:rPr>
              <w:t>Rivières</w:t>
            </w:r>
          </w:p>
        </w:tc>
        <w:tc>
          <w:tcPr>
            <w:tcW w:w="899" w:type="dxa"/>
            <w:tcBorders>
              <w:top w:val="single" w:sz="4" w:space="0" w:color="auto"/>
              <w:left w:val="nil"/>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sz w:val="22"/>
                <w:szCs w:val="22"/>
              </w:rPr>
            </w:pPr>
            <w:r w:rsidRPr="009E5034">
              <w:rPr>
                <w:sz w:val="22"/>
                <w:szCs w:val="22"/>
              </w:rPr>
              <w:t>Fleuves</w:t>
            </w:r>
          </w:p>
        </w:tc>
        <w:tc>
          <w:tcPr>
            <w:tcW w:w="792" w:type="dxa"/>
            <w:tcBorders>
              <w:top w:val="single" w:sz="4" w:space="0" w:color="auto"/>
              <w:left w:val="nil"/>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sz w:val="22"/>
                <w:szCs w:val="22"/>
              </w:rPr>
            </w:pPr>
            <w:r w:rsidRPr="009E5034">
              <w:rPr>
                <w:sz w:val="22"/>
                <w:szCs w:val="22"/>
              </w:rPr>
              <w:t>Autres</w:t>
            </w:r>
          </w:p>
        </w:tc>
        <w:tc>
          <w:tcPr>
            <w:tcW w:w="704" w:type="dxa"/>
            <w:tcBorders>
              <w:top w:val="single" w:sz="4" w:space="0" w:color="auto"/>
              <w:left w:val="nil"/>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sz w:val="22"/>
                <w:szCs w:val="22"/>
              </w:rPr>
            </w:pPr>
            <w:r w:rsidRPr="009E5034">
              <w:rPr>
                <w:sz w:val="22"/>
                <w:szCs w:val="22"/>
              </w:rPr>
              <w:t>Total</w:t>
            </w:r>
          </w:p>
        </w:tc>
      </w:tr>
      <w:tr w:rsidR="00F164EF" w:rsidRPr="009E5034" w:rsidTr="00072CBC">
        <w:trPr>
          <w:trHeight w:val="315"/>
          <w:jc w:val="center"/>
        </w:trPr>
        <w:tc>
          <w:tcPr>
            <w:tcW w:w="1383" w:type="dxa"/>
            <w:tcBorders>
              <w:top w:val="nil"/>
              <w:left w:val="single" w:sz="4" w:space="0" w:color="auto"/>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sz w:val="22"/>
                <w:szCs w:val="22"/>
              </w:rPr>
            </w:pPr>
            <w:r w:rsidRPr="009E5034">
              <w:rPr>
                <w:sz w:val="22"/>
                <w:szCs w:val="22"/>
              </w:rPr>
              <w:t>Mopti</w:t>
            </w:r>
          </w:p>
        </w:tc>
        <w:tc>
          <w:tcPr>
            <w:tcW w:w="756" w:type="dxa"/>
            <w:tcBorders>
              <w:top w:val="nil"/>
              <w:left w:val="nil"/>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sz w:val="22"/>
                <w:szCs w:val="22"/>
              </w:rPr>
            </w:pPr>
            <w:r w:rsidRPr="009E5034">
              <w:rPr>
                <w:sz w:val="22"/>
                <w:szCs w:val="22"/>
              </w:rPr>
              <w:t>264</w:t>
            </w:r>
          </w:p>
        </w:tc>
        <w:tc>
          <w:tcPr>
            <w:tcW w:w="1078" w:type="dxa"/>
            <w:tcBorders>
              <w:top w:val="nil"/>
              <w:left w:val="nil"/>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sz w:val="22"/>
                <w:szCs w:val="22"/>
              </w:rPr>
            </w:pPr>
            <w:r w:rsidRPr="009E5034">
              <w:rPr>
                <w:sz w:val="22"/>
                <w:szCs w:val="22"/>
              </w:rPr>
              <w:t>9</w:t>
            </w:r>
          </w:p>
        </w:tc>
        <w:tc>
          <w:tcPr>
            <w:tcW w:w="912" w:type="dxa"/>
            <w:tcBorders>
              <w:top w:val="nil"/>
              <w:left w:val="nil"/>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sz w:val="22"/>
                <w:szCs w:val="22"/>
              </w:rPr>
            </w:pPr>
            <w:r w:rsidRPr="009E5034">
              <w:rPr>
                <w:sz w:val="22"/>
                <w:szCs w:val="22"/>
              </w:rPr>
              <w:t>239</w:t>
            </w:r>
          </w:p>
        </w:tc>
        <w:tc>
          <w:tcPr>
            <w:tcW w:w="854" w:type="dxa"/>
            <w:tcBorders>
              <w:top w:val="nil"/>
              <w:left w:val="nil"/>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sz w:val="22"/>
                <w:szCs w:val="22"/>
              </w:rPr>
            </w:pPr>
            <w:r w:rsidRPr="009E5034">
              <w:rPr>
                <w:sz w:val="22"/>
                <w:szCs w:val="22"/>
              </w:rPr>
              <w:t>241</w:t>
            </w:r>
          </w:p>
        </w:tc>
        <w:tc>
          <w:tcPr>
            <w:tcW w:w="1019" w:type="dxa"/>
            <w:tcBorders>
              <w:top w:val="nil"/>
              <w:left w:val="nil"/>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sz w:val="22"/>
                <w:szCs w:val="22"/>
              </w:rPr>
            </w:pPr>
            <w:r w:rsidRPr="009E5034">
              <w:rPr>
                <w:sz w:val="22"/>
                <w:szCs w:val="22"/>
              </w:rPr>
              <w:t>22</w:t>
            </w:r>
          </w:p>
        </w:tc>
        <w:tc>
          <w:tcPr>
            <w:tcW w:w="952" w:type="dxa"/>
            <w:tcBorders>
              <w:top w:val="nil"/>
              <w:left w:val="nil"/>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sz w:val="22"/>
                <w:szCs w:val="22"/>
              </w:rPr>
            </w:pPr>
            <w:r w:rsidRPr="009E5034">
              <w:rPr>
                <w:sz w:val="22"/>
                <w:szCs w:val="22"/>
              </w:rPr>
              <w:t>4</w:t>
            </w:r>
          </w:p>
        </w:tc>
        <w:tc>
          <w:tcPr>
            <w:tcW w:w="899" w:type="dxa"/>
            <w:tcBorders>
              <w:top w:val="nil"/>
              <w:left w:val="nil"/>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sz w:val="22"/>
                <w:szCs w:val="22"/>
              </w:rPr>
            </w:pPr>
            <w:r w:rsidRPr="009E5034">
              <w:rPr>
                <w:sz w:val="22"/>
                <w:szCs w:val="22"/>
              </w:rPr>
              <w:t>3</w:t>
            </w:r>
          </w:p>
        </w:tc>
        <w:tc>
          <w:tcPr>
            <w:tcW w:w="792" w:type="dxa"/>
            <w:tcBorders>
              <w:top w:val="nil"/>
              <w:left w:val="nil"/>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sz w:val="22"/>
                <w:szCs w:val="22"/>
              </w:rPr>
            </w:pPr>
            <w:r w:rsidRPr="009E5034">
              <w:rPr>
                <w:sz w:val="22"/>
                <w:szCs w:val="22"/>
              </w:rPr>
              <w:t>2</w:t>
            </w:r>
          </w:p>
        </w:tc>
        <w:tc>
          <w:tcPr>
            <w:tcW w:w="704" w:type="dxa"/>
            <w:tcBorders>
              <w:top w:val="nil"/>
              <w:left w:val="nil"/>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sz w:val="22"/>
                <w:szCs w:val="22"/>
              </w:rPr>
            </w:pPr>
            <w:r w:rsidRPr="009E5034">
              <w:rPr>
                <w:sz w:val="22"/>
                <w:szCs w:val="22"/>
              </w:rPr>
              <w:t>784</w:t>
            </w:r>
          </w:p>
        </w:tc>
      </w:tr>
      <w:tr w:rsidR="00F164EF" w:rsidRPr="009E5034" w:rsidTr="00072CBC">
        <w:trPr>
          <w:trHeight w:val="315"/>
          <w:jc w:val="center"/>
        </w:trPr>
        <w:tc>
          <w:tcPr>
            <w:tcW w:w="1383" w:type="dxa"/>
            <w:tcBorders>
              <w:top w:val="nil"/>
              <w:left w:val="single" w:sz="4" w:space="0" w:color="auto"/>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sz w:val="22"/>
                <w:szCs w:val="22"/>
              </w:rPr>
            </w:pPr>
            <w:r w:rsidRPr="009E5034">
              <w:rPr>
                <w:sz w:val="22"/>
                <w:szCs w:val="22"/>
              </w:rPr>
              <w:t>%</w:t>
            </w:r>
          </w:p>
        </w:tc>
        <w:tc>
          <w:tcPr>
            <w:tcW w:w="756" w:type="dxa"/>
            <w:tcBorders>
              <w:top w:val="nil"/>
              <w:left w:val="nil"/>
              <w:bottom w:val="nil"/>
              <w:right w:val="nil"/>
            </w:tcBorders>
            <w:noWrap/>
            <w:vAlign w:val="bottom"/>
          </w:tcPr>
          <w:p w:rsidR="00F164EF" w:rsidRPr="009E5034" w:rsidRDefault="00F164EF" w:rsidP="009E5034">
            <w:pPr>
              <w:pStyle w:val="Tableau"/>
              <w:ind w:left="1"/>
              <w:jc w:val="left"/>
              <w:rPr>
                <w:sz w:val="22"/>
                <w:szCs w:val="22"/>
              </w:rPr>
            </w:pPr>
            <w:r w:rsidRPr="009E5034">
              <w:rPr>
                <w:sz w:val="22"/>
                <w:szCs w:val="22"/>
              </w:rPr>
              <w:t>41</w:t>
            </w:r>
          </w:p>
        </w:tc>
        <w:tc>
          <w:tcPr>
            <w:tcW w:w="1078" w:type="dxa"/>
            <w:tcBorders>
              <w:top w:val="nil"/>
              <w:left w:val="single" w:sz="4" w:space="0" w:color="auto"/>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sz w:val="22"/>
                <w:szCs w:val="22"/>
              </w:rPr>
            </w:pPr>
            <w:r w:rsidRPr="009E5034">
              <w:rPr>
                <w:sz w:val="22"/>
                <w:szCs w:val="22"/>
              </w:rPr>
              <w:t>4</w:t>
            </w:r>
          </w:p>
        </w:tc>
        <w:tc>
          <w:tcPr>
            <w:tcW w:w="912" w:type="dxa"/>
            <w:tcBorders>
              <w:top w:val="nil"/>
              <w:left w:val="nil"/>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sz w:val="22"/>
                <w:szCs w:val="22"/>
              </w:rPr>
            </w:pPr>
            <w:r w:rsidRPr="009E5034">
              <w:rPr>
                <w:sz w:val="22"/>
                <w:szCs w:val="22"/>
              </w:rPr>
              <w:t>16</w:t>
            </w:r>
          </w:p>
        </w:tc>
        <w:tc>
          <w:tcPr>
            <w:tcW w:w="854" w:type="dxa"/>
            <w:tcBorders>
              <w:top w:val="nil"/>
              <w:left w:val="nil"/>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sz w:val="22"/>
                <w:szCs w:val="22"/>
              </w:rPr>
            </w:pPr>
            <w:r w:rsidRPr="009E5034">
              <w:rPr>
                <w:sz w:val="22"/>
                <w:szCs w:val="22"/>
              </w:rPr>
              <w:t>11</w:t>
            </w:r>
          </w:p>
        </w:tc>
        <w:tc>
          <w:tcPr>
            <w:tcW w:w="1019" w:type="dxa"/>
            <w:tcBorders>
              <w:top w:val="nil"/>
              <w:left w:val="nil"/>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sz w:val="22"/>
                <w:szCs w:val="22"/>
              </w:rPr>
            </w:pPr>
            <w:r w:rsidRPr="009E5034">
              <w:rPr>
                <w:sz w:val="22"/>
                <w:szCs w:val="22"/>
              </w:rPr>
              <w:t>96</w:t>
            </w:r>
          </w:p>
        </w:tc>
        <w:tc>
          <w:tcPr>
            <w:tcW w:w="952" w:type="dxa"/>
            <w:tcBorders>
              <w:top w:val="nil"/>
              <w:left w:val="nil"/>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sz w:val="22"/>
                <w:szCs w:val="22"/>
              </w:rPr>
            </w:pPr>
            <w:r w:rsidRPr="009E5034">
              <w:rPr>
                <w:sz w:val="22"/>
                <w:szCs w:val="22"/>
              </w:rPr>
              <w:t>100</w:t>
            </w:r>
          </w:p>
        </w:tc>
        <w:tc>
          <w:tcPr>
            <w:tcW w:w="899" w:type="dxa"/>
            <w:tcBorders>
              <w:top w:val="nil"/>
              <w:left w:val="nil"/>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sz w:val="22"/>
                <w:szCs w:val="22"/>
              </w:rPr>
            </w:pPr>
            <w:r w:rsidRPr="009E5034">
              <w:rPr>
                <w:sz w:val="22"/>
                <w:szCs w:val="22"/>
              </w:rPr>
              <w:t>27</w:t>
            </w:r>
          </w:p>
        </w:tc>
        <w:tc>
          <w:tcPr>
            <w:tcW w:w="792" w:type="dxa"/>
            <w:tcBorders>
              <w:top w:val="nil"/>
              <w:left w:val="nil"/>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sz w:val="22"/>
                <w:szCs w:val="22"/>
              </w:rPr>
            </w:pPr>
            <w:r w:rsidRPr="009E5034">
              <w:rPr>
                <w:sz w:val="22"/>
                <w:szCs w:val="22"/>
              </w:rPr>
              <w:t>11</w:t>
            </w:r>
          </w:p>
        </w:tc>
        <w:tc>
          <w:tcPr>
            <w:tcW w:w="704" w:type="dxa"/>
            <w:tcBorders>
              <w:top w:val="nil"/>
              <w:left w:val="nil"/>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sz w:val="22"/>
                <w:szCs w:val="22"/>
              </w:rPr>
            </w:pPr>
            <w:r w:rsidRPr="009E5034">
              <w:rPr>
                <w:sz w:val="22"/>
                <w:szCs w:val="22"/>
              </w:rPr>
              <w:t>17</w:t>
            </w:r>
          </w:p>
        </w:tc>
      </w:tr>
      <w:tr w:rsidR="00F164EF" w:rsidRPr="009E5034" w:rsidTr="00072CBC">
        <w:trPr>
          <w:trHeight w:val="315"/>
          <w:jc w:val="center"/>
        </w:trPr>
        <w:tc>
          <w:tcPr>
            <w:tcW w:w="1383" w:type="dxa"/>
            <w:tcBorders>
              <w:top w:val="nil"/>
              <w:left w:val="single" w:sz="4" w:space="0" w:color="auto"/>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sz w:val="22"/>
                <w:szCs w:val="22"/>
              </w:rPr>
            </w:pPr>
            <w:r w:rsidRPr="009E5034">
              <w:rPr>
                <w:sz w:val="22"/>
                <w:szCs w:val="22"/>
              </w:rPr>
              <w:t>Total Région</w:t>
            </w:r>
          </w:p>
        </w:tc>
        <w:tc>
          <w:tcPr>
            <w:tcW w:w="756" w:type="dxa"/>
            <w:tcBorders>
              <w:top w:val="single" w:sz="4" w:space="0" w:color="auto"/>
              <w:left w:val="nil"/>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sz w:val="22"/>
                <w:szCs w:val="22"/>
              </w:rPr>
            </w:pPr>
            <w:r w:rsidRPr="009E5034">
              <w:rPr>
                <w:sz w:val="22"/>
                <w:szCs w:val="22"/>
              </w:rPr>
              <w:t>637</w:t>
            </w:r>
          </w:p>
        </w:tc>
        <w:tc>
          <w:tcPr>
            <w:tcW w:w="1078" w:type="dxa"/>
            <w:tcBorders>
              <w:top w:val="nil"/>
              <w:left w:val="nil"/>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sz w:val="22"/>
                <w:szCs w:val="22"/>
              </w:rPr>
            </w:pPr>
            <w:r w:rsidRPr="009E5034">
              <w:rPr>
                <w:sz w:val="22"/>
                <w:szCs w:val="22"/>
              </w:rPr>
              <w:t>242</w:t>
            </w:r>
          </w:p>
        </w:tc>
        <w:tc>
          <w:tcPr>
            <w:tcW w:w="912" w:type="dxa"/>
            <w:tcBorders>
              <w:top w:val="nil"/>
              <w:left w:val="nil"/>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sz w:val="22"/>
                <w:szCs w:val="22"/>
              </w:rPr>
            </w:pPr>
            <w:r w:rsidRPr="009E5034">
              <w:rPr>
                <w:sz w:val="22"/>
                <w:szCs w:val="22"/>
              </w:rPr>
              <w:t>1 500</w:t>
            </w:r>
          </w:p>
        </w:tc>
        <w:tc>
          <w:tcPr>
            <w:tcW w:w="854" w:type="dxa"/>
            <w:tcBorders>
              <w:top w:val="nil"/>
              <w:left w:val="nil"/>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sz w:val="22"/>
                <w:szCs w:val="22"/>
              </w:rPr>
            </w:pPr>
            <w:r w:rsidRPr="009E5034">
              <w:rPr>
                <w:sz w:val="22"/>
                <w:szCs w:val="22"/>
              </w:rPr>
              <w:t>2 143</w:t>
            </w:r>
          </w:p>
        </w:tc>
        <w:tc>
          <w:tcPr>
            <w:tcW w:w="1019" w:type="dxa"/>
            <w:tcBorders>
              <w:top w:val="nil"/>
              <w:left w:val="nil"/>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sz w:val="22"/>
                <w:szCs w:val="22"/>
              </w:rPr>
            </w:pPr>
            <w:r w:rsidRPr="009E5034">
              <w:rPr>
                <w:sz w:val="22"/>
                <w:szCs w:val="22"/>
              </w:rPr>
              <w:t>23</w:t>
            </w:r>
          </w:p>
        </w:tc>
        <w:tc>
          <w:tcPr>
            <w:tcW w:w="952" w:type="dxa"/>
            <w:tcBorders>
              <w:top w:val="nil"/>
              <w:left w:val="nil"/>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sz w:val="22"/>
                <w:szCs w:val="22"/>
              </w:rPr>
            </w:pPr>
            <w:r w:rsidRPr="009E5034">
              <w:rPr>
                <w:sz w:val="22"/>
                <w:szCs w:val="22"/>
              </w:rPr>
              <w:t>4</w:t>
            </w:r>
          </w:p>
        </w:tc>
        <w:tc>
          <w:tcPr>
            <w:tcW w:w="899" w:type="dxa"/>
            <w:tcBorders>
              <w:top w:val="nil"/>
              <w:left w:val="nil"/>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sz w:val="22"/>
                <w:szCs w:val="22"/>
              </w:rPr>
            </w:pPr>
            <w:r w:rsidRPr="009E5034">
              <w:rPr>
                <w:sz w:val="22"/>
                <w:szCs w:val="22"/>
              </w:rPr>
              <w:t>11</w:t>
            </w:r>
          </w:p>
        </w:tc>
        <w:tc>
          <w:tcPr>
            <w:tcW w:w="792" w:type="dxa"/>
            <w:tcBorders>
              <w:top w:val="nil"/>
              <w:left w:val="nil"/>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sz w:val="22"/>
                <w:szCs w:val="22"/>
              </w:rPr>
            </w:pPr>
            <w:r w:rsidRPr="009E5034">
              <w:rPr>
                <w:sz w:val="22"/>
                <w:szCs w:val="22"/>
              </w:rPr>
              <w:t>18</w:t>
            </w:r>
          </w:p>
        </w:tc>
        <w:tc>
          <w:tcPr>
            <w:tcW w:w="704" w:type="dxa"/>
            <w:tcBorders>
              <w:top w:val="nil"/>
              <w:left w:val="nil"/>
              <w:bottom w:val="single" w:sz="4" w:space="0" w:color="auto"/>
              <w:right w:val="single" w:sz="4" w:space="0" w:color="auto"/>
            </w:tcBorders>
            <w:shd w:val="clear" w:color="auto" w:fill="FFFFFF"/>
            <w:noWrap/>
            <w:vAlign w:val="center"/>
          </w:tcPr>
          <w:p w:rsidR="00F164EF" w:rsidRPr="009E5034" w:rsidRDefault="00F164EF" w:rsidP="009E5034">
            <w:pPr>
              <w:pStyle w:val="Tableau"/>
              <w:ind w:left="1"/>
              <w:jc w:val="left"/>
              <w:rPr>
                <w:sz w:val="22"/>
                <w:szCs w:val="22"/>
              </w:rPr>
            </w:pPr>
            <w:r w:rsidRPr="009E5034">
              <w:rPr>
                <w:sz w:val="22"/>
                <w:szCs w:val="22"/>
              </w:rPr>
              <w:t>4 578</w:t>
            </w:r>
          </w:p>
        </w:tc>
      </w:tr>
    </w:tbl>
    <w:p w:rsidR="00F164EF" w:rsidRPr="009E5034" w:rsidRDefault="00F164EF" w:rsidP="009E5034">
      <w:pPr>
        <w:spacing w:after="240"/>
        <w:ind w:left="0"/>
        <w:jc w:val="left"/>
        <w:rPr>
          <w:rStyle w:val="Strong"/>
          <w:rFonts w:eastAsia="MS Mincho"/>
          <w:sz w:val="22"/>
          <w:szCs w:val="22"/>
        </w:rPr>
      </w:pPr>
      <w:bookmarkStart w:id="198" w:name="_Toc253580395"/>
      <w:bookmarkStart w:id="199" w:name="_Toc261170240"/>
      <w:r w:rsidRPr="009E5034">
        <w:rPr>
          <w:rStyle w:val="Strong"/>
          <w:rFonts w:eastAsia="MS Mincho"/>
          <w:sz w:val="22"/>
          <w:szCs w:val="22"/>
        </w:rPr>
        <w:t>4.5. Terres agricoles</w:t>
      </w:r>
      <w:bookmarkEnd w:id="198"/>
      <w:bookmarkEnd w:id="199"/>
    </w:p>
    <w:p w:rsidR="00F164EF" w:rsidRPr="009E5034" w:rsidRDefault="00F164EF" w:rsidP="009E5034">
      <w:pPr>
        <w:spacing w:before="120" w:after="120"/>
        <w:ind w:left="0"/>
        <w:jc w:val="left"/>
        <w:rPr>
          <w:sz w:val="22"/>
          <w:szCs w:val="22"/>
        </w:rPr>
      </w:pPr>
      <w:r w:rsidRPr="009E5034">
        <w:rPr>
          <w:sz w:val="22"/>
          <w:szCs w:val="22"/>
        </w:rPr>
        <w:t>Dans la zone inondée, les sols sont argileux dans la majeure partie du delta central avec des plaines alluviales à sols hydromorphes où poussent le bourgou et autres plantes aquatiques.</w:t>
      </w:r>
    </w:p>
    <w:p w:rsidR="00F164EF" w:rsidRPr="009E5034" w:rsidRDefault="00F164EF" w:rsidP="009E5034">
      <w:pPr>
        <w:spacing w:before="120" w:after="120"/>
        <w:ind w:left="0"/>
        <w:jc w:val="left"/>
        <w:rPr>
          <w:sz w:val="22"/>
          <w:szCs w:val="22"/>
        </w:rPr>
      </w:pPr>
      <w:r w:rsidRPr="009E5034">
        <w:rPr>
          <w:sz w:val="22"/>
          <w:szCs w:val="22"/>
        </w:rPr>
        <w:t>Les terres agricoles rencontrées dans le périmètre de Mopti sont de types argileux, limoneux argileux, limoneux sableux et sablonneux. Les sols argileux sont moins productifs que les limoneux argileux. </w:t>
      </w:r>
    </w:p>
    <w:p w:rsidR="00F164EF" w:rsidRPr="009E5034" w:rsidRDefault="00F164EF" w:rsidP="009E5034">
      <w:pPr>
        <w:spacing w:after="240"/>
        <w:ind w:left="0"/>
        <w:jc w:val="left"/>
        <w:rPr>
          <w:rStyle w:val="Strong"/>
          <w:rFonts w:eastAsia="MS Mincho"/>
          <w:sz w:val="22"/>
          <w:szCs w:val="22"/>
        </w:rPr>
      </w:pPr>
      <w:bookmarkStart w:id="200" w:name="_Toc253580396"/>
      <w:bookmarkStart w:id="201" w:name="_Toc261170241"/>
      <w:r w:rsidRPr="009E5034">
        <w:rPr>
          <w:rStyle w:val="Strong"/>
          <w:rFonts w:eastAsia="MS Mincho"/>
          <w:sz w:val="22"/>
          <w:szCs w:val="22"/>
        </w:rPr>
        <w:t>4.6. Végétations naturelles et forêts</w:t>
      </w:r>
      <w:bookmarkEnd w:id="200"/>
      <w:bookmarkEnd w:id="201"/>
    </w:p>
    <w:p w:rsidR="00F164EF" w:rsidRPr="009E5034" w:rsidRDefault="00F164EF" w:rsidP="009E5034">
      <w:pPr>
        <w:spacing w:before="120" w:after="120"/>
        <w:ind w:left="0"/>
        <w:jc w:val="left"/>
        <w:rPr>
          <w:sz w:val="22"/>
          <w:szCs w:val="22"/>
        </w:rPr>
      </w:pPr>
      <w:r w:rsidRPr="009E5034">
        <w:rPr>
          <w:sz w:val="22"/>
          <w:szCs w:val="22"/>
        </w:rPr>
        <w:t>Suivant les zones écologiques, on trouve des types de végétations adaptés à chacune d’elles. Dans la zone inondée, on trouve un couvert herbacé et arboré hydrophile supportant l’inondation avec des espèces endémiques des stations à sols hydromorphes peu drainés. Dans la zone exondée nous avons la zone du plateau avec les hauteurs de Douentza, Boni et Hombori où il y a un couvert  avec dépressions recueillant les eaux qui ne peuvent que ruisseler.</w:t>
      </w:r>
    </w:p>
    <w:p w:rsidR="00F164EF" w:rsidRPr="009E5034" w:rsidRDefault="00F164EF" w:rsidP="009E5034">
      <w:pPr>
        <w:spacing w:before="120" w:after="120"/>
        <w:ind w:left="0"/>
        <w:jc w:val="left"/>
        <w:rPr>
          <w:sz w:val="22"/>
          <w:szCs w:val="22"/>
        </w:rPr>
      </w:pPr>
      <w:r w:rsidRPr="009E5034">
        <w:rPr>
          <w:sz w:val="22"/>
          <w:szCs w:val="22"/>
        </w:rPr>
        <w:t>Excepté l’arboriculture fruitière, l’exploitation forestière n’est pas développée dans la région. Il n’existe pas de superficies reboisées sur de grandes étendues.</w:t>
      </w:r>
    </w:p>
    <w:p w:rsidR="00F164EF" w:rsidRPr="009E5034" w:rsidRDefault="00F164EF" w:rsidP="009E5034">
      <w:pPr>
        <w:spacing w:after="240"/>
        <w:ind w:left="0"/>
        <w:jc w:val="left"/>
        <w:rPr>
          <w:rStyle w:val="Strong"/>
          <w:rFonts w:eastAsia="MS Mincho"/>
          <w:sz w:val="22"/>
          <w:szCs w:val="22"/>
        </w:rPr>
      </w:pPr>
      <w:bookmarkStart w:id="202" w:name="_Toc253580397"/>
      <w:bookmarkStart w:id="203" w:name="_Toc261170242"/>
      <w:r w:rsidRPr="009E5034">
        <w:rPr>
          <w:rStyle w:val="Strong"/>
          <w:rFonts w:eastAsia="MS Mincho"/>
          <w:sz w:val="22"/>
          <w:szCs w:val="22"/>
        </w:rPr>
        <w:t>5. Gestion des nuisances</w:t>
      </w:r>
      <w:bookmarkEnd w:id="202"/>
      <w:bookmarkEnd w:id="203"/>
    </w:p>
    <w:p w:rsidR="00F164EF" w:rsidRPr="009E5034" w:rsidRDefault="00F164EF" w:rsidP="009E5034">
      <w:pPr>
        <w:spacing w:after="240"/>
        <w:ind w:left="0"/>
        <w:jc w:val="left"/>
        <w:rPr>
          <w:rStyle w:val="Strong"/>
          <w:rFonts w:eastAsia="MS Mincho"/>
          <w:sz w:val="22"/>
          <w:szCs w:val="22"/>
        </w:rPr>
      </w:pPr>
      <w:bookmarkStart w:id="204" w:name="_Toc253580398"/>
      <w:bookmarkStart w:id="205" w:name="_Toc261170243"/>
      <w:r w:rsidRPr="009E5034">
        <w:rPr>
          <w:rStyle w:val="Strong"/>
          <w:rFonts w:eastAsia="MS Mincho"/>
          <w:sz w:val="22"/>
          <w:szCs w:val="22"/>
        </w:rPr>
        <w:t>5.1. Gestion des eaux usées</w:t>
      </w:r>
      <w:bookmarkEnd w:id="204"/>
      <w:bookmarkEnd w:id="205"/>
    </w:p>
    <w:p w:rsidR="00F164EF" w:rsidRPr="009E5034" w:rsidRDefault="00F164EF" w:rsidP="009E5034">
      <w:pPr>
        <w:spacing w:before="120" w:after="120"/>
        <w:ind w:left="0"/>
        <w:jc w:val="left"/>
        <w:rPr>
          <w:sz w:val="22"/>
          <w:szCs w:val="22"/>
        </w:rPr>
      </w:pPr>
      <w:r w:rsidRPr="009E5034">
        <w:rPr>
          <w:sz w:val="22"/>
          <w:szCs w:val="22"/>
        </w:rPr>
        <w:t xml:space="preserve">Les eaux usées sont déversées directement dans les caniveaux par une canalisation en ciment qui traverse le mur du vestibule. Les eaux de toilette descendent de l'étage le long d'une descente en ciment taillée dans le mur ou par une tuyauterie en terre cuite ou en PVC. Dans les quartiers ne disposant pas de caniveaux, les eaux usées se déversent de la même manière dans des puisards vidés au seau, dans les caniveaux ou directement dans la rue.  </w:t>
      </w:r>
    </w:p>
    <w:p w:rsidR="00F164EF" w:rsidRPr="009E5034" w:rsidRDefault="00F164EF" w:rsidP="009E5034">
      <w:pPr>
        <w:spacing w:before="120" w:after="120"/>
        <w:ind w:left="0"/>
        <w:jc w:val="left"/>
        <w:rPr>
          <w:sz w:val="22"/>
          <w:szCs w:val="22"/>
        </w:rPr>
      </w:pPr>
      <w:r w:rsidRPr="009E5034">
        <w:rPr>
          <w:sz w:val="22"/>
          <w:szCs w:val="22"/>
        </w:rPr>
        <w:t xml:space="preserve">Le sol ne pouvant être creusé en profondeur, les toilettes sont construites à l'étage et les fosses qui recueillent les excréta sont limitées par les murs du rez-de-chaussée. Les concessions sont généralement revêtues de ciment ou de briquettes en terre cuite mais, dans certains cas, elles sont simplement en banco, ce qui affaiblit fortement la structure de la maison qui tend souvent à s'affaisser à cet endroit. Là où les routes sont larges, les fosses sont vidées par le camion citerne de la Mairie.  </w:t>
      </w:r>
    </w:p>
    <w:p w:rsidR="00F164EF" w:rsidRPr="009E5034" w:rsidRDefault="00F164EF" w:rsidP="009E5034">
      <w:pPr>
        <w:spacing w:before="120" w:after="120"/>
        <w:ind w:left="0"/>
        <w:jc w:val="left"/>
        <w:rPr>
          <w:sz w:val="22"/>
          <w:szCs w:val="22"/>
        </w:rPr>
      </w:pPr>
      <w:r w:rsidRPr="009E5034">
        <w:rPr>
          <w:sz w:val="22"/>
          <w:szCs w:val="22"/>
        </w:rPr>
        <w:t xml:space="preserve">Le contenu des fosses est soit vidangé manuellement par des manœuvres qui transportent les eaux usées dans des barriques jusque dans les champs ; soit déversé directement dans un trou pratiqué dans la rue soit enfin déversé directement dans les caniveaux en cas de pluie violente afin que le contenu soit emporté loin  de la ville dans le bas fond.  </w:t>
      </w:r>
    </w:p>
    <w:p w:rsidR="00F164EF" w:rsidRPr="009E5034" w:rsidRDefault="00F164EF" w:rsidP="009E5034">
      <w:pPr>
        <w:spacing w:before="120" w:after="120"/>
        <w:ind w:left="0"/>
        <w:jc w:val="left"/>
        <w:rPr>
          <w:sz w:val="22"/>
          <w:szCs w:val="22"/>
        </w:rPr>
      </w:pPr>
      <w:r w:rsidRPr="009E5034">
        <w:rPr>
          <w:sz w:val="22"/>
          <w:szCs w:val="22"/>
        </w:rPr>
        <w:t xml:space="preserve">Une station de traitement des eaux usées brutes a été récemment réalisée dans le cadre du Projet Pilote d’Assainissement et Décentralisation (PDUD). Elle est installée sur une superficie de </w:t>
      </w:r>
      <w:smartTag w:uri="urn:schemas-microsoft-com:office:smarttags" w:element="metricconverter">
        <w:smartTagPr>
          <w:attr w:name="ProductID" w:val="6,81 ha"/>
        </w:smartTagPr>
        <w:r w:rsidRPr="009E5034">
          <w:rPr>
            <w:sz w:val="22"/>
            <w:szCs w:val="22"/>
          </w:rPr>
          <w:t>6,81 ha</w:t>
        </w:r>
      </w:smartTag>
      <w:r w:rsidRPr="009E5034">
        <w:rPr>
          <w:sz w:val="22"/>
          <w:szCs w:val="22"/>
        </w:rPr>
        <w:t xml:space="preserve"> et raccorde 115 concessions soit 243 ménages. Cette station est dotée de 2 stations de pompage équipées chacune de 2 électropompes immergées pour eaux usées de capacité 65 m</w:t>
      </w:r>
      <w:r w:rsidRPr="009E5034">
        <w:rPr>
          <w:sz w:val="22"/>
          <w:szCs w:val="22"/>
          <w:vertAlign w:val="superscript"/>
        </w:rPr>
        <w:t>3</w:t>
      </w:r>
      <w:r w:rsidRPr="009E5034">
        <w:rPr>
          <w:sz w:val="22"/>
          <w:szCs w:val="22"/>
        </w:rPr>
        <w:t xml:space="preserve">/h. La station d’épuration fonctionne par lagunage et comprend un décanteur de </w:t>
      </w:r>
      <w:smartTag w:uri="urn:schemas-microsoft-com:office:smarttags" w:element="metricconverter">
        <w:smartTagPr>
          <w:attr w:name="ProductID" w:val="2.5 m"/>
        </w:smartTagPr>
        <w:r w:rsidRPr="009E5034">
          <w:rPr>
            <w:sz w:val="22"/>
            <w:szCs w:val="22"/>
          </w:rPr>
          <w:t>2.5 m</w:t>
        </w:r>
      </w:smartTag>
      <w:r w:rsidRPr="009E5034">
        <w:rPr>
          <w:sz w:val="22"/>
          <w:szCs w:val="22"/>
        </w:rPr>
        <w:t xml:space="preserve"> de Hauteur utile et </w:t>
      </w:r>
      <w:smartTag w:uri="urn:schemas-microsoft-com:office:smarttags" w:element="metricconverter">
        <w:smartTagPr>
          <w:attr w:name="ProductID" w:val="2 m"/>
        </w:smartTagPr>
        <w:r w:rsidRPr="009E5034">
          <w:rPr>
            <w:sz w:val="22"/>
            <w:szCs w:val="22"/>
          </w:rPr>
          <w:t>2 m</w:t>
        </w:r>
      </w:smartTag>
      <w:r w:rsidRPr="009E5034">
        <w:rPr>
          <w:sz w:val="22"/>
          <w:szCs w:val="22"/>
        </w:rPr>
        <w:t xml:space="preserve"> de diamètre; un bassin facultatif de 4 593m</w:t>
      </w:r>
      <w:r w:rsidRPr="009E5034">
        <w:rPr>
          <w:sz w:val="22"/>
          <w:szCs w:val="22"/>
          <w:vertAlign w:val="superscript"/>
        </w:rPr>
        <w:t>3</w:t>
      </w:r>
      <w:r w:rsidRPr="009E5034">
        <w:rPr>
          <w:sz w:val="22"/>
          <w:szCs w:val="22"/>
        </w:rPr>
        <w:t xml:space="preserve"> de volume et trois bassins de maturation montés en série de </w:t>
      </w:r>
      <w:smartTag w:uri="urn:schemas-microsoft-com:office:smarttags" w:element="metricconverter">
        <w:smartTagPr>
          <w:attr w:name="ProductID" w:val="500 m3"/>
        </w:smartTagPr>
        <w:r w:rsidRPr="009E5034">
          <w:rPr>
            <w:sz w:val="22"/>
            <w:szCs w:val="22"/>
          </w:rPr>
          <w:t>500 m</w:t>
        </w:r>
        <w:r w:rsidRPr="009E5034">
          <w:rPr>
            <w:sz w:val="22"/>
            <w:szCs w:val="22"/>
            <w:vertAlign w:val="superscript"/>
          </w:rPr>
          <w:t>3</w:t>
        </w:r>
      </w:smartTag>
      <w:r w:rsidRPr="009E5034">
        <w:rPr>
          <w:sz w:val="22"/>
          <w:szCs w:val="22"/>
        </w:rPr>
        <w:t xml:space="preserve"> de volume chacun.</w:t>
      </w:r>
    </w:p>
    <w:p w:rsidR="00F164EF" w:rsidRPr="009E5034" w:rsidRDefault="00F164EF" w:rsidP="009E5034">
      <w:pPr>
        <w:spacing w:after="240"/>
        <w:ind w:left="0"/>
        <w:jc w:val="left"/>
        <w:rPr>
          <w:rStyle w:val="Strong"/>
          <w:rFonts w:eastAsia="MS Mincho"/>
          <w:sz w:val="22"/>
          <w:szCs w:val="22"/>
        </w:rPr>
      </w:pPr>
      <w:bookmarkStart w:id="206" w:name="_Toc253580399"/>
      <w:bookmarkStart w:id="207" w:name="_Toc261170244"/>
      <w:r w:rsidRPr="009E5034">
        <w:rPr>
          <w:rStyle w:val="Strong"/>
          <w:rFonts w:eastAsia="MS Mincho"/>
          <w:sz w:val="22"/>
          <w:szCs w:val="22"/>
        </w:rPr>
        <w:t>5.2. Gestion des déchets solides</w:t>
      </w:r>
      <w:bookmarkEnd w:id="206"/>
      <w:bookmarkEnd w:id="207"/>
    </w:p>
    <w:p w:rsidR="00F164EF" w:rsidRPr="009E5034" w:rsidRDefault="00F164EF" w:rsidP="009E5034">
      <w:pPr>
        <w:spacing w:after="240"/>
        <w:ind w:left="0"/>
        <w:jc w:val="left"/>
        <w:rPr>
          <w:rStyle w:val="Strong"/>
          <w:rFonts w:eastAsia="MS Mincho"/>
          <w:sz w:val="22"/>
          <w:szCs w:val="22"/>
        </w:rPr>
      </w:pPr>
      <w:r w:rsidRPr="009E5034">
        <w:rPr>
          <w:rStyle w:val="Strong"/>
          <w:rFonts w:eastAsia="MS Mincho"/>
          <w:sz w:val="22"/>
          <w:szCs w:val="22"/>
        </w:rPr>
        <w:t>Production de déches ménagers</w:t>
      </w:r>
    </w:p>
    <w:p w:rsidR="00F164EF" w:rsidRPr="009E5034" w:rsidRDefault="00F164EF" w:rsidP="009E5034">
      <w:pPr>
        <w:spacing w:before="120"/>
        <w:ind w:left="0"/>
        <w:jc w:val="left"/>
        <w:rPr>
          <w:color w:val="000000"/>
          <w:sz w:val="22"/>
          <w:szCs w:val="22"/>
        </w:rPr>
      </w:pPr>
      <w:r w:rsidRPr="009E5034">
        <w:rPr>
          <w:color w:val="000000"/>
          <w:sz w:val="22"/>
          <w:szCs w:val="22"/>
        </w:rPr>
        <w:t>La production des déchets est de 64,4m3 par jour pour la ville de Mopti Sévaré. Cette quantité est en hausse aujourd’hui car l’urbanisation et la démographie  sont en  croissance exponentielle.</w:t>
      </w:r>
    </w:p>
    <w:p w:rsidR="00F164EF" w:rsidRPr="009E5034" w:rsidRDefault="00F164EF" w:rsidP="009E5034">
      <w:pPr>
        <w:spacing w:after="240"/>
        <w:ind w:left="0"/>
        <w:jc w:val="left"/>
        <w:rPr>
          <w:rStyle w:val="Strong"/>
          <w:rFonts w:eastAsia="MS Mincho"/>
          <w:sz w:val="22"/>
          <w:szCs w:val="22"/>
        </w:rPr>
      </w:pPr>
      <w:r w:rsidRPr="009E5034">
        <w:rPr>
          <w:rStyle w:val="Strong"/>
          <w:rFonts w:eastAsia="MS Mincho"/>
          <w:sz w:val="22"/>
          <w:szCs w:val="22"/>
        </w:rPr>
        <w:t>Quantités et qualité des déchets industriels :</w:t>
      </w:r>
    </w:p>
    <w:p w:rsidR="00F164EF" w:rsidRPr="009E5034" w:rsidRDefault="00F164EF" w:rsidP="009E5034">
      <w:pPr>
        <w:spacing w:before="120"/>
        <w:ind w:left="0"/>
        <w:jc w:val="left"/>
        <w:rPr>
          <w:color w:val="000000"/>
          <w:sz w:val="22"/>
          <w:szCs w:val="22"/>
        </w:rPr>
      </w:pPr>
      <w:r w:rsidRPr="009E5034">
        <w:rPr>
          <w:color w:val="000000"/>
          <w:sz w:val="22"/>
          <w:szCs w:val="22"/>
        </w:rPr>
        <w:t>Mopti ne dispose pas assez d’installations industrielles. Ceux qui excitent produisant ne produisent pas une quantité importante de déchets solides ou liquides spécifiques La ville est pauvre, cependant de petites unités existent surtout dans le domaine alimentaire telles</w:t>
      </w:r>
      <w:r w:rsidR="004C7D05">
        <w:rPr>
          <w:color w:val="000000"/>
          <w:sz w:val="22"/>
          <w:szCs w:val="22"/>
        </w:rPr>
        <w:t>:</w:t>
      </w:r>
    </w:p>
    <w:p w:rsidR="00F164EF" w:rsidRPr="009E5034" w:rsidRDefault="00F164EF" w:rsidP="009E5034">
      <w:pPr>
        <w:pStyle w:val="BodyText"/>
        <w:ind w:left="720"/>
        <w:rPr>
          <w:sz w:val="22"/>
          <w:szCs w:val="22"/>
        </w:rPr>
      </w:pPr>
      <w:r w:rsidRPr="009E5034">
        <w:rPr>
          <w:sz w:val="22"/>
          <w:szCs w:val="22"/>
        </w:rPr>
        <w:t xml:space="preserve">La boulangerie MODERNE à Mopti, </w:t>
      </w:r>
    </w:p>
    <w:p w:rsidR="00F164EF" w:rsidRPr="009E5034" w:rsidRDefault="00F164EF" w:rsidP="009E5034">
      <w:pPr>
        <w:pStyle w:val="BodyText"/>
        <w:ind w:left="720"/>
        <w:rPr>
          <w:sz w:val="22"/>
          <w:szCs w:val="22"/>
        </w:rPr>
      </w:pPr>
      <w:r w:rsidRPr="009E5034">
        <w:rPr>
          <w:sz w:val="22"/>
          <w:szCs w:val="22"/>
        </w:rPr>
        <w:t xml:space="preserve">La boulangerie KANSAYE à Sévaré, </w:t>
      </w:r>
    </w:p>
    <w:p w:rsidR="00F164EF" w:rsidRPr="009E5034" w:rsidRDefault="00F164EF" w:rsidP="009E5034">
      <w:pPr>
        <w:pStyle w:val="BodyText"/>
        <w:ind w:left="720"/>
        <w:rPr>
          <w:sz w:val="22"/>
          <w:szCs w:val="22"/>
        </w:rPr>
      </w:pPr>
      <w:r w:rsidRPr="009E5034">
        <w:rPr>
          <w:sz w:val="22"/>
          <w:szCs w:val="22"/>
        </w:rPr>
        <w:t xml:space="preserve">La boulangerie SOMAYAF à Sévaré, </w:t>
      </w:r>
    </w:p>
    <w:p w:rsidR="00F164EF" w:rsidRPr="009E5034" w:rsidRDefault="00F164EF" w:rsidP="009E5034">
      <w:pPr>
        <w:pStyle w:val="BodyText"/>
        <w:ind w:left="720"/>
        <w:rPr>
          <w:sz w:val="22"/>
          <w:szCs w:val="22"/>
        </w:rPr>
      </w:pPr>
      <w:r w:rsidRPr="009E5034">
        <w:rPr>
          <w:sz w:val="22"/>
          <w:szCs w:val="22"/>
        </w:rPr>
        <w:t>La</w:t>
      </w:r>
      <w:r w:rsidR="004C7D05">
        <w:rPr>
          <w:sz w:val="22"/>
          <w:szCs w:val="22"/>
        </w:rPr>
        <w:t xml:space="preserve"> Fabrique de glace «Nima glace</w:t>
      </w:r>
      <w:r w:rsidRPr="009E5034">
        <w:rPr>
          <w:sz w:val="22"/>
          <w:szCs w:val="22"/>
        </w:rPr>
        <w:t xml:space="preserve">» à Mopti, </w:t>
      </w:r>
    </w:p>
    <w:p w:rsidR="00F164EF" w:rsidRPr="009E5034" w:rsidRDefault="00F164EF" w:rsidP="009E5034">
      <w:pPr>
        <w:pStyle w:val="BodyText"/>
        <w:ind w:left="720"/>
        <w:rPr>
          <w:sz w:val="22"/>
          <w:szCs w:val="22"/>
        </w:rPr>
      </w:pPr>
      <w:r w:rsidRPr="009E5034">
        <w:rPr>
          <w:sz w:val="22"/>
          <w:szCs w:val="22"/>
        </w:rPr>
        <w:t>La Fabrique de glace Alimentaire à sévaré</w:t>
      </w:r>
    </w:p>
    <w:p w:rsidR="00F164EF" w:rsidRPr="009E5034" w:rsidRDefault="00F164EF" w:rsidP="009E5034">
      <w:pPr>
        <w:pStyle w:val="BodyText"/>
        <w:ind w:left="720"/>
        <w:rPr>
          <w:sz w:val="22"/>
          <w:szCs w:val="22"/>
        </w:rPr>
      </w:pPr>
      <w:r w:rsidRPr="009E5034">
        <w:rPr>
          <w:sz w:val="22"/>
          <w:szCs w:val="22"/>
        </w:rPr>
        <w:t>L’unité artisanale de laiterie KOSAM à Mopti</w:t>
      </w:r>
    </w:p>
    <w:p w:rsidR="00F164EF" w:rsidRPr="009E5034" w:rsidRDefault="00F164EF" w:rsidP="009E5034">
      <w:pPr>
        <w:pStyle w:val="BodyText"/>
        <w:ind w:left="720"/>
        <w:rPr>
          <w:sz w:val="22"/>
          <w:szCs w:val="22"/>
        </w:rPr>
      </w:pPr>
      <w:r w:rsidRPr="009E5034">
        <w:rPr>
          <w:sz w:val="22"/>
          <w:szCs w:val="22"/>
        </w:rPr>
        <w:t>Il existe aussi l’usine</w:t>
      </w:r>
      <w:r w:rsidR="004C7D05">
        <w:rPr>
          <w:sz w:val="22"/>
          <w:szCs w:val="22"/>
        </w:rPr>
        <w:t xml:space="preserve"> de fabrique de mousses «FOFY» </w:t>
      </w:r>
      <w:r w:rsidRPr="009E5034">
        <w:rPr>
          <w:sz w:val="22"/>
          <w:szCs w:val="22"/>
        </w:rPr>
        <w:t>à Barigodga.</w:t>
      </w:r>
    </w:p>
    <w:p w:rsidR="00F164EF" w:rsidRPr="009E5034" w:rsidRDefault="00F164EF" w:rsidP="009E5034">
      <w:pPr>
        <w:spacing w:before="120"/>
        <w:ind w:left="0"/>
        <w:jc w:val="left"/>
        <w:rPr>
          <w:color w:val="000000"/>
          <w:sz w:val="22"/>
          <w:szCs w:val="22"/>
        </w:rPr>
      </w:pPr>
      <w:r w:rsidRPr="009E5034">
        <w:rPr>
          <w:color w:val="000000"/>
          <w:sz w:val="22"/>
          <w:szCs w:val="22"/>
        </w:rPr>
        <w:t xml:space="preserve">Ces unités produisent de la fumée en quantité moins importante à travers les installations de moteurs qui émettent en plus des bruits. </w:t>
      </w:r>
    </w:p>
    <w:p w:rsidR="00F164EF" w:rsidRPr="009E5034" w:rsidRDefault="00F164EF" w:rsidP="009E5034">
      <w:pPr>
        <w:spacing w:before="120"/>
        <w:ind w:left="0"/>
        <w:jc w:val="left"/>
        <w:rPr>
          <w:color w:val="000000"/>
          <w:sz w:val="22"/>
          <w:szCs w:val="22"/>
        </w:rPr>
      </w:pPr>
      <w:r w:rsidRPr="009E5034">
        <w:rPr>
          <w:color w:val="000000"/>
          <w:sz w:val="22"/>
          <w:szCs w:val="22"/>
        </w:rPr>
        <w:t>Les déchets solides produits au niveau de ces unités sont constitués d’emballages plastiques, des papiers, de débris de mousses, etc.</w:t>
      </w:r>
    </w:p>
    <w:p w:rsidR="00F164EF" w:rsidRPr="009E5034" w:rsidRDefault="00F164EF" w:rsidP="009E5034">
      <w:pPr>
        <w:spacing w:before="120"/>
        <w:ind w:left="0"/>
        <w:jc w:val="left"/>
        <w:rPr>
          <w:color w:val="000000"/>
          <w:sz w:val="22"/>
          <w:szCs w:val="22"/>
        </w:rPr>
      </w:pPr>
      <w:r w:rsidRPr="009E5034">
        <w:rPr>
          <w:color w:val="000000"/>
          <w:sz w:val="22"/>
          <w:szCs w:val="22"/>
        </w:rPr>
        <w:t xml:space="preserve">Quant aux déchets liquides, ils sont constitués d’eaux usées (toilette, excédants du démoulage des glaces, eaux usées de décontamination des fûts à l’unité FOFY) </w:t>
      </w:r>
    </w:p>
    <w:p w:rsidR="00F164EF" w:rsidRPr="009E5034" w:rsidRDefault="00F164EF" w:rsidP="009E5034">
      <w:pPr>
        <w:spacing w:before="120"/>
        <w:ind w:left="0"/>
        <w:jc w:val="left"/>
        <w:rPr>
          <w:color w:val="000000"/>
          <w:sz w:val="22"/>
          <w:szCs w:val="22"/>
        </w:rPr>
      </w:pPr>
      <w:r w:rsidRPr="009E5034">
        <w:rPr>
          <w:color w:val="000000"/>
          <w:sz w:val="22"/>
          <w:szCs w:val="22"/>
        </w:rPr>
        <w:t>La quantité de ces déchets varie</w:t>
      </w:r>
      <w:r w:rsidR="00634E2F">
        <w:rPr>
          <w:color w:val="000000"/>
          <w:sz w:val="22"/>
          <w:szCs w:val="22"/>
        </w:rPr>
        <w:t xml:space="preserve"> selon les unités. Elle est de:</w:t>
      </w:r>
      <w:r w:rsidRPr="009E5034">
        <w:rPr>
          <w:color w:val="000000"/>
          <w:sz w:val="22"/>
          <w:szCs w:val="22"/>
        </w:rPr>
        <w:t xml:space="preserve"> 0.75 m3 d’ordures ordinaires par mois sauf FOFY où la même quantité est constitué de débris de matelas, incinéré à la sortie de Barbé sur la route de Bamako dans des fûts conçus à cet effet.</w:t>
      </w:r>
    </w:p>
    <w:p w:rsidR="00F164EF" w:rsidRPr="009E5034" w:rsidRDefault="00F164EF" w:rsidP="009E5034">
      <w:pPr>
        <w:spacing w:after="240"/>
        <w:ind w:left="0"/>
        <w:jc w:val="left"/>
        <w:rPr>
          <w:rStyle w:val="Strong"/>
          <w:rFonts w:eastAsia="MS Mincho"/>
          <w:sz w:val="22"/>
          <w:szCs w:val="22"/>
        </w:rPr>
      </w:pPr>
      <w:r w:rsidRPr="009E5034">
        <w:rPr>
          <w:rStyle w:val="Strong"/>
          <w:rFonts w:eastAsia="MS Mincho"/>
          <w:sz w:val="22"/>
          <w:szCs w:val="22"/>
        </w:rPr>
        <w:t>Collecte primaire des déchets ménagers</w:t>
      </w:r>
    </w:p>
    <w:p w:rsidR="00F164EF" w:rsidRPr="009E5034" w:rsidRDefault="00F164EF" w:rsidP="009E5034">
      <w:pPr>
        <w:spacing w:before="120"/>
        <w:ind w:left="0"/>
        <w:jc w:val="left"/>
        <w:rPr>
          <w:sz w:val="22"/>
          <w:szCs w:val="22"/>
        </w:rPr>
      </w:pPr>
      <w:r w:rsidRPr="009E5034">
        <w:rPr>
          <w:sz w:val="22"/>
          <w:szCs w:val="22"/>
        </w:rPr>
        <w:t>La collecte primaire est assurée par les GIE. Le rapport de la GIE Action Mopti révèle que le nombre des GIE actives dans la ville de Mopti s’élève à 23 pour 3 890 abonnés dont environ uniquement 600 disposent d’une poubelle. Ils desservent sommairement une partie de Mopti et stockent les ordures derrière le stade (indiqué par la Mairie comme dépotoir intermédiaire) mais, en cas de vent, les plastiques et odeurs portent préjudices aux habitations. Le ramassage des ordures ménagères par les GIE est un service payant mais sans aucune obligation juridique imposant l’adhésion des ménages à ce service. Le service de voirie municipal se trouve alors dans l’impossibilité d’agir.</w:t>
      </w:r>
    </w:p>
    <w:p w:rsidR="00F164EF" w:rsidRPr="009E5034" w:rsidRDefault="00F164EF" w:rsidP="009E5034">
      <w:pPr>
        <w:ind w:left="0"/>
        <w:jc w:val="left"/>
        <w:rPr>
          <w:sz w:val="22"/>
          <w:szCs w:val="22"/>
        </w:rPr>
      </w:pPr>
      <w:r w:rsidRPr="009E5034">
        <w:rPr>
          <w:sz w:val="22"/>
          <w:szCs w:val="22"/>
        </w:rPr>
        <w:t>Les équipements dont disposent les GIE d’assainissement :</w:t>
      </w:r>
    </w:p>
    <w:p w:rsidR="00F164EF" w:rsidRPr="009E5034" w:rsidRDefault="00F164EF" w:rsidP="009E5034">
      <w:pPr>
        <w:pStyle w:val="BodyText"/>
        <w:ind w:left="720"/>
        <w:rPr>
          <w:sz w:val="22"/>
          <w:szCs w:val="22"/>
        </w:rPr>
      </w:pPr>
      <w:r w:rsidRPr="009E5034">
        <w:rPr>
          <w:sz w:val="22"/>
          <w:szCs w:val="22"/>
        </w:rPr>
        <w:t>3  Tracteurs,                                     états bons 2007</w:t>
      </w:r>
    </w:p>
    <w:p w:rsidR="00F164EF" w:rsidRPr="009E5034" w:rsidRDefault="00F164EF" w:rsidP="009E5034">
      <w:pPr>
        <w:pStyle w:val="BodyText"/>
        <w:ind w:left="720"/>
        <w:rPr>
          <w:sz w:val="22"/>
          <w:szCs w:val="22"/>
        </w:rPr>
      </w:pPr>
      <w:r w:rsidRPr="009E5034">
        <w:rPr>
          <w:sz w:val="22"/>
          <w:szCs w:val="22"/>
        </w:rPr>
        <w:t>10  charrettes motorisées,                 03 états passables 07   états mauvais  2006</w:t>
      </w:r>
    </w:p>
    <w:p w:rsidR="00F164EF" w:rsidRPr="009E5034" w:rsidRDefault="00F164EF" w:rsidP="009E5034">
      <w:pPr>
        <w:pStyle w:val="BodyText"/>
        <w:ind w:left="720"/>
        <w:rPr>
          <w:sz w:val="22"/>
          <w:szCs w:val="22"/>
        </w:rPr>
      </w:pPr>
      <w:r w:rsidRPr="009E5034">
        <w:rPr>
          <w:sz w:val="22"/>
          <w:szCs w:val="22"/>
        </w:rPr>
        <w:t>08  charrettes motorisées,                 05 états passables, 03   états mauvais    2008</w:t>
      </w:r>
    </w:p>
    <w:p w:rsidR="00F164EF" w:rsidRPr="009E5034" w:rsidRDefault="00F164EF" w:rsidP="009E5034">
      <w:pPr>
        <w:pStyle w:val="BodyText"/>
        <w:ind w:left="720"/>
        <w:rPr>
          <w:sz w:val="22"/>
          <w:szCs w:val="22"/>
        </w:rPr>
      </w:pPr>
      <w:r w:rsidRPr="009E5034">
        <w:rPr>
          <w:sz w:val="22"/>
          <w:szCs w:val="22"/>
        </w:rPr>
        <w:t>05  charrettes citernes à traction animales,    400 ltres   états passables,   2005</w:t>
      </w:r>
    </w:p>
    <w:p w:rsidR="00F164EF" w:rsidRPr="009E5034" w:rsidRDefault="00F164EF" w:rsidP="009E5034">
      <w:pPr>
        <w:pStyle w:val="BodyText"/>
        <w:ind w:left="720"/>
        <w:rPr>
          <w:sz w:val="22"/>
          <w:szCs w:val="22"/>
        </w:rPr>
      </w:pPr>
      <w:r w:rsidRPr="009E5034">
        <w:rPr>
          <w:sz w:val="22"/>
          <w:szCs w:val="22"/>
        </w:rPr>
        <w:t>02  charrettes citernes à traction animales,    800 ltres   états bons,   2007 et 2008</w:t>
      </w:r>
    </w:p>
    <w:p w:rsidR="00F164EF" w:rsidRPr="009E5034" w:rsidRDefault="00F164EF" w:rsidP="009E5034">
      <w:pPr>
        <w:pStyle w:val="BodyText"/>
        <w:ind w:left="720"/>
        <w:rPr>
          <w:sz w:val="22"/>
          <w:szCs w:val="22"/>
        </w:rPr>
      </w:pPr>
      <w:r w:rsidRPr="009E5034">
        <w:rPr>
          <w:sz w:val="22"/>
          <w:szCs w:val="22"/>
        </w:rPr>
        <w:t>05  charrettes à tractions animales,     états mauvais    Plus de 8 ans</w:t>
      </w:r>
    </w:p>
    <w:p w:rsidR="00F164EF" w:rsidRPr="009E5034" w:rsidRDefault="00F164EF" w:rsidP="009E5034">
      <w:pPr>
        <w:pStyle w:val="BodyText"/>
        <w:ind w:left="720"/>
        <w:rPr>
          <w:sz w:val="22"/>
          <w:szCs w:val="22"/>
        </w:rPr>
      </w:pPr>
      <w:r w:rsidRPr="009E5034">
        <w:rPr>
          <w:sz w:val="22"/>
          <w:szCs w:val="22"/>
        </w:rPr>
        <w:t>01  Spiros  de 3m3,                           état passable, Plus de 10 ans</w:t>
      </w:r>
    </w:p>
    <w:p w:rsidR="00F164EF" w:rsidRPr="009E5034" w:rsidRDefault="00F164EF" w:rsidP="009E5034">
      <w:pPr>
        <w:spacing w:after="240"/>
        <w:ind w:left="0"/>
        <w:jc w:val="left"/>
        <w:rPr>
          <w:rStyle w:val="Strong"/>
          <w:rFonts w:eastAsia="MS Mincho"/>
          <w:sz w:val="22"/>
          <w:szCs w:val="22"/>
        </w:rPr>
      </w:pPr>
      <w:r w:rsidRPr="009E5034">
        <w:rPr>
          <w:rStyle w:val="Strong"/>
          <w:rFonts w:eastAsia="MS Mincho"/>
          <w:sz w:val="22"/>
          <w:szCs w:val="22"/>
        </w:rPr>
        <w:t>Nettoyage des rues et espaces publics</w:t>
      </w:r>
    </w:p>
    <w:p w:rsidR="00F164EF" w:rsidRPr="009E5034" w:rsidRDefault="00F164EF" w:rsidP="009E5034">
      <w:pPr>
        <w:spacing w:before="120"/>
        <w:ind w:left="0"/>
        <w:jc w:val="left"/>
        <w:rPr>
          <w:sz w:val="22"/>
          <w:szCs w:val="22"/>
        </w:rPr>
      </w:pPr>
      <w:r w:rsidRPr="009E5034">
        <w:rPr>
          <w:sz w:val="22"/>
          <w:szCs w:val="22"/>
        </w:rPr>
        <w:t xml:space="preserve">Cette activité a été exécutée par la commune à travers un contrat avec le service des 11 GIE de </w:t>
      </w:r>
      <w:r w:rsidRPr="009E5034">
        <w:rPr>
          <w:color w:val="000000"/>
          <w:sz w:val="22"/>
          <w:szCs w:val="22"/>
        </w:rPr>
        <w:t>l’APEJ</w:t>
      </w:r>
      <w:r w:rsidRPr="009E5034">
        <w:rPr>
          <w:sz w:val="22"/>
          <w:szCs w:val="22"/>
        </w:rPr>
        <w:t xml:space="preserve"> au cours de l’année 2008. </w:t>
      </w:r>
    </w:p>
    <w:p w:rsidR="00F164EF" w:rsidRPr="009E5034" w:rsidRDefault="00F164EF" w:rsidP="009E5034">
      <w:pPr>
        <w:spacing w:before="120"/>
        <w:ind w:left="0"/>
        <w:jc w:val="left"/>
        <w:rPr>
          <w:sz w:val="22"/>
          <w:szCs w:val="22"/>
        </w:rPr>
      </w:pPr>
      <w:r w:rsidRPr="009E5034">
        <w:rPr>
          <w:color w:val="000000"/>
          <w:sz w:val="22"/>
          <w:szCs w:val="22"/>
        </w:rPr>
        <w:t xml:space="preserve">Le montant mensuel du contrat était de </w:t>
      </w:r>
      <w:r w:rsidR="00634E2F">
        <w:rPr>
          <w:bCs/>
          <w:color w:val="000000"/>
          <w:sz w:val="22"/>
          <w:szCs w:val="22"/>
        </w:rPr>
        <w:t>500</w:t>
      </w:r>
      <w:r w:rsidRPr="009E5034">
        <w:rPr>
          <w:bCs/>
          <w:color w:val="000000"/>
          <w:sz w:val="22"/>
          <w:szCs w:val="22"/>
        </w:rPr>
        <w:t>000</w:t>
      </w:r>
      <w:r w:rsidRPr="009E5034">
        <w:rPr>
          <w:color w:val="000000"/>
          <w:sz w:val="22"/>
          <w:szCs w:val="22"/>
        </w:rPr>
        <w:t xml:space="preserve"> F CFA. Les ordures collectées et déposées au niveau des dépôts de transit sont composées de sachets plastiques pour la plupart, de papier, des feuilles d’arbres, de poussières, etc… Cette activité n’a pu être renouvelée cette année.</w:t>
      </w:r>
    </w:p>
    <w:p w:rsidR="00F164EF" w:rsidRPr="009E5034" w:rsidRDefault="00F164EF" w:rsidP="009E5034">
      <w:pPr>
        <w:spacing w:after="240"/>
        <w:ind w:left="0"/>
        <w:jc w:val="left"/>
        <w:rPr>
          <w:rStyle w:val="Strong"/>
          <w:rFonts w:eastAsia="MS Mincho"/>
          <w:sz w:val="22"/>
          <w:szCs w:val="22"/>
        </w:rPr>
      </w:pPr>
      <w:r w:rsidRPr="009E5034">
        <w:rPr>
          <w:rStyle w:val="Strong"/>
          <w:rFonts w:eastAsia="MS Mincho"/>
          <w:sz w:val="22"/>
          <w:szCs w:val="22"/>
        </w:rPr>
        <w:t>Collecte secondaire et mise en décharge</w:t>
      </w:r>
    </w:p>
    <w:p w:rsidR="00F164EF" w:rsidRPr="009E5034" w:rsidRDefault="00F164EF" w:rsidP="009E5034">
      <w:pPr>
        <w:spacing w:before="120"/>
        <w:ind w:left="0"/>
        <w:jc w:val="left"/>
        <w:rPr>
          <w:sz w:val="22"/>
          <w:szCs w:val="22"/>
        </w:rPr>
      </w:pPr>
      <w:r w:rsidRPr="009E5034">
        <w:rPr>
          <w:color w:val="000000"/>
          <w:sz w:val="22"/>
          <w:szCs w:val="22"/>
        </w:rPr>
        <w:t xml:space="preserve">La collecte et le transport des déchets à partir des points de regroupement sont effectués  par la commune à travers sa section de voirie qui dispose à cet effet de 3 multi bennes et deux camions ; une main d’œuvre permanente de 17 personnes sont mobilisés pour la recharge des ordures et des boues de curage dans les bacs à ordures destinés à être remorqués par les multi-bennes jusqu’à la décharge finale. L’évacuation des ordures vers la décharge finale est effectuée soient 5 sur 7 dans la semaine. </w:t>
      </w:r>
      <w:r w:rsidRPr="009E5034">
        <w:rPr>
          <w:sz w:val="22"/>
          <w:szCs w:val="22"/>
        </w:rPr>
        <w:t xml:space="preserve">Le taux de collecte des ordures ménagères est estimé à 71%. </w:t>
      </w:r>
    </w:p>
    <w:p w:rsidR="00F164EF" w:rsidRPr="009E5034" w:rsidRDefault="00F164EF" w:rsidP="009E5034">
      <w:pPr>
        <w:spacing w:before="120" w:after="120"/>
        <w:ind w:left="0"/>
        <w:jc w:val="left"/>
        <w:rPr>
          <w:sz w:val="22"/>
          <w:szCs w:val="22"/>
        </w:rPr>
      </w:pPr>
      <w:r w:rsidRPr="009E5034">
        <w:rPr>
          <w:sz w:val="22"/>
          <w:szCs w:val="22"/>
        </w:rPr>
        <w:t xml:space="preserve">Les ordures sont aussi réutilisées pour remblayer les rues, les habitations et les nouveaux sites. </w:t>
      </w:r>
    </w:p>
    <w:p w:rsidR="00F164EF" w:rsidRPr="009E5034" w:rsidRDefault="00F164EF" w:rsidP="009E5034">
      <w:pPr>
        <w:spacing w:before="120" w:after="120"/>
        <w:ind w:left="0"/>
        <w:jc w:val="left"/>
        <w:rPr>
          <w:sz w:val="22"/>
          <w:szCs w:val="22"/>
        </w:rPr>
      </w:pPr>
      <w:r w:rsidRPr="009E5034">
        <w:rPr>
          <w:sz w:val="22"/>
          <w:szCs w:val="22"/>
        </w:rPr>
        <w:t>A taïkiri, il n’existe pas d’évacuation des ordures. Elles sont stockées dans la cour de concession et parfois évacuées à la périphérie du quartier.</w:t>
      </w:r>
    </w:p>
    <w:p w:rsidR="00F164EF" w:rsidRPr="009E5034" w:rsidRDefault="00F164EF" w:rsidP="009E5034">
      <w:pPr>
        <w:spacing w:before="120" w:after="120"/>
        <w:ind w:left="0"/>
        <w:jc w:val="left"/>
        <w:rPr>
          <w:sz w:val="22"/>
          <w:szCs w:val="22"/>
        </w:rPr>
      </w:pPr>
      <w:r w:rsidRPr="009E5034">
        <w:rPr>
          <w:sz w:val="22"/>
          <w:szCs w:val="22"/>
        </w:rPr>
        <w:t xml:space="preserve">A Médina-coura, les ordures sont éliminées individuellement : chaque ménage évacue ses déchets à l’extérieur, contre le mur de la concession, puis les brûle périodiquement.   </w:t>
      </w:r>
    </w:p>
    <w:p w:rsidR="00F164EF" w:rsidRPr="009E5034" w:rsidRDefault="00F164EF" w:rsidP="009E5034">
      <w:pPr>
        <w:spacing w:before="120" w:after="120"/>
        <w:ind w:left="0"/>
        <w:jc w:val="left"/>
        <w:rPr>
          <w:sz w:val="22"/>
          <w:szCs w:val="22"/>
        </w:rPr>
      </w:pPr>
      <w:r w:rsidRPr="009E5034">
        <w:rPr>
          <w:sz w:val="22"/>
          <w:szCs w:val="22"/>
        </w:rPr>
        <w:t>A Sévaré, les ordures ménagères sont évacuées directement dans les dépotoirs publics, ou à défaut, dans la rue. L’insuffisance des dépotoirs et l’absence d’un service régulier d’évacuation font que les rues sont regorgées d’ordures. Alors que les agriculteurs gèrent leurs déchets de façon différente : ils entassent leurs déchets dans la cour puis les transportent vers les champs pour les utiliser comme engrais. Une décharge finale semi-contrôlée a été récemment créée à Mopti, elle contribuera certes à une bonne partie des problèmes de stockage des déchets solides.</w:t>
      </w:r>
    </w:p>
    <w:p w:rsidR="00F164EF" w:rsidRPr="009E5034" w:rsidRDefault="00F164EF" w:rsidP="009E5034">
      <w:pPr>
        <w:tabs>
          <w:tab w:val="left" w:pos="360"/>
        </w:tabs>
        <w:spacing w:before="120"/>
        <w:ind w:left="0"/>
        <w:jc w:val="left"/>
        <w:rPr>
          <w:color w:val="000000"/>
          <w:sz w:val="22"/>
          <w:szCs w:val="22"/>
        </w:rPr>
      </w:pPr>
      <w:r w:rsidRPr="009E5034">
        <w:rPr>
          <w:i/>
          <w:color w:val="000000"/>
          <w:sz w:val="22"/>
          <w:szCs w:val="22"/>
        </w:rPr>
        <w:t>Les équipements de collecte et transport</w:t>
      </w:r>
      <w:r w:rsidRPr="009E5034">
        <w:rPr>
          <w:color w:val="000000"/>
          <w:sz w:val="22"/>
          <w:szCs w:val="22"/>
        </w:rPr>
        <w:t xml:space="preserve"> des déchets:</w:t>
      </w:r>
    </w:p>
    <w:p w:rsidR="00F164EF" w:rsidRPr="009E5034" w:rsidRDefault="00F164EF" w:rsidP="009E5034">
      <w:pPr>
        <w:pStyle w:val="BodyText"/>
        <w:ind w:left="720"/>
        <w:rPr>
          <w:sz w:val="22"/>
          <w:szCs w:val="22"/>
        </w:rPr>
      </w:pPr>
      <w:r w:rsidRPr="009E5034">
        <w:rPr>
          <w:sz w:val="22"/>
          <w:szCs w:val="22"/>
        </w:rPr>
        <w:t>02 Camion multi bennes,                états passables 2002</w:t>
      </w:r>
    </w:p>
    <w:p w:rsidR="00F164EF" w:rsidRPr="009E5034" w:rsidRDefault="00F164EF" w:rsidP="009E5034">
      <w:pPr>
        <w:pStyle w:val="BodyText"/>
        <w:ind w:left="720"/>
        <w:rPr>
          <w:sz w:val="22"/>
          <w:szCs w:val="22"/>
        </w:rPr>
      </w:pPr>
      <w:r w:rsidRPr="009E5034">
        <w:rPr>
          <w:sz w:val="22"/>
          <w:szCs w:val="22"/>
        </w:rPr>
        <w:t>01 Camion multi bennes,                état passable 2007</w:t>
      </w:r>
    </w:p>
    <w:p w:rsidR="00F164EF" w:rsidRPr="009E5034" w:rsidRDefault="00F164EF" w:rsidP="009E5034">
      <w:pPr>
        <w:pStyle w:val="BodyText"/>
        <w:ind w:left="720"/>
        <w:rPr>
          <w:sz w:val="22"/>
          <w:szCs w:val="22"/>
        </w:rPr>
      </w:pPr>
      <w:r w:rsidRPr="009E5034">
        <w:rPr>
          <w:sz w:val="22"/>
          <w:szCs w:val="22"/>
        </w:rPr>
        <w:t xml:space="preserve">02 Camion bennes,                         états passable         </w:t>
      </w:r>
    </w:p>
    <w:p w:rsidR="00F164EF" w:rsidRPr="009E5034" w:rsidRDefault="00F164EF" w:rsidP="009E5034">
      <w:pPr>
        <w:pStyle w:val="BodyText"/>
        <w:ind w:left="720"/>
        <w:rPr>
          <w:sz w:val="22"/>
          <w:szCs w:val="22"/>
        </w:rPr>
      </w:pPr>
      <w:r w:rsidRPr="009E5034">
        <w:rPr>
          <w:sz w:val="22"/>
          <w:szCs w:val="22"/>
        </w:rPr>
        <w:t xml:space="preserve">01 Pic UP double cabine,               état mauvais, arrêté il y a trois ans 2002 </w:t>
      </w:r>
    </w:p>
    <w:p w:rsidR="00F164EF" w:rsidRPr="009E5034" w:rsidRDefault="00F164EF" w:rsidP="009E5034">
      <w:pPr>
        <w:pStyle w:val="BodyText"/>
        <w:ind w:left="720"/>
        <w:rPr>
          <w:sz w:val="22"/>
          <w:szCs w:val="22"/>
        </w:rPr>
      </w:pPr>
      <w:r w:rsidRPr="009E5034">
        <w:rPr>
          <w:sz w:val="22"/>
          <w:szCs w:val="22"/>
        </w:rPr>
        <w:t>13 bacs à ordures    de 8m3           états bons 2006 et  2008</w:t>
      </w:r>
    </w:p>
    <w:p w:rsidR="00F164EF" w:rsidRPr="009E5034" w:rsidRDefault="00F164EF" w:rsidP="009E5034">
      <w:pPr>
        <w:pStyle w:val="BodyText"/>
        <w:ind w:left="720"/>
        <w:rPr>
          <w:sz w:val="22"/>
          <w:szCs w:val="22"/>
        </w:rPr>
      </w:pPr>
      <w:r w:rsidRPr="009E5034">
        <w:rPr>
          <w:sz w:val="22"/>
          <w:szCs w:val="22"/>
        </w:rPr>
        <w:t>06  bacs à ordures                          états mauvais, hors d’usage 2004 et 2005</w:t>
      </w:r>
    </w:p>
    <w:p w:rsidR="00F164EF" w:rsidRPr="009E5034" w:rsidRDefault="00F164EF" w:rsidP="009E5034">
      <w:pPr>
        <w:pStyle w:val="BodyText"/>
        <w:ind w:left="720"/>
        <w:rPr>
          <w:sz w:val="22"/>
          <w:szCs w:val="22"/>
        </w:rPr>
      </w:pPr>
      <w:r w:rsidRPr="009E5034">
        <w:rPr>
          <w:sz w:val="22"/>
          <w:szCs w:val="22"/>
        </w:rPr>
        <w:t xml:space="preserve">11  Brouettes       </w:t>
      </w:r>
      <w:r w:rsidRPr="009E5034">
        <w:rPr>
          <w:sz w:val="22"/>
          <w:szCs w:val="22"/>
        </w:rPr>
        <w:tab/>
      </w:r>
      <w:r w:rsidRPr="009E5034">
        <w:rPr>
          <w:sz w:val="22"/>
          <w:szCs w:val="22"/>
        </w:rPr>
        <w:tab/>
        <w:t xml:space="preserve"> 1 état bon 10  en épaves</w:t>
      </w:r>
    </w:p>
    <w:p w:rsidR="00F164EF" w:rsidRPr="009E5034" w:rsidRDefault="00F164EF" w:rsidP="009E5034">
      <w:pPr>
        <w:pStyle w:val="BodyText"/>
        <w:ind w:left="720"/>
        <w:rPr>
          <w:sz w:val="22"/>
          <w:szCs w:val="22"/>
        </w:rPr>
      </w:pPr>
      <w:r w:rsidRPr="009E5034">
        <w:rPr>
          <w:sz w:val="22"/>
          <w:szCs w:val="22"/>
        </w:rPr>
        <w:t xml:space="preserve">20  Pelles                </w:t>
      </w:r>
      <w:r w:rsidRPr="009E5034">
        <w:rPr>
          <w:sz w:val="22"/>
          <w:szCs w:val="22"/>
        </w:rPr>
        <w:tab/>
      </w:r>
      <w:r w:rsidRPr="009E5034">
        <w:rPr>
          <w:sz w:val="22"/>
          <w:szCs w:val="22"/>
        </w:rPr>
        <w:tab/>
        <w:t xml:space="preserve">               états passables</w:t>
      </w:r>
    </w:p>
    <w:p w:rsidR="00F164EF" w:rsidRPr="009E5034" w:rsidRDefault="00F164EF" w:rsidP="009E5034">
      <w:pPr>
        <w:pStyle w:val="BodyText"/>
        <w:ind w:left="720"/>
        <w:rPr>
          <w:sz w:val="22"/>
          <w:szCs w:val="22"/>
        </w:rPr>
      </w:pPr>
      <w:r w:rsidRPr="009E5034">
        <w:rPr>
          <w:sz w:val="22"/>
          <w:szCs w:val="22"/>
        </w:rPr>
        <w:t xml:space="preserve">03 Pioches                </w:t>
      </w:r>
      <w:r w:rsidRPr="009E5034">
        <w:rPr>
          <w:sz w:val="22"/>
          <w:szCs w:val="22"/>
        </w:rPr>
        <w:tab/>
        <w:t xml:space="preserve"> </w:t>
      </w:r>
      <w:r w:rsidRPr="009E5034">
        <w:rPr>
          <w:sz w:val="22"/>
          <w:szCs w:val="22"/>
        </w:rPr>
        <w:tab/>
        <w:t xml:space="preserve">            état passables</w:t>
      </w:r>
    </w:p>
    <w:p w:rsidR="00F164EF" w:rsidRPr="009E5034" w:rsidRDefault="00F164EF" w:rsidP="009E5034">
      <w:pPr>
        <w:pStyle w:val="BodyText"/>
        <w:ind w:left="720"/>
        <w:rPr>
          <w:sz w:val="22"/>
          <w:szCs w:val="22"/>
        </w:rPr>
      </w:pPr>
      <w:r w:rsidRPr="009E5034">
        <w:rPr>
          <w:sz w:val="22"/>
          <w:szCs w:val="22"/>
        </w:rPr>
        <w:t xml:space="preserve">20  Paires des gans     </w:t>
      </w:r>
      <w:r w:rsidRPr="009E5034">
        <w:rPr>
          <w:sz w:val="22"/>
          <w:szCs w:val="22"/>
        </w:rPr>
        <w:tab/>
        <w:t xml:space="preserve">           états passables</w:t>
      </w:r>
    </w:p>
    <w:p w:rsidR="00F164EF" w:rsidRPr="009E5034" w:rsidRDefault="00F164EF" w:rsidP="009E5034">
      <w:pPr>
        <w:pStyle w:val="BodyText"/>
        <w:ind w:left="720"/>
        <w:rPr>
          <w:sz w:val="22"/>
          <w:szCs w:val="22"/>
        </w:rPr>
      </w:pPr>
      <w:r w:rsidRPr="009E5034">
        <w:rPr>
          <w:sz w:val="22"/>
          <w:szCs w:val="22"/>
        </w:rPr>
        <w:t xml:space="preserve">20 Paires de bottes       </w:t>
      </w:r>
      <w:r w:rsidRPr="009E5034">
        <w:rPr>
          <w:sz w:val="22"/>
          <w:szCs w:val="22"/>
        </w:rPr>
        <w:tab/>
        <w:t xml:space="preserve">         états passables</w:t>
      </w:r>
    </w:p>
    <w:p w:rsidR="00F164EF" w:rsidRPr="009E5034" w:rsidRDefault="00F164EF" w:rsidP="009E5034">
      <w:pPr>
        <w:pStyle w:val="BodyText"/>
        <w:ind w:left="720"/>
        <w:rPr>
          <w:sz w:val="22"/>
          <w:szCs w:val="22"/>
        </w:rPr>
      </w:pPr>
      <w:r w:rsidRPr="009E5034">
        <w:rPr>
          <w:sz w:val="22"/>
          <w:szCs w:val="22"/>
        </w:rPr>
        <w:t xml:space="preserve">01 poubelles domestiques     </w:t>
      </w:r>
      <w:r w:rsidRPr="009E5034">
        <w:rPr>
          <w:sz w:val="22"/>
          <w:szCs w:val="22"/>
        </w:rPr>
        <w:tab/>
      </w:r>
      <w:r w:rsidRPr="009E5034">
        <w:rPr>
          <w:sz w:val="22"/>
          <w:szCs w:val="22"/>
        </w:rPr>
        <w:tab/>
        <w:t>état passable</w:t>
      </w:r>
    </w:p>
    <w:p w:rsidR="00F164EF" w:rsidRPr="009E5034" w:rsidRDefault="00F164EF" w:rsidP="009E5034">
      <w:pPr>
        <w:pStyle w:val="BodyText"/>
        <w:ind w:left="720"/>
        <w:rPr>
          <w:sz w:val="22"/>
          <w:szCs w:val="22"/>
        </w:rPr>
      </w:pPr>
      <w:r w:rsidRPr="009E5034">
        <w:rPr>
          <w:sz w:val="22"/>
          <w:szCs w:val="22"/>
        </w:rPr>
        <w:t xml:space="preserve">03 Barres à mines             </w:t>
      </w:r>
      <w:r w:rsidRPr="009E5034">
        <w:rPr>
          <w:sz w:val="22"/>
          <w:szCs w:val="22"/>
        </w:rPr>
        <w:tab/>
        <w:t xml:space="preserve">     états passables</w:t>
      </w:r>
    </w:p>
    <w:p w:rsidR="00F164EF" w:rsidRPr="009E5034" w:rsidRDefault="00F164EF" w:rsidP="009E5034">
      <w:pPr>
        <w:ind w:left="0"/>
        <w:jc w:val="left"/>
        <w:rPr>
          <w:i/>
          <w:sz w:val="22"/>
          <w:szCs w:val="22"/>
        </w:rPr>
      </w:pPr>
      <w:r w:rsidRPr="009E5034">
        <w:rPr>
          <w:i/>
          <w:sz w:val="22"/>
          <w:szCs w:val="22"/>
        </w:rPr>
        <w:t>Infrastructures de gestion des ordures</w:t>
      </w:r>
    </w:p>
    <w:p w:rsidR="00F164EF" w:rsidRPr="009E5034" w:rsidRDefault="00F164EF" w:rsidP="009E5034">
      <w:pPr>
        <w:pStyle w:val="BodyText"/>
        <w:ind w:left="720"/>
        <w:rPr>
          <w:sz w:val="22"/>
          <w:szCs w:val="22"/>
        </w:rPr>
      </w:pPr>
      <w:r w:rsidRPr="009E5034">
        <w:rPr>
          <w:sz w:val="22"/>
          <w:szCs w:val="22"/>
        </w:rPr>
        <w:t>01  Décharge finale</w:t>
      </w:r>
    </w:p>
    <w:p w:rsidR="00F164EF" w:rsidRPr="009E5034" w:rsidRDefault="00F164EF" w:rsidP="009E5034">
      <w:pPr>
        <w:pStyle w:val="BodyText"/>
        <w:ind w:left="720"/>
        <w:rPr>
          <w:sz w:val="22"/>
          <w:szCs w:val="22"/>
        </w:rPr>
      </w:pPr>
      <w:r w:rsidRPr="009E5034">
        <w:rPr>
          <w:sz w:val="22"/>
          <w:szCs w:val="22"/>
        </w:rPr>
        <w:t>20 Dépôts  de transit</w:t>
      </w:r>
    </w:p>
    <w:p w:rsidR="00F164EF" w:rsidRPr="009E5034" w:rsidRDefault="00F164EF" w:rsidP="009E5034">
      <w:pPr>
        <w:spacing w:after="240"/>
        <w:ind w:left="0"/>
        <w:jc w:val="left"/>
        <w:rPr>
          <w:rStyle w:val="Strong"/>
          <w:rFonts w:eastAsia="MS Mincho"/>
          <w:sz w:val="22"/>
          <w:szCs w:val="22"/>
        </w:rPr>
      </w:pPr>
      <w:bookmarkStart w:id="208" w:name="_Toc253580400"/>
      <w:bookmarkStart w:id="209" w:name="_Toc261170245"/>
      <w:r w:rsidRPr="009E5034">
        <w:rPr>
          <w:rStyle w:val="Strong"/>
          <w:rFonts w:eastAsia="MS Mincho"/>
          <w:sz w:val="22"/>
          <w:szCs w:val="22"/>
        </w:rPr>
        <w:t>Modes actuels d’élimination et de gestion des déchets industriels.</w:t>
      </w:r>
    </w:p>
    <w:p w:rsidR="00F164EF" w:rsidRPr="009E5034" w:rsidRDefault="00F164EF" w:rsidP="009E5034">
      <w:pPr>
        <w:spacing w:before="120"/>
        <w:ind w:left="0"/>
        <w:jc w:val="left"/>
        <w:rPr>
          <w:color w:val="000000"/>
          <w:sz w:val="22"/>
          <w:szCs w:val="22"/>
        </w:rPr>
      </w:pPr>
      <w:r w:rsidRPr="009E5034">
        <w:rPr>
          <w:color w:val="000000"/>
          <w:sz w:val="22"/>
          <w:szCs w:val="22"/>
        </w:rPr>
        <w:t>Si le mode de gestion des déchets liquides est semblable au niveau de ces unités à travers des installations autonomes (latrines fosses septiques) de collecte et traitement des eaux usées et excréta, les eaux usées de décontamination des fûts ; le mode d’élimination des déchets  solides est différent pour:</w:t>
      </w:r>
    </w:p>
    <w:p w:rsidR="00F164EF" w:rsidRPr="009E5034" w:rsidRDefault="00F164EF" w:rsidP="009E5034">
      <w:pPr>
        <w:pStyle w:val="BodyText"/>
        <w:ind w:left="720"/>
        <w:rPr>
          <w:sz w:val="22"/>
          <w:szCs w:val="22"/>
        </w:rPr>
      </w:pPr>
      <w:r w:rsidRPr="009E5034">
        <w:rPr>
          <w:sz w:val="22"/>
          <w:szCs w:val="22"/>
        </w:rPr>
        <w:t>FOFY: collecte dans des fûts, incinérés dans ces fûts lin de la ville de Barbé,</w:t>
      </w:r>
    </w:p>
    <w:p w:rsidR="00F164EF" w:rsidRPr="009E5034" w:rsidRDefault="00F164EF" w:rsidP="009E5034">
      <w:pPr>
        <w:pStyle w:val="BodyText"/>
        <w:ind w:left="720"/>
        <w:rPr>
          <w:sz w:val="22"/>
          <w:szCs w:val="22"/>
        </w:rPr>
      </w:pPr>
      <w:r w:rsidRPr="009E5034">
        <w:rPr>
          <w:sz w:val="22"/>
          <w:szCs w:val="22"/>
        </w:rPr>
        <w:t>Boulangerie MODERNE à Mopti, Evacuation sur le dépôt des ordures constituées principalement de sachets plastiques par les GIE de pré collecte des ordures.</w:t>
      </w:r>
    </w:p>
    <w:p w:rsidR="00F164EF" w:rsidRPr="009E5034" w:rsidRDefault="00F164EF" w:rsidP="009E5034">
      <w:pPr>
        <w:pStyle w:val="BodyText"/>
        <w:ind w:left="720"/>
        <w:rPr>
          <w:sz w:val="22"/>
          <w:szCs w:val="22"/>
        </w:rPr>
      </w:pPr>
      <w:r w:rsidRPr="009E5034">
        <w:rPr>
          <w:sz w:val="22"/>
          <w:szCs w:val="22"/>
        </w:rPr>
        <w:t>Boulangerie KANSAYE à Sévaré, Evacuation sur le dépôt des ordures constituées principalement de sachets plastiques par les GIE de pré collecte des ordures.</w:t>
      </w:r>
    </w:p>
    <w:p w:rsidR="00F164EF" w:rsidRPr="009E5034" w:rsidRDefault="00F164EF" w:rsidP="009E5034">
      <w:pPr>
        <w:pStyle w:val="BodyText"/>
        <w:ind w:left="720"/>
        <w:rPr>
          <w:sz w:val="22"/>
          <w:szCs w:val="22"/>
        </w:rPr>
      </w:pPr>
      <w:r w:rsidRPr="009E5034">
        <w:rPr>
          <w:sz w:val="22"/>
          <w:szCs w:val="22"/>
        </w:rPr>
        <w:t>Boulangerie SOMAYAF à Sévaré, Evacuation des ordures sur le dépôt de transit par les ouvriers</w:t>
      </w:r>
    </w:p>
    <w:p w:rsidR="00F164EF" w:rsidRPr="009E5034" w:rsidRDefault="00F164EF" w:rsidP="009E5034">
      <w:pPr>
        <w:pStyle w:val="BodyText"/>
        <w:ind w:left="720"/>
        <w:rPr>
          <w:sz w:val="22"/>
          <w:szCs w:val="22"/>
        </w:rPr>
      </w:pPr>
      <w:r w:rsidRPr="009E5034">
        <w:rPr>
          <w:sz w:val="22"/>
          <w:szCs w:val="22"/>
        </w:rPr>
        <w:t>Fabrique de glace «Nima glace» à Mopti, Evacuation sur le dépôt des ordures constituées principalement de sachets plastiques par les GIE de pré collecte des ordures.</w:t>
      </w:r>
    </w:p>
    <w:p w:rsidR="00F164EF" w:rsidRPr="009E5034" w:rsidRDefault="00F164EF" w:rsidP="009E5034">
      <w:pPr>
        <w:pStyle w:val="BodyText"/>
        <w:ind w:left="720"/>
        <w:rPr>
          <w:sz w:val="22"/>
          <w:szCs w:val="22"/>
        </w:rPr>
      </w:pPr>
      <w:r w:rsidRPr="009E5034">
        <w:rPr>
          <w:sz w:val="22"/>
          <w:szCs w:val="22"/>
        </w:rPr>
        <w:t>Fabrique de glace Alimentaire à sévaré : Evacuation sur la décharge des ordures constituées principalement de sachets plastiques par les GIE de pré collecte des ordures.</w:t>
      </w:r>
    </w:p>
    <w:p w:rsidR="00F164EF" w:rsidRPr="009E5034" w:rsidRDefault="00F164EF" w:rsidP="009E5034">
      <w:pPr>
        <w:pStyle w:val="BodyText"/>
        <w:ind w:left="720"/>
        <w:rPr>
          <w:sz w:val="22"/>
          <w:szCs w:val="22"/>
        </w:rPr>
      </w:pPr>
      <w:r w:rsidRPr="009E5034">
        <w:rPr>
          <w:sz w:val="22"/>
          <w:szCs w:val="22"/>
        </w:rPr>
        <w:t>Unité Fabrique de lait à Mopti : Evacuation sur le dépôt des ordures constituées principalement de sachets plastiques par les GIE de pré collecte des ordures.</w:t>
      </w:r>
    </w:p>
    <w:p w:rsidR="00F164EF" w:rsidRPr="009E5034" w:rsidRDefault="00F164EF" w:rsidP="009E5034">
      <w:pPr>
        <w:spacing w:after="240"/>
        <w:ind w:left="0"/>
        <w:jc w:val="left"/>
        <w:rPr>
          <w:rStyle w:val="Strong"/>
          <w:rFonts w:eastAsia="MS Mincho"/>
          <w:sz w:val="22"/>
          <w:szCs w:val="22"/>
        </w:rPr>
      </w:pPr>
      <w:r w:rsidRPr="009E5034">
        <w:rPr>
          <w:rStyle w:val="Strong"/>
          <w:rFonts w:eastAsia="MS Mincho"/>
          <w:sz w:val="22"/>
          <w:szCs w:val="22"/>
        </w:rPr>
        <w:t>5.3. Gestion des eaux pluviales et contrôles des inondations</w:t>
      </w:r>
      <w:bookmarkEnd w:id="208"/>
      <w:bookmarkEnd w:id="209"/>
    </w:p>
    <w:p w:rsidR="00F164EF" w:rsidRPr="009E5034" w:rsidRDefault="00F164EF" w:rsidP="009E5034">
      <w:pPr>
        <w:spacing w:before="120" w:after="120"/>
        <w:ind w:left="0"/>
        <w:jc w:val="left"/>
        <w:rPr>
          <w:sz w:val="22"/>
          <w:szCs w:val="22"/>
        </w:rPr>
      </w:pPr>
      <w:r w:rsidRPr="009E5034">
        <w:rPr>
          <w:sz w:val="22"/>
          <w:szCs w:val="22"/>
        </w:rPr>
        <w:t xml:space="preserve">Vers 1970, le réseau d’eaux pluviales dans la commune de Mopti était estimé à environ </w:t>
      </w:r>
      <w:smartTag w:uri="urn:schemas-microsoft-com:office:smarttags" w:element="metricconverter">
        <w:smartTagPr>
          <w:attr w:name="ProductID" w:val="26 km"/>
        </w:smartTagPr>
        <w:r w:rsidRPr="009E5034">
          <w:rPr>
            <w:sz w:val="22"/>
            <w:szCs w:val="22"/>
          </w:rPr>
          <w:t>26 km</w:t>
        </w:r>
      </w:smartTag>
      <w:r w:rsidRPr="009E5034">
        <w:rPr>
          <w:sz w:val="22"/>
          <w:szCs w:val="22"/>
        </w:rPr>
        <w:t xml:space="preserve"> de caniveaux. Faute d’entretien adéquat, ce réseau a quasiment disparu. Il n’en subsiste que quelques reliques très vétustes et peu fonctionnelles. En 1995, l’AGETIPE a fait réaliser 1 700 ml de collecteur et 7 150 ml de caniveau qui ont porté la longueur totale du réseau d’eaux pluviales existant à environ 12 132ml. En 2008, dans le cadre du PDUD, 450 ml de caniveaux revêtus en dalles concaves ont été réalisés à MOSSINKORE sur 6800 ml programmés, et 2114 ml de caniveaux ont été réhabilités à BOUGOUFIE. Globalement, la ville compte environ </w:t>
      </w:r>
      <w:r w:rsidRPr="009E5034">
        <w:rPr>
          <w:color w:val="000000"/>
          <w:sz w:val="22"/>
          <w:szCs w:val="22"/>
        </w:rPr>
        <w:t>13 961ml de collecteurs</w:t>
      </w:r>
      <w:r w:rsidRPr="009E5034">
        <w:rPr>
          <w:sz w:val="22"/>
          <w:szCs w:val="22"/>
        </w:rPr>
        <w:t xml:space="preserve"> et </w:t>
      </w:r>
      <w:r w:rsidRPr="009E5034">
        <w:rPr>
          <w:color w:val="000000"/>
          <w:sz w:val="22"/>
          <w:szCs w:val="22"/>
        </w:rPr>
        <w:t>31205 ml de Caniveaux</w:t>
      </w:r>
      <w:r w:rsidRPr="009E5034">
        <w:rPr>
          <w:sz w:val="22"/>
          <w:szCs w:val="22"/>
        </w:rPr>
        <w:t xml:space="preserve">. </w:t>
      </w:r>
    </w:p>
    <w:p w:rsidR="00F164EF" w:rsidRPr="009E5034" w:rsidRDefault="00F164EF" w:rsidP="009E5034">
      <w:pPr>
        <w:spacing w:before="120" w:after="120"/>
        <w:ind w:left="0"/>
        <w:jc w:val="left"/>
        <w:rPr>
          <w:sz w:val="22"/>
          <w:szCs w:val="22"/>
        </w:rPr>
      </w:pPr>
      <w:r w:rsidRPr="009E5034">
        <w:rPr>
          <w:sz w:val="22"/>
          <w:szCs w:val="22"/>
        </w:rPr>
        <w:t xml:space="preserve">Les caniveaux et collecteurs, même les plus récents sont, toutefois, les sièges permanents de phénomène de pollution très accentué et de graves nuisances pour les populations avoisinantes en raison des défaillances au niveau de l’entretien. Le cas actuel du grand collecteur de Toguel est véritablement inquiétant. </w:t>
      </w:r>
    </w:p>
    <w:p w:rsidR="00F164EF" w:rsidRPr="009E5034" w:rsidRDefault="00F164EF" w:rsidP="009E5034">
      <w:pPr>
        <w:spacing w:before="120" w:after="120"/>
        <w:ind w:left="0"/>
        <w:jc w:val="left"/>
        <w:rPr>
          <w:sz w:val="22"/>
          <w:szCs w:val="22"/>
        </w:rPr>
      </w:pPr>
      <w:r w:rsidRPr="009E5034">
        <w:rPr>
          <w:sz w:val="22"/>
          <w:szCs w:val="22"/>
        </w:rPr>
        <w:t xml:space="preserve">Les activités d’assainissement des services techniques municipaux portent essentiellement sur l’entretien des grandes artères, des places publiques, le ramassage des ordures ménagères, le curage et la réfection des caniveaux. L’intérieur des quartiers n’est pas concerné. La municipalité ne dispose pas de spiros depuis 1995 et il n’existe aucune gestion municipale des eaux usées. Depuis 1998, une grande partie de ces missions est dévolue à des GIE d’assainissement sur la base d’un contrat de ville cofinancé par l’Etat, la Banque Mondiale et la Commune. C’est un appui dégressif de 32.000.000 FCFA sur une durée de six (6) années. La mairie a contribué pour l’année 2000 à hauteur de dix huit 18.000.000 FCFA. </w:t>
      </w:r>
    </w:p>
    <w:p w:rsidR="00F164EF" w:rsidRPr="009E5034" w:rsidRDefault="00F164EF" w:rsidP="009E5034">
      <w:pPr>
        <w:spacing w:before="120" w:after="120"/>
        <w:ind w:left="0"/>
        <w:jc w:val="left"/>
        <w:rPr>
          <w:sz w:val="22"/>
          <w:szCs w:val="22"/>
        </w:rPr>
      </w:pPr>
      <w:r w:rsidRPr="009E5034">
        <w:rPr>
          <w:sz w:val="22"/>
          <w:szCs w:val="22"/>
        </w:rPr>
        <w:t xml:space="preserve">D’une façon générale, l’évacuation des eaux pluviales se fait par à travers des saignées réalisés par les habitants à hauteur de 47,5%  des cas, le long de caniveaux à hauteur de 31,0% des cas ou bien suivant d’autres systèmes, 21.5% des cas. </w:t>
      </w:r>
    </w:p>
    <w:p w:rsidR="00F164EF" w:rsidRPr="009E5034" w:rsidRDefault="00F164EF" w:rsidP="009E5034">
      <w:pPr>
        <w:spacing w:after="240"/>
        <w:ind w:left="0"/>
        <w:jc w:val="left"/>
        <w:rPr>
          <w:rStyle w:val="Strong"/>
          <w:rFonts w:eastAsia="MS Mincho"/>
          <w:sz w:val="22"/>
          <w:szCs w:val="22"/>
        </w:rPr>
      </w:pPr>
      <w:bookmarkStart w:id="210" w:name="_Toc253580401"/>
      <w:r w:rsidRPr="009E5034">
        <w:rPr>
          <w:rStyle w:val="Strong"/>
          <w:rFonts w:eastAsia="MS Mincho"/>
          <w:sz w:val="22"/>
          <w:szCs w:val="22"/>
        </w:rPr>
        <w:t>6. Gouvernance de l’environnement urbain</w:t>
      </w:r>
    </w:p>
    <w:p w:rsidR="00F164EF" w:rsidRPr="009E5034" w:rsidRDefault="00F164EF" w:rsidP="009E5034">
      <w:pPr>
        <w:spacing w:after="240"/>
        <w:ind w:left="0"/>
        <w:jc w:val="left"/>
        <w:rPr>
          <w:rStyle w:val="Strong"/>
          <w:rFonts w:eastAsia="MS Mincho"/>
          <w:sz w:val="22"/>
          <w:szCs w:val="22"/>
        </w:rPr>
      </w:pPr>
      <w:r w:rsidRPr="009E5034">
        <w:rPr>
          <w:rStyle w:val="Strong"/>
          <w:rFonts w:eastAsia="MS Mincho"/>
          <w:sz w:val="22"/>
          <w:szCs w:val="22"/>
        </w:rPr>
        <w:t>6.1 Organigramme des services municipaux de la commune de Mopti:</w:t>
      </w:r>
    </w:p>
    <w:p w:rsidR="00F164EF" w:rsidRPr="009E5034" w:rsidRDefault="00F164EF" w:rsidP="009E5034">
      <w:pPr>
        <w:spacing w:before="120"/>
        <w:ind w:left="0"/>
        <w:jc w:val="left"/>
        <w:rPr>
          <w:color w:val="000000"/>
          <w:sz w:val="22"/>
          <w:szCs w:val="22"/>
        </w:rPr>
      </w:pPr>
      <w:r w:rsidRPr="009E5034">
        <w:rPr>
          <w:color w:val="000000"/>
          <w:sz w:val="22"/>
          <w:szCs w:val="22"/>
        </w:rPr>
        <w:t>Suivant l’arrêté N°009/CM portant restructuration des services de la Mairie de Mopti; la Mairie de la commune urbaine de Mopti est divisée en quatre grands services :</w:t>
      </w:r>
    </w:p>
    <w:p w:rsidR="00F164EF" w:rsidRPr="009E5034" w:rsidRDefault="00F164EF" w:rsidP="009E5034">
      <w:pPr>
        <w:pStyle w:val="BodyText"/>
        <w:ind w:left="720"/>
        <w:rPr>
          <w:sz w:val="22"/>
          <w:szCs w:val="22"/>
        </w:rPr>
      </w:pPr>
      <w:r w:rsidRPr="009E5034">
        <w:rPr>
          <w:sz w:val="22"/>
          <w:szCs w:val="22"/>
        </w:rPr>
        <w:t xml:space="preserve">Direction des services administratifs et juridiques, </w:t>
      </w:r>
    </w:p>
    <w:p w:rsidR="00F164EF" w:rsidRPr="009E5034" w:rsidRDefault="00F164EF" w:rsidP="009E5034">
      <w:pPr>
        <w:pStyle w:val="BodyText"/>
        <w:ind w:left="720"/>
        <w:rPr>
          <w:sz w:val="22"/>
          <w:szCs w:val="22"/>
        </w:rPr>
      </w:pPr>
      <w:r w:rsidRPr="009E5034">
        <w:rPr>
          <w:sz w:val="22"/>
          <w:szCs w:val="22"/>
        </w:rPr>
        <w:t>Direction des services financiers et comptables,</w:t>
      </w:r>
    </w:p>
    <w:p w:rsidR="00F164EF" w:rsidRPr="009E5034" w:rsidRDefault="00F164EF" w:rsidP="009E5034">
      <w:pPr>
        <w:pStyle w:val="BodyText"/>
        <w:ind w:left="720"/>
        <w:rPr>
          <w:sz w:val="22"/>
          <w:szCs w:val="22"/>
        </w:rPr>
      </w:pPr>
      <w:r w:rsidRPr="009E5034">
        <w:rPr>
          <w:sz w:val="22"/>
          <w:szCs w:val="22"/>
        </w:rPr>
        <w:t xml:space="preserve">Direction des services techniques, </w:t>
      </w:r>
    </w:p>
    <w:p w:rsidR="00F164EF" w:rsidRPr="009E5034" w:rsidRDefault="00F164EF" w:rsidP="009E5034">
      <w:pPr>
        <w:pStyle w:val="BodyText"/>
        <w:ind w:left="720"/>
        <w:rPr>
          <w:sz w:val="22"/>
          <w:szCs w:val="22"/>
        </w:rPr>
      </w:pPr>
      <w:r w:rsidRPr="009E5034">
        <w:rPr>
          <w:sz w:val="22"/>
          <w:szCs w:val="22"/>
        </w:rPr>
        <w:t>Direction des services de développement.</w:t>
      </w:r>
    </w:p>
    <w:p w:rsidR="00F164EF" w:rsidRPr="009E5034" w:rsidRDefault="00F164EF" w:rsidP="009E5034">
      <w:pPr>
        <w:spacing w:before="120"/>
        <w:ind w:left="0"/>
        <w:jc w:val="left"/>
        <w:rPr>
          <w:color w:val="000000"/>
          <w:sz w:val="22"/>
          <w:szCs w:val="22"/>
        </w:rPr>
      </w:pPr>
      <w:r w:rsidRPr="009E5034">
        <w:rPr>
          <w:color w:val="000000"/>
          <w:sz w:val="22"/>
          <w:szCs w:val="22"/>
        </w:rPr>
        <w:t>L’ensemble des services sont placés sous l’autorité du Maire et la coordination est assurée par le Secrétaire général. (Voir schéma en annexe)</w:t>
      </w:r>
    </w:p>
    <w:p w:rsidR="00F164EF" w:rsidRPr="009E5034" w:rsidRDefault="00F164EF" w:rsidP="009E5034">
      <w:pPr>
        <w:spacing w:after="240"/>
        <w:ind w:left="0"/>
        <w:jc w:val="left"/>
        <w:rPr>
          <w:rStyle w:val="Strong"/>
          <w:rFonts w:eastAsia="MS Mincho"/>
          <w:sz w:val="22"/>
          <w:szCs w:val="22"/>
        </w:rPr>
      </w:pPr>
      <w:r w:rsidRPr="009E5034">
        <w:rPr>
          <w:rStyle w:val="Strong"/>
          <w:rFonts w:eastAsia="MS Mincho"/>
          <w:sz w:val="22"/>
          <w:szCs w:val="22"/>
        </w:rPr>
        <w:t>6.2 Organigramme des services environnementaux de la commune de Mopti:</w:t>
      </w:r>
    </w:p>
    <w:p w:rsidR="00F164EF" w:rsidRPr="009E5034" w:rsidRDefault="00F164EF" w:rsidP="009E5034">
      <w:pPr>
        <w:spacing w:before="120"/>
        <w:ind w:left="0"/>
        <w:jc w:val="left"/>
        <w:rPr>
          <w:color w:val="000000"/>
          <w:sz w:val="22"/>
          <w:szCs w:val="22"/>
        </w:rPr>
      </w:pPr>
      <w:r w:rsidRPr="009E5034">
        <w:rPr>
          <w:color w:val="000000"/>
          <w:sz w:val="22"/>
          <w:szCs w:val="22"/>
        </w:rPr>
        <w:t xml:space="preserve">Il s’agit essentiellement de la </w:t>
      </w:r>
      <w:r w:rsidRPr="009E5034">
        <w:rPr>
          <w:b/>
          <w:color w:val="000000"/>
          <w:sz w:val="22"/>
          <w:szCs w:val="22"/>
        </w:rPr>
        <w:t xml:space="preserve">Direction des services techniques, </w:t>
      </w:r>
      <w:r w:rsidRPr="009E5034">
        <w:rPr>
          <w:color w:val="000000"/>
          <w:sz w:val="22"/>
          <w:szCs w:val="22"/>
        </w:rPr>
        <w:t xml:space="preserve">placée sous l’autorité du Maire; cette structure est chargée de: </w:t>
      </w:r>
    </w:p>
    <w:p w:rsidR="00F164EF" w:rsidRPr="009E5034" w:rsidRDefault="00F164EF" w:rsidP="009E5034">
      <w:pPr>
        <w:pStyle w:val="BodyText"/>
        <w:ind w:left="720"/>
        <w:rPr>
          <w:sz w:val="22"/>
          <w:szCs w:val="22"/>
        </w:rPr>
      </w:pPr>
      <w:r w:rsidRPr="009E5034">
        <w:rPr>
          <w:sz w:val="22"/>
          <w:szCs w:val="22"/>
        </w:rPr>
        <w:t>Gérer le cadre de vie de la commune;</w:t>
      </w:r>
    </w:p>
    <w:p w:rsidR="00F164EF" w:rsidRPr="009E5034" w:rsidRDefault="00F164EF" w:rsidP="009E5034">
      <w:pPr>
        <w:pStyle w:val="BodyText"/>
        <w:ind w:left="720"/>
        <w:rPr>
          <w:sz w:val="22"/>
          <w:szCs w:val="22"/>
        </w:rPr>
      </w:pPr>
      <w:r w:rsidRPr="009E5034">
        <w:rPr>
          <w:sz w:val="22"/>
          <w:szCs w:val="22"/>
        </w:rPr>
        <w:t>Gérer l’occupation du domaine communal</w:t>
      </w:r>
    </w:p>
    <w:p w:rsidR="00F164EF" w:rsidRPr="009E5034" w:rsidRDefault="00F164EF" w:rsidP="009E5034">
      <w:pPr>
        <w:pStyle w:val="BodyText"/>
        <w:ind w:left="720"/>
        <w:rPr>
          <w:sz w:val="22"/>
          <w:szCs w:val="22"/>
        </w:rPr>
      </w:pPr>
      <w:r w:rsidRPr="009E5034">
        <w:rPr>
          <w:sz w:val="22"/>
          <w:szCs w:val="22"/>
        </w:rPr>
        <w:t>Assurer l’assainissement et l’hygiène dans la commune</w:t>
      </w:r>
    </w:p>
    <w:p w:rsidR="00F164EF" w:rsidRPr="009E5034" w:rsidRDefault="00F164EF" w:rsidP="009E5034">
      <w:pPr>
        <w:pStyle w:val="BodyText"/>
        <w:ind w:left="720"/>
        <w:rPr>
          <w:sz w:val="22"/>
          <w:szCs w:val="22"/>
        </w:rPr>
      </w:pPr>
      <w:r w:rsidRPr="009E5034">
        <w:rPr>
          <w:sz w:val="22"/>
          <w:szCs w:val="22"/>
        </w:rPr>
        <w:t xml:space="preserve">Maintenir l’entretien des moyens logistiques et outils d’art. </w:t>
      </w:r>
    </w:p>
    <w:p w:rsidR="00F164EF" w:rsidRPr="009E5034" w:rsidRDefault="00F164EF" w:rsidP="009E5034">
      <w:pPr>
        <w:spacing w:before="120"/>
        <w:ind w:left="0"/>
        <w:jc w:val="left"/>
        <w:rPr>
          <w:color w:val="000000"/>
          <w:sz w:val="22"/>
          <w:szCs w:val="22"/>
        </w:rPr>
      </w:pPr>
      <w:r w:rsidRPr="009E5034">
        <w:rPr>
          <w:color w:val="000000"/>
          <w:sz w:val="22"/>
          <w:szCs w:val="22"/>
        </w:rPr>
        <w:t>Elle est organisée en 5 sections:</w:t>
      </w:r>
    </w:p>
    <w:p w:rsidR="00F164EF" w:rsidRPr="009E5034" w:rsidRDefault="00F164EF" w:rsidP="009E5034">
      <w:pPr>
        <w:spacing w:before="120"/>
        <w:ind w:left="0" w:firstLine="600"/>
        <w:jc w:val="left"/>
        <w:rPr>
          <w:color w:val="000000"/>
          <w:sz w:val="22"/>
          <w:szCs w:val="22"/>
        </w:rPr>
      </w:pPr>
      <w:r w:rsidRPr="009E5034">
        <w:rPr>
          <w:b/>
          <w:color w:val="000000"/>
          <w:sz w:val="22"/>
          <w:szCs w:val="22"/>
        </w:rPr>
        <w:t>6.2.1. Section voirie et entretien</w:t>
      </w:r>
      <w:r w:rsidRPr="009E5034">
        <w:rPr>
          <w:color w:val="000000"/>
          <w:sz w:val="22"/>
          <w:szCs w:val="22"/>
        </w:rPr>
        <w:t>: Elle est chargée des travaux de voirie et l’entretien des voies publiques ainsi que l gestion de l’occupation du domaine public. En outre elle est chargée de la programmation des activités menées par les différentes équipes d’intervention. Elle exécute des tâches ponctuelles.</w:t>
      </w:r>
    </w:p>
    <w:p w:rsidR="00F164EF" w:rsidRPr="009E5034" w:rsidRDefault="00F164EF" w:rsidP="009E5034">
      <w:pPr>
        <w:spacing w:before="120"/>
        <w:ind w:left="0" w:firstLine="600"/>
        <w:jc w:val="left"/>
        <w:rPr>
          <w:color w:val="000000"/>
          <w:sz w:val="22"/>
          <w:szCs w:val="22"/>
        </w:rPr>
      </w:pPr>
      <w:r w:rsidRPr="009E5034">
        <w:rPr>
          <w:b/>
          <w:color w:val="000000"/>
          <w:sz w:val="22"/>
          <w:szCs w:val="22"/>
        </w:rPr>
        <w:t>6.2.2. Section domaniale et foncière</w:t>
      </w:r>
      <w:r w:rsidRPr="009E5034">
        <w:rPr>
          <w:color w:val="000000"/>
          <w:sz w:val="22"/>
          <w:szCs w:val="22"/>
        </w:rPr>
        <w:t>: elle est chargée du traitement des dossiers techniques:</w:t>
      </w:r>
    </w:p>
    <w:p w:rsidR="00F164EF" w:rsidRPr="009E5034" w:rsidRDefault="00F164EF" w:rsidP="009E5034">
      <w:pPr>
        <w:pStyle w:val="BodyText"/>
        <w:ind w:left="720"/>
        <w:rPr>
          <w:sz w:val="22"/>
          <w:szCs w:val="22"/>
        </w:rPr>
      </w:pPr>
      <w:r w:rsidRPr="009E5034">
        <w:rPr>
          <w:sz w:val="22"/>
          <w:szCs w:val="22"/>
        </w:rPr>
        <w:t>Les concessions urbaines d’habitation;</w:t>
      </w:r>
    </w:p>
    <w:p w:rsidR="00F164EF" w:rsidRPr="009E5034" w:rsidRDefault="00F164EF" w:rsidP="009E5034">
      <w:pPr>
        <w:pStyle w:val="BodyText"/>
        <w:ind w:left="720"/>
        <w:rPr>
          <w:sz w:val="22"/>
          <w:szCs w:val="22"/>
        </w:rPr>
      </w:pPr>
      <w:r w:rsidRPr="009E5034">
        <w:rPr>
          <w:sz w:val="22"/>
          <w:szCs w:val="22"/>
        </w:rPr>
        <w:t>Les mises en gage;</w:t>
      </w:r>
    </w:p>
    <w:p w:rsidR="00F164EF" w:rsidRPr="009E5034" w:rsidRDefault="00F164EF" w:rsidP="009E5034">
      <w:pPr>
        <w:pStyle w:val="BodyText"/>
        <w:ind w:left="720"/>
        <w:rPr>
          <w:sz w:val="22"/>
          <w:szCs w:val="22"/>
        </w:rPr>
      </w:pPr>
      <w:r w:rsidRPr="009E5034">
        <w:rPr>
          <w:sz w:val="22"/>
          <w:szCs w:val="22"/>
        </w:rPr>
        <w:t>Les autorisations de construire;</w:t>
      </w:r>
    </w:p>
    <w:p w:rsidR="00F164EF" w:rsidRPr="009E5034" w:rsidRDefault="00F164EF" w:rsidP="009E5034">
      <w:pPr>
        <w:pStyle w:val="BodyText"/>
        <w:ind w:left="720"/>
        <w:rPr>
          <w:sz w:val="22"/>
          <w:szCs w:val="22"/>
        </w:rPr>
      </w:pPr>
      <w:r w:rsidRPr="009E5034">
        <w:rPr>
          <w:sz w:val="22"/>
          <w:szCs w:val="22"/>
        </w:rPr>
        <w:t>Les transferts de lettre ou permis d’occuper;</w:t>
      </w:r>
    </w:p>
    <w:p w:rsidR="00F164EF" w:rsidRPr="009E5034" w:rsidRDefault="00F164EF" w:rsidP="009E5034">
      <w:pPr>
        <w:pStyle w:val="BodyText"/>
        <w:ind w:left="720"/>
        <w:rPr>
          <w:sz w:val="22"/>
          <w:szCs w:val="22"/>
        </w:rPr>
      </w:pPr>
      <w:r w:rsidRPr="009E5034">
        <w:rPr>
          <w:sz w:val="22"/>
          <w:szCs w:val="22"/>
        </w:rPr>
        <w:t>Les transferts de concession;</w:t>
      </w:r>
    </w:p>
    <w:p w:rsidR="00F164EF" w:rsidRPr="009E5034" w:rsidRDefault="00F164EF" w:rsidP="009E5034">
      <w:pPr>
        <w:spacing w:before="120"/>
        <w:ind w:left="0"/>
        <w:jc w:val="left"/>
        <w:rPr>
          <w:color w:val="000000"/>
          <w:sz w:val="22"/>
          <w:szCs w:val="22"/>
        </w:rPr>
      </w:pPr>
      <w:r w:rsidRPr="009E5034">
        <w:rPr>
          <w:color w:val="000000"/>
          <w:sz w:val="22"/>
          <w:szCs w:val="22"/>
        </w:rPr>
        <w:t>Elle procède à la mise à jour du cadastre, traite les dossiers relatifs aux litiges fonciers et domaniaux en rapport avec d’autres services, participe à l’élaboration des dossiers de lotissements, des alignements et des bornages pour les demandes de Titre Foncier.</w:t>
      </w:r>
    </w:p>
    <w:p w:rsidR="00F164EF" w:rsidRPr="009E5034" w:rsidRDefault="00F164EF" w:rsidP="009E5034">
      <w:pPr>
        <w:spacing w:before="120"/>
        <w:ind w:left="0" w:firstLine="600"/>
        <w:jc w:val="left"/>
        <w:rPr>
          <w:color w:val="000000"/>
          <w:sz w:val="22"/>
          <w:szCs w:val="22"/>
        </w:rPr>
      </w:pPr>
      <w:r w:rsidRPr="009E5034">
        <w:rPr>
          <w:b/>
          <w:color w:val="000000"/>
          <w:sz w:val="22"/>
          <w:szCs w:val="22"/>
        </w:rPr>
        <w:t>6.2.3. Section Garage et entretien</w:t>
      </w:r>
      <w:r w:rsidRPr="009E5034">
        <w:rPr>
          <w:color w:val="000000"/>
          <w:sz w:val="22"/>
          <w:szCs w:val="22"/>
        </w:rPr>
        <w:t>: Elle est chargée de:</w:t>
      </w:r>
    </w:p>
    <w:p w:rsidR="00F164EF" w:rsidRPr="009E5034" w:rsidRDefault="00F164EF" w:rsidP="009E5034">
      <w:pPr>
        <w:pStyle w:val="BodyText"/>
        <w:ind w:left="720"/>
        <w:rPr>
          <w:sz w:val="22"/>
          <w:szCs w:val="22"/>
        </w:rPr>
      </w:pPr>
      <w:r w:rsidRPr="009E5034">
        <w:rPr>
          <w:sz w:val="22"/>
          <w:szCs w:val="22"/>
        </w:rPr>
        <w:t xml:space="preserve">Suivi de l’entretien et de la maintenance du parc auto: </w:t>
      </w:r>
    </w:p>
    <w:p w:rsidR="00F164EF" w:rsidRPr="009E5034" w:rsidRDefault="00F164EF" w:rsidP="009E5034">
      <w:pPr>
        <w:pStyle w:val="BodyText"/>
        <w:ind w:left="720"/>
        <w:rPr>
          <w:sz w:val="22"/>
          <w:szCs w:val="22"/>
        </w:rPr>
      </w:pPr>
      <w:r w:rsidRPr="009E5034">
        <w:rPr>
          <w:sz w:val="22"/>
          <w:szCs w:val="22"/>
        </w:rPr>
        <w:t>Encadrement technique des chauffeurs;</w:t>
      </w:r>
    </w:p>
    <w:p w:rsidR="00F164EF" w:rsidRPr="009E5034" w:rsidRDefault="00F164EF" w:rsidP="009E5034">
      <w:pPr>
        <w:pStyle w:val="BodyText"/>
        <w:ind w:left="720"/>
        <w:rPr>
          <w:sz w:val="22"/>
          <w:szCs w:val="22"/>
        </w:rPr>
      </w:pPr>
      <w:r w:rsidRPr="009E5034">
        <w:rPr>
          <w:sz w:val="22"/>
          <w:szCs w:val="22"/>
        </w:rPr>
        <w:t>Gestion et suivi du parc auto : réparation ou affectation des moyens logistiques en fonction de l’urgence et du volume des travaux existants;</w:t>
      </w:r>
    </w:p>
    <w:p w:rsidR="00F164EF" w:rsidRPr="009E5034" w:rsidRDefault="00F164EF" w:rsidP="009E5034">
      <w:pPr>
        <w:pStyle w:val="BodyText"/>
        <w:numPr>
          <w:ilvl w:val="0"/>
          <w:numId w:val="0"/>
        </w:numPr>
        <w:ind w:left="709" w:hanging="360"/>
        <w:rPr>
          <w:sz w:val="22"/>
          <w:szCs w:val="22"/>
        </w:rPr>
      </w:pPr>
      <w:r w:rsidRPr="009E5034">
        <w:rPr>
          <w:sz w:val="22"/>
          <w:szCs w:val="22"/>
        </w:rPr>
        <w:t>Elle établit les besoins périodiques d’entretien.</w:t>
      </w:r>
    </w:p>
    <w:p w:rsidR="00F164EF" w:rsidRPr="009E5034" w:rsidRDefault="00F164EF" w:rsidP="009E5034">
      <w:pPr>
        <w:spacing w:before="120"/>
        <w:ind w:left="0" w:firstLine="600"/>
        <w:jc w:val="left"/>
        <w:rPr>
          <w:color w:val="000000"/>
          <w:sz w:val="22"/>
          <w:szCs w:val="22"/>
        </w:rPr>
      </w:pPr>
      <w:r w:rsidRPr="009E5034">
        <w:rPr>
          <w:b/>
          <w:color w:val="000000"/>
          <w:sz w:val="22"/>
          <w:szCs w:val="22"/>
        </w:rPr>
        <w:t xml:space="preserve">6.2.4. Section Atelier: </w:t>
      </w:r>
      <w:r w:rsidRPr="009E5034">
        <w:rPr>
          <w:color w:val="000000"/>
          <w:sz w:val="22"/>
          <w:szCs w:val="22"/>
        </w:rPr>
        <w:t>Elle est chargée d’effectuer les travaux spécifiques:</w:t>
      </w:r>
    </w:p>
    <w:p w:rsidR="00F164EF" w:rsidRPr="009E5034" w:rsidRDefault="00F164EF" w:rsidP="009E5034">
      <w:pPr>
        <w:pStyle w:val="BodyText"/>
        <w:ind w:left="720"/>
        <w:rPr>
          <w:sz w:val="22"/>
          <w:szCs w:val="22"/>
        </w:rPr>
      </w:pPr>
      <w:r w:rsidRPr="009E5034">
        <w:rPr>
          <w:sz w:val="22"/>
          <w:szCs w:val="22"/>
        </w:rPr>
        <w:t xml:space="preserve">Forge, </w:t>
      </w:r>
    </w:p>
    <w:p w:rsidR="00F164EF" w:rsidRPr="009E5034" w:rsidRDefault="00F164EF" w:rsidP="009E5034">
      <w:pPr>
        <w:pStyle w:val="BodyText"/>
        <w:ind w:left="720"/>
        <w:rPr>
          <w:sz w:val="22"/>
          <w:szCs w:val="22"/>
        </w:rPr>
      </w:pPr>
      <w:r w:rsidRPr="009E5034">
        <w:rPr>
          <w:sz w:val="22"/>
          <w:szCs w:val="22"/>
        </w:rPr>
        <w:t xml:space="preserve">Menuiserie, </w:t>
      </w:r>
    </w:p>
    <w:p w:rsidR="00F164EF" w:rsidRPr="009E5034" w:rsidRDefault="00F164EF" w:rsidP="009E5034">
      <w:pPr>
        <w:pStyle w:val="BodyText"/>
        <w:ind w:left="720"/>
        <w:rPr>
          <w:sz w:val="22"/>
          <w:szCs w:val="22"/>
        </w:rPr>
      </w:pPr>
      <w:r w:rsidRPr="009E5034">
        <w:rPr>
          <w:sz w:val="22"/>
          <w:szCs w:val="22"/>
        </w:rPr>
        <w:t>Maçonnerie,</w:t>
      </w:r>
    </w:p>
    <w:p w:rsidR="00F164EF" w:rsidRPr="009E5034" w:rsidRDefault="00F164EF" w:rsidP="009E5034">
      <w:pPr>
        <w:pStyle w:val="BodyText"/>
        <w:ind w:left="720"/>
        <w:rPr>
          <w:sz w:val="22"/>
          <w:szCs w:val="22"/>
        </w:rPr>
      </w:pPr>
      <w:r w:rsidRPr="009E5034">
        <w:rPr>
          <w:sz w:val="22"/>
          <w:szCs w:val="22"/>
        </w:rPr>
        <w:t>Electricité et Plomberie.</w:t>
      </w:r>
    </w:p>
    <w:p w:rsidR="00F164EF" w:rsidRPr="009E5034" w:rsidRDefault="00F164EF" w:rsidP="009E5034">
      <w:pPr>
        <w:spacing w:before="120"/>
        <w:ind w:left="0" w:firstLine="600"/>
        <w:jc w:val="left"/>
        <w:rPr>
          <w:color w:val="000000"/>
          <w:sz w:val="22"/>
          <w:szCs w:val="22"/>
        </w:rPr>
      </w:pPr>
      <w:r w:rsidRPr="009E5034">
        <w:rPr>
          <w:b/>
          <w:color w:val="000000"/>
          <w:sz w:val="22"/>
          <w:szCs w:val="22"/>
        </w:rPr>
        <w:t xml:space="preserve">6.2.5. Section hygiène et assainissement: </w:t>
      </w:r>
      <w:r w:rsidRPr="009E5034">
        <w:rPr>
          <w:color w:val="000000"/>
          <w:sz w:val="22"/>
          <w:szCs w:val="22"/>
        </w:rPr>
        <w:t>Elle est chargée de</w:t>
      </w:r>
      <w:r w:rsidRPr="009E5034">
        <w:rPr>
          <w:i/>
          <w:color w:val="000000"/>
          <w:sz w:val="22"/>
          <w:szCs w:val="22"/>
        </w:rPr>
        <w:t>s tâches suivantes</w:t>
      </w:r>
      <w:r w:rsidRPr="009E5034">
        <w:rPr>
          <w:color w:val="000000"/>
          <w:sz w:val="22"/>
          <w:szCs w:val="22"/>
        </w:rPr>
        <w:t>:</w:t>
      </w:r>
    </w:p>
    <w:p w:rsidR="00F164EF" w:rsidRPr="009E5034" w:rsidRDefault="00F164EF" w:rsidP="009E5034">
      <w:pPr>
        <w:pStyle w:val="BodyText"/>
        <w:ind w:left="720"/>
        <w:rPr>
          <w:sz w:val="22"/>
          <w:szCs w:val="22"/>
        </w:rPr>
      </w:pPr>
      <w:r w:rsidRPr="009E5034">
        <w:rPr>
          <w:sz w:val="22"/>
          <w:szCs w:val="22"/>
        </w:rPr>
        <w:t>Application de la réglementation en matière d’assainissement et d’hygiène;</w:t>
      </w:r>
    </w:p>
    <w:p w:rsidR="00F164EF" w:rsidRPr="009E5034" w:rsidRDefault="00F164EF" w:rsidP="009E5034">
      <w:pPr>
        <w:pStyle w:val="BodyText"/>
        <w:ind w:left="720"/>
        <w:rPr>
          <w:sz w:val="22"/>
          <w:szCs w:val="22"/>
        </w:rPr>
      </w:pPr>
      <w:r w:rsidRPr="009E5034">
        <w:rPr>
          <w:sz w:val="22"/>
          <w:szCs w:val="22"/>
        </w:rPr>
        <w:t>Suivi régulier du ramassage des ordures ménagères des dépôts de transit;</w:t>
      </w:r>
    </w:p>
    <w:p w:rsidR="00F164EF" w:rsidRPr="009E5034" w:rsidRDefault="00F164EF" w:rsidP="009E5034">
      <w:pPr>
        <w:pStyle w:val="BodyText"/>
        <w:ind w:left="720"/>
        <w:rPr>
          <w:sz w:val="22"/>
          <w:szCs w:val="22"/>
        </w:rPr>
      </w:pPr>
      <w:r w:rsidRPr="009E5034">
        <w:rPr>
          <w:sz w:val="22"/>
          <w:szCs w:val="22"/>
        </w:rPr>
        <w:t xml:space="preserve">Contrôle des activités d’assainissement confiées aux GIE. </w:t>
      </w:r>
    </w:p>
    <w:p w:rsidR="00F164EF" w:rsidRPr="009E5034" w:rsidRDefault="00F164EF" w:rsidP="009E5034">
      <w:pPr>
        <w:pStyle w:val="BodyText"/>
        <w:ind w:left="720"/>
        <w:rPr>
          <w:sz w:val="22"/>
          <w:szCs w:val="22"/>
        </w:rPr>
      </w:pPr>
      <w:r w:rsidRPr="009E5034">
        <w:rPr>
          <w:sz w:val="22"/>
          <w:szCs w:val="22"/>
        </w:rPr>
        <w:t xml:space="preserve">Application des normes d’hygiène et d’assainissement; </w:t>
      </w:r>
    </w:p>
    <w:p w:rsidR="00F164EF" w:rsidRPr="009E5034" w:rsidRDefault="00F164EF" w:rsidP="009E5034">
      <w:pPr>
        <w:pStyle w:val="BodyText"/>
        <w:ind w:left="720"/>
        <w:rPr>
          <w:sz w:val="22"/>
          <w:szCs w:val="22"/>
        </w:rPr>
      </w:pPr>
      <w:r w:rsidRPr="009E5034">
        <w:rPr>
          <w:sz w:val="22"/>
          <w:szCs w:val="22"/>
        </w:rPr>
        <w:t>Sensibilisation de la population par des visites domiciliaires, dans le cadre de l’hygiène de l’habitat;</w:t>
      </w:r>
    </w:p>
    <w:p w:rsidR="00F164EF" w:rsidRPr="009E5034" w:rsidRDefault="00F164EF" w:rsidP="009E5034">
      <w:pPr>
        <w:pStyle w:val="BodyText"/>
        <w:ind w:left="720"/>
        <w:rPr>
          <w:sz w:val="22"/>
          <w:szCs w:val="22"/>
        </w:rPr>
      </w:pPr>
      <w:r w:rsidRPr="009E5034">
        <w:rPr>
          <w:sz w:val="22"/>
          <w:szCs w:val="22"/>
        </w:rPr>
        <w:t>Inspection des marchés, hôtels, restaurants, gargotes (hygiène alimentaire).</w:t>
      </w:r>
    </w:p>
    <w:p w:rsidR="00F164EF" w:rsidRPr="009E5034" w:rsidRDefault="00F164EF" w:rsidP="009E5034">
      <w:pPr>
        <w:pStyle w:val="BodyText"/>
        <w:ind w:left="720"/>
        <w:rPr>
          <w:sz w:val="22"/>
          <w:szCs w:val="22"/>
        </w:rPr>
      </w:pPr>
      <w:r w:rsidRPr="009E5034">
        <w:rPr>
          <w:sz w:val="22"/>
          <w:szCs w:val="22"/>
        </w:rPr>
        <w:t xml:space="preserve">Gestion des eaux usées et excréta; </w:t>
      </w:r>
    </w:p>
    <w:p w:rsidR="00F164EF" w:rsidRPr="009E5034" w:rsidRDefault="00F164EF" w:rsidP="009E5034">
      <w:pPr>
        <w:pStyle w:val="BodyText"/>
        <w:ind w:left="720"/>
        <w:rPr>
          <w:sz w:val="22"/>
          <w:szCs w:val="22"/>
        </w:rPr>
      </w:pPr>
      <w:r w:rsidRPr="009E5034">
        <w:rPr>
          <w:sz w:val="22"/>
          <w:szCs w:val="22"/>
        </w:rPr>
        <w:t>Coordonner l’intervention  d’autres partenaires et suivre l’évolution des travaux en cours d’exécution;</w:t>
      </w:r>
    </w:p>
    <w:p w:rsidR="00F164EF" w:rsidRPr="009E5034" w:rsidRDefault="00F164EF" w:rsidP="009E5034">
      <w:pPr>
        <w:pStyle w:val="BodyText"/>
        <w:ind w:left="720"/>
        <w:rPr>
          <w:sz w:val="22"/>
          <w:szCs w:val="22"/>
        </w:rPr>
      </w:pPr>
      <w:r w:rsidRPr="009E5034">
        <w:rPr>
          <w:sz w:val="22"/>
          <w:szCs w:val="22"/>
        </w:rPr>
        <w:t>Etablissement de programme d’activités et encadrer les sorties d’équipes;</w:t>
      </w:r>
    </w:p>
    <w:p w:rsidR="00F164EF" w:rsidRPr="009E5034" w:rsidRDefault="00F164EF" w:rsidP="009E5034">
      <w:pPr>
        <w:pStyle w:val="BodyText"/>
        <w:ind w:left="720"/>
        <w:rPr>
          <w:sz w:val="22"/>
          <w:szCs w:val="22"/>
        </w:rPr>
      </w:pPr>
      <w:r w:rsidRPr="009E5034">
        <w:rPr>
          <w:sz w:val="22"/>
          <w:szCs w:val="22"/>
        </w:rPr>
        <w:t>Sanctionner certaines infractions graves et des de la réglementation en vigueur;</w:t>
      </w:r>
    </w:p>
    <w:p w:rsidR="00F164EF" w:rsidRPr="009E5034" w:rsidRDefault="00F164EF" w:rsidP="009E5034">
      <w:pPr>
        <w:pStyle w:val="BodyText"/>
        <w:ind w:left="720"/>
        <w:rPr>
          <w:sz w:val="22"/>
          <w:szCs w:val="22"/>
        </w:rPr>
      </w:pPr>
      <w:r w:rsidRPr="009E5034">
        <w:rPr>
          <w:sz w:val="22"/>
          <w:szCs w:val="22"/>
        </w:rPr>
        <w:t>Poursuite de l’information - éducation et communication;</w:t>
      </w:r>
    </w:p>
    <w:p w:rsidR="00F164EF" w:rsidRPr="009E5034" w:rsidRDefault="00F164EF" w:rsidP="009E5034">
      <w:pPr>
        <w:pStyle w:val="BodyText"/>
        <w:ind w:left="720"/>
        <w:rPr>
          <w:sz w:val="22"/>
          <w:szCs w:val="22"/>
        </w:rPr>
      </w:pPr>
      <w:r w:rsidRPr="009E5034">
        <w:rPr>
          <w:sz w:val="22"/>
          <w:szCs w:val="22"/>
        </w:rPr>
        <w:t>- Formation des citoyens à la lutte contre l’insalubrité.</w:t>
      </w:r>
    </w:p>
    <w:p w:rsidR="00F164EF" w:rsidRPr="009E5034" w:rsidRDefault="00F164EF" w:rsidP="009E5034">
      <w:pPr>
        <w:pStyle w:val="BodyText"/>
        <w:ind w:left="720"/>
        <w:rPr>
          <w:sz w:val="22"/>
          <w:szCs w:val="22"/>
        </w:rPr>
      </w:pPr>
      <w:r w:rsidRPr="009E5034">
        <w:rPr>
          <w:sz w:val="22"/>
          <w:szCs w:val="22"/>
        </w:rPr>
        <w:t>Elle participe aux initiatives locales à assise communautaire en faveur de l’hygiène de l’habitat et des lieux de travail;</w:t>
      </w:r>
    </w:p>
    <w:p w:rsidR="00F164EF" w:rsidRPr="009E5034" w:rsidRDefault="00F164EF" w:rsidP="009E5034">
      <w:pPr>
        <w:pStyle w:val="BodyText"/>
        <w:ind w:left="720"/>
        <w:rPr>
          <w:sz w:val="22"/>
          <w:szCs w:val="22"/>
        </w:rPr>
      </w:pPr>
      <w:r w:rsidRPr="009E5034">
        <w:rPr>
          <w:sz w:val="22"/>
          <w:szCs w:val="22"/>
        </w:rPr>
        <w:t>Elle initie des actions tendant à améliorer l’hygiène et la salubrité à travers l’information, l’éducation et la communication sur les pratiques favorables à la santé.</w:t>
      </w:r>
    </w:p>
    <w:p w:rsidR="00F164EF" w:rsidRPr="009E5034" w:rsidRDefault="00F164EF" w:rsidP="009E5034">
      <w:pPr>
        <w:spacing w:after="240"/>
        <w:ind w:left="0"/>
        <w:jc w:val="left"/>
        <w:rPr>
          <w:rStyle w:val="Strong"/>
          <w:rFonts w:eastAsia="MS Mincho"/>
          <w:sz w:val="22"/>
          <w:szCs w:val="22"/>
        </w:rPr>
      </w:pPr>
      <w:r w:rsidRPr="009E5034">
        <w:rPr>
          <w:rStyle w:val="Strong"/>
          <w:rFonts w:eastAsia="MS Mincho"/>
          <w:sz w:val="22"/>
          <w:szCs w:val="22"/>
        </w:rPr>
        <w:t xml:space="preserve">6.3. Dépenses municipales dans les services environnementaux </w:t>
      </w:r>
    </w:p>
    <w:p w:rsidR="00F164EF" w:rsidRPr="009E5034" w:rsidRDefault="00F164EF" w:rsidP="009E5034">
      <w:pPr>
        <w:spacing w:before="120"/>
        <w:ind w:left="0"/>
        <w:jc w:val="left"/>
        <w:rPr>
          <w:color w:val="000000"/>
          <w:sz w:val="22"/>
          <w:szCs w:val="22"/>
        </w:rPr>
      </w:pPr>
      <w:r w:rsidRPr="009E5034">
        <w:rPr>
          <w:color w:val="000000"/>
          <w:sz w:val="22"/>
          <w:szCs w:val="22"/>
        </w:rPr>
        <w:t xml:space="preserve">Les dépenses sont totalisées pour les rubriques relatives à la collecte et au transport des ordures, le curage des caniveaux et collecteurs, les achats de petits matériels d’assainissement et le salaire du personnel non qualifié,  ce qui fait un montant total de: </w:t>
      </w:r>
    </w:p>
    <w:p w:rsidR="00F164EF" w:rsidRPr="009E5034" w:rsidRDefault="00106DBA" w:rsidP="009E5034">
      <w:pPr>
        <w:tabs>
          <w:tab w:val="left" w:pos="1430"/>
          <w:tab w:val="left" w:pos="10762"/>
        </w:tabs>
        <w:spacing w:before="120"/>
        <w:ind w:left="0"/>
        <w:jc w:val="left"/>
        <w:rPr>
          <w:color w:val="FF0000"/>
          <w:sz w:val="22"/>
          <w:szCs w:val="22"/>
        </w:rPr>
      </w:pPr>
      <w:r>
        <w:rPr>
          <w:sz w:val="22"/>
          <w:szCs w:val="22"/>
        </w:rPr>
        <w:t>145 209 985 F CFA en 2007 et 54.</w:t>
      </w:r>
      <w:r w:rsidR="00F164EF" w:rsidRPr="009E5034">
        <w:rPr>
          <w:sz w:val="22"/>
          <w:szCs w:val="22"/>
        </w:rPr>
        <w:t>750 000 F CFA en 2009 (en cours)</w:t>
      </w:r>
    </w:p>
    <w:p w:rsidR="00F164EF" w:rsidRPr="009E5034" w:rsidRDefault="00F164EF" w:rsidP="009E5034">
      <w:pPr>
        <w:spacing w:after="240"/>
        <w:ind w:left="0"/>
        <w:jc w:val="left"/>
        <w:rPr>
          <w:rStyle w:val="Strong"/>
          <w:rFonts w:eastAsia="MS Mincho"/>
          <w:sz w:val="22"/>
          <w:szCs w:val="22"/>
        </w:rPr>
      </w:pPr>
      <w:r w:rsidRPr="009E5034">
        <w:rPr>
          <w:rStyle w:val="Strong"/>
          <w:rFonts w:eastAsia="MS Mincho"/>
          <w:sz w:val="22"/>
          <w:szCs w:val="22"/>
        </w:rPr>
        <w:t>6.3.1 Collecte et transports des déchets ménagers</w:t>
      </w:r>
    </w:p>
    <w:p w:rsidR="00F164EF" w:rsidRPr="009E5034" w:rsidRDefault="00F164EF" w:rsidP="009E5034">
      <w:pPr>
        <w:spacing w:before="120"/>
        <w:ind w:left="0"/>
        <w:jc w:val="left"/>
        <w:rPr>
          <w:color w:val="FF0000"/>
          <w:sz w:val="22"/>
          <w:szCs w:val="22"/>
        </w:rPr>
      </w:pPr>
      <w:r w:rsidRPr="009E5034">
        <w:rPr>
          <w:color w:val="000000"/>
          <w:sz w:val="22"/>
          <w:szCs w:val="22"/>
        </w:rPr>
        <w:t>La collecte et le transport des déchets sont effectués  par la commune à travers sa section de voirie qui dispose à cet effet de 3 multi bennes et deux camions ; une main d’œuvre permanente de 17 personnes sont mobilisés pour la recharge des ordures et des boues de curage dans les bacs à ordures destinés à être remorqués par les multi-bennes jusqu’à la décharge finale. L’évacuation des ordures vers la décharge finale est effectuée soient 5 sur 7 dans la semaine</w:t>
      </w:r>
    </w:p>
    <w:p w:rsidR="00F164EF" w:rsidRPr="009E5034" w:rsidRDefault="00F164EF" w:rsidP="009E5034">
      <w:pPr>
        <w:spacing w:after="240"/>
        <w:ind w:left="0"/>
        <w:jc w:val="left"/>
        <w:rPr>
          <w:rStyle w:val="Strong"/>
          <w:rFonts w:eastAsia="MS Mincho"/>
          <w:sz w:val="22"/>
          <w:szCs w:val="22"/>
        </w:rPr>
      </w:pPr>
      <w:r w:rsidRPr="009E5034">
        <w:rPr>
          <w:rStyle w:val="Strong"/>
          <w:rFonts w:eastAsia="MS Mincho"/>
          <w:sz w:val="22"/>
          <w:szCs w:val="22"/>
        </w:rPr>
        <w:t>6.3.2 Curage des caniveaux et réseaux  enterrés</w:t>
      </w:r>
    </w:p>
    <w:p w:rsidR="00F164EF" w:rsidRPr="009E5034" w:rsidRDefault="00F164EF" w:rsidP="009E5034">
      <w:pPr>
        <w:spacing w:before="120"/>
        <w:ind w:left="0"/>
        <w:jc w:val="left"/>
        <w:rPr>
          <w:color w:val="000000"/>
          <w:sz w:val="22"/>
          <w:szCs w:val="22"/>
        </w:rPr>
      </w:pPr>
      <w:r w:rsidRPr="009E5034">
        <w:rPr>
          <w:color w:val="000000"/>
          <w:sz w:val="22"/>
          <w:szCs w:val="22"/>
        </w:rPr>
        <w:t>Les activités de curages et entretien des réseaux d’égouts sont effectuées de [</w:t>
      </w:r>
      <w:r w:rsidRPr="009E5034">
        <w:rPr>
          <w:i/>
          <w:color w:val="000000"/>
          <w:sz w:val="22"/>
          <w:szCs w:val="22"/>
        </w:rPr>
        <w:t>différentes</w:t>
      </w:r>
      <w:r w:rsidRPr="009E5034">
        <w:rPr>
          <w:color w:val="000000"/>
          <w:sz w:val="22"/>
          <w:szCs w:val="22"/>
        </w:rPr>
        <w:t>] manières.</w:t>
      </w:r>
    </w:p>
    <w:p w:rsidR="00F164EF" w:rsidRPr="009E5034" w:rsidRDefault="00F164EF" w:rsidP="009E5034">
      <w:pPr>
        <w:spacing w:before="120"/>
        <w:ind w:left="0"/>
        <w:jc w:val="left"/>
        <w:rPr>
          <w:color w:val="000000"/>
          <w:sz w:val="22"/>
          <w:szCs w:val="22"/>
        </w:rPr>
      </w:pPr>
      <w:r w:rsidRPr="009E5034">
        <w:rPr>
          <w:color w:val="000000"/>
          <w:sz w:val="22"/>
          <w:szCs w:val="22"/>
        </w:rPr>
        <w:t>Les caniveaux et collecteurs sont entretenus par la commune urbaine, certains caniveaux de petites dimensions par la population cependant que les réseaux d’égouts sont entretenus par les ménages bénéficiaires  à l’aide des redevances  mensuelles.</w:t>
      </w:r>
    </w:p>
    <w:p w:rsidR="00F164EF" w:rsidRPr="009E5034" w:rsidRDefault="00F164EF" w:rsidP="009E5034">
      <w:pPr>
        <w:spacing w:before="120"/>
        <w:ind w:left="0" w:firstLine="600"/>
        <w:jc w:val="left"/>
        <w:rPr>
          <w:color w:val="000000"/>
          <w:sz w:val="22"/>
          <w:szCs w:val="22"/>
        </w:rPr>
      </w:pPr>
      <w:r w:rsidRPr="009E5034">
        <w:rPr>
          <w:b/>
          <w:bCs/>
          <w:color w:val="000000"/>
          <w:sz w:val="22"/>
          <w:szCs w:val="22"/>
        </w:rPr>
        <w:t>- Curage des caniveaux et collecteurs</w:t>
      </w:r>
      <w:r w:rsidRPr="009E5034">
        <w:rPr>
          <w:color w:val="000000"/>
          <w:sz w:val="22"/>
          <w:szCs w:val="22"/>
        </w:rPr>
        <w:t>: effectué par la Mairie à l’aide de son personnel ouvrier et les ouvriers temporaires recrutés pour les circonstances</w:t>
      </w:r>
    </w:p>
    <w:p w:rsidR="00F164EF" w:rsidRPr="009E5034" w:rsidRDefault="00F164EF" w:rsidP="009E5034">
      <w:pPr>
        <w:spacing w:before="120"/>
        <w:ind w:left="0"/>
        <w:jc w:val="left"/>
        <w:rPr>
          <w:color w:val="000000"/>
          <w:sz w:val="22"/>
          <w:szCs w:val="22"/>
        </w:rPr>
      </w:pPr>
      <w:r w:rsidRPr="009E5034">
        <w:rPr>
          <w:color w:val="000000"/>
          <w:sz w:val="22"/>
          <w:szCs w:val="22"/>
        </w:rPr>
        <w:t>La ville de Mopti dispose d’un nombre important de caniveaux, qui pour la plupart  sont de petites dimensions et ne sont pas fonctionnels (quartiers de Komoguel I, Gangal, Mossinkoré). Ces caniveaux sont inégalement  repartis entre les 11 quartier</w:t>
      </w:r>
      <w:r w:rsidR="000E77D8" w:rsidRPr="009E5034">
        <w:rPr>
          <w:color w:val="000000"/>
          <w:sz w:val="22"/>
          <w:szCs w:val="22"/>
        </w:rPr>
        <w:t>s de la ville de Mopti –Sévaré.</w:t>
      </w:r>
    </w:p>
    <w:p w:rsidR="00F164EF" w:rsidRPr="009E5034" w:rsidRDefault="00F164EF" w:rsidP="009E5034">
      <w:pPr>
        <w:spacing w:before="120"/>
        <w:ind w:left="0" w:firstLine="600"/>
        <w:jc w:val="left"/>
        <w:rPr>
          <w:b/>
          <w:color w:val="000000"/>
          <w:sz w:val="22"/>
          <w:szCs w:val="22"/>
        </w:rPr>
      </w:pPr>
      <w:r w:rsidRPr="009E5034">
        <w:rPr>
          <w:b/>
          <w:color w:val="000000"/>
          <w:sz w:val="22"/>
          <w:szCs w:val="22"/>
        </w:rPr>
        <w:t>- Curage des réseaux  enterrés  (égouts)</w:t>
      </w:r>
    </w:p>
    <w:p w:rsidR="00F164EF" w:rsidRPr="009E5034" w:rsidRDefault="00F164EF" w:rsidP="009E5034">
      <w:pPr>
        <w:spacing w:before="120"/>
        <w:ind w:left="0"/>
        <w:jc w:val="left"/>
        <w:rPr>
          <w:color w:val="FF0000"/>
          <w:sz w:val="22"/>
          <w:szCs w:val="22"/>
        </w:rPr>
      </w:pPr>
      <w:r w:rsidRPr="009E5034">
        <w:rPr>
          <w:color w:val="000000"/>
          <w:sz w:val="22"/>
          <w:szCs w:val="22"/>
        </w:rPr>
        <w:t>La ville dispose de deux  réseaux d’égouts dont le second est en cours de réalisation. Le réseau qui fonctionne connaît des difficultés d’entretien et de maintenance depuis plus d’une année. L’entretien doit être assuré par les redevances mensuelles des bénéficiaires.</w:t>
      </w:r>
    </w:p>
    <w:p w:rsidR="00F164EF" w:rsidRPr="009E5034" w:rsidRDefault="00F164EF" w:rsidP="009E5034">
      <w:pPr>
        <w:spacing w:after="240"/>
        <w:ind w:left="0"/>
        <w:jc w:val="left"/>
        <w:rPr>
          <w:rStyle w:val="Strong"/>
          <w:rFonts w:eastAsia="MS Mincho"/>
          <w:sz w:val="22"/>
          <w:szCs w:val="22"/>
        </w:rPr>
      </w:pPr>
      <w:r w:rsidRPr="009E5034">
        <w:rPr>
          <w:rStyle w:val="Strong"/>
          <w:rFonts w:eastAsia="MS Mincho"/>
          <w:sz w:val="22"/>
          <w:szCs w:val="22"/>
        </w:rPr>
        <w:t>6.3.3 Nettoyage des rues et espaces publics</w:t>
      </w:r>
    </w:p>
    <w:p w:rsidR="00F164EF" w:rsidRPr="009E5034" w:rsidRDefault="00F164EF" w:rsidP="009E5034">
      <w:pPr>
        <w:pStyle w:val="BodyText"/>
        <w:numPr>
          <w:ilvl w:val="0"/>
          <w:numId w:val="0"/>
        </w:numPr>
        <w:spacing w:before="120"/>
        <w:ind w:left="709" w:hanging="360"/>
        <w:rPr>
          <w:sz w:val="22"/>
          <w:szCs w:val="22"/>
        </w:rPr>
      </w:pPr>
      <w:r w:rsidRPr="009E5034">
        <w:rPr>
          <w:sz w:val="22"/>
          <w:szCs w:val="22"/>
        </w:rPr>
        <w:t xml:space="preserve">Cette activité a été exécutée par la commune à travers un contrat avec le service des 11 GIE de l’APEJ au cours de l’année 2008. </w:t>
      </w:r>
    </w:p>
    <w:p w:rsidR="00F164EF" w:rsidRPr="009E5034" w:rsidRDefault="00F164EF" w:rsidP="009E5034">
      <w:pPr>
        <w:spacing w:before="120"/>
        <w:ind w:left="0"/>
        <w:jc w:val="left"/>
        <w:rPr>
          <w:sz w:val="22"/>
          <w:szCs w:val="22"/>
        </w:rPr>
      </w:pPr>
      <w:r w:rsidRPr="009E5034">
        <w:rPr>
          <w:color w:val="000000"/>
          <w:sz w:val="22"/>
          <w:szCs w:val="22"/>
        </w:rPr>
        <w:t xml:space="preserve">Le montant mensuel du contrat était de </w:t>
      </w:r>
      <w:r w:rsidRPr="009E5034">
        <w:rPr>
          <w:bCs/>
          <w:color w:val="000000"/>
          <w:sz w:val="22"/>
          <w:szCs w:val="22"/>
        </w:rPr>
        <w:t>500 000</w:t>
      </w:r>
      <w:r w:rsidRPr="009E5034">
        <w:rPr>
          <w:color w:val="000000"/>
          <w:sz w:val="22"/>
          <w:szCs w:val="22"/>
        </w:rPr>
        <w:t xml:space="preserve"> F CFA. Les ordures collectées et déposées au niveau des dépôts de transit sont composées de sachets plastiques pour la plupart, de papier, des feuilles d’arbres, de poussières, etc… Cette activité n’a pu être renouvelée cette année.</w:t>
      </w:r>
    </w:p>
    <w:p w:rsidR="00F164EF" w:rsidRPr="009E5034" w:rsidRDefault="00F164EF" w:rsidP="009E5034">
      <w:pPr>
        <w:spacing w:after="240"/>
        <w:ind w:left="0"/>
        <w:jc w:val="left"/>
        <w:rPr>
          <w:rStyle w:val="Strong"/>
          <w:rFonts w:eastAsia="MS Mincho"/>
          <w:sz w:val="22"/>
          <w:szCs w:val="22"/>
        </w:rPr>
      </w:pPr>
      <w:r w:rsidRPr="009E5034">
        <w:rPr>
          <w:rStyle w:val="Strong"/>
          <w:rFonts w:eastAsia="MS Mincho"/>
          <w:sz w:val="22"/>
          <w:szCs w:val="22"/>
        </w:rPr>
        <w:t>6.3.4 Lutte contre les nuisibles (moustiques, rats, etc…):</w:t>
      </w:r>
    </w:p>
    <w:p w:rsidR="00F164EF" w:rsidRPr="009E5034" w:rsidRDefault="00F164EF" w:rsidP="009E5034">
      <w:pPr>
        <w:spacing w:before="120"/>
        <w:ind w:left="0"/>
        <w:jc w:val="left"/>
        <w:rPr>
          <w:color w:val="000000"/>
          <w:sz w:val="22"/>
          <w:szCs w:val="22"/>
        </w:rPr>
      </w:pPr>
      <w:r w:rsidRPr="009E5034">
        <w:rPr>
          <w:color w:val="000000"/>
          <w:sz w:val="22"/>
          <w:szCs w:val="22"/>
        </w:rPr>
        <w:t>Les caniveaux et collecteurs dans la ville de Mopti sont le plus souvent mal utilisés par la population;  les  constats à cet effet demeurent le rejet  dans ces ouvrages des déchets solides et liquides provenant des ménages, des petits commerces ou de l’artisanat. Cette  situation provoque l’obstruction des caniveaux et collecteurs, la stagnation prolongée d’eaux usées favorisant ainsi la prolifération des moustiques vecteurs du paludisme.</w:t>
      </w:r>
    </w:p>
    <w:p w:rsidR="00F164EF" w:rsidRPr="009E5034" w:rsidRDefault="00F164EF" w:rsidP="009E5034">
      <w:pPr>
        <w:spacing w:before="120"/>
        <w:ind w:left="0"/>
        <w:jc w:val="left"/>
        <w:rPr>
          <w:color w:val="000000"/>
          <w:sz w:val="22"/>
          <w:szCs w:val="22"/>
        </w:rPr>
      </w:pPr>
      <w:r w:rsidRPr="009E5034">
        <w:rPr>
          <w:color w:val="000000"/>
          <w:sz w:val="22"/>
          <w:szCs w:val="22"/>
        </w:rPr>
        <w:t xml:space="preserve">Au début ou en fin d’hivernage, les opérations ponctuelles de lutte contre les moustiques et mouches sont organisées par la commune avec l’appui des services de la santé ou d’autres  partenaires. </w:t>
      </w:r>
    </w:p>
    <w:p w:rsidR="00F164EF" w:rsidRPr="009E5034" w:rsidRDefault="00F164EF" w:rsidP="009E5034">
      <w:pPr>
        <w:spacing w:before="120"/>
        <w:ind w:left="0"/>
        <w:jc w:val="left"/>
        <w:rPr>
          <w:color w:val="000000"/>
          <w:sz w:val="22"/>
          <w:szCs w:val="22"/>
        </w:rPr>
      </w:pPr>
      <w:r w:rsidRPr="009E5034">
        <w:rPr>
          <w:color w:val="000000"/>
          <w:sz w:val="22"/>
          <w:szCs w:val="22"/>
        </w:rPr>
        <w:t>Les actions menées dans ce cadre remontent en fin 2008 et portent sur la pulvérisation ou fumigation  des caniveaux de Mopti et Sévaré avec les produits insecticides tels : le Baygon E L 50  dont 45 litres ont été utilisés au cours ce cette opération.</w:t>
      </w:r>
    </w:p>
    <w:p w:rsidR="00F164EF" w:rsidRPr="009E5034" w:rsidRDefault="00F164EF" w:rsidP="009E5034">
      <w:pPr>
        <w:spacing w:before="120"/>
        <w:ind w:left="0"/>
        <w:jc w:val="left"/>
        <w:rPr>
          <w:color w:val="000000"/>
          <w:sz w:val="22"/>
          <w:szCs w:val="22"/>
        </w:rPr>
      </w:pPr>
      <w:r w:rsidRPr="009E5034">
        <w:rPr>
          <w:color w:val="000000"/>
          <w:sz w:val="22"/>
          <w:szCs w:val="22"/>
        </w:rPr>
        <w:t>Les résultats obtenus sont:</w:t>
      </w:r>
    </w:p>
    <w:p w:rsidR="00F164EF" w:rsidRPr="009E5034" w:rsidRDefault="00F164EF" w:rsidP="009E5034">
      <w:pPr>
        <w:pStyle w:val="BodyText"/>
        <w:ind w:left="720"/>
        <w:rPr>
          <w:sz w:val="22"/>
          <w:szCs w:val="22"/>
        </w:rPr>
      </w:pPr>
      <w:r w:rsidRPr="009E5034">
        <w:rPr>
          <w:sz w:val="22"/>
          <w:szCs w:val="22"/>
        </w:rPr>
        <w:t>5000 ml de caniveaux principaux (y compris le collecteur de Toguel) traités,</w:t>
      </w:r>
    </w:p>
    <w:p w:rsidR="00F164EF" w:rsidRPr="009E5034" w:rsidRDefault="00F164EF" w:rsidP="009E5034">
      <w:pPr>
        <w:pStyle w:val="BodyText"/>
        <w:ind w:left="720"/>
        <w:rPr>
          <w:sz w:val="22"/>
          <w:szCs w:val="22"/>
        </w:rPr>
      </w:pPr>
      <w:r w:rsidRPr="009E5034">
        <w:rPr>
          <w:sz w:val="22"/>
          <w:szCs w:val="22"/>
        </w:rPr>
        <w:t>8 000 ml de caniveaux secondaires traités.</w:t>
      </w:r>
    </w:p>
    <w:p w:rsidR="00F164EF" w:rsidRPr="009E5034" w:rsidRDefault="00F164EF" w:rsidP="009E5034">
      <w:pPr>
        <w:pStyle w:val="BodyText"/>
        <w:ind w:left="720"/>
        <w:rPr>
          <w:sz w:val="22"/>
          <w:szCs w:val="22"/>
        </w:rPr>
      </w:pPr>
      <w:r w:rsidRPr="009E5034">
        <w:rPr>
          <w:sz w:val="22"/>
          <w:szCs w:val="22"/>
        </w:rPr>
        <w:t>Quatre (4) émissions réalisées, [ ?]</w:t>
      </w:r>
    </w:p>
    <w:p w:rsidR="00F164EF" w:rsidRPr="009E5034" w:rsidRDefault="00F164EF" w:rsidP="009E5034">
      <w:pPr>
        <w:pStyle w:val="BodyText"/>
        <w:ind w:left="720"/>
        <w:rPr>
          <w:sz w:val="22"/>
          <w:szCs w:val="22"/>
        </w:rPr>
      </w:pPr>
      <w:r w:rsidRPr="009E5034">
        <w:rPr>
          <w:sz w:val="22"/>
          <w:szCs w:val="22"/>
        </w:rPr>
        <w:t>298 supports (moustiquaires et rideaux) imprégnés.</w:t>
      </w:r>
    </w:p>
    <w:p w:rsidR="00F164EF" w:rsidRPr="009E5034" w:rsidRDefault="00F164EF" w:rsidP="009E5034">
      <w:pPr>
        <w:spacing w:before="120"/>
        <w:ind w:left="0"/>
        <w:jc w:val="left"/>
        <w:rPr>
          <w:sz w:val="22"/>
          <w:szCs w:val="22"/>
        </w:rPr>
      </w:pPr>
      <w:r w:rsidRPr="009E5034">
        <w:rPr>
          <w:color w:val="000000"/>
          <w:sz w:val="22"/>
          <w:szCs w:val="22"/>
        </w:rPr>
        <w:t>Cette activité est réalisée par la Direction Régionale de la Santé au compte du Programme National de Lutte contre le Paludisme en collaboration avec la Mairie, le service d’hygiène communal, le service local de l’assainissement. L’information sur le budget n’a pas été dispo</w:t>
      </w:r>
      <w:r w:rsidRPr="009E5034">
        <w:rPr>
          <w:sz w:val="22"/>
          <w:szCs w:val="22"/>
        </w:rPr>
        <w:t>nible.</w:t>
      </w:r>
    </w:p>
    <w:p w:rsidR="00F164EF" w:rsidRPr="009E5034" w:rsidRDefault="00F164EF" w:rsidP="009E5034">
      <w:pPr>
        <w:spacing w:after="240"/>
        <w:ind w:left="0"/>
        <w:jc w:val="left"/>
        <w:rPr>
          <w:rStyle w:val="Strong"/>
          <w:rFonts w:eastAsia="MS Mincho"/>
          <w:sz w:val="22"/>
          <w:szCs w:val="22"/>
        </w:rPr>
      </w:pPr>
      <w:r w:rsidRPr="009E5034">
        <w:rPr>
          <w:rStyle w:val="Strong"/>
          <w:rFonts w:eastAsia="MS Mincho"/>
          <w:sz w:val="22"/>
          <w:szCs w:val="22"/>
        </w:rPr>
        <w:t>6.4. Nombre d’employés municipaux à la gestion des services environnementaux urbains</w:t>
      </w:r>
    </w:p>
    <w:p w:rsidR="00F164EF" w:rsidRPr="009E5034" w:rsidRDefault="00F164EF" w:rsidP="009E5034">
      <w:pPr>
        <w:spacing w:before="120"/>
        <w:ind w:left="0"/>
        <w:jc w:val="left"/>
        <w:rPr>
          <w:color w:val="000000"/>
          <w:sz w:val="22"/>
          <w:szCs w:val="22"/>
        </w:rPr>
      </w:pPr>
      <w:r w:rsidRPr="009E5034">
        <w:rPr>
          <w:color w:val="000000"/>
          <w:sz w:val="22"/>
          <w:szCs w:val="22"/>
        </w:rPr>
        <w:t>Le personnel de ces services est composé de cadres pour l’encadrement, les ouvriers qualifiés et non qualifiés. Ainsi on a:</w:t>
      </w:r>
    </w:p>
    <w:p w:rsidR="00F164EF" w:rsidRPr="009E5034" w:rsidRDefault="00F164EF" w:rsidP="009E5034">
      <w:pPr>
        <w:tabs>
          <w:tab w:val="left" w:pos="360"/>
        </w:tabs>
        <w:spacing w:before="120"/>
        <w:ind w:left="0"/>
        <w:jc w:val="left"/>
        <w:rPr>
          <w:color w:val="000000"/>
          <w:sz w:val="22"/>
          <w:szCs w:val="22"/>
        </w:rPr>
      </w:pPr>
      <w:r w:rsidRPr="009E5034">
        <w:rPr>
          <w:b/>
          <w:color w:val="000000"/>
          <w:sz w:val="22"/>
          <w:szCs w:val="22"/>
        </w:rPr>
        <w:t xml:space="preserve">6.4.1 Direction des services techniques: </w:t>
      </w:r>
      <w:r w:rsidRPr="009E5034">
        <w:rPr>
          <w:color w:val="000000"/>
          <w:sz w:val="22"/>
          <w:szCs w:val="22"/>
        </w:rPr>
        <w:t>L’effectif du personnel est de trois (</w:t>
      </w:r>
      <w:r w:rsidRPr="009E5034">
        <w:rPr>
          <w:b/>
          <w:color w:val="000000"/>
          <w:sz w:val="22"/>
          <w:szCs w:val="22"/>
        </w:rPr>
        <w:t>3</w:t>
      </w:r>
      <w:r w:rsidRPr="009E5034">
        <w:rPr>
          <w:color w:val="000000"/>
          <w:sz w:val="22"/>
          <w:szCs w:val="22"/>
        </w:rPr>
        <w:t xml:space="preserve">) dont le Directeur technique plus un </w:t>
      </w:r>
      <w:r w:rsidRPr="009E5034">
        <w:rPr>
          <w:sz w:val="22"/>
          <w:szCs w:val="22"/>
        </w:rPr>
        <w:t>(1) secrétaire</w:t>
      </w:r>
      <w:r w:rsidRPr="009E5034">
        <w:rPr>
          <w:color w:val="000000"/>
          <w:sz w:val="22"/>
          <w:szCs w:val="22"/>
        </w:rPr>
        <w:t xml:space="preserve">. La Direction technique est permanemment assistée par des stagiaires ou missions ponctuelles dans le cadre des partenariats et jumelages avec d’autres collectivités ou organismes. </w:t>
      </w:r>
    </w:p>
    <w:p w:rsidR="00F164EF" w:rsidRPr="009E5034" w:rsidRDefault="00F164EF" w:rsidP="009E5034">
      <w:pPr>
        <w:pStyle w:val="BodyText"/>
        <w:ind w:left="720"/>
        <w:rPr>
          <w:sz w:val="22"/>
          <w:szCs w:val="22"/>
        </w:rPr>
      </w:pPr>
      <w:r w:rsidRPr="009E5034">
        <w:rPr>
          <w:sz w:val="22"/>
          <w:szCs w:val="22"/>
        </w:rPr>
        <w:t>Section Voirie et entretien: 1 agent voyer et 17 ouvriers non;</w:t>
      </w:r>
    </w:p>
    <w:p w:rsidR="00F164EF" w:rsidRPr="009E5034" w:rsidRDefault="00F164EF" w:rsidP="009E5034">
      <w:pPr>
        <w:pStyle w:val="BodyText"/>
        <w:ind w:left="720"/>
        <w:rPr>
          <w:sz w:val="22"/>
          <w:szCs w:val="22"/>
        </w:rPr>
      </w:pPr>
      <w:r w:rsidRPr="009E5034">
        <w:rPr>
          <w:sz w:val="22"/>
          <w:szCs w:val="22"/>
        </w:rPr>
        <w:t>Section Domaniale et foncière: Un (1) chef de section plus (1) agent;</w:t>
      </w:r>
    </w:p>
    <w:p w:rsidR="00F164EF" w:rsidRPr="009E5034" w:rsidRDefault="00F164EF" w:rsidP="009E5034">
      <w:pPr>
        <w:pStyle w:val="BodyText"/>
        <w:ind w:left="720"/>
        <w:rPr>
          <w:sz w:val="22"/>
          <w:szCs w:val="22"/>
        </w:rPr>
      </w:pPr>
      <w:r w:rsidRPr="009E5034">
        <w:rPr>
          <w:sz w:val="22"/>
          <w:szCs w:val="22"/>
        </w:rPr>
        <w:t>Section Garage et Maintenance: Un (1) chef de garage plus (06) chauffeurs;</w:t>
      </w:r>
    </w:p>
    <w:p w:rsidR="00F164EF" w:rsidRPr="009E5034" w:rsidRDefault="00F164EF" w:rsidP="009E5034">
      <w:pPr>
        <w:pStyle w:val="BodyText"/>
        <w:ind w:left="720"/>
        <w:rPr>
          <w:sz w:val="22"/>
          <w:szCs w:val="22"/>
        </w:rPr>
      </w:pPr>
      <w:r w:rsidRPr="009E5034">
        <w:rPr>
          <w:sz w:val="22"/>
          <w:szCs w:val="22"/>
        </w:rPr>
        <w:t>Section Atelier: Quatre (4) ouvriers qualifiés.</w:t>
      </w:r>
    </w:p>
    <w:p w:rsidR="00F164EF" w:rsidRPr="009E5034" w:rsidRDefault="00F164EF" w:rsidP="009E5034">
      <w:pPr>
        <w:pStyle w:val="BodyText"/>
        <w:ind w:left="720"/>
        <w:rPr>
          <w:sz w:val="22"/>
          <w:szCs w:val="22"/>
        </w:rPr>
      </w:pPr>
      <w:r w:rsidRPr="009E5034">
        <w:rPr>
          <w:sz w:val="22"/>
          <w:szCs w:val="22"/>
        </w:rPr>
        <w:t>Section Hygiène et Assainissement: deux (2)  agents d’encadrements plus (05) agents de terrain.</w:t>
      </w:r>
    </w:p>
    <w:p w:rsidR="00F164EF" w:rsidRPr="009E5034" w:rsidRDefault="00F164EF" w:rsidP="009E5034">
      <w:pPr>
        <w:spacing w:after="240"/>
        <w:ind w:left="0"/>
        <w:jc w:val="left"/>
        <w:rPr>
          <w:rStyle w:val="Strong"/>
          <w:rFonts w:eastAsia="MS Mincho"/>
          <w:sz w:val="22"/>
          <w:szCs w:val="22"/>
        </w:rPr>
      </w:pPr>
      <w:bookmarkStart w:id="211" w:name="_Toc261170246"/>
      <w:r w:rsidRPr="009E5034">
        <w:rPr>
          <w:rStyle w:val="Strong"/>
          <w:rFonts w:eastAsia="MS Mincho"/>
          <w:sz w:val="22"/>
          <w:szCs w:val="22"/>
        </w:rPr>
        <w:t>6. Aperçu synthétique des problématiques environnementales majeures</w:t>
      </w:r>
      <w:bookmarkEnd w:id="210"/>
      <w:bookmarkEnd w:id="211"/>
    </w:p>
    <w:tbl>
      <w:tblPr>
        <w:tblW w:w="9522" w:type="dxa"/>
        <w:jc w:val="center"/>
        <w:tblBorders>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15"/>
        <w:gridCol w:w="1864"/>
        <w:gridCol w:w="5843"/>
      </w:tblGrid>
      <w:tr w:rsidR="00F164EF" w:rsidRPr="009E5034" w:rsidTr="00072CBC">
        <w:trPr>
          <w:tblHeader/>
          <w:jc w:val="center"/>
        </w:trPr>
        <w:tc>
          <w:tcPr>
            <w:tcW w:w="3679" w:type="dxa"/>
            <w:gridSpan w:val="2"/>
            <w:tcBorders>
              <w:top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Composantes de l’environnement urbain</w:t>
            </w:r>
          </w:p>
        </w:tc>
        <w:tc>
          <w:tcPr>
            <w:tcW w:w="5843" w:type="dxa"/>
            <w:tcBorders>
              <w:top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Caractérisation des problématiques</w:t>
            </w:r>
          </w:p>
        </w:tc>
      </w:tr>
      <w:tr w:rsidR="00F164EF" w:rsidRPr="009E5034" w:rsidTr="00072CBC">
        <w:trPr>
          <w:jc w:val="center"/>
        </w:trPr>
        <w:tc>
          <w:tcPr>
            <w:tcW w:w="1815" w:type="dxa"/>
            <w:vMerge w:val="restart"/>
            <w:vAlign w:val="center"/>
          </w:tcPr>
          <w:p w:rsidR="00F164EF" w:rsidRPr="009E5034" w:rsidRDefault="00F164EF" w:rsidP="009E5034">
            <w:pPr>
              <w:pStyle w:val="Tableau"/>
              <w:ind w:left="1"/>
              <w:jc w:val="left"/>
              <w:rPr>
                <w:sz w:val="22"/>
                <w:szCs w:val="22"/>
              </w:rPr>
            </w:pPr>
            <w:r w:rsidRPr="009E5034">
              <w:rPr>
                <w:sz w:val="22"/>
                <w:szCs w:val="22"/>
              </w:rPr>
              <w:t>Problématiques liées  aux ressources naturelles</w:t>
            </w:r>
          </w:p>
        </w:tc>
        <w:tc>
          <w:tcPr>
            <w:tcW w:w="1864" w:type="dxa"/>
            <w:vAlign w:val="center"/>
          </w:tcPr>
          <w:p w:rsidR="00F164EF" w:rsidRPr="009E5034" w:rsidRDefault="00F164EF" w:rsidP="009E5034">
            <w:pPr>
              <w:pStyle w:val="Tableau"/>
              <w:ind w:left="1"/>
              <w:jc w:val="left"/>
              <w:rPr>
                <w:sz w:val="22"/>
                <w:szCs w:val="22"/>
              </w:rPr>
            </w:pPr>
            <w:r w:rsidRPr="009E5034">
              <w:rPr>
                <w:sz w:val="22"/>
                <w:szCs w:val="22"/>
              </w:rPr>
              <w:t>Qualité de l’air</w:t>
            </w:r>
          </w:p>
        </w:tc>
        <w:tc>
          <w:tcPr>
            <w:tcW w:w="5843" w:type="dxa"/>
            <w:vAlign w:val="center"/>
          </w:tcPr>
          <w:p w:rsidR="00F164EF" w:rsidRPr="009E5034" w:rsidRDefault="00F164EF" w:rsidP="009E5034">
            <w:pPr>
              <w:pStyle w:val="Tableau"/>
              <w:ind w:left="1"/>
              <w:jc w:val="left"/>
              <w:rPr>
                <w:sz w:val="22"/>
                <w:szCs w:val="22"/>
              </w:rPr>
            </w:pPr>
            <w:r w:rsidRPr="009E5034">
              <w:rPr>
                <w:sz w:val="22"/>
                <w:szCs w:val="22"/>
              </w:rPr>
              <w:t>Absence de réseau de suivi de la qualité de l’air</w:t>
            </w:r>
          </w:p>
          <w:p w:rsidR="00F164EF" w:rsidRPr="009E5034" w:rsidRDefault="00F164EF" w:rsidP="009E5034">
            <w:pPr>
              <w:pStyle w:val="Tableau"/>
              <w:ind w:left="1"/>
              <w:jc w:val="left"/>
              <w:rPr>
                <w:sz w:val="22"/>
                <w:szCs w:val="22"/>
              </w:rPr>
            </w:pPr>
            <w:r w:rsidRPr="009E5034">
              <w:rPr>
                <w:sz w:val="22"/>
                <w:szCs w:val="22"/>
              </w:rPr>
              <w:t>Nuisances dues au transport à cause de la vétusté du parc des véhicules, l’utilisation du bois pour la cuisson, l’incinération des déchets et les sources naturelles (les poussières ramenées par les vents sahariens et en provenance des rues non bitumées).</w:t>
            </w:r>
          </w:p>
          <w:p w:rsidR="00F164EF" w:rsidRPr="009E5034" w:rsidRDefault="00F164EF" w:rsidP="009E5034">
            <w:pPr>
              <w:pStyle w:val="Tableau"/>
              <w:ind w:left="1"/>
              <w:jc w:val="left"/>
              <w:rPr>
                <w:sz w:val="22"/>
                <w:szCs w:val="22"/>
              </w:rPr>
            </w:pPr>
          </w:p>
        </w:tc>
      </w:tr>
      <w:tr w:rsidR="00F164EF" w:rsidRPr="009E5034" w:rsidTr="00072CBC">
        <w:trPr>
          <w:jc w:val="center"/>
        </w:trPr>
        <w:tc>
          <w:tcPr>
            <w:tcW w:w="1815" w:type="dxa"/>
            <w:vMerge/>
            <w:vAlign w:val="center"/>
          </w:tcPr>
          <w:p w:rsidR="00F164EF" w:rsidRPr="009E5034" w:rsidRDefault="00F164EF" w:rsidP="009E5034">
            <w:pPr>
              <w:pStyle w:val="Tableau"/>
              <w:ind w:left="1"/>
              <w:jc w:val="left"/>
              <w:rPr>
                <w:sz w:val="22"/>
                <w:szCs w:val="22"/>
              </w:rPr>
            </w:pPr>
          </w:p>
        </w:tc>
        <w:tc>
          <w:tcPr>
            <w:tcW w:w="1864" w:type="dxa"/>
            <w:vAlign w:val="center"/>
          </w:tcPr>
          <w:p w:rsidR="00F164EF" w:rsidRPr="009E5034" w:rsidRDefault="00F164EF" w:rsidP="009E5034">
            <w:pPr>
              <w:pStyle w:val="Tableau"/>
              <w:ind w:left="1"/>
              <w:jc w:val="left"/>
              <w:rPr>
                <w:sz w:val="22"/>
                <w:szCs w:val="22"/>
              </w:rPr>
            </w:pPr>
            <w:r w:rsidRPr="009E5034">
              <w:rPr>
                <w:sz w:val="22"/>
                <w:szCs w:val="22"/>
              </w:rPr>
              <w:t xml:space="preserve">Ressources en eau </w:t>
            </w:r>
          </w:p>
        </w:tc>
        <w:tc>
          <w:tcPr>
            <w:tcW w:w="5843" w:type="dxa"/>
            <w:vAlign w:val="center"/>
          </w:tcPr>
          <w:p w:rsidR="00F164EF" w:rsidRPr="009E5034" w:rsidRDefault="00F164EF" w:rsidP="009E5034">
            <w:pPr>
              <w:pStyle w:val="Tableau"/>
              <w:ind w:left="1"/>
              <w:jc w:val="left"/>
              <w:rPr>
                <w:sz w:val="22"/>
                <w:szCs w:val="22"/>
              </w:rPr>
            </w:pPr>
            <w:r w:rsidRPr="009E5034">
              <w:rPr>
                <w:sz w:val="22"/>
                <w:szCs w:val="22"/>
              </w:rPr>
              <w:t>Le fleuve Niger constitue la première source d’eau de la ville, mais soumis au rejet des eaux usées et ainsi que des déchets solides entraînés par les canaux de drainage des eaux pluviales</w:t>
            </w:r>
          </w:p>
          <w:p w:rsidR="00F164EF" w:rsidRPr="009E5034" w:rsidRDefault="00F164EF" w:rsidP="009E5034">
            <w:pPr>
              <w:pStyle w:val="Tableau"/>
              <w:ind w:left="1"/>
              <w:jc w:val="left"/>
              <w:rPr>
                <w:sz w:val="22"/>
                <w:szCs w:val="22"/>
              </w:rPr>
            </w:pPr>
            <w:r w:rsidRPr="009E5034">
              <w:rPr>
                <w:sz w:val="22"/>
                <w:szCs w:val="22"/>
              </w:rPr>
              <w:t>la nappe superficielle de la vallée du Niger s’étend le long du fleuve constitue la deuxième source importante en eau.</w:t>
            </w:r>
          </w:p>
          <w:p w:rsidR="00F164EF" w:rsidRPr="009E5034" w:rsidRDefault="00F164EF" w:rsidP="009E5034">
            <w:pPr>
              <w:pStyle w:val="Tableau"/>
              <w:ind w:left="1"/>
              <w:jc w:val="left"/>
              <w:rPr>
                <w:sz w:val="22"/>
                <w:szCs w:val="22"/>
              </w:rPr>
            </w:pPr>
            <w:r w:rsidRPr="009E5034">
              <w:rPr>
                <w:sz w:val="22"/>
                <w:szCs w:val="22"/>
              </w:rPr>
              <w:t>Infiltration dans la nappe superficielle de solutions polluées chargées en intrants agricoles, en eaux usées et en lixiviats.</w:t>
            </w:r>
          </w:p>
          <w:p w:rsidR="00F164EF" w:rsidRPr="009E5034" w:rsidRDefault="00F164EF" w:rsidP="009E5034">
            <w:pPr>
              <w:pStyle w:val="Tableau"/>
              <w:ind w:left="1"/>
              <w:jc w:val="left"/>
              <w:rPr>
                <w:sz w:val="22"/>
                <w:szCs w:val="22"/>
              </w:rPr>
            </w:pPr>
          </w:p>
        </w:tc>
      </w:tr>
      <w:tr w:rsidR="00F164EF" w:rsidRPr="009E5034" w:rsidTr="00072CBC">
        <w:trPr>
          <w:jc w:val="center"/>
        </w:trPr>
        <w:tc>
          <w:tcPr>
            <w:tcW w:w="1815" w:type="dxa"/>
            <w:vMerge/>
            <w:vAlign w:val="center"/>
          </w:tcPr>
          <w:p w:rsidR="00F164EF" w:rsidRPr="009E5034" w:rsidRDefault="00F164EF" w:rsidP="009E5034">
            <w:pPr>
              <w:pStyle w:val="Tableau"/>
              <w:ind w:left="1"/>
              <w:jc w:val="left"/>
              <w:rPr>
                <w:sz w:val="22"/>
                <w:szCs w:val="22"/>
              </w:rPr>
            </w:pPr>
          </w:p>
        </w:tc>
        <w:tc>
          <w:tcPr>
            <w:tcW w:w="1864" w:type="dxa"/>
            <w:vAlign w:val="center"/>
          </w:tcPr>
          <w:p w:rsidR="00F164EF" w:rsidRPr="009E5034" w:rsidRDefault="00F164EF" w:rsidP="009E5034">
            <w:pPr>
              <w:pStyle w:val="Tableau"/>
              <w:ind w:left="1"/>
              <w:jc w:val="left"/>
              <w:rPr>
                <w:sz w:val="22"/>
                <w:szCs w:val="22"/>
              </w:rPr>
            </w:pPr>
            <w:r w:rsidRPr="009E5034">
              <w:rPr>
                <w:sz w:val="22"/>
                <w:szCs w:val="22"/>
              </w:rPr>
              <w:t>Végétation naturelle et forêts</w:t>
            </w:r>
          </w:p>
        </w:tc>
        <w:tc>
          <w:tcPr>
            <w:tcW w:w="5843" w:type="dxa"/>
            <w:vAlign w:val="center"/>
          </w:tcPr>
          <w:p w:rsidR="00F164EF" w:rsidRPr="009E5034" w:rsidRDefault="00F164EF" w:rsidP="009E5034">
            <w:pPr>
              <w:pStyle w:val="Tableau"/>
              <w:ind w:left="1"/>
              <w:jc w:val="left"/>
              <w:rPr>
                <w:sz w:val="22"/>
                <w:szCs w:val="22"/>
              </w:rPr>
            </w:pPr>
            <w:r w:rsidRPr="009E5034">
              <w:rPr>
                <w:sz w:val="22"/>
                <w:szCs w:val="22"/>
              </w:rPr>
              <w:t>L’exploitation forestière n’est pas développée dans la région. Il n’existe  pas de grandes superficies reboisées d’un seul tenant.</w:t>
            </w:r>
          </w:p>
        </w:tc>
      </w:tr>
      <w:tr w:rsidR="00F164EF" w:rsidRPr="009E5034" w:rsidTr="00072CBC">
        <w:trPr>
          <w:jc w:val="center"/>
        </w:trPr>
        <w:tc>
          <w:tcPr>
            <w:tcW w:w="1815" w:type="dxa"/>
            <w:vMerge/>
          </w:tcPr>
          <w:p w:rsidR="00F164EF" w:rsidRPr="009E5034" w:rsidRDefault="00F164EF" w:rsidP="009E5034">
            <w:pPr>
              <w:pStyle w:val="Tableau"/>
              <w:ind w:left="1"/>
              <w:jc w:val="left"/>
              <w:rPr>
                <w:sz w:val="22"/>
                <w:szCs w:val="22"/>
              </w:rPr>
            </w:pPr>
          </w:p>
        </w:tc>
        <w:tc>
          <w:tcPr>
            <w:tcW w:w="1864" w:type="dxa"/>
            <w:vAlign w:val="center"/>
          </w:tcPr>
          <w:p w:rsidR="00F164EF" w:rsidRPr="009E5034" w:rsidRDefault="00F164EF" w:rsidP="009E5034">
            <w:pPr>
              <w:pStyle w:val="Tableau"/>
              <w:ind w:left="1"/>
              <w:jc w:val="left"/>
              <w:rPr>
                <w:sz w:val="22"/>
                <w:szCs w:val="22"/>
              </w:rPr>
            </w:pPr>
          </w:p>
          <w:p w:rsidR="00F164EF" w:rsidRPr="009E5034" w:rsidRDefault="00F164EF" w:rsidP="009E5034">
            <w:pPr>
              <w:pStyle w:val="Tableau"/>
              <w:ind w:left="1"/>
              <w:jc w:val="left"/>
              <w:rPr>
                <w:sz w:val="22"/>
                <w:szCs w:val="22"/>
              </w:rPr>
            </w:pPr>
            <w:r w:rsidRPr="009E5034">
              <w:rPr>
                <w:sz w:val="22"/>
                <w:szCs w:val="22"/>
              </w:rPr>
              <w:t>Terres agricoles</w:t>
            </w:r>
          </w:p>
        </w:tc>
        <w:tc>
          <w:tcPr>
            <w:tcW w:w="5843" w:type="dxa"/>
            <w:vAlign w:val="center"/>
          </w:tcPr>
          <w:p w:rsidR="00F164EF" w:rsidRPr="009E5034" w:rsidRDefault="00F164EF" w:rsidP="009E5034">
            <w:pPr>
              <w:pStyle w:val="Tableau"/>
              <w:ind w:left="1"/>
              <w:jc w:val="left"/>
              <w:rPr>
                <w:sz w:val="22"/>
                <w:szCs w:val="22"/>
              </w:rPr>
            </w:pPr>
            <w:r w:rsidRPr="009E5034">
              <w:rPr>
                <w:sz w:val="22"/>
                <w:szCs w:val="22"/>
              </w:rPr>
              <w:t xml:space="preserve">Les terres agricoles rencontrées dans le périmètre de Mopti sont de types argileux peu productifs </w:t>
            </w:r>
          </w:p>
        </w:tc>
      </w:tr>
      <w:tr w:rsidR="00F164EF" w:rsidRPr="009E5034" w:rsidTr="00072CBC">
        <w:trPr>
          <w:jc w:val="center"/>
        </w:trPr>
        <w:tc>
          <w:tcPr>
            <w:tcW w:w="1815" w:type="dxa"/>
            <w:vMerge w:val="restart"/>
            <w:vAlign w:val="center"/>
          </w:tcPr>
          <w:p w:rsidR="00F164EF" w:rsidRPr="009E5034" w:rsidRDefault="00F164EF" w:rsidP="009E5034">
            <w:pPr>
              <w:pStyle w:val="Tableau"/>
              <w:ind w:left="1"/>
              <w:jc w:val="left"/>
              <w:rPr>
                <w:sz w:val="22"/>
                <w:szCs w:val="22"/>
              </w:rPr>
            </w:pPr>
            <w:r w:rsidRPr="009E5034">
              <w:rPr>
                <w:sz w:val="22"/>
                <w:szCs w:val="22"/>
              </w:rPr>
              <w:t xml:space="preserve">Problématiques liées à la gestion de l’environnement </w:t>
            </w:r>
          </w:p>
        </w:tc>
        <w:tc>
          <w:tcPr>
            <w:tcW w:w="1864" w:type="dxa"/>
            <w:vAlign w:val="center"/>
          </w:tcPr>
          <w:p w:rsidR="00F164EF" w:rsidRPr="009E5034" w:rsidRDefault="00F164EF" w:rsidP="009E5034">
            <w:pPr>
              <w:pStyle w:val="Tableau"/>
              <w:ind w:left="1"/>
              <w:jc w:val="left"/>
              <w:rPr>
                <w:sz w:val="22"/>
                <w:szCs w:val="22"/>
              </w:rPr>
            </w:pPr>
            <w:r w:rsidRPr="009E5034">
              <w:rPr>
                <w:sz w:val="22"/>
                <w:szCs w:val="22"/>
              </w:rPr>
              <w:t>Accès à l’eau potable</w:t>
            </w:r>
          </w:p>
        </w:tc>
        <w:tc>
          <w:tcPr>
            <w:tcW w:w="5843" w:type="dxa"/>
            <w:vAlign w:val="center"/>
          </w:tcPr>
          <w:p w:rsidR="00F164EF" w:rsidRPr="009E5034" w:rsidRDefault="00F164EF" w:rsidP="009E5034">
            <w:pPr>
              <w:pStyle w:val="Tableau"/>
              <w:ind w:left="1"/>
              <w:jc w:val="left"/>
              <w:rPr>
                <w:sz w:val="22"/>
                <w:szCs w:val="22"/>
              </w:rPr>
            </w:pPr>
            <w:r w:rsidRPr="009E5034">
              <w:rPr>
                <w:sz w:val="22"/>
                <w:szCs w:val="22"/>
              </w:rPr>
              <w:t xml:space="preserve">Plusieurs sources d’approvisionnement en eau potable : </w:t>
            </w:r>
          </w:p>
          <w:p w:rsidR="00F164EF" w:rsidRPr="009E5034" w:rsidRDefault="00F164EF" w:rsidP="009E5034">
            <w:pPr>
              <w:pStyle w:val="Tableau"/>
              <w:ind w:left="1"/>
              <w:jc w:val="left"/>
              <w:rPr>
                <w:sz w:val="22"/>
                <w:szCs w:val="22"/>
              </w:rPr>
            </w:pPr>
            <w:r w:rsidRPr="009E5034">
              <w:rPr>
                <w:sz w:val="22"/>
                <w:szCs w:val="22"/>
              </w:rPr>
              <w:t>réseau EDM avec une capacité nominale actuelle de 104000 m3/j</w:t>
            </w:r>
          </w:p>
          <w:p w:rsidR="00F164EF" w:rsidRPr="009E5034" w:rsidRDefault="00F164EF" w:rsidP="009E5034">
            <w:pPr>
              <w:pStyle w:val="Tableau"/>
              <w:ind w:left="1"/>
              <w:jc w:val="left"/>
              <w:rPr>
                <w:sz w:val="22"/>
                <w:szCs w:val="22"/>
              </w:rPr>
            </w:pPr>
            <w:r w:rsidRPr="009E5034">
              <w:rPr>
                <w:sz w:val="22"/>
                <w:szCs w:val="22"/>
              </w:rPr>
              <w:t>puits traditionnels</w:t>
            </w:r>
          </w:p>
          <w:p w:rsidR="00F164EF" w:rsidRPr="009E5034" w:rsidRDefault="00F164EF" w:rsidP="009E5034">
            <w:pPr>
              <w:pStyle w:val="Tableau"/>
              <w:ind w:left="1"/>
              <w:jc w:val="left"/>
              <w:rPr>
                <w:sz w:val="22"/>
                <w:szCs w:val="22"/>
              </w:rPr>
            </w:pPr>
            <w:r w:rsidRPr="009E5034">
              <w:rPr>
                <w:sz w:val="22"/>
                <w:szCs w:val="22"/>
              </w:rPr>
              <w:t>80% de la population ne sont pas raccordés au réseau de distribution d’eau potable</w:t>
            </w:r>
          </w:p>
          <w:p w:rsidR="00F164EF" w:rsidRPr="009E5034" w:rsidRDefault="00F164EF" w:rsidP="009E5034">
            <w:pPr>
              <w:pStyle w:val="Tableau"/>
              <w:ind w:left="1"/>
              <w:jc w:val="left"/>
              <w:rPr>
                <w:sz w:val="22"/>
                <w:szCs w:val="22"/>
              </w:rPr>
            </w:pPr>
            <w:r w:rsidRPr="009E5034">
              <w:rPr>
                <w:sz w:val="22"/>
                <w:szCs w:val="22"/>
              </w:rPr>
              <w:t>Pollution des puits en raison de l’affleurement de la nappe et la non étanchéité latérale d’ou une grande vulnérabilité à la contamination fécale</w:t>
            </w:r>
          </w:p>
        </w:tc>
      </w:tr>
      <w:tr w:rsidR="00F164EF" w:rsidRPr="009E5034" w:rsidTr="00072CBC">
        <w:trPr>
          <w:jc w:val="center"/>
        </w:trPr>
        <w:tc>
          <w:tcPr>
            <w:tcW w:w="1815" w:type="dxa"/>
            <w:vMerge/>
          </w:tcPr>
          <w:p w:rsidR="00F164EF" w:rsidRPr="009E5034" w:rsidRDefault="00F164EF" w:rsidP="009E5034">
            <w:pPr>
              <w:pStyle w:val="Tableau"/>
              <w:ind w:left="1"/>
              <w:jc w:val="left"/>
              <w:rPr>
                <w:sz w:val="22"/>
                <w:szCs w:val="22"/>
              </w:rPr>
            </w:pPr>
          </w:p>
        </w:tc>
        <w:tc>
          <w:tcPr>
            <w:tcW w:w="1864" w:type="dxa"/>
            <w:vAlign w:val="center"/>
          </w:tcPr>
          <w:p w:rsidR="00F164EF" w:rsidRPr="009E5034" w:rsidRDefault="00F164EF" w:rsidP="009E5034">
            <w:pPr>
              <w:pStyle w:val="Tableau"/>
              <w:ind w:left="1"/>
              <w:jc w:val="left"/>
              <w:rPr>
                <w:sz w:val="22"/>
                <w:szCs w:val="22"/>
              </w:rPr>
            </w:pPr>
            <w:r w:rsidRPr="009E5034">
              <w:rPr>
                <w:sz w:val="22"/>
                <w:szCs w:val="22"/>
              </w:rPr>
              <w:t>Gestion des eaux usées</w:t>
            </w:r>
          </w:p>
        </w:tc>
        <w:tc>
          <w:tcPr>
            <w:tcW w:w="5843" w:type="dxa"/>
          </w:tcPr>
          <w:p w:rsidR="00F164EF" w:rsidRPr="009E5034" w:rsidRDefault="00F164EF" w:rsidP="009E5034">
            <w:pPr>
              <w:pStyle w:val="Tableau"/>
              <w:ind w:left="1"/>
              <w:jc w:val="left"/>
              <w:rPr>
                <w:sz w:val="22"/>
                <w:szCs w:val="22"/>
              </w:rPr>
            </w:pPr>
            <w:r w:rsidRPr="009E5034">
              <w:rPr>
                <w:sz w:val="22"/>
                <w:szCs w:val="22"/>
              </w:rPr>
              <w:t>Déversement des EU dans des puisards vidés manuellement, dans des caniveaux ou directement dans la rue</w:t>
            </w:r>
          </w:p>
          <w:p w:rsidR="00F164EF" w:rsidRPr="009E5034" w:rsidRDefault="00F164EF" w:rsidP="009E5034">
            <w:pPr>
              <w:pStyle w:val="Tableau"/>
              <w:ind w:left="1"/>
              <w:jc w:val="left"/>
              <w:rPr>
                <w:sz w:val="22"/>
                <w:szCs w:val="22"/>
              </w:rPr>
            </w:pPr>
            <w:r w:rsidRPr="009E5034">
              <w:rPr>
                <w:sz w:val="22"/>
                <w:szCs w:val="22"/>
              </w:rPr>
              <w:t>Planification d’une station de traitement des eaux usées brutes</w:t>
            </w:r>
          </w:p>
          <w:p w:rsidR="00F164EF" w:rsidRPr="009E5034" w:rsidRDefault="00F164EF" w:rsidP="009E5034">
            <w:pPr>
              <w:pStyle w:val="Tableau"/>
              <w:ind w:left="1"/>
              <w:jc w:val="left"/>
              <w:rPr>
                <w:sz w:val="22"/>
                <w:szCs w:val="22"/>
              </w:rPr>
            </w:pPr>
          </w:p>
        </w:tc>
      </w:tr>
      <w:tr w:rsidR="00F164EF" w:rsidRPr="009E5034" w:rsidTr="00072CBC">
        <w:trPr>
          <w:jc w:val="center"/>
        </w:trPr>
        <w:tc>
          <w:tcPr>
            <w:tcW w:w="1815" w:type="dxa"/>
            <w:vMerge/>
          </w:tcPr>
          <w:p w:rsidR="00F164EF" w:rsidRPr="009E5034" w:rsidRDefault="00F164EF" w:rsidP="009E5034">
            <w:pPr>
              <w:pStyle w:val="Tableau"/>
              <w:ind w:left="1"/>
              <w:jc w:val="left"/>
              <w:rPr>
                <w:sz w:val="22"/>
                <w:szCs w:val="22"/>
              </w:rPr>
            </w:pPr>
          </w:p>
        </w:tc>
        <w:tc>
          <w:tcPr>
            <w:tcW w:w="1864" w:type="dxa"/>
            <w:vAlign w:val="center"/>
          </w:tcPr>
          <w:p w:rsidR="00F164EF" w:rsidRPr="009E5034" w:rsidRDefault="00F164EF" w:rsidP="009E5034">
            <w:pPr>
              <w:pStyle w:val="Tableau"/>
              <w:ind w:left="1"/>
              <w:jc w:val="left"/>
              <w:rPr>
                <w:sz w:val="22"/>
                <w:szCs w:val="22"/>
              </w:rPr>
            </w:pPr>
            <w:r w:rsidRPr="009E5034">
              <w:rPr>
                <w:sz w:val="22"/>
                <w:szCs w:val="22"/>
              </w:rPr>
              <w:t xml:space="preserve">Gestion des déchets solides </w:t>
            </w:r>
          </w:p>
        </w:tc>
        <w:tc>
          <w:tcPr>
            <w:tcW w:w="5843" w:type="dxa"/>
          </w:tcPr>
          <w:p w:rsidR="00F164EF" w:rsidRPr="009E5034" w:rsidRDefault="00F164EF" w:rsidP="009E5034">
            <w:pPr>
              <w:pStyle w:val="Tableau"/>
              <w:ind w:left="1"/>
              <w:jc w:val="left"/>
              <w:rPr>
                <w:sz w:val="22"/>
                <w:szCs w:val="22"/>
              </w:rPr>
            </w:pPr>
            <w:r w:rsidRPr="009E5034">
              <w:rPr>
                <w:sz w:val="22"/>
                <w:szCs w:val="22"/>
              </w:rPr>
              <w:t>Nombre des GIE actives est de 23 pour 3890 abonnés:</w:t>
            </w:r>
          </w:p>
          <w:p w:rsidR="00F164EF" w:rsidRPr="009E5034" w:rsidRDefault="00F164EF" w:rsidP="009E5034">
            <w:pPr>
              <w:pStyle w:val="Tableau"/>
              <w:ind w:left="1"/>
              <w:jc w:val="left"/>
              <w:rPr>
                <w:sz w:val="22"/>
                <w:szCs w:val="22"/>
              </w:rPr>
            </w:pPr>
            <w:r w:rsidRPr="009E5034">
              <w:rPr>
                <w:sz w:val="22"/>
                <w:szCs w:val="22"/>
              </w:rPr>
              <w:t>A Mopti, le stockage des ordures se fait dans des sites non appropriés occasionnant des nuisances et préjudices multiples aux habitants.</w:t>
            </w:r>
          </w:p>
          <w:p w:rsidR="00F164EF" w:rsidRPr="009E5034" w:rsidRDefault="00F164EF" w:rsidP="009E5034">
            <w:pPr>
              <w:pStyle w:val="Tableau"/>
              <w:ind w:left="1"/>
              <w:jc w:val="left"/>
              <w:rPr>
                <w:sz w:val="22"/>
                <w:szCs w:val="22"/>
              </w:rPr>
            </w:pPr>
            <w:r w:rsidRPr="009E5034">
              <w:rPr>
                <w:sz w:val="22"/>
                <w:szCs w:val="22"/>
              </w:rPr>
              <w:t>A Sévaré l’insuffisance des dépotoirs et l’absence d’un service régulier d’évacuation font que les rues sont regorgées d’ordures</w:t>
            </w:r>
          </w:p>
          <w:p w:rsidR="00F164EF" w:rsidRPr="009E5034" w:rsidRDefault="00F164EF" w:rsidP="009E5034">
            <w:pPr>
              <w:pStyle w:val="Tableau"/>
              <w:ind w:left="1"/>
              <w:jc w:val="left"/>
              <w:rPr>
                <w:sz w:val="22"/>
                <w:szCs w:val="22"/>
              </w:rPr>
            </w:pPr>
            <w:r w:rsidRPr="009E5034">
              <w:rPr>
                <w:sz w:val="22"/>
                <w:szCs w:val="22"/>
              </w:rPr>
              <w:t xml:space="preserve">Production de </w:t>
            </w:r>
            <w:smartTag w:uri="urn:schemas-microsoft-com:office:smarttags" w:element="metricconverter">
              <w:smartTagPr>
                <w:attr w:name="ProductID" w:val="64,4 m3"/>
              </w:smartTagPr>
              <w:r w:rsidRPr="009E5034">
                <w:rPr>
                  <w:sz w:val="22"/>
                  <w:szCs w:val="22"/>
                </w:rPr>
                <w:t>64,4 m</w:t>
              </w:r>
              <w:r w:rsidRPr="009E5034">
                <w:rPr>
                  <w:sz w:val="22"/>
                  <w:szCs w:val="22"/>
                  <w:vertAlign w:val="superscript"/>
                </w:rPr>
                <w:t>3</w:t>
              </w:r>
            </w:smartTag>
            <w:r w:rsidRPr="009E5034">
              <w:rPr>
                <w:sz w:val="22"/>
                <w:szCs w:val="22"/>
              </w:rPr>
              <w:t xml:space="preserve"> d’ordures par jour. </w:t>
            </w:r>
          </w:p>
          <w:p w:rsidR="00F164EF" w:rsidRPr="009E5034" w:rsidRDefault="00F164EF" w:rsidP="009E5034">
            <w:pPr>
              <w:pStyle w:val="Tableau"/>
              <w:ind w:left="1"/>
              <w:jc w:val="left"/>
              <w:rPr>
                <w:sz w:val="22"/>
                <w:szCs w:val="22"/>
              </w:rPr>
            </w:pPr>
            <w:r w:rsidRPr="009E5034">
              <w:rPr>
                <w:sz w:val="22"/>
                <w:szCs w:val="22"/>
              </w:rPr>
              <w:t>Une décharge finale semi-contrôlée a été récemment créée. Toutefois, la défaillance du service de voirie municipale fait que les dépotoirs débordent et les populations finissent par jeter les ordures anarchiquement dans les caniveaux.</w:t>
            </w:r>
          </w:p>
        </w:tc>
      </w:tr>
      <w:tr w:rsidR="00F164EF" w:rsidRPr="009E5034" w:rsidTr="00072CBC">
        <w:trPr>
          <w:jc w:val="center"/>
        </w:trPr>
        <w:tc>
          <w:tcPr>
            <w:tcW w:w="1815" w:type="dxa"/>
            <w:vMerge/>
          </w:tcPr>
          <w:p w:rsidR="00F164EF" w:rsidRPr="009E5034" w:rsidRDefault="00F164EF" w:rsidP="009E5034">
            <w:pPr>
              <w:pStyle w:val="Tableau"/>
              <w:ind w:left="1"/>
              <w:jc w:val="left"/>
              <w:rPr>
                <w:sz w:val="22"/>
                <w:szCs w:val="22"/>
              </w:rPr>
            </w:pPr>
          </w:p>
        </w:tc>
        <w:tc>
          <w:tcPr>
            <w:tcW w:w="1864" w:type="dxa"/>
            <w:vAlign w:val="center"/>
          </w:tcPr>
          <w:p w:rsidR="00F164EF" w:rsidRPr="009E5034" w:rsidRDefault="00F164EF" w:rsidP="009E5034">
            <w:pPr>
              <w:pStyle w:val="Tableau"/>
              <w:ind w:left="1"/>
              <w:jc w:val="left"/>
              <w:rPr>
                <w:sz w:val="22"/>
                <w:szCs w:val="22"/>
              </w:rPr>
            </w:pPr>
            <w:r w:rsidRPr="009E5034">
              <w:rPr>
                <w:sz w:val="22"/>
                <w:szCs w:val="22"/>
              </w:rPr>
              <w:t>Gestion des eaux pluviales</w:t>
            </w:r>
          </w:p>
        </w:tc>
        <w:tc>
          <w:tcPr>
            <w:tcW w:w="5843" w:type="dxa"/>
          </w:tcPr>
          <w:p w:rsidR="00F164EF" w:rsidRPr="009E5034" w:rsidRDefault="00F164EF" w:rsidP="009E5034">
            <w:pPr>
              <w:pStyle w:val="Tableau"/>
              <w:ind w:left="1"/>
              <w:jc w:val="left"/>
              <w:rPr>
                <w:sz w:val="22"/>
                <w:szCs w:val="22"/>
              </w:rPr>
            </w:pPr>
            <w:r w:rsidRPr="009E5034">
              <w:rPr>
                <w:sz w:val="22"/>
                <w:szCs w:val="22"/>
              </w:rPr>
              <w:t>L’évacuation des eaux pluviales se fait par :</w:t>
            </w:r>
          </w:p>
          <w:p w:rsidR="00F164EF" w:rsidRPr="009E5034" w:rsidRDefault="00F164EF" w:rsidP="009E5034">
            <w:pPr>
              <w:pStyle w:val="Tableau"/>
              <w:ind w:left="1"/>
              <w:jc w:val="left"/>
              <w:rPr>
                <w:sz w:val="22"/>
                <w:szCs w:val="22"/>
              </w:rPr>
            </w:pPr>
            <w:r w:rsidRPr="009E5034">
              <w:rPr>
                <w:sz w:val="22"/>
                <w:szCs w:val="22"/>
              </w:rPr>
              <w:t xml:space="preserve">Caniveaux : 31,0 % des habitants </w:t>
            </w:r>
          </w:p>
          <w:p w:rsidR="00F164EF" w:rsidRPr="009E5034" w:rsidRDefault="00F164EF" w:rsidP="009E5034">
            <w:pPr>
              <w:pStyle w:val="Tableau"/>
              <w:ind w:left="1"/>
              <w:jc w:val="left"/>
              <w:rPr>
                <w:sz w:val="22"/>
                <w:szCs w:val="22"/>
              </w:rPr>
            </w:pPr>
            <w:r w:rsidRPr="009E5034">
              <w:rPr>
                <w:sz w:val="22"/>
                <w:szCs w:val="22"/>
              </w:rPr>
              <w:t>Saignées : 47,5% des habitants</w:t>
            </w:r>
            <w:r w:rsidRPr="009E5034">
              <w:rPr>
                <w:sz w:val="22"/>
                <w:szCs w:val="22"/>
              </w:rPr>
              <w:tab/>
            </w:r>
            <w:r w:rsidRPr="009E5034">
              <w:rPr>
                <w:sz w:val="22"/>
                <w:szCs w:val="22"/>
              </w:rPr>
              <w:tab/>
              <w:t>Caniveaux: 31,0% des habitant</w:t>
            </w:r>
            <w:r w:rsidR="00771B95">
              <w:rPr>
                <w:sz w:val="22"/>
                <w:szCs w:val="22"/>
              </w:rPr>
              <w:t>s</w:t>
            </w:r>
          </w:p>
          <w:p w:rsidR="00F164EF" w:rsidRPr="009E5034" w:rsidRDefault="00F164EF" w:rsidP="009E5034">
            <w:pPr>
              <w:pStyle w:val="Tableau"/>
              <w:ind w:left="1"/>
              <w:jc w:val="left"/>
              <w:rPr>
                <w:sz w:val="22"/>
                <w:szCs w:val="22"/>
              </w:rPr>
            </w:pPr>
            <w:r w:rsidRPr="009E5034">
              <w:rPr>
                <w:sz w:val="22"/>
                <w:szCs w:val="22"/>
              </w:rPr>
              <w:t>Autres systèmes: 21,5% des habitants</w:t>
            </w:r>
            <w:r w:rsidRPr="009E5034">
              <w:rPr>
                <w:sz w:val="22"/>
                <w:szCs w:val="22"/>
              </w:rPr>
              <w:tab/>
            </w:r>
          </w:p>
          <w:p w:rsidR="00F164EF" w:rsidRPr="009E5034" w:rsidRDefault="00F164EF" w:rsidP="009E5034">
            <w:pPr>
              <w:pStyle w:val="Tableau"/>
              <w:ind w:left="1"/>
              <w:jc w:val="left"/>
              <w:rPr>
                <w:sz w:val="22"/>
                <w:szCs w:val="22"/>
              </w:rPr>
            </w:pPr>
            <w:r w:rsidRPr="009E5034">
              <w:rPr>
                <w:sz w:val="22"/>
                <w:szCs w:val="22"/>
              </w:rPr>
              <w:t>Les caniveaux et collecteurs sont les sièges permanents de phénomènes de pollution très accentués et de graves nuisances pour les populations en raison des défaillances au niveau de l’entretien.</w:t>
            </w:r>
          </w:p>
        </w:tc>
      </w:tr>
      <w:tr w:rsidR="00F164EF" w:rsidRPr="009E5034" w:rsidTr="00072CBC">
        <w:trPr>
          <w:jc w:val="center"/>
        </w:trPr>
        <w:tc>
          <w:tcPr>
            <w:tcW w:w="1815" w:type="dxa"/>
            <w:vMerge/>
          </w:tcPr>
          <w:p w:rsidR="00F164EF" w:rsidRPr="009E5034" w:rsidRDefault="00F164EF" w:rsidP="009E5034">
            <w:pPr>
              <w:pStyle w:val="Tableau"/>
              <w:ind w:left="1"/>
              <w:jc w:val="left"/>
              <w:rPr>
                <w:sz w:val="22"/>
                <w:szCs w:val="22"/>
              </w:rPr>
            </w:pPr>
          </w:p>
        </w:tc>
        <w:tc>
          <w:tcPr>
            <w:tcW w:w="1864" w:type="dxa"/>
            <w:vAlign w:val="center"/>
          </w:tcPr>
          <w:p w:rsidR="00F164EF" w:rsidRPr="009E5034" w:rsidRDefault="00F164EF" w:rsidP="009E5034">
            <w:pPr>
              <w:pStyle w:val="Tableau"/>
              <w:ind w:left="1"/>
              <w:jc w:val="left"/>
              <w:rPr>
                <w:sz w:val="22"/>
                <w:szCs w:val="22"/>
              </w:rPr>
            </w:pPr>
            <w:r w:rsidRPr="009E5034">
              <w:rPr>
                <w:sz w:val="22"/>
                <w:szCs w:val="22"/>
              </w:rPr>
              <w:t xml:space="preserve">Utilisation de l’énergie </w:t>
            </w:r>
          </w:p>
        </w:tc>
        <w:tc>
          <w:tcPr>
            <w:tcW w:w="5843" w:type="dxa"/>
          </w:tcPr>
          <w:p w:rsidR="00F164EF" w:rsidRPr="009E5034" w:rsidRDefault="00F164EF" w:rsidP="009E5034">
            <w:pPr>
              <w:pStyle w:val="Tableau"/>
              <w:ind w:left="1"/>
              <w:jc w:val="left"/>
              <w:rPr>
                <w:sz w:val="22"/>
                <w:szCs w:val="22"/>
              </w:rPr>
            </w:pPr>
            <w:r w:rsidRPr="009E5034">
              <w:rPr>
                <w:sz w:val="22"/>
                <w:szCs w:val="22"/>
              </w:rPr>
              <w:t xml:space="preserve"> La Commune de Mopti bénéficie de branchement de réseau EDM, mais les zones périphériques ne sont pas encore desservies</w:t>
            </w:r>
          </w:p>
          <w:p w:rsidR="00F164EF" w:rsidRPr="009E5034" w:rsidRDefault="00F164EF" w:rsidP="009E5034">
            <w:pPr>
              <w:pStyle w:val="Tableau"/>
              <w:ind w:left="1"/>
              <w:jc w:val="left"/>
              <w:rPr>
                <w:sz w:val="22"/>
                <w:szCs w:val="22"/>
              </w:rPr>
            </w:pPr>
            <w:r w:rsidRPr="009E5034">
              <w:rPr>
                <w:sz w:val="22"/>
                <w:szCs w:val="22"/>
              </w:rPr>
              <w:t xml:space="preserve">La grande partie de l’énergie domestique repose sur la consommation du bois de chauffe et du charbon </w:t>
            </w:r>
          </w:p>
        </w:tc>
      </w:tr>
      <w:tr w:rsidR="00F164EF" w:rsidRPr="009E5034" w:rsidTr="00072CBC">
        <w:trPr>
          <w:jc w:val="center"/>
        </w:trPr>
        <w:tc>
          <w:tcPr>
            <w:tcW w:w="1815" w:type="dxa"/>
            <w:vMerge/>
          </w:tcPr>
          <w:p w:rsidR="00F164EF" w:rsidRPr="009E5034" w:rsidRDefault="00F164EF" w:rsidP="009E5034">
            <w:pPr>
              <w:pStyle w:val="Tableau"/>
              <w:ind w:left="1"/>
              <w:jc w:val="left"/>
              <w:rPr>
                <w:sz w:val="22"/>
                <w:szCs w:val="22"/>
              </w:rPr>
            </w:pPr>
          </w:p>
        </w:tc>
        <w:tc>
          <w:tcPr>
            <w:tcW w:w="1864" w:type="dxa"/>
            <w:vAlign w:val="center"/>
          </w:tcPr>
          <w:p w:rsidR="00F164EF" w:rsidRPr="009E5034" w:rsidRDefault="00F164EF" w:rsidP="009E5034">
            <w:pPr>
              <w:pStyle w:val="Tableau"/>
              <w:ind w:left="1"/>
              <w:jc w:val="left"/>
              <w:rPr>
                <w:sz w:val="22"/>
                <w:szCs w:val="22"/>
              </w:rPr>
            </w:pPr>
            <w:r w:rsidRPr="009E5034">
              <w:rPr>
                <w:sz w:val="22"/>
                <w:szCs w:val="22"/>
              </w:rPr>
              <w:t>Santé</w:t>
            </w:r>
          </w:p>
        </w:tc>
        <w:tc>
          <w:tcPr>
            <w:tcW w:w="5843" w:type="dxa"/>
          </w:tcPr>
          <w:p w:rsidR="00F164EF" w:rsidRPr="009E5034" w:rsidRDefault="00F164EF" w:rsidP="009E5034">
            <w:pPr>
              <w:pStyle w:val="Tableau"/>
              <w:ind w:left="1"/>
              <w:jc w:val="left"/>
              <w:rPr>
                <w:sz w:val="22"/>
                <w:szCs w:val="22"/>
              </w:rPr>
            </w:pPr>
            <w:r w:rsidRPr="009E5034">
              <w:rPr>
                <w:sz w:val="22"/>
                <w:szCs w:val="22"/>
              </w:rPr>
              <w:t>Manque de suivi rigoureux des conditions d’hygiène et d’assainissement, l’abandon systématique des ordures, des eaux usées et des excréta et la bouchure des caniveaux font que les épidémies de choléra sont récurrentes.</w:t>
            </w:r>
          </w:p>
          <w:p w:rsidR="00F164EF" w:rsidRPr="009E5034" w:rsidRDefault="00F164EF" w:rsidP="00370D94">
            <w:pPr>
              <w:pStyle w:val="Tableau"/>
              <w:ind w:left="1"/>
              <w:jc w:val="left"/>
              <w:rPr>
                <w:sz w:val="22"/>
                <w:szCs w:val="22"/>
              </w:rPr>
            </w:pPr>
            <w:r w:rsidRPr="009E5034">
              <w:rPr>
                <w:sz w:val="22"/>
                <w:szCs w:val="22"/>
              </w:rPr>
              <w:t>Les maladies les plus répandues sont: le paludisme, les infections respiratoires et les maladies diarrhéiques.</w:t>
            </w:r>
          </w:p>
        </w:tc>
      </w:tr>
      <w:tr w:rsidR="00F164EF" w:rsidRPr="009E5034" w:rsidTr="00072CBC">
        <w:trPr>
          <w:jc w:val="center"/>
        </w:trPr>
        <w:tc>
          <w:tcPr>
            <w:tcW w:w="1815" w:type="dxa"/>
            <w:vMerge/>
          </w:tcPr>
          <w:p w:rsidR="00F164EF" w:rsidRPr="009E5034" w:rsidRDefault="00F164EF" w:rsidP="009E5034">
            <w:pPr>
              <w:pStyle w:val="Tableau"/>
              <w:ind w:left="1"/>
              <w:jc w:val="left"/>
              <w:rPr>
                <w:sz w:val="22"/>
                <w:szCs w:val="22"/>
              </w:rPr>
            </w:pPr>
          </w:p>
        </w:tc>
        <w:tc>
          <w:tcPr>
            <w:tcW w:w="1864" w:type="dxa"/>
            <w:vAlign w:val="center"/>
          </w:tcPr>
          <w:p w:rsidR="00F164EF" w:rsidRPr="009E5034" w:rsidRDefault="00F164EF" w:rsidP="009E5034">
            <w:pPr>
              <w:pStyle w:val="Tableau"/>
              <w:ind w:left="1"/>
              <w:jc w:val="left"/>
              <w:rPr>
                <w:sz w:val="22"/>
                <w:szCs w:val="22"/>
              </w:rPr>
            </w:pPr>
            <w:r w:rsidRPr="009E5034">
              <w:rPr>
                <w:sz w:val="22"/>
                <w:szCs w:val="22"/>
              </w:rPr>
              <w:t>Transport urbain</w:t>
            </w:r>
          </w:p>
        </w:tc>
        <w:tc>
          <w:tcPr>
            <w:tcW w:w="5843" w:type="dxa"/>
          </w:tcPr>
          <w:p w:rsidR="00F164EF" w:rsidRPr="009E5034" w:rsidRDefault="00F164EF" w:rsidP="009E5034">
            <w:pPr>
              <w:pStyle w:val="Tableau"/>
              <w:ind w:left="1"/>
              <w:jc w:val="left"/>
              <w:rPr>
                <w:sz w:val="22"/>
                <w:szCs w:val="22"/>
              </w:rPr>
            </w:pPr>
            <w:r w:rsidRPr="009E5034">
              <w:rPr>
                <w:sz w:val="22"/>
                <w:szCs w:val="22"/>
              </w:rPr>
              <w:t>Transport fluviale</w:t>
            </w:r>
          </w:p>
          <w:p w:rsidR="00F164EF" w:rsidRPr="009E5034" w:rsidRDefault="00F164EF" w:rsidP="009E5034">
            <w:pPr>
              <w:pStyle w:val="Tableau"/>
              <w:ind w:left="1"/>
              <w:jc w:val="left"/>
              <w:rPr>
                <w:sz w:val="22"/>
                <w:szCs w:val="22"/>
              </w:rPr>
            </w:pPr>
            <w:r w:rsidRPr="009E5034">
              <w:rPr>
                <w:sz w:val="22"/>
                <w:szCs w:val="22"/>
              </w:rPr>
              <w:t>Deux gares fluviales: le port de pêche et  l'escale COMANAV</w:t>
            </w:r>
          </w:p>
          <w:p w:rsidR="00F164EF" w:rsidRPr="009E5034" w:rsidRDefault="00F164EF" w:rsidP="009E5034">
            <w:pPr>
              <w:pStyle w:val="Tableau"/>
              <w:ind w:left="1"/>
              <w:jc w:val="left"/>
              <w:rPr>
                <w:sz w:val="22"/>
                <w:szCs w:val="22"/>
              </w:rPr>
            </w:pPr>
            <w:r w:rsidRPr="009E5034">
              <w:rPr>
                <w:sz w:val="22"/>
                <w:szCs w:val="22"/>
              </w:rPr>
              <w:t>De nombreux  accidents avec souvent morts d’hommes ont déjà été enregistrés</w:t>
            </w:r>
          </w:p>
          <w:p w:rsidR="00F164EF" w:rsidRPr="009E5034" w:rsidRDefault="00F164EF" w:rsidP="009E5034">
            <w:pPr>
              <w:pStyle w:val="Tableau"/>
              <w:ind w:left="1"/>
              <w:jc w:val="left"/>
              <w:rPr>
                <w:sz w:val="22"/>
                <w:szCs w:val="22"/>
              </w:rPr>
            </w:pPr>
            <w:r w:rsidRPr="009E5034">
              <w:rPr>
                <w:sz w:val="22"/>
                <w:szCs w:val="22"/>
              </w:rPr>
              <w:t>Transport routier</w:t>
            </w:r>
          </w:p>
          <w:p w:rsidR="00F164EF" w:rsidRPr="009E5034" w:rsidRDefault="00F164EF" w:rsidP="009E5034">
            <w:pPr>
              <w:pStyle w:val="Tableau"/>
              <w:ind w:left="1"/>
              <w:jc w:val="left"/>
              <w:rPr>
                <w:sz w:val="22"/>
                <w:szCs w:val="22"/>
              </w:rPr>
            </w:pPr>
            <w:r w:rsidRPr="009E5034">
              <w:rPr>
                <w:sz w:val="22"/>
                <w:szCs w:val="22"/>
              </w:rPr>
              <w:t>Taux de dégradation des voies bitumées est estimé à 75%,</w:t>
            </w:r>
          </w:p>
          <w:p w:rsidR="00F164EF" w:rsidRPr="009E5034" w:rsidRDefault="00F164EF" w:rsidP="009E5034">
            <w:pPr>
              <w:pStyle w:val="Tableau"/>
              <w:ind w:left="1"/>
              <w:jc w:val="left"/>
              <w:rPr>
                <w:sz w:val="22"/>
                <w:szCs w:val="22"/>
              </w:rPr>
            </w:pPr>
            <w:r w:rsidRPr="009E5034">
              <w:rPr>
                <w:sz w:val="22"/>
                <w:szCs w:val="22"/>
              </w:rPr>
              <w:t>A l’intérieur des quartiers de la ville de Mopti, la voirie se compose de ruelles étroites et insalubres.</w:t>
            </w:r>
          </w:p>
        </w:tc>
      </w:tr>
    </w:tbl>
    <w:p w:rsidR="00F164EF" w:rsidRPr="009E5034" w:rsidRDefault="00F164EF" w:rsidP="009E5034">
      <w:pPr>
        <w:ind w:left="0"/>
        <w:jc w:val="left"/>
        <w:rPr>
          <w:sz w:val="22"/>
          <w:szCs w:val="22"/>
        </w:rPr>
      </w:pPr>
    </w:p>
    <w:p w:rsidR="00F164EF" w:rsidRPr="009E5034" w:rsidRDefault="00F164EF" w:rsidP="000D57C1">
      <w:pPr>
        <w:pStyle w:val="Heading1"/>
      </w:pPr>
      <w:r w:rsidRPr="009E5034">
        <w:br w:type="page"/>
      </w:r>
      <w:bookmarkStart w:id="212" w:name="_Toc264716125"/>
      <w:bookmarkStart w:id="213" w:name="_Toc289855980"/>
      <w:bookmarkStart w:id="214" w:name="_Toc253578271"/>
      <w:bookmarkStart w:id="215" w:name="_Toc261170162"/>
      <w:r w:rsidR="000D57C1">
        <w:t>V.</w:t>
      </w:r>
      <w:r w:rsidR="000D57C1">
        <w:tab/>
      </w:r>
      <w:r w:rsidRPr="009E5034">
        <w:t>Profil environnemental de la ville de Sikasso</w:t>
      </w:r>
      <w:bookmarkEnd w:id="212"/>
      <w:bookmarkEnd w:id="213"/>
    </w:p>
    <w:p w:rsidR="00FC49A7" w:rsidRPr="009E5034" w:rsidRDefault="00FC49A7" w:rsidP="009E5034">
      <w:pPr>
        <w:rPr>
          <w:sz w:val="22"/>
          <w:szCs w:val="22"/>
        </w:rPr>
      </w:pPr>
    </w:p>
    <w:p w:rsidR="00F164EF" w:rsidRPr="009E5034" w:rsidRDefault="00F164EF" w:rsidP="009E5034">
      <w:pPr>
        <w:spacing w:after="240"/>
        <w:ind w:left="0"/>
        <w:jc w:val="left"/>
        <w:rPr>
          <w:rStyle w:val="Strong"/>
          <w:rFonts w:eastAsia="MS Mincho"/>
          <w:sz w:val="22"/>
          <w:szCs w:val="22"/>
        </w:rPr>
      </w:pPr>
      <w:r w:rsidRPr="009E5034">
        <w:rPr>
          <w:rStyle w:val="Strong"/>
          <w:rFonts w:eastAsia="MS Mincho"/>
          <w:sz w:val="22"/>
          <w:szCs w:val="22"/>
        </w:rPr>
        <w:t>1. Dimension et principales caractéristiques naturelles de la ville</w:t>
      </w:r>
      <w:bookmarkEnd w:id="214"/>
      <w:bookmarkEnd w:id="215"/>
    </w:p>
    <w:p w:rsidR="00F164EF" w:rsidRPr="009E5034" w:rsidRDefault="00F164EF" w:rsidP="009E5034">
      <w:pPr>
        <w:spacing w:before="120" w:after="120"/>
        <w:ind w:left="0"/>
        <w:jc w:val="left"/>
        <w:rPr>
          <w:sz w:val="22"/>
          <w:szCs w:val="22"/>
        </w:rPr>
      </w:pPr>
      <w:r w:rsidRPr="009E5034">
        <w:rPr>
          <w:sz w:val="22"/>
          <w:szCs w:val="22"/>
        </w:rPr>
        <w:t>La ville de Sikasso est située dans la partie méridionale du Mali, elle profite d’un contexte climatique favorable  qui lui a souvent conféré le vocable de ville verte, la pluviométrie dépasse souvent les 1000 mm/an dans les contrées de Sikasso. Cette spécificité naturelle a souvent contribué au développement agricole et pastoral de la région faisant de cet espace un pôle de convoitise pour  les populations maliennes d’une manière générale à la recherche de terres de cultures, de lieux de pâturage ou d’une manière générale d’échanges commerciaux.</w:t>
      </w:r>
    </w:p>
    <w:p w:rsidR="00F164EF" w:rsidRPr="009E5034" w:rsidRDefault="00F164EF" w:rsidP="009E5034">
      <w:pPr>
        <w:spacing w:before="120" w:after="120"/>
        <w:ind w:left="0"/>
        <w:jc w:val="left"/>
        <w:rPr>
          <w:sz w:val="22"/>
          <w:szCs w:val="22"/>
        </w:rPr>
      </w:pPr>
      <w:r w:rsidRPr="009E5034">
        <w:rPr>
          <w:sz w:val="22"/>
          <w:szCs w:val="22"/>
        </w:rPr>
        <w:t xml:space="preserve">Cet intérêt pour la région de Sikasso est amplifié par sa position géographique stratégique ; située à </w:t>
      </w:r>
      <w:smartTag w:uri="urn:schemas-microsoft-com:office:smarttags" w:element="metricconverter">
        <w:smartTagPr>
          <w:attr w:name="ProductID" w:val="375 km"/>
        </w:smartTagPr>
        <w:r w:rsidRPr="009E5034">
          <w:rPr>
            <w:sz w:val="22"/>
            <w:szCs w:val="22"/>
          </w:rPr>
          <w:t>375 km</w:t>
        </w:r>
      </w:smartTag>
      <w:r w:rsidRPr="009E5034">
        <w:rPr>
          <w:sz w:val="22"/>
          <w:szCs w:val="22"/>
        </w:rPr>
        <w:t xml:space="preserve"> de Bamako, </w:t>
      </w:r>
      <w:smartTag w:uri="urn:schemas-microsoft-com:office:smarttags" w:element="metricconverter">
        <w:smartTagPr>
          <w:attr w:name="ProductID" w:val="100 km"/>
        </w:smartTagPr>
        <w:r w:rsidRPr="009E5034">
          <w:rPr>
            <w:sz w:val="22"/>
            <w:szCs w:val="22"/>
          </w:rPr>
          <w:t>100 km</w:t>
        </w:r>
      </w:smartTag>
      <w:r w:rsidRPr="009E5034">
        <w:rPr>
          <w:sz w:val="22"/>
          <w:szCs w:val="22"/>
        </w:rPr>
        <w:t xml:space="preserve"> de la frontière ivoirienne et à </w:t>
      </w:r>
      <w:smartTag w:uri="urn:schemas-microsoft-com:office:smarttags" w:element="metricconverter">
        <w:smartTagPr>
          <w:attr w:name="ProductID" w:val="45 km"/>
        </w:smartTagPr>
        <w:r w:rsidRPr="009E5034">
          <w:rPr>
            <w:sz w:val="22"/>
            <w:szCs w:val="22"/>
          </w:rPr>
          <w:t>45 km</w:t>
        </w:r>
      </w:smartTag>
      <w:r w:rsidRPr="009E5034">
        <w:rPr>
          <w:sz w:val="22"/>
          <w:szCs w:val="22"/>
        </w:rPr>
        <w:t xml:space="preserve"> de celle du Burkina Faso, Sikasso est une véritable ville carrefour et un centre d'échange entre le Mali et les pays côtiers notamment le Togo, le Bénin, le Ghana via le Burkina Faso et la Côte d'Ivoire.</w:t>
      </w:r>
    </w:p>
    <w:p w:rsidR="00F164EF" w:rsidRPr="009E5034" w:rsidRDefault="00F164EF" w:rsidP="009E5034">
      <w:pPr>
        <w:spacing w:after="240"/>
        <w:ind w:left="0"/>
        <w:jc w:val="left"/>
        <w:rPr>
          <w:rStyle w:val="Strong"/>
          <w:rFonts w:eastAsia="MS Mincho"/>
          <w:sz w:val="22"/>
          <w:szCs w:val="22"/>
        </w:rPr>
      </w:pPr>
      <w:bookmarkStart w:id="216" w:name="_Toc253578272"/>
      <w:bookmarkStart w:id="217" w:name="_Toc261170163"/>
      <w:r w:rsidRPr="009E5034">
        <w:rPr>
          <w:rStyle w:val="Strong"/>
          <w:rFonts w:eastAsia="MS Mincho"/>
          <w:sz w:val="22"/>
          <w:szCs w:val="22"/>
        </w:rPr>
        <w:t>1.1. Cadre naturel</w:t>
      </w:r>
      <w:bookmarkEnd w:id="216"/>
      <w:bookmarkEnd w:id="217"/>
    </w:p>
    <w:p w:rsidR="00F164EF" w:rsidRPr="009E5034" w:rsidRDefault="00F164EF" w:rsidP="009E5034">
      <w:pPr>
        <w:spacing w:before="120" w:after="120"/>
        <w:ind w:left="0"/>
        <w:jc w:val="left"/>
        <w:rPr>
          <w:sz w:val="22"/>
          <w:szCs w:val="22"/>
        </w:rPr>
      </w:pPr>
      <w:r w:rsidRPr="009E5034">
        <w:rPr>
          <w:sz w:val="22"/>
          <w:szCs w:val="22"/>
        </w:rPr>
        <w:t>La ville de Sikasso s’est développée autour du fleuve Lotio et ses principaux affluents. L’agriculture et particulièrement le maraichage constitue l’axe central autour du quel la ville a progressé au cours du siècle dernier.</w:t>
      </w:r>
    </w:p>
    <w:p w:rsidR="00F164EF" w:rsidRPr="009E5034" w:rsidRDefault="00F164EF" w:rsidP="009E5034">
      <w:pPr>
        <w:spacing w:before="120" w:after="120"/>
        <w:ind w:left="0"/>
        <w:jc w:val="left"/>
        <w:rPr>
          <w:sz w:val="22"/>
          <w:szCs w:val="22"/>
        </w:rPr>
      </w:pPr>
      <w:r w:rsidRPr="009E5034">
        <w:rPr>
          <w:sz w:val="22"/>
          <w:szCs w:val="22"/>
        </w:rPr>
        <w:t xml:space="preserve">Nous observons en effet à Sikasso globalement une extension urbaine de part et d’autre de la plaine du Lotio suivant une direction Sud Ouest- Nord Est. Les anciens quartiers de la ville sont collés à la plaine contrairement aux nouveaux quartiers qui sont souvent plus éloignés. </w:t>
      </w:r>
    </w:p>
    <w:p w:rsidR="00F164EF" w:rsidRPr="009E5034" w:rsidRDefault="00F164EF" w:rsidP="009E5034">
      <w:pPr>
        <w:spacing w:before="120" w:after="120"/>
        <w:ind w:left="0"/>
        <w:jc w:val="left"/>
        <w:rPr>
          <w:sz w:val="22"/>
          <w:szCs w:val="22"/>
        </w:rPr>
      </w:pPr>
      <w:r w:rsidRPr="009E5034">
        <w:rPr>
          <w:sz w:val="22"/>
          <w:szCs w:val="22"/>
        </w:rPr>
        <w:t xml:space="preserve">L’axe Sud  Ouest- Nord Est, celui de la plaine du Lotio, constitue le couloir vert de la ville matérialisé au centre par les cultures maraichères et aux extrémités par des reliques de forêts plus ou moins dégradées. Sikasso a pris naissance à l’emplacement de l’actuelle zone résidentielle, l’espace administratif de la ville. De là, un réseau de routes s’est développé vers pratiquement toutes les directions favorisant l’extension urbaine. </w:t>
      </w:r>
    </w:p>
    <w:p w:rsidR="00F164EF" w:rsidRPr="009E5034" w:rsidRDefault="00F164EF" w:rsidP="009E5034">
      <w:pPr>
        <w:spacing w:before="120" w:after="120"/>
        <w:ind w:left="0"/>
        <w:jc w:val="left"/>
        <w:rPr>
          <w:sz w:val="22"/>
          <w:szCs w:val="22"/>
        </w:rPr>
      </w:pPr>
      <w:r w:rsidRPr="009E5034">
        <w:rPr>
          <w:sz w:val="22"/>
          <w:szCs w:val="22"/>
        </w:rPr>
        <w:t xml:space="preserve">Le périmètre de la ville de Sikasso est occupé pratiquement au quart par les surfaces maraichères et les forêts, au tiers par les espaces urbanisés, le reste étant inexploité. </w:t>
      </w:r>
    </w:p>
    <w:p w:rsidR="00F164EF" w:rsidRPr="009E5034" w:rsidRDefault="00F164EF" w:rsidP="009E5034">
      <w:pPr>
        <w:spacing w:after="240"/>
        <w:ind w:left="0"/>
        <w:jc w:val="left"/>
        <w:rPr>
          <w:rStyle w:val="Strong"/>
          <w:rFonts w:eastAsia="MS Mincho"/>
          <w:sz w:val="22"/>
          <w:szCs w:val="22"/>
        </w:rPr>
      </w:pPr>
      <w:bookmarkStart w:id="218" w:name="_Toc253578273"/>
      <w:bookmarkStart w:id="219" w:name="_Toc261170164"/>
      <w:r w:rsidRPr="009E5034">
        <w:rPr>
          <w:rStyle w:val="Strong"/>
          <w:rFonts w:eastAsia="MS Mincho"/>
          <w:sz w:val="22"/>
          <w:szCs w:val="22"/>
        </w:rPr>
        <w:t>1.3. Cadre climatique</w:t>
      </w:r>
      <w:bookmarkEnd w:id="218"/>
      <w:bookmarkEnd w:id="219"/>
    </w:p>
    <w:p w:rsidR="00F164EF" w:rsidRPr="009E5034" w:rsidRDefault="00F164EF" w:rsidP="009E5034">
      <w:pPr>
        <w:spacing w:before="120" w:after="120"/>
        <w:ind w:left="0"/>
        <w:jc w:val="left"/>
        <w:rPr>
          <w:sz w:val="22"/>
          <w:szCs w:val="22"/>
        </w:rPr>
      </w:pPr>
      <w:r w:rsidRPr="009E5034">
        <w:rPr>
          <w:sz w:val="22"/>
          <w:szCs w:val="22"/>
        </w:rPr>
        <w:t xml:space="preserve">Le climat de la ville de Sikasso est du type tropical caractérisé par une pluviométrie abondante, 1300 à </w:t>
      </w:r>
      <w:smartTag w:uri="urn:schemas-microsoft-com:office:smarttags" w:element="metricconverter">
        <w:smartTagPr>
          <w:attr w:name="ProductID" w:val="1500 mm"/>
        </w:smartTagPr>
        <w:r w:rsidRPr="009E5034">
          <w:rPr>
            <w:sz w:val="22"/>
            <w:szCs w:val="22"/>
          </w:rPr>
          <w:t>1500 mm</w:t>
        </w:r>
      </w:smartTag>
      <w:r w:rsidRPr="009E5034">
        <w:rPr>
          <w:sz w:val="22"/>
          <w:szCs w:val="22"/>
        </w:rPr>
        <w:t xml:space="preserve"> de précipitation/an. La saison des pluies s’étalant sur environ 5 à 6 mois de juin à octobre alterne avec une saison sèche, le reste de l’année. </w:t>
      </w:r>
    </w:p>
    <w:p w:rsidR="00F164EF" w:rsidRPr="009E5034" w:rsidRDefault="00F164EF" w:rsidP="009E5034">
      <w:pPr>
        <w:spacing w:before="120" w:after="120"/>
        <w:ind w:left="0"/>
        <w:jc w:val="left"/>
        <w:rPr>
          <w:sz w:val="22"/>
          <w:szCs w:val="22"/>
        </w:rPr>
      </w:pPr>
      <w:r w:rsidRPr="009E5034">
        <w:rPr>
          <w:sz w:val="22"/>
          <w:szCs w:val="22"/>
        </w:rPr>
        <w:t>En saison des pluies, le vent dominant est la mousson, elle est chargée d’humidité et souffle du Sud Ouest vers le Nord Est ; en saison sèche, le vent est sec et chaud, c’est l’harmattan.</w:t>
      </w:r>
    </w:p>
    <w:p w:rsidR="00F164EF" w:rsidRPr="009E5034" w:rsidRDefault="00F164EF" w:rsidP="009E5034">
      <w:pPr>
        <w:spacing w:before="120" w:after="120"/>
        <w:ind w:left="0"/>
        <w:jc w:val="left"/>
        <w:rPr>
          <w:sz w:val="22"/>
          <w:szCs w:val="22"/>
        </w:rPr>
      </w:pPr>
      <w:r w:rsidRPr="009E5034">
        <w:rPr>
          <w:sz w:val="22"/>
          <w:szCs w:val="22"/>
        </w:rPr>
        <w:t xml:space="preserve">La température moyenne d’avril, le mois le plus chaud est de </w:t>
      </w:r>
      <w:smartTag w:uri="urn:schemas-microsoft-com:office:smarttags" w:element="metricconverter">
        <w:smartTagPr>
          <w:attr w:name="ProductID" w:val="30ﾰC"/>
        </w:smartTagPr>
        <w:r w:rsidRPr="009E5034">
          <w:rPr>
            <w:sz w:val="22"/>
            <w:szCs w:val="22"/>
          </w:rPr>
          <w:t>30°C</w:t>
        </w:r>
      </w:smartTag>
      <w:r w:rsidRPr="009E5034">
        <w:rPr>
          <w:sz w:val="22"/>
          <w:szCs w:val="22"/>
        </w:rPr>
        <w:t xml:space="preserve"> et la moyenne des maxima est de 37.4°C. Pendant le mois de décembre, le plus froid, la température moyenne est de </w:t>
      </w:r>
      <w:smartTag w:uri="urn:schemas-microsoft-com:office:smarttags" w:element="metricconverter">
        <w:smartTagPr>
          <w:attr w:name="ProductID" w:val="24ﾰC"/>
        </w:smartTagPr>
        <w:r w:rsidRPr="009E5034">
          <w:rPr>
            <w:sz w:val="22"/>
            <w:szCs w:val="22"/>
          </w:rPr>
          <w:t>24°C</w:t>
        </w:r>
      </w:smartTag>
      <w:r w:rsidRPr="009E5034">
        <w:rPr>
          <w:sz w:val="22"/>
          <w:szCs w:val="22"/>
        </w:rPr>
        <w:t xml:space="preserve">, en saison des pluies la moyenne des maxima atteint </w:t>
      </w:r>
      <w:smartTag w:uri="urn:schemas-microsoft-com:office:smarttags" w:element="metricconverter">
        <w:smartTagPr>
          <w:attr w:name="ProductID" w:val="29ﾰC"/>
        </w:smartTagPr>
        <w:r w:rsidRPr="009E5034">
          <w:rPr>
            <w:sz w:val="22"/>
            <w:szCs w:val="22"/>
          </w:rPr>
          <w:t>29°C</w:t>
        </w:r>
      </w:smartTag>
      <w:r w:rsidRPr="009E5034">
        <w:rPr>
          <w:sz w:val="22"/>
          <w:szCs w:val="22"/>
        </w:rPr>
        <w:t>.</w:t>
      </w:r>
    </w:p>
    <w:p w:rsidR="00F164EF" w:rsidRPr="009E5034" w:rsidRDefault="00F164EF" w:rsidP="009E5034">
      <w:pPr>
        <w:spacing w:after="240"/>
        <w:ind w:left="0"/>
        <w:jc w:val="left"/>
        <w:rPr>
          <w:rStyle w:val="Strong"/>
          <w:rFonts w:eastAsia="MS Mincho"/>
          <w:sz w:val="22"/>
          <w:szCs w:val="22"/>
        </w:rPr>
      </w:pPr>
      <w:bookmarkStart w:id="220" w:name="_Toc253578274"/>
      <w:bookmarkStart w:id="221" w:name="_Toc261170165"/>
      <w:r w:rsidRPr="009E5034">
        <w:rPr>
          <w:rStyle w:val="Strong"/>
          <w:rFonts w:eastAsia="MS Mincho"/>
          <w:sz w:val="22"/>
          <w:szCs w:val="22"/>
        </w:rPr>
        <w:t>2. Caractéristiques socioéconomiques de la population</w:t>
      </w:r>
      <w:bookmarkEnd w:id="220"/>
      <w:bookmarkEnd w:id="221"/>
    </w:p>
    <w:p w:rsidR="00F164EF" w:rsidRPr="009E5034" w:rsidRDefault="00F164EF" w:rsidP="009E5034">
      <w:pPr>
        <w:spacing w:after="240"/>
        <w:ind w:left="0"/>
        <w:jc w:val="left"/>
        <w:rPr>
          <w:rStyle w:val="Strong"/>
          <w:rFonts w:eastAsia="MS Mincho"/>
          <w:sz w:val="22"/>
          <w:szCs w:val="22"/>
        </w:rPr>
      </w:pPr>
      <w:bookmarkStart w:id="222" w:name="_Toc253578275"/>
      <w:bookmarkStart w:id="223" w:name="_Toc261170166"/>
      <w:r w:rsidRPr="009E5034">
        <w:rPr>
          <w:rStyle w:val="Strong"/>
          <w:rFonts w:eastAsia="MS Mincho"/>
          <w:sz w:val="22"/>
          <w:szCs w:val="22"/>
        </w:rPr>
        <w:t>2.1 Population et dynamique démographique</w:t>
      </w:r>
      <w:bookmarkEnd w:id="222"/>
      <w:bookmarkEnd w:id="223"/>
    </w:p>
    <w:p w:rsidR="00F164EF" w:rsidRPr="009E5034" w:rsidRDefault="00F164EF" w:rsidP="009E5034">
      <w:pPr>
        <w:spacing w:before="120" w:after="120"/>
        <w:ind w:left="0"/>
        <w:jc w:val="left"/>
        <w:rPr>
          <w:sz w:val="22"/>
          <w:szCs w:val="22"/>
        </w:rPr>
      </w:pPr>
      <w:r w:rsidRPr="009E5034">
        <w:rPr>
          <w:sz w:val="22"/>
          <w:szCs w:val="22"/>
        </w:rPr>
        <w:t xml:space="preserve">A l’indépendance, la population de la ville de Sikasso se limitait à quelques milliers d’habitants, </w:t>
      </w:r>
      <w:r w:rsidR="00370D94">
        <w:rPr>
          <w:sz w:val="22"/>
          <w:szCs w:val="22"/>
        </w:rPr>
        <w:t>elle est passée rapidement à 46.</w:t>
      </w:r>
      <w:r w:rsidRPr="009E5034">
        <w:rPr>
          <w:sz w:val="22"/>
          <w:szCs w:val="22"/>
        </w:rPr>
        <w:t>442 habitants en 1976, à plus de 70</w:t>
      </w:r>
      <w:r w:rsidR="00370D94">
        <w:rPr>
          <w:sz w:val="22"/>
          <w:szCs w:val="22"/>
        </w:rPr>
        <w:t>.</w:t>
      </w:r>
      <w:r w:rsidRPr="009E5034">
        <w:rPr>
          <w:sz w:val="22"/>
          <w:szCs w:val="22"/>
        </w:rPr>
        <w:t xml:space="preserve">000 habitants en 1987 et à 114321 habitants en 1998.  </w:t>
      </w:r>
    </w:p>
    <w:p w:rsidR="00F164EF" w:rsidRPr="009E5034" w:rsidRDefault="00F164EF" w:rsidP="009E5034">
      <w:pPr>
        <w:spacing w:before="120" w:after="120"/>
        <w:ind w:left="0"/>
        <w:jc w:val="left"/>
        <w:rPr>
          <w:sz w:val="22"/>
          <w:szCs w:val="22"/>
        </w:rPr>
      </w:pPr>
      <w:r w:rsidRPr="009E5034">
        <w:rPr>
          <w:sz w:val="22"/>
          <w:szCs w:val="22"/>
        </w:rPr>
        <w:t xml:space="preserve">Selon les chiffres officiels du dernier recensement général de la population et de l’habitat réalisé en 2009, la population de la commune de Sikasso a été évaluée à 225 753 habitants avec un taux de masculinité proche de 51%, pour 36 622 ménages contre 17 716 ménages en </w:t>
      </w:r>
      <w:smartTag w:uri="urn:schemas-microsoft-com:office:smarttags" w:element="metricconverter">
        <w:smartTagPr>
          <w:attr w:name="ProductID" w:val="1998. A"/>
        </w:smartTagPr>
        <w:r w:rsidRPr="009E5034">
          <w:rPr>
            <w:sz w:val="22"/>
            <w:szCs w:val="22"/>
          </w:rPr>
          <w:t>1998. A</w:t>
        </w:r>
      </w:smartTag>
      <w:r w:rsidRPr="009E5034">
        <w:rPr>
          <w:sz w:val="22"/>
          <w:szCs w:val="22"/>
        </w:rPr>
        <w:t xml:space="preserve"> cette époque existaient 8 790 concessions soit environ 2 ménages par concessions, 6.5 personnes par ménage et 13 personnes par concession.</w:t>
      </w:r>
    </w:p>
    <w:p w:rsidR="00F164EF" w:rsidRPr="009E5034" w:rsidRDefault="00F164EF" w:rsidP="009E5034">
      <w:pPr>
        <w:spacing w:before="120" w:after="120"/>
        <w:ind w:left="0"/>
        <w:jc w:val="left"/>
        <w:rPr>
          <w:sz w:val="22"/>
          <w:szCs w:val="22"/>
        </w:rPr>
      </w:pPr>
      <w:r w:rsidRPr="009E5034">
        <w:rPr>
          <w:sz w:val="22"/>
          <w:szCs w:val="22"/>
        </w:rPr>
        <w:t xml:space="preserve">La population de Sikasso en 1998 est jugée très jeune, 45% des personnes recensées ont moins de 15 ans et 80% ont moins de 35 ans. Les personnes du troisième âge, 55 ans et plus, représentaient seulement 6.2% en 1987 et 6.1% en 1998. La population active, entre 15 et 55 ans, représentait  47% en 1987 et en 1998. </w:t>
      </w:r>
    </w:p>
    <w:p w:rsidR="00F164EF" w:rsidRPr="009E5034" w:rsidRDefault="00F164EF" w:rsidP="009E5034">
      <w:pPr>
        <w:spacing w:before="120" w:after="120"/>
        <w:ind w:left="0"/>
        <w:jc w:val="left"/>
        <w:rPr>
          <w:sz w:val="22"/>
          <w:szCs w:val="22"/>
        </w:rPr>
      </w:pPr>
      <w:r w:rsidRPr="009E5034">
        <w:rPr>
          <w:sz w:val="22"/>
          <w:szCs w:val="22"/>
        </w:rPr>
        <w:t xml:space="preserve">Toujours et selon le recensement de 1998, la ville de Sikasso était constituée à cette époque d’une quinzaine de quartiers dont les plus importants étaient successivement, Sanoubougou, Wayerma, Medine et Hamdallaye-Mancourani. </w:t>
      </w:r>
    </w:p>
    <w:p w:rsidR="00F164EF" w:rsidRPr="009E5034" w:rsidRDefault="00F164EF" w:rsidP="009E5034">
      <w:pPr>
        <w:spacing w:before="120" w:after="120"/>
        <w:ind w:left="0"/>
        <w:jc w:val="left"/>
        <w:rPr>
          <w:sz w:val="22"/>
          <w:szCs w:val="22"/>
        </w:rPr>
      </w:pPr>
      <w:r w:rsidRPr="009E5034">
        <w:rPr>
          <w:sz w:val="22"/>
          <w:szCs w:val="22"/>
        </w:rPr>
        <w:t xml:space="preserve">Le taux d’accroissement annuel de la population était évalué au cours des années 80 et sur la base du recensement de 1987 à 4.9%, il  est tombé à 2.8% dans le cadre du recensement de 1998 et il est remonté à 4.8%  en moyenne au cours des dix dernières années. </w:t>
      </w:r>
    </w:p>
    <w:p w:rsidR="00F164EF" w:rsidRPr="009E5034" w:rsidRDefault="00F164EF" w:rsidP="009E5034">
      <w:pPr>
        <w:spacing w:before="120" w:after="120"/>
        <w:ind w:left="0"/>
        <w:jc w:val="left"/>
        <w:rPr>
          <w:sz w:val="22"/>
          <w:szCs w:val="22"/>
        </w:rPr>
      </w:pPr>
      <w:r w:rsidRPr="009E5034">
        <w:rPr>
          <w:bCs/>
          <w:sz w:val="22"/>
          <w:szCs w:val="22"/>
        </w:rPr>
        <w:t>A l’intérieur de la ville</w:t>
      </w:r>
      <w:r w:rsidRPr="009E5034">
        <w:rPr>
          <w:sz w:val="22"/>
          <w:szCs w:val="22"/>
        </w:rPr>
        <w:t xml:space="preserve"> de Sikasso, les quartiers de Sanabougou, de Wayemma, de Hamdallaye et de Médine continueront à renfermer la plus grande part de la population tout en attirant les nouveaux arrivants. </w:t>
      </w:r>
    </w:p>
    <w:p w:rsidR="00F164EF" w:rsidRPr="009E5034" w:rsidRDefault="00F164EF" w:rsidP="009E5034">
      <w:pPr>
        <w:spacing w:before="120" w:after="120"/>
        <w:ind w:left="0"/>
        <w:jc w:val="left"/>
        <w:rPr>
          <w:sz w:val="22"/>
          <w:szCs w:val="22"/>
        </w:rPr>
      </w:pPr>
      <w:r w:rsidRPr="009E5034">
        <w:rPr>
          <w:sz w:val="22"/>
          <w:szCs w:val="22"/>
        </w:rPr>
        <w:t>D’une manière générale, la ville de Sikasso et vue son positionnement stratégique dans la région, carrefour entre plusieurs pays et ses potentialités naturelles agricoles et pastorales continuera à attirer une population migratoire au cours des prochaines années. Dans le cadre d’une enquête réalisée au moment de l’élaboration du plan stratégique d’assainissement de la ville de Sikasso en 2005, environ 70% des ménages interrogés disent avoir reçu au cours des six derniers mois des étrangers dans leur foyers. L’origine de la migration est essentiellement nationale, secondairement en provenance des pays de l’Afrique de l’Ouest.</w:t>
      </w:r>
    </w:p>
    <w:p w:rsidR="00F164EF" w:rsidRPr="009E5034" w:rsidRDefault="00F164EF" w:rsidP="009E5034">
      <w:pPr>
        <w:spacing w:before="120" w:after="120"/>
        <w:ind w:left="0"/>
        <w:jc w:val="left"/>
        <w:rPr>
          <w:sz w:val="22"/>
          <w:szCs w:val="22"/>
        </w:rPr>
      </w:pPr>
      <w:r w:rsidRPr="009E5034">
        <w:rPr>
          <w:sz w:val="22"/>
          <w:szCs w:val="22"/>
        </w:rPr>
        <w:t xml:space="preserve">Toutefois et en termes d’occupation spatiale d’une manière générale, nous assistons actuellement à une baisse de la densité de la population particulièrement au niveau des nouveaux quartiers. La densité qui était de l’ordre de 53 habitants à l’hectare en </w:t>
      </w:r>
      <w:smartTag w:uri="urn:schemas-microsoft-com:office:smarttags" w:element="metricconverter">
        <w:smartTagPr>
          <w:attr w:name="ProductID" w:val="1982 a"/>
        </w:smartTagPr>
        <w:r w:rsidRPr="009E5034">
          <w:rPr>
            <w:sz w:val="22"/>
            <w:szCs w:val="22"/>
          </w:rPr>
          <w:t>1982 a</w:t>
        </w:r>
      </w:smartTag>
      <w:r w:rsidRPr="009E5034">
        <w:rPr>
          <w:sz w:val="22"/>
          <w:szCs w:val="22"/>
        </w:rPr>
        <w:t xml:space="preserve"> chuté à environ 36 habitants à l’hectare en 2005.</w:t>
      </w:r>
    </w:p>
    <w:p w:rsidR="00F164EF" w:rsidRPr="009E5034" w:rsidRDefault="00F164EF" w:rsidP="009E5034">
      <w:pPr>
        <w:spacing w:after="240"/>
        <w:ind w:left="0"/>
        <w:jc w:val="left"/>
        <w:rPr>
          <w:rStyle w:val="Strong"/>
          <w:rFonts w:eastAsia="MS Mincho"/>
          <w:sz w:val="22"/>
          <w:szCs w:val="22"/>
        </w:rPr>
      </w:pPr>
      <w:bookmarkStart w:id="224" w:name="_Toc253578276"/>
      <w:bookmarkStart w:id="225" w:name="_Toc261170167"/>
      <w:r w:rsidRPr="009E5034">
        <w:rPr>
          <w:rStyle w:val="Strong"/>
          <w:rFonts w:eastAsia="MS Mincho"/>
          <w:sz w:val="22"/>
          <w:szCs w:val="22"/>
        </w:rPr>
        <w:t>2.2 Emplois, revenus et dépenses</w:t>
      </w:r>
      <w:bookmarkEnd w:id="224"/>
      <w:r w:rsidRPr="009E5034">
        <w:rPr>
          <w:rStyle w:val="Strong"/>
          <w:rFonts w:eastAsia="MS Mincho"/>
          <w:sz w:val="22"/>
          <w:szCs w:val="22"/>
        </w:rPr>
        <w:t xml:space="preserve"> des ménages</w:t>
      </w:r>
      <w:bookmarkEnd w:id="225"/>
    </w:p>
    <w:p w:rsidR="00F164EF" w:rsidRPr="009E5034" w:rsidRDefault="00F164EF" w:rsidP="009E5034">
      <w:pPr>
        <w:spacing w:before="120" w:after="120"/>
        <w:ind w:left="0"/>
        <w:jc w:val="left"/>
        <w:rPr>
          <w:sz w:val="22"/>
          <w:szCs w:val="22"/>
        </w:rPr>
      </w:pPr>
      <w:r w:rsidRPr="009E5034">
        <w:rPr>
          <w:sz w:val="22"/>
          <w:szCs w:val="22"/>
        </w:rPr>
        <w:t xml:space="preserve">Malgré sa situation stratégique en Afrique de l’Ouest en tant que point de carrefour entre différents pays limitrophes au Mali, l’économie de la ville de Sikasso et ses environs demeure en majorité tributaire des activités agricoles et n’arrive pas encore à tirer profit de manière significative de son positionnement géographique à travers le développement d’un échange et d’un partenariat réel avec les populations des pays voisins. </w:t>
      </w:r>
    </w:p>
    <w:p w:rsidR="00F164EF" w:rsidRPr="009E5034" w:rsidRDefault="00F164EF" w:rsidP="009E5034">
      <w:pPr>
        <w:spacing w:before="120" w:after="120"/>
        <w:ind w:left="0"/>
        <w:jc w:val="left"/>
        <w:rPr>
          <w:sz w:val="22"/>
          <w:szCs w:val="22"/>
        </w:rPr>
      </w:pPr>
      <w:r w:rsidRPr="009E5034">
        <w:rPr>
          <w:sz w:val="22"/>
          <w:szCs w:val="22"/>
        </w:rPr>
        <w:t>La production économique globale dans la région de Sikasso est constituée de plus des deux tiers de production agricole, d’environ 15% en provenance de l’extraction aurifère et à peine 10% des autres activités, à savoir particulièrement, les services, le commerce et l’artisanat.</w:t>
      </w:r>
    </w:p>
    <w:p w:rsidR="00F164EF" w:rsidRPr="009E5034" w:rsidRDefault="00F164EF" w:rsidP="009E5034">
      <w:pPr>
        <w:spacing w:before="120" w:after="120"/>
        <w:ind w:left="0"/>
        <w:jc w:val="left"/>
        <w:rPr>
          <w:sz w:val="22"/>
          <w:szCs w:val="22"/>
        </w:rPr>
      </w:pPr>
      <w:r w:rsidRPr="009E5034">
        <w:rPr>
          <w:sz w:val="22"/>
          <w:szCs w:val="22"/>
        </w:rPr>
        <w:t xml:space="preserve">Au niveau de l’espace urbain proprement dit, l’économie est prédominée par les petits commerces qui offrent à la ville environ 40% de la valeur ajoutée;  Sikasso est avant tout une place de marché central pour les producteurs agricoles de la région ainsi qu’une zone de transit pour les biens et les personnes en direction ou en provenance des pays limitrophes. Pour ce qui est des autres secteurs, particulièrement l’artisanat, l’industrie, les services et le transport, du fait de leur caractère informel prédominant, semblent faiblement pourvoyeurs de revenus et de richesses. </w:t>
      </w:r>
    </w:p>
    <w:p w:rsidR="00F164EF" w:rsidRPr="009E5034" w:rsidRDefault="00F164EF" w:rsidP="009E5034">
      <w:pPr>
        <w:spacing w:before="120" w:after="120"/>
        <w:ind w:left="0"/>
        <w:jc w:val="left"/>
        <w:rPr>
          <w:sz w:val="22"/>
          <w:szCs w:val="22"/>
        </w:rPr>
      </w:pPr>
      <w:r w:rsidRPr="009E5034">
        <w:rPr>
          <w:sz w:val="22"/>
          <w:szCs w:val="22"/>
        </w:rPr>
        <w:t>D’après une enquête réalisée au cours des études pour l’adduction d’eau potable au niveau de la ville de Sikasso sur un échantillon de 900 ménages, la répartition de la population active fait apparaître que les agriculteurs et les fonctionnaires constituent la population active prédominante dans la ville de Sikasso avec respectivement des taux de 21 et 20% devant les commerçants, les chauffeurs et les artisans qui ensemble constituent une population active de l’ordre de 25%. Les employés d’entreprises et les ouvriers occasionnels constituent le r</w:t>
      </w:r>
      <w:r w:rsidR="000E77D8" w:rsidRPr="009E5034">
        <w:rPr>
          <w:sz w:val="22"/>
          <w:szCs w:val="22"/>
        </w:rPr>
        <w:t>este de la population active.</w:t>
      </w:r>
    </w:p>
    <w:p w:rsidR="00F164EF" w:rsidRPr="009E5034" w:rsidRDefault="00F164EF" w:rsidP="009E5034">
      <w:pPr>
        <w:spacing w:after="240"/>
        <w:ind w:left="0"/>
        <w:jc w:val="left"/>
        <w:rPr>
          <w:rStyle w:val="Strong"/>
          <w:rFonts w:eastAsia="MS Mincho"/>
          <w:sz w:val="22"/>
          <w:szCs w:val="22"/>
        </w:rPr>
      </w:pPr>
      <w:bookmarkStart w:id="226" w:name="_Toc253578277"/>
      <w:bookmarkStart w:id="227" w:name="_Toc261170168"/>
      <w:r w:rsidRPr="009E5034">
        <w:rPr>
          <w:rStyle w:val="Strong"/>
          <w:rFonts w:eastAsia="MS Mincho"/>
          <w:sz w:val="22"/>
          <w:szCs w:val="22"/>
        </w:rPr>
        <w:t>2.3. Urbanisation et conditions d’habitat</w:t>
      </w:r>
      <w:bookmarkEnd w:id="226"/>
      <w:bookmarkEnd w:id="227"/>
    </w:p>
    <w:p w:rsidR="00F164EF" w:rsidRPr="009E5034" w:rsidRDefault="00F164EF" w:rsidP="009E5034">
      <w:pPr>
        <w:spacing w:before="120" w:after="120"/>
        <w:ind w:left="0"/>
        <w:jc w:val="left"/>
        <w:rPr>
          <w:sz w:val="22"/>
          <w:szCs w:val="22"/>
        </w:rPr>
      </w:pPr>
      <w:r w:rsidRPr="009E5034">
        <w:rPr>
          <w:sz w:val="22"/>
          <w:szCs w:val="22"/>
        </w:rPr>
        <w:t xml:space="preserve">La ville de Sikasso a commencé à se développer à partir du centre tout autour de la mairie et de la zone résidentielle de la ville abritant les bâtiments administratifs. Le tissu urbain est très serré et dense dans cette zone, il demeure de même tout le long de la plaine du Lotio. </w:t>
      </w:r>
    </w:p>
    <w:p w:rsidR="00F164EF" w:rsidRPr="009E5034" w:rsidRDefault="00F164EF" w:rsidP="009E5034">
      <w:pPr>
        <w:spacing w:before="120" w:after="120"/>
        <w:ind w:left="0"/>
        <w:jc w:val="left"/>
        <w:rPr>
          <w:sz w:val="22"/>
          <w:szCs w:val="22"/>
        </w:rPr>
      </w:pPr>
      <w:r w:rsidRPr="009E5034">
        <w:rPr>
          <w:sz w:val="22"/>
          <w:szCs w:val="22"/>
        </w:rPr>
        <w:t>Les extensions récentes de la ville particulièrement au Nord, au Nord Ouest ainsi qu’au sud sont souvent incontrôlées à caractère spontané et souvent par une faible densité. D’une manière globale et à l’échelle de toute la ville, la densité urbaine à Sikasso a chuté de 53 habitants à l’hectare en 1982 à 36 habitants à l’hectare en 2005.</w:t>
      </w:r>
    </w:p>
    <w:p w:rsidR="00F164EF" w:rsidRPr="009E5034" w:rsidRDefault="00F164EF" w:rsidP="009E5034">
      <w:pPr>
        <w:pStyle w:val="Caption"/>
        <w:ind w:left="899"/>
        <w:rPr>
          <w:rStyle w:val="Emphasis"/>
          <w:sz w:val="22"/>
          <w:szCs w:val="22"/>
        </w:rPr>
      </w:pPr>
      <w:r w:rsidRPr="009E5034">
        <w:rPr>
          <w:rStyle w:val="Emphasis"/>
          <w:sz w:val="22"/>
          <w:szCs w:val="22"/>
        </w:rPr>
        <w:t xml:space="preserve">Tableau A4.1 : </w:t>
      </w:r>
      <w:bookmarkStart w:id="228" w:name="_Toc220981923"/>
      <w:bookmarkStart w:id="229" w:name="_Toc251681750"/>
      <w:r w:rsidRPr="009E5034">
        <w:rPr>
          <w:rStyle w:val="Emphasis"/>
          <w:sz w:val="22"/>
          <w:szCs w:val="22"/>
        </w:rPr>
        <w:t>Evolution de l’urbanisation dans la ville de Sikasso</w:t>
      </w:r>
      <w:bookmarkEnd w:id="228"/>
      <w:bookmarkEnd w:id="229"/>
      <w:r w:rsidRPr="009E5034">
        <w:rPr>
          <w:rStyle w:val="Emphasis"/>
          <w:sz w:val="22"/>
          <w:szCs w:val="22"/>
        </w:rPr>
        <w:t>. Source : Schéma Directeur d’Urbanisme de Sikasso et ses environs – MHU, 2005.</w:t>
      </w:r>
    </w:p>
    <w:tbl>
      <w:tblPr>
        <w:tblW w:w="333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87"/>
        <w:gridCol w:w="737"/>
        <w:gridCol w:w="861"/>
        <w:gridCol w:w="987"/>
        <w:gridCol w:w="987"/>
      </w:tblGrid>
      <w:tr w:rsidR="00F164EF" w:rsidRPr="009E5034" w:rsidTr="00072CBC">
        <w:trPr>
          <w:jc w:val="center"/>
        </w:trPr>
        <w:tc>
          <w:tcPr>
            <w:tcW w:w="2101" w:type="pct"/>
          </w:tcPr>
          <w:p w:rsidR="00F164EF" w:rsidRPr="009E5034" w:rsidRDefault="00F164EF" w:rsidP="009E5034">
            <w:pPr>
              <w:pStyle w:val="Tableau"/>
              <w:ind w:left="1"/>
              <w:jc w:val="left"/>
              <w:rPr>
                <w:sz w:val="22"/>
                <w:szCs w:val="22"/>
              </w:rPr>
            </w:pPr>
          </w:p>
        </w:tc>
        <w:tc>
          <w:tcPr>
            <w:tcW w:w="598" w:type="pct"/>
          </w:tcPr>
          <w:p w:rsidR="00F164EF" w:rsidRPr="009E5034" w:rsidRDefault="00F164EF" w:rsidP="009E5034">
            <w:pPr>
              <w:pStyle w:val="Tableau"/>
              <w:ind w:left="1"/>
              <w:jc w:val="left"/>
              <w:rPr>
                <w:b/>
                <w:sz w:val="22"/>
                <w:szCs w:val="22"/>
              </w:rPr>
            </w:pPr>
            <w:r w:rsidRPr="009E5034">
              <w:rPr>
                <w:b/>
                <w:sz w:val="22"/>
                <w:szCs w:val="22"/>
              </w:rPr>
              <w:t>1875</w:t>
            </w:r>
          </w:p>
        </w:tc>
        <w:tc>
          <w:tcPr>
            <w:tcW w:w="699" w:type="pct"/>
          </w:tcPr>
          <w:p w:rsidR="00F164EF" w:rsidRPr="009E5034" w:rsidRDefault="00F164EF" w:rsidP="009E5034">
            <w:pPr>
              <w:pStyle w:val="Tableau"/>
              <w:ind w:left="1"/>
              <w:jc w:val="left"/>
              <w:rPr>
                <w:b/>
                <w:sz w:val="22"/>
                <w:szCs w:val="22"/>
              </w:rPr>
            </w:pPr>
            <w:r w:rsidRPr="009E5034">
              <w:rPr>
                <w:b/>
                <w:sz w:val="22"/>
                <w:szCs w:val="22"/>
              </w:rPr>
              <w:t>1982</w:t>
            </w:r>
          </w:p>
        </w:tc>
        <w:tc>
          <w:tcPr>
            <w:tcW w:w="801" w:type="pct"/>
          </w:tcPr>
          <w:p w:rsidR="00F164EF" w:rsidRPr="009E5034" w:rsidRDefault="00F164EF" w:rsidP="009E5034">
            <w:pPr>
              <w:pStyle w:val="Tableau"/>
              <w:ind w:left="1"/>
              <w:jc w:val="left"/>
              <w:rPr>
                <w:b/>
                <w:sz w:val="22"/>
                <w:szCs w:val="22"/>
              </w:rPr>
            </w:pPr>
            <w:r w:rsidRPr="009E5034">
              <w:rPr>
                <w:b/>
                <w:sz w:val="22"/>
                <w:szCs w:val="22"/>
              </w:rPr>
              <w:t>1995</w:t>
            </w:r>
          </w:p>
        </w:tc>
        <w:tc>
          <w:tcPr>
            <w:tcW w:w="801" w:type="pct"/>
          </w:tcPr>
          <w:p w:rsidR="00F164EF" w:rsidRPr="009E5034" w:rsidRDefault="00F164EF" w:rsidP="009E5034">
            <w:pPr>
              <w:pStyle w:val="Tableau"/>
              <w:ind w:left="1"/>
              <w:jc w:val="left"/>
              <w:rPr>
                <w:b/>
                <w:sz w:val="22"/>
                <w:szCs w:val="22"/>
              </w:rPr>
            </w:pPr>
            <w:r w:rsidRPr="009E5034">
              <w:rPr>
                <w:b/>
                <w:sz w:val="22"/>
                <w:szCs w:val="22"/>
              </w:rPr>
              <w:t>2005</w:t>
            </w:r>
          </w:p>
        </w:tc>
      </w:tr>
      <w:tr w:rsidR="00F164EF" w:rsidRPr="009E5034" w:rsidTr="00072CBC">
        <w:trPr>
          <w:jc w:val="center"/>
        </w:trPr>
        <w:tc>
          <w:tcPr>
            <w:tcW w:w="2101" w:type="pct"/>
          </w:tcPr>
          <w:p w:rsidR="00F164EF" w:rsidRPr="009E5034" w:rsidRDefault="00F164EF" w:rsidP="009E5034">
            <w:pPr>
              <w:pStyle w:val="Tableau"/>
              <w:ind w:left="1"/>
              <w:jc w:val="left"/>
              <w:rPr>
                <w:sz w:val="22"/>
                <w:szCs w:val="22"/>
              </w:rPr>
            </w:pPr>
            <w:r w:rsidRPr="009E5034">
              <w:rPr>
                <w:sz w:val="22"/>
                <w:szCs w:val="22"/>
              </w:rPr>
              <w:t>Superficie urbanisée en hectares</w:t>
            </w:r>
          </w:p>
        </w:tc>
        <w:tc>
          <w:tcPr>
            <w:tcW w:w="598" w:type="pct"/>
          </w:tcPr>
          <w:p w:rsidR="00F164EF" w:rsidRPr="009E5034" w:rsidRDefault="00F164EF" w:rsidP="009E5034">
            <w:pPr>
              <w:pStyle w:val="Tableau"/>
              <w:ind w:left="1"/>
              <w:jc w:val="left"/>
              <w:rPr>
                <w:sz w:val="22"/>
                <w:szCs w:val="22"/>
              </w:rPr>
            </w:pPr>
            <w:r w:rsidRPr="009E5034">
              <w:rPr>
                <w:sz w:val="22"/>
                <w:szCs w:val="22"/>
              </w:rPr>
              <w:t>30</w:t>
            </w:r>
          </w:p>
        </w:tc>
        <w:tc>
          <w:tcPr>
            <w:tcW w:w="699" w:type="pct"/>
          </w:tcPr>
          <w:p w:rsidR="00F164EF" w:rsidRPr="009E5034" w:rsidRDefault="00F164EF" w:rsidP="009E5034">
            <w:pPr>
              <w:pStyle w:val="Tableau"/>
              <w:ind w:left="1"/>
              <w:jc w:val="left"/>
              <w:rPr>
                <w:sz w:val="22"/>
                <w:szCs w:val="22"/>
              </w:rPr>
            </w:pPr>
            <w:r w:rsidRPr="009E5034">
              <w:rPr>
                <w:sz w:val="22"/>
                <w:szCs w:val="22"/>
              </w:rPr>
              <w:t>1194</w:t>
            </w:r>
          </w:p>
        </w:tc>
        <w:tc>
          <w:tcPr>
            <w:tcW w:w="801" w:type="pct"/>
          </w:tcPr>
          <w:p w:rsidR="00F164EF" w:rsidRPr="009E5034" w:rsidRDefault="00F164EF" w:rsidP="009E5034">
            <w:pPr>
              <w:pStyle w:val="Tableau"/>
              <w:ind w:left="1"/>
              <w:jc w:val="left"/>
              <w:rPr>
                <w:sz w:val="22"/>
                <w:szCs w:val="22"/>
              </w:rPr>
            </w:pPr>
            <w:r w:rsidRPr="009E5034">
              <w:rPr>
                <w:sz w:val="22"/>
                <w:szCs w:val="22"/>
              </w:rPr>
              <w:t>2460</w:t>
            </w:r>
          </w:p>
        </w:tc>
        <w:tc>
          <w:tcPr>
            <w:tcW w:w="801" w:type="pct"/>
          </w:tcPr>
          <w:p w:rsidR="00F164EF" w:rsidRPr="009E5034" w:rsidRDefault="00F164EF" w:rsidP="009E5034">
            <w:pPr>
              <w:pStyle w:val="Tableau"/>
              <w:ind w:left="1"/>
              <w:jc w:val="left"/>
              <w:rPr>
                <w:sz w:val="22"/>
                <w:szCs w:val="22"/>
              </w:rPr>
            </w:pPr>
            <w:r w:rsidRPr="009E5034">
              <w:rPr>
                <w:sz w:val="22"/>
                <w:szCs w:val="22"/>
              </w:rPr>
              <w:t>3745</w:t>
            </w:r>
          </w:p>
        </w:tc>
      </w:tr>
      <w:tr w:rsidR="00F164EF" w:rsidRPr="009E5034" w:rsidTr="00072CBC">
        <w:trPr>
          <w:jc w:val="center"/>
        </w:trPr>
        <w:tc>
          <w:tcPr>
            <w:tcW w:w="2101" w:type="pct"/>
          </w:tcPr>
          <w:p w:rsidR="00F164EF" w:rsidRPr="009E5034" w:rsidRDefault="00F164EF" w:rsidP="009E5034">
            <w:pPr>
              <w:pStyle w:val="Tableau"/>
              <w:ind w:left="1"/>
              <w:jc w:val="left"/>
              <w:rPr>
                <w:sz w:val="22"/>
                <w:szCs w:val="22"/>
              </w:rPr>
            </w:pPr>
            <w:r w:rsidRPr="009E5034">
              <w:rPr>
                <w:sz w:val="22"/>
                <w:szCs w:val="22"/>
              </w:rPr>
              <w:t>Population</w:t>
            </w:r>
          </w:p>
        </w:tc>
        <w:tc>
          <w:tcPr>
            <w:tcW w:w="598" w:type="pct"/>
          </w:tcPr>
          <w:p w:rsidR="00F164EF" w:rsidRPr="009E5034" w:rsidRDefault="00F164EF" w:rsidP="009E5034">
            <w:pPr>
              <w:pStyle w:val="Tableau"/>
              <w:ind w:left="1"/>
              <w:jc w:val="left"/>
              <w:rPr>
                <w:sz w:val="22"/>
                <w:szCs w:val="22"/>
              </w:rPr>
            </w:pPr>
          </w:p>
        </w:tc>
        <w:tc>
          <w:tcPr>
            <w:tcW w:w="699" w:type="pct"/>
          </w:tcPr>
          <w:p w:rsidR="00F164EF" w:rsidRPr="009E5034" w:rsidRDefault="00F164EF" w:rsidP="009E5034">
            <w:pPr>
              <w:pStyle w:val="Tableau"/>
              <w:ind w:left="1"/>
              <w:jc w:val="left"/>
              <w:rPr>
                <w:sz w:val="22"/>
                <w:szCs w:val="22"/>
              </w:rPr>
            </w:pPr>
            <w:r w:rsidRPr="009E5034">
              <w:rPr>
                <w:sz w:val="22"/>
                <w:szCs w:val="22"/>
              </w:rPr>
              <w:t>63088</w:t>
            </w:r>
          </w:p>
        </w:tc>
        <w:tc>
          <w:tcPr>
            <w:tcW w:w="801" w:type="pct"/>
          </w:tcPr>
          <w:p w:rsidR="00F164EF" w:rsidRPr="009E5034" w:rsidRDefault="00F164EF" w:rsidP="009E5034">
            <w:pPr>
              <w:pStyle w:val="Tableau"/>
              <w:ind w:left="1"/>
              <w:jc w:val="left"/>
              <w:rPr>
                <w:sz w:val="22"/>
                <w:szCs w:val="22"/>
              </w:rPr>
            </w:pPr>
            <w:r w:rsidRPr="009E5034">
              <w:rPr>
                <w:sz w:val="22"/>
                <w:szCs w:val="22"/>
              </w:rPr>
              <w:t>102646</w:t>
            </w:r>
          </w:p>
        </w:tc>
        <w:tc>
          <w:tcPr>
            <w:tcW w:w="801" w:type="pct"/>
          </w:tcPr>
          <w:p w:rsidR="00F164EF" w:rsidRPr="009E5034" w:rsidRDefault="00F164EF" w:rsidP="009E5034">
            <w:pPr>
              <w:pStyle w:val="Tableau"/>
              <w:ind w:left="1"/>
              <w:jc w:val="left"/>
              <w:rPr>
                <w:sz w:val="22"/>
                <w:szCs w:val="22"/>
              </w:rPr>
            </w:pPr>
            <w:r w:rsidRPr="009E5034">
              <w:rPr>
                <w:sz w:val="22"/>
                <w:szCs w:val="22"/>
              </w:rPr>
              <w:t>135484</w:t>
            </w:r>
          </w:p>
        </w:tc>
      </w:tr>
      <w:tr w:rsidR="00F164EF" w:rsidRPr="009E5034" w:rsidTr="00072CBC">
        <w:trPr>
          <w:jc w:val="center"/>
        </w:trPr>
        <w:tc>
          <w:tcPr>
            <w:tcW w:w="2101" w:type="pct"/>
          </w:tcPr>
          <w:p w:rsidR="00F164EF" w:rsidRPr="009E5034" w:rsidRDefault="00F164EF" w:rsidP="009E5034">
            <w:pPr>
              <w:pStyle w:val="Tableau"/>
              <w:ind w:left="1"/>
              <w:jc w:val="left"/>
              <w:rPr>
                <w:sz w:val="22"/>
                <w:szCs w:val="22"/>
              </w:rPr>
            </w:pPr>
            <w:r w:rsidRPr="009E5034">
              <w:rPr>
                <w:sz w:val="22"/>
                <w:szCs w:val="22"/>
              </w:rPr>
              <w:t>Densité habitant/hectare</w:t>
            </w:r>
          </w:p>
        </w:tc>
        <w:tc>
          <w:tcPr>
            <w:tcW w:w="598" w:type="pct"/>
          </w:tcPr>
          <w:p w:rsidR="00F164EF" w:rsidRPr="009E5034" w:rsidRDefault="00F164EF" w:rsidP="009E5034">
            <w:pPr>
              <w:pStyle w:val="Tableau"/>
              <w:ind w:left="1"/>
              <w:jc w:val="left"/>
              <w:rPr>
                <w:sz w:val="22"/>
                <w:szCs w:val="22"/>
              </w:rPr>
            </w:pPr>
          </w:p>
        </w:tc>
        <w:tc>
          <w:tcPr>
            <w:tcW w:w="699" w:type="pct"/>
          </w:tcPr>
          <w:p w:rsidR="00F164EF" w:rsidRPr="009E5034" w:rsidRDefault="00F164EF" w:rsidP="009E5034">
            <w:pPr>
              <w:pStyle w:val="Tableau"/>
              <w:ind w:left="1"/>
              <w:jc w:val="left"/>
              <w:rPr>
                <w:b/>
                <w:sz w:val="22"/>
                <w:szCs w:val="22"/>
              </w:rPr>
            </w:pPr>
            <w:r w:rsidRPr="009E5034">
              <w:rPr>
                <w:b/>
                <w:sz w:val="22"/>
                <w:szCs w:val="22"/>
              </w:rPr>
              <w:t>53</w:t>
            </w:r>
          </w:p>
        </w:tc>
        <w:tc>
          <w:tcPr>
            <w:tcW w:w="801" w:type="pct"/>
          </w:tcPr>
          <w:p w:rsidR="00F164EF" w:rsidRPr="009E5034" w:rsidRDefault="00F164EF" w:rsidP="009E5034">
            <w:pPr>
              <w:pStyle w:val="Tableau"/>
              <w:ind w:left="1"/>
              <w:jc w:val="left"/>
              <w:rPr>
                <w:b/>
                <w:sz w:val="22"/>
                <w:szCs w:val="22"/>
              </w:rPr>
            </w:pPr>
            <w:r w:rsidRPr="009E5034">
              <w:rPr>
                <w:b/>
                <w:sz w:val="22"/>
                <w:szCs w:val="22"/>
              </w:rPr>
              <w:t>42</w:t>
            </w:r>
          </w:p>
        </w:tc>
        <w:tc>
          <w:tcPr>
            <w:tcW w:w="801" w:type="pct"/>
          </w:tcPr>
          <w:p w:rsidR="00F164EF" w:rsidRPr="009E5034" w:rsidRDefault="00F164EF" w:rsidP="009E5034">
            <w:pPr>
              <w:pStyle w:val="Tableau"/>
              <w:ind w:left="1"/>
              <w:jc w:val="left"/>
              <w:rPr>
                <w:b/>
                <w:sz w:val="22"/>
                <w:szCs w:val="22"/>
              </w:rPr>
            </w:pPr>
            <w:r w:rsidRPr="009E5034">
              <w:rPr>
                <w:b/>
                <w:sz w:val="22"/>
                <w:szCs w:val="22"/>
              </w:rPr>
              <w:t>36</w:t>
            </w:r>
          </w:p>
        </w:tc>
      </w:tr>
    </w:tbl>
    <w:p w:rsidR="00F164EF" w:rsidRPr="009E5034" w:rsidRDefault="00F164EF" w:rsidP="009E5034">
      <w:pPr>
        <w:spacing w:before="120" w:after="120"/>
        <w:ind w:left="0"/>
        <w:jc w:val="left"/>
        <w:rPr>
          <w:sz w:val="22"/>
          <w:szCs w:val="22"/>
        </w:rPr>
      </w:pPr>
      <w:r w:rsidRPr="009E5034">
        <w:rPr>
          <w:sz w:val="22"/>
          <w:szCs w:val="22"/>
        </w:rPr>
        <w:t>Il s’agit d’une expansion spatiale rapide sans véritable densification des quartiers. Pour une population deux fois plus grande, la superficie urbanisée a été multipliée par trois.</w:t>
      </w:r>
    </w:p>
    <w:p w:rsidR="00F164EF" w:rsidRPr="009E5034" w:rsidRDefault="00F164EF" w:rsidP="009E5034">
      <w:pPr>
        <w:spacing w:before="120" w:after="120"/>
        <w:ind w:left="0"/>
        <w:jc w:val="left"/>
        <w:rPr>
          <w:sz w:val="22"/>
          <w:szCs w:val="22"/>
        </w:rPr>
      </w:pPr>
      <w:r w:rsidRPr="009E5034">
        <w:rPr>
          <w:sz w:val="22"/>
          <w:szCs w:val="22"/>
        </w:rPr>
        <w:t>Pour ce qui est de l’habitat, celui-ci est assez hétérogène et composite, il est fait de plusieurs types de matériaux  de construction. Les murs sont presque à moitié en dur, 25 % en semi dur et 30% en banco, tandis que les toits sont en grande majorité en tôle. Le plancher est en ciment dans environ 70% des concessions et en terre pour le reste. Presque la moitié des ménages disposent de l’électricité comme source d’éclairage, la lampe de pétrole demeure encore une source d’éclairage importante à Sikasso.</w:t>
      </w:r>
    </w:p>
    <w:p w:rsidR="00F164EF" w:rsidRPr="009E5034" w:rsidRDefault="00F164EF" w:rsidP="009E5034">
      <w:pPr>
        <w:spacing w:before="120" w:after="120"/>
        <w:ind w:left="0"/>
        <w:jc w:val="left"/>
        <w:rPr>
          <w:sz w:val="22"/>
          <w:szCs w:val="22"/>
        </w:rPr>
      </w:pPr>
      <w:r w:rsidRPr="009E5034">
        <w:rPr>
          <w:sz w:val="22"/>
          <w:szCs w:val="22"/>
        </w:rPr>
        <w:t>D’une manière générale, l’habitat à Sikasso se décompose en quatre types, un habitat traditionnel, un habitat colonial, un habitat relativement moderne et un habitat anarchique et spontané.</w:t>
      </w:r>
    </w:p>
    <w:p w:rsidR="00F164EF" w:rsidRPr="009E5034" w:rsidRDefault="00F164EF" w:rsidP="009E5034">
      <w:pPr>
        <w:spacing w:after="240"/>
        <w:ind w:left="0"/>
        <w:jc w:val="left"/>
        <w:rPr>
          <w:rStyle w:val="Strong"/>
          <w:rFonts w:eastAsia="MS Mincho"/>
          <w:sz w:val="22"/>
          <w:szCs w:val="22"/>
        </w:rPr>
      </w:pPr>
      <w:bookmarkStart w:id="230" w:name="_Toc253578278"/>
      <w:bookmarkStart w:id="231" w:name="_Toc261170169"/>
      <w:r w:rsidRPr="009E5034">
        <w:rPr>
          <w:rStyle w:val="Strong"/>
          <w:rFonts w:eastAsia="MS Mincho"/>
          <w:sz w:val="22"/>
          <w:szCs w:val="22"/>
        </w:rPr>
        <w:t>2.4. Accès à l’eau potable</w:t>
      </w:r>
      <w:bookmarkEnd w:id="230"/>
      <w:bookmarkEnd w:id="231"/>
    </w:p>
    <w:p w:rsidR="00F164EF" w:rsidRPr="009E5034" w:rsidRDefault="00F164EF" w:rsidP="009E5034">
      <w:pPr>
        <w:spacing w:before="120" w:after="120"/>
        <w:ind w:left="0"/>
        <w:jc w:val="left"/>
        <w:rPr>
          <w:sz w:val="22"/>
          <w:szCs w:val="22"/>
        </w:rPr>
      </w:pPr>
      <w:r w:rsidRPr="009E5034">
        <w:rPr>
          <w:sz w:val="22"/>
          <w:szCs w:val="22"/>
        </w:rPr>
        <w:t xml:space="preserve">La population de Sikasso accède à l’eau potable principalement de trois sources différentes, le réseau de distribution d’Energie du Mali (EDM), les bornes fontaines alimentées par EDM et gérées par des groupements associatifs et enfin les puits traditionnels.   </w:t>
      </w:r>
    </w:p>
    <w:p w:rsidR="00F164EF" w:rsidRPr="009E5034" w:rsidRDefault="00F164EF" w:rsidP="009E5034">
      <w:pPr>
        <w:spacing w:before="120" w:after="120"/>
        <w:ind w:left="0"/>
        <w:jc w:val="left"/>
        <w:rPr>
          <w:sz w:val="22"/>
          <w:szCs w:val="22"/>
        </w:rPr>
      </w:pPr>
      <w:r w:rsidRPr="009E5034">
        <w:rPr>
          <w:sz w:val="22"/>
          <w:szCs w:val="22"/>
        </w:rPr>
        <w:t>EDM est le principal fournisseur en eau potable de la ville de Sikasso, plus de 65% de la population est desservie totalement ou partiellement  par son  réseau de distribution. La quantité d’eau produite par EDM pour les besoins de la ville a augmenté au cours des six dernières années à un rythme annuelle de l’ordre de 5.7%, la quantité produite p</w:t>
      </w:r>
      <w:r w:rsidR="00370D94">
        <w:rPr>
          <w:sz w:val="22"/>
          <w:szCs w:val="22"/>
        </w:rPr>
        <w:t>our l’année 2007 avoisine les 2.500.</w:t>
      </w:r>
      <w:r w:rsidRPr="009E5034">
        <w:rPr>
          <w:sz w:val="22"/>
          <w:szCs w:val="22"/>
        </w:rPr>
        <w:t xml:space="preserve">000 m3. </w:t>
      </w:r>
    </w:p>
    <w:p w:rsidR="00F164EF" w:rsidRPr="009E5034" w:rsidRDefault="00F164EF" w:rsidP="009E5034">
      <w:pPr>
        <w:spacing w:before="120" w:after="120"/>
        <w:ind w:left="0"/>
        <w:jc w:val="left"/>
        <w:rPr>
          <w:sz w:val="22"/>
          <w:szCs w:val="22"/>
        </w:rPr>
      </w:pPr>
      <w:r w:rsidRPr="009E5034">
        <w:rPr>
          <w:sz w:val="22"/>
          <w:szCs w:val="22"/>
        </w:rPr>
        <w:t xml:space="preserve">L’alimentation d’EDM se fait à partir de huit forages, la station de pompage est située à Lafiabougou et dispose d’une capacité de refoulement de </w:t>
      </w:r>
      <w:smartTag w:uri="urn:schemas-microsoft-com:office:smarttags" w:element="metricconverter">
        <w:smartTagPr>
          <w:attr w:name="ProductID" w:val="460 m3"/>
        </w:smartTagPr>
        <w:r w:rsidRPr="009E5034">
          <w:rPr>
            <w:sz w:val="22"/>
            <w:szCs w:val="22"/>
          </w:rPr>
          <w:t>460 m3</w:t>
        </w:r>
      </w:smartTag>
      <w:r w:rsidRPr="009E5034">
        <w:rPr>
          <w:sz w:val="22"/>
          <w:szCs w:val="22"/>
        </w:rPr>
        <w:t xml:space="preserve"> par heure. Le réseau de distribution des eaux d’EDM avoisine en 2007 les </w:t>
      </w:r>
      <w:smartTag w:uri="urn:schemas-microsoft-com:office:smarttags" w:element="metricconverter">
        <w:smartTagPr>
          <w:attr w:name="ProductID" w:val="385 km"/>
        </w:smartTagPr>
        <w:r w:rsidRPr="009E5034">
          <w:rPr>
            <w:sz w:val="22"/>
            <w:szCs w:val="22"/>
          </w:rPr>
          <w:t>385 km</w:t>
        </w:r>
      </w:smartTag>
      <w:r w:rsidRPr="009E5034">
        <w:rPr>
          <w:sz w:val="22"/>
          <w:szCs w:val="22"/>
        </w:rPr>
        <w:t xml:space="preserve"> de long, il a évolué de manière significative entre 2006 et 2007. Les abonnés au r</w:t>
      </w:r>
      <w:r w:rsidR="00370D94">
        <w:rPr>
          <w:sz w:val="22"/>
          <w:szCs w:val="22"/>
        </w:rPr>
        <w:t>éseau d’EDM sont au nombre de 7.</w:t>
      </w:r>
      <w:r w:rsidRPr="009E5034">
        <w:rPr>
          <w:sz w:val="22"/>
          <w:szCs w:val="22"/>
        </w:rPr>
        <w:t>420, soit un  taux de branchement direct au réseau à l’échelle de la population de l’ordre de 61%. Sikasso dispose également de 21 bornes fontaines offrant de l’eau potable à environ 7% de la population. Ainsi et d’après les statistiques d’EDM la population ayant accès à une eau potable serait de l’ordre de 68%.</w:t>
      </w:r>
    </w:p>
    <w:p w:rsidR="00F164EF" w:rsidRPr="009E5034" w:rsidRDefault="00F164EF" w:rsidP="009E5034">
      <w:pPr>
        <w:spacing w:before="120" w:after="120"/>
        <w:ind w:left="0"/>
        <w:jc w:val="left"/>
        <w:rPr>
          <w:sz w:val="22"/>
          <w:szCs w:val="22"/>
        </w:rPr>
      </w:pPr>
      <w:r w:rsidRPr="009E5034">
        <w:rPr>
          <w:sz w:val="22"/>
          <w:szCs w:val="22"/>
        </w:rPr>
        <w:t xml:space="preserve">Pour un rendement du réseau de l’ordre de 70%, la consommation finale facturée pour la même année serait de l’ordre de </w:t>
      </w:r>
      <w:smartTag w:uri="urn:schemas-microsoft-com:office:smarttags" w:element="metricconverter">
        <w:smartTagPr>
          <w:attr w:name="ProductID" w:val="1ﾠ750ﾠ000 m3"/>
        </w:smartTagPr>
        <w:r w:rsidRPr="009E5034">
          <w:rPr>
            <w:sz w:val="22"/>
            <w:szCs w:val="22"/>
          </w:rPr>
          <w:t>1 750 000 m3</w:t>
        </w:r>
      </w:smartTag>
      <w:r w:rsidRPr="009E5034">
        <w:rPr>
          <w:sz w:val="22"/>
          <w:szCs w:val="22"/>
        </w:rPr>
        <w:t>. Celle-ci ramenée à une population de 145 235 donnerait une consommation spécifique par habitant à peine de 12 l/j, consommation très faible qui trouve son explication dans l’utilisation par la population de plusieurs sources d’eau.</w:t>
      </w:r>
    </w:p>
    <w:p w:rsidR="00F164EF" w:rsidRPr="009E5034" w:rsidRDefault="00F164EF" w:rsidP="009E5034">
      <w:pPr>
        <w:spacing w:before="120" w:after="120"/>
        <w:ind w:left="0"/>
        <w:jc w:val="left"/>
        <w:rPr>
          <w:sz w:val="22"/>
          <w:szCs w:val="22"/>
        </w:rPr>
      </w:pPr>
      <w:r w:rsidRPr="009E5034">
        <w:rPr>
          <w:sz w:val="22"/>
          <w:szCs w:val="22"/>
        </w:rPr>
        <w:t>En effet et d’après une enquête réalisée en 2005 dans le cadre de la préparation du plan stratégique d’assainissement de la ville de Sikasso, l’approvisionnement des ménages en eau a été caractérisé par l’utilisation de plusieurs sources à la fois, cette enquête de terrain réalisé sur un échantillon représentatif d’environ 20 000 personnes a donné pour chaque source d’approvisionnement en eau les résultats suivants :</w:t>
      </w:r>
    </w:p>
    <w:p w:rsidR="00F164EF" w:rsidRPr="009E5034" w:rsidRDefault="00F164EF" w:rsidP="009E5034">
      <w:pPr>
        <w:numPr>
          <w:ilvl w:val="0"/>
          <w:numId w:val="12"/>
        </w:numPr>
        <w:autoSpaceDE/>
        <w:autoSpaceDN/>
        <w:adjustRightInd/>
        <w:spacing w:before="120"/>
        <w:ind w:left="349" w:firstLine="0"/>
        <w:jc w:val="left"/>
        <w:rPr>
          <w:sz w:val="22"/>
          <w:szCs w:val="22"/>
        </w:rPr>
      </w:pPr>
      <w:r w:rsidRPr="009E5034">
        <w:rPr>
          <w:sz w:val="22"/>
          <w:szCs w:val="22"/>
        </w:rPr>
        <w:t>68% de puits couverts,</w:t>
      </w:r>
    </w:p>
    <w:p w:rsidR="00F164EF" w:rsidRPr="009E5034" w:rsidRDefault="00F164EF" w:rsidP="009E5034">
      <w:pPr>
        <w:numPr>
          <w:ilvl w:val="0"/>
          <w:numId w:val="12"/>
        </w:numPr>
        <w:autoSpaceDE/>
        <w:autoSpaceDN/>
        <w:adjustRightInd/>
        <w:spacing w:before="0"/>
        <w:ind w:left="349" w:firstLine="0"/>
        <w:jc w:val="left"/>
        <w:rPr>
          <w:sz w:val="22"/>
          <w:szCs w:val="22"/>
        </w:rPr>
      </w:pPr>
      <w:r w:rsidRPr="009E5034">
        <w:rPr>
          <w:sz w:val="22"/>
          <w:szCs w:val="22"/>
        </w:rPr>
        <w:t>46% de branchement privé,</w:t>
      </w:r>
    </w:p>
    <w:p w:rsidR="00F164EF" w:rsidRPr="009E5034" w:rsidRDefault="00F164EF" w:rsidP="009E5034">
      <w:pPr>
        <w:numPr>
          <w:ilvl w:val="0"/>
          <w:numId w:val="12"/>
        </w:numPr>
        <w:autoSpaceDE/>
        <w:autoSpaceDN/>
        <w:adjustRightInd/>
        <w:spacing w:before="0"/>
        <w:ind w:left="349" w:firstLine="0"/>
        <w:jc w:val="left"/>
        <w:rPr>
          <w:sz w:val="22"/>
          <w:szCs w:val="22"/>
        </w:rPr>
      </w:pPr>
      <w:r w:rsidRPr="009E5034">
        <w:rPr>
          <w:sz w:val="22"/>
          <w:szCs w:val="22"/>
        </w:rPr>
        <w:t>38% de captage d’eau de pluies,</w:t>
      </w:r>
    </w:p>
    <w:p w:rsidR="00F164EF" w:rsidRPr="009E5034" w:rsidRDefault="00F164EF" w:rsidP="009E5034">
      <w:pPr>
        <w:numPr>
          <w:ilvl w:val="0"/>
          <w:numId w:val="12"/>
        </w:numPr>
        <w:autoSpaceDE/>
        <w:autoSpaceDN/>
        <w:adjustRightInd/>
        <w:spacing w:before="0"/>
        <w:ind w:left="349" w:firstLine="0"/>
        <w:jc w:val="left"/>
        <w:rPr>
          <w:sz w:val="22"/>
          <w:szCs w:val="22"/>
        </w:rPr>
      </w:pPr>
      <w:r w:rsidRPr="009E5034">
        <w:rPr>
          <w:sz w:val="22"/>
          <w:szCs w:val="22"/>
        </w:rPr>
        <w:t>17% de bornes fontaines,</w:t>
      </w:r>
    </w:p>
    <w:p w:rsidR="00F164EF" w:rsidRPr="009E5034" w:rsidRDefault="00F164EF" w:rsidP="009E5034">
      <w:pPr>
        <w:numPr>
          <w:ilvl w:val="0"/>
          <w:numId w:val="12"/>
        </w:numPr>
        <w:autoSpaceDE/>
        <w:autoSpaceDN/>
        <w:adjustRightInd/>
        <w:spacing w:before="0"/>
        <w:ind w:left="349" w:firstLine="0"/>
        <w:jc w:val="left"/>
        <w:rPr>
          <w:sz w:val="22"/>
          <w:szCs w:val="22"/>
        </w:rPr>
      </w:pPr>
      <w:r w:rsidRPr="009E5034">
        <w:rPr>
          <w:sz w:val="22"/>
          <w:szCs w:val="22"/>
        </w:rPr>
        <w:t>12% de puits ouverts,</w:t>
      </w:r>
    </w:p>
    <w:p w:rsidR="00F164EF" w:rsidRPr="009E5034" w:rsidRDefault="00F164EF" w:rsidP="009E5034">
      <w:pPr>
        <w:numPr>
          <w:ilvl w:val="0"/>
          <w:numId w:val="12"/>
        </w:numPr>
        <w:autoSpaceDE/>
        <w:autoSpaceDN/>
        <w:adjustRightInd/>
        <w:spacing w:before="0"/>
        <w:ind w:left="349" w:firstLine="0"/>
        <w:jc w:val="left"/>
        <w:rPr>
          <w:sz w:val="22"/>
          <w:szCs w:val="22"/>
        </w:rPr>
      </w:pPr>
      <w:r w:rsidRPr="009E5034">
        <w:rPr>
          <w:sz w:val="22"/>
          <w:szCs w:val="22"/>
        </w:rPr>
        <w:t>2% directement de forages.</w:t>
      </w:r>
    </w:p>
    <w:p w:rsidR="00F164EF" w:rsidRPr="009E5034" w:rsidRDefault="00F164EF" w:rsidP="009E5034">
      <w:pPr>
        <w:spacing w:before="120" w:after="120"/>
        <w:ind w:left="0"/>
        <w:jc w:val="left"/>
        <w:rPr>
          <w:sz w:val="22"/>
          <w:szCs w:val="22"/>
        </w:rPr>
      </w:pPr>
      <w:r w:rsidRPr="009E5034">
        <w:rPr>
          <w:sz w:val="22"/>
          <w:szCs w:val="22"/>
        </w:rPr>
        <w:t>La majorité des ménages ont toutefois recours à l’eau distribuée par EDM pour l’usage de la boisson et la cuisson par le biais des branchements privés ou des bornes fontaines, les autres sources d’approvisionnement au contraire sont utilisées pour les usages secondaires tels que la vaisselle, la lessive ou même le lavage corporel. Pratiquement toutes les concessions à Sikasso disposent de puits traditionnels ou modernes.</w:t>
      </w:r>
    </w:p>
    <w:p w:rsidR="00F164EF" w:rsidRPr="009E5034" w:rsidRDefault="00F164EF" w:rsidP="009E5034">
      <w:pPr>
        <w:pStyle w:val="Caption"/>
        <w:ind w:left="899"/>
        <w:rPr>
          <w:rStyle w:val="Emphasis"/>
          <w:sz w:val="22"/>
          <w:szCs w:val="22"/>
        </w:rPr>
      </w:pPr>
      <w:r w:rsidRPr="009E5034">
        <w:rPr>
          <w:rStyle w:val="Emphasis"/>
          <w:sz w:val="22"/>
          <w:szCs w:val="22"/>
        </w:rPr>
        <w:t xml:space="preserve">Tableau A4.2: </w:t>
      </w:r>
      <w:bookmarkStart w:id="232" w:name="_Toc220981927"/>
      <w:bookmarkStart w:id="233" w:name="_Toc251681751"/>
      <w:r w:rsidRPr="009E5034">
        <w:rPr>
          <w:rStyle w:val="Emphasis"/>
          <w:sz w:val="22"/>
          <w:szCs w:val="22"/>
        </w:rPr>
        <w:t>Taux de desserte d’eau potable dans la ville de Sikasso. Source: EDM,  2007</w:t>
      </w:r>
      <w:bookmarkEnd w:id="232"/>
      <w:bookmarkEnd w:id="233"/>
      <w:r w:rsidRPr="009E5034">
        <w:rPr>
          <w:rStyle w:val="Emphasis"/>
          <w:sz w:val="22"/>
          <w:szCs w:val="22"/>
        </w:rPr>
        <w:t>.</w:t>
      </w:r>
    </w:p>
    <w:tbl>
      <w:tblPr>
        <w:tblW w:w="11745" w:type="dxa"/>
        <w:tblCellMar>
          <w:left w:w="70" w:type="dxa"/>
          <w:right w:w="70" w:type="dxa"/>
        </w:tblCellMar>
        <w:tblLook w:val="00A0"/>
      </w:tblPr>
      <w:tblGrid>
        <w:gridCol w:w="1193"/>
        <w:gridCol w:w="1364"/>
        <w:gridCol w:w="1352"/>
        <w:gridCol w:w="1222"/>
        <w:gridCol w:w="594"/>
        <w:gridCol w:w="1100"/>
        <w:gridCol w:w="1208"/>
        <w:gridCol w:w="1222"/>
        <w:gridCol w:w="594"/>
        <w:gridCol w:w="1302"/>
        <w:gridCol w:w="594"/>
      </w:tblGrid>
      <w:tr w:rsidR="00F164EF" w:rsidRPr="009E5034" w:rsidTr="00072CBC">
        <w:trPr>
          <w:trHeight w:val="185"/>
        </w:trPr>
        <w:tc>
          <w:tcPr>
            <w:tcW w:w="1193" w:type="dxa"/>
            <w:vMerge w:val="restart"/>
            <w:tcBorders>
              <w:top w:val="single" w:sz="4" w:space="0" w:color="auto"/>
              <w:left w:val="single" w:sz="4" w:space="0" w:color="auto"/>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Population totale</w:t>
            </w:r>
          </w:p>
        </w:tc>
        <w:tc>
          <w:tcPr>
            <w:tcW w:w="0" w:type="auto"/>
            <w:gridSpan w:val="4"/>
            <w:tcBorders>
              <w:top w:val="single" w:sz="4" w:space="0" w:color="auto"/>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Branchements particuliers</w:t>
            </w:r>
          </w:p>
        </w:tc>
        <w:tc>
          <w:tcPr>
            <w:tcW w:w="0" w:type="auto"/>
            <w:gridSpan w:val="4"/>
            <w:tcBorders>
              <w:top w:val="single" w:sz="4" w:space="0" w:color="auto"/>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Bornes fontaines</w:t>
            </w:r>
          </w:p>
        </w:tc>
        <w:tc>
          <w:tcPr>
            <w:tcW w:w="0" w:type="auto"/>
            <w:gridSpan w:val="2"/>
            <w:tcBorders>
              <w:top w:val="single" w:sz="4" w:space="0" w:color="auto"/>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Total</w:t>
            </w:r>
          </w:p>
        </w:tc>
      </w:tr>
      <w:tr w:rsidR="00F164EF" w:rsidRPr="009E5034" w:rsidTr="00072CBC">
        <w:trPr>
          <w:trHeight w:val="812"/>
        </w:trPr>
        <w:tc>
          <w:tcPr>
            <w:tcW w:w="1193" w:type="dxa"/>
            <w:vMerge/>
            <w:tcBorders>
              <w:top w:val="single" w:sz="4" w:space="0" w:color="auto"/>
              <w:left w:val="single" w:sz="4" w:space="0" w:color="auto"/>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p>
        </w:tc>
        <w:tc>
          <w:tcPr>
            <w:tcW w:w="0" w:type="auto"/>
            <w:tcBorders>
              <w:top w:val="nil"/>
              <w:left w:val="nil"/>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Abonnements</w:t>
            </w:r>
          </w:p>
        </w:tc>
        <w:tc>
          <w:tcPr>
            <w:tcW w:w="0" w:type="auto"/>
            <w:tcBorders>
              <w:top w:val="nil"/>
              <w:left w:val="nil"/>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Personne/ abonnement</w:t>
            </w:r>
          </w:p>
        </w:tc>
        <w:tc>
          <w:tcPr>
            <w:tcW w:w="0" w:type="auto"/>
            <w:tcBorders>
              <w:top w:val="nil"/>
              <w:left w:val="nil"/>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Population desservie</w:t>
            </w:r>
          </w:p>
        </w:tc>
        <w:tc>
          <w:tcPr>
            <w:tcW w:w="0" w:type="auto"/>
            <w:tcBorders>
              <w:top w:val="nil"/>
              <w:left w:val="nil"/>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Taux</w:t>
            </w:r>
          </w:p>
        </w:tc>
        <w:tc>
          <w:tcPr>
            <w:tcW w:w="0" w:type="auto"/>
            <w:tcBorders>
              <w:top w:val="nil"/>
              <w:left w:val="nil"/>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Nombre de fontaines</w:t>
            </w:r>
          </w:p>
        </w:tc>
        <w:tc>
          <w:tcPr>
            <w:tcW w:w="0" w:type="auto"/>
            <w:tcBorders>
              <w:top w:val="nil"/>
              <w:left w:val="nil"/>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Personnes/ fontaine</w:t>
            </w:r>
          </w:p>
        </w:tc>
        <w:tc>
          <w:tcPr>
            <w:tcW w:w="0" w:type="auto"/>
            <w:tcBorders>
              <w:top w:val="nil"/>
              <w:left w:val="nil"/>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Population desservie</w:t>
            </w:r>
          </w:p>
        </w:tc>
        <w:tc>
          <w:tcPr>
            <w:tcW w:w="0" w:type="auto"/>
            <w:tcBorders>
              <w:top w:val="nil"/>
              <w:left w:val="nil"/>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Taux</w:t>
            </w:r>
          </w:p>
        </w:tc>
        <w:tc>
          <w:tcPr>
            <w:tcW w:w="0" w:type="auto"/>
            <w:tcBorders>
              <w:top w:val="nil"/>
              <w:left w:val="nil"/>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Population totale desservie</w:t>
            </w:r>
          </w:p>
        </w:tc>
        <w:tc>
          <w:tcPr>
            <w:tcW w:w="0" w:type="auto"/>
            <w:tcBorders>
              <w:top w:val="nil"/>
              <w:left w:val="nil"/>
              <w:bottom w:val="single" w:sz="4" w:space="0" w:color="auto"/>
              <w:right w:val="single" w:sz="4" w:space="0" w:color="auto"/>
            </w:tcBorders>
            <w:vAlign w:val="center"/>
          </w:tcPr>
          <w:p w:rsidR="00F164EF" w:rsidRPr="009E5034" w:rsidRDefault="00F164EF" w:rsidP="009E5034">
            <w:pPr>
              <w:pStyle w:val="Tableau"/>
              <w:ind w:left="1"/>
              <w:jc w:val="left"/>
              <w:rPr>
                <w:sz w:val="22"/>
                <w:szCs w:val="22"/>
              </w:rPr>
            </w:pPr>
            <w:r w:rsidRPr="009E5034">
              <w:rPr>
                <w:sz w:val="22"/>
                <w:szCs w:val="22"/>
              </w:rPr>
              <w:t>Taux</w:t>
            </w:r>
          </w:p>
        </w:tc>
      </w:tr>
      <w:tr w:rsidR="00F164EF" w:rsidRPr="009E5034" w:rsidTr="00072CBC">
        <w:trPr>
          <w:trHeight w:val="300"/>
        </w:trPr>
        <w:tc>
          <w:tcPr>
            <w:tcW w:w="1193" w:type="dxa"/>
            <w:tcBorders>
              <w:top w:val="nil"/>
              <w:left w:val="single" w:sz="4" w:space="0" w:color="auto"/>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158 783</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7 420</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13</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96 460</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61%</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26</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413</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10 734</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7%</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107 194</w:t>
            </w:r>
          </w:p>
        </w:tc>
        <w:tc>
          <w:tcPr>
            <w:tcW w:w="0" w:type="auto"/>
            <w:tcBorders>
              <w:top w:val="nil"/>
              <w:left w:val="nil"/>
              <w:bottom w:val="single" w:sz="4" w:space="0" w:color="auto"/>
              <w:right w:val="single" w:sz="4" w:space="0" w:color="auto"/>
            </w:tcBorders>
            <w:noWrap/>
            <w:vAlign w:val="center"/>
          </w:tcPr>
          <w:p w:rsidR="00F164EF" w:rsidRPr="009E5034" w:rsidRDefault="00F164EF" w:rsidP="009E5034">
            <w:pPr>
              <w:pStyle w:val="Tableau"/>
              <w:ind w:left="1"/>
              <w:jc w:val="left"/>
              <w:rPr>
                <w:sz w:val="22"/>
                <w:szCs w:val="22"/>
              </w:rPr>
            </w:pPr>
            <w:r w:rsidRPr="009E5034">
              <w:rPr>
                <w:sz w:val="22"/>
                <w:szCs w:val="22"/>
              </w:rPr>
              <w:t>68%</w:t>
            </w:r>
          </w:p>
        </w:tc>
      </w:tr>
    </w:tbl>
    <w:p w:rsidR="00F164EF" w:rsidRPr="009E5034" w:rsidRDefault="00F164EF" w:rsidP="009E5034">
      <w:pPr>
        <w:spacing w:after="240"/>
        <w:ind w:left="0"/>
        <w:jc w:val="left"/>
        <w:rPr>
          <w:rStyle w:val="Strong"/>
          <w:rFonts w:eastAsia="MS Mincho"/>
          <w:sz w:val="22"/>
          <w:szCs w:val="22"/>
        </w:rPr>
      </w:pPr>
      <w:bookmarkStart w:id="234" w:name="_Toc253578279"/>
      <w:bookmarkStart w:id="235" w:name="_Toc261170170"/>
      <w:r w:rsidRPr="009E5034">
        <w:rPr>
          <w:rStyle w:val="Strong"/>
          <w:rFonts w:eastAsia="MS Mincho"/>
          <w:sz w:val="22"/>
          <w:szCs w:val="22"/>
        </w:rPr>
        <w:t>2.5. Pauvreté</w:t>
      </w:r>
      <w:bookmarkEnd w:id="234"/>
      <w:bookmarkEnd w:id="235"/>
    </w:p>
    <w:p w:rsidR="00F164EF" w:rsidRPr="009E5034" w:rsidRDefault="00F164EF" w:rsidP="009E5034">
      <w:pPr>
        <w:spacing w:before="120" w:after="120"/>
        <w:ind w:left="0"/>
        <w:jc w:val="left"/>
        <w:rPr>
          <w:sz w:val="22"/>
          <w:szCs w:val="22"/>
        </w:rPr>
      </w:pPr>
      <w:r w:rsidRPr="009E5034">
        <w:rPr>
          <w:sz w:val="22"/>
          <w:szCs w:val="22"/>
        </w:rPr>
        <w:t>Le taux de pauvreté général à l’échelle du pays a été évalué en 2005 à environ 59.2%, avec 73% en milieu rural et 20% en milieu urbain. La région de Sikasso et malgré sa richesse agricole paraît paradoxalement parmi les régions les plus pauvres du Mali. En milieu urbain la pauvreté dans cette ville atteint des niveaux assez élevés, ils sont supérieurs à 35%.</w:t>
      </w:r>
    </w:p>
    <w:p w:rsidR="00F164EF" w:rsidRPr="009E5034" w:rsidRDefault="00F164EF" w:rsidP="009E5034">
      <w:pPr>
        <w:spacing w:after="240"/>
        <w:ind w:left="0"/>
        <w:jc w:val="left"/>
        <w:rPr>
          <w:rStyle w:val="Strong"/>
          <w:rFonts w:eastAsia="MS Mincho"/>
          <w:sz w:val="22"/>
          <w:szCs w:val="22"/>
        </w:rPr>
      </w:pPr>
      <w:bookmarkStart w:id="236" w:name="_Toc253578280"/>
      <w:bookmarkStart w:id="237" w:name="_Toc261170171"/>
      <w:r w:rsidRPr="009E5034">
        <w:rPr>
          <w:rStyle w:val="Strong"/>
          <w:rFonts w:eastAsia="MS Mincho"/>
          <w:sz w:val="22"/>
          <w:szCs w:val="22"/>
        </w:rPr>
        <w:t>2.6. Santé</w:t>
      </w:r>
      <w:bookmarkEnd w:id="236"/>
      <w:bookmarkEnd w:id="237"/>
    </w:p>
    <w:p w:rsidR="00F164EF" w:rsidRPr="009E5034" w:rsidRDefault="00F164EF" w:rsidP="009E5034">
      <w:pPr>
        <w:spacing w:before="120" w:after="120"/>
        <w:ind w:left="0"/>
        <w:jc w:val="left"/>
        <w:rPr>
          <w:sz w:val="22"/>
          <w:szCs w:val="22"/>
        </w:rPr>
      </w:pPr>
      <w:r w:rsidRPr="009E5034">
        <w:rPr>
          <w:sz w:val="22"/>
          <w:szCs w:val="22"/>
        </w:rPr>
        <w:t>La situation épidémiologique de la ville de Sikasso et ses environs est marquée par la prévalence des maladies liées à l’environnement et particulièrement à l’eau et à la pollution atmosphérique.</w:t>
      </w:r>
    </w:p>
    <w:p w:rsidR="00F164EF" w:rsidRPr="009E5034" w:rsidRDefault="00F164EF" w:rsidP="009E5034">
      <w:pPr>
        <w:spacing w:before="120" w:after="120"/>
        <w:ind w:left="0"/>
        <w:jc w:val="left"/>
        <w:rPr>
          <w:sz w:val="22"/>
          <w:szCs w:val="22"/>
        </w:rPr>
      </w:pPr>
      <w:r w:rsidRPr="009E5034">
        <w:rPr>
          <w:sz w:val="22"/>
          <w:szCs w:val="22"/>
        </w:rPr>
        <w:t>Les trois principales atteintes à la santé sont dans l’ordre, le paludisme, la diarrhée et les problèmes respiratoires. Le Ministère de la santé publie annuellement des statistiques nationales et régionales dans ce domaine. Au niveau de Sikasso, les données qui vont suivre correspondent à la population de la ville de Sikasso et ses villages environnants, soit une populat</w:t>
      </w:r>
      <w:r w:rsidR="00370D94">
        <w:rPr>
          <w:sz w:val="22"/>
          <w:szCs w:val="22"/>
        </w:rPr>
        <w:t>ion qui dépasse en 2006 les 630.</w:t>
      </w:r>
      <w:r w:rsidRPr="009E5034">
        <w:rPr>
          <w:sz w:val="22"/>
          <w:szCs w:val="22"/>
        </w:rPr>
        <w:t>000 habitants.</w:t>
      </w:r>
    </w:p>
    <w:p w:rsidR="00F164EF" w:rsidRPr="009E5034" w:rsidRDefault="00F164EF" w:rsidP="009E5034">
      <w:pPr>
        <w:pStyle w:val="Caption"/>
        <w:ind w:left="899"/>
        <w:rPr>
          <w:rStyle w:val="Emphasis"/>
          <w:sz w:val="22"/>
          <w:szCs w:val="22"/>
        </w:rPr>
      </w:pPr>
      <w:r w:rsidRPr="009E5034">
        <w:rPr>
          <w:rStyle w:val="Emphasis"/>
          <w:sz w:val="22"/>
          <w:szCs w:val="22"/>
        </w:rPr>
        <w:t xml:space="preserve">Tableau A4.3: </w:t>
      </w:r>
      <w:bookmarkStart w:id="238" w:name="_Toc251681753"/>
      <w:r w:rsidRPr="009E5034">
        <w:rPr>
          <w:rStyle w:val="Emphasis"/>
          <w:sz w:val="22"/>
          <w:szCs w:val="22"/>
        </w:rPr>
        <w:t>Evolution des cas de maladies liés à l’environnement</w:t>
      </w:r>
      <w:bookmarkEnd w:id="238"/>
      <w:r w:rsidRPr="009E5034">
        <w:rPr>
          <w:rStyle w:val="Emphasis"/>
          <w:sz w:val="22"/>
          <w:szCs w:val="22"/>
        </w:rPr>
        <w:t>. Source: DNS, SLIS 2006</w:t>
      </w:r>
    </w:p>
    <w:tbl>
      <w:tblPr>
        <w:tblW w:w="2586" w:type="pct"/>
        <w:jc w:val="center"/>
        <w:tblCellMar>
          <w:left w:w="70" w:type="dxa"/>
          <w:right w:w="70" w:type="dxa"/>
        </w:tblCellMar>
        <w:tblLook w:val="0000"/>
      </w:tblPr>
      <w:tblGrid>
        <w:gridCol w:w="1229"/>
        <w:gridCol w:w="879"/>
        <w:gridCol w:w="879"/>
        <w:gridCol w:w="878"/>
        <w:gridCol w:w="876"/>
      </w:tblGrid>
      <w:tr w:rsidR="00F164EF" w:rsidRPr="009E5034" w:rsidTr="00072CBC">
        <w:trPr>
          <w:trHeight w:val="300"/>
          <w:jc w:val="center"/>
        </w:trPr>
        <w:tc>
          <w:tcPr>
            <w:tcW w:w="1296" w:type="pct"/>
            <w:tcBorders>
              <w:top w:val="single" w:sz="4" w:space="0" w:color="auto"/>
              <w:left w:val="single" w:sz="4" w:space="0" w:color="auto"/>
              <w:bottom w:val="single" w:sz="4" w:space="0" w:color="auto"/>
              <w:right w:val="single" w:sz="4" w:space="0" w:color="auto"/>
            </w:tcBorders>
          </w:tcPr>
          <w:p w:rsidR="00F164EF" w:rsidRPr="009E5034" w:rsidRDefault="00F164EF" w:rsidP="009E5034">
            <w:pPr>
              <w:pStyle w:val="Tableau"/>
              <w:ind w:left="1"/>
              <w:jc w:val="left"/>
              <w:rPr>
                <w:sz w:val="22"/>
                <w:szCs w:val="22"/>
              </w:rPr>
            </w:pPr>
            <w:r w:rsidRPr="009E5034">
              <w:rPr>
                <w:sz w:val="22"/>
                <w:szCs w:val="22"/>
              </w:rPr>
              <w:t>Année</w:t>
            </w:r>
          </w:p>
        </w:tc>
        <w:tc>
          <w:tcPr>
            <w:tcW w:w="927" w:type="pct"/>
            <w:tcBorders>
              <w:top w:val="single" w:sz="4" w:space="0" w:color="auto"/>
              <w:left w:val="nil"/>
              <w:bottom w:val="single" w:sz="4" w:space="0" w:color="auto"/>
              <w:right w:val="single" w:sz="4" w:space="0" w:color="auto"/>
            </w:tcBorders>
          </w:tcPr>
          <w:p w:rsidR="00F164EF" w:rsidRPr="009E5034" w:rsidRDefault="00F164EF" w:rsidP="009E5034">
            <w:pPr>
              <w:pStyle w:val="Tableau"/>
              <w:ind w:left="1"/>
              <w:jc w:val="left"/>
              <w:rPr>
                <w:sz w:val="22"/>
                <w:szCs w:val="22"/>
              </w:rPr>
            </w:pPr>
            <w:r w:rsidRPr="009E5034">
              <w:rPr>
                <w:sz w:val="22"/>
                <w:szCs w:val="22"/>
              </w:rPr>
              <w:t>2003</w:t>
            </w:r>
          </w:p>
        </w:tc>
        <w:tc>
          <w:tcPr>
            <w:tcW w:w="927" w:type="pct"/>
            <w:tcBorders>
              <w:top w:val="single" w:sz="4" w:space="0" w:color="auto"/>
              <w:left w:val="nil"/>
              <w:bottom w:val="single" w:sz="4" w:space="0" w:color="auto"/>
              <w:right w:val="single" w:sz="4" w:space="0" w:color="auto"/>
            </w:tcBorders>
          </w:tcPr>
          <w:p w:rsidR="00F164EF" w:rsidRPr="009E5034" w:rsidRDefault="00F164EF" w:rsidP="009E5034">
            <w:pPr>
              <w:pStyle w:val="Tableau"/>
              <w:ind w:left="1"/>
              <w:jc w:val="left"/>
              <w:rPr>
                <w:sz w:val="22"/>
                <w:szCs w:val="22"/>
              </w:rPr>
            </w:pPr>
            <w:r w:rsidRPr="009E5034">
              <w:rPr>
                <w:sz w:val="22"/>
                <w:szCs w:val="22"/>
              </w:rPr>
              <w:t>2004</w:t>
            </w:r>
          </w:p>
        </w:tc>
        <w:tc>
          <w:tcPr>
            <w:tcW w:w="926" w:type="pct"/>
            <w:tcBorders>
              <w:top w:val="single" w:sz="4" w:space="0" w:color="auto"/>
              <w:left w:val="nil"/>
              <w:bottom w:val="single" w:sz="4" w:space="0" w:color="auto"/>
              <w:right w:val="single" w:sz="4" w:space="0" w:color="auto"/>
            </w:tcBorders>
          </w:tcPr>
          <w:p w:rsidR="00F164EF" w:rsidRPr="009E5034" w:rsidRDefault="00F164EF" w:rsidP="009E5034">
            <w:pPr>
              <w:pStyle w:val="Tableau"/>
              <w:ind w:left="1"/>
              <w:jc w:val="left"/>
              <w:rPr>
                <w:sz w:val="22"/>
                <w:szCs w:val="22"/>
              </w:rPr>
            </w:pPr>
            <w:r w:rsidRPr="009E5034">
              <w:rPr>
                <w:sz w:val="22"/>
                <w:szCs w:val="22"/>
              </w:rPr>
              <w:t>2005</w:t>
            </w:r>
          </w:p>
        </w:tc>
        <w:tc>
          <w:tcPr>
            <w:tcW w:w="926" w:type="pct"/>
            <w:tcBorders>
              <w:top w:val="single" w:sz="4" w:space="0" w:color="auto"/>
              <w:left w:val="nil"/>
              <w:bottom w:val="single" w:sz="4" w:space="0" w:color="auto"/>
              <w:right w:val="single" w:sz="4" w:space="0" w:color="auto"/>
            </w:tcBorders>
          </w:tcPr>
          <w:p w:rsidR="00F164EF" w:rsidRPr="009E5034" w:rsidRDefault="00F164EF" w:rsidP="009E5034">
            <w:pPr>
              <w:pStyle w:val="Tableau"/>
              <w:ind w:left="1"/>
              <w:jc w:val="left"/>
              <w:rPr>
                <w:sz w:val="22"/>
                <w:szCs w:val="22"/>
              </w:rPr>
            </w:pPr>
            <w:r w:rsidRPr="009E5034">
              <w:rPr>
                <w:sz w:val="22"/>
                <w:szCs w:val="22"/>
              </w:rPr>
              <w:t>2006</w:t>
            </w:r>
          </w:p>
        </w:tc>
      </w:tr>
      <w:tr w:rsidR="00F164EF" w:rsidRPr="009E5034" w:rsidTr="00072CBC">
        <w:trPr>
          <w:trHeight w:val="300"/>
          <w:jc w:val="center"/>
        </w:trPr>
        <w:tc>
          <w:tcPr>
            <w:tcW w:w="1296" w:type="pct"/>
            <w:tcBorders>
              <w:top w:val="nil"/>
              <w:left w:val="single" w:sz="4" w:space="0" w:color="auto"/>
              <w:bottom w:val="single" w:sz="4" w:space="0" w:color="auto"/>
              <w:right w:val="single" w:sz="4" w:space="0" w:color="auto"/>
            </w:tcBorders>
          </w:tcPr>
          <w:p w:rsidR="00F164EF" w:rsidRPr="009E5034" w:rsidRDefault="00F164EF" w:rsidP="009E5034">
            <w:pPr>
              <w:pStyle w:val="Tableau"/>
              <w:ind w:left="1"/>
              <w:jc w:val="left"/>
              <w:rPr>
                <w:sz w:val="22"/>
                <w:szCs w:val="22"/>
              </w:rPr>
            </w:pPr>
            <w:r w:rsidRPr="009E5034">
              <w:rPr>
                <w:sz w:val="22"/>
                <w:szCs w:val="22"/>
              </w:rPr>
              <w:t>Paludisme</w:t>
            </w:r>
          </w:p>
        </w:tc>
        <w:tc>
          <w:tcPr>
            <w:tcW w:w="927" w:type="pct"/>
            <w:tcBorders>
              <w:top w:val="nil"/>
              <w:left w:val="nil"/>
              <w:bottom w:val="single" w:sz="4" w:space="0" w:color="auto"/>
              <w:right w:val="single" w:sz="4" w:space="0" w:color="auto"/>
            </w:tcBorders>
          </w:tcPr>
          <w:p w:rsidR="00F164EF" w:rsidRPr="009E5034" w:rsidRDefault="00F164EF" w:rsidP="009E5034">
            <w:pPr>
              <w:pStyle w:val="Tableau"/>
              <w:ind w:left="1"/>
              <w:jc w:val="left"/>
              <w:rPr>
                <w:sz w:val="22"/>
                <w:szCs w:val="22"/>
              </w:rPr>
            </w:pPr>
            <w:r w:rsidRPr="009E5034">
              <w:rPr>
                <w:sz w:val="22"/>
                <w:szCs w:val="22"/>
              </w:rPr>
              <w:t>185 587</w:t>
            </w:r>
          </w:p>
        </w:tc>
        <w:tc>
          <w:tcPr>
            <w:tcW w:w="927" w:type="pct"/>
            <w:tcBorders>
              <w:top w:val="nil"/>
              <w:left w:val="nil"/>
              <w:bottom w:val="single" w:sz="4" w:space="0" w:color="auto"/>
              <w:right w:val="single" w:sz="4" w:space="0" w:color="auto"/>
            </w:tcBorders>
          </w:tcPr>
          <w:p w:rsidR="00F164EF" w:rsidRPr="009E5034" w:rsidRDefault="00F164EF" w:rsidP="009E5034">
            <w:pPr>
              <w:pStyle w:val="Tableau"/>
              <w:ind w:left="1"/>
              <w:jc w:val="left"/>
              <w:rPr>
                <w:sz w:val="22"/>
                <w:szCs w:val="22"/>
              </w:rPr>
            </w:pPr>
            <w:r w:rsidRPr="009E5034">
              <w:rPr>
                <w:sz w:val="22"/>
                <w:szCs w:val="22"/>
              </w:rPr>
              <w:t>190 979</w:t>
            </w:r>
          </w:p>
        </w:tc>
        <w:tc>
          <w:tcPr>
            <w:tcW w:w="926" w:type="pct"/>
            <w:tcBorders>
              <w:top w:val="nil"/>
              <w:left w:val="nil"/>
              <w:bottom w:val="single" w:sz="4" w:space="0" w:color="auto"/>
              <w:right w:val="single" w:sz="4" w:space="0" w:color="auto"/>
            </w:tcBorders>
          </w:tcPr>
          <w:p w:rsidR="00F164EF" w:rsidRPr="009E5034" w:rsidRDefault="00F164EF" w:rsidP="009E5034">
            <w:pPr>
              <w:pStyle w:val="Tableau"/>
              <w:ind w:left="1"/>
              <w:jc w:val="left"/>
              <w:rPr>
                <w:sz w:val="22"/>
                <w:szCs w:val="22"/>
              </w:rPr>
            </w:pPr>
            <w:r w:rsidRPr="009E5034">
              <w:rPr>
                <w:sz w:val="22"/>
                <w:szCs w:val="22"/>
              </w:rPr>
              <w:t>209 513</w:t>
            </w:r>
          </w:p>
        </w:tc>
        <w:tc>
          <w:tcPr>
            <w:tcW w:w="926" w:type="pct"/>
            <w:tcBorders>
              <w:top w:val="nil"/>
              <w:left w:val="nil"/>
              <w:bottom w:val="single" w:sz="4" w:space="0" w:color="auto"/>
              <w:right w:val="single" w:sz="4" w:space="0" w:color="auto"/>
            </w:tcBorders>
          </w:tcPr>
          <w:p w:rsidR="00F164EF" w:rsidRPr="009E5034" w:rsidRDefault="00F164EF" w:rsidP="009E5034">
            <w:pPr>
              <w:pStyle w:val="Tableau"/>
              <w:ind w:left="1"/>
              <w:jc w:val="left"/>
              <w:rPr>
                <w:sz w:val="22"/>
                <w:szCs w:val="22"/>
              </w:rPr>
            </w:pPr>
            <w:r w:rsidRPr="009E5034">
              <w:rPr>
                <w:sz w:val="22"/>
                <w:szCs w:val="22"/>
              </w:rPr>
              <w:t>196 621</w:t>
            </w:r>
          </w:p>
        </w:tc>
      </w:tr>
      <w:tr w:rsidR="00F164EF" w:rsidRPr="009E5034" w:rsidTr="00072CBC">
        <w:trPr>
          <w:trHeight w:val="300"/>
          <w:jc w:val="center"/>
        </w:trPr>
        <w:tc>
          <w:tcPr>
            <w:tcW w:w="1296" w:type="pct"/>
            <w:tcBorders>
              <w:top w:val="nil"/>
              <w:left w:val="single" w:sz="4" w:space="0" w:color="auto"/>
              <w:bottom w:val="single" w:sz="4" w:space="0" w:color="auto"/>
              <w:right w:val="single" w:sz="4" w:space="0" w:color="auto"/>
            </w:tcBorders>
          </w:tcPr>
          <w:p w:rsidR="00F164EF" w:rsidRPr="009E5034" w:rsidRDefault="00F164EF" w:rsidP="009E5034">
            <w:pPr>
              <w:pStyle w:val="Tableau"/>
              <w:ind w:left="1"/>
              <w:jc w:val="left"/>
              <w:rPr>
                <w:sz w:val="22"/>
                <w:szCs w:val="22"/>
              </w:rPr>
            </w:pPr>
            <w:r w:rsidRPr="009E5034">
              <w:rPr>
                <w:sz w:val="22"/>
                <w:szCs w:val="22"/>
              </w:rPr>
              <w:t>Diarrhée</w:t>
            </w:r>
          </w:p>
        </w:tc>
        <w:tc>
          <w:tcPr>
            <w:tcW w:w="927" w:type="pct"/>
            <w:tcBorders>
              <w:top w:val="nil"/>
              <w:left w:val="nil"/>
              <w:bottom w:val="single" w:sz="4" w:space="0" w:color="auto"/>
              <w:right w:val="single" w:sz="4" w:space="0" w:color="auto"/>
            </w:tcBorders>
          </w:tcPr>
          <w:p w:rsidR="00F164EF" w:rsidRPr="009E5034" w:rsidRDefault="00F164EF" w:rsidP="009E5034">
            <w:pPr>
              <w:pStyle w:val="Tableau"/>
              <w:ind w:left="1"/>
              <w:jc w:val="left"/>
              <w:rPr>
                <w:sz w:val="22"/>
                <w:szCs w:val="22"/>
              </w:rPr>
            </w:pPr>
            <w:r w:rsidRPr="009E5034">
              <w:rPr>
                <w:sz w:val="22"/>
                <w:szCs w:val="22"/>
              </w:rPr>
              <w:t>32 879</w:t>
            </w:r>
          </w:p>
        </w:tc>
        <w:tc>
          <w:tcPr>
            <w:tcW w:w="927" w:type="pct"/>
            <w:tcBorders>
              <w:top w:val="nil"/>
              <w:left w:val="nil"/>
              <w:bottom w:val="single" w:sz="4" w:space="0" w:color="auto"/>
              <w:right w:val="single" w:sz="4" w:space="0" w:color="auto"/>
            </w:tcBorders>
          </w:tcPr>
          <w:p w:rsidR="00F164EF" w:rsidRPr="009E5034" w:rsidRDefault="00F164EF" w:rsidP="009E5034">
            <w:pPr>
              <w:pStyle w:val="Tableau"/>
              <w:ind w:left="1"/>
              <w:jc w:val="left"/>
              <w:rPr>
                <w:sz w:val="22"/>
                <w:szCs w:val="22"/>
              </w:rPr>
            </w:pPr>
            <w:r w:rsidRPr="009E5034">
              <w:rPr>
                <w:sz w:val="22"/>
                <w:szCs w:val="22"/>
              </w:rPr>
              <w:t>37 996</w:t>
            </w:r>
          </w:p>
        </w:tc>
        <w:tc>
          <w:tcPr>
            <w:tcW w:w="926" w:type="pct"/>
            <w:tcBorders>
              <w:top w:val="nil"/>
              <w:left w:val="nil"/>
              <w:bottom w:val="single" w:sz="4" w:space="0" w:color="auto"/>
              <w:right w:val="single" w:sz="4" w:space="0" w:color="auto"/>
            </w:tcBorders>
          </w:tcPr>
          <w:p w:rsidR="00F164EF" w:rsidRPr="009E5034" w:rsidRDefault="00F164EF" w:rsidP="009E5034">
            <w:pPr>
              <w:pStyle w:val="Tableau"/>
              <w:ind w:left="1"/>
              <w:jc w:val="left"/>
              <w:rPr>
                <w:sz w:val="22"/>
                <w:szCs w:val="22"/>
              </w:rPr>
            </w:pPr>
            <w:r w:rsidRPr="009E5034">
              <w:rPr>
                <w:sz w:val="22"/>
                <w:szCs w:val="22"/>
              </w:rPr>
              <w:t>34 610</w:t>
            </w:r>
          </w:p>
        </w:tc>
        <w:tc>
          <w:tcPr>
            <w:tcW w:w="926" w:type="pct"/>
            <w:tcBorders>
              <w:top w:val="nil"/>
              <w:left w:val="nil"/>
              <w:bottom w:val="single" w:sz="4" w:space="0" w:color="auto"/>
              <w:right w:val="single" w:sz="4" w:space="0" w:color="auto"/>
            </w:tcBorders>
          </w:tcPr>
          <w:p w:rsidR="00F164EF" w:rsidRPr="009E5034" w:rsidRDefault="00F164EF" w:rsidP="009E5034">
            <w:pPr>
              <w:pStyle w:val="Tableau"/>
              <w:ind w:left="1"/>
              <w:jc w:val="left"/>
              <w:rPr>
                <w:sz w:val="22"/>
                <w:szCs w:val="22"/>
              </w:rPr>
            </w:pPr>
            <w:r w:rsidRPr="009E5034">
              <w:rPr>
                <w:sz w:val="22"/>
                <w:szCs w:val="22"/>
              </w:rPr>
              <w:t>30 729</w:t>
            </w:r>
          </w:p>
        </w:tc>
      </w:tr>
      <w:tr w:rsidR="00F164EF" w:rsidRPr="009E5034" w:rsidTr="00072CBC">
        <w:trPr>
          <w:trHeight w:val="300"/>
          <w:jc w:val="center"/>
        </w:trPr>
        <w:tc>
          <w:tcPr>
            <w:tcW w:w="1296" w:type="pct"/>
            <w:tcBorders>
              <w:top w:val="nil"/>
              <w:left w:val="single" w:sz="4" w:space="0" w:color="auto"/>
              <w:bottom w:val="single" w:sz="4" w:space="0" w:color="auto"/>
              <w:right w:val="single" w:sz="4" w:space="0" w:color="auto"/>
            </w:tcBorders>
          </w:tcPr>
          <w:p w:rsidR="00F164EF" w:rsidRPr="009E5034" w:rsidRDefault="00F164EF" w:rsidP="009E5034">
            <w:pPr>
              <w:pStyle w:val="Tableau"/>
              <w:ind w:left="1"/>
              <w:jc w:val="left"/>
              <w:rPr>
                <w:sz w:val="22"/>
                <w:szCs w:val="22"/>
              </w:rPr>
            </w:pPr>
            <w:r w:rsidRPr="009E5034">
              <w:rPr>
                <w:sz w:val="22"/>
                <w:szCs w:val="22"/>
              </w:rPr>
              <w:t>IRA Basses</w:t>
            </w:r>
          </w:p>
        </w:tc>
        <w:tc>
          <w:tcPr>
            <w:tcW w:w="927" w:type="pct"/>
            <w:tcBorders>
              <w:top w:val="nil"/>
              <w:left w:val="nil"/>
              <w:bottom w:val="single" w:sz="4" w:space="0" w:color="auto"/>
              <w:right w:val="single" w:sz="4" w:space="0" w:color="auto"/>
            </w:tcBorders>
          </w:tcPr>
          <w:p w:rsidR="00F164EF" w:rsidRPr="009E5034" w:rsidRDefault="00F164EF" w:rsidP="009E5034">
            <w:pPr>
              <w:pStyle w:val="Tableau"/>
              <w:ind w:left="1"/>
              <w:jc w:val="left"/>
              <w:rPr>
                <w:sz w:val="22"/>
                <w:szCs w:val="22"/>
              </w:rPr>
            </w:pPr>
            <w:r w:rsidRPr="009E5034">
              <w:rPr>
                <w:sz w:val="22"/>
                <w:szCs w:val="22"/>
              </w:rPr>
              <w:t>66 645</w:t>
            </w:r>
          </w:p>
        </w:tc>
        <w:tc>
          <w:tcPr>
            <w:tcW w:w="927" w:type="pct"/>
            <w:tcBorders>
              <w:top w:val="nil"/>
              <w:left w:val="nil"/>
              <w:bottom w:val="single" w:sz="4" w:space="0" w:color="auto"/>
              <w:right w:val="single" w:sz="4" w:space="0" w:color="auto"/>
            </w:tcBorders>
          </w:tcPr>
          <w:p w:rsidR="00F164EF" w:rsidRPr="009E5034" w:rsidRDefault="00F164EF" w:rsidP="009E5034">
            <w:pPr>
              <w:pStyle w:val="Tableau"/>
              <w:ind w:left="1"/>
              <w:jc w:val="left"/>
              <w:rPr>
                <w:sz w:val="22"/>
                <w:szCs w:val="22"/>
              </w:rPr>
            </w:pPr>
            <w:r w:rsidRPr="009E5034">
              <w:rPr>
                <w:sz w:val="22"/>
                <w:szCs w:val="22"/>
              </w:rPr>
              <w:t>69 153</w:t>
            </w:r>
          </w:p>
        </w:tc>
        <w:tc>
          <w:tcPr>
            <w:tcW w:w="926" w:type="pct"/>
            <w:tcBorders>
              <w:top w:val="nil"/>
              <w:left w:val="nil"/>
              <w:bottom w:val="single" w:sz="4" w:space="0" w:color="auto"/>
              <w:right w:val="single" w:sz="4" w:space="0" w:color="auto"/>
            </w:tcBorders>
          </w:tcPr>
          <w:p w:rsidR="00F164EF" w:rsidRPr="009E5034" w:rsidRDefault="00F164EF" w:rsidP="009E5034">
            <w:pPr>
              <w:pStyle w:val="Tableau"/>
              <w:ind w:left="1"/>
              <w:jc w:val="left"/>
              <w:rPr>
                <w:sz w:val="22"/>
                <w:szCs w:val="22"/>
              </w:rPr>
            </w:pPr>
            <w:r w:rsidRPr="009E5034">
              <w:rPr>
                <w:sz w:val="22"/>
                <w:szCs w:val="22"/>
              </w:rPr>
              <w:t>69 560</w:t>
            </w:r>
          </w:p>
        </w:tc>
        <w:tc>
          <w:tcPr>
            <w:tcW w:w="926" w:type="pct"/>
            <w:tcBorders>
              <w:top w:val="nil"/>
              <w:left w:val="nil"/>
              <w:bottom w:val="single" w:sz="4" w:space="0" w:color="auto"/>
              <w:right w:val="single" w:sz="4" w:space="0" w:color="auto"/>
            </w:tcBorders>
          </w:tcPr>
          <w:p w:rsidR="00F164EF" w:rsidRPr="009E5034" w:rsidRDefault="00F164EF" w:rsidP="009E5034">
            <w:pPr>
              <w:pStyle w:val="Tableau"/>
              <w:ind w:left="1"/>
              <w:jc w:val="left"/>
              <w:rPr>
                <w:sz w:val="22"/>
                <w:szCs w:val="22"/>
              </w:rPr>
            </w:pPr>
            <w:r w:rsidRPr="009E5034">
              <w:rPr>
                <w:sz w:val="22"/>
                <w:szCs w:val="22"/>
              </w:rPr>
              <w:t>57 252</w:t>
            </w:r>
          </w:p>
        </w:tc>
      </w:tr>
      <w:tr w:rsidR="00F164EF" w:rsidRPr="009E5034" w:rsidTr="00072CBC">
        <w:trPr>
          <w:trHeight w:val="300"/>
          <w:jc w:val="center"/>
        </w:trPr>
        <w:tc>
          <w:tcPr>
            <w:tcW w:w="1296" w:type="pct"/>
            <w:tcBorders>
              <w:top w:val="nil"/>
              <w:left w:val="single" w:sz="4" w:space="0" w:color="auto"/>
              <w:bottom w:val="single" w:sz="4" w:space="0" w:color="auto"/>
              <w:right w:val="single" w:sz="4" w:space="0" w:color="auto"/>
            </w:tcBorders>
          </w:tcPr>
          <w:p w:rsidR="00F164EF" w:rsidRPr="009E5034" w:rsidRDefault="00F164EF" w:rsidP="009E5034">
            <w:pPr>
              <w:pStyle w:val="Tableau"/>
              <w:ind w:left="1"/>
              <w:jc w:val="left"/>
              <w:rPr>
                <w:sz w:val="22"/>
                <w:szCs w:val="22"/>
              </w:rPr>
            </w:pPr>
            <w:r w:rsidRPr="009E5034">
              <w:rPr>
                <w:sz w:val="22"/>
                <w:szCs w:val="22"/>
              </w:rPr>
              <w:t>IRA Hautes</w:t>
            </w:r>
          </w:p>
        </w:tc>
        <w:tc>
          <w:tcPr>
            <w:tcW w:w="927" w:type="pct"/>
            <w:tcBorders>
              <w:top w:val="nil"/>
              <w:left w:val="nil"/>
              <w:bottom w:val="single" w:sz="4" w:space="0" w:color="auto"/>
              <w:right w:val="single" w:sz="4" w:space="0" w:color="auto"/>
            </w:tcBorders>
          </w:tcPr>
          <w:p w:rsidR="00F164EF" w:rsidRPr="009E5034" w:rsidRDefault="00F164EF" w:rsidP="009E5034">
            <w:pPr>
              <w:pStyle w:val="Tableau"/>
              <w:ind w:left="1"/>
              <w:jc w:val="left"/>
              <w:rPr>
                <w:sz w:val="22"/>
                <w:szCs w:val="22"/>
              </w:rPr>
            </w:pPr>
            <w:r w:rsidRPr="009E5034">
              <w:rPr>
                <w:sz w:val="22"/>
                <w:szCs w:val="22"/>
              </w:rPr>
              <w:t>21 807</w:t>
            </w:r>
          </w:p>
        </w:tc>
        <w:tc>
          <w:tcPr>
            <w:tcW w:w="927" w:type="pct"/>
            <w:tcBorders>
              <w:top w:val="nil"/>
              <w:left w:val="nil"/>
              <w:bottom w:val="single" w:sz="4" w:space="0" w:color="auto"/>
              <w:right w:val="single" w:sz="4" w:space="0" w:color="auto"/>
            </w:tcBorders>
          </w:tcPr>
          <w:p w:rsidR="00F164EF" w:rsidRPr="009E5034" w:rsidRDefault="00F164EF" w:rsidP="009E5034">
            <w:pPr>
              <w:pStyle w:val="Tableau"/>
              <w:ind w:left="1"/>
              <w:jc w:val="left"/>
              <w:rPr>
                <w:sz w:val="22"/>
                <w:szCs w:val="22"/>
              </w:rPr>
            </w:pPr>
            <w:r w:rsidRPr="009E5034">
              <w:rPr>
                <w:sz w:val="22"/>
                <w:szCs w:val="22"/>
              </w:rPr>
              <w:t>22 402</w:t>
            </w:r>
          </w:p>
        </w:tc>
        <w:tc>
          <w:tcPr>
            <w:tcW w:w="926" w:type="pct"/>
            <w:tcBorders>
              <w:top w:val="nil"/>
              <w:left w:val="nil"/>
              <w:bottom w:val="single" w:sz="4" w:space="0" w:color="auto"/>
              <w:right w:val="single" w:sz="4" w:space="0" w:color="auto"/>
            </w:tcBorders>
          </w:tcPr>
          <w:p w:rsidR="00F164EF" w:rsidRPr="009E5034" w:rsidRDefault="00F164EF" w:rsidP="009E5034">
            <w:pPr>
              <w:pStyle w:val="Tableau"/>
              <w:ind w:left="1"/>
              <w:jc w:val="left"/>
              <w:rPr>
                <w:sz w:val="22"/>
                <w:szCs w:val="22"/>
              </w:rPr>
            </w:pPr>
            <w:r w:rsidRPr="009E5034">
              <w:rPr>
                <w:sz w:val="22"/>
                <w:szCs w:val="22"/>
              </w:rPr>
              <w:t>21720</w:t>
            </w:r>
          </w:p>
        </w:tc>
        <w:tc>
          <w:tcPr>
            <w:tcW w:w="926" w:type="pct"/>
            <w:tcBorders>
              <w:top w:val="nil"/>
              <w:left w:val="nil"/>
              <w:bottom w:val="single" w:sz="4" w:space="0" w:color="auto"/>
              <w:right w:val="single" w:sz="4" w:space="0" w:color="auto"/>
            </w:tcBorders>
          </w:tcPr>
          <w:p w:rsidR="00F164EF" w:rsidRPr="009E5034" w:rsidRDefault="00F164EF" w:rsidP="009E5034">
            <w:pPr>
              <w:pStyle w:val="Tableau"/>
              <w:ind w:left="1"/>
              <w:jc w:val="left"/>
              <w:rPr>
                <w:sz w:val="22"/>
                <w:szCs w:val="22"/>
              </w:rPr>
            </w:pPr>
            <w:r w:rsidRPr="009E5034">
              <w:rPr>
                <w:sz w:val="22"/>
                <w:szCs w:val="22"/>
              </w:rPr>
              <w:t>18 277</w:t>
            </w:r>
          </w:p>
        </w:tc>
      </w:tr>
    </w:tbl>
    <w:p w:rsidR="00F164EF" w:rsidRPr="009E5034" w:rsidRDefault="00F164EF" w:rsidP="009E5034">
      <w:pPr>
        <w:spacing w:after="240"/>
        <w:ind w:left="0"/>
        <w:jc w:val="left"/>
        <w:rPr>
          <w:rStyle w:val="Strong"/>
          <w:rFonts w:eastAsia="MS Mincho"/>
          <w:sz w:val="22"/>
          <w:szCs w:val="22"/>
        </w:rPr>
      </w:pPr>
      <w:bookmarkStart w:id="239" w:name="_Toc253578281"/>
      <w:bookmarkStart w:id="240" w:name="_Toc261170172"/>
      <w:r w:rsidRPr="009E5034">
        <w:rPr>
          <w:rStyle w:val="Strong"/>
          <w:rFonts w:eastAsia="MS Mincho"/>
          <w:sz w:val="22"/>
          <w:szCs w:val="22"/>
        </w:rPr>
        <w:t>3. Activités économiques</w:t>
      </w:r>
      <w:bookmarkEnd w:id="239"/>
      <w:bookmarkEnd w:id="240"/>
    </w:p>
    <w:p w:rsidR="00F164EF" w:rsidRPr="009E5034" w:rsidRDefault="00F164EF" w:rsidP="009E5034">
      <w:pPr>
        <w:spacing w:after="240"/>
        <w:ind w:left="0"/>
        <w:jc w:val="left"/>
        <w:rPr>
          <w:rStyle w:val="Strong"/>
          <w:rFonts w:eastAsia="MS Mincho"/>
          <w:sz w:val="22"/>
          <w:szCs w:val="22"/>
        </w:rPr>
      </w:pPr>
      <w:bookmarkStart w:id="241" w:name="_Toc253578282"/>
      <w:bookmarkStart w:id="242" w:name="_Toc261170173"/>
      <w:r w:rsidRPr="009E5034">
        <w:rPr>
          <w:rStyle w:val="Strong"/>
          <w:rFonts w:eastAsia="MS Mincho"/>
          <w:sz w:val="22"/>
          <w:szCs w:val="22"/>
        </w:rPr>
        <w:t>.3.1 Agriculture et élevage</w:t>
      </w:r>
      <w:bookmarkEnd w:id="241"/>
      <w:bookmarkEnd w:id="242"/>
    </w:p>
    <w:p w:rsidR="00F164EF" w:rsidRPr="009E5034" w:rsidRDefault="00F164EF" w:rsidP="009E5034">
      <w:pPr>
        <w:spacing w:before="120" w:after="120"/>
        <w:ind w:left="0"/>
        <w:jc w:val="left"/>
        <w:rPr>
          <w:sz w:val="22"/>
          <w:szCs w:val="22"/>
        </w:rPr>
      </w:pPr>
      <w:r w:rsidRPr="009E5034">
        <w:rPr>
          <w:sz w:val="22"/>
          <w:szCs w:val="22"/>
        </w:rPr>
        <w:t xml:space="preserve">L’agriculture est la principale activité du secteur primaire dans la zone de Sikasso; les cultures céréalières et légumineuses, les cultures du coton, l’arboriculture et le maraîchage constituent les principales spéculations de la région. Les superficies cultivables ont été estimées en 2004 à </w:t>
      </w:r>
      <w:smartTag w:uri="urn:schemas-microsoft-com:office:smarttags" w:element="metricconverter">
        <w:smartTagPr>
          <w:attr w:name="ProductID" w:val="400ﾠ000 hectares"/>
        </w:smartTagPr>
        <w:r w:rsidRPr="009E5034">
          <w:rPr>
            <w:sz w:val="22"/>
            <w:szCs w:val="22"/>
          </w:rPr>
          <w:t>400 000 hectares</w:t>
        </w:r>
      </w:smartTag>
      <w:r w:rsidRPr="009E5034">
        <w:rPr>
          <w:sz w:val="22"/>
          <w:szCs w:val="22"/>
        </w:rPr>
        <w:t>.</w:t>
      </w:r>
    </w:p>
    <w:p w:rsidR="00F164EF" w:rsidRPr="009E5034" w:rsidRDefault="00F164EF" w:rsidP="009E5034">
      <w:pPr>
        <w:pStyle w:val="Caption"/>
        <w:ind w:left="899"/>
        <w:rPr>
          <w:rStyle w:val="Emphasis"/>
          <w:sz w:val="22"/>
          <w:szCs w:val="22"/>
        </w:rPr>
      </w:pPr>
      <w:r w:rsidRPr="009E5034">
        <w:rPr>
          <w:rStyle w:val="Emphasis"/>
          <w:sz w:val="22"/>
          <w:szCs w:val="22"/>
        </w:rPr>
        <w:t xml:space="preserve">Tableau A4.4 : </w:t>
      </w:r>
      <w:bookmarkStart w:id="243" w:name="_Toc220981918"/>
      <w:bookmarkStart w:id="244" w:name="_Toc251681745"/>
      <w:r w:rsidRPr="009E5034">
        <w:rPr>
          <w:rStyle w:val="Emphasis"/>
          <w:sz w:val="22"/>
          <w:szCs w:val="22"/>
        </w:rPr>
        <w:t>Production de la campagne agricole 2003-2004.</w:t>
      </w:r>
      <w:bookmarkEnd w:id="243"/>
      <w:bookmarkEnd w:id="24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76"/>
        <w:gridCol w:w="3690"/>
        <w:gridCol w:w="1424"/>
        <w:gridCol w:w="1430"/>
      </w:tblGrid>
      <w:tr w:rsidR="00F164EF" w:rsidRPr="009E5034" w:rsidTr="00183B56">
        <w:tc>
          <w:tcPr>
            <w:tcW w:w="2176" w:type="dxa"/>
            <w:vAlign w:val="center"/>
          </w:tcPr>
          <w:p w:rsidR="00F164EF" w:rsidRPr="009E5034" w:rsidRDefault="00F164EF" w:rsidP="009E5034">
            <w:pPr>
              <w:pStyle w:val="Tableau"/>
              <w:ind w:left="1"/>
              <w:jc w:val="left"/>
              <w:rPr>
                <w:sz w:val="22"/>
                <w:szCs w:val="22"/>
              </w:rPr>
            </w:pPr>
            <w:r w:rsidRPr="009E5034">
              <w:rPr>
                <w:sz w:val="22"/>
                <w:szCs w:val="22"/>
              </w:rPr>
              <w:t>Types de cultures</w:t>
            </w:r>
          </w:p>
        </w:tc>
        <w:tc>
          <w:tcPr>
            <w:tcW w:w="3690" w:type="dxa"/>
            <w:vAlign w:val="center"/>
          </w:tcPr>
          <w:p w:rsidR="00F164EF" w:rsidRPr="009E5034" w:rsidRDefault="00F164EF" w:rsidP="009E5034">
            <w:pPr>
              <w:pStyle w:val="Tableau"/>
              <w:ind w:left="1"/>
              <w:jc w:val="left"/>
              <w:rPr>
                <w:sz w:val="22"/>
                <w:szCs w:val="22"/>
              </w:rPr>
            </w:pPr>
            <w:r w:rsidRPr="009E5034">
              <w:rPr>
                <w:sz w:val="22"/>
                <w:szCs w:val="22"/>
              </w:rPr>
              <w:t>Principales espèces cultivées</w:t>
            </w:r>
          </w:p>
        </w:tc>
        <w:tc>
          <w:tcPr>
            <w:tcW w:w="1424" w:type="dxa"/>
            <w:vAlign w:val="center"/>
          </w:tcPr>
          <w:p w:rsidR="00F164EF" w:rsidRPr="009E5034" w:rsidRDefault="00F164EF" w:rsidP="009E5034">
            <w:pPr>
              <w:pStyle w:val="Tableau"/>
              <w:ind w:left="1"/>
              <w:jc w:val="left"/>
              <w:rPr>
                <w:sz w:val="22"/>
                <w:szCs w:val="22"/>
              </w:rPr>
            </w:pPr>
            <w:r w:rsidRPr="009E5034">
              <w:rPr>
                <w:sz w:val="22"/>
                <w:szCs w:val="22"/>
              </w:rPr>
              <w:t>Superficies cultivées en ha</w:t>
            </w:r>
          </w:p>
        </w:tc>
        <w:tc>
          <w:tcPr>
            <w:tcW w:w="1430" w:type="dxa"/>
            <w:vAlign w:val="center"/>
          </w:tcPr>
          <w:p w:rsidR="00F164EF" w:rsidRPr="009E5034" w:rsidRDefault="00F164EF" w:rsidP="009E5034">
            <w:pPr>
              <w:pStyle w:val="Tableau"/>
              <w:ind w:left="1"/>
              <w:jc w:val="left"/>
              <w:rPr>
                <w:sz w:val="22"/>
                <w:szCs w:val="22"/>
              </w:rPr>
            </w:pPr>
            <w:r w:rsidRPr="009E5034">
              <w:rPr>
                <w:sz w:val="22"/>
                <w:szCs w:val="22"/>
              </w:rPr>
              <w:t>Productions en tonnes</w:t>
            </w:r>
          </w:p>
        </w:tc>
      </w:tr>
      <w:tr w:rsidR="00F164EF" w:rsidRPr="009E5034" w:rsidTr="00183B56">
        <w:tc>
          <w:tcPr>
            <w:tcW w:w="2176" w:type="dxa"/>
            <w:vMerge w:val="restart"/>
            <w:vAlign w:val="center"/>
          </w:tcPr>
          <w:p w:rsidR="00F164EF" w:rsidRPr="009E5034" w:rsidRDefault="00F164EF" w:rsidP="009E5034">
            <w:pPr>
              <w:pStyle w:val="Tableau"/>
              <w:ind w:left="1"/>
              <w:jc w:val="left"/>
              <w:rPr>
                <w:sz w:val="22"/>
                <w:szCs w:val="22"/>
              </w:rPr>
            </w:pPr>
            <w:r w:rsidRPr="009E5034">
              <w:rPr>
                <w:sz w:val="22"/>
                <w:szCs w:val="22"/>
              </w:rPr>
              <w:t>Vivrière</w:t>
            </w:r>
          </w:p>
        </w:tc>
        <w:tc>
          <w:tcPr>
            <w:tcW w:w="3690" w:type="dxa"/>
            <w:vAlign w:val="center"/>
          </w:tcPr>
          <w:p w:rsidR="00F164EF" w:rsidRPr="009E5034" w:rsidRDefault="00F164EF" w:rsidP="009E5034">
            <w:pPr>
              <w:pStyle w:val="Tableau"/>
              <w:ind w:left="1"/>
              <w:jc w:val="left"/>
              <w:rPr>
                <w:sz w:val="22"/>
                <w:szCs w:val="22"/>
              </w:rPr>
            </w:pPr>
            <w:r w:rsidRPr="009E5034">
              <w:rPr>
                <w:sz w:val="22"/>
                <w:szCs w:val="22"/>
              </w:rPr>
              <w:t>Riz</w:t>
            </w:r>
          </w:p>
        </w:tc>
        <w:tc>
          <w:tcPr>
            <w:tcW w:w="1424" w:type="dxa"/>
            <w:vAlign w:val="center"/>
          </w:tcPr>
          <w:p w:rsidR="00F164EF" w:rsidRPr="009E5034" w:rsidRDefault="00F164EF" w:rsidP="009E5034">
            <w:pPr>
              <w:pStyle w:val="Tableau"/>
              <w:ind w:left="1"/>
              <w:jc w:val="left"/>
              <w:rPr>
                <w:sz w:val="22"/>
                <w:szCs w:val="22"/>
              </w:rPr>
            </w:pPr>
            <w:r w:rsidRPr="009E5034">
              <w:rPr>
                <w:sz w:val="22"/>
                <w:szCs w:val="22"/>
              </w:rPr>
              <w:t>16 120</w:t>
            </w:r>
          </w:p>
        </w:tc>
        <w:tc>
          <w:tcPr>
            <w:tcW w:w="1430" w:type="dxa"/>
            <w:vAlign w:val="center"/>
          </w:tcPr>
          <w:p w:rsidR="00F164EF" w:rsidRPr="009E5034" w:rsidRDefault="00F164EF" w:rsidP="009E5034">
            <w:pPr>
              <w:pStyle w:val="Tableau"/>
              <w:ind w:left="1"/>
              <w:jc w:val="left"/>
              <w:rPr>
                <w:sz w:val="22"/>
                <w:szCs w:val="22"/>
              </w:rPr>
            </w:pPr>
            <w:r w:rsidRPr="009E5034">
              <w:rPr>
                <w:sz w:val="22"/>
                <w:szCs w:val="22"/>
              </w:rPr>
              <w:t>31 434</w:t>
            </w:r>
          </w:p>
        </w:tc>
      </w:tr>
      <w:tr w:rsidR="00F164EF" w:rsidRPr="009E5034" w:rsidTr="00183B56">
        <w:tc>
          <w:tcPr>
            <w:tcW w:w="2176" w:type="dxa"/>
            <w:vMerge/>
            <w:vAlign w:val="center"/>
          </w:tcPr>
          <w:p w:rsidR="00F164EF" w:rsidRPr="009E5034" w:rsidRDefault="00F164EF" w:rsidP="009E5034">
            <w:pPr>
              <w:pStyle w:val="Tableau"/>
              <w:ind w:left="1"/>
              <w:jc w:val="left"/>
              <w:rPr>
                <w:sz w:val="22"/>
                <w:szCs w:val="22"/>
              </w:rPr>
            </w:pPr>
          </w:p>
        </w:tc>
        <w:tc>
          <w:tcPr>
            <w:tcW w:w="3690" w:type="dxa"/>
            <w:vAlign w:val="center"/>
          </w:tcPr>
          <w:p w:rsidR="00F164EF" w:rsidRPr="009E5034" w:rsidRDefault="00F164EF" w:rsidP="009E5034">
            <w:pPr>
              <w:pStyle w:val="Tableau"/>
              <w:ind w:left="1"/>
              <w:jc w:val="left"/>
              <w:rPr>
                <w:sz w:val="22"/>
                <w:szCs w:val="22"/>
              </w:rPr>
            </w:pPr>
            <w:r w:rsidRPr="009E5034">
              <w:rPr>
                <w:sz w:val="22"/>
                <w:szCs w:val="22"/>
              </w:rPr>
              <w:t>Mais</w:t>
            </w:r>
          </w:p>
        </w:tc>
        <w:tc>
          <w:tcPr>
            <w:tcW w:w="1424" w:type="dxa"/>
            <w:vAlign w:val="center"/>
          </w:tcPr>
          <w:p w:rsidR="00F164EF" w:rsidRPr="009E5034" w:rsidRDefault="00F164EF" w:rsidP="009E5034">
            <w:pPr>
              <w:pStyle w:val="Tableau"/>
              <w:ind w:left="1"/>
              <w:jc w:val="left"/>
              <w:rPr>
                <w:sz w:val="22"/>
                <w:szCs w:val="22"/>
              </w:rPr>
            </w:pPr>
            <w:r w:rsidRPr="009E5034">
              <w:rPr>
                <w:sz w:val="22"/>
                <w:szCs w:val="22"/>
              </w:rPr>
              <w:t>60 100</w:t>
            </w:r>
          </w:p>
        </w:tc>
        <w:tc>
          <w:tcPr>
            <w:tcW w:w="1430" w:type="dxa"/>
            <w:vAlign w:val="center"/>
          </w:tcPr>
          <w:p w:rsidR="00F164EF" w:rsidRPr="009E5034" w:rsidRDefault="00F164EF" w:rsidP="009E5034">
            <w:pPr>
              <w:pStyle w:val="Tableau"/>
              <w:ind w:left="1"/>
              <w:jc w:val="left"/>
              <w:rPr>
                <w:sz w:val="22"/>
                <w:szCs w:val="22"/>
              </w:rPr>
            </w:pPr>
            <w:r w:rsidRPr="009E5034">
              <w:rPr>
                <w:sz w:val="22"/>
                <w:szCs w:val="22"/>
              </w:rPr>
              <w:t>118 337</w:t>
            </w:r>
          </w:p>
        </w:tc>
      </w:tr>
      <w:tr w:rsidR="00F164EF" w:rsidRPr="009E5034" w:rsidTr="00183B56">
        <w:tc>
          <w:tcPr>
            <w:tcW w:w="2176" w:type="dxa"/>
            <w:vMerge/>
            <w:vAlign w:val="center"/>
          </w:tcPr>
          <w:p w:rsidR="00F164EF" w:rsidRPr="009E5034" w:rsidRDefault="00F164EF" w:rsidP="009E5034">
            <w:pPr>
              <w:pStyle w:val="Tableau"/>
              <w:ind w:left="1"/>
              <w:jc w:val="left"/>
              <w:rPr>
                <w:sz w:val="22"/>
                <w:szCs w:val="22"/>
              </w:rPr>
            </w:pPr>
          </w:p>
        </w:tc>
        <w:tc>
          <w:tcPr>
            <w:tcW w:w="3690" w:type="dxa"/>
            <w:vAlign w:val="center"/>
          </w:tcPr>
          <w:p w:rsidR="00F164EF" w:rsidRPr="009E5034" w:rsidRDefault="00F164EF" w:rsidP="009E5034">
            <w:pPr>
              <w:pStyle w:val="Tableau"/>
              <w:ind w:left="1"/>
              <w:jc w:val="left"/>
              <w:rPr>
                <w:sz w:val="22"/>
                <w:szCs w:val="22"/>
                <w:lang w:val="pt-BR"/>
              </w:rPr>
            </w:pPr>
            <w:r w:rsidRPr="009E5034">
              <w:rPr>
                <w:sz w:val="22"/>
                <w:szCs w:val="22"/>
                <w:lang w:val="pt-BR"/>
              </w:rPr>
              <w:t>Mais, Mil, Sorgho, Arachide, Soja, Sésame, …</w:t>
            </w:r>
          </w:p>
        </w:tc>
        <w:tc>
          <w:tcPr>
            <w:tcW w:w="1424" w:type="dxa"/>
            <w:vAlign w:val="center"/>
          </w:tcPr>
          <w:p w:rsidR="00F164EF" w:rsidRPr="009E5034" w:rsidRDefault="00F164EF" w:rsidP="009E5034">
            <w:pPr>
              <w:pStyle w:val="Tableau"/>
              <w:ind w:left="1"/>
              <w:jc w:val="left"/>
              <w:rPr>
                <w:sz w:val="22"/>
                <w:szCs w:val="22"/>
              </w:rPr>
            </w:pPr>
            <w:r w:rsidRPr="009E5034">
              <w:rPr>
                <w:sz w:val="22"/>
                <w:szCs w:val="22"/>
              </w:rPr>
              <w:t>94 292</w:t>
            </w:r>
          </w:p>
        </w:tc>
        <w:tc>
          <w:tcPr>
            <w:tcW w:w="1430" w:type="dxa"/>
            <w:vAlign w:val="center"/>
          </w:tcPr>
          <w:p w:rsidR="00F164EF" w:rsidRPr="009E5034" w:rsidRDefault="00F164EF" w:rsidP="009E5034">
            <w:pPr>
              <w:pStyle w:val="Tableau"/>
              <w:ind w:left="1"/>
              <w:jc w:val="left"/>
              <w:rPr>
                <w:sz w:val="22"/>
                <w:szCs w:val="22"/>
              </w:rPr>
            </w:pPr>
            <w:r w:rsidRPr="009E5034">
              <w:rPr>
                <w:sz w:val="22"/>
                <w:szCs w:val="22"/>
              </w:rPr>
              <w:t>75 013</w:t>
            </w:r>
          </w:p>
        </w:tc>
      </w:tr>
      <w:tr w:rsidR="00F164EF" w:rsidRPr="009E5034" w:rsidTr="00183B56">
        <w:tc>
          <w:tcPr>
            <w:tcW w:w="2176" w:type="dxa"/>
            <w:vMerge w:val="restart"/>
            <w:vAlign w:val="center"/>
          </w:tcPr>
          <w:p w:rsidR="00F164EF" w:rsidRPr="009E5034" w:rsidRDefault="00F164EF" w:rsidP="009E5034">
            <w:pPr>
              <w:pStyle w:val="Tableau"/>
              <w:ind w:left="1"/>
              <w:jc w:val="left"/>
              <w:rPr>
                <w:sz w:val="22"/>
                <w:szCs w:val="22"/>
              </w:rPr>
            </w:pPr>
            <w:r w:rsidRPr="009E5034">
              <w:rPr>
                <w:sz w:val="22"/>
                <w:szCs w:val="22"/>
              </w:rPr>
              <w:t>Maraîchère</w:t>
            </w:r>
          </w:p>
        </w:tc>
        <w:tc>
          <w:tcPr>
            <w:tcW w:w="3690" w:type="dxa"/>
            <w:vAlign w:val="center"/>
          </w:tcPr>
          <w:p w:rsidR="00F164EF" w:rsidRPr="009E5034" w:rsidRDefault="00F164EF" w:rsidP="009E5034">
            <w:pPr>
              <w:pStyle w:val="Tableau"/>
              <w:ind w:left="1"/>
              <w:jc w:val="left"/>
              <w:rPr>
                <w:sz w:val="22"/>
                <w:szCs w:val="22"/>
              </w:rPr>
            </w:pPr>
            <w:r w:rsidRPr="009E5034">
              <w:rPr>
                <w:sz w:val="22"/>
                <w:szCs w:val="22"/>
              </w:rPr>
              <w:t>Pomme de terre</w:t>
            </w:r>
          </w:p>
        </w:tc>
        <w:tc>
          <w:tcPr>
            <w:tcW w:w="1424" w:type="dxa"/>
            <w:vAlign w:val="center"/>
          </w:tcPr>
          <w:p w:rsidR="00F164EF" w:rsidRPr="009E5034" w:rsidRDefault="00F164EF" w:rsidP="009E5034">
            <w:pPr>
              <w:pStyle w:val="Tableau"/>
              <w:ind w:left="1"/>
              <w:jc w:val="left"/>
              <w:rPr>
                <w:sz w:val="22"/>
                <w:szCs w:val="22"/>
              </w:rPr>
            </w:pPr>
            <w:r w:rsidRPr="009E5034">
              <w:rPr>
                <w:sz w:val="22"/>
                <w:szCs w:val="22"/>
              </w:rPr>
              <w:t>2595</w:t>
            </w:r>
          </w:p>
        </w:tc>
        <w:tc>
          <w:tcPr>
            <w:tcW w:w="1430" w:type="dxa"/>
            <w:vAlign w:val="center"/>
          </w:tcPr>
          <w:p w:rsidR="00F164EF" w:rsidRPr="009E5034" w:rsidRDefault="00F164EF" w:rsidP="009E5034">
            <w:pPr>
              <w:pStyle w:val="Tableau"/>
              <w:ind w:left="1"/>
              <w:jc w:val="left"/>
              <w:rPr>
                <w:sz w:val="22"/>
                <w:szCs w:val="22"/>
              </w:rPr>
            </w:pPr>
            <w:r w:rsidRPr="009E5034">
              <w:rPr>
                <w:sz w:val="22"/>
                <w:szCs w:val="22"/>
              </w:rPr>
              <w:t>51 900</w:t>
            </w:r>
          </w:p>
        </w:tc>
      </w:tr>
      <w:tr w:rsidR="00F164EF" w:rsidRPr="009E5034" w:rsidTr="00183B56">
        <w:tc>
          <w:tcPr>
            <w:tcW w:w="2176" w:type="dxa"/>
            <w:vMerge/>
            <w:vAlign w:val="center"/>
          </w:tcPr>
          <w:p w:rsidR="00F164EF" w:rsidRPr="009E5034" w:rsidRDefault="00F164EF" w:rsidP="009E5034">
            <w:pPr>
              <w:pStyle w:val="Tableau"/>
              <w:ind w:left="1"/>
              <w:jc w:val="left"/>
              <w:rPr>
                <w:sz w:val="22"/>
                <w:szCs w:val="22"/>
              </w:rPr>
            </w:pPr>
          </w:p>
        </w:tc>
        <w:tc>
          <w:tcPr>
            <w:tcW w:w="3690" w:type="dxa"/>
            <w:vAlign w:val="center"/>
          </w:tcPr>
          <w:p w:rsidR="00F164EF" w:rsidRPr="009E5034" w:rsidRDefault="00F164EF" w:rsidP="009E5034">
            <w:pPr>
              <w:pStyle w:val="Tableau"/>
              <w:ind w:left="1"/>
              <w:jc w:val="left"/>
              <w:rPr>
                <w:sz w:val="22"/>
                <w:szCs w:val="22"/>
              </w:rPr>
            </w:pPr>
            <w:r w:rsidRPr="009E5034">
              <w:rPr>
                <w:sz w:val="22"/>
                <w:szCs w:val="22"/>
              </w:rPr>
              <w:t>Carotte, Oignon, Tomate, Concombre, Echalote, Aubergine, Laitue, Choux, Gombo, Betterave, Haricot vert,</w:t>
            </w:r>
          </w:p>
        </w:tc>
        <w:tc>
          <w:tcPr>
            <w:tcW w:w="1424" w:type="dxa"/>
            <w:vAlign w:val="center"/>
          </w:tcPr>
          <w:p w:rsidR="00F164EF" w:rsidRPr="009E5034" w:rsidRDefault="00F164EF" w:rsidP="009E5034">
            <w:pPr>
              <w:pStyle w:val="Tableau"/>
              <w:ind w:left="1"/>
              <w:jc w:val="left"/>
              <w:rPr>
                <w:sz w:val="22"/>
                <w:szCs w:val="22"/>
              </w:rPr>
            </w:pPr>
            <w:r w:rsidRPr="009E5034">
              <w:rPr>
                <w:sz w:val="22"/>
                <w:szCs w:val="22"/>
              </w:rPr>
              <w:t>2427</w:t>
            </w:r>
          </w:p>
        </w:tc>
        <w:tc>
          <w:tcPr>
            <w:tcW w:w="1430" w:type="dxa"/>
            <w:vAlign w:val="center"/>
          </w:tcPr>
          <w:p w:rsidR="00F164EF" w:rsidRPr="009E5034" w:rsidRDefault="00F164EF" w:rsidP="009E5034">
            <w:pPr>
              <w:pStyle w:val="Tableau"/>
              <w:ind w:left="1"/>
              <w:jc w:val="left"/>
              <w:rPr>
                <w:sz w:val="22"/>
                <w:szCs w:val="22"/>
              </w:rPr>
            </w:pPr>
            <w:r w:rsidRPr="009E5034">
              <w:rPr>
                <w:sz w:val="22"/>
                <w:szCs w:val="22"/>
              </w:rPr>
              <w:t>27 317</w:t>
            </w:r>
          </w:p>
        </w:tc>
      </w:tr>
      <w:tr w:rsidR="00F164EF" w:rsidRPr="009E5034" w:rsidTr="00183B56">
        <w:tc>
          <w:tcPr>
            <w:tcW w:w="2176" w:type="dxa"/>
            <w:vAlign w:val="center"/>
          </w:tcPr>
          <w:p w:rsidR="00F164EF" w:rsidRPr="009E5034" w:rsidRDefault="00F164EF" w:rsidP="009E5034">
            <w:pPr>
              <w:pStyle w:val="Tableau"/>
              <w:ind w:left="1"/>
              <w:jc w:val="left"/>
              <w:rPr>
                <w:sz w:val="22"/>
                <w:szCs w:val="22"/>
              </w:rPr>
            </w:pPr>
            <w:r w:rsidRPr="009E5034">
              <w:rPr>
                <w:sz w:val="22"/>
                <w:szCs w:val="22"/>
              </w:rPr>
              <w:t>Cotonnière</w:t>
            </w:r>
          </w:p>
        </w:tc>
        <w:tc>
          <w:tcPr>
            <w:tcW w:w="3690" w:type="dxa"/>
            <w:vAlign w:val="center"/>
          </w:tcPr>
          <w:p w:rsidR="00F164EF" w:rsidRPr="009E5034" w:rsidRDefault="00F164EF" w:rsidP="009E5034">
            <w:pPr>
              <w:pStyle w:val="Tableau"/>
              <w:ind w:left="1"/>
              <w:jc w:val="left"/>
              <w:rPr>
                <w:sz w:val="22"/>
                <w:szCs w:val="22"/>
              </w:rPr>
            </w:pPr>
            <w:r w:rsidRPr="009E5034">
              <w:rPr>
                <w:sz w:val="22"/>
                <w:szCs w:val="22"/>
              </w:rPr>
              <w:t>Coton, Pois sucré</w:t>
            </w:r>
          </w:p>
        </w:tc>
        <w:tc>
          <w:tcPr>
            <w:tcW w:w="1424" w:type="dxa"/>
            <w:vAlign w:val="center"/>
          </w:tcPr>
          <w:p w:rsidR="00F164EF" w:rsidRPr="009E5034" w:rsidRDefault="00F164EF" w:rsidP="009E5034">
            <w:pPr>
              <w:pStyle w:val="Tableau"/>
              <w:ind w:left="1"/>
              <w:jc w:val="left"/>
              <w:rPr>
                <w:sz w:val="22"/>
                <w:szCs w:val="22"/>
              </w:rPr>
            </w:pPr>
            <w:r w:rsidRPr="009E5034">
              <w:rPr>
                <w:sz w:val="22"/>
                <w:szCs w:val="22"/>
              </w:rPr>
              <w:t>92 516</w:t>
            </w:r>
          </w:p>
        </w:tc>
        <w:tc>
          <w:tcPr>
            <w:tcW w:w="1430" w:type="dxa"/>
            <w:vAlign w:val="center"/>
          </w:tcPr>
          <w:p w:rsidR="00F164EF" w:rsidRPr="009E5034" w:rsidRDefault="00F164EF" w:rsidP="009E5034">
            <w:pPr>
              <w:pStyle w:val="Tableau"/>
              <w:ind w:left="1"/>
              <w:jc w:val="left"/>
              <w:rPr>
                <w:sz w:val="22"/>
                <w:szCs w:val="22"/>
              </w:rPr>
            </w:pPr>
            <w:r w:rsidRPr="009E5034">
              <w:rPr>
                <w:sz w:val="22"/>
                <w:szCs w:val="22"/>
              </w:rPr>
              <w:t>99 038</w:t>
            </w:r>
          </w:p>
        </w:tc>
      </w:tr>
      <w:tr w:rsidR="00F164EF" w:rsidRPr="009E5034" w:rsidTr="00183B56">
        <w:tc>
          <w:tcPr>
            <w:tcW w:w="2176" w:type="dxa"/>
            <w:vAlign w:val="center"/>
          </w:tcPr>
          <w:p w:rsidR="00F164EF" w:rsidRPr="009E5034" w:rsidRDefault="00F164EF" w:rsidP="009E5034">
            <w:pPr>
              <w:pStyle w:val="Tableau"/>
              <w:ind w:left="1"/>
              <w:jc w:val="left"/>
              <w:rPr>
                <w:sz w:val="22"/>
                <w:szCs w:val="22"/>
              </w:rPr>
            </w:pPr>
            <w:r w:rsidRPr="009E5034">
              <w:rPr>
                <w:sz w:val="22"/>
                <w:szCs w:val="22"/>
              </w:rPr>
              <w:t>Arboriculture</w:t>
            </w:r>
          </w:p>
        </w:tc>
        <w:tc>
          <w:tcPr>
            <w:tcW w:w="3690" w:type="dxa"/>
            <w:vAlign w:val="center"/>
          </w:tcPr>
          <w:p w:rsidR="00F164EF" w:rsidRPr="009E5034" w:rsidRDefault="00F164EF" w:rsidP="009E5034">
            <w:pPr>
              <w:pStyle w:val="Tableau"/>
              <w:ind w:left="1"/>
              <w:jc w:val="left"/>
              <w:rPr>
                <w:sz w:val="22"/>
                <w:szCs w:val="22"/>
              </w:rPr>
            </w:pPr>
            <w:r w:rsidRPr="009E5034">
              <w:rPr>
                <w:sz w:val="22"/>
                <w:szCs w:val="22"/>
              </w:rPr>
              <w:t>Manguier, Orangers, Bananiers,</w:t>
            </w:r>
          </w:p>
        </w:tc>
        <w:tc>
          <w:tcPr>
            <w:tcW w:w="1424" w:type="dxa"/>
            <w:vAlign w:val="center"/>
          </w:tcPr>
          <w:p w:rsidR="00F164EF" w:rsidRPr="009E5034" w:rsidRDefault="00F164EF" w:rsidP="009E5034">
            <w:pPr>
              <w:pStyle w:val="Tableau"/>
              <w:ind w:left="1"/>
              <w:jc w:val="left"/>
              <w:rPr>
                <w:sz w:val="22"/>
                <w:szCs w:val="22"/>
              </w:rPr>
            </w:pPr>
            <w:r w:rsidRPr="009E5034">
              <w:rPr>
                <w:sz w:val="22"/>
                <w:szCs w:val="22"/>
              </w:rPr>
              <w:t>58</w:t>
            </w:r>
          </w:p>
        </w:tc>
        <w:tc>
          <w:tcPr>
            <w:tcW w:w="1430" w:type="dxa"/>
            <w:vAlign w:val="center"/>
          </w:tcPr>
          <w:p w:rsidR="00F164EF" w:rsidRPr="009E5034" w:rsidRDefault="00F164EF" w:rsidP="009E5034">
            <w:pPr>
              <w:pStyle w:val="Tableau"/>
              <w:ind w:left="1"/>
              <w:jc w:val="left"/>
              <w:rPr>
                <w:sz w:val="22"/>
                <w:szCs w:val="22"/>
              </w:rPr>
            </w:pPr>
            <w:r w:rsidRPr="009E5034">
              <w:rPr>
                <w:sz w:val="22"/>
                <w:szCs w:val="22"/>
              </w:rPr>
              <w:t>430</w:t>
            </w:r>
          </w:p>
        </w:tc>
      </w:tr>
      <w:tr w:rsidR="00F164EF" w:rsidRPr="009E5034" w:rsidTr="00183B56">
        <w:tc>
          <w:tcPr>
            <w:tcW w:w="2176" w:type="dxa"/>
            <w:vAlign w:val="center"/>
          </w:tcPr>
          <w:p w:rsidR="00F164EF" w:rsidRPr="009E5034" w:rsidRDefault="00F164EF" w:rsidP="009E5034">
            <w:pPr>
              <w:pStyle w:val="Tableau"/>
              <w:ind w:left="1"/>
              <w:jc w:val="left"/>
              <w:rPr>
                <w:sz w:val="22"/>
                <w:szCs w:val="22"/>
              </w:rPr>
            </w:pPr>
            <w:r w:rsidRPr="009E5034">
              <w:rPr>
                <w:sz w:val="22"/>
                <w:szCs w:val="22"/>
              </w:rPr>
              <w:t>Autres cultures</w:t>
            </w:r>
          </w:p>
        </w:tc>
        <w:tc>
          <w:tcPr>
            <w:tcW w:w="3690" w:type="dxa"/>
            <w:vAlign w:val="center"/>
          </w:tcPr>
          <w:p w:rsidR="00F164EF" w:rsidRPr="009E5034" w:rsidRDefault="00F164EF" w:rsidP="009E5034">
            <w:pPr>
              <w:pStyle w:val="Tableau"/>
              <w:ind w:left="1"/>
              <w:jc w:val="left"/>
              <w:rPr>
                <w:sz w:val="22"/>
                <w:szCs w:val="22"/>
              </w:rPr>
            </w:pPr>
            <w:r w:rsidRPr="009E5034">
              <w:rPr>
                <w:sz w:val="22"/>
                <w:szCs w:val="22"/>
              </w:rPr>
              <w:t>Manioc, Pastèques, Thé, ail,</w:t>
            </w:r>
          </w:p>
        </w:tc>
        <w:tc>
          <w:tcPr>
            <w:tcW w:w="1424" w:type="dxa"/>
            <w:vAlign w:val="center"/>
          </w:tcPr>
          <w:p w:rsidR="00F164EF" w:rsidRPr="009E5034" w:rsidRDefault="00F164EF" w:rsidP="009E5034">
            <w:pPr>
              <w:pStyle w:val="Tableau"/>
              <w:ind w:left="1"/>
              <w:jc w:val="left"/>
              <w:rPr>
                <w:sz w:val="22"/>
                <w:szCs w:val="22"/>
              </w:rPr>
            </w:pPr>
            <w:r w:rsidRPr="009E5034">
              <w:rPr>
                <w:sz w:val="22"/>
                <w:szCs w:val="22"/>
              </w:rPr>
              <w:t>2 346</w:t>
            </w:r>
          </w:p>
        </w:tc>
        <w:tc>
          <w:tcPr>
            <w:tcW w:w="1430" w:type="dxa"/>
            <w:vAlign w:val="center"/>
          </w:tcPr>
          <w:p w:rsidR="00F164EF" w:rsidRPr="009E5034" w:rsidRDefault="00F164EF" w:rsidP="009E5034">
            <w:pPr>
              <w:pStyle w:val="Tableau"/>
              <w:ind w:left="1"/>
              <w:jc w:val="left"/>
              <w:rPr>
                <w:sz w:val="22"/>
                <w:szCs w:val="22"/>
              </w:rPr>
            </w:pPr>
            <w:r w:rsidRPr="009E5034">
              <w:rPr>
                <w:sz w:val="22"/>
                <w:szCs w:val="22"/>
              </w:rPr>
              <w:t>37 395</w:t>
            </w:r>
          </w:p>
        </w:tc>
      </w:tr>
      <w:tr w:rsidR="00F164EF" w:rsidRPr="009E5034" w:rsidTr="00183B56">
        <w:tc>
          <w:tcPr>
            <w:tcW w:w="2176" w:type="dxa"/>
            <w:vAlign w:val="center"/>
          </w:tcPr>
          <w:p w:rsidR="00F164EF" w:rsidRPr="009E5034" w:rsidRDefault="00F164EF" w:rsidP="009E5034">
            <w:pPr>
              <w:pStyle w:val="Tableau"/>
              <w:ind w:left="1"/>
              <w:jc w:val="left"/>
              <w:rPr>
                <w:sz w:val="22"/>
                <w:szCs w:val="22"/>
              </w:rPr>
            </w:pPr>
            <w:r w:rsidRPr="009E5034">
              <w:rPr>
                <w:sz w:val="22"/>
                <w:szCs w:val="22"/>
              </w:rPr>
              <w:t>Total</w:t>
            </w:r>
          </w:p>
        </w:tc>
        <w:tc>
          <w:tcPr>
            <w:tcW w:w="3690" w:type="dxa"/>
            <w:vAlign w:val="center"/>
          </w:tcPr>
          <w:p w:rsidR="00F164EF" w:rsidRPr="009E5034" w:rsidRDefault="00F164EF" w:rsidP="009E5034">
            <w:pPr>
              <w:pStyle w:val="Tableau"/>
              <w:ind w:left="1"/>
              <w:jc w:val="left"/>
              <w:rPr>
                <w:sz w:val="22"/>
                <w:szCs w:val="22"/>
              </w:rPr>
            </w:pPr>
          </w:p>
        </w:tc>
        <w:tc>
          <w:tcPr>
            <w:tcW w:w="1424" w:type="dxa"/>
            <w:vAlign w:val="center"/>
          </w:tcPr>
          <w:p w:rsidR="00F164EF" w:rsidRPr="009E5034" w:rsidRDefault="00F164EF" w:rsidP="009E5034">
            <w:pPr>
              <w:pStyle w:val="Tableau"/>
              <w:ind w:left="1"/>
              <w:jc w:val="left"/>
              <w:rPr>
                <w:sz w:val="22"/>
                <w:szCs w:val="22"/>
              </w:rPr>
            </w:pPr>
            <w:r w:rsidRPr="009E5034">
              <w:rPr>
                <w:sz w:val="22"/>
                <w:szCs w:val="22"/>
              </w:rPr>
              <w:t>270 454</w:t>
            </w:r>
          </w:p>
        </w:tc>
        <w:tc>
          <w:tcPr>
            <w:tcW w:w="1430" w:type="dxa"/>
            <w:vAlign w:val="center"/>
          </w:tcPr>
          <w:p w:rsidR="00F164EF" w:rsidRPr="009E5034" w:rsidRDefault="00F164EF" w:rsidP="009E5034">
            <w:pPr>
              <w:pStyle w:val="Tableau"/>
              <w:ind w:left="1"/>
              <w:jc w:val="left"/>
              <w:rPr>
                <w:sz w:val="22"/>
                <w:szCs w:val="22"/>
              </w:rPr>
            </w:pPr>
            <w:r w:rsidRPr="009E5034">
              <w:rPr>
                <w:sz w:val="22"/>
                <w:szCs w:val="22"/>
              </w:rPr>
              <w:t>440 846</w:t>
            </w:r>
          </w:p>
        </w:tc>
      </w:tr>
    </w:tbl>
    <w:p w:rsidR="00F164EF" w:rsidRPr="009E5034" w:rsidRDefault="00F164EF" w:rsidP="009E5034">
      <w:pPr>
        <w:spacing w:before="120" w:after="120"/>
        <w:ind w:left="0"/>
        <w:jc w:val="left"/>
        <w:rPr>
          <w:sz w:val="22"/>
          <w:szCs w:val="22"/>
        </w:rPr>
      </w:pPr>
      <w:r w:rsidRPr="009E5034">
        <w:rPr>
          <w:sz w:val="22"/>
          <w:szCs w:val="22"/>
        </w:rPr>
        <w:t xml:space="preserve">L'autosuffisance alimentaire est une réalité dans cette région du Mali, les fruits et légumes sont disponibles en toute saison, la région de Sikasso est considéré même excédentaire en produits agricoles. </w:t>
      </w:r>
    </w:p>
    <w:p w:rsidR="00F164EF" w:rsidRPr="009E5034" w:rsidRDefault="00F164EF" w:rsidP="009E5034">
      <w:pPr>
        <w:spacing w:before="120" w:after="120"/>
        <w:ind w:left="0"/>
        <w:jc w:val="left"/>
        <w:rPr>
          <w:sz w:val="22"/>
          <w:szCs w:val="22"/>
        </w:rPr>
      </w:pPr>
      <w:r w:rsidRPr="009E5034">
        <w:rPr>
          <w:sz w:val="22"/>
          <w:szCs w:val="22"/>
        </w:rPr>
        <w:t>La production des fruits et légumes à Sikasso joue en effet un rôle important dans l’approvisionnement des zones sèches du pays ainsi que dans l’exportation en dehors du Mali, seulement le manque d’organisation de la filière et particulièrement au niveau de la commercialisation  des  produits entrave considérablement le développement de cette activité. Dans la région de Sikasso, nous observons essentiellement la production de cinq groupes de cultures:</w:t>
      </w:r>
    </w:p>
    <w:p w:rsidR="00F164EF" w:rsidRPr="009E5034" w:rsidRDefault="00F164EF" w:rsidP="009E5034">
      <w:pPr>
        <w:numPr>
          <w:ilvl w:val="0"/>
          <w:numId w:val="12"/>
        </w:numPr>
        <w:autoSpaceDE/>
        <w:autoSpaceDN/>
        <w:adjustRightInd/>
        <w:spacing w:before="120" w:after="120"/>
        <w:ind w:left="349"/>
        <w:jc w:val="left"/>
        <w:rPr>
          <w:sz w:val="22"/>
          <w:szCs w:val="22"/>
        </w:rPr>
      </w:pPr>
      <w:r w:rsidRPr="009E5034">
        <w:rPr>
          <w:sz w:val="22"/>
          <w:szCs w:val="22"/>
        </w:rPr>
        <w:t>La culture cotonnière: Avec une moyenne d’environ 100</w:t>
      </w:r>
      <w:r w:rsidR="00370D94">
        <w:rPr>
          <w:sz w:val="22"/>
          <w:szCs w:val="22"/>
        </w:rPr>
        <w:t>.</w:t>
      </w:r>
      <w:r w:rsidRPr="009E5034">
        <w:rPr>
          <w:sz w:val="22"/>
          <w:szCs w:val="22"/>
        </w:rPr>
        <w:t>000 hectares de terres réservées à cette activité et une production de l’ordre de 100</w:t>
      </w:r>
      <w:r w:rsidR="00370D94">
        <w:rPr>
          <w:sz w:val="22"/>
          <w:szCs w:val="22"/>
        </w:rPr>
        <w:t>.</w:t>
      </w:r>
      <w:r w:rsidRPr="009E5034">
        <w:rPr>
          <w:sz w:val="22"/>
          <w:szCs w:val="22"/>
        </w:rPr>
        <w:t xml:space="preserve">000 tonnes par an et une contribution significative dans l’économie nationale, la culture cotonnière constitue une véritable entreprise rurale régie par différents modes d’organisation, d’encadrement et de structuration. La culture du coton n’apparaît pas uniquement comme une source de revenus pour les agriculteurs mais surtout un moteur de développement des populations rurales.  </w:t>
      </w:r>
    </w:p>
    <w:p w:rsidR="00F164EF" w:rsidRPr="009E5034" w:rsidRDefault="00F164EF" w:rsidP="009E5034">
      <w:pPr>
        <w:numPr>
          <w:ilvl w:val="0"/>
          <w:numId w:val="12"/>
        </w:numPr>
        <w:autoSpaceDE/>
        <w:autoSpaceDN/>
        <w:adjustRightInd/>
        <w:spacing w:before="120" w:after="120"/>
        <w:ind w:left="349"/>
        <w:jc w:val="left"/>
        <w:rPr>
          <w:sz w:val="22"/>
          <w:szCs w:val="22"/>
        </w:rPr>
      </w:pPr>
      <w:r w:rsidRPr="009E5034">
        <w:rPr>
          <w:sz w:val="22"/>
          <w:szCs w:val="22"/>
        </w:rPr>
        <w:t>La production céréalière qui s’est étalée au cours de la saison agricole 2004 sur plus de 170</w:t>
      </w:r>
      <w:r w:rsidR="00370D94">
        <w:rPr>
          <w:sz w:val="22"/>
          <w:szCs w:val="22"/>
        </w:rPr>
        <w:t>.</w:t>
      </w:r>
      <w:r w:rsidRPr="009E5034">
        <w:rPr>
          <w:sz w:val="22"/>
          <w:szCs w:val="22"/>
        </w:rPr>
        <w:t>000 hectares a fourni une production de l’ordre de 224</w:t>
      </w:r>
      <w:r w:rsidR="00370D94">
        <w:rPr>
          <w:sz w:val="22"/>
          <w:szCs w:val="22"/>
        </w:rPr>
        <w:t>.</w:t>
      </w:r>
      <w:r w:rsidRPr="009E5034">
        <w:rPr>
          <w:sz w:val="22"/>
          <w:szCs w:val="22"/>
        </w:rPr>
        <w:t>000 tonnes avec 118</w:t>
      </w:r>
      <w:r w:rsidR="00370D94">
        <w:rPr>
          <w:sz w:val="22"/>
          <w:szCs w:val="22"/>
        </w:rPr>
        <w:t>.</w:t>
      </w:r>
      <w:r w:rsidRPr="009E5034">
        <w:rPr>
          <w:sz w:val="22"/>
          <w:szCs w:val="22"/>
        </w:rPr>
        <w:t>000 tonnes pour seulement le mais.</w:t>
      </w:r>
    </w:p>
    <w:p w:rsidR="00F164EF" w:rsidRPr="009E5034" w:rsidRDefault="00F164EF" w:rsidP="009E5034">
      <w:pPr>
        <w:numPr>
          <w:ilvl w:val="0"/>
          <w:numId w:val="12"/>
        </w:numPr>
        <w:autoSpaceDE/>
        <w:autoSpaceDN/>
        <w:adjustRightInd/>
        <w:spacing w:before="120" w:after="120"/>
        <w:ind w:left="349"/>
        <w:jc w:val="left"/>
        <w:rPr>
          <w:sz w:val="22"/>
          <w:szCs w:val="22"/>
        </w:rPr>
      </w:pPr>
      <w:r w:rsidRPr="009E5034">
        <w:rPr>
          <w:sz w:val="22"/>
          <w:szCs w:val="22"/>
        </w:rPr>
        <w:t>La production de pomm</w:t>
      </w:r>
      <w:r w:rsidR="00370D94">
        <w:rPr>
          <w:sz w:val="22"/>
          <w:szCs w:val="22"/>
        </w:rPr>
        <w:t>e de terre évaluée à environ 50.</w:t>
      </w:r>
      <w:r w:rsidRPr="009E5034">
        <w:rPr>
          <w:sz w:val="22"/>
          <w:szCs w:val="22"/>
        </w:rPr>
        <w:t>000 tonnes représente après le mais et le coton la troisième production agricole de la région.</w:t>
      </w:r>
    </w:p>
    <w:p w:rsidR="00F164EF" w:rsidRPr="009E5034" w:rsidRDefault="00F164EF" w:rsidP="009E5034">
      <w:pPr>
        <w:numPr>
          <w:ilvl w:val="0"/>
          <w:numId w:val="12"/>
        </w:numPr>
        <w:autoSpaceDE/>
        <w:autoSpaceDN/>
        <w:adjustRightInd/>
        <w:spacing w:before="120" w:after="120"/>
        <w:ind w:left="349"/>
        <w:jc w:val="left"/>
        <w:rPr>
          <w:sz w:val="22"/>
          <w:szCs w:val="22"/>
        </w:rPr>
      </w:pPr>
      <w:r w:rsidRPr="009E5034">
        <w:rPr>
          <w:sz w:val="22"/>
          <w:szCs w:val="22"/>
        </w:rPr>
        <w:t>La culture du riz bénéficie de plus en plus d’un intérêt relativement important vue sa contribution à l’autonomie alimentaire, la production a dépassé au cours de</w:t>
      </w:r>
      <w:r w:rsidR="00370D94">
        <w:rPr>
          <w:sz w:val="22"/>
          <w:szCs w:val="22"/>
        </w:rPr>
        <w:t xml:space="preserve"> la saison agricole 2004 les 30.</w:t>
      </w:r>
      <w:r w:rsidRPr="009E5034">
        <w:rPr>
          <w:sz w:val="22"/>
          <w:szCs w:val="22"/>
        </w:rPr>
        <w:t>000 tonnes.</w:t>
      </w:r>
    </w:p>
    <w:p w:rsidR="00F164EF" w:rsidRPr="009E5034" w:rsidRDefault="00F164EF" w:rsidP="009E5034">
      <w:pPr>
        <w:spacing w:before="120" w:after="120"/>
        <w:ind w:left="0"/>
        <w:jc w:val="left"/>
        <w:rPr>
          <w:sz w:val="22"/>
          <w:szCs w:val="22"/>
        </w:rPr>
      </w:pPr>
      <w:r w:rsidRPr="009E5034">
        <w:rPr>
          <w:sz w:val="22"/>
          <w:szCs w:val="22"/>
        </w:rPr>
        <w:t>La production de fruits et légumes contribue à l’approvisionnement de plusieurs régions du Mali, elle est amenée à se développer au cours des prochaines années particulièrement au niveau de la distribution.</w:t>
      </w:r>
    </w:p>
    <w:p w:rsidR="00F164EF" w:rsidRPr="009E5034" w:rsidRDefault="00F164EF" w:rsidP="009E5034">
      <w:pPr>
        <w:ind w:left="0"/>
        <w:jc w:val="left"/>
        <w:rPr>
          <w:sz w:val="22"/>
          <w:szCs w:val="22"/>
        </w:rPr>
      </w:pPr>
      <w:r w:rsidRPr="009E5034">
        <w:rPr>
          <w:sz w:val="22"/>
          <w:szCs w:val="22"/>
        </w:rPr>
        <w:t xml:space="preserve">Pour ce qui est de l’élevage, il faut rappeler que les années de sécheresse (1972, 1973, 1983, 1984) ont occasionné le replie vers Sikasso, de nombreux troupeaux des communes plus septentrionales. Ainsi des éleveurs peulhs venus de Mopti et Ségou avec leurs troupeaux se sont implantés dans la commune de Sikasso et pratiquent maintenant l’élevage semi sédentaire : Ces Peulhs semi sédentaires pratiquent l’agriculture et l’élevage et se sont bien intégrés dans les villages. </w:t>
      </w:r>
    </w:p>
    <w:p w:rsidR="00F164EF" w:rsidRPr="009E5034" w:rsidRDefault="00F164EF" w:rsidP="009E5034">
      <w:pPr>
        <w:spacing w:before="120" w:after="120"/>
        <w:ind w:left="0"/>
        <w:jc w:val="left"/>
        <w:rPr>
          <w:sz w:val="22"/>
          <w:szCs w:val="22"/>
        </w:rPr>
      </w:pPr>
      <w:r w:rsidRPr="009E5034">
        <w:rPr>
          <w:sz w:val="22"/>
          <w:szCs w:val="22"/>
        </w:rPr>
        <w:t>L’élevage reste leur activité première puisqu’ils gardent des troupeaux importants qui se déplacent sur les terrains de parcours durant la saison sèche à la recherche de pâturage et des points d’eau (sauf les vaches laitière qui ne transhument pas).</w:t>
      </w:r>
    </w:p>
    <w:p w:rsidR="00F164EF" w:rsidRPr="009E5034" w:rsidRDefault="00F164EF" w:rsidP="009E5034">
      <w:pPr>
        <w:spacing w:before="120" w:after="120"/>
        <w:ind w:left="0"/>
        <w:jc w:val="left"/>
        <w:rPr>
          <w:sz w:val="22"/>
          <w:szCs w:val="22"/>
        </w:rPr>
      </w:pPr>
      <w:r w:rsidRPr="009E5034">
        <w:rPr>
          <w:sz w:val="22"/>
          <w:szCs w:val="22"/>
        </w:rPr>
        <w:t>L’élevage dans la région de Sikasso concerne particulièrement les bovins, les ovins et les caprins; il s’agit d’une activité ancestrale qui génère des richesses relativement notables aussi bien pour les populations sédentaires que celles nomades transhumantes. Le quart de la richesse crée dans la région de Sikasso serait en provenance de l’élevage.</w:t>
      </w:r>
    </w:p>
    <w:p w:rsidR="00F164EF" w:rsidRPr="009E5034" w:rsidRDefault="00F164EF" w:rsidP="009E5034">
      <w:pPr>
        <w:spacing w:after="240"/>
        <w:ind w:left="0"/>
        <w:jc w:val="left"/>
        <w:rPr>
          <w:rStyle w:val="Strong"/>
          <w:rFonts w:eastAsia="MS Mincho"/>
          <w:sz w:val="22"/>
          <w:szCs w:val="22"/>
        </w:rPr>
      </w:pPr>
      <w:bookmarkStart w:id="245" w:name="_Toc253578283"/>
      <w:bookmarkStart w:id="246" w:name="_Toc261170174"/>
      <w:r w:rsidRPr="009E5034">
        <w:rPr>
          <w:rStyle w:val="Strong"/>
          <w:rFonts w:eastAsia="MS Mincho"/>
          <w:sz w:val="22"/>
          <w:szCs w:val="22"/>
        </w:rPr>
        <w:t>3.2 Industrie</w:t>
      </w:r>
      <w:bookmarkEnd w:id="245"/>
      <w:bookmarkEnd w:id="246"/>
    </w:p>
    <w:p w:rsidR="00F164EF" w:rsidRPr="009E5034" w:rsidRDefault="00F164EF" w:rsidP="009E5034">
      <w:pPr>
        <w:spacing w:before="120" w:after="120"/>
        <w:ind w:left="0"/>
        <w:jc w:val="left"/>
        <w:rPr>
          <w:sz w:val="22"/>
          <w:szCs w:val="22"/>
        </w:rPr>
      </w:pPr>
      <w:r w:rsidRPr="009E5034">
        <w:rPr>
          <w:sz w:val="22"/>
          <w:szCs w:val="22"/>
        </w:rPr>
        <w:t>Le secteur industriel est peu développé dans la ville de Sikasso, il est représenté principalement par les unités suivantes:</w:t>
      </w:r>
    </w:p>
    <w:p w:rsidR="00F164EF" w:rsidRPr="009E5034" w:rsidRDefault="00F164EF" w:rsidP="009E5034">
      <w:pPr>
        <w:numPr>
          <w:ilvl w:val="0"/>
          <w:numId w:val="12"/>
        </w:numPr>
        <w:autoSpaceDE/>
        <w:autoSpaceDN/>
        <w:adjustRightInd/>
        <w:spacing w:before="120" w:after="120"/>
        <w:ind w:left="349"/>
        <w:jc w:val="left"/>
        <w:rPr>
          <w:sz w:val="22"/>
          <w:szCs w:val="22"/>
        </w:rPr>
      </w:pPr>
      <w:r w:rsidRPr="009E5034">
        <w:rPr>
          <w:sz w:val="22"/>
          <w:szCs w:val="22"/>
        </w:rPr>
        <w:t>Deux usines d’égrenage de coton, CMDT; elles fonctionnent à 90% de leur capacité pendant les six mois de campagne, leurs capacités de production fluctuent de manière significative d’une année à l’autre en fonction des productions agricoles, les entrées usines ont chuté à titre d’exemple de 70</w:t>
      </w:r>
      <w:r w:rsidR="002A29D1">
        <w:rPr>
          <w:sz w:val="22"/>
          <w:szCs w:val="22"/>
        </w:rPr>
        <w:t>.</w:t>
      </w:r>
      <w:r w:rsidRPr="009E5034">
        <w:rPr>
          <w:sz w:val="22"/>
          <w:szCs w:val="22"/>
        </w:rPr>
        <w:t>000 Tonnes au cours de la saison 2003-2004 à 35</w:t>
      </w:r>
      <w:r w:rsidR="002A29D1">
        <w:rPr>
          <w:sz w:val="22"/>
          <w:szCs w:val="22"/>
        </w:rPr>
        <w:t>.</w:t>
      </w:r>
      <w:r w:rsidRPr="009E5034">
        <w:rPr>
          <w:sz w:val="22"/>
          <w:szCs w:val="22"/>
        </w:rPr>
        <w:t>000 Tonnes la saison suivante.</w:t>
      </w:r>
    </w:p>
    <w:p w:rsidR="00F164EF" w:rsidRPr="009E5034" w:rsidRDefault="00F164EF" w:rsidP="009E5034">
      <w:pPr>
        <w:numPr>
          <w:ilvl w:val="0"/>
          <w:numId w:val="12"/>
        </w:numPr>
        <w:autoSpaceDE/>
        <w:autoSpaceDN/>
        <w:adjustRightInd/>
        <w:spacing w:before="120" w:after="120"/>
        <w:ind w:left="349"/>
        <w:jc w:val="left"/>
        <w:rPr>
          <w:sz w:val="22"/>
          <w:szCs w:val="22"/>
        </w:rPr>
      </w:pPr>
      <w:r w:rsidRPr="009E5034">
        <w:rPr>
          <w:sz w:val="22"/>
          <w:szCs w:val="22"/>
        </w:rPr>
        <w:t>L’usine de L’EMAMA qui produit des pompes manuelles pour forages, des pompes solaires, des pièces de rechange</w:t>
      </w:r>
    </w:p>
    <w:p w:rsidR="00F164EF" w:rsidRPr="009E5034" w:rsidRDefault="00F164EF" w:rsidP="009E5034">
      <w:pPr>
        <w:numPr>
          <w:ilvl w:val="0"/>
          <w:numId w:val="12"/>
        </w:numPr>
        <w:autoSpaceDE/>
        <w:autoSpaceDN/>
        <w:adjustRightInd/>
        <w:spacing w:before="120" w:after="120"/>
        <w:ind w:left="349"/>
        <w:jc w:val="left"/>
        <w:rPr>
          <w:sz w:val="22"/>
          <w:szCs w:val="22"/>
        </w:rPr>
      </w:pPr>
      <w:r w:rsidRPr="009E5034">
        <w:rPr>
          <w:sz w:val="22"/>
          <w:szCs w:val="22"/>
        </w:rPr>
        <w:t>Deux unités de transformation de beurre de Karité et de conditionnement de fruits et légumes, sociétés des oléagineux, SOM.</w:t>
      </w:r>
    </w:p>
    <w:p w:rsidR="00F164EF" w:rsidRPr="009E5034" w:rsidRDefault="00F164EF" w:rsidP="009E5034">
      <w:pPr>
        <w:numPr>
          <w:ilvl w:val="0"/>
          <w:numId w:val="12"/>
        </w:numPr>
        <w:autoSpaceDE/>
        <w:autoSpaceDN/>
        <w:adjustRightInd/>
        <w:spacing w:before="120" w:after="120"/>
        <w:ind w:left="349"/>
        <w:jc w:val="left"/>
        <w:rPr>
          <w:sz w:val="22"/>
          <w:szCs w:val="22"/>
        </w:rPr>
      </w:pPr>
      <w:r w:rsidRPr="009E5034">
        <w:rPr>
          <w:sz w:val="22"/>
          <w:szCs w:val="22"/>
        </w:rPr>
        <w:t>Une unité de fabrication de fourneaux, SEWA.</w:t>
      </w:r>
    </w:p>
    <w:p w:rsidR="00F164EF" w:rsidRPr="009E5034" w:rsidRDefault="00F164EF" w:rsidP="009E5034">
      <w:pPr>
        <w:numPr>
          <w:ilvl w:val="0"/>
          <w:numId w:val="12"/>
        </w:numPr>
        <w:autoSpaceDE/>
        <w:autoSpaceDN/>
        <w:adjustRightInd/>
        <w:spacing w:before="120" w:after="120"/>
        <w:ind w:left="349"/>
        <w:jc w:val="left"/>
        <w:rPr>
          <w:sz w:val="22"/>
          <w:szCs w:val="22"/>
        </w:rPr>
      </w:pPr>
      <w:r w:rsidRPr="009E5034">
        <w:rPr>
          <w:sz w:val="22"/>
          <w:szCs w:val="22"/>
        </w:rPr>
        <w:t>Une unité de conditionnement des mangues, 13 tonnes exportées en 2004.</w:t>
      </w:r>
    </w:p>
    <w:p w:rsidR="00F164EF" w:rsidRPr="009E5034" w:rsidRDefault="00F164EF" w:rsidP="009E5034">
      <w:pPr>
        <w:spacing w:before="120" w:after="120"/>
        <w:ind w:left="0"/>
        <w:jc w:val="left"/>
        <w:rPr>
          <w:sz w:val="22"/>
          <w:szCs w:val="22"/>
        </w:rPr>
      </w:pPr>
      <w:r w:rsidRPr="009E5034">
        <w:rPr>
          <w:sz w:val="22"/>
          <w:szCs w:val="22"/>
        </w:rPr>
        <w:t>L’ensemble des unités industrielles fait travailler environ 700 personnes dont 463 pour la seule CMDT d’engrenage de coton.</w:t>
      </w:r>
    </w:p>
    <w:p w:rsidR="00F164EF" w:rsidRPr="009E5034" w:rsidRDefault="00F164EF" w:rsidP="009E5034">
      <w:pPr>
        <w:spacing w:before="120" w:after="120"/>
        <w:ind w:left="0"/>
        <w:jc w:val="left"/>
        <w:rPr>
          <w:sz w:val="22"/>
          <w:szCs w:val="22"/>
        </w:rPr>
      </w:pPr>
      <w:r w:rsidRPr="009E5034">
        <w:rPr>
          <w:sz w:val="22"/>
          <w:szCs w:val="22"/>
        </w:rPr>
        <w:t>Pour ce qui est des activités artisanales, celles-ci  sont dominées principalement et par ordre d’importance  par le secteur du textile et du cuir, les unités agroalimentaires et les ateliers de forgerons. La ville de Sikasso dénombrait pas mois de 860 unités artisanales en 1998, ce nombre dépasse aujourd’hui et d’après les estimations de certains responsables les 1200 unités.</w:t>
      </w:r>
    </w:p>
    <w:p w:rsidR="00F164EF" w:rsidRPr="009E5034" w:rsidRDefault="00F164EF" w:rsidP="009E5034">
      <w:pPr>
        <w:spacing w:after="240"/>
        <w:ind w:left="0"/>
        <w:jc w:val="left"/>
        <w:rPr>
          <w:rStyle w:val="Strong"/>
          <w:rFonts w:eastAsia="MS Mincho"/>
          <w:sz w:val="22"/>
          <w:szCs w:val="22"/>
        </w:rPr>
      </w:pPr>
      <w:bookmarkStart w:id="247" w:name="_Toc253578284"/>
      <w:bookmarkStart w:id="248" w:name="_Toc261170175"/>
      <w:r w:rsidRPr="009E5034">
        <w:rPr>
          <w:rStyle w:val="Strong"/>
          <w:rFonts w:eastAsia="MS Mincho"/>
          <w:sz w:val="22"/>
          <w:szCs w:val="22"/>
        </w:rPr>
        <w:t>3.3. Transport</w:t>
      </w:r>
      <w:bookmarkEnd w:id="247"/>
      <w:bookmarkEnd w:id="248"/>
    </w:p>
    <w:p w:rsidR="00F164EF" w:rsidRPr="009E5034" w:rsidRDefault="00F164EF" w:rsidP="009E5034">
      <w:pPr>
        <w:spacing w:before="120" w:after="120"/>
        <w:ind w:left="0"/>
        <w:jc w:val="left"/>
        <w:rPr>
          <w:sz w:val="22"/>
          <w:szCs w:val="22"/>
        </w:rPr>
      </w:pPr>
      <w:r w:rsidRPr="009E5034">
        <w:rPr>
          <w:sz w:val="22"/>
          <w:szCs w:val="22"/>
        </w:rPr>
        <w:t>De part sa position géographique, la ville de Sikasso constitue un centre de transit pour les biens et les personnes en direction ou en provenance des pays limitrophes et du reste du pays.</w:t>
      </w:r>
    </w:p>
    <w:p w:rsidR="00F164EF" w:rsidRPr="009E5034" w:rsidRDefault="00F164EF" w:rsidP="009E5034">
      <w:pPr>
        <w:spacing w:before="120" w:after="120"/>
        <w:ind w:left="0"/>
        <w:jc w:val="left"/>
        <w:rPr>
          <w:sz w:val="22"/>
          <w:szCs w:val="22"/>
        </w:rPr>
      </w:pPr>
      <w:r w:rsidRPr="009E5034">
        <w:rPr>
          <w:sz w:val="22"/>
          <w:szCs w:val="22"/>
        </w:rPr>
        <w:t>En 2001 et selon les statistiques fournies par la direction r</w:t>
      </w:r>
      <w:r w:rsidR="002A29D1">
        <w:rPr>
          <w:sz w:val="22"/>
          <w:szCs w:val="22"/>
        </w:rPr>
        <w:t>égionale des transports, 22.</w:t>
      </w:r>
      <w:r w:rsidRPr="009E5034">
        <w:rPr>
          <w:sz w:val="22"/>
          <w:szCs w:val="22"/>
        </w:rPr>
        <w:t xml:space="preserve">466 véhicules ont transité </w:t>
      </w:r>
      <w:r w:rsidR="002A29D1">
        <w:rPr>
          <w:sz w:val="22"/>
          <w:szCs w:val="22"/>
        </w:rPr>
        <w:t>par la ville de Sikasso dont 13.</w:t>
      </w:r>
      <w:r w:rsidRPr="009E5034">
        <w:rPr>
          <w:sz w:val="22"/>
          <w:szCs w:val="22"/>
        </w:rPr>
        <w:t>2</w:t>
      </w:r>
      <w:r w:rsidR="002A29D1">
        <w:rPr>
          <w:sz w:val="22"/>
          <w:szCs w:val="22"/>
        </w:rPr>
        <w:t>02 véhicules maliens et 9.</w:t>
      </w:r>
      <w:r w:rsidRPr="009E5034">
        <w:rPr>
          <w:sz w:val="22"/>
          <w:szCs w:val="22"/>
        </w:rPr>
        <w:t>264 étrangers. Le volume total de marchandises transportées pendant la même p</w:t>
      </w:r>
      <w:r w:rsidR="002A29D1">
        <w:rPr>
          <w:sz w:val="22"/>
          <w:szCs w:val="22"/>
        </w:rPr>
        <w:t>ériode est estimé à environ 930.</w:t>
      </w:r>
      <w:r w:rsidRPr="009E5034">
        <w:rPr>
          <w:sz w:val="22"/>
          <w:szCs w:val="22"/>
        </w:rPr>
        <w:t xml:space="preserve">000 tonnes. </w:t>
      </w:r>
    </w:p>
    <w:p w:rsidR="00F164EF" w:rsidRPr="009E5034" w:rsidRDefault="00F164EF" w:rsidP="009E5034">
      <w:pPr>
        <w:spacing w:before="120" w:after="120"/>
        <w:ind w:left="0"/>
        <w:jc w:val="left"/>
        <w:rPr>
          <w:sz w:val="22"/>
          <w:szCs w:val="22"/>
        </w:rPr>
      </w:pPr>
      <w:r w:rsidRPr="009E5034">
        <w:rPr>
          <w:sz w:val="22"/>
          <w:szCs w:val="22"/>
        </w:rPr>
        <w:t>Le parc auto de la région en 2001 était de 1 418 véhicules, il a ensuite évolué rapid</w:t>
      </w:r>
      <w:r w:rsidR="002A29D1">
        <w:rPr>
          <w:sz w:val="22"/>
          <w:szCs w:val="22"/>
        </w:rPr>
        <w:t>ement pour atteindre en 2005, 2.1</w:t>
      </w:r>
      <w:r w:rsidRPr="009E5034">
        <w:rPr>
          <w:sz w:val="22"/>
          <w:szCs w:val="22"/>
        </w:rPr>
        <w:t>80 véhicules.</w:t>
      </w:r>
    </w:p>
    <w:p w:rsidR="00F164EF" w:rsidRPr="009E5034" w:rsidRDefault="00F164EF" w:rsidP="009E5034">
      <w:pPr>
        <w:spacing w:before="120" w:after="120"/>
        <w:ind w:left="0"/>
        <w:jc w:val="left"/>
        <w:rPr>
          <w:sz w:val="22"/>
          <w:szCs w:val="22"/>
        </w:rPr>
      </w:pPr>
      <w:r w:rsidRPr="009E5034">
        <w:rPr>
          <w:sz w:val="22"/>
          <w:szCs w:val="22"/>
        </w:rPr>
        <w:t xml:space="preserve">Le transport des passagers a connu au cours des dernières années un développement remarquable, le nombre de véhicules de transport est passé d’une trentaine en 1997 à 665 en 2005. La rénovation de l’axe routier Sikasso- Bamako ainsi que les aides financières accordées par les banques dans le domaine ont favorisé cette explosion. Les recettes générées par la perception des taxes liées au transport </w:t>
      </w:r>
      <w:r w:rsidR="002A29D1">
        <w:rPr>
          <w:sz w:val="22"/>
          <w:szCs w:val="22"/>
        </w:rPr>
        <w:t>en 2000 sont estimées à 61.045.</w:t>
      </w:r>
      <w:r w:rsidRPr="009E5034">
        <w:rPr>
          <w:sz w:val="22"/>
          <w:szCs w:val="22"/>
        </w:rPr>
        <w:t xml:space="preserve">500 francs CFA. </w:t>
      </w:r>
    </w:p>
    <w:p w:rsidR="00F164EF" w:rsidRPr="009E5034" w:rsidRDefault="00F164EF" w:rsidP="009E5034">
      <w:pPr>
        <w:spacing w:before="120" w:after="120"/>
        <w:ind w:left="0"/>
        <w:jc w:val="left"/>
        <w:rPr>
          <w:sz w:val="22"/>
          <w:szCs w:val="22"/>
        </w:rPr>
      </w:pPr>
      <w:r w:rsidRPr="009E5034">
        <w:rPr>
          <w:sz w:val="22"/>
          <w:szCs w:val="22"/>
        </w:rPr>
        <w:t>En 2004, le nombre de passagers interurbains et inter pays a atteint les 13</w:t>
      </w:r>
      <w:r w:rsidR="002A29D1">
        <w:rPr>
          <w:sz w:val="22"/>
          <w:szCs w:val="22"/>
        </w:rPr>
        <w:t>0.526 voyageurs dont environ 50.</w:t>
      </w:r>
      <w:r w:rsidRPr="009E5034">
        <w:rPr>
          <w:sz w:val="22"/>
          <w:szCs w:val="22"/>
        </w:rPr>
        <w:t xml:space="preserve">000 à destination ou en provenance des pays limitrophes particulièrement et par ordre la Côte d’ivoire, 30 000 et le Burkina Faso, 12 000.  </w:t>
      </w:r>
    </w:p>
    <w:p w:rsidR="00F164EF" w:rsidRPr="009E5034" w:rsidRDefault="00F164EF" w:rsidP="009E5034">
      <w:pPr>
        <w:spacing w:before="120" w:after="120"/>
        <w:ind w:left="0"/>
        <w:jc w:val="left"/>
        <w:rPr>
          <w:sz w:val="22"/>
          <w:szCs w:val="22"/>
        </w:rPr>
      </w:pPr>
      <w:r w:rsidRPr="009E5034">
        <w:rPr>
          <w:sz w:val="22"/>
          <w:szCs w:val="22"/>
        </w:rPr>
        <w:t>Pour ce qui est du transport urbain à l’intérieur de la ville, celui-ci est assuré par les voitures taxis, les minicars et les voitures bâchées; le transport des marchandises est assuré par des charrettes.</w:t>
      </w:r>
    </w:p>
    <w:p w:rsidR="00F164EF" w:rsidRPr="009E5034" w:rsidRDefault="00F164EF" w:rsidP="009E5034">
      <w:pPr>
        <w:spacing w:before="120" w:after="120"/>
        <w:ind w:left="0"/>
        <w:jc w:val="left"/>
        <w:rPr>
          <w:sz w:val="22"/>
          <w:szCs w:val="22"/>
        </w:rPr>
      </w:pPr>
      <w:r w:rsidRPr="009E5034">
        <w:rPr>
          <w:sz w:val="22"/>
          <w:szCs w:val="22"/>
        </w:rPr>
        <w:t>Les accidents en milieu urbain, en relation avec le trafic routier, ont connu au cours des dernières années une recrudescence remarquable due à l’augmentation des véhicules, souvent au non respect du code de la route, au mauvais état de la chaussée et des pistes ainsi qu’à l’encombrement de la ville et des voies de passages des véhicules et des camions. Le tableau suivant donne un  aperçu des accidents enregistrés par la gendarmerie dans la ville de Sikasso au cours de la période 2002-2004.</w:t>
      </w:r>
    </w:p>
    <w:p w:rsidR="00F164EF" w:rsidRPr="009E5034" w:rsidRDefault="00F164EF" w:rsidP="009E5034">
      <w:pPr>
        <w:pStyle w:val="Caption"/>
        <w:ind w:left="899"/>
        <w:rPr>
          <w:rStyle w:val="Emphasis"/>
          <w:sz w:val="22"/>
          <w:szCs w:val="22"/>
        </w:rPr>
      </w:pPr>
      <w:r w:rsidRPr="009E5034">
        <w:rPr>
          <w:rStyle w:val="Emphasis"/>
          <w:sz w:val="22"/>
          <w:szCs w:val="22"/>
        </w:rPr>
        <w:t xml:space="preserve">Tableau A4.5: </w:t>
      </w:r>
      <w:bookmarkStart w:id="249" w:name="_Toc220981922"/>
      <w:bookmarkStart w:id="250" w:name="_Toc251681749"/>
      <w:r w:rsidRPr="009E5034">
        <w:rPr>
          <w:rStyle w:val="Emphasis"/>
          <w:sz w:val="22"/>
          <w:szCs w:val="22"/>
        </w:rPr>
        <w:t>Evolution des accidents de la route dans la ville de Sikasso, Gendarmerie de Sikasso.</w:t>
      </w:r>
      <w:bookmarkEnd w:id="249"/>
      <w:bookmarkEnd w:id="250"/>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93"/>
        <w:gridCol w:w="708"/>
        <w:gridCol w:w="708"/>
        <w:gridCol w:w="708"/>
      </w:tblGrid>
      <w:tr w:rsidR="00F164EF" w:rsidRPr="009E5034" w:rsidTr="00072CBC">
        <w:trPr>
          <w:jc w:val="center"/>
        </w:trPr>
        <w:tc>
          <w:tcPr>
            <w:tcW w:w="2193" w:type="dxa"/>
          </w:tcPr>
          <w:p w:rsidR="00F164EF" w:rsidRPr="009E5034" w:rsidRDefault="00F164EF" w:rsidP="009E5034">
            <w:pPr>
              <w:pStyle w:val="Tableau"/>
              <w:ind w:left="1"/>
              <w:jc w:val="left"/>
              <w:rPr>
                <w:sz w:val="22"/>
                <w:szCs w:val="22"/>
              </w:rPr>
            </w:pPr>
            <w:r w:rsidRPr="009E5034">
              <w:rPr>
                <w:sz w:val="22"/>
                <w:szCs w:val="22"/>
              </w:rPr>
              <w:t>Accidents</w:t>
            </w:r>
          </w:p>
        </w:tc>
        <w:tc>
          <w:tcPr>
            <w:tcW w:w="708" w:type="dxa"/>
          </w:tcPr>
          <w:p w:rsidR="00F164EF" w:rsidRPr="009E5034" w:rsidRDefault="00F164EF" w:rsidP="009E5034">
            <w:pPr>
              <w:pStyle w:val="Tableau"/>
              <w:ind w:left="1"/>
              <w:jc w:val="left"/>
              <w:rPr>
                <w:sz w:val="22"/>
                <w:szCs w:val="22"/>
              </w:rPr>
            </w:pPr>
            <w:r w:rsidRPr="009E5034">
              <w:rPr>
                <w:sz w:val="22"/>
                <w:szCs w:val="22"/>
              </w:rPr>
              <w:t>2002</w:t>
            </w:r>
          </w:p>
        </w:tc>
        <w:tc>
          <w:tcPr>
            <w:tcW w:w="708" w:type="dxa"/>
          </w:tcPr>
          <w:p w:rsidR="00F164EF" w:rsidRPr="009E5034" w:rsidRDefault="00F164EF" w:rsidP="009E5034">
            <w:pPr>
              <w:pStyle w:val="Tableau"/>
              <w:ind w:left="1"/>
              <w:jc w:val="left"/>
              <w:rPr>
                <w:sz w:val="22"/>
                <w:szCs w:val="22"/>
              </w:rPr>
            </w:pPr>
            <w:r w:rsidRPr="009E5034">
              <w:rPr>
                <w:sz w:val="22"/>
                <w:szCs w:val="22"/>
              </w:rPr>
              <w:t>2003</w:t>
            </w:r>
          </w:p>
        </w:tc>
        <w:tc>
          <w:tcPr>
            <w:tcW w:w="708" w:type="dxa"/>
          </w:tcPr>
          <w:p w:rsidR="00F164EF" w:rsidRPr="009E5034" w:rsidRDefault="00F164EF" w:rsidP="009E5034">
            <w:pPr>
              <w:pStyle w:val="Tableau"/>
              <w:ind w:left="1"/>
              <w:jc w:val="left"/>
              <w:rPr>
                <w:sz w:val="22"/>
                <w:szCs w:val="22"/>
              </w:rPr>
            </w:pPr>
            <w:r w:rsidRPr="009E5034">
              <w:rPr>
                <w:sz w:val="22"/>
                <w:szCs w:val="22"/>
              </w:rPr>
              <w:t>2004</w:t>
            </w:r>
          </w:p>
        </w:tc>
      </w:tr>
      <w:tr w:rsidR="00F164EF" w:rsidRPr="009E5034" w:rsidTr="00072CBC">
        <w:trPr>
          <w:jc w:val="center"/>
        </w:trPr>
        <w:tc>
          <w:tcPr>
            <w:tcW w:w="2193" w:type="dxa"/>
          </w:tcPr>
          <w:p w:rsidR="00F164EF" w:rsidRPr="009E5034" w:rsidRDefault="00F164EF" w:rsidP="009E5034">
            <w:pPr>
              <w:pStyle w:val="Tableau"/>
              <w:ind w:left="1"/>
              <w:jc w:val="left"/>
              <w:rPr>
                <w:sz w:val="22"/>
                <w:szCs w:val="22"/>
              </w:rPr>
            </w:pPr>
            <w:r w:rsidRPr="009E5034">
              <w:rPr>
                <w:sz w:val="22"/>
                <w:szCs w:val="22"/>
              </w:rPr>
              <w:t>Nombre d’accidents</w:t>
            </w:r>
          </w:p>
        </w:tc>
        <w:tc>
          <w:tcPr>
            <w:tcW w:w="708" w:type="dxa"/>
          </w:tcPr>
          <w:p w:rsidR="00F164EF" w:rsidRPr="009E5034" w:rsidRDefault="00F164EF" w:rsidP="009E5034">
            <w:pPr>
              <w:pStyle w:val="Tableau"/>
              <w:ind w:left="1"/>
              <w:jc w:val="left"/>
              <w:rPr>
                <w:sz w:val="22"/>
                <w:szCs w:val="22"/>
              </w:rPr>
            </w:pPr>
            <w:r w:rsidRPr="009E5034">
              <w:rPr>
                <w:sz w:val="22"/>
                <w:szCs w:val="22"/>
              </w:rPr>
              <w:t>11</w:t>
            </w:r>
          </w:p>
        </w:tc>
        <w:tc>
          <w:tcPr>
            <w:tcW w:w="708" w:type="dxa"/>
          </w:tcPr>
          <w:p w:rsidR="00F164EF" w:rsidRPr="009E5034" w:rsidRDefault="00F164EF" w:rsidP="009E5034">
            <w:pPr>
              <w:pStyle w:val="Tableau"/>
              <w:ind w:left="1"/>
              <w:jc w:val="left"/>
              <w:rPr>
                <w:sz w:val="22"/>
                <w:szCs w:val="22"/>
              </w:rPr>
            </w:pPr>
            <w:r w:rsidRPr="009E5034">
              <w:rPr>
                <w:sz w:val="22"/>
                <w:szCs w:val="22"/>
              </w:rPr>
              <w:t>9</w:t>
            </w:r>
          </w:p>
        </w:tc>
        <w:tc>
          <w:tcPr>
            <w:tcW w:w="708" w:type="dxa"/>
          </w:tcPr>
          <w:p w:rsidR="00F164EF" w:rsidRPr="009E5034" w:rsidRDefault="00F164EF" w:rsidP="009E5034">
            <w:pPr>
              <w:pStyle w:val="Tableau"/>
              <w:ind w:left="1"/>
              <w:jc w:val="left"/>
              <w:rPr>
                <w:sz w:val="22"/>
                <w:szCs w:val="22"/>
              </w:rPr>
            </w:pPr>
            <w:r w:rsidRPr="009E5034">
              <w:rPr>
                <w:sz w:val="22"/>
                <w:szCs w:val="22"/>
              </w:rPr>
              <w:t>10</w:t>
            </w:r>
          </w:p>
        </w:tc>
      </w:tr>
      <w:tr w:rsidR="00F164EF" w:rsidRPr="009E5034" w:rsidTr="00072CBC">
        <w:trPr>
          <w:jc w:val="center"/>
        </w:trPr>
        <w:tc>
          <w:tcPr>
            <w:tcW w:w="2193" w:type="dxa"/>
          </w:tcPr>
          <w:p w:rsidR="00F164EF" w:rsidRPr="009E5034" w:rsidRDefault="00F164EF" w:rsidP="009E5034">
            <w:pPr>
              <w:pStyle w:val="Tableau"/>
              <w:ind w:left="1"/>
              <w:jc w:val="left"/>
              <w:rPr>
                <w:sz w:val="22"/>
                <w:szCs w:val="22"/>
              </w:rPr>
            </w:pPr>
            <w:r w:rsidRPr="009E5034">
              <w:rPr>
                <w:sz w:val="22"/>
                <w:szCs w:val="22"/>
              </w:rPr>
              <w:t>Nombre de blessés légers</w:t>
            </w:r>
          </w:p>
        </w:tc>
        <w:tc>
          <w:tcPr>
            <w:tcW w:w="708" w:type="dxa"/>
          </w:tcPr>
          <w:p w:rsidR="00F164EF" w:rsidRPr="009E5034" w:rsidRDefault="00F164EF" w:rsidP="009E5034">
            <w:pPr>
              <w:pStyle w:val="Tableau"/>
              <w:ind w:left="1"/>
              <w:jc w:val="left"/>
              <w:rPr>
                <w:sz w:val="22"/>
                <w:szCs w:val="22"/>
              </w:rPr>
            </w:pPr>
            <w:r w:rsidRPr="009E5034">
              <w:rPr>
                <w:sz w:val="22"/>
                <w:szCs w:val="22"/>
              </w:rPr>
              <w:t>24</w:t>
            </w:r>
          </w:p>
        </w:tc>
        <w:tc>
          <w:tcPr>
            <w:tcW w:w="708" w:type="dxa"/>
          </w:tcPr>
          <w:p w:rsidR="00F164EF" w:rsidRPr="009E5034" w:rsidRDefault="00F164EF" w:rsidP="009E5034">
            <w:pPr>
              <w:pStyle w:val="Tableau"/>
              <w:ind w:left="1"/>
              <w:jc w:val="left"/>
              <w:rPr>
                <w:sz w:val="22"/>
                <w:szCs w:val="22"/>
              </w:rPr>
            </w:pPr>
            <w:r w:rsidRPr="009E5034">
              <w:rPr>
                <w:sz w:val="22"/>
                <w:szCs w:val="22"/>
              </w:rPr>
              <w:t>203</w:t>
            </w:r>
          </w:p>
        </w:tc>
        <w:tc>
          <w:tcPr>
            <w:tcW w:w="708" w:type="dxa"/>
          </w:tcPr>
          <w:p w:rsidR="00F164EF" w:rsidRPr="009E5034" w:rsidRDefault="00F164EF" w:rsidP="009E5034">
            <w:pPr>
              <w:pStyle w:val="Tableau"/>
              <w:ind w:left="1"/>
              <w:jc w:val="left"/>
              <w:rPr>
                <w:sz w:val="22"/>
                <w:szCs w:val="22"/>
              </w:rPr>
            </w:pPr>
            <w:r w:rsidRPr="009E5034">
              <w:rPr>
                <w:sz w:val="22"/>
                <w:szCs w:val="22"/>
              </w:rPr>
              <w:t>-</w:t>
            </w:r>
          </w:p>
        </w:tc>
      </w:tr>
      <w:tr w:rsidR="00F164EF" w:rsidRPr="009E5034" w:rsidTr="00072CBC">
        <w:trPr>
          <w:jc w:val="center"/>
        </w:trPr>
        <w:tc>
          <w:tcPr>
            <w:tcW w:w="2193" w:type="dxa"/>
          </w:tcPr>
          <w:p w:rsidR="00F164EF" w:rsidRPr="009E5034" w:rsidRDefault="00F164EF" w:rsidP="009E5034">
            <w:pPr>
              <w:pStyle w:val="Tableau"/>
              <w:ind w:left="1"/>
              <w:jc w:val="left"/>
              <w:rPr>
                <w:sz w:val="22"/>
                <w:szCs w:val="22"/>
              </w:rPr>
            </w:pPr>
            <w:r w:rsidRPr="009E5034">
              <w:rPr>
                <w:sz w:val="22"/>
                <w:szCs w:val="22"/>
              </w:rPr>
              <w:t>Nombre de blessés graves</w:t>
            </w:r>
          </w:p>
        </w:tc>
        <w:tc>
          <w:tcPr>
            <w:tcW w:w="708" w:type="dxa"/>
          </w:tcPr>
          <w:p w:rsidR="00F164EF" w:rsidRPr="009E5034" w:rsidRDefault="00F164EF" w:rsidP="009E5034">
            <w:pPr>
              <w:pStyle w:val="Tableau"/>
              <w:ind w:left="1"/>
              <w:jc w:val="left"/>
              <w:rPr>
                <w:sz w:val="22"/>
                <w:szCs w:val="22"/>
              </w:rPr>
            </w:pPr>
            <w:r w:rsidRPr="009E5034">
              <w:rPr>
                <w:sz w:val="22"/>
                <w:szCs w:val="22"/>
              </w:rPr>
              <w:t>33</w:t>
            </w:r>
          </w:p>
        </w:tc>
        <w:tc>
          <w:tcPr>
            <w:tcW w:w="708" w:type="dxa"/>
          </w:tcPr>
          <w:p w:rsidR="00F164EF" w:rsidRPr="009E5034" w:rsidRDefault="00F164EF" w:rsidP="009E5034">
            <w:pPr>
              <w:pStyle w:val="Tableau"/>
              <w:ind w:left="1"/>
              <w:jc w:val="left"/>
              <w:rPr>
                <w:sz w:val="22"/>
                <w:szCs w:val="22"/>
              </w:rPr>
            </w:pPr>
            <w:r w:rsidRPr="009E5034">
              <w:rPr>
                <w:sz w:val="22"/>
                <w:szCs w:val="22"/>
              </w:rPr>
              <w:t>99</w:t>
            </w:r>
          </w:p>
        </w:tc>
        <w:tc>
          <w:tcPr>
            <w:tcW w:w="708" w:type="dxa"/>
          </w:tcPr>
          <w:p w:rsidR="00F164EF" w:rsidRPr="009E5034" w:rsidRDefault="00F164EF" w:rsidP="009E5034">
            <w:pPr>
              <w:pStyle w:val="Tableau"/>
              <w:ind w:left="1"/>
              <w:jc w:val="left"/>
              <w:rPr>
                <w:sz w:val="22"/>
                <w:szCs w:val="22"/>
              </w:rPr>
            </w:pPr>
            <w:r w:rsidRPr="009E5034">
              <w:rPr>
                <w:sz w:val="22"/>
                <w:szCs w:val="22"/>
              </w:rPr>
              <w:t>56</w:t>
            </w:r>
          </w:p>
        </w:tc>
      </w:tr>
      <w:tr w:rsidR="00F164EF" w:rsidRPr="009E5034" w:rsidTr="00072CBC">
        <w:trPr>
          <w:jc w:val="center"/>
        </w:trPr>
        <w:tc>
          <w:tcPr>
            <w:tcW w:w="2193" w:type="dxa"/>
          </w:tcPr>
          <w:p w:rsidR="00F164EF" w:rsidRPr="009E5034" w:rsidRDefault="00F164EF" w:rsidP="009E5034">
            <w:pPr>
              <w:pStyle w:val="Tableau"/>
              <w:ind w:left="1"/>
              <w:jc w:val="left"/>
              <w:rPr>
                <w:sz w:val="22"/>
                <w:szCs w:val="22"/>
              </w:rPr>
            </w:pPr>
            <w:r w:rsidRPr="009E5034">
              <w:rPr>
                <w:sz w:val="22"/>
                <w:szCs w:val="22"/>
              </w:rPr>
              <w:t>Nombre de morts</w:t>
            </w:r>
          </w:p>
        </w:tc>
        <w:tc>
          <w:tcPr>
            <w:tcW w:w="708" w:type="dxa"/>
          </w:tcPr>
          <w:p w:rsidR="00F164EF" w:rsidRPr="009E5034" w:rsidRDefault="00F164EF" w:rsidP="009E5034">
            <w:pPr>
              <w:pStyle w:val="Tableau"/>
              <w:ind w:left="1"/>
              <w:jc w:val="left"/>
              <w:rPr>
                <w:sz w:val="22"/>
                <w:szCs w:val="22"/>
              </w:rPr>
            </w:pPr>
            <w:r w:rsidRPr="009E5034">
              <w:rPr>
                <w:sz w:val="22"/>
                <w:szCs w:val="22"/>
              </w:rPr>
              <w:t>33</w:t>
            </w:r>
          </w:p>
        </w:tc>
        <w:tc>
          <w:tcPr>
            <w:tcW w:w="708" w:type="dxa"/>
          </w:tcPr>
          <w:p w:rsidR="00F164EF" w:rsidRPr="009E5034" w:rsidRDefault="00F164EF" w:rsidP="009E5034">
            <w:pPr>
              <w:pStyle w:val="Tableau"/>
              <w:ind w:left="1"/>
              <w:jc w:val="left"/>
              <w:rPr>
                <w:sz w:val="22"/>
                <w:szCs w:val="22"/>
              </w:rPr>
            </w:pPr>
            <w:r w:rsidRPr="009E5034">
              <w:rPr>
                <w:sz w:val="22"/>
                <w:szCs w:val="22"/>
              </w:rPr>
              <w:t>77</w:t>
            </w:r>
          </w:p>
        </w:tc>
        <w:tc>
          <w:tcPr>
            <w:tcW w:w="708" w:type="dxa"/>
          </w:tcPr>
          <w:p w:rsidR="00F164EF" w:rsidRPr="009E5034" w:rsidRDefault="00F164EF" w:rsidP="009E5034">
            <w:pPr>
              <w:pStyle w:val="Tableau"/>
              <w:ind w:left="1"/>
              <w:jc w:val="left"/>
              <w:rPr>
                <w:sz w:val="22"/>
                <w:szCs w:val="22"/>
              </w:rPr>
            </w:pPr>
            <w:r w:rsidRPr="009E5034">
              <w:rPr>
                <w:sz w:val="22"/>
                <w:szCs w:val="22"/>
              </w:rPr>
              <w:t>82</w:t>
            </w:r>
          </w:p>
        </w:tc>
      </w:tr>
    </w:tbl>
    <w:p w:rsidR="00F164EF" w:rsidRPr="009E5034" w:rsidRDefault="00F164EF" w:rsidP="009E5034">
      <w:pPr>
        <w:spacing w:after="240"/>
        <w:ind w:left="0"/>
        <w:jc w:val="left"/>
        <w:rPr>
          <w:rStyle w:val="Strong"/>
          <w:rFonts w:eastAsia="MS Mincho"/>
          <w:sz w:val="22"/>
          <w:szCs w:val="22"/>
        </w:rPr>
      </w:pPr>
      <w:bookmarkStart w:id="251" w:name="_Toc253578285"/>
      <w:bookmarkStart w:id="252" w:name="_Toc261170176"/>
      <w:r w:rsidRPr="009E5034">
        <w:rPr>
          <w:rStyle w:val="Strong"/>
          <w:rFonts w:eastAsia="MS Mincho"/>
          <w:sz w:val="22"/>
          <w:szCs w:val="22"/>
        </w:rPr>
        <w:t>3.4. Tourisme</w:t>
      </w:r>
      <w:bookmarkEnd w:id="251"/>
      <w:bookmarkEnd w:id="252"/>
    </w:p>
    <w:p w:rsidR="00F164EF" w:rsidRPr="009E5034" w:rsidRDefault="00F164EF" w:rsidP="009E5034">
      <w:pPr>
        <w:spacing w:before="120" w:after="120"/>
        <w:ind w:left="0"/>
        <w:jc w:val="left"/>
        <w:rPr>
          <w:sz w:val="22"/>
          <w:szCs w:val="22"/>
        </w:rPr>
      </w:pPr>
      <w:r w:rsidRPr="009E5034">
        <w:rPr>
          <w:sz w:val="22"/>
          <w:szCs w:val="22"/>
        </w:rPr>
        <w:t>Le tourisme dans la ville de Sikasso et ses environs demeure peu développé et ce malgré les potentialités naturelles et historiques disponibles dans la zone. A peine une douzaine d’hôtels sont inventoriés dans la ville de Sikasso pour une capacité d’accueil d’environ 300 lits, une dizaine de restaurants, 4 bars et 5 espaces de loisirs.</w:t>
      </w:r>
    </w:p>
    <w:p w:rsidR="00F164EF" w:rsidRPr="009E5034" w:rsidRDefault="00F164EF" w:rsidP="009E5034">
      <w:pPr>
        <w:spacing w:before="120" w:after="120"/>
        <w:ind w:left="0"/>
        <w:jc w:val="left"/>
        <w:rPr>
          <w:sz w:val="22"/>
          <w:szCs w:val="22"/>
        </w:rPr>
      </w:pPr>
      <w:r w:rsidRPr="009E5034">
        <w:rPr>
          <w:sz w:val="22"/>
          <w:szCs w:val="22"/>
        </w:rPr>
        <w:t>En 2004 les visiteurs résidents recensés au niveau des hôtels de la ville étaient de l’ordre de 9</w:t>
      </w:r>
      <w:r w:rsidR="002A29D1">
        <w:rPr>
          <w:sz w:val="22"/>
          <w:szCs w:val="22"/>
        </w:rPr>
        <w:t>.</w:t>
      </w:r>
      <w:r w:rsidRPr="009E5034">
        <w:rPr>
          <w:sz w:val="22"/>
          <w:szCs w:val="22"/>
        </w:rPr>
        <w:t>200 assurant au total à peine 11</w:t>
      </w:r>
      <w:r w:rsidR="002A29D1">
        <w:rPr>
          <w:sz w:val="22"/>
          <w:szCs w:val="22"/>
        </w:rPr>
        <w:t>.</w:t>
      </w:r>
      <w:r w:rsidRPr="009E5034">
        <w:rPr>
          <w:sz w:val="22"/>
          <w:szCs w:val="22"/>
        </w:rPr>
        <w:t>500 nuitées soit 1.25 nuitées par passagers national ; les étrangers quant à eux ont atteint au cours de la même année 3 040 visiteurs pour autant de nuitées. Sikasso demeure uniquement une ville de passage où les touristes y passent uniquement une nuitée.</w:t>
      </w:r>
    </w:p>
    <w:p w:rsidR="00F164EF" w:rsidRPr="009E5034" w:rsidRDefault="00F164EF" w:rsidP="009E5034">
      <w:pPr>
        <w:spacing w:after="240"/>
        <w:ind w:left="0"/>
        <w:jc w:val="left"/>
        <w:rPr>
          <w:rStyle w:val="Strong"/>
          <w:rFonts w:eastAsia="MS Mincho"/>
          <w:sz w:val="22"/>
          <w:szCs w:val="22"/>
        </w:rPr>
      </w:pPr>
      <w:bookmarkStart w:id="253" w:name="_Toc253578286"/>
      <w:bookmarkStart w:id="254" w:name="_Toc261170177"/>
      <w:r w:rsidRPr="009E5034">
        <w:rPr>
          <w:rStyle w:val="Strong"/>
          <w:rFonts w:eastAsia="MS Mincho"/>
          <w:sz w:val="22"/>
          <w:szCs w:val="22"/>
        </w:rPr>
        <w:t>3.5 Consommation d’énergie</w:t>
      </w:r>
      <w:bookmarkEnd w:id="253"/>
      <w:bookmarkEnd w:id="254"/>
    </w:p>
    <w:p w:rsidR="00F164EF" w:rsidRPr="009E5034" w:rsidRDefault="00F164EF" w:rsidP="009E5034">
      <w:pPr>
        <w:spacing w:before="120" w:after="120"/>
        <w:ind w:left="0"/>
        <w:jc w:val="left"/>
        <w:rPr>
          <w:sz w:val="22"/>
          <w:szCs w:val="22"/>
        </w:rPr>
      </w:pPr>
      <w:r w:rsidRPr="009E5034">
        <w:rPr>
          <w:sz w:val="22"/>
          <w:szCs w:val="22"/>
        </w:rPr>
        <w:t>La plus grande part de l’énergie domestique consommée à Sikasso est à base de bois de forêts. On dénombre 8 villages sur 10 autour de Sikasso dont l’activité principale est la production du bois. Cette exploitation a engendré la réduction de manière régulière et rapide le couvert végétal limitrophe à la ville. Les estimations actuelles indiquent que la consommation de bois énerg</w:t>
      </w:r>
      <w:r w:rsidR="002A29D1">
        <w:rPr>
          <w:sz w:val="22"/>
          <w:szCs w:val="22"/>
        </w:rPr>
        <w:t>ie à Sikasso dépasserait les 70.</w:t>
      </w:r>
      <w:r w:rsidRPr="009E5034">
        <w:rPr>
          <w:sz w:val="22"/>
          <w:szCs w:val="22"/>
        </w:rPr>
        <w:t xml:space="preserve">000 tonnes par an, soit une consommation moyenne journalière de l’ordre de </w:t>
      </w:r>
      <w:smartTag w:uri="urn:schemas-microsoft-com:office:smarttags" w:element="metricconverter">
        <w:smartTagPr>
          <w:attr w:name="ProductID" w:val="1.5 kg"/>
        </w:smartTagPr>
        <w:r w:rsidRPr="009E5034">
          <w:rPr>
            <w:sz w:val="22"/>
            <w:szCs w:val="22"/>
          </w:rPr>
          <w:t>1.5 kg</w:t>
        </w:r>
      </w:smartTag>
      <w:r w:rsidRPr="009E5034">
        <w:rPr>
          <w:sz w:val="22"/>
          <w:szCs w:val="22"/>
        </w:rPr>
        <w:t xml:space="preserve"> par habitant.</w:t>
      </w:r>
    </w:p>
    <w:p w:rsidR="00F164EF" w:rsidRPr="009E5034" w:rsidRDefault="00F164EF" w:rsidP="009E5034">
      <w:pPr>
        <w:spacing w:after="240"/>
        <w:ind w:left="0"/>
        <w:jc w:val="left"/>
        <w:rPr>
          <w:rStyle w:val="Strong"/>
          <w:rFonts w:eastAsia="MS Mincho"/>
          <w:sz w:val="22"/>
          <w:szCs w:val="22"/>
        </w:rPr>
      </w:pPr>
      <w:bookmarkStart w:id="255" w:name="_Toc253578287"/>
      <w:bookmarkStart w:id="256" w:name="_Toc261170178"/>
      <w:r w:rsidRPr="009E5034">
        <w:rPr>
          <w:rStyle w:val="Strong"/>
          <w:rFonts w:eastAsia="MS Mincho"/>
          <w:sz w:val="22"/>
          <w:szCs w:val="22"/>
        </w:rPr>
        <w:t>4. Etat de l’environnement et des ressources naturelles</w:t>
      </w:r>
      <w:bookmarkEnd w:id="255"/>
      <w:bookmarkEnd w:id="256"/>
    </w:p>
    <w:p w:rsidR="00F164EF" w:rsidRPr="009E5034" w:rsidRDefault="00F164EF" w:rsidP="009E5034">
      <w:pPr>
        <w:spacing w:after="240"/>
        <w:ind w:left="0"/>
        <w:jc w:val="left"/>
        <w:rPr>
          <w:rStyle w:val="Strong"/>
          <w:rFonts w:eastAsia="MS Mincho"/>
          <w:sz w:val="22"/>
          <w:szCs w:val="22"/>
        </w:rPr>
      </w:pPr>
      <w:bookmarkStart w:id="257" w:name="_Toc253578288"/>
      <w:bookmarkStart w:id="258" w:name="_Toc261170179"/>
      <w:r w:rsidRPr="009E5034">
        <w:rPr>
          <w:rStyle w:val="Strong"/>
          <w:rFonts w:eastAsia="MS Mincho"/>
          <w:sz w:val="22"/>
          <w:szCs w:val="22"/>
        </w:rPr>
        <w:t>4.1 Air</w:t>
      </w:r>
      <w:bookmarkEnd w:id="257"/>
      <w:bookmarkEnd w:id="258"/>
    </w:p>
    <w:p w:rsidR="00F164EF" w:rsidRPr="009E5034" w:rsidRDefault="00F164EF" w:rsidP="009E5034">
      <w:pPr>
        <w:ind w:left="0"/>
        <w:jc w:val="left"/>
        <w:rPr>
          <w:sz w:val="22"/>
          <w:szCs w:val="22"/>
        </w:rPr>
      </w:pPr>
      <w:r w:rsidRPr="009E5034">
        <w:rPr>
          <w:sz w:val="22"/>
          <w:szCs w:val="22"/>
        </w:rPr>
        <w:t>L’air dans la ville de Sikasso présente souvent au cours de la journée et particulièrement en période sèche des formes de dégradation et de pollution entraînant des désagréments et des difficultés respiratoires particulièrement pour les enfants et les personnes âgées. La circulation automobile sans cesse croissante sur des chaussées non bitumées et poussiéreuses aggrave la situation entraînant des dégagements de fumées toxiques et de particules fines néfastes pour la santé.</w:t>
      </w:r>
    </w:p>
    <w:p w:rsidR="00F164EF" w:rsidRPr="009E5034" w:rsidRDefault="00F164EF" w:rsidP="009E5034">
      <w:pPr>
        <w:spacing w:before="120" w:after="120"/>
        <w:ind w:left="0"/>
        <w:jc w:val="left"/>
        <w:rPr>
          <w:sz w:val="22"/>
          <w:szCs w:val="22"/>
        </w:rPr>
      </w:pPr>
      <w:r w:rsidRPr="009E5034">
        <w:rPr>
          <w:sz w:val="22"/>
          <w:szCs w:val="22"/>
        </w:rPr>
        <w:t>Ponctuellement et en dehors de la circulation, les principales sources de pollution atmosphérique dans la ville de Sikasso sont constituées de fumées se dégageant des unités de fabrication de savonneries et de teintureries, des odeurs en provenance des dépôts anarchiques de déchets solides et des poussières de coton rejetées saisonnièrement par les usines d’égrenage situées en ville.</w:t>
      </w:r>
    </w:p>
    <w:p w:rsidR="00F164EF" w:rsidRPr="009E5034" w:rsidRDefault="00F164EF" w:rsidP="009E5034">
      <w:pPr>
        <w:spacing w:after="240"/>
        <w:ind w:left="0"/>
        <w:jc w:val="left"/>
        <w:rPr>
          <w:rStyle w:val="Strong"/>
          <w:rFonts w:eastAsia="MS Mincho"/>
          <w:sz w:val="22"/>
          <w:szCs w:val="22"/>
        </w:rPr>
      </w:pPr>
      <w:bookmarkStart w:id="259" w:name="_Toc253578289"/>
      <w:bookmarkStart w:id="260" w:name="_Toc261170180"/>
      <w:r w:rsidRPr="009E5034">
        <w:rPr>
          <w:rStyle w:val="Strong"/>
          <w:rFonts w:eastAsia="MS Mincho"/>
          <w:sz w:val="22"/>
          <w:szCs w:val="22"/>
        </w:rPr>
        <w:t>4.2 Eaux de surface</w:t>
      </w:r>
      <w:bookmarkEnd w:id="259"/>
      <w:bookmarkEnd w:id="260"/>
    </w:p>
    <w:p w:rsidR="00F164EF" w:rsidRPr="009E5034" w:rsidRDefault="00F164EF" w:rsidP="009E5034">
      <w:pPr>
        <w:ind w:left="0"/>
        <w:jc w:val="left"/>
        <w:rPr>
          <w:sz w:val="22"/>
          <w:szCs w:val="22"/>
        </w:rPr>
      </w:pPr>
      <w:r w:rsidRPr="009E5034">
        <w:rPr>
          <w:sz w:val="22"/>
          <w:szCs w:val="22"/>
        </w:rPr>
        <w:t>La commune de Sikasso possède de multiple rivière et marigot coulant sur un terrain plus ou moins perméable  constitué d’argile et de latérite avec un soubassement de grains fin ou de schistes cristallins. L’apport des rivières a donné naissance à des plaines très fertiles s’organisant essentiellement autour du Lotio et de ses principaux affluents.</w:t>
      </w:r>
    </w:p>
    <w:p w:rsidR="00F164EF" w:rsidRPr="009E5034" w:rsidRDefault="00F164EF" w:rsidP="009E5034">
      <w:pPr>
        <w:spacing w:after="240"/>
        <w:ind w:left="0"/>
        <w:jc w:val="left"/>
        <w:rPr>
          <w:rStyle w:val="Strong"/>
          <w:rFonts w:eastAsia="MS Mincho"/>
          <w:sz w:val="22"/>
          <w:szCs w:val="22"/>
        </w:rPr>
      </w:pPr>
      <w:bookmarkStart w:id="261" w:name="_Toc253578290"/>
      <w:bookmarkStart w:id="262" w:name="_Toc261170181"/>
      <w:r w:rsidRPr="009E5034">
        <w:rPr>
          <w:rStyle w:val="Strong"/>
          <w:rFonts w:eastAsia="MS Mincho"/>
          <w:sz w:val="22"/>
          <w:szCs w:val="22"/>
        </w:rPr>
        <w:t>4.3 Eaux souterraines</w:t>
      </w:r>
      <w:bookmarkEnd w:id="261"/>
      <w:bookmarkEnd w:id="262"/>
    </w:p>
    <w:p w:rsidR="00F164EF" w:rsidRPr="009E5034" w:rsidRDefault="00F164EF" w:rsidP="009E5034">
      <w:pPr>
        <w:spacing w:before="120" w:after="120"/>
        <w:ind w:left="0"/>
        <w:jc w:val="left"/>
        <w:rPr>
          <w:sz w:val="22"/>
          <w:szCs w:val="22"/>
        </w:rPr>
      </w:pPr>
      <w:r w:rsidRPr="009E5034">
        <w:rPr>
          <w:sz w:val="22"/>
          <w:szCs w:val="22"/>
        </w:rPr>
        <w:t>La lithologie des terrains constitutifs de la ville influence la capacité d’emmagasinement de l’eau  souterraine, le niveau statique des forages est peu profond, généralement en dessous de 20métres, pour des débits variables entre 4.6 et 8.8 m3/h. Ce positionnement des eaux souterraines les expose aux différentes formes de pollution.</w:t>
      </w:r>
    </w:p>
    <w:p w:rsidR="00F164EF" w:rsidRPr="009E5034" w:rsidRDefault="00F164EF" w:rsidP="009E5034">
      <w:pPr>
        <w:spacing w:before="120" w:after="120"/>
        <w:ind w:left="0"/>
        <w:jc w:val="left"/>
        <w:rPr>
          <w:sz w:val="22"/>
          <w:szCs w:val="22"/>
        </w:rPr>
      </w:pPr>
      <w:r w:rsidRPr="009E5034">
        <w:rPr>
          <w:sz w:val="22"/>
          <w:szCs w:val="22"/>
        </w:rPr>
        <w:t>Les eaux de surfaces et souterraines dans la ville de Sikasso subissent en effet  de multiples formes de pollution et de dégradation  suite à la gestion inappropriée des déchets solides, des eaux usées et des excrétas. Nous observons une pollution bactériologique presque généralisée accompagnée par une pollution chimique engendrée par les aires de lavage et les unités de teintureries  éparpillées dans toute la ville.</w:t>
      </w:r>
    </w:p>
    <w:p w:rsidR="00F164EF" w:rsidRPr="009E5034" w:rsidRDefault="00F164EF" w:rsidP="009E5034">
      <w:pPr>
        <w:spacing w:after="240"/>
        <w:ind w:left="0"/>
        <w:jc w:val="left"/>
        <w:rPr>
          <w:rStyle w:val="Strong"/>
          <w:rFonts w:eastAsia="MS Mincho"/>
          <w:sz w:val="22"/>
          <w:szCs w:val="22"/>
        </w:rPr>
      </w:pPr>
      <w:bookmarkStart w:id="263" w:name="_Toc253578291"/>
      <w:bookmarkStart w:id="264" w:name="_Toc261170182"/>
      <w:r w:rsidRPr="009E5034">
        <w:rPr>
          <w:rStyle w:val="Strong"/>
          <w:rFonts w:eastAsia="MS Mincho"/>
          <w:sz w:val="22"/>
          <w:szCs w:val="22"/>
        </w:rPr>
        <w:t>4.4 Terres agricoles</w:t>
      </w:r>
      <w:bookmarkEnd w:id="263"/>
      <w:bookmarkEnd w:id="264"/>
    </w:p>
    <w:p w:rsidR="00F164EF" w:rsidRPr="009E5034" w:rsidRDefault="00F164EF" w:rsidP="009E5034">
      <w:pPr>
        <w:ind w:left="0"/>
        <w:jc w:val="left"/>
        <w:rPr>
          <w:sz w:val="22"/>
          <w:szCs w:val="22"/>
        </w:rPr>
      </w:pPr>
      <w:r w:rsidRPr="009E5034">
        <w:rPr>
          <w:sz w:val="22"/>
          <w:szCs w:val="22"/>
        </w:rPr>
        <w:t xml:space="preserve">Les terrains agricoles dans la ville de Sikasso et ses environs subissent certaines formes de dégradation en grande majorité d’origine hydrique. Au moment des grandes crues les terrains agricoles situés sur les pentes sont souvent érodés, charriés perdant ainsi une part de leur fertilité; les terrains tabulaires sont au contraire envahis par les eaux stagnantes et ceci particulièrement au cœur de la plaine du Lotio, ce phénomène s’aggrave de plus en plus à cause des dépôts de déchets solides qui comblent les cours d’eau. </w:t>
      </w:r>
    </w:p>
    <w:p w:rsidR="00F164EF" w:rsidRPr="009E5034" w:rsidRDefault="00F164EF" w:rsidP="009E5034">
      <w:pPr>
        <w:spacing w:after="240"/>
        <w:ind w:left="0"/>
        <w:jc w:val="left"/>
        <w:rPr>
          <w:rStyle w:val="Strong"/>
          <w:rFonts w:eastAsia="MS Mincho"/>
          <w:sz w:val="22"/>
          <w:szCs w:val="22"/>
        </w:rPr>
      </w:pPr>
      <w:bookmarkStart w:id="265" w:name="_Toc253578292"/>
      <w:bookmarkStart w:id="266" w:name="_Toc261170183"/>
      <w:r w:rsidRPr="009E5034">
        <w:rPr>
          <w:rStyle w:val="Strong"/>
          <w:rFonts w:eastAsia="MS Mincho"/>
          <w:sz w:val="22"/>
          <w:szCs w:val="22"/>
        </w:rPr>
        <w:t>4.5 Végétations naturelles et forêts</w:t>
      </w:r>
      <w:bookmarkEnd w:id="265"/>
      <w:bookmarkEnd w:id="266"/>
    </w:p>
    <w:p w:rsidR="00F164EF" w:rsidRPr="009E5034" w:rsidRDefault="00F164EF" w:rsidP="009E5034">
      <w:pPr>
        <w:spacing w:before="120" w:after="120"/>
        <w:ind w:left="0"/>
        <w:jc w:val="left"/>
        <w:rPr>
          <w:sz w:val="22"/>
          <w:szCs w:val="22"/>
        </w:rPr>
      </w:pPr>
      <w:r w:rsidRPr="009E5034">
        <w:rPr>
          <w:sz w:val="22"/>
          <w:szCs w:val="22"/>
        </w:rPr>
        <w:t xml:space="preserve">Dans la région, il y a environ </w:t>
      </w:r>
      <w:smartTag w:uri="urn:schemas-microsoft-com:office:smarttags" w:element="metricconverter">
        <w:smartTagPr>
          <w:attr w:name="ProductID" w:val="380 000 hectares"/>
        </w:smartTagPr>
        <w:r w:rsidRPr="009E5034">
          <w:rPr>
            <w:sz w:val="22"/>
            <w:szCs w:val="22"/>
          </w:rPr>
          <w:t>380 000 hectares</w:t>
        </w:r>
      </w:smartTag>
      <w:r w:rsidRPr="009E5034">
        <w:rPr>
          <w:sz w:val="22"/>
          <w:szCs w:val="22"/>
        </w:rPr>
        <w:t xml:space="preserve"> de forêts classées, soit 5% de la superficie de la région. Ces forêts font l’objet aujourd’hui d’occupation agricole illicite, d’exploitation frauduleuse et de pratique fréquente des feux de brousse, toute chose ayant un impact négatif sur la dynamique des peuplements qui les renferme.</w:t>
      </w:r>
    </w:p>
    <w:p w:rsidR="00F164EF" w:rsidRPr="009E5034" w:rsidRDefault="00F164EF" w:rsidP="009E5034">
      <w:pPr>
        <w:spacing w:before="120" w:after="120"/>
        <w:ind w:left="0"/>
        <w:jc w:val="left"/>
        <w:rPr>
          <w:sz w:val="22"/>
          <w:szCs w:val="22"/>
        </w:rPr>
      </w:pPr>
      <w:r w:rsidRPr="009E5034">
        <w:rPr>
          <w:sz w:val="22"/>
          <w:szCs w:val="22"/>
        </w:rPr>
        <w:t xml:space="preserve">La ville de Sikasso  dispose d’une forêt classée d’anacardiers de </w:t>
      </w:r>
      <w:smartTag w:uri="urn:schemas-microsoft-com:office:smarttags" w:element="metricconverter">
        <w:smartTagPr>
          <w:attr w:name="ProductID" w:val="2 ha"/>
        </w:smartTagPr>
        <w:r w:rsidRPr="009E5034">
          <w:rPr>
            <w:sz w:val="22"/>
            <w:szCs w:val="22"/>
          </w:rPr>
          <w:t>2 ha</w:t>
        </w:r>
      </w:smartTag>
      <w:r w:rsidRPr="009E5034">
        <w:rPr>
          <w:sz w:val="22"/>
          <w:szCs w:val="22"/>
        </w:rPr>
        <w:t xml:space="preserve"> située au quartier résidentiel et deux périmètres de reboisement, l’un de </w:t>
      </w:r>
      <w:smartTag w:uri="urn:schemas-microsoft-com:office:smarttags" w:element="metricconverter">
        <w:smartTagPr>
          <w:attr w:name="ProductID" w:val="50 ha"/>
        </w:smartTagPr>
        <w:r w:rsidRPr="009E5034">
          <w:rPr>
            <w:sz w:val="22"/>
            <w:szCs w:val="22"/>
          </w:rPr>
          <w:t>50 ha</w:t>
        </w:r>
      </w:smartTag>
      <w:r w:rsidRPr="009E5034">
        <w:rPr>
          <w:sz w:val="22"/>
          <w:szCs w:val="22"/>
        </w:rPr>
        <w:t xml:space="preserve"> de tek situé à la périphérie de la ville sur la route de Bouaké et l’autre de </w:t>
      </w:r>
      <w:smartTag w:uri="urn:schemas-microsoft-com:office:smarttags" w:element="metricconverter">
        <w:smartTagPr>
          <w:attr w:name="ProductID" w:val="100 ha"/>
        </w:smartTagPr>
        <w:r w:rsidRPr="009E5034">
          <w:rPr>
            <w:sz w:val="22"/>
            <w:szCs w:val="22"/>
          </w:rPr>
          <w:t>100 ha</w:t>
        </w:r>
      </w:smartTag>
      <w:r w:rsidRPr="009E5034">
        <w:rPr>
          <w:sz w:val="22"/>
          <w:szCs w:val="22"/>
        </w:rPr>
        <w:t xml:space="preserve"> sur la route de Koutiala.</w:t>
      </w:r>
    </w:p>
    <w:p w:rsidR="00F164EF" w:rsidRPr="009E5034" w:rsidRDefault="00F164EF" w:rsidP="009E5034">
      <w:pPr>
        <w:spacing w:after="240"/>
        <w:ind w:left="0"/>
        <w:jc w:val="left"/>
        <w:rPr>
          <w:rStyle w:val="Strong"/>
          <w:rFonts w:eastAsia="MS Mincho"/>
          <w:sz w:val="22"/>
          <w:szCs w:val="22"/>
        </w:rPr>
      </w:pPr>
      <w:bookmarkStart w:id="267" w:name="_Toc253578293"/>
      <w:bookmarkStart w:id="268" w:name="_Toc261170184"/>
      <w:r w:rsidRPr="009E5034">
        <w:rPr>
          <w:rStyle w:val="Strong"/>
          <w:rFonts w:eastAsia="MS Mincho"/>
          <w:sz w:val="22"/>
          <w:szCs w:val="22"/>
        </w:rPr>
        <w:t>5. Gestion des nuisances</w:t>
      </w:r>
      <w:bookmarkEnd w:id="267"/>
      <w:bookmarkEnd w:id="268"/>
    </w:p>
    <w:p w:rsidR="00F164EF" w:rsidRPr="009E5034" w:rsidRDefault="00F164EF" w:rsidP="009E5034">
      <w:pPr>
        <w:spacing w:after="240"/>
        <w:ind w:left="0"/>
        <w:jc w:val="left"/>
        <w:rPr>
          <w:rStyle w:val="Strong"/>
          <w:rFonts w:eastAsia="MS Mincho"/>
          <w:sz w:val="22"/>
          <w:szCs w:val="22"/>
        </w:rPr>
      </w:pPr>
      <w:bookmarkStart w:id="269" w:name="_Toc253578294"/>
      <w:bookmarkStart w:id="270" w:name="_Toc261170185"/>
      <w:r w:rsidRPr="009E5034">
        <w:rPr>
          <w:rStyle w:val="Strong"/>
          <w:rFonts w:eastAsia="MS Mincho"/>
          <w:sz w:val="22"/>
          <w:szCs w:val="22"/>
        </w:rPr>
        <w:t>5.1 Gestion des eaux usées</w:t>
      </w:r>
      <w:bookmarkEnd w:id="269"/>
      <w:bookmarkEnd w:id="270"/>
      <w:r w:rsidRPr="009E5034">
        <w:rPr>
          <w:rStyle w:val="Strong"/>
          <w:rFonts w:eastAsia="MS Mincho"/>
          <w:sz w:val="22"/>
          <w:szCs w:val="22"/>
        </w:rPr>
        <w:t xml:space="preserve"> et des excrétas</w:t>
      </w:r>
    </w:p>
    <w:p w:rsidR="00F164EF" w:rsidRPr="009E5034" w:rsidRDefault="00F164EF" w:rsidP="009E5034">
      <w:pPr>
        <w:spacing w:after="120"/>
        <w:ind w:left="0"/>
        <w:jc w:val="left"/>
        <w:rPr>
          <w:sz w:val="22"/>
          <w:szCs w:val="22"/>
        </w:rPr>
      </w:pPr>
      <w:r w:rsidRPr="009E5034">
        <w:rPr>
          <w:sz w:val="22"/>
          <w:szCs w:val="22"/>
        </w:rPr>
        <w:t>Les eaux usées dans la ville de Sikasso sont constituées d’eaux usées domestiques, d’excrétas, d’eaux usées artisanales et industrielles et d’eaux usées en provenance des aires de lavage.</w:t>
      </w:r>
    </w:p>
    <w:p w:rsidR="00F164EF" w:rsidRPr="009E5034" w:rsidRDefault="00F164EF" w:rsidP="009E5034">
      <w:pPr>
        <w:spacing w:before="120" w:after="120"/>
        <w:ind w:left="0"/>
        <w:jc w:val="left"/>
        <w:rPr>
          <w:sz w:val="22"/>
          <w:szCs w:val="22"/>
        </w:rPr>
      </w:pPr>
      <w:r w:rsidRPr="009E5034">
        <w:rPr>
          <w:sz w:val="22"/>
          <w:szCs w:val="22"/>
        </w:rPr>
        <w:t xml:space="preserve">Le plan stratégique d’assainissement (PSA) de la ville de Sikasso réalisé en </w:t>
      </w:r>
      <w:smartTag w:uri="urn:schemas-microsoft-com:office:smarttags" w:element="metricconverter">
        <w:smartTagPr>
          <w:attr w:name="ProductID" w:val="2005 a"/>
        </w:smartTagPr>
        <w:r w:rsidRPr="009E5034">
          <w:rPr>
            <w:sz w:val="22"/>
            <w:szCs w:val="22"/>
          </w:rPr>
          <w:t>2005 a</w:t>
        </w:r>
      </w:smartTag>
      <w:r w:rsidRPr="009E5034">
        <w:rPr>
          <w:sz w:val="22"/>
          <w:szCs w:val="22"/>
        </w:rPr>
        <w:t xml:space="preserve"> estimé pour la même année, la quantité des eaux usées domestiques, artisanales et industrielles à environ 2 700 000 m</w:t>
      </w:r>
      <w:r w:rsidRPr="009E5034">
        <w:rPr>
          <w:sz w:val="22"/>
          <w:szCs w:val="22"/>
          <w:vertAlign w:val="superscript"/>
        </w:rPr>
        <w:t>3</w:t>
      </w:r>
      <w:r w:rsidRPr="009E5034">
        <w:rPr>
          <w:sz w:val="22"/>
          <w:szCs w:val="22"/>
        </w:rPr>
        <w:t>/an  et les e</w:t>
      </w:r>
      <w:r w:rsidR="002A29D1">
        <w:rPr>
          <w:sz w:val="22"/>
          <w:szCs w:val="22"/>
        </w:rPr>
        <w:t>xcrétas domestiques à environ 8.</w:t>
      </w:r>
      <w:r w:rsidRPr="009E5034">
        <w:rPr>
          <w:sz w:val="22"/>
          <w:szCs w:val="22"/>
        </w:rPr>
        <w:t>500 m</w:t>
      </w:r>
      <w:r w:rsidRPr="009E5034">
        <w:rPr>
          <w:sz w:val="22"/>
          <w:szCs w:val="22"/>
          <w:vertAlign w:val="superscript"/>
        </w:rPr>
        <w:t>3</w:t>
      </w:r>
      <w:r w:rsidRPr="009E5034">
        <w:rPr>
          <w:sz w:val="22"/>
          <w:szCs w:val="22"/>
        </w:rPr>
        <w:t>/an.</w:t>
      </w:r>
    </w:p>
    <w:p w:rsidR="00F164EF" w:rsidRPr="009E5034" w:rsidRDefault="00F164EF" w:rsidP="009E5034">
      <w:pPr>
        <w:spacing w:before="120" w:after="120"/>
        <w:ind w:left="0"/>
        <w:jc w:val="left"/>
        <w:rPr>
          <w:i/>
          <w:sz w:val="22"/>
          <w:szCs w:val="22"/>
        </w:rPr>
      </w:pPr>
      <w:r w:rsidRPr="009E5034">
        <w:rPr>
          <w:i/>
          <w:sz w:val="22"/>
          <w:szCs w:val="22"/>
        </w:rPr>
        <w:t>Gestion des eaux usées</w:t>
      </w:r>
    </w:p>
    <w:p w:rsidR="00F164EF" w:rsidRPr="009E5034" w:rsidRDefault="00F164EF" w:rsidP="009E5034">
      <w:pPr>
        <w:ind w:left="0"/>
        <w:jc w:val="left"/>
        <w:rPr>
          <w:sz w:val="22"/>
          <w:szCs w:val="22"/>
        </w:rPr>
      </w:pPr>
      <w:r w:rsidRPr="009E5034">
        <w:rPr>
          <w:sz w:val="22"/>
          <w:szCs w:val="22"/>
        </w:rPr>
        <w:t>La gestion de ces eaux usées domestiques est caractérisée, selon les études du PSA, par :</w:t>
      </w:r>
    </w:p>
    <w:p w:rsidR="00F164EF" w:rsidRPr="009E5034" w:rsidRDefault="00F164EF" w:rsidP="009E5034">
      <w:pPr>
        <w:pStyle w:val="BodyText"/>
        <w:ind w:left="720"/>
        <w:rPr>
          <w:sz w:val="22"/>
          <w:szCs w:val="22"/>
        </w:rPr>
      </w:pPr>
      <w:r w:rsidRPr="009E5034">
        <w:rPr>
          <w:sz w:val="22"/>
          <w:szCs w:val="22"/>
        </w:rPr>
        <w:t>L’absence d’un réseau d’évacuation des eaux usées et de station d’épuration et cela même au niveau des équipements collectifs;</w:t>
      </w:r>
    </w:p>
    <w:p w:rsidR="00F164EF" w:rsidRPr="009E5034" w:rsidRDefault="00F164EF" w:rsidP="009E5034">
      <w:pPr>
        <w:pStyle w:val="BodyText"/>
        <w:ind w:left="720"/>
        <w:rPr>
          <w:sz w:val="22"/>
          <w:szCs w:val="22"/>
        </w:rPr>
      </w:pPr>
      <w:r w:rsidRPr="009E5034">
        <w:rPr>
          <w:sz w:val="22"/>
          <w:szCs w:val="22"/>
        </w:rPr>
        <w:t>La pratique de l’épandage superficielle dans 89,5% des ménages enquêtés;</w:t>
      </w:r>
    </w:p>
    <w:p w:rsidR="00F164EF" w:rsidRPr="009E5034" w:rsidRDefault="00F164EF" w:rsidP="009E5034">
      <w:pPr>
        <w:pStyle w:val="BodyText"/>
        <w:ind w:left="720"/>
        <w:rPr>
          <w:sz w:val="22"/>
          <w:szCs w:val="22"/>
        </w:rPr>
      </w:pPr>
      <w:r w:rsidRPr="009E5034">
        <w:rPr>
          <w:sz w:val="22"/>
          <w:szCs w:val="22"/>
        </w:rPr>
        <w:t xml:space="preserve">Le rejet dans les caniveaux (19,95%); </w:t>
      </w:r>
    </w:p>
    <w:p w:rsidR="00F164EF" w:rsidRPr="009E5034" w:rsidRDefault="00F164EF" w:rsidP="009E5034">
      <w:pPr>
        <w:pStyle w:val="BodyText"/>
        <w:ind w:left="720"/>
        <w:rPr>
          <w:sz w:val="22"/>
          <w:szCs w:val="22"/>
        </w:rPr>
      </w:pPr>
      <w:r w:rsidRPr="009E5034">
        <w:rPr>
          <w:sz w:val="22"/>
          <w:szCs w:val="22"/>
        </w:rPr>
        <w:t>Le rejet dans les puisards (11,94%),</w:t>
      </w:r>
    </w:p>
    <w:p w:rsidR="00F164EF" w:rsidRPr="009E5034" w:rsidRDefault="00F164EF" w:rsidP="009E5034">
      <w:pPr>
        <w:pStyle w:val="BodyText"/>
        <w:ind w:left="720"/>
        <w:rPr>
          <w:sz w:val="22"/>
          <w:szCs w:val="22"/>
        </w:rPr>
      </w:pPr>
      <w:r w:rsidRPr="009E5034">
        <w:rPr>
          <w:sz w:val="22"/>
          <w:szCs w:val="22"/>
        </w:rPr>
        <w:t>Le rejet dans des fosses septiques (5,91%) ou étanches (3,25%). Lorsqu’elles sont remplies, les eaux sont évacuées par camion spiros.</w:t>
      </w:r>
    </w:p>
    <w:p w:rsidR="00F164EF" w:rsidRPr="009E5034" w:rsidRDefault="00F164EF" w:rsidP="009E5034">
      <w:pPr>
        <w:ind w:left="0"/>
        <w:jc w:val="left"/>
        <w:rPr>
          <w:sz w:val="22"/>
          <w:szCs w:val="22"/>
        </w:rPr>
      </w:pPr>
      <w:r w:rsidRPr="009E5034">
        <w:rPr>
          <w:sz w:val="22"/>
          <w:szCs w:val="22"/>
        </w:rPr>
        <w:t>Seuls 21% des ménages disposent de lavoirs, mais dans 42% des cas les réceptacles d’eaux usées sont en mauvais état.</w:t>
      </w:r>
    </w:p>
    <w:p w:rsidR="00F164EF" w:rsidRPr="009E5034" w:rsidRDefault="00F164EF" w:rsidP="009E5034">
      <w:pPr>
        <w:autoSpaceDE/>
        <w:autoSpaceDN/>
        <w:adjustRightInd/>
        <w:spacing w:before="120" w:after="120"/>
        <w:ind w:left="0"/>
        <w:jc w:val="left"/>
        <w:rPr>
          <w:i/>
          <w:sz w:val="22"/>
          <w:szCs w:val="22"/>
        </w:rPr>
      </w:pPr>
      <w:r w:rsidRPr="009E5034">
        <w:rPr>
          <w:i/>
          <w:sz w:val="22"/>
          <w:szCs w:val="22"/>
        </w:rPr>
        <w:t>Gestion des excrétas</w:t>
      </w:r>
    </w:p>
    <w:p w:rsidR="00F164EF" w:rsidRPr="009E5034" w:rsidRDefault="00F164EF" w:rsidP="009E5034">
      <w:pPr>
        <w:ind w:left="0"/>
        <w:jc w:val="left"/>
        <w:rPr>
          <w:sz w:val="22"/>
          <w:szCs w:val="22"/>
        </w:rPr>
      </w:pPr>
      <w:r w:rsidRPr="009E5034">
        <w:rPr>
          <w:sz w:val="22"/>
          <w:szCs w:val="22"/>
        </w:rPr>
        <w:t>A Sikasso la gestion des excréta se fait essentiellement par :</w:t>
      </w:r>
    </w:p>
    <w:p w:rsidR="00F164EF" w:rsidRPr="009E5034" w:rsidRDefault="00F164EF" w:rsidP="009E5034">
      <w:pPr>
        <w:pStyle w:val="BodyText"/>
        <w:ind w:left="720"/>
        <w:rPr>
          <w:sz w:val="22"/>
          <w:szCs w:val="22"/>
        </w:rPr>
      </w:pPr>
      <w:r w:rsidRPr="009E5034">
        <w:rPr>
          <w:sz w:val="22"/>
          <w:szCs w:val="22"/>
        </w:rPr>
        <w:t>Les latrines traditionnelles ou améliorées dans 56% des cas</w:t>
      </w:r>
    </w:p>
    <w:p w:rsidR="00F164EF" w:rsidRPr="009E5034" w:rsidRDefault="00F164EF" w:rsidP="009E5034">
      <w:pPr>
        <w:pStyle w:val="BodyText"/>
        <w:ind w:left="720"/>
        <w:rPr>
          <w:sz w:val="22"/>
          <w:szCs w:val="22"/>
        </w:rPr>
      </w:pPr>
      <w:r w:rsidRPr="009E5034">
        <w:rPr>
          <w:sz w:val="22"/>
          <w:szCs w:val="22"/>
        </w:rPr>
        <w:t>Les toilettes modernes à chasse d’eau avec fosse septiques ou étanches dans 18,37% des cas.</w:t>
      </w:r>
    </w:p>
    <w:p w:rsidR="00F164EF" w:rsidRPr="009E5034" w:rsidRDefault="00F164EF" w:rsidP="009E5034">
      <w:pPr>
        <w:pStyle w:val="BodyText"/>
        <w:ind w:left="720"/>
        <w:rPr>
          <w:sz w:val="22"/>
          <w:szCs w:val="22"/>
        </w:rPr>
      </w:pPr>
      <w:r w:rsidRPr="009E5034">
        <w:rPr>
          <w:sz w:val="22"/>
          <w:szCs w:val="22"/>
        </w:rPr>
        <w:t>La défécation dans la nature est marginale (1,90%);</w:t>
      </w:r>
    </w:p>
    <w:p w:rsidR="00F164EF" w:rsidRPr="009E5034" w:rsidRDefault="00F164EF" w:rsidP="009E5034">
      <w:pPr>
        <w:pStyle w:val="BodyText"/>
        <w:ind w:left="720"/>
        <w:rPr>
          <w:sz w:val="22"/>
          <w:szCs w:val="22"/>
        </w:rPr>
      </w:pPr>
      <w:r w:rsidRPr="009E5034">
        <w:rPr>
          <w:sz w:val="22"/>
          <w:szCs w:val="22"/>
        </w:rPr>
        <w:t>Les latrines publiques utilisées par 18,37% des ménages.</w:t>
      </w:r>
    </w:p>
    <w:p w:rsidR="00F164EF" w:rsidRPr="009E5034" w:rsidRDefault="00F164EF" w:rsidP="009E5034">
      <w:pPr>
        <w:ind w:left="0"/>
        <w:jc w:val="left"/>
        <w:rPr>
          <w:sz w:val="22"/>
          <w:szCs w:val="22"/>
        </w:rPr>
      </w:pPr>
      <w:r w:rsidRPr="009E5034">
        <w:rPr>
          <w:sz w:val="22"/>
          <w:szCs w:val="22"/>
        </w:rPr>
        <w:t>Les ouvrages les ouvrages seraient dans un état acceptable dans 46,56% des ménages enquêtés.</w:t>
      </w:r>
    </w:p>
    <w:p w:rsidR="00F164EF" w:rsidRPr="009E5034" w:rsidRDefault="00F164EF" w:rsidP="009E5034">
      <w:pPr>
        <w:ind w:left="0"/>
        <w:jc w:val="left"/>
        <w:rPr>
          <w:sz w:val="22"/>
          <w:szCs w:val="22"/>
        </w:rPr>
      </w:pPr>
      <w:r w:rsidRPr="009E5034">
        <w:rPr>
          <w:sz w:val="22"/>
          <w:szCs w:val="22"/>
        </w:rPr>
        <w:t>La production de boues en 2006 est estimée à 8477m</w:t>
      </w:r>
      <w:r w:rsidRPr="009E5034">
        <w:rPr>
          <w:sz w:val="22"/>
          <w:szCs w:val="22"/>
          <w:vertAlign w:val="superscript"/>
        </w:rPr>
        <w:t>3</w:t>
      </w:r>
      <w:r w:rsidRPr="009E5034">
        <w:rPr>
          <w:sz w:val="22"/>
          <w:szCs w:val="22"/>
        </w:rPr>
        <w:t>. La vidange se fait soit par des GIE (22,60%) ou par des entreprises privées disposant de camion spiros (29,81%). Dans 17,67% des cas les ménages exécutent eux-mêmes la vidange</w:t>
      </w:r>
    </w:p>
    <w:p w:rsidR="00F164EF" w:rsidRPr="009E5034" w:rsidRDefault="00F164EF" w:rsidP="009E5034">
      <w:pPr>
        <w:spacing w:before="120" w:after="120"/>
        <w:ind w:left="0"/>
        <w:jc w:val="left"/>
        <w:rPr>
          <w:sz w:val="22"/>
          <w:szCs w:val="22"/>
        </w:rPr>
      </w:pPr>
      <w:r w:rsidRPr="009E5034">
        <w:rPr>
          <w:sz w:val="22"/>
          <w:szCs w:val="22"/>
        </w:rPr>
        <w:t xml:space="preserve">Des groupements d’intérêt économique (GIE), au nombre de 15 à Sikasso, se chargent de la vidange des latrines et des fosses septiques ou puisards à raison de </w:t>
      </w:r>
      <w:smartTag w:uri="urn:schemas-microsoft-com:office:smarttags" w:element="metricconverter">
        <w:smartTagPr>
          <w:attr w:name="ProductID" w:val="1500 F"/>
        </w:smartTagPr>
        <w:r w:rsidRPr="009E5034">
          <w:rPr>
            <w:sz w:val="22"/>
            <w:szCs w:val="22"/>
          </w:rPr>
          <w:t>1500 F</w:t>
        </w:r>
      </w:smartTag>
      <w:r w:rsidRPr="009E5034">
        <w:rPr>
          <w:sz w:val="22"/>
          <w:szCs w:val="22"/>
        </w:rPr>
        <w:t xml:space="preserve"> CFA le voyage. Les GIE interviennent également dans la construction des puisards.</w:t>
      </w:r>
    </w:p>
    <w:p w:rsidR="00F164EF" w:rsidRPr="009E5034" w:rsidRDefault="00F164EF" w:rsidP="009E5034">
      <w:pPr>
        <w:spacing w:before="120" w:after="120"/>
        <w:ind w:left="0"/>
        <w:jc w:val="left"/>
        <w:rPr>
          <w:sz w:val="22"/>
          <w:szCs w:val="22"/>
        </w:rPr>
      </w:pPr>
      <w:r w:rsidRPr="009E5034">
        <w:rPr>
          <w:sz w:val="22"/>
          <w:szCs w:val="22"/>
        </w:rPr>
        <w:t>A coté des eaux usées en provenance des ménages, les activités de la teinturerie et de la savonnerie assez répandues à Sikasso produisent régulièrement des eaux usées qui sont directement déversées dans les rues ou dans les caniveaux et les cours d’eau. Reconnues très polluantes, ces eaux constituent de véritables sources de nuisance et de dégradation du milieu.</w:t>
      </w:r>
    </w:p>
    <w:p w:rsidR="00F164EF" w:rsidRPr="009E5034" w:rsidRDefault="00F164EF" w:rsidP="009E5034">
      <w:pPr>
        <w:spacing w:after="240"/>
        <w:ind w:left="0"/>
        <w:jc w:val="left"/>
        <w:rPr>
          <w:rStyle w:val="Strong"/>
          <w:rFonts w:eastAsia="MS Mincho"/>
          <w:sz w:val="22"/>
          <w:szCs w:val="22"/>
        </w:rPr>
      </w:pPr>
      <w:bookmarkStart w:id="271" w:name="_Toc253578295"/>
      <w:bookmarkStart w:id="272" w:name="_Toc261170186"/>
      <w:r w:rsidRPr="009E5034">
        <w:rPr>
          <w:rStyle w:val="Strong"/>
          <w:rFonts w:eastAsia="MS Mincho"/>
          <w:sz w:val="22"/>
          <w:szCs w:val="22"/>
        </w:rPr>
        <w:t>5.2 Gestion des déchets solides</w:t>
      </w:r>
      <w:bookmarkEnd w:id="271"/>
      <w:bookmarkEnd w:id="272"/>
    </w:p>
    <w:p w:rsidR="00F164EF" w:rsidRPr="009E5034" w:rsidRDefault="00F164EF" w:rsidP="009E5034">
      <w:pPr>
        <w:spacing w:after="240"/>
        <w:ind w:left="0"/>
        <w:jc w:val="left"/>
        <w:rPr>
          <w:rStyle w:val="Strong"/>
          <w:rFonts w:eastAsia="MS Mincho"/>
          <w:sz w:val="22"/>
          <w:szCs w:val="22"/>
        </w:rPr>
      </w:pPr>
      <w:r w:rsidRPr="009E5034">
        <w:rPr>
          <w:rStyle w:val="Strong"/>
          <w:rFonts w:eastAsia="MS Mincho"/>
          <w:sz w:val="22"/>
          <w:szCs w:val="22"/>
        </w:rPr>
        <w:t>5.2.1. Production de déchets</w:t>
      </w:r>
    </w:p>
    <w:p w:rsidR="00F164EF" w:rsidRPr="009E5034" w:rsidRDefault="00F164EF" w:rsidP="009E5034">
      <w:pPr>
        <w:spacing w:before="120" w:after="120"/>
        <w:ind w:left="0"/>
        <w:jc w:val="left"/>
        <w:rPr>
          <w:i/>
          <w:sz w:val="22"/>
          <w:szCs w:val="22"/>
        </w:rPr>
      </w:pPr>
      <w:r w:rsidRPr="009E5034">
        <w:rPr>
          <w:i/>
          <w:sz w:val="22"/>
          <w:szCs w:val="22"/>
        </w:rPr>
        <w:t>Les ménages</w:t>
      </w:r>
    </w:p>
    <w:p w:rsidR="00F164EF" w:rsidRPr="009E5034" w:rsidRDefault="00F164EF" w:rsidP="009E5034">
      <w:pPr>
        <w:spacing w:before="120" w:after="120"/>
        <w:ind w:left="0"/>
        <w:jc w:val="left"/>
        <w:rPr>
          <w:sz w:val="22"/>
          <w:szCs w:val="22"/>
        </w:rPr>
      </w:pPr>
      <w:r w:rsidRPr="009E5034">
        <w:rPr>
          <w:sz w:val="22"/>
          <w:szCs w:val="22"/>
        </w:rPr>
        <w:t>Les déchets solides dans la ville de Sikasso sont issus principalement des ménages, des unités industrielles et artisanales, des  établissements collectifs et des unités sanitaires.</w:t>
      </w:r>
    </w:p>
    <w:p w:rsidR="00F164EF" w:rsidRPr="009E5034" w:rsidRDefault="00F164EF" w:rsidP="009E5034">
      <w:pPr>
        <w:spacing w:before="120" w:after="120"/>
        <w:ind w:left="0"/>
        <w:jc w:val="left"/>
        <w:rPr>
          <w:sz w:val="22"/>
          <w:szCs w:val="22"/>
        </w:rPr>
      </w:pPr>
      <w:r w:rsidRPr="009E5034">
        <w:rPr>
          <w:sz w:val="22"/>
          <w:szCs w:val="22"/>
        </w:rPr>
        <w:t>En 1997, dans le cadre d’une étude intitulée dégradation de l’environnement et qualité de la vie au Mali, une composition des déchets solides à Sikasso a été établie, elle se présente comme suit.</w:t>
      </w:r>
    </w:p>
    <w:p w:rsidR="00F164EF" w:rsidRPr="009E5034" w:rsidRDefault="00F164EF" w:rsidP="009E5034">
      <w:pPr>
        <w:pStyle w:val="Caption"/>
        <w:ind w:left="899"/>
        <w:rPr>
          <w:rStyle w:val="Emphasis"/>
          <w:sz w:val="22"/>
          <w:szCs w:val="22"/>
        </w:rPr>
      </w:pPr>
      <w:r w:rsidRPr="009E5034">
        <w:rPr>
          <w:rStyle w:val="Emphasis"/>
          <w:sz w:val="22"/>
          <w:szCs w:val="22"/>
        </w:rPr>
        <w:t xml:space="preserve">Tableau A4.6: </w:t>
      </w:r>
      <w:bookmarkStart w:id="273" w:name="_Toc220981928"/>
      <w:bookmarkStart w:id="274" w:name="_Toc251681752"/>
      <w:r w:rsidRPr="009E5034">
        <w:rPr>
          <w:rStyle w:val="Emphasis"/>
          <w:sz w:val="22"/>
          <w:szCs w:val="22"/>
        </w:rPr>
        <w:t>Composition moyenne des déchets solides de la ville de Sikasso.</w:t>
      </w:r>
      <w:bookmarkEnd w:id="273"/>
      <w:bookmarkEnd w:id="27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72"/>
        <w:gridCol w:w="1415"/>
      </w:tblGrid>
      <w:tr w:rsidR="00F164EF" w:rsidRPr="009E5034" w:rsidTr="00072CBC">
        <w:trPr>
          <w:jc w:val="center"/>
        </w:trPr>
        <w:tc>
          <w:tcPr>
            <w:tcW w:w="3572" w:type="dxa"/>
          </w:tcPr>
          <w:p w:rsidR="00F164EF" w:rsidRPr="009E5034" w:rsidRDefault="00F164EF" w:rsidP="009E5034">
            <w:pPr>
              <w:pStyle w:val="Tableau"/>
              <w:ind w:left="1"/>
              <w:jc w:val="left"/>
              <w:rPr>
                <w:sz w:val="22"/>
                <w:szCs w:val="22"/>
              </w:rPr>
            </w:pPr>
            <w:r w:rsidRPr="009E5034">
              <w:rPr>
                <w:sz w:val="22"/>
                <w:szCs w:val="22"/>
              </w:rPr>
              <w:t>Catégorie de déchets</w:t>
            </w:r>
          </w:p>
        </w:tc>
        <w:tc>
          <w:tcPr>
            <w:tcW w:w="1415" w:type="dxa"/>
          </w:tcPr>
          <w:p w:rsidR="00F164EF" w:rsidRPr="009E5034" w:rsidRDefault="00F164EF" w:rsidP="009E5034">
            <w:pPr>
              <w:pStyle w:val="Tableau"/>
              <w:ind w:left="1"/>
              <w:jc w:val="left"/>
              <w:rPr>
                <w:sz w:val="22"/>
                <w:szCs w:val="22"/>
              </w:rPr>
            </w:pPr>
            <w:r w:rsidRPr="009E5034">
              <w:rPr>
                <w:sz w:val="22"/>
                <w:szCs w:val="22"/>
              </w:rPr>
              <w:t>Pourcentage</w:t>
            </w:r>
          </w:p>
        </w:tc>
      </w:tr>
      <w:tr w:rsidR="00F164EF" w:rsidRPr="009E5034" w:rsidTr="00072CBC">
        <w:trPr>
          <w:jc w:val="center"/>
        </w:trPr>
        <w:tc>
          <w:tcPr>
            <w:tcW w:w="3572" w:type="dxa"/>
          </w:tcPr>
          <w:p w:rsidR="00F164EF" w:rsidRPr="009E5034" w:rsidRDefault="00F164EF" w:rsidP="009E5034">
            <w:pPr>
              <w:pStyle w:val="Tableau"/>
              <w:ind w:left="1"/>
              <w:jc w:val="left"/>
              <w:rPr>
                <w:sz w:val="22"/>
                <w:szCs w:val="22"/>
              </w:rPr>
            </w:pPr>
            <w:r w:rsidRPr="009E5034">
              <w:rPr>
                <w:sz w:val="22"/>
                <w:szCs w:val="22"/>
              </w:rPr>
              <w:t>Matériaux inertes : cendres, sables, poussière</w:t>
            </w:r>
          </w:p>
        </w:tc>
        <w:tc>
          <w:tcPr>
            <w:tcW w:w="1415" w:type="dxa"/>
          </w:tcPr>
          <w:p w:rsidR="00F164EF" w:rsidRPr="009E5034" w:rsidRDefault="00F164EF" w:rsidP="009E5034">
            <w:pPr>
              <w:pStyle w:val="Tableau"/>
              <w:ind w:left="1"/>
              <w:jc w:val="left"/>
              <w:rPr>
                <w:sz w:val="22"/>
                <w:szCs w:val="22"/>
              </w:rPr>
            </w:pPr>
            <w:r w:rsidRPr="009E5034">
              <w:rPr>
                <w:sz w:val="22"/>
                <w:szCs w:val="22"/>
              </w:rPr>
              <w:t>51%</w:t>
            </w:r>
          </w:p>
        </w:tc>
      </w:tr>
      <w:tr w:rsidR="00F164EF" w:rsidRPr="009E5034" w:rsidTr="00072CBC">
        <w:trPr>
          <w:jc w:val="center"/>
        </w:trPr>
        <w:tc>
          <w:tcPr>
            <w:tcW w:w="3572" w:type="dxa"/>
          </w:tcPr>
          <w:p w:rsidR="00F164EF" w:rsidRPr="009E5034" w:rsidRDefault="00F164EF" w:rsidP="009E5034">
            <w:pPr>
              <w:pStyle w:val="Tableau"/>
              <w:ind w:left="1"/>
              <w:jc w:val="left"/>
              <w:rPr>
                <w:sz w:val="22"/>
                <w:szCs w:val="22"/>
              </w:rPr>
            </w:pPr>
            <w:r w:rsidRPr="009E5034">
              <w:rPr>
                <w:sz w:val="22"/>
                <w:szCs w:val="22"/>
              </w:rPr>
              <w:t>Feuilles mortes, bois</w:t>
            </w:r>
          </w:p>
        </w:tc>
        <w:tc>
          <w:tcPr>
            <w:tcW w:w="1415" w:type="dxa"/>
          </w:tcPr>
          <w:p w:rsidR="00F164EF" w:rsidRPr="009E5034" w:rsidRDefault="00F164EF" w:rsidP="009E5034">
            <w:pPr>
              <w:pStyle w:val="Tableau"/>
              <w:ind w:left="1"/>
              <w:jc w:val="left"/>
              <w:rPr>
                <w:sz w:val="22"/>
                <w:szCs w:val="22"/>
              </w:rPr>
            </w:pPr>
            <w:r w:rsidRPr="009E5034">
              <w:rPr>
                <w:sz w:val="22"/>
                <w:szCs w:val="22"/>
              </w:rPr>
              <w:t>20%</w:t>
            </w:r>
          </w:p>
        </w:tc>
      </w:tr>
      <w:tr w:rsidR="00F164EF" w:rsidRPr="009E5034" w:rsidTr="00072CBC">
        <w:trPr>
          <w:jc w:val="center"/>
        </w:trPr>
        <w:tc>
          <w:tcPr>
            <w:tcW w:w="3572" w:type="dxa"/>
          </w:tcPr>
          <w:p w:rsidR="00F164EF" w:rsidRPr="009E5034" w:rsidRDefault="00F164EF" w:rsidP="009E5034">
            <w:pPr>
              <w:pStyle w:val="Tableau"/>
              <w:ind w:left="1"/>
              <w:jc w:val="left"/>
              <w:rPr>
                <w:sz w:val="22"/>
                <w:szCs w:val="22"/>
              </w:rPr>
            </w:pPr>
            <w:r w:rsidRPr="009E5034">
              <w:rPr>
                <w:sz w:val="22"/>
                <w:szCs w:val="22"/>
              </w:rPr>
              <w:t>Reste de cuisine</w:t>
            </w:r>
          </w:p>
        </w:tc>
        <w:tc>
          <w:tcPr>
            <w:tcW w:w="1415" w:type="dxa"/>
          </w:tcPr>
          <w:p w:rsidR="00F164EF" w:rsidRPr="009E5034" w:rsidRDefault="00F164EF" w:rsidP="009E5034">
            <w:pPr>
              <w:pStyle w:val="Tableau"/>
              <w:ind w:left="1"/>
              <w:jc w:val="left"/>
              <w:rPr>
                <w:sz w:val="22"/>
                <w:szCs w:val="22"/>
              </w:rPr>
            </w:pPr>
            <w:r w:rsidRPr="009E5034">
              <w:rPr>
                <w:sz w:val="22"/>
                <w:szCs w:val="22"/>
              </w:rPr>
              <w:t>13%</w:t>
            </w:r>
          </w:p>
        </w:tc>
      </w:tr>
      <w:tr w:rsidR="00F164EF" w:rsidRPr="009E5034" w:rsidTr="00072CBC">
        <w:trPr>
          <w:jc w:val="center"/>
        </w:trPr>
        <w:tc>
          <w:tcPr>
            <w:tcW w:w="3572" w:type="dxa"/>
          </w:tcPr>
          <w:p w:rsidR="00F164EF" w:rsidRPr="009E5034" w:rsidRDefault="00F164EF" w:rsidP="009E5034">
            <w:pPr>
              <w:pStyle w:val="Tableau"/>
              <w:ind w:left="1"/>
              <w:jc w:val="left"/>
              <w:rPr>
                <w:sz w:val="22"/>
                <w:szCs w:val="22"/>
              </w:rPr>
            </w:pPr>
            <w:r w:rsidRPr="009E5034">
              <w:rPr>
                <w:sz w:val="22"/>
                <w:szCs w:val="22"/>
              </w:rPr>
              <w:t>Cuirs et caoutchouc</w:t>
            </w:r>
          </w:p>
        </w:tc>
        <w:tc>
          <w:tcPr>
            <w:tcW w:w="1415" w:type="dxa"/>
          </w:tcPr>
          <w:p w:rsidR="00F164EF" w:rsidRPr="009E5034" w:rsidRDefault="00F164EF" w:rsidP="009E5034">
            <w:pPr>
              <w:pStyle w:val="Tableau"/>
              <w:ind w:left="1"/>
              <w:jc w:val="left"/>
              <w:rPr>
                <w:sz w:val="22"/>
                <w:szCs w:val="22"/>
              </w:rPr>
            </w:pPr>
            <w:r w:rsidRPr="009E5034">
              <w:rPr>
                <w:sz w:val="22"/>
                <w:szCs w:val="22"/>
              </w:rPr>
              <w:t>7.25%</w:t>
            </w:r>
          </w:p>
        </w:tc>
      </w:tr>
      <w:tr w:rsidR="00F164EF" w:rsidRPr="009E5034" w:rsidTr="00072CBC">
        <w:trPr>
          <w:jc w:val="center"/>
        </w:trPr>
        <w:tc>
          <w:tcPr>
            <w:tcW w:w="3572" w:type="dxa"/>
          </w:tcPr>
          <w:p w:rsidR="00F164EF" w:rsidRPr="009E5034" w:rsidRDefault="00F164EF" w:rsidP="009E5034">
            <w:pPr>
              <w:pStyle w:val="Tableau"/>
              <w:ind w:left="1"/>
              <w:jc w:val="left"/>
              <w:rPr>
                <w:sz w:val="22"/>
                <w:szCs w:val="22"/>
              </w:rPr>
            </w:pPr>
            <w:r w:rsidRPr="009E5034">
              <w:rPr>
                <w:sz w:val="22"/>
                <w:szCs w:val="22"/>
              </w:rPr>
              <w:t>Papiers et carton</w:t>
            </w:r>
          </w:p>
        </w:tc>
        <w:tc>
          <w:tcPr>
            <w:tcW w:w="1415" w:type="dxa"/>
          </w:tcPr>
          <w:p w:rsidR="00F164EF" w:rsidRPr="009E5034" w:rsidRDefault="00F164EF" w:rsidP="009E5034">
            <w:pPr>
              <w:pStyle w:val="Tableau"/>
              <w:ind w:left="1"/>
              <w:jc w:val="left"/>
              <w:rPr>
                <w:sz w:val="22"/>
                <w:szCs w:val="22"/>
              </w:rPr>
            </w:pPr>
            <w:r w:rsidRPr="009E5034">
              <w:rPr>
                <w:sz w:val="22"/>
                <w:szCs w:val="22"/>
              </w:rPr>
              <w:t>3.5%</w:t>
            </w:r>
          </w:p>
        </w:tc>
      </w:tr>
      <w:tr w:rsidR="00F164EF" w:rsidRPr="009E5034" w:rsidTr="00072CBC">
        <w:trPr>
          <w:jc w:val="center"/>
        </w:trPr>
        <w:tc>
          <w:tcPr>
            <w:tcW w:w="3572" w:type="dxa"/>
          </w:tcPr>
          <w:p w:rsidR="00F164EF" w:rsidRPr="009E5034" w:rsidRDefault="00F164EF" w:rsidP="009E5034">
            <w:pPr>
              <w:pStyle w:val="Tableau"/>
              <w:ind w:left="1"/>
              <w:jc w:val="left"/>
              <w:rPr>
                <w:sz w:val="22"/>
                <w:szCs w:val="22"/>
              </w:rPr>
            </w:pPr>
            <w:r w:rsidRPr="009E5034">
              <w:rPr>
                <w:sz w:val="22"/>
                <w:szCs w:val="22"/>
              </w:rPr>
              <w:t>Métaux</w:t>
            </w:r>
          </w:p>
        </w:tc>
        <w:tc>
          <w:tcPr>
            <w:tcW w:w="1415" w:type="dxa"/>
          </w:tcPr>
          <w:p w:rsidR="00F164EF" w:rsidRPr="009E5034" w:rsidRDefault="00F164EF" w:rsidP="009E5034">
            <w:pPr>
              <w:pStyle w:val="Tableau"/>
              <w:ind w:left="1"/>
              <w:jc w:val="left"/>
              <w:rPr>
                <w:sz w:val="22"/>
                <w:szCs w:val="22"/>
              </w:rPr>
            </w:pPr>
            <w:r w:rsidRPr="009E5034">
              <w:rPr>
                <w:sz w:val="22"/>
                <w:szCs w:val="22"/>
              </w:rPr>
              <w:t>3.5%</w:t>
            </w:r>
          </w:p>
        </w:tc>
      </w:tr>
      <w:tr w:rsidR="00F164EF" w:rsidRPr="009E5034" w:rsidTr="00072CBC">
        <w:trPr>
          <w:jc w:val="center"/>
        </w:trPr>
        <w:tc>
          <w:tcPr>
            <w:tcW w:w="3572" w:type="dxa"/>
          </w:tcPr>
          <w:p w:rsidR="00F164EF" w:rsidRPr="009E5034" w:rsidRDefault="00F164EF" w:rsidP="009E5034">
            <w:pPr>
              <w:pStyle w:val="Tableau"/>
              <w:ind w:left="1"/>
              <w:jc w:val="left"/>
              <w:rPr>
                <w:sz w:val="22"/>
                <w:szCs w:val="22"/>
              </w:rPr>
            </w:pPr>
            <w:r w:rsidRPr="009E5034">
              <w:rPr>
                <w:sz w:val="22"/>
                <w:szCs w:val="22"/>
              </w:rPr>
              <w:t>Plastiques</w:t>
            </w:r>
          </w:p>
        </w:tc>
        <w:tc>
          <w:tcPr>
            <w:tcW w:w="1415" w:type="dxa"/>
          </w:tcPr>
          <w:p w:rsidR="00F164EF" w:rsidRPr="009E5034" w:rsidRDefault="00F164EF" w:rsidP="009E5034">
            <w:pPr>
              <w:pStyle w:val="Tableau"/>
              <w:ind w:left="1"/>
              <w:jc w:val="left"/>
              <w:rPr>
                <w:sz w:val="22"/>
                <w:szCs w:val="22"/>
              </w:rPr>
            </w:pPr>
            <w:r w:rsidRPr="009E5034">
              <w:rPr>
                <w:sz w:val="22"/>
                <w:szCs w:val="22"/>
              </w:rPr>
              <w:t>2%</w:t>
            </w:r>
          </w:p>
        </w:tc>
      </w:tr>
      <w:tr w:rsidR="00F164EF" w:rsidRPr="009E5034" w:rsidTr="00072CBC">
        <w:trPr>
          <w:jc w:val="center"/>
        </w:trPr>
        <w:tc>
          <w:tcPr>
            <w:tcW w:w="3572" w:type="dxa"/>
          </w:tcPr>
          <w:p w:rsidR="00F164EF" w:rsidRPr="009E5034" w:rsidRDefault="00F164EF" w:rsidP="009E5034">
            <w:pPr>
              <w:pStyle w:val="Tableau"/>
              <w:ind w:left="1"/>
              <w:jc w:val="left"/>
              <w:rPr>
                <w:sz w:val="22"/>
                <w:szCs w:val="22"/>
              </w:rPr>
            </w:pPr>
            <w:r w:rsidRPr="009E5034">
              <w:rPr>
                <w:sz w:val="22"/>
                <w:szCs w:val="22"/>
              </w:rPr>
              <w:t>Charbon</w:t>
            </w:r>
          </w:p>
        </w:tc>
        <w:tc>
          <w:tcPr>
            <w:tcW w:w="1415" w:type="dxa"/>
          </w:tcPr>
          <w:p w:rsidR="00F164EF" w:rsidRPr="009E5034" w:rsidRDefault="00F164EF" w:rsidP="009E5034">
            <w:pPr>
              <w:pStyle w:val="Tableau"/>
              <w:ind w:left="1"/>
              <w:jc w:val="left"/>
              <w:rPr>
                <w:sz w:val="22"/>
                <w:szCs w:val="22"/>
              </w:rPr>
            </w:pPr>
            <w:r w:rsidRPr="009E5034">
              <w:rPr>
                <w:sz w:val="22"/>
                <w:szCs w:val="22"/>
              </w:rPr>
              <w:t>2%</w:t>
            </w:r>
          </w:p>
        </w:tc>
      </w:tr>
      <w:tr w:rsidR="00F164EF" w:rsidRPr="009E5034" w:rsidTr="00072CBC">
        <w:trPr>
          <w:jc w:val="center"/>
        </w:trPr>
        <w:tc>
          <w:tcPr>
            <w:tcW w:w="3572" w:type="dxa"/>
          </w:tcPr>
          <w:p w:rsidR="00F164EF" w:rsidRPr="009E5034" w:rsidRDefault="00F164EF" w:rsidP="009E5034">
            <w:pPr>
              <w:pStyle w:val="Tableau"/>
              <w:ind w:left="1"/>
              <w:jc w:val="left"/>
              <w:rPr>
                <w:sz w:val="22"/>
                <w:szCs w:val="22"/>
              </w:rPr>
            </w:pPr>
            <w:r w:rsidRPr="009E5034">
              <w:rPr>
                <w:sz w:val="22"/>
                <w:szCs w:val="22"/>
              </w:rPr>
              <w:t>Textiles</w:t>
            </w:r>
          </w:p>
        </w:tc>
        <w:tc>
          <w:tcPr>
            <w:tcW w:w="1415" w:type="dxa"/>
          </w:tcPr>
          <w:p w:rsidR="00F164EF" w:rsidRPr="009E5034" w:rsidRDefault="00F164EF" w:rsidP="009E5034">
            <w:pPr>
              <w:pStyle w:val="Tableau"/>
              <w:ind w:left="1"/>
              <w:jc w:val="left"/>
              <w:rPr>
                <w:sz w:val="22"/>
                <w:szCs w:val="22"/>
              </w:rPr>
            </w:pPr>
            <w:r w:rsidRPr="009E5034">
              <w:rPr>
                <w:sz w:val="22"/>
                <w:szCs w:val="22"/>
              </w:rPr>
              <w:t>1%</w:t>
            </w:r>
          </w:p>
        </w:tc>
      </w:tr>
      <w:tr w:rsidR="00F164EF" w:rsidRPr="009E5034" w:rsidTr="00072CBC">
        <w:trPr>
          <w:jc w:val="center"/>
        </w:trPr>
        <w:tc>
          <w:tcPr>
            <w:tcW w:w="3572" w:type="dxa"/>
          </w:tcPr>
          <w:p w:rsidR="00F164EF" w:rsidRPr="009E5034" w:rsidRDefault="00F164EF" w:rsidP="009E5034">
            <w:pPr>
              <w:pStyle w:val="Tableau"/>
              <w:ind w:left="1"/>
              <w:jc w:val="left"/>
              <w:rPr>
                <w:sz w:val="22"/>
                <w:szCs w:val="22"/>
              </w:rPr>
            </w:pPr>
            <w:r w:rsidRPr="009E5034">
              <w:rPr>
                <w:sz w:val="22"/>
                <w:szCs w:val="22"/>
              </w:rPr>
              <w:t>Verres</w:t>
            </w:r>
          </w:p>
        </w:tc>
        <w:tc>
          <w:tcPr>
            <w:tcW w:w="1415" w:type="dxa"/>
          </w:tcPr>
          <w:p w:rsidR="00F164EF" w:rsidRPr="009E5034" w:rsidRDefault="00F164EF" w:rsidP="009E5034">
            <w:pPr>
              <w:pStyle w:val="Tableau"/>
              <w:ind w:left="1"/>
              <w:jc w:val="left"/>
              <w:rPr>
                <w:sz w:val="22"/>
                <w:szCs w:val="22"/>
              </w:rPr>
            </w:pPr>
            <w:r w:rsidRPr="009E5034">
              <w:rPr>
                <w:sz w:val="22"/>
                <w:szCs w:val="22"/>
              </w:rPr>
              <w:t>1%</w:t>
            </w:r>
          </w:p>
        </w:tc>
      </w:tr>
      <w:tr w:rsidR="00F164EF" w:rsidRPr="009E5034" w:rsidTr="00072CBC">
        <w:trPr>
          <w:jc w:val="center"/>
        </w:trPr>
        <w:tc>
          <w:tcPr>
            <w:tcW w:w="3572" w:type="dxa"/>
          </w:tcPr>
          <w:p w:rsidR="00F164EF" w:rsidRPr="009E5034" w:rsidRDefault="00F164EF" w:rsidP="009E5034">
            <w:pPr>
              <w:pStyle w:val="Tableau"/>
              <w:ind w:left="1"/>
              <w:jc w:val="left"/>
              <w:rPr>
                <w:sz w:val="22"/>
                <w:szCs w:val="22"/>
              </w:rPr>
            </w:pPr>
            <w:r w:rsidRPr="009E5034">
              <w:rPr>
                <w:sz w:val="22"/>
                <w:szCs w:val="22"/>
              </w:rPr>
              <w:t>Autres</w:t>
            </w:r>
          </w:p>
        </w:tc>
        <w:tc>
          <w:tcPr>
            <w:tcW w:w="1415" w:type="dxa"/>
          </w:tcPr>
          <w:p w:rsidR="00F164EF" w:rsidRPr="009E5034" w:rsidRDefault="00F164EF" w:rsidP="009E5034">
            <w:pPr>
              <w:pStyle w:val="Tableau"/>
              <w:ind w:left="1"/>
              <w:jc w:val="left"/>
              <w:rPr>
                <w:sz w:val="22"/>
                <w:szCs w:val="22"/>
              </w:rPr>
            </w:pPr>
            <w:r w:rsidRPr="009E5034">
              <w:rPr>
                <w:sz w:val="22"/>
                <w:szCs w:val="22"/>
              </w:rPr>
              <w:t>1%</w:t>
            </w:r>
          </w:p>
        </w:tc>
      </w:tr>
      <w:tr w:rsidR="00F164EF" w:rsidRPr="009E5034" w:rsidTr="00072CBC">
        <w:trPr>
          <w:jc w:val="center"/>
        </w:trPr>
        <w:tc>
          <w:tcPr>
            <w:tcW w:w="3572" w:type="dxa"/>
          </w:tcPr>
          <w:p w:rsidR="00F164EF" w:rsidRPr="009E5034" w:rsidRDefault="00F164EF" w:rsidP="009E5034">
            <w:pPr>
              <w:pStyle w:val="Tableau"/>
              <w:ind w:left="1"/>
              <w:jc w:val="left"/>
              <w:rPr>
                <w:sz w:val="22"/>
                <w:szCs w:val="22"/>
              </w:rPr>
            </w:pPr>
            <w:r w:rsidRPr="009E5034">
              <w:rPr>
                <w:sz w:val="22"/>
                <w:szCs w:val="22"/>
              </w:rPr>
              <w:t>Total</w:t>
            </w:r>
          </w:p>
        </w:tc>
        <w:tc>
          <w:tcPr>
            <w:tcW w:w="1415" w:type="dxa"/>
          </w:tcPr>
          <w:p w:rsidR="00F164EF" w:rsidRPr="009E5034" w:rsidRDefault="00F164EF" w:rsidP="009E5034">
            <w:pPr>
              <w:pStyle w:val="Tableau"/>
              <w:ind w:left="1"/>
              <w:jc w:val="left"/>
              <w:rPr>
                <w:sz w:val="22"/>
                <w:szCs w:val="22"/>
              </w:rPr>
            </w:pPr>
            <w:r w:rsidRPr="009E5034">
              <w:rPr>
                <w:sz w:val="22"/>
                <w:szCs w:val="22"/>
              </w:rPr>
              <w:t>100%</w:t>
            </w:r>
          </w:p>
        </w:tc>
      </w:tr>
    </w:tbl>
    <w:p w:rsidR="00F164EF" w:rsidRPr="009E5034" w:rsidRDefault="00F164EF" w:rsidP="009E5034">
      <w:pPr>
        <w:spacing w:before="120" w:after="120"/>
        <w:ind w:left="0"/>
        <w:jc w:val="left"/>
        <w:rPr>
          <w:sz w:val="22"/>
          <w:szCs w:val="22"/>
        </w:rPr>
      </w:pPr>
      <w:r w:rsidRPr="009E5034">
        <w:rPr>
          <w:sz w:val="22"/>
          <w:szCs w:val="22"/>
        </w:rPr>
        <w:t>Cette composition moyenne fait apparaître qu’environ 85% des déchets solides produits dans la ville de Sikasso sont de nature organique et utilisable par conséquent, moyennant traitement, comme amendement des sols. En référence à l’étude de faisabilité de la décharge finale faite en 2005, la production des déchets solides ménagers est évaluée à 45000 tonnes par an.</w:t>
      </w:r>
    </w:p>
    <w:p w:rsidR="00F164EF" w:rsidRPr="009E5034" w:rsidRDefault="00F164EF" w:rsidP="009E5034">
      <w:pPr>
        <w:spacing w:before="120" w:after="120"/>
        <w:ind w:left="0"/>
        <w:jc w:val="left"/>
        <w:rPr>
          <w:i/>
          <w:sz w:val="22"/>
          <w:szCs w:val="22"/>
        </w:rPr>
      </w:pPr>
      <w:r w:rsidRPr="009E5034">
        <w:rPr>
          <w:i/>
          <w:sz w:val="22"/>
          <w:szCs w:val="22"/>
        </w:rPr>
        <w:t>Les déchets spéciaux</w:t>
      </w:r>
    </w:p>
    <w:p w:rsidR="00F164EF" w:rsidRPr="009E5034" w:rsidRDefault="00F164EF" w:rsidP="009E5034">
      <w:pPr>
        <w:ind w:left="0" w:right="-62"/>
        <w:jc w:val="left"/>
        <w:rPr>
          <w:sz w:val="22"/>
          <w:szCs w:val="22"/>
          <w:lang w:val="fr-CA"/>
        </w:rPr>
      </w:pPr>
      <w:r w:rsidRPr="009E5034">
        <w:rPr>
          <w:sz w:val="22"/>
          <w:szCs w:val="22"/>
          <w:u w:val="single"/>
          <w:lang w:val="fr-CA"/>
        </w:rPr>
        <w:t>Les structures sanitaires</w:t>
      </w:r>
      <w:r w:rsidRPr="009E5034">
        <w:rPr>
          <w:sz w:val="22"/>
          <w:szCs w:val="22"/>
          <w:lang w:val="fr-CA"/>
        </w:rPr>
        <w:t xml:space="preserve"> génèrent de faibles quantités de déchets, comme le montrent les résultats des enquêtes menées au cours de la présente mission. L’hôpital produit environ </w:t>
      </w:r>
      <w:smartTag w:uri="urn:schemas-microsoft-com:office:smarttags" w:element="metricconverter">
        <w:smartTagPr>
          <w:attr w:name="ProductID" w:val="2 m3"/>
        </w:smartTagPr>
        <w:r w:rsidRPr="009E5034">
          <w:rPr>
            <w:sz w:val="22"/>
            <w:szCs w:val="22"/>
            <w:lang w:val="fr-CA"/>
          </w:rPr>
          <w:t>2 m</w:t>
        </w:r>
        <w:r w:rsidRPr="009E5034">
          <w:rPr>
            <w:sz w:val="22"/>
            <w:szCs w:val="22"/>
            <w:vertAlign w:val="superscript"/>
            <w:lang w:val="fr-CA"/>
          </w:rPr>
          <w:t>3</w:t>
        </w:r>
      </w:smartTag>
      <w:r w:rsidRPr="009E5034">
        <w:rPr>
          <w:sz w:val="22"/>
          <w:szCs w:val="22"/>
          <w:lang w:val="fr-CA"/>
        </w:rPr>
        <w:t xml:space="preserve"> par jour et les centres de santé moins de </w:t>
      </w:r>
      <w:smartTag w:uri="urn:schemas-microsoft-com:office:smarttags" w:element="metricconverter">
        <w:smartTagPr>
          <w:attr w:name="ProductID" w:val="0,1 m3"/>
        </w:smartTagPr>
        <w:r w:rsidRPr="009E5034">
          <w:rPr>
            <w:sz w:val="22"/>
            <w:szCs w:val="22"/>
            <w:lang w:val="fr-CA"/>
          </w:rPr>
          <w:t>0,1 m</w:t>
        </w:r>
        <w:r w:rsidRPr="009E5034">
          <w:rPr>
            <w:sz w:val="22"/>
            <w:szCs w:val="22"/>
            <w:vertAlign w:val="superscript"/>
            <w:lang w:val="fr-CA"/>
          </w:rPr>
          <w:t>3</w:t>
        </w:r>
      </w:smartTag>
      <w:r w:rsidRPr="009E5034">
        <w:rPr>
          <w:sz w:val="22"/>
          <w:szCs w:val="22"/>
          <w:lang w:val="fr-CA"/>
        </w:rPr>
        <w:t>. La fraction de déchets assimilables aux ordures ménagères est évacuée dans le circuit habituel de collecte, tandis que la partie dangereuse, évaluée à 10 %, est brûlée. La quantité annuelle de déchets biomédicaux assimilables aux déchets ménagers est alors de l’ordre de 900 tonnes, si l’on considère la densité égale à 110 kg/m</w:t>
      </w:r>
      <w:r w:rsidRPr="009E5034">
        <w:rPr>
          <w:sz w:val="22"/>
          <w:szCs w:val="22"/>
          <w:vertAlign w:val="superscript"/>
          <w:lang w:val="fr-CA"/>
        </w:rPr>
        <w:t>3</w:t>
      </w:r>
      <w:r w:rsidRPr="009E5034">
        <w:rPr>
          <w:sz w:val="22"/>
          <w:szCs w:val="22"/>
          <w:lang w:val="fr-CA"/>
        </w:rPr>
        <w:t xml:space="preserve"> (Prüss, et col, 1999</w:t>
      </w:r>
      <w:r w:rsidRPr="009E5034">
        <w:rPr>
          <w:rStyle w:val="FootnoteReference"/>
          <w:sz w:val="22"/>
          <w:szCs w:val="22"/>
        </w:rPr>
        <w:footnoteReference w:id="7"/>
      </w:r>
      <w:r w:rsidRPr="009E5034">
        <w:rPr>
          <w:sz w:val="22"/>
          <w:szCs w:val="22"/>
          <w:lang w:val="fr-CA"/>
        </w:rPr>
        <w:t>). Autrement dit, les déchets médicaux représentent moins de 4 % des déchets produits par les ménages.</w:t>
      </w:r>
    </w:p>
    <w:p w:rsidR="00F164EF" w:rsidRPr="009E5034" w:rsidRDefault="00F164EF" w:rsidP="009E5034">
      <w:pPr>
        <w:ind w:left="0"/>
        <w:jc w:val="left"/>
        <w:rPr>
          <w:sz w:val="22"/>
          <w:szCs w:val="22"/>
          <w:lang w:val="fr-CA"/>
        </w:rPr>
      </w:pPr>
      <w:r w:rsidRPr="009E5034">
        <w:rPr>
          <w:sz w:val="22"/>
          <w:szCs w:val="22"/>
          <w:u w:val="single"/>
          <w:lang w:val="fr-CA"/>
        </w:rPr>
        <w:t>Les unités industrielles</w:t>
      </w:r>
      <w:r w:rsidRPr="009E5034">
        <w:rPr>
          <w:rStyle w:val="FootnoteReference"/>
          <w:sz w:val="22"/>
          <w:szCs w:val="22"/>
          <w:u w:val="single"/>
        </w:rPr>
        <w:footnoteReference w:id="8"/>
      </w:r>
      <w:r w:rsidRPr="009E5034">
        <w:rPr>
          <w:sz w:val="22"/>
          <w:szCs w:val="22"/>
          <w:lang w:val="fr-CA"/>
        </w:rPr>
        <w:t xml:space="preserve"> qui produisent la plus importante quantité de déchets sont celles de la CMDT, avec </w:t>
      </w:r>
      <w:smartTag w:uri="urn:schemas-microsoft-com:office:smarttags" w:element="metricconverter">
        <w:smartTagPr>
          <w:attr w:name="ProductID" w:val="8 000 kg"/>
        </w:smartTagPr>
        <w:r w:rsidRPr="009E5034">
          <w:rPr>
            <w:sz w:val="22"/>
            <w:szCs w:val="22"/>
            <w:lang w:val="fr-CA"/>
          </w:rPr>
          <w:t>8 000 kg</w:t>
        </w:r>
      </w:smartTag>
      <w:r w:rsidRPr="009E5034">
        <w:rPr>
          <w:sz w:val="22"/>
          <w:szCs w:val="22"/>
          <w:lang w:val="fr-CA"/>
        </w:rPr>
        <w:t xml:space="preserve"> pendant la campagne de 150 jours (selon les enquêtes de la présente mission). Cependant ces déchets sont intégralement recyclés dans les champs et se retrouvent hors du circuit des déchets à mettre en décharge. L’usine EMAMA produit environ </w:t>
      </w:r>
      <w:smartTag w:uri="urn:schemas-microsoft-com:office:smarttags" w:element="metricconverter">
        <w:smartTagPr>
          <w:attr w:name="ProductID" w:val="1 m3"/>
        </w:smartTagPr>
        <w:r w:rsidRPr="009E5034">
          <w:rPr>
            <w:sz w:val="22"/>
            <w:szCs w:val="22"/>
            <w:lang w:val="fr-CA"/>
          </w:rPr>
          <w:t>1 m</w:t>
        </w:r>
        <w:r w:rsidRPr="009E5034">
          <w:rPr>
            <w:sz w:val="22"/>
            <w:szCs w:val="22"/>
            <w:vertAlign w:val="superscript"/>
            <w:lang w:val="fr-CA"/>
          </w:rPr>
          <w:t>3</w:t>
        </w:r>
      </w:smartTag>
      <w:r w:rsidRPr="009E5034">
        <w:rPr>
          <w:sz w:val="22"/>
          <w:szCs w:val="22"/>
          <w:lang w:val="fr-CA"/>
        </w:rPr>
        <w:t xml:space="preserve"> de résidus solides par jour, évacués vers les dépotoirs par les GIE (selon les enquêtes de la présente mission). L’abattoir génère environ </w:t>
      </w:r>
      <w:smartTag w:uri="urn:schemas-microsoft-com:office:smarttags" w:element="metricconverter">
        <w:smartTagPr>
          <w:attr w:name="ProductID" w:val="900 kg"/>
        </w:smartTagPr>
        <w:r w:rsidRPr="009E5034">
          <w:rPr>
            <w:sz w:val="22"/>
            <w:szCs w:val="22"/>
            <w:lang w:val="fr-CA"/>
          </w:rPr>
          <w:t>900 kg</w:t>
        </w:r>
      </w:smartTag>
      <w:r w:rsidRPr="009E5034">
        <w:rPr>
          <w:sz w:val="22"/>
          <w:szCs w:val="22"/>
          <w:lang w:val="fr-CA"/>
        </w:rPr>
        <w:t xml:space="preserve"> de déchets dont la plus grande partie est recyclée dans les champs agricoles (selon les enquêtes menées au cours de la présente mission). Les marchés génèrent des quantités de déchets non négligeables; mais en raison de leur forte teneur en matières organiques, il est recommandé d’envisager leur recyclage comme amendements organiques des sols de cultures.</w:t>
      </w:r>
    </w:p>
    <w:p w:rsidR="00F164EF" w:rsidRPr="009E5034" w:rsidRDefault="00F164EF" w:rsidP="009E5034">
      <w:pPr>
        <w:spacing w:after="240"/>
        <w:ind w:left="0"/>
        <w:jc w:val="left"/>
        <w:rPr>
          <w:rStyle w:val="Strong"/>
          <w:rFonts w:eastAsia="MS Mincho"/>
          <w:sz w:val="22"/>
          <w:szCs w:val="22"/>
        </w:rPr>
      </w:pPr>
      <w:r w:rsidRPr="009E5034">
        <w:rPr>
          <w:rStyle w:val="Strong"/>
          <w:rFonts w:eastAsia="MS Mincho"/>
          <w:sz w:val="22"/>
          <w:szCs w:val="22"/>
        </w:rPr>
        <w:t>5.2.2 Balayage de la voirie</w:t>
      </w:r>
    </w:p>
    <w:p w:rsidR="00F164EF" w:rsidRPr="009E5034" w:rsidRDefault="00F164EF" w:rsidP="009E5034">
      <w:pPr>
        <w:spacing w:before="120" w:after="120"/>
        <w:ind w:left="0"/>
        <w:jc w:val="left"/>
        <w:rPr>
          <w:sz w:val="22"/>
          <w:szCs w:val="22"/>
        </w:rPr>
      </w:pPr>
      <w:r w:rsidRPr="009E5034">
        <w:rPr>
          <w:sz w:val="22"/>
          <w:szCs w:val="22"/>
        </w:rPr>
        <w:t>La mairie a par ailleurs fait recours aux services de groupements de femmes pour le nettoyage des rues et des places publiques moyennant un intéressement financier (autour de 100</w:t>
      </w:r>
      <w:r w:rsidR="002A29D1">
        <w:rPr>
          <w:sz w:val="22"/>
          <w:szCs w:val="22"/>
        </w:rPr>
        <w:t>.</w:t>
      </w:r>
      <w:r w:rsidRPr="009E5034">
        <w:rPr>
          <w:sz w:val="22"/>
          <w:szCs w:val="22"/>
        </w:rPr>
        <w:t>000 FCFA/groupement par mois). On dénombre en 2009, 12 groupements de femmes employant 600 femmes.</w:t>
      </w:r>
    </w:p>
    <w:p w:rsidR="00F164EF" w:rsidRPr="009E5034" w:rsidRDefault="00F164EF" w:rsidP="009E5034">
      <w:pPr>
        <w:spacing w:after="240"/>
        <w:ind w:left="0"/>
        <w:jc w:val="left"/>
        <w:rPr>
          <w:rStyle w:val="Strong"/>
          <w:rFonts w:eastAsia="MS Mincho"/>
          <w:sz w:val="22"/>
          <w:szCs w:val="22"/>
        </w:rPr>
      </w:pPr>
      <w:r w:rsidRPr="009E5034">
        <w:rPr>
          <w:rStyle w:val="Strong"/>
          <w:rFonts w:eastAsia="MS Mincho"/>
          <w:sz w:val="22"/>
          <w:szCs w:val="22"/>
        </w:rPr>
        <w:t>5.2.3 Collecte primaire</w:t>
      </w:r>
    </w:p>
    <w:p w:rsidR="00F164EF" w:rsidRPr="009E5034" w:rsidRDefault="00F164EF" w:rsidP="009E5034">
      <w:pPr>
        <w:spacing w:before="120" w:after="120"/>
        <w:ind w:left="0"/>
        <w:jc w:val="left"/>
        <w:rPr>
          <w:sz w:val="22"/>
          <w:szCs w:val="22"/>
        </w:rPr>
      </w:pPr>
      <w:r w:rsidRPr="009E5034">
        <w:rPr>
          <w:sz w:val="22"/>
          <w:szCs w:val="22"/>
        </w:rPr>
        <w:t>La collecte primaire dans la ville de Sikasso est assurée par des groupements d’intérêt économique (GIE), regroupés au sein d’une coordination appelée COTAPE. Ils d</w:t>
      </w:r>
      <w:r w:rsidR="002A29D1">
        <w:rPr>
          <w:sz w:val="22"/>
          <w:szCs w:val="22"/>
        </w:rPr>
        <w:t>isposent d’un réseau d’environ 1.</w:t>
      </w:r>
      <w:r w:rsidRPr="009E5034">
        <w:rPr>
          <w:sz w:val="22"/>
          <w:szCs w:val="22"/>
        </w:rPr>
        <w:t>500 abonnés sur le</w:t>
      </w:r>
      <w:r w:rsidR="002A29D1">
        <w:rPr>
          <w:sz w:val="22"/>
          <w:szCs w:val="22"/>
        </w:rPr>
        <w:t>s 20.</w:t>
      </w:r>
      <w:r w:rsidRPr="009E5034">
        <w:rPr>
          <w:sz w:val="22"/>
          <w:szCs w:val="22"/>
        </w:rPr>
        <w:t xml:space="preserve">000 ménages que compte la ville. </w:t>
      </w:r>
    </w:p>
    <w:p w:rsidR="00F164EF" w:rsidRPr="009E5034" w:rsidRDefault="00F164EF" w:rsidP="009E5034">
      <w:pPr>
        <w:spacing w:before="120" w:after="120"/>
        <w:ind w:left="0"/>
        <w:jc w:val="left"/>
        <w:rPr>
          <w:sz w:val="22"/>
          <w:szCs w:val="22"/>
        </w:rPr>
      </w:pPr>
      <w:r w:rsidRPr="009E5034">
        <w:rPr>
          <w:sz w:val="22"/>
          <w:szCs w:val="22"/>
        </w:rPr>
        <w:t>Il existe actuellement dans la ville de Sikasso environ une quinzaine  de dépotoirs à l’intérieur de la ville dont une dizaine bien aménagés avec une rampe et un conteneur.</w:t>
      </w:r>
    </w:p>
    <w:p w:rsidR="00F164EF" w:rsidRPr="009E5034" w:rsidRDefault="00F164EF" w:rsidP="009E5034">
      <w:pPr>
        <w:spacing w:after="240"/>
        <w:ind w:left="0"/>
        <w:jc w:val="left"/>
        <w:rPr>
          <w:rStyle w:val="Strong"/>
          <w:rFonts w:eastAsia="MS Mincho"/>
          <w:sz w:val="22"/>
          <w:szCs w:val="22"/>
        </w:rPr>
      </w:pPr>
      <w:r w:rsidRPr="009E5034">
        <w:rPr>
          <w:rStyle w:val="Strong"/>
          <w:rFonts w:eastAsia="MS Mincho"/>
          <w:sz w:val="22"/>
          <w:szCs w:val="22"/>
        </w:rPr>
        <w:t>5.2.4 Collecte secondaire et mise en décharge</w:t>
      </w:r>
    </w:p>
    <w:p w:rsidR="00F164EF" w:rsidRPr="009E5034" w:rsidRDefault="00F164EF" w:rsidP="009E5034">
      <w:pPr>
        <w:spacing w:before="120" w:after="120"/>
        <w:ind w:left="0"/>
        <w:jc w:val="left"/>
        <w:rPr>
          <w:sz w:val="22"/>
          <w:szCs w:val="22"/>
        </w:rPr>
      </w:pPr>
      <w:r w:rsidRPr="009E5034">
        <w:rPr>
          <w:sz w:val="22"/>
          <w:szCs w:val="22"/>
        </w:rPr>
        <w:t>La ville dispose en plus de la dizaine de dépôts de transit  d’aménagés, un centre d’enfouissement technique doté de cellules de confinement pour les déchets spéciaux et bassin de traitement des lixiviats.</w:t>
      </w:r>
    </w:p>
    <w:p w:rsidR="00F164EF" w:rsidRPr="009E5034" w:rsidRDefault="00F164EF" w:rsidP="009E5034">
      <w:pPr>
        <w:spacing w:before="120" w:after="120"/>
        <w:ind w:left="0"/>
        <w:jc w:val="left"/>
        <w:rPr>
          <w:sz w:val="22"/>
          <w:szCs w:val="22"/>
        </w:rPr>
      </w:pPr>
      <w:r w:rsidRPr="009E5034">
        <w:rPr>
          <w:sz w:val="22"/>
          <w:szCs w:val="22"/>
        </w:rPr>
        <w:t xml:space="preserve">Le Ministère de l’Environnement à travers la Direction Régionale de l’Assainissement assure la collecte secondaire des dépôts de transit vers le centre d’enfouissement. Cette activité vient en appui à la commune dont les moyens de transport disponibles sont en mauvais état. Les services municipaux de la commune urbaine de Sikasso évaluent le taux de collecte des déchets ménagers de 60%, pourtant les camions de transport mis en place par la CTB ainsi que les caissons disponibles permettent d’assurer la collecte des déchets de la ville si les moyens financiers disponibles étaient suffisants pour faire face aux charges de collecte et d’enfouissement des déchets. </w:t>
      </w:r>
    </w:p>
    <w:p w:rsidR="00F164EF" w:rsidRPr="009E5034" w:rsidRDefault="00F164EF" w:rsidP="009E5034">
      <w:pPr>
        <w:spacing w:before="120" w:after="120"/>
        <w:ind w:left="0"/>
        <w:jc w:val="left"/>
        <w:rPr>
          <w:sz w:val="22"/>
          <w:szCs w:val="22"/>
        </w:rPr>
      </w:pPr>
      <w:r w:rsidRPr="009E5034">
        <w:rPr>
          <w:sz w:val="22"/>
          <w:szCs w:val="22"/>
        </w:rPr>
        <w:t>Les ressources humaines de la commune de Sikasso déployées dans la collecte secondaire sont constituées de 7 chauffeurs, 1 conducteur de niveleuse, 2 aides conducteurs et 17 manœuvres.</w:t>
      </w:r>
    </w:p>
    <w:p w:rsidR="00F164EF" w:rsidRPr="009E5034" w:rsidRDefault="00F164EF" w:rsidP="009E5034">
      <w:pPr>
        <w:spacing w:before="120" w:after="120"/>
        <w:ind w:left="0"/>
        <w:jc w:val="left"/>
        <w:rPr>
          <w:sz w:val="22"/>
          <w:szCs w:val="22"/>
        </w:rPr>
      </w:pPr>
      <w:r w:rsidRPr="009E5034">
        <w:rPr>
          <w:sz w:val="22"/>
          <w:szCs w:val="22"/>
        </w:rPr>
        <w:t>Sur le plan financier, la collecte des déchets absorberait un budget d’environ 50 millions dont 20 de la commune et 32 par l’Etat à travers la DRACPN.</w:t>
      </w:r>
    </w:p>
    <w:p w:rsidR="00F164EF" w:rsidRPr="009E5034" w:rsidRDefault="00F164EF" w:rsidP="009E5034">
      <w:pPr>
        <w:spacing w:before="120" w:after="120"/>
        <w:ind w:left="0"/>
        <w:jc w:val="left"/>
        <w:rPr>
          <w:sz w:val="22"/>
          <w:szCs w:val="22"/>
        </w:rPr>
      </w:pPr>
      <w:r w:rsidRPr="009E5034">
        <w:rPr>
          <w:sz w:val="22"/>
          <w:szCs w:val="22"/>
        </w:rPr>
        <w:t>Les équipements de collecte et de traitement des déchets disponibles dans la ville font l’objet du tableau ci-après.</w:t>
      </w:r>
    </w:p>
    <w:p w:rsidR="00F164EF" w:rsidRPr="009E5034" w:rsidRDefault="00F164EF" w:rsidP="009E5034">
      <w:pPr>
        <w:pStyle w:val="Quote"/>
        <w:spacing w:after="240"/>
        <w:ind w:left="0"/>
        <w:jc w:val="left"/>
        <w:rPr>
          <w:sz w:val="22"/>
          <w:szCs w:val="22"/>
        </w:rPr>
      </w:pPr>
      <w:r w:rsidRPr="009E5034">
        <w:rPr>
          <w:sz w:val="22"/>
          <w:szCs w:val="22"/>
        </w:rPr>
        <w:br w:type="page"/>
        <w:t>Tableau A4.6: Equipements disponibles pour la collecte secondaire et l’exploitation de la décharge de Sikasso.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57"/>
        <w:gridCol w:w="1071"/>
        <w:gridCol w:w="1250"/>
        <w:gridCol w:w="1321"/>
      </w:tblGrid>
      <w:tr w:rsidR="00F164EF" w:rsidRPr="009E5034" w:rsidTr="00072CBC">
        <w:trPr>
          <w:trHeight w:val="295"/>
          <w:jc w:val="center"/>
        </w:trPr>
        <w:tc>
          <w:tcPr>
            <w:tcW w:w="3457" w:type="dxa"/>
          </w:tcPr>
          <w:p w:rsidR="00F164EF" w:rsidRPr="009E5034" w:rsidRDefault="00F164EF" w:rsidP="009E5034">
            <w:pPr>
              <w:pStyle w:val="Tableau"/>
              <w:ind w:left="1"/>
              <w:jc w:val="left"/>
              <w:rPr>
                <w:sz w:val="22"/>
                <w:szCs w:val="22"/>
              </w:rPr>
            </w:pPr>
            <w:r w:rsidRPr="009E5034">
              <w:rPr>
                <w:sz w:val="22"/>
                <w:szCs w:val="22"/>
              </w:rPr>
              <w:t>Matériel de la commune</w:t>
            </w:r>
          </w:p>
        </w:tc>
        <w:tc>
          <w:tcPr>
            <w:tcW w:w="1071" w:type="dxa"/>
          </w:tcPr>
          <w:p w:rsidR="00F164EF" w:rsidRPr="009E5034" w:rsidRDefault="00F164EF" w:rsidP="009E5034">
            <w:pPr>
              <w:pStyle w:val="Tableau"/>
              <w:ind w:left="1"/>
              <w:jc w:val="left"/>
              <w:rPr>
                <w:sz w:val="22"/>
                <w:szCs w:val="22"/>
              </w:rPr>
            </w:pPr>
            <w:r w:rsidRPr="009E5034">
              <w:rPr>
                <w:sz w:val="22"/>
                <w:szCs w:val="22"/>
              </w:rPr>
              <w:t>Nombre</w:t>
            </w:r>
          </w:p>
        </w:tc>
        <w:tc>
          <w:tcPr>
            <w:tcW w:w="1250" w:type="dxa"/>
          </w:tcPr>
          <w:p w:rsidR="00F164EF" w:rsidRPr="009E5034" w:rsidRDefault="00F164EF" w:rsidP="009E5034">
            <w:pPr>
              <w:pStyle w:val="Tableau"/>
              <w:ind w:left="1"/>
              <w:jc w:val="left"/>
              <w:rPr>
                <w:sz w:val="22"/>
                <w:szCs w:val="22"/>
              </w:rPr>
            </w:pPr>
            <w:r w:rsidRPr="009E5034">
              <w:rPr>
                <w:sz w:val="22"/>
                <w:szCs w:val="22"/>
              </w:rPr>
              <w:t>Etat</w:t>
            </w:r>
          </w:p>
        </w:tc>
        <w:tc>
          <w:tcPr>
            <w:tcW w:w="1321" w:type="dxa"/>
          </w:tcPr>
          <w:p w:rsidR="00F164EF" w:rsidRPr="009E5034" w:rsidRDefault="00F164EF" w:rsidP="009E5034">
            <w:pPr>
              <w:pStyle w:val="Tableau"/>
              <w:ind w:left="1"/>
              <w:jc w:val="left"/>
              <w:rPr>
                <w:sz w:val="22"/>
                <w:szCs w:val="22"/>
              </w:rPr>
            </w:pPr>
            <w:r w:rsidRPr="009E5034">
              <w:rPr>
                <w:sz w:val="22"/>
                <w:szCs w:val="22"/>
              </w:rPr>
              <w:t>Ancienneté</w:t>
            </w:r>
          </w:p>
        </w:tc>
      </w:tr>
      <w:tr w:rsidR="00F164EF" w:rsidRPr="009E5034" w:rsidTr="00072CBC">
        <w:trPr>
          <w:trHeight w:val="133"/>
          <w:jc w:val="center"/>
        </w:trPr>
        <w:tc>
          <w:tcPr>
            <w:tcW w:w="3457" w:type="dxa"/>
          </w:tcPr>
          <w:p w:rsidR="00F164EF" w:rsidRPr="009E5034" w:rsidRDefault="00F164EF" w:rsidP="009E5034">
            <w:pPr>
              <w:pStyle w:val="Tableau"/>
              <w:ind w:left="1"/>
              <w:jc w:val="left"/>
              <w:rPr>
                <w:sz w:val="22"/>
                <w:szCs w:val="22"/>
              </w:rPr>
            </w:pPr>
            <w:r w:rsidRPr="009E5034">
              <w:rPr>
                <w:sz w:val="22"/>
                <w:szCs w:val="22"/>
              </w:rPr>
              <w:t>Camion</w:t>
            </w:r>
          </w:p>
        </w:tc>
        <w:tc>
          <w:tcPr>
            <w:tcW w:w="1071" w:type="dxa"/>
          </w:tcPr>
          <w:p w:rsidR="00F164EF" w:rsidRPr="009E5034" w:rsidRDefault="00F164EF" w:rsidP="009E5034">
            <w:pPr>
              <w:pStyle w:val="Tableau"/>
              <w:ind w:left="1"/>
              <w:jc w:val="left"/>
              <w:rPr>
                <w:sz w:val="22"/>
                <w:szCs w:val="22"/>
              </w:rPr>
            </w:pPr>
            <w:r w:rsidRPr="009E5034">
              <w:rPr>
                <w:sz w:val="22"/>
                <w:szCs w:val="22"/>
              </w:rPr>
              <w:t>2</w:t>
            </w:r>
          </w:p>
        </w:tc>
        <w:tc>
          <w:tcPr>
            <w:tcW w:w="1250" w:type="dxa"/>
          </w:tcPr>
          <w:p w:rsidR="00F164EF" w:rsidRPr="009E5034" w:rsidRDefault="00F164EF" w:rsidP="009E5034">
            <w:pPr>
              <w:pStyle w:val="Tableau"/>
              <w:ind w:left="1"/>
              <w:jc w:val="left"/>
              <w:rPr>
                <w:sz w:val="22"/>
                <w:szCs w:val="22"/>
              </w:rPr>
            </w:pPr>
            <w:r w:rsidRPr="009E5034">
              <w:rPr>
                <w:sz w:val="22"/>
                <w:szCs w:val="22"/>
              </w:rPr>
              <w:t>Mauvais</w:t>
            </w:r>
          </w:p>
        </w:tc>
        <w:tc>
          <w:tcPr>
            <w:tcW w:w="1321" w:type="dxa"/>
          </w:tcPr>
          <w:p w:rsidR="00F164EF" w:rsidRPr="009E5034" w:rsidRDefault="00F164EF" w:rsidP="009E5034">
            <w:pPr>
              <w:pStyle w:val="Tableau"/>
              <w:ind w:left="1"/>
              <w:jc w:val="left"/>
              <w:rPr>
                <w:sz w:val="22"/>
                <w:szCs w:val="22"/>
              </w:rPr>
            </w:pPr>
            <w:r w:rsidRPr="009E5034">
              <w:rPr>
                <w:sz w:val="22"/>
                <w:szCs w:val="22"/>
              </w:rPr>
              <w:t>13</w:t>
            </w:r>
          </w:p>
        </w:tc>
      </w:tr>
      <w:tr w:rsidR="00F164EF" w:rsidRPr="009E5034" w:rsidTr="00072CBC">
        <w:trPr>
          <w:trHeight w:val="193"/>
          <w:jc w:val="center"/>
        </w:trPr>
        <w:tc>
          <w:tcPr>
            <w:tcW w:w="3457" w:type="dxa"/>
          </w:tcPr>
          <w:p w:rsidR="00F164EF" w:rsidRPr="009E5034" w:rsidRDefault="00F164EF" w:rsidP="009E5034">
            <w:pPr>
              <w:pStyle w:val="Tableau"/>
              <w:ind w:left="1"/>
              <w:jc w:val="left"/>
              <w:rPr>
                <w:sz w:val="22"/>
                <w:szCs w:val="22"/>
              </w:rPr>
            </w:pPr>
            <w:r w:rsidRPr="009E5034">
              <w:rPr>
                <w:sz w:val="22"/>
                <w:szCs w:val="22"/>
              </w:rPr>
              <w:t xml:space="preserve">Niveleuse </w:t>
            </w:r>
          </w:p>
        </w:tc>
        <w:tc>
          <w:tcPr>
            <w:tcW w:w="1071" w:type="dxa"/>
          </w:tcPr>
          <w:p w:rsidR="00F164EF" w:rsidRPr="009E5034" w:rsidRDefault="00F164EF" w:rsidP="009E5034">
            <w:pPr>
              <w:pStyle w:val="Tableau"/>
              <w:ind w:left="1"/>
              <w:jc w:val="left"/>
              <w:rPr>
                <w:sz w:val="22"/>
                <w:szCs w:val="22"/>
              </w:rPr>
            </w:pPr>
            <w:r w:rsidRPr="009E5034">
              <w:rPr>
                <w:sz w:val="22"/>
                <w:szCs w:val="22"/>
              </w:rPr>
              <w:t>1</w:t>
            </w:r>
          </w:p>
        </w:tc>
        <w:tc>
          <w:tcPr>
            <w:tcW w:w="1250" w:type="dxa"/>
          </w:tcPr>
          <w:p w:rsidR="00F164EF" w:rsidRPr="009E5034" w:rsidRDefault="00F164EF" w:rsidP="009E5034">
            <w:pPr>
              <w:pStyle w:val="Tableau"/>
              <w:ind w:left="1"/>
              <w:jc w:val="left"/>
              <w:rPr>
                <w:sz w:val="22"/>
                <w:szCs w:val="22"/>
              </w:rPr>
            </w:pPr>
            <w:r w:rsidRPr="009E5034">
              <w:rPr>
                <w:sz w:val="22"/>
                <w:szCs w:val="22"/>
              </w:rPr>
              <w:t>Mauvais</w:t>
            </w:r>
          </w:p>
        </w:tc>
        <w:tc>
          <w:tcPr>
            <w:tcW w:w="1321" w:type="dxa"/>
          </w:tcPr>
          <w:p w:rsidR="00F164EF" w:rsidRPr="009E5034" w:rsidRDefault="00F164EF" w:rsidP="009E5034">
            <w:pPr>
              <w:pStyle w:val="Tableau"/>
              <w:ind w:left="1"/>
              <w:jc w:val="left"/>
              <w:rPr>
                <w:sz w:val="22"/>
                <w:szCs w:val="22"/>
              </w:rPr>
            </w:pPr>
            <w:r w:rsidRPr="009E5034">
              <w:rPr>
                <w:sz w:val="22"/>
                <w:szCs w:val="22"/>
              </w:rPr>
              <w:t>30</w:t>
            </w:r>
          </w:p>
        </w:tc>
      </w:tr>
      <w:tr w:rsidR="00F164EF" w:rsidRPr="009E5034" w:rsidTr="00072CBC">
        <w:trPr>
          <w:trHeight w:val="160"/>
          <w:jc w:val="center"/>
        </w:trPr>
        <w:tc>
          <w:tcPr>
            <w:tcW w:w="3457" w:type="dxa"/>
          </w:tcPr>
          <w:p w:rsidR="00F164EF" w:rsidRPr="009E5034" w:rsidRDefault="00F164EF" w:rsidP="009E5034">
            <w:pPr>
              <w:pStyle w:val="Tableau"/>
              <w:ind w:left="1"/>
              <w:jc w:val="left"/>
              <w:rPr>
                <w:sz w:val="22"/>
                <w:szCs w:val="22"/>
              </w:rPr>
            </w:pPr>
            <w:r w:rsidRPr="009E5034">
              <w:rPr>
                <w:sz w:val="22"/>
                <w:szCs w:val="22"/>
              </w:rPr>
              <w:t>Chargeuse en tracteur</w:t>
            </w:r>
          </w:p>
        </w:tc>
        <w:tc>
          <w:tcPr>
            <w:tcW w:w="1071" w:type="dxa"/>
          </w:tcPr>
          <w:p w:rsidR="00F164EF" w:rsidRPr="009E5034" w:rsidRDefault="00F164EF" w:rsidP="009E5034">
            <w:pPr>
              <w:pStyle w:val="Tableau"/>
              <w:ind w:left="1"/>
              <w:jc w:val="left"/>
              <w:rPr>
                <w:sz w:val="22"/>
                <w:szCs w:val="22"/>
              </w:rPr>
            </w:pPr>
            <w:r w:rsidRPr="009E5034">
              <w:rPr>
                <w:sz w:val="22"/>
                <w:szCs w:val="22"/>
              </w:rPr>
              <w:t>1</w:t>
            </w:r>
          </w:p>
        </w:tc>
        <w:tc>
          <w:tcPr>
            <w:tcW w:w="1250" w:type="dxa"/>
          </w:tcPr>
          <w:p w:rsidR="00F164EF" w:rsidRPr="009E5034" w:rsidRDefault="00F164EF" w:rsidP="009E5034">
            <w:pPr>
              <w:pStyle w:val="Tableau"/>
              <w:ind w:left="1"/>
              <w:jc w:val="left"/>
              <w:rPr>
                <w:sz w:val="22"/>
                <w:szCs w:val="22"/>
              </w:rPr>
            </w:pPr>
            <w:r w:rsidRPr="009E5034">
              <w:rPr>
                <w:sz w:val="22"/>
                <w:szCs w:val="22"/>
              </w:rPr>
              <w:t>Mauvais</w:t>
            </w:r>
          </w:p>
        </w:tc>
        <w:tc>
          <w:tcPr>
            <w:tcW w:w="1321" w:type="dxa"/>
          </w:tcPr>
          <w:p w:rsidR="00F164EF" w:rsidRPr="009E5034" w:rsidRDefault="00F164EF" w:rsidP="009E5034">
            <w:pPr>
              <w:pStyle w:val="Tableau"/>
              <w:ind w:left="1"/>
              <w:jc w:val="left"/>
              <w:rPr>
                <w:sz w:val="22"/>
                <w:szCs w:val="22"/>
              </w:rPr>
            </w:pPr>
            <w:r w:rsidRPr="009E5034">
              <w:rPr>
                <w:sz w:val="22"/>
                <w:szCs w:val="22"/>
              </w:rPr>
              <w:t>20</w:t>
            </w:r>
          </w:p>
        </w:tc>
      </w:tr>
      <w:tr w:rsidR="00F164EF" w:rsidRPr="009E5034" w:rsidTr="00072CBC">
        <w:trPr>
          <w:trHeight w:val="199"/>
          <w:jc w:val="center"/>
        </w:trPr>
        <w:tc>
          <w:tcPr>
            <w:tcW w:w="3457" w:type="dxa"/>
          </w:tcPr>
          <w:p w:rsidR="00F164EF" w:rsidRPr="009E5034" w:rsidRDefault="00F164EF" w:rsidP="009E5034">
            <w:pPr>
              <w:pStyle w:val="Tableau"/>
              <w:ind w:left="1"/>
              <w:jc w:val="left"/>
              <w:rPr>
                <w:sz w:val="22"/>
                <w:szCs w:val="22"/>
              </w:rPr>
            </w:pPr>
            <w:r w:rsidRPr="009E5034">
              <w:rPr>
                <w:sz w:val="22"/>
                <w:szCs w:val="22"/>
              </w:rPr>
              <w:t>R4</w:t>
            </w:r>
          </w:p>
        </w:tc>
        <w:tc>
          <w:tcPr>
            <w:tcW w:w="1071" w:type="dxa"/>
          </w:tcPr>
          <w:p w:rsidR="00F164EF" w:rsidRPr="009E5034" w:rsidRDefault="00F164EF" w:rsidP="009E5034">
            <w:pPr>
              <w:pStyle w:val="Tableau"/>
              <w:ind w:left="1"/>
              <w:jc w:val="left"/>
              <w:rPr>
                <w:sz w:val="22"/>
                <w:szCs w:val="22"/>
              </w:rPr>
            </w:pPr>
            <w:r w:rsidRPr="009E5034">
              <w:rPr>
                <w:sz w:val="22"/>
                <w:szCs w:val="22"/>
              </w:rPr>
              <w:t>1</w:t>
            </w:r>
          </w:p>
        </w:tc>
        <w:tc>
          <w:tcPr>
            <w:tcW w:w="1250" w:type="dxa"/>
          </w:tcPr>
          <w:p w:rsidR="00F164EF" w:rsidRPr="009E5034" w:rsidRDefault="00F164EF" w:rsidP="009E5034">
            <w:pPr>
              <w:pStyle w:val="Tableau"/>
              <w:ind w:left="1"/>
              <w:jc w:val="left"/>
              <w:rPr>
                <w:sz w:val="22"/>
                <w:szCs w:val="22"/>
              </w:rPr>
            </w:pPr>
            <w:r w:rsidRPr="009E5034">
              <w:rPr>
                <w:sz w:val="22"/>
                <w:szCs w:val="22"/>
              </w:rPr>
              <w:t>Mauvais</w:t>
            </w:r>
          </w:p>
        </w:tc>
        <w:tc>
          <w:tcPr>
            <w:tcW w:w="1321" w:type="dxa"/>
          </w:tcPr>
          <w:p w:rsidR="00F164EF" w:rsidRPr="009E5034" w:rsidRDefault="00F164EF" w:rsidP="009E5034">
            <w:pPr>
              <w:pStyle w:val="Tableau"/>
              <w:ind w:left="1"/>
              <w:jc w:val="left"/>
              <w:rPr>
                <w:sz w:val="22"/>
                <w:szCs w:val="22"/>
              </w:rPr>
            </w:pPr>
            <w:r w:rsidRPr="009E5034">
              <w:rPr>
                <w:sz w:val="22"/>
                <w:szCs w:val="22"/>
              </w:rPr>
              <w:t>4</w:t>
            </w:r>
          </w:p>
        </w:tc>
      </w:tr>
      <w:tr w:rsidR="00F164EF" w:rsidRPr="009E5034" w:rsidTr="00072CBC">
        <w:trPr>
          <w:trHeight w:val="135"/>
          <w:jc w:val="center"/>
        </w:trPr>
        <w:tc>
          <w:tcPr>
            <w:tcW w:w="7099" w:type="dxa"/>
            <w:gridSpan w:val="4"/>
          </w:tcPr>
          <w:p w:rsidR="00F164EF" w:rsidRPr="009E5034" w:rsidRDefault="00F164EF" w:rsidP="009E5034">
            <w:pPr>
              <w:pStyle w:val="Tableau"/>
              <w:ind w:left="1"/>
              <w:jc w:val="left"/>
              <w:rPr>
                <w:sz w:val="22"/>
                <w:szCs w:val="22"/>
              </w:rPr>
            </w:pPr>
            <w:r w:rsidRPr="009E5034">
              <w:rPr>
                <w:sz w:val="22"/>
                <w:szCs w:val="22"/>
              </w:rPr>
              <w:t>Nouveaux équipements acquis grâce à la CTB en gérance par la DRACPN</w:t>
            </w:r>
          </w:p>
        </w:tc>
      </w:tr>
      <w:tr w:rsidR="00F164EF" w:rsidRPr="009E5034" w:rsidTr="00072CBC">
        <w:trPr>
          <w:trHeight w:val="242"/>
          <w:jc w:val="center"/>
        </w:trPr>
        <w:tc>
          <w:tcPr>
            <w:tcW w:w="3457" w:type="dxa"/>
          </w:tcPr>
          <w:p w:rsidR="00F164EF" w:rsidRPr="009E5034" w:rsidRDefault="00F164EF" w:rsidP="009E5034">
            <w:pPr>
              <w:pStyle w:val="Tableau"/>
              <w:ind w:left="1"/>
              <w:jc w:val="left"/>
              <w:rPr>
                <w:sz w:val="22"/>
                <w:szCs w:val="22"/>
              </w:rPr>
            </w:pPr>
            <w:r w:rsidRPr="009E5034">
              <w:rPr>
                <w:sz w:val="22"/>
                <w:szCs w:val="22"/>
              </w:rPr>
              <w:t xml:space="preserve">Camion multi bennes </w:t>
            </w:r>
          </w:p>
        </w:tc>
        <w:tc>
          <w:tcPr>
            <w:tcW w:w="1071" w:type="dxa"/>
          </w:tcPr>
          <w:p w:rsidR="00F164EF" w:rsidRPr="009E5034" w:rsidRDefault="00F164EF" w:rsidP="009E5034">
            <w:pPr>
              <w:pStyle w:val="Tableau"/>
              <w:ind w:left="1"/>
              <w:jc w:val="left"/>
              <w:rPr>
                <w:sz w:val="22"/>
                <w:szCs w:val="22"/>
              </w:rPr>
            </w:pPr>
            <w:r w:rsidRPr="009E5034">
              <w:rPr>
                <w:sz w:val="22"/>
                <w:szCs w:val="22"/>
              </w:rPr>
              <w:t>2</w:t>
            </w:r>
          </w:p>
        </w:tc>
        <w:tc>
          <w:tcPr>
            <w:tcW w:w="1250" w:type="dxa"/>
          </w:tcPr>
          <w:p w:rsidR="00F164EF" w:rsidRPr="009E5034" w:rsidRDefault="00F164EF" w:rsidP="009E5034">
            <w:pPr>
              <w:pStyle w:val="Tableau"/>
              <w:ind w:left="1"/>
              <w:jc w:val="left"/>
              <w:rPr>
                <w:sz w:val="22"/>
                <w:szCs w:val="22"/>
              </w:rPr>
            </w:pPr>
            <w:r w:rsidRPr="009E5034">
              <w:rPr>
                <w:sz w:val="22"/>
                <w:szCs w:val="22"/>
              </w:rPr>
              <w:t>Bon</w:t>
            </w:r>
          </w:p>
        </w:tc>
        <w:tc>
          <w:tcPr>
            <w:tcW w:w="1321" w:type="dxa"/>
          </w:tcPr>
          <w:p w:rsidR="00F164EF" w:rsidRPr="009E5034" w:rsidRDefault="00F164EF" w:rsidP="009E5034">
            <w:pPr>
              <w:pStyle w:val="Tableau"/>
              <w:ind w:left="1"/>
              <w:jc w:val="left"/>
              <w:rPr>
                <w:sz w:val="22"/>
                <w:szCs w:val="22"/>
              </w:rPr>
            </w:pPr>
            <w:r w:rsidRPr="009E5034">
              <w:rPr>
                <w:sz w:val="22"/>
                <w:szCs w:val="22"/>
              </w:rPr>
              <w:t>2</w:t>
            </w:r>
          </w:p>
        </w:tc>
      </w:tr>
      <w:tr w:rsidR="00F164EF" w:rsidRPr="009E5034" w:rsidTr="00072CBC">
        <w:trPr>
          <w:trHeight w:val="290"/>
          <w:jc w:val="center"/>
        </w:trPr>
        <w:tc>
          <w:tcPr>
            <w:tcW w:w="3457" w:type="dxa"/>
          </w:tcPr>
          <w:p w:rsidR="00F164EF" w:rsidRPr="009E5034" w:rsidRDefault="00F164EF" w:rsidP="009E5034">
            <w:pPr>
              <w:pStyle w:val="Tableau"/>
              <w:ind w:left="1"/>
              <w:jc w:val="left"/>
              <w:rPr>
                <w:sz w:val="22"/>
                <w:szCs w:val="22"/>
              </w:rPr>
            </w:pPr>
            <w:r w:rsidRPr="009E5034">
              <w:rPr>
                <w:sz w:val="22"/>
                <w:szCs w:val="22"/>
              </w:rPr>
              <w:t xml:space="preserve">Compacteur </w:t>
            </w:r>
          </w:p>
        </w:tc>
        <w:tc>
          <w:tcPr>
            <w:tcW w:w="1071" w:type="dxa"/>
          </w:tcPr>
          <w:p w:rsidR="00F164EF" w:rsidRPr="009E5034" w:rsidRDefault="00F164EF" w:rsidP="009E5034">
            <w:pPr>
              <w:pStyle w:val="Tableau"/>
              <w:ind w:left="1"/>
              <w:jc w:val="left"/>
              <w:rPr>
                <w:sz w:val="22"/>
                <w:szCs w:val="22"/>
              </w:rPr>
            </w:pPr>
            <w:r w:rsidRPr="009E5034">
              <w:rPr>
                <w:sz w:val="22"/>
                <w:szCs w:val="22"/>
              </w:rPr>
              <w:t>1</w:t>
            </w:r>
          </w:p>
        </w:tc>
        <w:tc>
          <w:tcPr>
            <w:tcW w:w="1250" w:type="dxa"/>
          </w:tcPr>
          <w:p w:rsidR="00F164EF" w:rsidRPr="009E5034" w:rsidRDefault="00F164EF" w:rsidP="009E5034">
            <w:pPr>
              <w:pStyle w:val="Tableau"/>
              <w:ind w:left="1"/>
              <w:jc w:val="left"/>
              <w:rPr>
                <w:sz w:val="22"/>
                <w:szCs w:val="22"/>
              </w:rPr>
            </w:pPr>
            <w:r w:rsidRPr="009E5034">
              <w:rPr>
                <w:sz w:val="22"/>
                <w:szCs w:val="22"/>
              </w:rPr>
              <w:t>Bon</w:t>
            </w:r>
          </w:p>
        </w:tc>
        <w:tc>
          <w:tcPr>
            <w:tcW w:w="1321" w:type="dxa"/>
          </w:tcPr>
          <w:p w:rsidR="00F164EF" w:rsidRPr="009E5034" w:rsidRDefault="00F164EF" w:rsidP="009E5034">
            <w:pPr>
              <w:pStyle w:val="Tableau"/>
              <w:ind w:left="1"/>
              <w:jc w:val="left"/>
              <w:rPr>
                <w:sz w:val="22"/>
                <w:szCs w:val="22"/>
              </w:rPr>
            </w:pPr>
            <w:r w:rsidRPr="009E5034">
              <w:rPr>
                <w:sz w:val="22"/>
                <w:szCs w:val="22"/>
              </w:rPr>
              <w:t>2</w:t>
            </w:r>
          </w:p>
        </w:tc>
      </w:tr>
      <w:tr w:rsidR="00F164EF" w:rsidRPr="009E5034" w:rsidTr="00072CBC">
        <w:trPr>
          <w:trHeight w:val="224"/>
          <w:jc w:val="center"/>
        </w:trPr>
        <w:tc>
          <w:tcPr>
            <w:tcW w:w="3457" w:type="dxa"/>
          </w:tcPr>
          <w:p w:rsidR="00F164EF" w:rsidRPr="009E5034" w:rsidRDefault="00F164EF" w:rsidP="009E5034">
            <w:pPr>
              <w:pStyle w:val="Tableau"/>
              <w:ind w:left="1"/>
              <w:jc w:val="left"/>
              <w:rPr>
                <w:sz w:val="22"/>
                <w:szCs w:val="22"/>
              </w:rPr>
            </w:pPr>
            <w:r w:rsidRPr="009E5034">
              <w:rPr>
                <w:sz w:val="22"/>
                <w:szCs w:val="22"/>
              </w:rPr>
              <w:t xml:space="preserve">Pelle Chargeuse </w:t>
            </w:r>
          </w:p>
        </w:tc>
        <w:tc>
          <w:tcPr>
            <w:tcW w:w="1071" w:type="dxa"/>
          </w:tcPr>
          <w:p w:rsidR="00F164EF" w:rsidRPr="009E5034" w:rsidRDefault="00F164EF" w:rsidP="009E5034">
            <w:pPr>
              <w:pStyle w:val="Tableau"/>
              <w:ind w:left="1"/>
              <w:jc w:val="left"/>
              <w:rPr>
                <w:sz w:val="22"/>
                <w:szCs w:val="22"/>
              </w:rPr>
            </w:pPr>
            <w:r w:rsidRPr="009E5034">
              <w:rPr>
                <w:sz w:val="22"/>
                <w:szCs w:val="22"/>
              </w:rPr>
              <w:t>1</w:t>
            </w:r>
          </w:p>
        </w:tc>
        <w:tc>
          <w:tcPr>
            <w:tcW w:w="1250" w:type="dxa"/>
          </w:tcPr>
          <w:p w:rsidR="00F164EF" w:rsidRPr="009E5034" w:rsidRDefault="00F164EF" w:rsidP="009E5034">
            <w:pPr>
              <w:pStyle w:val="Tableau"/>
              <w:ind w:left="1"/>
              <w:jc w:val="left"/>
              <w:rPr>
                <w:sz w:val="22"/>
                <w:szCs w:val="22"/>
              </w:rPr>
            </w:pPr>
            <w:r w:rsidRPr="009E5034">
              <w:rPr>
                <w:sz w:val="22"/>
                <w:szCs w:val="22"/>
              </w:rPr>
              <w:t>Bon</w:t>
            </w:r>
          </w:p>
        </w:tc>
        <w:tc>
          <w:tcPr>
            <w:tcW w:w="1321" w:type="dxa"/>
          </w:tcPr>
          <w:p w:rsidR="00F164EF" w:rsidRPr="009E5034" w:rsidRDefault="00F164EF" w:rsidP="009E5034">
            <w:pPr>
              <w:pStyle w:val="Tableau"/>
              <w:ind w:left="1"/>
              <w:jc w:val="left"/>
              <w:rPr>
                <w:sz w:val="22"/>
                <w:szCs w:val="22"/>
              </w:rPr>
            </w:pPr>
            <w:r w:rsidRPr="009E5034">
              <w:rPr>
                <w:sz w:val="22"/>
                <w:szCs w:val="22"/>
              </w:rPr>
              <w:t>2</w:t>
            </w:r>
          </w:p>
        </w:tc>
      </w:tr>
      <w:tr w:rsidR="00F164EF" w:rsidRPr="009E5034" w:rsidTr="00072CBC">
        <w:trPr>
          <w:trHeight w:val="286"/>
          <w:jc w:val="center"/>
        </w:trPr>
        <w:tc>
          <w:tcPr>
            <w:tcW w:w="3457" w:type="dxa"/>
          </w:tcPr>
          <w:p w:rsidR="00F164EF" w:rsidRPr="009E5034" w:rsidRDefault="00F164EF" w:rsidP="009E5034">
            <w:pPr>
              <w:pStyle w:val="Tableau"/>
              <w:ind w:left="1"/>
              <w:jc w:val="left"/>
              <w:rPr>
                <w:sz w:val="22"/>
                <w:szCs w:val="22"/>
              </w:rPr>
            </w:pPr>
            <w:r w:rsidRPr="009E5034">
              <w:rPr>
                <w:sz w:val="22"/>
                <w:szCs w:val="22"/>
              </w:rPr>
              <w:t>Tracteur avec remorque</w:t>
            </w:r>
          </w:p>
        </w:tc>
        <w:tc>
          <w:tcPr>
            <w:tcW w:w="1071" w:type="dxa"/>
          </w:tcPr>
          <w:p w:rsidR="00F164EF" w:rsidRPr="009E5034" w:rsidRDefault="00F164EF" w:rsidP="009E5034">
            <w:pPr>
              <w:pStyle w:val="Tableau"/>
              <w:ind w:left="1"/>
              <w:jc w:val="left"/>
              <w:rPr>
                <w:sz w:val="22"/>
                <w:szCs w:val="22"/>
              </w:rPr>
            </w:pPr>
            <w:r w:rsidRPr="009E5034">
              <w:rPr>
                <w:sz w:val="22"/>
                <w:szCs w:val="22"/>
              </w:rPr>
              <w:t>1</w:t>
            </w:r>
          </w:p>
        </w:tc>
        <w:tc>
          <w:tcPr>
            <w:tcW w:w="1250" w:type="dxa"/>
          </w:tcPr>
          <w:p w:rsidR="00F164EF" w:rsidRPr="009E5034" w:rsidRDefault="00F164EF" w:rsidP="009E5034">
            <w:pPr>
              <w:pStyle w:val="Tableau"/>
              <w:ind w:left="1"/>
              <w:jc w:val="left"/>
              <w:rPr>
                <w:sz w:val="22"/>
                <w:szCs w:val="22"/>
              </w:rPr>
            </w:pPr>
            <w:r w:rsidRPr="009E5034">
              <w:rPr>
                <w:sz w:val="22"/>
                <w:szCs w:val="22"/>
              </w:rPr>
              <w:t>Bon</w:t>
            </w:r>
          </w:p>
        </w:tc>
        <w:tc>
          <w:tcPr>
            <w:tcW w:w="1321" w:type="dxa"/>
          </w:tcPr>
          <w:p w:rsidR="00F164EF" w:rsidRPr="009E5034" w:rsidRDefault="00F164EF" w:rsidP="009E5034">
            <w:pPr>
              <w:pStyle w:val="Tableau"/>
              <w:ind w:left="1"/>
              <w:jc w:val="left"/>
              <w:rPr>
                <w:sz w:val="22"/>
                <w:szCs w:val="22"/>
              </w:rPr>
            </w:pPr>
            <w:r w:rsidRPr="009E5034">
              <w:rPr>
                <w:sz w:val="22"/>
                <w:szCs w:val="22"/>
              </w:rPr>
              <w:t>2</w:t>
            </w:r>
          </w:p>
        </w:tc>
      </w:tr>
      <w:tr w:rsidR="00F164EF" w:rsidRPr="009E5034" w:rsidTr="00072CBC">
        <w:trPr>
          <w:trHeight w:val="79"/>
          <w:jc w:val="center"/>
        </w:trPr>
        <w:tc>
          <w:tcPr>
            <w:tcW w:w="3457" w:type="dxa"/>
          </w:tcPr>
          <w:p w:rsidR="00F164EF" w:rsidRPr="009E5034" w:rsidRDefault="00F164EF" w:rsidP="009E5034">
            <w:pPr>
              <w:pStyle w:val="Tableau"/>
              <w:ind w:left="1"/>
              <w:jc w:val="left"/>
              <w:rPr>
                <w:sz w:val="22"/>
                <w:szCs w:val="22"/>
              </w:rPr>
            </w:pPr>
            <w:r w:rsidRPr="009E5034">
              <w:rPr>
                <w:sz w:val="22"/>
                <w:szCs w:val="22"/>
              </w:rPr>
              <w:t>Caissons</w:t>
            </w:r>
          </w:p>
        </w:tc>
        <w:tc>
          <w:tcPr>
            <w:tcW w:w="1071" w:type="dxa"/>
          </w:tcPr>
          <w:p w:rsidR="00F164EF" w:rsidRPr="009E5034" w:rsidRDefault="00F164EF" w:rsidP="009E5034">
            <w:pPr>
              <w:pStyle w:val="Tableau"/>
              <w:ind w:left="1"/>
              <w:jc w:val="left"/>
              <w:rPr>
                <w:sz w:val="22"/>
                <w:szCs w:val="22"/>
              </w:rPr>
            </w:pPr>
            <w:r w:rsidRPr="009E5034">
              <w:rPr>
                <w:sz w:val="22"/>
                <w:szCs w:val="22"/>
              </w:rPr>
              <w:t>12</w:t>
            </w:r>
          </w:p>
        </w:tc>
        <w:tc>
          <w:tcPr>
            <w:tcW w:w="1250" w:type="dxa"/>
          </w:tcPr>
          <w:p w:rsidR="00F164EF" w:rsidRPr="009E5034" w:rsidRDefault="00F164EF" w:rsidP="009E5034">
            <w:pPr>
              <w:pStyle w:val="Tableau"/>
              <w:ind w:left="1"/>
              <w:jc w:val="left"/>
              <w:rPr>
                <w:sz w:val="22"/>
                <w:szCs w:val="22"/>
              </w:rPr>
            </w:pPr>
            <w:r w:rsidRPr="009E5034">
              <w:rPr>
                <w:sz w:val="22"/>
                <w:szCs w:val="22"/>
              </w:rPr>
              <w:t>Bon</w:t>
            </w:r>
          </w:p>
        </w:tc>
        <w:tc>
          <w:tcPr>
            <w:tcW w:w="1321" w:type="dxa"/>
          </w:tcPr>
          <w:p w:rsidR="00F164EF" w:rsidRPr="009E5034" w:rsidRDefault="00F164EF" w:rsidP="009E5034">
            <w:pPr>
              <w:pStyle w:val="Tableau"/>
              <w:ind w:left="1"/>
              <w:jc w:val="left"/>
              <w:rPr>
                <w:sz w:val="22"/>
                <w:szCs w:val="22"/>
              </w:rPr>
            </w:pPr>
            <w:r w:rsidRPr="009E5034">
              <w:rPr>
                <w:sz w:val="22"/>
                <w:szCs w:val="22"/>
              </w:rPr>
              <w:t>2</w:t>
            </w:r>
          </w:p>
        </w:tc>
      </w:tr>
      <w:tr w:rsidR="00F164EF" w:rsidRPr="009E5034" w:rsidTr="00072CBC">
        <w:trPr>
          <w:trHeight w:val="268"/>
          <w:jc w:val="center"/>
        </w:trPr>
        <w:tc>
          <w:tcPr>
            <w:tcW w:w="3457" w:type="dxa"/>
          </w:tcPr>
          <w:p w:rsidR="00F164EF" w:rsidRPr="009E5034" w:rsidRDefault="00F164EF" w:rsidP="009E5034">
            <w:pPr>
              <w:pStyle w:val="Tableau"/>
              <w:ind w:left="1"/>
              <w:jc w:val="left"/>
              <w:rPr>
                <w:sz w:val="22"/>
                <w:szCs w:val="22"/>
              </w:rPr>
            </w:pPr>
            <w:r w:rsidRPr="009E5034">
              <w:rPr>
                <w:sz w:val="22"/>
                <w:szCs w:val="22"/>
              </w:rPr>
              <w:t>Petits matériels d’assainissement</w:t>
            </w:r>
          </w:p>
        </w:tc>
        <w:tc>
          <w:tcPr>
            <w:tcW w:w="1071" w:type="dxa"/>
          </w:tcPr>
          <w:p w:rsidR="00F164EF" w:rsidRPr="009E5034" w:rsidRDefault="00F164EF" w:rsidP="009E5034">
            <w:pPr>
              <w:pStyle w:val="Tableau"/>
              <w:ind w:left="1"/>
              <w:jc w:val="left"/>
              <w:rPr>
                <w:sz w:val="22"/>
                <w:szCs w:val="22"/>
              </w:rPr>
            </w:pPr>
          </w:p>
        </w:tc>
        <w:tc>
          <w:tcPr>
            <w:tcW w:w="1250" w:type="dxa"/>
          </w:tcPr>
          <w:p w:rsidR="00F164EF" w:rsidRPr="009E5034" w:rsidRDefault="00F164EF" w:rsidP="009E5034">
            <w:pPr>
              <w:pStyle w:val="Tableau"/>
              <w:ind w:left="1"/>
              <w:jc w:val="left"/>
              <w:rPr>
                <w:sz w:val="22"/>
                <w:szCs w:val="22"/>
              </w:rPr>
            </w:pPr>
            <w:r w:rsidRPr="009E5034">
              <w:rPr>
                <w:sz w:val="22"/>
                <w:szCs w:val="22"/>
              </w:rPr>
              <w:t>passables</w:t>
            </w:r>
          </w:p>
        </w:tc>
        <w:tc>
          <w:tcPr>
            <w:tcW w:w="1321" w:type="dxa"/>
          </w:tcPr>
          <w:p w:rsidR="00F164EF" w:rsidRPr="009E5034" w:rsidRDefault="00F164EF" w:rsidP="009E5034">
            <w:pPr>
              <w:pStyle w:val="Tableau"/>
              <w:ind w:left="1"/>
              <w:jc w:val="left"/>
              <w:rPr>
                <w:sz w:val="22"/>
                <w:szCs w:val="22"/>
              </w:rPr>
            </w:pPr>
          </w:p>
        </w:tc>
      </w:tr>
    </w:tbl>
    <w:p w:rsidR="00F164EF" w:rsidRPr="009E5034" w:rsidRDefault="00F164EF" w:rsidP="009E5034">
      <w:pPr>
        <w:spacing w:after="240"/>
        <w:ind w:left="0"/>
        <w:jc w:val="left"/>
        <w:rPr>
          <w:rStyle w:val="Strong"/>
          <w:rFonts w:eastAsia="MS Mincho"/>
          <w:sz w:val="22"/>
          <w:szCs w:val="22"/>
        </w:rPr>
      </w:pPr>
      <w:bookmarkStart w:id="275" w:name="_Toc261170187"/>
      <w:bookmarkStart w:id="276" w:name="_Toc253578296"/>
      <w:r w:rsidRPr="009E5034">
        <w:rPr>
          <w:rStyle w:val="Strong"/>
          <w:rFonts w:eastAsia="MS Mincho"/>
          <w:sz w:val="22"/>
          <w:szCs w:val="22"/>
        </w:rPr>
        <w:t>5.3. Gestion des eaux pluviales</w:t>
      </w:r>
      <w:bookmarkEnd w:id="275"/>
      <w:r w:rsidRPr="009E5034">
        <w:rPr>
          <w:rStyle w:val="Strong"/>
          <w:rFonts w:eastAsia="MS Mincho"/>
          <w:sz w:val="22"/>
          <w:szCs w:val="22"/>
        </w:rPr>
        <w:t xml:space="preserve"> </w:t>
      </w:r>
      <w:bookmarkEnd w:id="276"/>
    </w:p>
    <w:p w:rsidR="00F164EF" w:rsidRPr="009E5034" w:rsidRDefault="00F164EF" w:rsidP="009E5034">
      <w:pPr>
        <w:spacing w:before="120" w:after="120"/>
        <w:ind w:left="0"/>
        <w:jc w:val="left"/>
        <w:rPr>
          <w:sz w:val="22"/>
          <w:szCs w:val="22"/>
        </w:rPr>
      </w:pPr>
      <w:r w:rsidRPr="009E5034">
        <w:rPr>
          <w:sz w:val="22"/>
          <w:szCs w:val="22"/>
        </w:rPr>
        <w:t xml:space="preserve">La ville de Sikasso est en grande partie située dans une plaine entourée de par et d’autre par une série de collines et de bassins versants et traversée par un cours d’eau principal le Lotio au quel sont annexés de multiples affluents de dimensions plus ou moins importantes. </w:t>
      </w:r>
    </w:p>
    <w:p w:rsidR="00F164EF" w:rsidRPr="009E5034" w:rsidRDefault="00F164EF" w:rsidP="009E5034">
      <w:pPr>
        <w:spacing w:before="120" w:after="120"/>
        <w:ind w:left="0"/>
        <w:jc w:val="left"/>
        <w:rPr>
          <w:sz w:val="22"/>
          <w:szCs w:val="22"/>
        </w:rPr>
      </w:pPr>
      <w:r w:rsidRPr="009E5034">
        <w:rPr>
          <w:sz w:val="22"/>
          <w:szCs w:val="22"/>
        </w:rPr>
        <w:t xml:space="preserve">Cette géomorphologie confère à la ville un caractère d’inondabilité  prononcée lors des périodes de crues. Les anciens aménagements de la ville et particulièrement dans sa partie centrale ont répondu de manière favorable à ce contexte en développant parallèlement au réseau naturel un réseau artificiel de drainage des eaux pluviales afin de gérer convenablement le surplus d’eau et l’acheminer vers les exutoires naturels. </w:t>
      </w:r>
    </w:p>
    <w:p w:rsidR="00F164EF" w:rsidRPr="009E5034" w:rsidRDefault="00F164EF" w:rsidP="009E5034">
      <w:pPr>
        <w:spacing w:before="120" w:after="120"/>
        <w:ind w:left="0"/>
        <w:jc w:val="left"/>
        <w:rPr>
          <w:sz w:val="22"/>
          <w:szCs w:val="22"/>
        </w:rPr>
      </w:pPr>
      <w:r w:rsidRPr="009E5034">
        <w:rPr>
          <w:sz w:val="22"/>
          <w:szCs w:val="22"/>
        </w:rPr>
        <w:t xml:space="preserve">Aujourd’hui et avec le développement accéléré et souvent non contrôlé de la ville, l’extension des nouveaux quartiers n’a pas été accompagnée de manière systématique par la réalisation d’ouvrages de drainage appropriés des eaux pluviales. A cela vient s’ajouter le fait que l’ancien réseau existant souffre régulièrement d’un manque flagrant de maintenance et d’entretien. </w:t>
      </w:r>
    </w:p>
    <w:p w:rsidR="00F164EF" w:rsidRPr="009E5034" w:rsidRDefault="00F164EF" w:rsidP="009E5034">
      <w:pPr>
        <w:spacing w:before="120" w:after="120"/>
        <w:ind w:left="0"/>
        <w:jc w:val="left"/>
        <w:rPr>
          <w:sz w:val="22"/>
          <w:szCs w:val="22"/>
        </w:rPr>
      </w:pPr>
      <w:r w:rsidRPr="009E5034">
        <w:rPr>
          <w:sz w:val="22"/>
          <w:szCs w:val="22"/>
        </w:rPr>
        <w:t xml:space="preserve">Cette situation entrave sérieusement la gestion des eaux pluviales dans la ville de Sikasso entraînant souvent une érosion de la chaussée et une dégradation des différentes infrastructures au moment des grandes crues hivernales. </w:t>
      </w:r>
    </w:p>
    <w:p w:rsidR="00F164EF" w:rsidRPr="009E5034" w:rsidRDefault="00F164EF" w:rsidP="009E5034">
      <w:pPr>
        <w:autoSpaceDE/>
        <w:autoSpaceDN/>
        <w:adjustRightInd/>
        <w:spacing w:before="120" w:after="120"/>
        <w:ind w:left="0"/>
        <w:jc w:val="left"/>
        <w:rPr>
          <w:sz w:val="22"/>
          <w:szCs w:val="22"/>
        </w:rPr>
      </w:pPr>
      <w:r w:rsidRPr="009E5034">
        <w:rPr>
          <w:sz w:val="22"/>
          <w:szCs w:val="22"/>
        </w:rPr>
        <w:t>Le réseau de drainage de Sikasso composé de caniveaux et de collecteurs aménagés ou non d’une longueur de 93,46 km. Plus de 50% de ce réseau ne fonctionne pas à cause de l’état de dégradation physique des ouvrages ou de l’état hydraulique (dépôts solides, végétations sauvages, stagnation d’eaux usées). Le réseau est inégalement réparti à travers la ville. Trois niveaux d’équipement en émissaires peuvent être constatés</w:t>
      </w:r>
      <w:r w:rsidRPr="009E5034">
        <w:rPr>
          <w:rStyle w:val="FootnoteReference"/>
          <w:sz w:val="22"/>
          <w:szCs w:val="22"/>
        </w:rPr>
        <w:footnoteReference w:id="9"/>
      </w:r>
      <w:r w:rsidRPr="009E5034">
        <w:rPr>
          <w:sz w:val="22"/>
          <w:szCs w:val="22"/>
        </w:rPr>
        <w:t xml:space="preserve"> :</w:t>
      </w:r>
    </w:p>
    <w:p w:rsidR="00F164EF" w:rsidRPr="009E5034" w:rsidRDefault="00F164EF" w:rsidP="009E5034">
      <w:pPr>
        <w:pStyle w:val="BodyText"/>
        <w:ind w:left="720"/>
        <w:rPr>
          <w:sz w:val="22"/>
          <w:szCs w:val="22"/>
        </w:rPr>
      </w:pPr>
      <w:r w:rsidRPr="009E5034">
        <w:rPr>
          <w:sz w:val="22"/>
          <w:szCs w:val="22"/>
        </w:rPr>
        <w:t>Zone densément équipée : Bougoulaville, Fama, Natié, quartier Résidentiel, Ouayerma I;</w:t>
      </w:r>
    </w:p>
    <w:p w:rsidR="00F164EF" w:rsidRPr="009E5034" w:rsidRDefault="00F164EF" w:rsidP="009E5034">
      <w:pPr>
        <w:pStyle w:val="BodyText"/>
        <w:ind w:left="720"/>
        <w:rPr>
          <w:sz w:val="22"/>
          <w:szCs w:val="22"/>
        </w:rPr>
      </w:pPr>
      <w:r w:rsidRPr="009E5034">
        <w:rPr>
          <w:sz w:val="22"/>
          <w:szCs w:val="22"/>
        </w:rPr>
        <w:t>Zone faiblement équipée : Ouayerma II, Médine, Hamdallaye, Sanoubougou I et II;</w:t>
      </w:r>
    </w:p>
    <w:p w:rsidR="00F164EF" w:rsidRPr="009E5034" w:rsidRDefault="00F164EF" w:rsidP="009E5034">
      <w:pPr>
        <w:pStyle w:val="BodyText"/>
        <w:ind w:left="720"/>
        <w:rPr>
          <w:sz w:val="22"/>
          <w:szCs w:val="22"/>
        </w:rPr>
      </w:pPr>
      <w:r w:rsidRPr="009E5034">
        <w:rPr>
          <w:sz w:val="22"/>
          <w:szCs w:val="22"/>
        </w:rPr>
        <w:t>Zone dépourvue : Mancourani, Bougoula hameau, Sanoubougou I Nord.</w:t>
      </w:r>
    </w:p>
    <w:p w:rsidR="00F164EF" w:rsidRPr="009E5034" w:rsidRDefault="00F164EF" w:rsidP="009E5034">
      <w:pPr>
        <w:autoSpaceDE/>
        <w:autoSpaceDN/>
        <w:adjustRightInd/>
        <w:spacing w:before="120" w:after="120"/>
        <w:ind w:left="0"/>
        <w:jc w:val="left"/>
        <w:rPr>
          <w:sz w:val="22"/>
          <w:szCs w:val="22"/>
        </w:rPr>
      </w:pPr>
      <w:r w:rsidRPr="009E5034">
        <w:rPr>
          <w:sz w:val="22"/>
          <w:szCs w:val="22"/>
        </w:rPr>
        <w:t>Le réseau est mal structuré dans son ensemble. Parfois les émissaires traversent les concessions.</w:t>
      </w:r>
    </w:p>
    <w:p w:rsidR="00F164EF" w:rsidRPr="009E5034" w:rsidRDefault="00F164EF" w:rsidP="009E5034">
      <w:pPr>
        <w:spacing w:after="120"/>
        <w:ind w:left="0"/>
        <w:jc w:val="left"/>
        <w:rPr>
          <w:sz w:val="22"/>
          <w:szCs w:val="22"/>
        </w:rPr>
      </w:pPr>
      <w:r w:rsidRPr="009E5034">
        <w:rPr>
          <w:sz w:val="22"/>
          <w:szCs w:val="22"/>
        </w:rPr>
        <w:t>Le réseau naturel de drainage constitué principalement du Lotio et de ses affluents continuent à concentrer à l’aval la presque totalité des eaux pluviales qui transitent par la ville mais malheureusement bien après que celles-ci aient dégradé sur leurs passages les chaussées et certaines habitations et infrastructures.</w:t>
      </w:r>
    </w:p>
    <w:p w:rsidR="00F164EF" w:rsidRPr="009E5034" w:rsidRDefault="00F164EF" w:rsidP="009E5034">
      <w:pPr>
        <w:spacing w:after="240"/>
        <w:ind w:left="0"/>
        <w:jc w:val="left"/>
        <w:rPr>
          <w:rStyle w:val="Strong"/>
          <w:rFonts w:eastAsia="MS Mincho"/>
          <w:sz w:val="22"/>
          <w:szCs w:val="22"/>
        </w:rPr>
      </w:pPr>
      <w:bookmarkStart w:id="277" w:name="_Toc253578297"/>
      <w:bookmarkStart w:id="278" w:name="_Toc261170188"/>
      <w:r w:rsidRPr="009E5034">
        <w:rPr>
          <w:rStyle w:val="Strong"/>
          <w:rFonts w:eastAsia="MS Mincho"/>
          <w:sz w:val="22"/>
          <w:szCs w:val="22"/>
        </w:rPr>
        <w:t>6. Aperçu synthétique des problématiques environnementales majeures</w:t>
      </w:r>
      <w:bookmarkEnd w:id="277"/>
      <w:bookmarkEnd w:id="278"/>
    </w:p>
    <w:tbl>
      <w:tblPr>
        <w:tblW w:w="9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41"/>
        <w:gridCol w:w="2153"/>
        <w:gridCol w:w="5428"/>
      </w:tblGrid>
      <w:tr w:rsidR="00F164EF" w:rsidRPr="009E5034" w:rsidTr="00183B56">
        <w:trPr>
          <w:tblHeader/>
        </w:trPr>
        <w:tc>
          <w:tcPr>
            <w:tcW w:w="4094" w:type="dxa"/>
            <w:gridSpan w:val="2"/>
          </w:tcPr>
          <w:p w:rsidR="00F164EF" w:rsidRPr="009E5034" w:rsidRDefault="00F164EF" w:rsidP="009E5034">
            <w:pPr>
              <w:pStyle w:val="Tableau"/>
              <w:ind w:left="1"/>
              <w:jc w:val="left"/>
              <w:rPr>
                <w:sz w:val="22"/>
                <w:szCs w:val="22"/>
              </w:rPr>
            </w:pPr>
            <w:r w:rsidRPr="009E5034">
              <w:rPr>
                <w:sz w:val="22"/>
                <w:szCs w:val="22"/>
              </w:rPr>
              <w:t>Composantes de l’environnement urbain</w:t>
            </w:r>
          </w:p>
        </w:tc>
        <w:tc>
          <w:tcPr>
            <w:tcW w:w="5428" w:type="dxa"/>
          </w:tcPr>
          <w:p w:rsidR="00F164EF" w:rsidRPr="009E5034" w:rsidRDefault="00F164EF" w:rsidP="009E5034">
            <w:pPr>
              <w:pStyle w:val="Tableau"/>
              <w:ind w:left="1"/>
              <w:jc w:val="left"/>
              <w:rPr>
                <w:sz w:val="22"/>
                <w:szCs w:val="22"/>
              </w:rPr>
            </w:pPr>
            <w:bookmarkStart w:id="279" w:name="_Toc154032014"/>
            <w:bookmarkStart w:id="280" w:name="_Toc154032155"/>
            <w:bookmarkStart w:id="281" w:name="_Toc156564733"/>
            <w:bookmarkStart w:id="282" w:name="_Toc157227745"/>
            <w:bookmarkStart w:id="283" w:name="_Toc157678531"/>
            <w:bookmarkStart w:id="284" w:name="_Toc157828006"/>
            <w:bookmarkStart w:id="285" w:name="_Toc163371787"/>
            <w:bookmarkStart w:id="286" w:name="_Toc165362016"/>
            <w:bookmarkStart w:id="287" w:name="_Toc154032013"/>
            <w:bookmarkStart w:id="288" w:name="_Toc154032154"/>
            <w:bookmarkStart w:id="289" w:name="_Toc156564732"/>
            <w:bookmarkStart w:id="290" w:name="_Toc157227744"/>
            <w:bookmarkStart w:id="291" w:name="_Toc157678530"/>
            <w:bookmarkStart w:id="292" w:name="_Toc157828005"/>
            <w:bookmarkStart w:id="293" w:name="_Toc163371786"/>
            <w:bookmarkStart w:id="294" w:name="_Toc165362015"/>
            <w:r w:rsidRPr="009E5034">
              <w:rPr>
                <w:sz w:val="22"/>
                <w:szCs w:val="22"/>
              </w:rPr>
              <w:t>Caractérisation des problématiques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tc>
      </w:tr>
      <w:tr w:rsidR="00F164EF" w:rsidRPr="009E5034" w:rsidTr="00183B56">
        <w:tc>
          <w:tcPr>
            <w:tcW w:w="1941" w:type="dxa"/>
            <w:vMerge w:val="restart"/>
            <w:vAlign w:val="center"/>
          </w:tcPr>
          <w:p w:rsidR="00F164EF" w:rsidRPr="009E5034" w:rsidRDefault="00F164EF" w:rsidP="009E5034">
            <w:pPr>
              <w:pStyle w:val="Tableau"/>
              <w:ind w:left="1"/>
              <w:jc w:val="left"/>
              <w:rPr>
                <w:rStyle w:val="Heading2Char"/>
                <w:rFonts w:ascii="Times New Roman" w:hAnsi="Times New Roman" w:cs="Times New Roman"/>
                <w:b w:val="0"/>
                <w:bCs/>
                <w:sz w:val="22"/>
                <w:szCs w:val="22"/>
              </w:rPr>
            </w:pPr>
            <w:bookmarkStart w:id="295" w:name="_Toc154032016"/>
            <w:bookmarkStart w:id="296" w:name="_Toc154032157"/>
            <w:bookmarkStart w:id="297" w:name="_Toc156564735"/>
            <w:bookmarkStart w:id="298" w:name="_Toc157227747"/>
            <w:bookmarkStart w:id="299" w:name="_Toc157678533"/>
            <w:bookmarkStart w:id="300" w:name="_Toc157828008"/>
            <w:bookmarkStart w:id="301" w:name="_Toc163371789"/>
            <w:bookmarkStart w:id="302" w:name="_Toc165362018"/>
            <w:r w:rsidRPr="009E5034">
              <w:rPr>
                <w:sz w:val="22"/>
                <w:szCs w:val="22"/>
              </w:rPr>
              <w:t xml:space="preserve">Problématiques liées </w:t>
            </w:r>
            <w:bookmarkEnd w:id="295"/>
            <w:bookmarkEnd w:id="296"/>
            <w:bookmarkEnd w:id="297"/>
            <w:bookmarkEnd w:id="298"/>
            <w:bookmarkEnd w:id="299"/>
            <w:bookmarkEnd w:id="300"/>
            <w:bookmarkEnd w:id="301"/>
            <w:bookmarkEnd w:id="302"/>
            <w:r w:rsidRPr="009E5034">
              <w:rPr>
                <w:sz w:val="22"/>
                <w:szCs w:val="22"/>
              </w:rPr>
              <w:t>aux ressources naturelles</w:t>
            </w:r>
          </w:p>
        </w:tc>
        <w:tc>
          <w:tcPr>
            <w:tcW w:w="2153" w:type="dxa"/>
            <w:vAlign w:val="center"/>
          </w:tcPr>
          <w:p w:rsidR="00F164EF" w:rsidRPr="009E5034" w:rsidRDefault="00F164EF" w:rsidP="009E5034">
            <w:pPr>
              <w:pStyle w:val="Tableau"/>
              <w:ind w:left="1"/>
              <w:jc w:val="left"/>
              <w:rPr>
                <w:sz w:val="22"/>
                <w:szCs w:val="22"/>
              </w:rPr>
            </w:pPr>
            <w:r w:rsidRPr="009E5034">
              <w:rPr>
                <w:sz w:val="22"/>
                <w:szCs w:val="22"/>
              </w:rPr>
              <w:t>Qualité de l’air</w:t>
            </w:r>
          </w:p>
        </w:tc>
        <w:tc>
          <w:tcPr>
            <w:tcW w:w="5428" w:type="dxa"/>
            <w:vAlign w:val="center"/>
          </w:tcPr>
          <w:p w:rsidR="00F164EF" w:rsidRPr="009E5034" w:rsidRDefault="00F164EF" w:rsidP="009E5034">
            <w:pPr>
              <w:pStyle w:val="Tableau"/>
              <w:ind w:left="1"/>
              <w:jc w:val="left"/>
              <w:rPr>
                <w:sz w:val="22"/>
                <w:szCs w:val="22"/>
              </w:rPr>
            </w:pPr>
            <w:bookmarkStart w:id="303" w:name="_Toc157678535"/>
            <w:bookmarkStart w:id="304" w:name="_Toc157828010"/>
            <w:bookmarkStart w:id="305" w:name="_Toc163371791"/>
            <w:bookmarkStart w:id="306" w:name="_Toc165362020"/>
            <w:r w:rsidRPr="009E5034">
              <w:rPr>
                <w:sz w:val="22"/>
                <w:szCs w:val="22"/>
              </w:rPr>
              <w:t>Présence de formes de dégradation et de pollution : désagréments et difficultés respiratoires (infections respiratoires de 12% de la population en 2006)</w:t>
            </w:r>
          </w:p>
          <w:p w:rsidR="00F164EF" w:rsidRPr="009E5034" w:rsidRDefault="00F164EF" w:rsidP="009E5034">
            <w:pPr>
              <w:pStyle w:val="Tableau"/>
              <w:ind w:left="1"/>
              <w:jc w:val="left"/>
              <w:rPr>
                <w:sz w:val="22"/>
                <w:szCs w:val="22"/>
              </w:rPr>
            </w:pPr>
            <w:r w:rsidRPr="009E5034">
              <w:rPr>
                <w:sz w:val="22"/>
                <w:szCs w:val="22"/>
              </w:rPr>
              <w:t xml:space="preserve">Fumés toxiques </w:t>
            </w:r>
            <w:bookmarkEnd w:id="303"/>
            <w:bookmarkEnd w:id="304"/>
            <w:bookmarkEnd w:id="305"/>
            <w:bookmarkEnd w:id="306"/>
            <w:r w:rsidRPr="009E5034">
              <w:rPr>
                <w:sz w:val="22"/>
                <w:szCs w:val="22"/>
              </w:rPr>
              <w:t>et particules fines néfastes pour la santé du à la circulation automobile et chaussées non bitumées.</w:t>
            </w:r>
          </w:p>
          <w:p w:rsidR="00F164EF" w:rsidRPr="009E5034" w:rsidRDefault="00F164EF" w:rsidP="009E5034">
            <w:pPr>
              <w:pStyle w:val="Tableau"/>
              <w:ind w:left="1"/>
              <w:jc w:val="left"/>
              <w:rPr>
                <w:rStyle w:val="Heading2Char"/>
                <w:rFonts w:ascii="Times New Roman" w:hAnsi="Times New Roman" w:cs="Times New Roman"/>
                <w:b w:val="0"/>
                <w:sz w:val="22"/>
                <w:szCs w:val="22"/>
              </w:rPr>
            </w:pPr>
          </w:p>
        </w:tc>
      </w:tr>
      <w:tr w:rsidR="00F164EF" w:rsidRPr="009E5034" w:rsidTr="00183B56">
        <w:tc>
          <w:tcPr>
            <w:tcW w:w="1941" w:type="dxa"/>
            <w:vMerge/>
            <w:vAlign w:val="center"/>
          </w:tcPr>
          <w:p w:rsidR="00F164EF" w:rsidRPr="009E5034" w:rsidRDefault="00F164EF" w:rsidP="009E5034">
            <w:pPr>
              <w:pStyle w:val="Tableau"/>
              <w:ind w:left="1"/>
              <w:jc w:val="left"/>
              <w:rPr>
                <w:rStyle w:val="Heading2Char"/>
                <w:rFonts w:ascii="Times New Roman" w:hAnsi="Times New Roman" w:cs="Times New Roman"/>
                <w:sz w:val="22"/>
                <w:szCs w:val="22"/>
              </w:rPr>
            </w:pPr>
          </w:p>
        </w:tc>
        <w:tc>
          <w:tcPr>
            <w:tcW w:w="2153" w:type="dxa"/>
            <w:vAlign w:val="center"/>
          </w:tcPr>
          <w:p w:rsidR="00F164EF" w:rsidRPr="009E5034" w:rsidRDefault="00F164EF" w:rsidP="009E5034">
            <w:pPr>
              <w:pStyle w:val="Tableau"/>
              <w:ind w:left="1"/>
              <w:jc w:val="left"/>
              <w:rPr>
                <w:sz w:val="22"/>
                <w:szCs w:val="22"/>
              </w:rPr>
            </w:pPr>
            <w:r w:rsidRPr="009E5034">
              <w:rPr>
                <w:sz w:val="22"/>
                <w:szCs w:val="22"/>
              </w:rPr>
              <w:t xml:space="preserve">Ressources en eau </w:t>
            </w:r>
          </w:p>
        </w:tc>
        <w:tc>
          <w:tcPr>
            <w:tcW w:w="5428" w:type="dxa"/>
            <w:vAlign w:val="center"/>
          </w:tcPr>
          <w:p w:rsidR="00F164EF" w:rsidRPr="009E5034" w:rsidRDefault="00F164EF" w:rsidP="009E5034">
            <w:pPr>
              <w:pStyle w:val="Tableau"/>
              <w:ind w:left="1"/>
              <w:jc w:val="left"/>
              <w:rPr>
                <w:sz w:val="22"/>
                <w:szCs w:val="22"/>
              </w:rPr>
            </w:pPr>
            <w:r w:rsidRPr="009E5034">
              <w:rPr>
                <w:sz w:val="22"/>
                <w:szCs w:val="22"/>
              </w:rPr>
              <w:t xml:space="preserve">Nappes souterraine peu profondes exposées aux différentes formes de pollution </w:t>
            </w:r>
          </w:p>
          <w:p w:rsidR="00F164EF" w:rsidRPr="009E5034" w:rsidRDefault="00F164EF" w:rsidP="009E5034">
            <w:pPr>
              <w:pStyle w:val="Tableau"/>
              <w:ind w:left="1"/>
              <w:jc w:val="left"/>
              <w:rPr>
                <w:sz w:val="22"/>
                <w:szCs w:val="22"/>
              </w:rPr>
            </w:pPr>
            <w:r w:rsidRPr="009E5034">
              <w:rPr>
                <w:sz w:val="22"/>
                <w:szCs w:val="22"/>
              </w:rPr>
              <w:t>Pollution bactériologique et chimique des eaux de surfaces et souterraines du à la gestion inappropriée des déchets solides et des eaux usées ménagers et industriels.</w:t>
            </w:r>
          </w:p>
          <w:p w:rsidR="00F164EF" w:rsidRPr="009E5034" w:rsidRDefault="00F164EF" w:rsidP="009E5034">
            <w:pPr>
              <w:pStyle w:val="Tableau"/>
              <w:ind w:left="1"/>
              <w:jc w:val="left"/>
              <w:rPr>
                <w:rStyle w:val="Heading2Char"/>
                <w:rFonts w:ascii="Times New Roman" w:hAnsi="Times New Roman" w:cs="Times New Roman"/>
                <w:b w:val="0"/>
                <w:sz w:val="22"/>
                <w:szCs w:val="22"/>
              </w:rPr>
            </w:pPr>
          </w:p>
        </w:tc>
      </w:tr>
      <w:tr w:rsidR="00F164EF" w:rsidRPr="009E5034" w:rsidTr="00183B56">
        <w:tc>
          <w:tcPr>
            <w:tcW w:w="1941" w:type="dxa"/>
            <w:vMerge/>
            <w:vAlign w:val="center"/>
          </w:tcPr>
          <w:p w:rsidR="00F164EF" w:rsidRPr="009E5034" w:rsidRDefault="00F164EF" w:rsidP="009E5034">
            <w:pPr>
              <w:pStyle w:val="Tableau"/>
              <w:ind w:left="1"/>
              <w:jc w:val="left"/>
              <w:rPr>
                <w:rStyle w:val="Heading2Char"/>
                <w:rFonts w:ascii="Times New Roman" w:hAnsi="Times New Roman" w:cs="Times New Roman"/>
                <w:sz w:val="22"/>
                <w:szCs w:val="22"/>
              </w:rPr>
            </w:pPr>
          </w:p>
        </w:tc>
        <w:tc>
          <w:tcPr>
            <w:tcW w:w="2153" w:type="dxa"/>
            <w:vAlign w:val="center"/>
          </w:tcPr>
          <w:p w:rsidR="00F164EF" w:rsidRPr="009E5034" w:rsidRDefault="00F164EF" w:rsidP="009E5034">
            <w:pPr>
              <w:pStyle w:val="Tableau"/>
              <w:ind w:left="1"/>
              <w:jc w:val="left"/>
              <w:rPr>
                <w:sz w:val="22"/>
                <w:szCs w:val="22"/>
              </w:rPr>
            </w:pPr>
            <w:r w:rsidRPr="009E5034">
              <w:rPr>
                <w:sz w:val="22"/>
                <w:szCs w:val="22"/>
              </w:rPr>
              <w:t>Végétation naturelle et forêts</w:t>
            </w:r>
          </w:p>
        </w:tc>
        <w:tc>
          <w:tcPr>
            <w:tcW w:w="5428" w:type="dxa"/>
            <w:vAlign w:val="center"/>
          </w:tcPr>
          <w:p w:rsidR="00F164EF" w:rsidRPr="009E5034" w:rsidRDefault="00F164EF" w:rsidP="009E5034">
            <w:pPr>
              <w:pStyle w:val="Tableau"/>
              <w:ind w:left="1"/>
              <w:jc w:val="left"/>
              <w:rPr>
                <w:sz w:val="22"/>
                <w:szCs w:val="22"/>
              </w:rPr>
            </w:pPr>
            <w:bookmarkStart w:id="307" w:name="_Toc157678540"/>
            <w:bookmarkStart w:id="308" w:name="_Toc157828015"/>
            <w:bookmarkStart w:id="309" w:name="_Toc163371796"/>
            <w:bookmarkStart w:id="310" w:name="_Toc165362025"/>
            <w:r w:rsidRPr="009E5034">
              <w:rPr>
                <w:sz w:val="22"/>
                <w:szCs w:val="22"/>
              </w:rPr>
              <w:t xml:space="preserve">Occupation agricole illicite des forêts, exploitation frauduleuse et pratique fréquente des feux de brousse ayant un impact négatif sur les peuplements </w:t>
            </w:r>
            <w:bookmarkEnd w:id="307"/>
            <w:bookmarkEnd w:id="308"/>
            <w:bookmarkEnd w:id="309"/>
            <w:bookmarkEnd w:id="310"/>
            <w:r w:rsidRPr="009E5034">
              <w:rPr>
                <w:sz w:val="22"/>
                <w:szCs w:val="22"/>
              </w:rPr>
              <w:t>forestiers.</w:t>
            </w:r>
          </w:p>
          <w:p w:rsidR="00F164EF" w:rsidRPr="009E5034" w:rsidRDefault="00F164EF" w:rsidP="009E5034">
            <w:pPr>
              <w:pStyle w:val="Tableau"/>
              <w:ind w:left="1"/>
              <w:jc w:val="left"/>
              <w:rPr>
                <w:sz w:val="22"/>
                <w:szCs w:val="22"/>
              </w:rPr>
            </w:pPr>
            <w:r w:rsidRPr="009E5034">
              <w:rPr>
                <w:sz w:val="22"/>
                <w:szCs w:val="22"/>
              </w:rPr>
              <w:t>Exploitation massive pour la production du bois de chauffe (70.000 T/an).</w:t>
            </w:r>
          </w:p>
          <w:p w:rsidR="00F164EF" w:rsidRPr="009E5034" w:rsidRDefault="00F164EF" w:rsidP="009E5034">
            <w:pPr>
              <w:pStyle w:val="Tableau"/>
              <w:ind w:left="1"/>
              <w:jc w:val="left"/>
              <w:rPr>
                <w:sz w:val="22"/>
                <w:szCs w:val="22"/>
              </w:rPr>
            </w:pPr>
          </w:p>
        </w:tc>
      </w:tr>
      <w:tr w:rsidR="00F164EF" w:rsidRPr="009E5034" w:rsidTr="00183B56">
        <w:tc>
          <w:tcPr>
            <w:tcW w:w="1941" w:type="dxa"/>
            <w:vMerge/>
          </w:tcPr>
          <w:p w:rsidR="00F164EF" w:rsidRPr="009E5034" w:rsidRDefault="00F164EF" w:rsidP="009E5034">
            <w:pPr>
              <w:pStyle w:val="Tableau"/>
              <w:ind w:left="1"/>
              <w:jc w:val="left"/>
              <w:rPr>
                <w:rStyle w:val="Heading2Char"/>
                <w:rFonts w:ascii="Times New Roman" w:hAnsi="Times New Roman" w:cs="Times New Roman"/>
                <w:sz w:val="22"/>
                <w:szCs w:val="22"/>
              </w:rPr>
            </w:pPr>
          </w:p>
        </w:tc>
        <w:tc>
          <w:tcPr>
            <w:tcW w:w="2153" w:type="dxa"/>
            <w:vAlign w:val="center"/>
          </w:tcPr>
          <w:p w:rsidR="00F164EF" w:rsidRPr="009E5034" w:rsidRDefault="00F164EF" w:rsidP="009E5034">
            <w:pPr>
              <w:pStyle w:val="Tableau"/>
              <w:ind w:left="1"/>
              <w:jc w:val="left"/>
              <w:rPr>
                <w:sz w:val="22"/>
                <w:szCs w:val="22"/>
              </w:rPr>
            </w:pPr>
            <w:r w:rsidRPr="009E5034">
              <w:rPr>
                <w:sz w:val="22"/>
                <w:szCs w:val="22"/>
              </w:rPr>
              <w:t>Terres agricoles</w:t>
            </w:r>
          </w:p>
          <w:p w:rsidR="00F164EF" w:rsidRPr="009E5034" w:rsidRDefault="00F164EF" w:rsidP="009E5034">
            <w:pPr>
              <w:pStyle w:val="Tableau"/>
              <w:ind w:left="1"/>
              <w:jc w:val="left"/>
              <w:rPr>
                <w:sz w:val="22"/>
                <w:szCs w:val="22"/>
              </w:rPr>
            </w:pPr>
          </w:p>
        </w:tc>
        <w:tc>
          <w:tcPr>
            <w:tcW w:w="5428" w:type="dxa"/>
            <w:vAlign w:val="center"/>
          </w:tcPr>
          <w:p w:rsidR="00F164EF" w:rsidRPr="009E5034" w:rsidRDefault="00F164EF" w:rsidP="009E5034">
            <w:pPr>
              <w:pStyle w:val="Tableau"/>
              <w:ind w:left="1"/>
              <w:jc w:val="left"/>
              <w:rPr>
                <w:sz w:val="22"/>
                <w:szCs w:val="22"/>
              </w:rPr>
            </w:pPr>
            <w:r w:rsidRPr="009E5034">
              <w:rPr>
                <w:sz w:val="22"/>
                <w:szCs w:val="22"/>
              </w:rPr>
              <w:t>Dégradation d’origine hydrique des terrains en pente (érosion hydrique)</w:t>
            </w:r>
          </w:p>
          <w:p w:rsidR="00F164EF" w:rsidRPr="009E5034" w:rsidRDefault="00F164EF" w:rsidP="009E5034">
            <w:pPr>
              <w:pStyle w:val="Tableau"/>
              <w:ind w:left="1"/>
              <w:jc w:val="left"/>
              <w:rPr>
                <w:sz w:val="22"/>
                <w:szCs w:val="22"/>
              </w:rPr>
            </w:pPr>
            <w:r w:rsidRPr="009E5034">
              <w:rPr>
                <w:sz w:val="22"/>
                <w:szCs w:val="22"/>
              </w:rPr>
              <w:t xml:space="preserve">  Inondation des terrains tabulaires aggravés par les dépôts des déchets solides qui comblent les cours d’eau.</w:t>
            </w:r>
          </w:p>
          <w:p w:rsidR="00F164EF" w:rsidRPr="009E5034" w:rsidRDefault="00F164EF" w:rsidP="009E5034">
            <w:pPr>
              <w:pStyle w:val="Tableau"/>
              <w:ind w:left="1"/>
              <w:jc w:val="left"/>
              <w:rPr>
                <w:sz w:val="22"/>
                <w:szCs w:val="22"/>
              </w:rPr>
            </w:pPr>
          </w:p>
        </w:tc>
      </w:tr>
      <w:tr w:rsidR="00F164EF" w:rsidRPr="009E5034" w:rsidTr="00183B56">
        <w:tc>
          <w:tcPr>
            <w:tcW w:w="1941" w:type="dxa"/>
            <w:vMerge w:val="restart"/>
            <w:vAlign w:val="center"/>
          </w:tcPr>
          <w:p w:rsidR="00F164EF" w:rsidRPr="009E5034" w:rsidRDefault="00F164EF" w:rsidP="009E5034">
            <w:pPr>
              <w:pStyle w:val="Tableau"/>
              <w:ind w:left="1"/>
              <w:jc w:val="left"/>
              <w:rPr>
                <w:sz w:val="22"/>
                <w:szCs w:val="22"/>
              </w:rPr>
            </w:pPr>
            <w:bookmarkStart w:id="311" w:name="_Toc154032020"/>
            <w:bookmarkStart w:id="312" w:name="_Toc154032161"/>
            <w:bookmarkStart w:id="313" w:name="_Toc156564739"/>
            <w:bookmarkStart w:id="314" w:name="_Toc157227751"/>
            <w:bookmarkStart w:id="315" w:name="_Toc157678547"/>
            <w:bookmarkStart w:id="316" w:name="_Toc157828022"/>
            <w:bookmarkStart w:id="317" w:name="_Toc163371803"/>
            <w:bookmarkStart w:id="318" w:name="_Toc165362032"/>
            <w:r w:rsidRPr="009E5034">
              <w:rPr>
                <w:sz w:val="22"/>
                <w:szCs w:val="22"/>
              </w:rPr>
              <w:t xml:space="preserve">Problématiques liées à la gestion de l’environnement </w:t>
            </w:r>
            <w:bookmarkEnd w:id="311"/>
            <w:bookmarkEnd w:id="312"/>
            <w:bookmarkEnd w:id="313"/>
            <w:bookmarkEnd w:id="314"/>
            <w:bookmarkEnd w:id="315"/>
            <w:bookmarkEnd w:id="316"/>
            <w:bookmarkEnd w:id="317"/>
            <w:bookmarkEnd w:id="318"/>
          </w:p>
        </w:tc>
        <w:tc>
          <w:tcPr>
            <w:tcW w:w="2153" w:type="dxa"/>
            <w:vAlign w:val="center"/>
          </w:tcPr>
          <w:p w:rsidR="00F164EF" w:rsidRPr="009E5034" w:rsidRDefault="00F164EF" w:rsidP="009E5034">
            <w:pPr>
              <w:pStyle w:val="Tableau"/>
              <w:ind w:left="1"/>
              <w:jc w:val="left"/>
              <w:rPr>
                <w:sz w:val="22"/>
                <w:szCs w:val="22"/>
              </w:rPr>
            </w:pPr>
            <w:r w:rsidRPr="009E5034">
              <w:rPr>
                <w:sz w:val="22"/>
                <w:szCs w:val="22"/>
              </w:rPr>
              <w:t>Accès à l’eau potable</w:t>
            </w:r>
          </w:p>
        </w:tc>
        <w:tc>
          <w:tcPr>
            <w:tcW w:w="5428" w:type="dxa"/>
            <w:vAlign w:val="center"/>
          </w:tcPr>
          <w:p w:rsidR="00F164EF" w:rsidRPr="009E5034" w:rsidRDefault="00F164EF" w:rsidP="009E5034">
            <w:pPr>
              <w:pStyle w:val="Tableau"/>
              <w:ind w:left="1"/>
              <w:jc w:val="left"/>
              <w:rPr>
                <w:sz w:val="22"/>
                <w:szCs w:val="22"/>
              </w:rPr>
            </w:pPr>
            <w:bookmarkStart w:id="319" w:name="_Toc157678548"/>
            <w:bookmarkStart w:id="320" w:name="_Toc157828023"/>
            <w:bookmarkStart w:id="321" w:name="_Toc163371804"/>
            <w:bookmarkStart w:id="322" w:name="_Toc165362033"/>
            <w:r w:rsidRPr="009E5034">
              <w:rPr>
                <w:sz w:val="22"/>
                <w:szCs w:val="22"/>
              </w:rPr>
              <w:t>Utilisation de plusieurs sources d’approvisionnement en eau potable :</w:t>
            </w:r>
          </w:p>
          <w:p w:rsidR="00F164EF" w:rsidRPr="009E5034" w:rsidRDefault="00F164EF" w:rsidP="009E5034">
            <w:pPr>
              <w:pStyle w:val="Tableau"/>
              <w:ind w:left="1"/>
              <w:jc w:val="left"/>
              <w:rPr>
                <w:sz w:val="22"/>
                <w:szCs w:val="22"/>
              </w:rPr>
            </w:pPr>
            <w:r w:rsidRPr="009E5034">
              <w:rPr>
                <w:sz w:val="22"/>
                <w:szCs w:val="22"/>
              </w:rPr>
              <w:t>68% de puits couverts,</w:t>
            </w:r>
          </w:p>
          <w:p w:rsidR="00F164EF" w:rsidRPr="009E5034" w:rsidRDefault="00F164EF" w:rsidP="009E5034">
            <w:pPr>
              <w:pStyle w:val="Tableau"/>
              <w:ind w:left="1"/>
              <w:jc w:val="left"/>
              <w:rPr>
                <w:sz w:val="22"/>
                <w:szCs w:val="22"/>
              </w:rPr>
            </w:pPr>
            <w:r w:rsidRPr="009E5034">
              <w:rPr>
                <w:sz w:val="22"/>
                <w:szCs w:val="22"/>
              </w:rPr>
              <w:t>46% de branchement privé,</w:t>
            </w:r>
          </w:p>
          <w:p w:rsidR="00F164EF" w:rsidRPr="009E5034" w:rsidRDefault="00F164EF" w:rsidP="009E5034">
            <w:pPr>
              <w:pStyle w:val="Tableau"/>
              <w:ind w:left="1"/>
              <w:jc w:val="left"/>
              <w:rPr>
                <w:sz w:val="22"/>
                <w:szCs w:val="22"/>
              </w:rPr>
            </w:pPr>
            <w:r w:rsidRPr="009E5034">
              <w:rPr>
                <w:sz w:val="22"/>
                <w:szCs w:val="22"/>
              </w:rPr>
              <w:t>38% de captage d’eau de pluies,</w:t>
            </w:r>
          </w:p>
          <w:p w:rsidR="00F164EF" w:rsidRPr="009E5034" w:rsidRDefault="00F164EF" w:rsidP="009E5034">
            <w:pPr>
              <w:pStyle w:val="Tableau"/>
              <w:ind w:left="1"/>
              <w:jc w:val="left"/>
              <w:rPr>
                <w:sz w:val="22"/>
                <w:szCs w:val="22"/>
              </w:rPr>
            </w:pPr>
            <w:r w:rsidRPr="009E5034">
              <w:rPr>
                <w:sz w:val="22"/>
                <w:szCs w:val="22"/>
              </w:rPr>
              <w:t>17% de bornes fontaines,</w:t>
            </w:r>
          </w:p>
          <w:p w:rsidR="00F164EF" w:rsidRPr="009E5034" w:rsidRDefault="00F164EF" w:rsidP="009E5034">
            <w:pPr>
              <w:pStyle w:val="Tableau"/>
              <w:ind w:left="1"/>
              <w:jc w:val="left"/>
              <w:rPr>
                <w:sz w:val="22"/>
                <w:szCs w:val="22"/>
              </w:rPr>
            </w:pPr>
            <w:r w:rsidRPr="009E5034">
              <w:rPr>
                <w:sz w:val="22"/>
                <w:szCs w:val="22"/>
              </w:rPr>
              <w:t>12% de puits ouverts,</w:t>
            </w:r>
          </w:p>
          <w:p w:rsidR="00F164EF" w:rsidRPr="009E5034" w:rsidRDefault="00F164EF" w:rsidP="009E5034">
            <w:pPr>
              <w:pStyle w:val="Tableau"/>
              <w:ind w:left="1"/>
              <w:jc w:val="left"/>
              <w:rPr>
                <w:sz w:val="22"/>
                <w:szCs w:val="22"/>
              </w:rPr>
            </w:pPr>
            <w:r w:rsidRPr="009E5034">
              <w:rPr>
                <w:sz w:val="22"/>
                <w:szCs w:val="22"/>
              </w:rPr>
              <w:t>2% directement de forages.</w:t>
            </w:r>
          </w:p>
          <w:bookmarkEnd w:id="319"/>
          <w:bookmarkEnd w:id="320"/>
          <w:bookmarkEnd w:id="321"/>
          <w:bookmarkEnd w:id="322"/>
          <w:p w:rsidR="00F164EF" w:rsidRPr="009E5034" w:rsidRDefault="00F164EF" w:rsidP="009E5034">
            <w:pPr>
              <w:pStyle w:val="Tableau"/>
              <w:ind w:left="1"/>
              <w:jc w:val="left"/>
              <w:rPr>
                <w:sz w:val="22"/>
                <w:szCs w:val="22"/>
              </w:rPr>
            </w:pPr>
            <w:r w:rsidRPr="009E5034">
              <w:rPr>
                <w:sz w:val="22"/>
                <w:szCs w:val="22"/>
              </w:rPr>
              <w:t xml:space="preserve">Contamination d’environ 80% des puits qui constituent la principale source d’approvisionnement en EP </w:t>
            </w:r>
          </w:p>
          <w:p w:rsidR="00F164EF" w:rsidRPr="009E5034" w:rsidRDefault="00F164EF" w:rsidP="009E5034">
            <w:pPr>
              <w:pStyle w:val="Tableau"/>
              <w:ind w:left="1"/>
              <w:jc w:val="left"/>
              <w:rPr>
                <w:rStyle w:val="Heading2Char"/>
                <w:rFonts w:ascii="Times New Roman" w:hAnsi="Times New Roman" w:cs="Times New Roman"/>
                <w:b w:val="0"/>
                <w:sz w:val="22"/>
                <w:szCs w:val="22"/>
              </w:rPr>
            </w:pPr>
            <w:r w:rsidRPr="009E5034">
              <w:rPr>
                <w:sz w:val="22"/>
                <w:szCs w:val="22"/>
              </w:rPr>
              <w:t>Consommation spécifique par habitant très faible, elle est estimée à12 l/j.</w:t>
            </w:r>
          </w:p>
        </w:tc>
      </w:tr>
      <w:tr w:rsidR="00F164EF" w:rsidRPr="009E5034" w:rsidTr="00183B56">
        <w:tc>
          <w:tcPr>
            <w:tcW w:w="1941" w:type="dxa"/>
            <w:vMerge/>
          </w:tcPr>
          <w:p w:rsidR="00F164EF" w:rsidRPr="009E5034" w:rsidRDefault="00F164EF" w:rsidP="009E5034">
            <w:pPr>
              <w:pStyle w:val="Tableau"/>
              <w:ind w:left="1"/>
              <w:jc w:val="left"/>
              <w:rPr>
                <w:rStyle w:val="Heading2Char"/>
                <w:rFonts w:ascii="Times New Roman" w:hAnsi="Times New Roman" w:cs="Times New Roman"/>
                <w:sz w:val="22"/>
                <w:szCs w:val="22"/>
              </w:rPr>
            </w:pPr>
          </w:p>
        </w:tc>
        <w:tc>
          <w:tcPr>
            <w:tcW w:w="2153" w:type="dxa"/>
            <w:vAlign w:val="center"/>
          </w:tcPr>
          <w:p w:rsidR="00F164EF" w:rsidRPr="009E5034" w:rsidRDefault="00F164EF" w:rsidP="009E5034">
            <w:pPr>
              <w:pStyle w:val="Tableau"/>
              <w:ind w:left="1"/>
              <w:jc w:val="left"/>
              <w:rPr>
                <w:rStyle w:val="Heading2Char"/>
                <w:rFonts w:ascii="Times New Roman" w:hAnsi="Times New Roman" w:cs="Times New Roman"/>
                <w:b w:val="0"/>
                <w:sz w:val="22"/>
                <w:szCs w:val="22"/>
              </w:rPr>
            </w:pPr>
            <w:r w:rsidRPr="009E5034">
              <w:rPr>
                <w:sz w:val="22"/>
                <w:szCs w:val="22"/>
              </w:rPr>
              <w:t>Gestion des eaux usées</w:t>
            </w:r>
          </w:p>
        </w:tc>
        <w:tc>
          <w:tcPr>
            <w:tcW w:w="5428" w:type="dxa"/>
          </w:tcPr>
          <w:p w:rsidR="00F164EF" w:rsidRPr="009E5034" w:rsidRDefault="00F164EF" w:rsidP="009E5034">
            <w:pPr>
              <w:pStyle w:val="Tableau"/>
              <w:ind w:left="1"/>
              <w:jc w:val="left"/>
              <w:rPr>
                <w:sz w:val="22"/>
                <w:szCs w:val="22"/>
              </w:rPr>
            </w:pPr>
            <w:r w:rsidRPr="009E5034">
              <w:rPr>
                <w:sz w:val="22"/>
                <w:szCs w:val="22"/>
              </w:rPr>
              <w:t>Absence d’un véritable système d’évacuation des EU</w:t>
            </w:r>
          </w:p>
          <w:p w:rsidR="00F164EF" w:rsidRPr="009E5034" w:rsidRDefault="00F164EF" w:rsidP="009E5034">
            <w:pPr>
              <w:pStyle w:val="Tableau"/>
              <w:ind w:left="1"/>
              <w:jc w:val="left"/>
              <w:rPr>
                <w:rStyle w:val="Heading2Char"/>
                <w:rFonts w:ascii="Times New Roman" w:hAnsi="Times New Roman" w:cs="Times New Roman"/>
                <w:b w:val="0"/>
                <w:sz w:val="22"/>
                <w:szCs w:val="22"/>
              </w:rPr>
            </w:pPr>
            <w:r w:rsidRPr="009E5034">
              <w:rPr>
                <w:sz w:val="22"/>
                <w:szCs w:val="22"/>
              </w:rPr>
              <w:t>Déversement direct des EU dans les rues et les caniveaux pour rejoindre le milieu récepteur naturel contribuant fortement à la pollution des milieux (nappes souterraines, eaux de surface, terres agricoles,.</w:t>
            </w:r>
          </w:p>
        </w:tc>
      </w:tr>
      <w:tr w:rsidR="00F164EF" w:rsidRPr="009E5034" w:rsidTr="00183B56">
        <w:tc>
          <w:tcPr>
            <w:tcW w:w="1941" w:type="dxa"/>
            <w:vMerge/>
          </w:tcPr>
          <w:p w:rsidR="00F164EF" w:rsidRPr="009E5034" w:rsidRDefault="00F164EF" w:rsidP="009E5034">
            <w:pPr>
              <w:pStyle w:val="Tableau"/>
              <w:ind w:left="1"/>
              <w:jc w:val="left"/>
              <w:rPr>
                <w:rStyle w:val="Heading2Char"/>
                <w:rFonts w:ascii="Times New Roman" w:hAnsi="Times New Roman" w:cs="Times New Roman"/>
                <w:sz w:val="22"/>
                <w:szCs w:val="22"/>
              </w:rPr>
            </w:pPr>
          </w:p>
        </w:tc>
        <w:tc>
          <w:tcPr>
            <w:tcW w:w="2153" w:type="dxa"/>
            <w:vAlign w:val="center"/>
          </w:tcPr>
          <w:p w:rsidR="00F164EF" w:rsidRPr="009E5034" w:rsidRDefault="00F164EF" w:rsidP="009E5034">
            <w:pPr>
              <w:pStyle w:val="Tableau"/>
              <w:ind w:left="1"/>
              <w:jc w:val="left"/>
              <w:rPr>
                <w:rStyle w:val="Heading2Char"/>
                <w:rFonts w:ascii="Times New Roman" w:hAnsi="Times New Roman" w:cs="Times New Roman"/>
                <w:b w:val="0"/>
                <w:sz w:val="22"/>
                <w:szCs w:val="22"/>
              </w:rPr>
            </w:pPr>
            <w:r w:rsidRPr="009E5034">
              <w:rPr>
                <w:sz w:val="22"/>
                <w:szCs w:val="22"/>
              </w:rPr>
              <w:t xml:space="preserve">Gestion des déchets solides </w:t>
            </w:r>
          </w:p>
        </w:tc>
        <w:tc>
          <w:tcPr>
            <w:tcW w:w="5428" w:type="dxa"/>
          </w:tcPr>
          <w:p w:rsidR="00F164EF" w:rsidRPr="009E5034" w:rsidRDefault="00F164EF" w:rsidP="009E5034">
            <w:pPr>
              <w:pStyle w:val="Tableau"/>
              <w:ind w:left="1"/>
              <w:jc w:val="left"/>
              <w:rPr>
                <w:sz w:val="22"/>
                <w:szCs w:val="22"/>
              </w:rPr>
            </w:pPr>
            <w:r w:rsidRPr="009E5034">
              <w:rPr>
                <w:sz w:val="22"/>
                <w:szCs w:val="22"/>
              </w:rPr>
              <w:t>85% des déchets solides sont de nature organique,</w:t>
            </w:r>
          </w:p>
          <w:p w:rsidR="00F164EF" w:rsidRPr="009E5034" w:rsidRDefault="00F164EF" w:rsidP="009E5034">
            <w:pPr>
              <w:pStyle w:val="Tableau"/>
              <w:ind w:left="1"/>
              <w:jc w:val="left"/>
              <w:rPr>
                <w:sz w:val="22"/>
                <w:szCs w:val="22"/>
              </w:rPr>
            </w:pPr>
            <w:r w:rsidRPr="009E5034">
              <w:rPr>
                <w:sz w:val="22"/>
                <w:szCs w:val="22"/>
              </w:rPr>
              <w:t>Production journalière par habitant très élevé (1 l/j)</w:t>
            </w:r>
          </w:p>
          <w:p w:rsidR="00F164EF" w:rsidRPr="009E5034" w:rsidRDefault="00F164EF" w:rsidP="009E5034">
            <w:pPr>
              <w:pStyle w:val="Tableau"/>
              <w:ind w:left="1"/>
              <w:jc w:val="left"/>
              <w:rPr>
                <w:sz w:val="22"/>
                <w:szCs w:val="22"/>
              </w:rPr>
            </w:pPr>
            <w:r w:rsidRPr="009E5034">
              <w:rPr>
                <w:sz w:val="22"/>
                <w:szCs w:val="22"/>
              </w:rPr>
              <w:t>Taux de collecte des déchets ménagers avec le concours des GIE est évalué en 2009 à 60%.</w:t>
            </w:r>
          </w:p>
          <w:p w:rsidR="00F164EF" w:rsidRPr="009E5034" w:rsidRDefault="00F164EF" w:rsidP="009E5034">
            <w:pPr>
              <w:pStyle w:val="Tableau"/>
              <w:ind w:left="1"/>
              <w:jc w:val="left"/>
              <w:rPr>
                <w:sz w:val="22"/>
                <w:szCs w:val="22"/>
              </w:rPr>
            </w:pPr>
            <w:r w:rsidRPr="009E5034">
              <w:rPr>
                <w:sz w:val="22"/>
                <w:szCs w:val="22"/>
              </w:rPr>
              <w:t>Moyens très limités de la mairie pour transférer les déchets des dépôts de transit à la décharge contrôlée.</w:t>
            </w:r>
          </w:p>
          <w:p w:rsidR="00F164EF" w:rsidRPr="009E5034" w:rsidRDefault="00F164EF" w:rsidP="009E5034">
            <w:pPr>
              <w:pStyle w:val="Tableau"/>
              <w:ind w:left="1"/>
              <w:jc w:val="left"/>
              <w:rPr>
                <w:rStyle w:val="Heading2Char"/>
                <w:rFonts w:ascii="Times New Roman" w:hAnsi="Times New Roman" w:cs="Times New Roman"/>
                <w:b w:val="0"/>
                <w:sz w:val="22"/>
                <w:szCs w:val="22"/>
              </w:rPr>
            </w:pPr>
            <w:r w:rsidRPr="009E5034">
              <w:rPr>
                <w:sz w:val="22"/>
                <w:szCs w:val="22"/>
              </w:rPr>
              <w:t xml:space="preserve">Déchets biomédicaux partiellement incinérés </w:t>
            </w:r>
          </w:p>
        </w:tc>
      </w:tr>
      <w:tr w:rsidR="00F164EF" w:rsidRPr="009E5034" w:rsidTr="00183B56">
        <w:tc>
          <w:tcPr>
            <w:tcW w:w="1941" w:type="dxa"/>
            <w:vMerge/>
          </w:tcPr>
          <w:p w:rsidR="00F164EF" w:rsidRPr="009E5034" w:rsidRDefault="00F164EF" w:rsidP="009E5034">
            <w:pPr>
              <w:pStyle w:val="Tableau"/>
              <w:ind w:left="1"/>
              <w:jc w:val="left"/>
              <w:rPr>
                <w:rStyle w:val="Heading2Char"/>
                <w:rFonts w:ascii="Times New Roman" w:hAnsi="Times New Roman" w:cs="Times New Roman"/>
                <w:sz w:val="22"/>
                <w:szCs w:val="22"/>
              </w:rPr>
            </w:pPr>
          </w:p>
        </w:tc>
        <w:tc>
          <w:tcPr>
            <w:tcW w:w="2153" w:type="dxa"/>
            <w:vAlign w:val="center"/>
          </w:tcPr>
          <w:p w:rsidR="00F164EF" w:rsidRPr="009E5034" w:rsidRDefault="00F164EF" w:rsidP="009E5034">
            <w:pPr>
              <w:pStyle w:val="Tableau"/>
              <w:ind w:left="1"/>
              <w:jc w:val="left"/>
              <w:rPr>
                <w:sz w:val="22"/>
                <w:szCs w:val="22"/>
              </w:rPr>
            </w:pPr>
            <w:r w:rsidRPr="009E5034">
              <w:rPr>
                <w:sz w:val="22"/>
                <w:szCs w:val="22"/>
              </w:rPr>
              <w:t>Gestion des eaux pluviales et contrôle des inondations</w:t>
            </w:r>
          </w:p>
        </w:tc>
        <w:tc>
          <w:tcPr>
            <w:tcW w:w="5428" w:type="dxa"/>
          </w:tcPr>
          <w:p w:rsidR="00F164EF" w:rsidRPr="009E5034" w:rsidRDefault="00F164EF" w:rsidP="009E5034">
            <w:pPr>
              <w:pStyle w:val="Tableau"/>
              <w:ind w:left="1"/>
              <w:jc w:val="left"/>
              <w:rPr>
                <w:sz w:val="22"/>
                <w:szCs w:val="22"/>
              </w:rPr>
            </w:pPr>
            <w:r w:rsidRPr="009E5034">
              <w:rPr>
                <w:sz w:val="22"/>
                <w:szCs w:val="22"/>
              </w:rPr>
              <w:t>La géomorphologie de la ville confère à la ville un caractère d’inondabilité prononcé</w:t>
            </w:r>
          </w:p>
          <w:p w:rsidR="00F164EF" w:rsidRPr="009E5034" w:rsidRDefault="00F164EF" w:rsidP="009E5034">
            <w:pPr>
              <w:pStyle w:val="Tableau"/>
              <w:ind w:left="1"/>
              <w:jc w:val="left"/>
              <w:rPr>
                <w:sz w:val="22"/>
                <w:szCs w:val="22"/>
              </w:rPr>
            </w:pPr>
            <w:r w:rsidRPr="009E5034">
              <w:rPr>
                <w:sz w:val="22"/>
                <w:szCs w:val="22"/>
              </w:rPr>
              <w:t>Réseau d’évacuation des eaux pluviale très ancien et souffre d’un manque manifeste de maintenance et d’entretien,</w:t>
            </w:r>
          </w:p>
          <w:p w:rsidR="00F164EF" w:rsidRPr="009E5034" w:rsidRDefault="00F164EF" w:rsidP="009E5034">
            <w:pPr>
              <w:pStyle w:val="Tableau"/>
              <w:ind w:left="1"/>
              <w:jc w:val="left"/>
              <w:rPr>
                <w:rStyle w:val="Heading2Char"/>
                <w:rFonts w:ascii="Times New Roman" w:hAnsi="Times New Roman" w:cs="Times New Roman"/>
                <w:b w:val="0"/>
                <w:sz w:val="22"/>
                <w:szCs w:val="22"/>
              </w:rPr>
            </w:pPr>
            <w:r w:rsidRPr="009E5034">
              <w:rPr>
                <w:sz w:val="22"/>
                <w:szCs w:val="22"/>
              </w:rPr>
              <w:t>Les extensions nouvelles des quartiers n’ont pas été accompagnées de manière systématique d’ouvrage de drainage</w:t>
            </w:r>
          </w:p>
        </w:tc>
      </w:tr>
      <w:tr w:rsidR="00F164EF" w:rsidRPr="009E5034" w:rsidTr="00183B56">
        <w:tc>
          <w:tcPr>
            <w:tcW w:w="1941" w:type="dxa"/>
            <w:vMerge w:val="restart"/>
          </w:tcPr>
          <w:p w:rsidR="00F164EF" w:rsidRPr="009E5034" w:rsidRDefault="00F164EF" w:rsidP="009E5034">
            <w:pPr>
              <w:pStyle w:val="Tableau"/>
              <w:ind w:left="1"/>
              <w:jc w:val="left"/>
              <w:rPr>
                <w:rStyle w:val="Heading2Char"/>
                <w:rFonts w:ascii="Times New Roman" w:hAnsi="Times New Roman" w:cs="Times New Roman"/>
                <w:b w:val="0"/>
                <w:sz w:val="22"/>
                <w:szCs w:val="22"/>
              </w:rPr>
            </w:pPr>
          </w:p>
        </w:tc>
        <w:tc>
          <w:tcPr>
            <w:tcW w:w="2153" w:type="dxa"/>
            <w:vAlign w:val="center"/>
          </w:tcPr>
          <w:p w:rsidR="00F164EF" w:rsidRPr="009E5034" w:rsidRDefault="00F164EF" w:rsidP="009E5034">
            <w:pPr>
              <w:pStyle w:val="Tableau"/>
              <w:ind w:left="1"/>
              <w:jc w:val="left"/>
              <w:rPr>
                <w:sz w:val="22"/>
                <w:szCs w:val="22"/>
              </w:rPr>
            </w:pPr>
            <w:r w:rsidRPr="009E5034">
              <w:rPr>
                <w:sz w:val="22"/>
                <w:szCs w:val="22"/>
              </w:rPr>
              <w:t xml:space="preserve">Utilisation de l’énergie </w:t>
            </w:r>
          </w:p>
        </w:tc>
        <w:tc>
          <w:tcPr>
            <w:tcW w:w="5428" w:type="dxa"/>
          </w:tcPr>
          <w:p w:rsidR="00F164EF" w:rsidRPr="009E5034" w:rsidRDefault="00F164EF" w:rsidP="009E5034">
            <w:pPr>
              <w:pStyle w:val="Tableau"/>
              <w:ind w:left="1"/>
              <w:jc w:val="left"/>
              <w:rPr>
                <w:rStyle w:val="Heading2Char"/>
                <w:rFonts w:ascii="Times New Roman" w:hAnsi="Times New Roman" w:cs="Times New Roman"/>
                <w:b w:val="0"/>
                <w:sz w:val="22"/>
                <w:szCs w:val="22"/>
              </w:rPr>
            </w:pPr>
            <w:r w:rsidRPr="009E5034">
              <w:rPr>
                <w:rStyle w:val="Heading2Char"/>
                <w:rFonts w:ascii="Times New Roman" w:hAnsi="Times New Roman" w:cs="Times New Roman"/>
                <w:sz w:val="22"/>
                <w:szCs w:val="22"/>
              </w:rPr>
              <w:t xml:space="preserve"> </w:t>
            </w:r>
            <w:r w:rsidRPr="009E5034">
              <w:rPr>
                <w:sz w:val="22"/>
                <w:szCs w:val="22"/>
              </w:rPr>
              <w:t>La plus grande part de l’énergie domestique consommée est à base de bois de forêts ce qui affaiblit de manière régulière et rapide le couvert végétal limitrophe à la ville</w:t>
            </w:r>
          </w:p>
          <w:p w:rsidR="00F164EF" w:rsidRPr="009E5034" w:rsidRDefault="00F164EF" w:rsidP="009E5034">
            <w:pPr>
              <w:pStyle w:val="Tableau"/>
              <w:ind w:left="1"/>
              <w:jc w:val="left"/>
              <w:rPr>
                <w:rStyle w:val="Heading2Char"/>
                <w:rFonts w:ascii="Times New Roman" w:hAnsi="Times New Roman" w:cs="Times New Roman"/>
                <w:b w:val="0"/>
                <w:sz w:val="22"/>
                <w:szCs w:val="22"/>
              </w:rPr>
            </w:pPr>
            <w:r w:rsidRPr="009E5034">
              <w:rPr>
                <w:sz w:val="22"/>
                <w:szCs w:val="22"/>
              </w:rPr>
              <w:t xml:space="preserve"> la consommation moyenne journalière de l’ordre de </w:t>
            </w:r>
            <w:smartTag w:uri="urn:schemas-microsoft-com:office:smarttags" w:element="metricconverter">
              <w:smartTagPr>
                <w:attr w:name="ProductID" w:val="1.5 kg"/>
              </w:smartTagPr>
              <w:r w:rsidRPr="009E5034">
                <w:rPr>
                  <w:sz w:val="22"/>
                  <w:szCs w:val="22"/>
                </w:rPr>
                <w:t>1.5 kg</w:t>
              </w:r>
            </w:smartTag>
            <w:r w:rsidRPr="009E5034">
              <w:rPr>
                <w:sz w:val="22"/>
                <w:szCs w:val="22"/>
              </w:rPr>
              <w:t xml:space="preserve"> par habitant</w:t>
            </w:r>
          </w:p>
        </w:tc>
      </w:tr>
      <w:tr w:rsidR="00F164EF" w:rsidRPr="009E5034" w:rsidTr="00183B56">
        <w:tc>
          <w:tcPr>
            <w:tcW w:w="1941" w:type="dxa"/>
            <w:vMerge/>
          </w:tcPr>
          <w:p w:rsidR="00F164EF" w:rsidRPr="009E5034" w:rsidRDefault="00F164EF" w:rsidP="009E5034">
            <w:pPr>
              <w:pStyle w:val="Tableau"/>
              <w:ind w:left="1"/>
              <w:jc w:val="left"/>
              <w:rPr>
                <w:rStyle w:val="Heading2Char"/>
                <w:rFonts w:ascii="Times New Roman" w:hAnsi="Times New Roman" w:cs="Times New Roman"/>
                <w:sz w:val="22"/>
                <w:szCs w:val="22"/>
              </w:rPr>
            </w:pPr>
          </w:p>
        </w:tc>
        <w:tc>
          <w:tcPr>
            <w:tcW w:w="2153" w:type="dxa"/>
            <w:vAlign w:val="center"/>
          </w:tcPr>
          <w:p w:rsidR="00F164EF" w:rsidRPr="009E5034" w:rsidRDefault="00F164EF" w:rsidP="009E5034">
            <w:pPr>
              <w:pStyle w:val="Tableau"/>
              <w:ind w:left="1"/>
              <w:jc w:val="left"/>
              <w:rPr>
                <w:sz w:val="22"/>
                <w:szCs w:val="22"/>
              </w:rPr>
            </w:pPr>
            <w:r w:rsidRPr="009E5034">
              <w:rPr>
                <w:sz w:val="22"/>
                <w:szCs w:val="22"/>
              </w:rPr>
              <w:t>Santé</w:t>
            </w:r>
          </w:p>
        </w:tc>
        <w:tc>
          <w:tcPr>
            <w:tcW w:w="5428" w:type="dxa"/>
          </w:tcPr>
          <w:p w:rsidR="00F164EF" w:rsidRPr="009E5034" w:rsidRDefault="00F164EF" w:rsidP="009E5034">
            <w:pPr>
              <w:pStyle w:val="Tableau"/>
              <w:ind w:left="1"/>
              <w:jc w:val="left"/>
              <w:rPr>
                <w:sz w:val="22"/>
                <w:szCs w:val="22"/>
              </w:rPr>
            </w:pPr>
            <w:r w:rsidRPr="009E5034">
              <w:rPr>
                <w:sz w:val="22"/>
                <w:szCs w:val="22"/>
              </w:rPr>
              <w:t>prévalence des maladies liées à l’environnement et particulièrement à l’eau et à la pollution atmosphérique</w:t>
            </w:r>
          </w:p>
          <w:p w:rsidR="00F164EF" w:rsidRPr="009E5034" w:rsidRDefault="00F164EF" w:rsidP="009E5034">
            <w:pPr>
              <w:pStyle w:val="Tableau"/>
              <w:ind w:left="1"/>
              <w:jc w:val="left"/>
              <w:rPr>
                <w:rStyle w:val="Heading2Char"/>
                <w:rFonts w:ascii="Times New Roman" w:hAnsi="Times New Roman" w:cs="Times New Roman"/>
                <w:b w:val="0"/>
                <w:sz w:val="22"/>
                <w:szCs w:val="22"/>
              </w:rPr>
            </w:pPr>
            <w:r w:rsidRPr="009E5034">
              <w:rPr>
                <w:sz w:val="22"/>
                <w:szCs w:val="22"/>
              </w:rPr>
              <w:t>Les trois principales atteintes à la santé sont dans l’ordre : le paludisme (31% de la population atteinte en 2006), les infections respiratoires basses et hautes (12%) et la diarrhée (5%).</w:t>
            </w:r>
          </w:p>
        </w:tc>
      </w:tr>
    </w:tbl>
    <w:p w:rsidR="00F164EF" w:rsidRPr="009E5034" w:rsidRDefault="00F164EF" w:rsidP="009E5034">
      <w:pPr>
        <w:ind w:left="0"/>
        <w:jc w:val="left"/>
        <w:rPr>
          <w:sz w:val="22"/>
          <w:szCs w:val="22"/>
        </w:rPr>
      </w:pPr>
      <w:r w:rsidRPr="009E5034">
        <w:rPr>
          <w:sz w:val="22"/>
          <w:szCs w:val="22"/>
        </w:rPr>
        <w:br w:type="page"/>
      </w:r>
    </w:p>
    <w:p w:rsidR="00F164EF" w:rsidRPr="009E5034" w:rsidRDefault="00F164EF" w:rsidP="009E5034">
      <w:pPr>
        <w:ind w:left="0"/>
        <w:jc w:val="left"/>
        <w:rPr>
          <w:sz w:val="22"/>
          <w:szCs w:val="22"/>
        </w:rPr>
        <w:sectPr w:rsidR="00F164EF" w:rsidRPr="009E5034" w:rsidSect="009252AA">
          <w:footerReference w:type="default" r:id="rId15"/>
          <w:pgSz w:w="11906" w:h="16838" w:code="9"/>
          <w:pgMar w:top="1440" w:right="1440" w:bottom="1440" w:left="1440" w:header="720" w:footer="720" w:gutter="0"/>
          <w:pgNumType w:start="1"/>
          <w:cols w:space="708"/>
          <w:docGrid w:linePitch="360"/>
        </w:sectPr>
      </w:pPr>
    </w:p>
    <w:p w:rsidR="00F164EF" w:rsidRPr="009E5034" w:rsidRDefault="002D3E93" w:rsidP="009E5034">
      <w:pPr>
        <w:pStyle w:val="Title"/>
        <w:ind w:left="0"/>
        <w:rPr>
          <w:sz w:val="22"/>
          <w:szCs w:val="22"/>
        </w:rPr>
      </w:pPr>
      <w:bookmarkStart w:id="323" w:name="_Toc289855981"/>
      <w:r w:rsidRPr="009E5034">
        <w:rPr>
          <w:sz w:val="22"/>
          <w:szCs w:val="22"/>
        </w:rPr>
        <w:t>Références</w:t>
      </w:r>
      <w:bookmarkEnd w:id="323"/>
    </w:p>
    <w:p w:rsidR="00F164EF" w:rsidRPr="009E5034" w:rsidRDefault="00F164EF" w:rsidP="009E5034">
      <w:pPr>
        <w:ind w:left="0"/>
        <w:jc w:val="left"/>
        <w:rPr>
          <w:sz w:val="22"/>
          <w:szCs w:val="22"/>
          <w:lang w:val="en-GB"/>
        </w:rPr>
      </w:pPr>
      <w:r w:rsidRPr="009E5034">
        <w:rPr>
          <w:sz w:val="22"/>
          <w:szCs w:val="22"/>
        </w:rPr>
        <w:t xml:space="preserve">AFRITEC, mars 1999 : </w:t>
      </w:r>
      <w:r w:rsidRPr="009E5034">
        <w:rPr>
          <w:i/>
          <w:sz w:val="22"/>
          <w:szCs w:val="22"/>
        </w:rPr>
        <w:t>Rapport d’Étude sur les opérateurs indépendants des services eau et assainissement aux populations pauvres des grandes villes, cas de Bamako au Mali.</w:t>
      </w:r>
      <w:r w:rsidRPr="009E5034">
        <w:rPr>
          <w:sz w:val="22"/>
          <w:szCs w:val="22"/>
        </w:rPr>
        <w:t xml:space="preserve"> </w:t>
      </w:r>
      <w:r w:rsidRPr="009E5034">
        <w:rPr>
          <w:sz w:val="22"/>
          <w:szCs w:val="22"/>
          <w:lang w:val="en-GB"/>
        </w:rPr>
        <w:t xml:space="preserve">UNDP-World Bank Water and Sanitation Program / Program for Learning and Capacity Building. </w:t>
      </w:r>
    </w:p>
    <w:p w:rsidR="00F164EF" w:rsidRPr="009E5034" w:rsidRDefault="00F164EF" w:rsidP="009E5034">
      <w:pPr>
        <w:ind w:left="0"/>
        <w:jc w:val="left"/>
        <w:rPr>
          <w:sz w:val="22"/>
          <w:szCs w:val="22"/>
        </w:rPr>
      </w:pPr>
      <w:r w:rsidRPr="009E5034">
        <w:rPr>
          <w:bCs/>
          <w:sz w:val="22"/>
          <w:szCs w:val="22"/>
        </w:rPr>
        <w:t xml:space="preserve">AGETIPE, 2008. </w:t>
      </w:r>
      <w:r w:rsidRPr="009E5034">
        <w:rPr>
          <w:bCs/>
          <w:i/>
          <w:iCs/>
          <w:sz w:val="22"/>
          <w:szCs w:val="22"/>
        </w:rPr>
        <w:t>APD du projet d’assainissement de la rue 216 du quartier Toguel de Mopti</w:t>
      </w:r>
      <w:r w:rsidRPr="009E5034">
        <w:rPr>
          <w:bCs/>
          <w:sz w:val="22"/>
          <w:szCs w:val="22"/>
        </w:rPr>
        <w:t>.</w:t>
      </w:r>
    </w:p>
    <w:p w:rsidR="00F164EF" w:rsidRPr="009E5034" w:rsidRDefault="00F164EF" w:rsidP="009E5034">
      <w:pPr>
        <w:ind w:left="0"/>
        <w:jc w:val="left"/>
        <w:rPr>
          <w:bCs/>
          <w:sz w:val="22"/>
          <w:szCs w:val="22"/>
        </w:rPr>
      </w:pPr>
      <w:r w:rsidRPr="009E5034">
        <w:rPr>
          <w:bCs/>
          <w:sz w:val="22"/>
          <w:szCs w:val="22"/>
        </w:rPr>
        <w:t xml:space="preserve">Assemblée Régionale – Gao, ADERE Nord, 2008. </w:t>
      </w:r>
      <w:r w:rsidRPr="009E5034">
        <w:rPr>
          <w:bCs/>
          <w:i/>
          <w:iCs/>
          <w:sz w:val="22"/>
          <w:szCs w:val="22"/>
        </w:rPr>
        <w:t>Schéma régional d’aménagement et de développement de la région de Gao</w:t>
      </w:r>
      <w:r w:rsidRPr="009E5034">
        <w:rPr>
          <w:bCs/>
          <w:sz w:val="22"/>
          <w:szCs w:val="22"/>
        </w:rPr>
        <w:t>.</w:t>
      </w:r>
    </w:p>
    <w:p w:rsidR="00F164EF" w:rsidRPr="009E5034" w:rsidRDefault="00F164EF" w:rsidP="009E5034">
      <w:pPr>
        <w:ind w:left="0"/>
        <w:jc w:val="left"/>
        <w:rPr>
          <w:bCs/>
          <w:sz w:val="22"/>
          <w:szCs w:val="22"/>
        </w:rPr>
      </w:pPr>
      <w:r w:rsidRPr="009E5034">
        <w:rPr>
          <w:bCs/>
          <w:sz w:val="22"/>
          <w:szCs w:val="22"/>
        </w:rPr>
        <w:t xml:space="preserve">Association de volontariat et de coopération internationale, 2006. </w:t>
      </w:r>
      <w:r w:rsidRPr="009E5034">
        <w:rPr>
          <w:bCs/>
          <w:i/>
          <w:iCs/>
          <w:sz w:val="22"/>
          <w:szCs w:val="22"/>
        </w:rPr>
        <w:t>Etude sur les possibilités de réalisation d’une unité de valorisation des déchets plastiques à Sikasso</w:t>
      </w:r>
      <w:r w:rsidRPr="009E5034">
        <w:rPr>
          <w:bCs/>
          <w:sz w:val="22"/>
          <w:szCs w:val="22"/>
        </w:rPr>
        <w:t>.</w:t>
      </w:r>
    </w:p>
    <w:p w:rsidR="00F164EF" w:rsidRPr="009E5034" w:rsidRDefault="00F164EF" w:rsidP="009E5034">
      <w:pPr>
        <w:ind w:left="0"/>
        <w:jc w:val="left"/>
        <w:rPr>
          <w:sz w:val="22"/>
          <w:szCs w:val="22"/>
        </w:rPr>
      </w:pPr>
      <w:r w:rsidRPr="009E5034">
        <w:rPr>
          <w:sz w:val="22"/>
          <w:szCs w:val="22"/>
        </w:rPr>
        <w:t xml:space="preserve">ATKINS, 2006 : </w:t>
      </w:r>
      <w:r w:rsidRPr="009E5034">
        <w:rPr>
          <w:i/>
          <w:sz w:val="22"/>
          <w:szCs w:val="22"/>
        </w:rPr>
        <w:t>Profil environnemental du Mali</w:t>
      </w:r>
      <w:r w:rsidRPr="009E5034">
        <w:rPr>
          <w:sz w:val="22"/>
          <w:szCs w:val="22"/>
        </w:rPr>
        <w:t>. Rapport final, Mai 2006 par. 58 pages.</w:t>
      </w:r>
    </w:p>
    <w:p w:rsidR="00F164EF" w:rsidRPr="009E5034" w:rsidRDefault="00F164EF" w:rsidP="009E5034">
      <w:pPr>
        <w:ind w:left="0"/>
        <w:jc w:val="left"/>
        <w:rPr>
          <w:sz w:val="22"/>
          <w:szCs w:val="22"/>
        </w:rPr>
      </w:pPr>
      <w:r w:rsidRPr="009E5034">
        <w:rPr>
          <w:sz w:val="22"/>
          <w:szCs w:val="22"/>
        </w:rPr>
        <w:t xml:space="preserve">BURGEAP, 2009. </w:t>
      </w:r>
      <w:r w:rsidRPr="009E5034">
        <w:rPr>
          <w:i/>
          <w:sz w:val="22"/>
          <w:szCs w:val="22"/>
        </w:rPr>
        <w:t>Etude sur la qualité de l’air à Bamako</w:t>
      </w:r>
      <w:r w:rsidRPr="009E5034">
        <w:rPr>
          <w:sz w:val="22"/>
          <w:szCs w:val="22"/>
        </w:rPr>
        <w:t>. Décembre 2009.</w:t>
      </w:r>
    </w:p>
    <w:p w:rsidR="00F164EF" w:rsidRPr="009E5034" w:rsidRDefault="00F164EF" w:rsidP="009E5034">
      <w:pPr>
        <w:ind w:left="0"/>
        <w:jc w:val="left"/>
        <w:rPr>
          <w:bCs/>
          <w:sz w:val="22"/>
          <w:szCs w:val="22"/>
        </w:rPr>
      </w:pPr>
      <w:r w:rsidRPr="009E5034">
        <w:rPr>
          <w:bCs/>
          <w:sz w:val="22"/>
          <w:szCs w:val="22"/>
        </w:rPr>
        <w:t xml:space="preserve">Cabinet du Gouverneur Gao, 2006. </w:t>
      </w:r>
      <w:r w:rsidRPr="009E5034">
        <w:rPr>
          <w:bCs/>
          <w:i/>
          <w:iCs/>
          <w:sz w:val="22"/>
          <w:szCs w:val="22"/>
        </w:rPr>
        <w:t>Monographie de la région de Gao.</w:t>
      </w:r>
    </w:p>
    <w:p w:rsidR="00F164EF" w:rsidRPr="009E5034" w:rsidRDefault="00F164EF" w:rsidP="009E5034">
      <w:pPr>
        <w:ind w:left="0"/>
        <w:jc w:val="left"/>
        <w:rPr>
          <w:bCs/>
          <w:sz w:val="22"/>
          <w:szCs w:val="22"/>
        </w:rPr>
      </w:pPr>
      <w:r w:rsidRPr="009E5034">
        <w:rPr>
          <w:bCs/>
          <w:sz w:val="22"/>
          <w:szCs w:val="22"/>
        </w:rPr>
        <w:t xml:space="preserve">Commissariat Technique permanant/Ministère de l’Environnement et de l’Assainissement/ DRU, 2007. </w:t>
      </w:r>
      <w:r w:rsidRPr="009E5034">
        <w:rPr>
          <w:bCs/>
          <w:i/>
          <w:iCs/>
          <w:sz w:val="22"/>
          <w:szCs w:val="22"/>
        </w:rPr>
        <w:t>Schéma directeur d’urbanisme de la ville de Gao et environs</w:t>
      </w:r>
      <w:r w:rsidRPr="009E5034">
        <w:rPr>
          <w:bCs/>
          <w:sz w:val="22"/>
          <w:szCs w:val="22"/>
        </w:rPr>
        <w:t>.</w:t>
      </w:r>
    </w:p>
    <w:p w:rsidR="00F164EF" w:rsidRPr="009E5034" w:rsidRDefault="00F164EF" w:rsidP="009E5034">
      <w:pPr>
        <w:ind w:left="0"/>
        <w:jc w:val="left"/>
        <w:rPr>
          <w:bCs/>
          <w:i/>
          <w:iCs/>
          <w:sz w:val="22"/>
          <w:szCs w:val="22"/>
        </w:rPr>
      </w:pPr>
      <w:r w:rsidRPr="009E5034">
        <w:rPr>
          <w:bCs/>
          <w:sz w:val="22"/>
          <w:szCs w:val="22"/>
        </w:rPr>
        <w:t xml:space="preserve">Coopération Allemande au Développement, GTZ, 2003. </w:t>
      </w:r>
      <w:r w:rsidRPr="009E5034">
        <w:rPr>
          <w:bCs/>
          <w:i/>
          <w:iCs/>
          <w:sz w:val="22"/>
          <w:szCs w:val="22"/>
        </w:rPr>
        <w:t>Gestion de la qualité de l’air à Bamako.</w:t>
      </w:r>
    </w:p>
    <w:p w:rsidR="00F164EF" w:rsidRPr="009E5034" w:rsidRDefault="00F164EF" w:rsidP="009E5034">
      <w:pPr>
        <w:ind w:left="0"/>
        <w:jc w:val="left"/>
        <w:rPr>
          <w:bCs/>
          <w:sz w:val="22"/>
          <w:szCs w:val="22"/>
        </w:rPr>
      </w:pPr>
      <w:r w:rsidRPr="009E5034">
        <w:rPr>
          <w:bCs/>
          <w:sz w:val="22"/>
          <w:szCs w:val="22"/>
        </w:rPr>
        <w:t xml:space="preserve">COTAS, 2008. </w:t>
      </w:r>
      <w:r w:rsidRPr="009E5034">
        <w:rPr>
          <w:bCs/>
          <w:i/>
          <w:iCs/>
          <w:sz w:val="22"/>
          <w:szCs w:val="22"/>
        </w:rPr>
        <w:t>Note sur l’activité des GIE dans la ville de Gao</w:t>
      </w:r>
      <w:r w:rsidRPr="009E5034">
        <w:rPr>
          <w:bCs/>
          <w:sz w:val="22"/>
          <w:szCs w:val="22"/>
        </w:rPr>
        <w:t>.</w:t>
      </w:r>
    </w:p>
    <w:p w:rsidR="00F164EF" w:rsidRPr="009E5034" w:rsidRDefault="00F164EF" w:rsidP="009E5034">
      <w:pPr>
        <w:ind w:left="0"/>
        <w:jc w:val="left"/>
        <w:rPr>
          <w:sz w:val="22"/>
          <w:szCs w:val="22"/>
        </w:rPr>
      </w:pPr>
      <w:r w:rsidRPr="009E5034">
        <w:rPr>
          <w:sz w:val="22"/>
          <w:szCs w:val="22"/>
        </w:rPr>
        <w:t xml:space="preserve">Diarra, M-S, 2006: </w:t>
      </w:r>
      <w:r w:rsidRPr="009E5034">
        <w:rPr>
          <w:i/>
          <w:sz w:val="22"/>
          <w:szCs w:val="22"/>
        </w:rPr>
        <w:t>Dispositif de traitement des eaux usées de teintureries</w:t>
      </w:r>
      <w:r w:rsidRPr="009E5034">
        <w:rPr>
          <w:sz w:val="22"/>
          <w:szCs w:val="22"/>
        </w:rPr>
        <w:t>. Info CREPA n°52, pp 5-7.</w:t>
      </w:r>
    </w:p>
    <w:p w:rsidR="00F164EF" w:rsidRPr="009E5034" w:rsidRDefault="00F164EF" w:rsidP="009E5034">
      <w:pPr>
        <w:tabs>
          <w:tab w:val="num" w:pos="1080"/>
        </w:tabs>
        <w:ind w:left="0"/>
        <w:jc w:val="left"/>
        <w:rPr>
          <w:bCs/>
          <w:sz w:val="22"/>
          <w:szCs w:val="22"/>
        </w:rPr>
      </w:pPr>
      <w:r w:rsidRPr="009E5034">
        <w:rPr>
          <w:bCs/>
          <w:sz w:val="22"/>
          <w:szCs w:val="22"/>
        </w:rPr>
        <w:t xml:space="preserve">Direction Nationale de l’Hydraulique et Direction Nationale de l’Assainissement et du Contrôle des Pollutions et de Nuisances, 2008. </w:t>
      </w:r>
      <w:r w:rsidRPr="009E5034">
        <w:rPr>
          <w:bCs/>
          <w:i/>
          <w:sz w:val="22"/>
          <w:szCs w:val="22"/>
        </w:rPr>
        <w:t>Documents de revue du programme sectoriel eau et assainissement (PROSEA)</w:t>
      </w:r>
      <w:r w:rsidRPr="009E5034">
        <w:rPr>
          <w:bCs/>
          <w:sz w:val="22"/>
          <w:szCs w:val="22"/>
        </w:rPr>
        <w:t>. 41 pages.</w:t>
      </w:r>
    </w:p>
    <w:p w:rsidR="00F164EF" w:rsidRPr="009E5034" w:rsidRDefault="00F164EF" w:rsidP="009E5034">
      <w:pPr>
        <w:tabs>
          <w:tab w:val="num" w:pos="1080"/>
        </w:tabs>
        <w:ind w:left="0"/>
        <w:jc w:val="left"/>
        <w:rPr>
          <w:bCs/>
          <w:sz w:val="22"/>
          <w:szCs w:val="22"/>
        </w:rPr>
      </w:pPr>
      <w:r w:rsidRPr="009E5034">
        <w:rPr>
          <w:bCs/>
          <w:sz w:val="22"/>
          <w:szCs w:val="22"/>
        </w:rPr>
        <w:t xml:space="preserve">Direction Nationale de l’Hydraulique et Direction Nationale de l’Assainissement et du Contrôle des Pollutions et de Nuisances, 2009. </w:t>
      </w:r>
      <w:r w:rsidRPr="009E5034">
        <w:rPr>
          <w:bCs/>
          <w:i/>
          <w:sz w:val="22"/>
          <w:szCs w:val="22"/>
        </w:rPr>
        <w:t>Documents de revue du programme sectoriel eau et assainissement (PROSEA)</w:t>
      </w:r>
      <w:r w:rsidRPr="009E5034">
        <w:rPr>
          <w:bCs/>
          <w:sz w:val="22"/>
          <w:szCs w:val="22"/>
        </w:rPr>
        <w:t>. 47 pages.</w:t>
      </w:r>
    </w:p>
    <w:p w:rsidR="00F164EF" w:rsidRPr="009E5034" w:rsidRDefault="00F164EF" w:rsidP="009E5034">
      <w:pPr>
        <w:tabs>
          <w:tab w:val="num" w:pos="1080"/>
        </w:tabs>
        <w:ind w:left="0"/>
        <w:jc w:val="left"/>
        <w:rPr>
          <w:bCs/>
          <w:sz w:val="22"/>
          <w:szCs w:val="22"/>
        </w:rPr>
      </w:pPr>
      <w:r w:rsidRPr="009E5034">
        <w:rPr>
          <w:bCs/>
          <w:sz w:val="22"/>
          <w:szCs w:val="22"/>
        </w:rPr>
        <w:t>Direction Nationale de l’Hydraulique et Direction Nationale de l’Assainissement et du Contrôle des Pollutions et de Nuisances, 2010. Documents de revue du programme sectoriel eau et assainissement (PROSEA). 51 pages.</w:t>
      </w:r>
    </w:p>
    <w:p w:rsidR="00F164EF" w:rsidRPr="009E5034" w:rsidRDefault="00F164EF" w:rsidP="009E5034">
      <w:pPr>
        <w:tabs>
          <w:tab w:val="num" w:pos="1080"/>
        </w:tabs>
        <w:ind w:left="0"/>
        <w:jc w:val="left"/>
        <w:rPr>
          <w:bCs/>
          <w:sz w:val="22"/>
          <w:szCs w:val="22"/>
        </w:rPr>
      </w:pPr>
      <w:r w:rsidRPr="009E5034">
        <w:rPr>
          <w:bCs/>
          <w:sz w:val="22"/>
          <w:szCs w:val="22"/>
        </w:rPr>
        <w:t>Direction Nationale des collectivités territoriales, 2003. Lois et décrets de la décentralisation, 5ème édition. 128 pages.</w:t>
      </w:r>
    </w:p>
    <w:p w:rsidR="00F164EF" w:rsidRPr="009E5034" w:rsidRDefault="00F164EF" w:rsidP="009E5034">
      <w:pPr>
        <w:ind w:left="0"/>
        <w:jc w:val="left"/>
        <w:rPr>
          <w:sz w:val="22"/>
          <w:szCs w:val="22"/>
        </w:rPr>
      </w:pPr>
      <w:r w:rsidRPr="009E5034">
        <w:rPr>
          <w:bCs/>
          <w:sz w:val="22"/>
          <w:szCs w:val="22"/>
        </w:rPr>
        <w:t xml:space="preserve">Direction régionale de l’Agriculture Mopti (DRA), 2008a. </w:t>
      </w:r>
      <w:r w:rsidRPr="009E5034">
        <w:rPr>
          <w:bCs/>
          <w:i/>
          <w:iCs/>
          <w:sz w:val="22"/>
          <w:szCs w:val="22"/>
        </w:rPr>
        <w:t>Rapport de suivi décadaire des cultures</w:t>
      </w:r>
      <w:r w:rsidRPr="009E5034">
        <w:rPr>
          <w:bCs/>
          <w:sz w:val="22"/>
          <w:szCs w:val="22"/>
        </w:rPr>
        <w:t>.</w:t>
      </w:r>
    </w:p>
    <w:p w:rsidR="00F164EF" w:rsidRPr="009E5034" w:rsidRDefault="00F164EF" w:rsidP="009E5034">
      <w:pPr>
        <w:ind w:left="0"/>
        <w:jc w:val="left"/>
        <w:rPr>
          <w:sz w:val="22"/>
          <w:szCs w:val="22"/>
        </w:rPr>
      </w:pPr>
      <w:r w:rsidRPr="009E5034">
        <w:rPr>
          <w:bCs/>
          <w:sz w:val="22"/>
          <w:szCs w:val="22"/>
        </w:rPr>
        <w:t xml:space="preserve">Direction régionale de l’Agriculture Mopti, 2008b. </w:t>
      </w:r>
      <w:r w:rsidRPr="009E5034">
        <w:rPr>
          <w:bCs/>
          <w:i/>
          <w:iCs/>
          <w:sz w:val="22"/>
          <w:szCs w:val="22"/>
        </w:rPr>
        <w:t>Rapport sur le Bilan provisoire de la campagne agricole 2007/2008</w:t>
      </w:r>
      <w:r w:rsidRPr="009E5034">
        <w:rPr>
          <w:bCs/>
          <w:sz w:val="22"/>
          <w:szCs w:val="22"/>
        </w:rPr>
        <w:t>.</w:t>
      </w:r>
    </w:p>
    <w:p w:rsidR="00F164EF" w:rsidRPr="009E5034" w:rsidRDefault="00F164EF" w:rsidP="009E5034">
      <w:pPr>
        <w:ind w:left="0"/>
        <w:jc w:val="left"/>
        <w:rPr>
          <w:bCs/>
          <w:sz w:val="22"/>
          <w:szCs w:val="22"/>
        </w:rPr>
      </w:pPr>
      <w:r w:rsidRPr="009E5034">
        <w:rPr>
          <w:bCs/>
          <w:sz w:val="22"/>
          <w:szCs w:val="22"/>
        </w:rPr>
        <w:t xml:space="preserve">Direction Régionale de l’Hydraulique Gao, </w:t>
      </w:r>
      <w:r w:rsidRPr="009E5034">
        <w:rPr>
          <w:bCs/>
          <w:i/>
          <w:iCs/>
          <w:sz w:val="22"/>
          <w:szCs w:val="22"/>
        </w:rPr>
        <w:t>Descriptif sur les ressources en eau de GAO</w:t>
      </w:r>
      <w:r w:rsidRPr="009E5034">
        <w:rPr>
          <w:bCs/>
          <w:sz w:val="22"/>
          <w:szCs w:val="22"/>
        </w:rPr>
        <w:t>, 2007</w:t>
      </w:r>
    </w:p>
    <w:p w:rsidR="00F164EF" w:rsidRPr="009E5034" w:rsidRDefault="00F164EF" w:rsidP="009E5034">
      <w:pPr>
        <w:ind w:left="0"/>
        <w:jc w:val="left"/>
        <w:rPr>
          <w:sz w:val="22"/>
          <w:szCs w:val="22"/>
        </w:rPr>
      </w:pPr>
      <w:r w:rsidRPr="009E5034">
        <w:rPr>
          <w:bCs/>
          <w:sz w:val="22"/>
          <w:szCs w:val="22"/>
        </w:rPr>
        <w:t xml:space="preserve">Direction Régionale de la Planification, de la Statistique, de l’Informatique, de l’Aménagement du territoire et de la Population (DRPSIAP), </w:t>
      </w:r>
      <w:r w:rsidRPr="009E5034">
        <w:rPr>
          <w:bCs/>
          <w:i/>
          <w:iCs/>
          <w:sz w:val="22"/>
          <w:szCs w:val="22"/>
        </w:rPr>
        <w:t>2006.</w:t>
      </w:r>
      <w:r w:rsidRPr="009E5034">
        <w:rPr>
          <w:bCs/>
          <w:sz w:val="22"/>
          <w:szCs w:val="22"/>
        </w:rPr>
        <w:t xml:space="preserve"> </w:t>
      </w:r>
      <w:r w:rsidRPr="009E5034">
        <w:rPr>
          <w:bCs/>
          <w:i/>
          <w:iCs/>
          <w:sz w:val="22"/>
          <w:szCs w:val="22"/>
        </w:rPr>
        <w:t>Annuaire statistique</w:t>
      </w:r>
      <w:r w:rsidRPr="009E5034">
        <w:rPr>
          <w:bCs/>
          <w:sz w:val="22"/>
          <w:szCs w:val="22"/>
        </w:rPr>
        <w:t>.</w:t>
      </w:r>
    </w:p>
    <w:p w:rsidR="00F164EF" w:rsidRPr="009E5034" w:rsidRDefault="00F164EF" w:rsidP="009E5034">
      <w:pPr>
        <w:ind w:left="0"/>
        <w:jc w:val="left"/>
        <w:rPr>
          <w:bCs/>
          <w:sz w:val="22"/>
          <w:szCs w:val="22"/>
        </w:rPr>
      </w:pPr>
      <w:r w:rsidRPr="009E5034">
        <w:rPr>
          <w:bCs/>
          <w:sz w:val="22"/>
          <w:szCs w:val="22"/>
        </w:rPr>
        <w:t xml:space="preserve">Direction Régionale de la Planification, de la Statistique, de l’Informatique, de l’Aménagement du territoire et de la Population (DRPSIAP), – Gao, 2007. </w:t>
      </w:r>
      <w:r w:rsidRPr="009E5034">
        <w:rPr>
          <w:bCs/>
          <w:i/>
          <w:iCs/>
          <w:sz w:val="22"/>
          <w:szCs w:val="22"/>
        </w:rPr>
        <w:t>Annuaire statistique année 2007 région de Gao</w:t>
      </w:r>
      <w:r w:rsidRPr="009E5034">
        <w:rPr>
          <w:bCs/>
          <w:sz w:val="22"/>
          <w:szCs w:val="22"/>
        </w:rPr>
        <w:t>.</w:t>
      </w:r>
    </w:p>
    <w:p w:rsidR="00F164EF" w:rsidRPr="009E5034" w:rsidRDefault="00F164EF" w:rsidP="009E5034">
      <w:pPr>
        <w:ind w:left="0"/>
        <w:jc w:val="left"/>
        <w:rPr>
          <w:bCs/>
          <w:sz w:val="22"/>
          <w:szCs w:val="22"/>
        </w:rPr>
      </w:pPr>
      <w:r w:rsidRPr="009E5034">
        <w:rPr>
          <w:bCs/>
          <w:sz w:val="22"/>
          <w:szCs w:val="22"/>
        </w:rPr>
        <w:t xml:space="preserve">Direction Régionale de la Planification, de la Statistique, de l’Informatique, de l’Aménagement du territoire et de la Population (DRPSIAP), 2006. </w:t>
      </w:r>
      <w:r w:rsidRPr="009E5034">
        <w:rPr>
          <w:bCs/>
          <w:i/>
          <w:iCs/>
          <w:sz w:val="22"/>
          <w:szCs w:val="22"/>
        </w:rPr>
        <w:t>Base de données : assainissement région de Gao</w:t>
      </w:r>
      <w:r w:rsidRPr="009E5034">
        <w:rPr>
          <w:bCs/>
          <w:sz w:val="22"/>
          <w:szCs w:val="22"/>
        </w:rPr>
        <w:t xml:space="preserve">, </w:t>
      </w:r>
    </w:p>
    <w:p w:rsidR="00F164EF" w:rsidRPr="009E5034" w:rsidRDefault="00F164EF" w:rsidP="009E5034">
      <w:pPr>
        <w:ind w:left="0"/>
        <w:jc w:val="left"/>
        <w:rPr>
          <w:sz w:val="22"/>
          <w:szCs w:val="22"/>
        </w:rPr>
      </w:pPr>
      <w:r w:rsidRPr="009E5034">
        <w:rPr>
          <w:bCs/>
          <w:sz w:val="22"/>
          <w:szCs w:val="22"/>
        </w:rPr>
        <w:t xml:space="preserve">Direction régionale de la santé Mopti (DRS), 2008. </w:t>
      </w:r>
      <w:r w:rsidRPr="009E5034">
        <w:rPr>
          <w:bCs/>
          <w:i/>
          <w:iCs/>
          <w:sz w:val="22"/>
          <w:szCs w:val="22"/>
        </w:rPr>
        <w:t>Inventaire des maladies enregistrées par tranche d’âges et leur tau de mortalité relative</w:t>
      </w:r>
      <w:r w:rsidRPr="009E5034">
        <w:rPr>
          <w:bCs/>
          <w:sz w:val="22"/>
          <w:szCs w:val="22"/>
        </w:rPr>
        <w:t>.</w:t>
      </w:r>
    </w:p>
    <w:p w:rsidR="00F164EF" w:rsidRPr="009E5034" w:rsidRDefault="00F164EF" w:rsidP="009E5034">
      <w:pPr>
        <w:ind w:left="0"/>
        <w:jc w:val="left"/>
        <w:rPr>
          <w:sz w:val="22"/>
          <w:szCs w:val="22"/>
        </w:rPr>
      </w:pPr>
      <w:r w:rsidRPr="009E5034">
        <w:rPr>
          <w:bCs/>
          <w:sz w:val="22"/>
          <w:szCs w:val="22"/>
        </w:rPr>
        <w:t xml:space="preserve">Direction régionale du transport (DRT), 2007. Mopti, </w:t>
      </w:r>
      <w:r w:rsidRPr="009E5034">
        <w:rPr>
          <w:bCs/>
          <w:i/>
          <w:iCs/>
          <w:sz w:val="22"/>
          <w:szCs w:val="22"/>
        </w:rPr>
        <w:t>Base de données du parc automobile de Mopti.</w:t>
      </w:r>
    </w:p>
    <w:p w:rsidR="00F164EF" w:rsidRPr="009E5034" w:rsidRDefault="00F164EF" w:rsidP="009E5034">
      <w:pPr>
        <w:ind w:left="0"/>
        <w:jc w:val="left"/>
        <w:rPr>
          <w:sz w:val="22"/>
          <w:szCs w:val="22"/>
        </w:rPr>
      </w:pPr>
      <w:r w:rsidRPr="009E5034">
        <w:rPr>
          <w:sz w:val="22"/>
          <w:szCs w:val="22"/>
        </w:rPr>
        <w:t>District de Bamako</w:t>
      </w:r>
      <w:r w:rsidRPr="009E5034">
        <w:rPr>
          <w:i/>
          <w:iCs/>
          <w:sz w:val="22"/>
          <w:szCs w:val="22"/>
        </w:rPr>
        <w:t xml:space="preserve">, </w:t>
      </w:r>
      <w:r w:rsidRPr="009E5034">
        <w:rPr>
          <w:bCs/>
          <w:i/>
          <w:iCs/>
          <w:sz w:val="22"/>
          <w:szCs w:val="22"/>
        </w:rPr>
        <w:t>Schéma directeur et programme de drainage des eaux pluviales et d’assainissement des eaux usées du District de Bamako,</w:t>
      </w:r>
      <w:r w:rsidRPr="009E5034">
        <w:rPr>
          <w:bCs/>
          <w:sz w:val="22"/>
          <w:szCs w:val="22"/>
        </w:rPr>
        <w:t xml:space="preserve"> 2007</w:t>
      </w:r>
    </w:p>
    <w:p w:rsidR="00F164EF" w:rsidRPr="009E5034" w:rsidRDefault="00F164EF" w:rsidP="009E5034">
      <w:pPr>
        <w:ind w:left="0"/>
        <w:jc w:val="left"/>
        <w:rPr>
          <w:sz w:val="22"/>
          <w:szCs w:val="22"/>
        </w:rPr>
      </w:pPr>
      <w:r w:rsidRPr="009E5034">
        <w:rPr>
          <w:sz w:val="22"/>
          <w:szCs w:val="22"/>
        </w:rPr>
        <w:t>DNACPN, 2010. Rapport annuel 2009, version provisoire d’avril 2010. 86 pages.</w:t>
      </w:r>
    </w:p>
    <w:p w:rsidR="00F164EF" w:rsidRPr="009E5034" w:rsidRDefault="00F164EF" w:rsidP="009E5034">
      <w:pPr>
        <w:ind w:left="0"/>
        <w:jc w:val="left"/>
        <w:rPr>
          <w:bCs/>
          <w:sz w:val="22"/>
          <w:szCs w:val="22"/>
        </w:rPr>
      </w:pPr>
      <w:r w:rsidRPr="009E5034">
        <w:rPr>
          <w:bCs/>
          <w:sz w:val="22"/>
          <w:szCs w:val="22"/>
        </w:rPr>
        <w:t xml:space="preserve">DRT Gao, 2007. </w:t>
      </w:r>
      <w:r w:rsidRPr="009E5034">
        <w:rPr>
          <w:bCs/>
          <w:i/>
          <w:iCs/>
          <w:sz w:val="22"/>
          <w:szCs w:val="22"/>
        </w:rPr>
        <w:t>Rapport annuel 2007 (</w:t>
      </w:r>
      <w:r w:rsidRPr="009E5034">
        <w:rPr>
          <w:bCs/>
          <w:sz w:val="22"/>
          <w:szCs w:val="22"/>
        </w:rPr>
        <w:t>secteur du transport).</w:t>
      </w:r>
    </w:p>
    <w:p w:rsidR="00F164EF" w:rsidRPr="009E5034" w:rsidRDefault="00F164EF" w:rsidP="009E5034">
      <w:pPr>
        <w:ind w:left="0"/>
        <w:jc w:val="left"/>
        <w:rPr>
          <w:sz w:val="22"/>
          <w:szCs w:val="22"/>
        </w:rPr>
      </w:pPr>
      <w:r w:rsidRPr="009E5034">
        <w:rPr>
          <w:sz w:val="22"/>
          <w:szCs w:val="22"/>
        </w:rPr>
        <w:t xml:space="preserve">EDM Mopti, </w:t>
      </w:r>
      <w:r w:rsidRPr="009E5034">
        <w:rPr>
          <w:bCs/>
          <w:i/>
          <w:iCs/>
          <w:sz w:val="22"/>
          <w:szCs w:val="22"/>
        </w:rPr>
        <w:t xml:space="preserve">2007. Rapport mensuel d’exploitation de la station de pompage et de traitement d’eau de Mopti </w:t>
      </w:r>
    </w:p>
    <w:p w:rsidR="00F164EF" w:rsidRPr="009E5034" w:rsidRDefault="00F164EF" w:rsidP="009E5034">
      <w:pPr>
        <w:ind w:left="0"/>
        <w:jc w:val="left"/>
        <w:rPr>
          <w:bCs/>
          <w:i/>
          <w:iCs/>
          <w:sz w:val="22"/>
          <w:szCs w:val="22"/>
        </w:rPr>
      </w:pPr>
      <w:r w:rsidRPr="009E5034">
        <w:rPr>
          <w:bCs/>
          <w:sz w:val="22"/>
          <w:szCs w:val="22"/>
        </w:rPr>
        <w:t xml:space="preserve">EDM, </w:t>
      </w:r>
      <w:r w:rsidRPr="009E5034">
        <w:rPr>
          <w:bCs/>
          <w:i/>
          <w:iCs/>
          <w:sz w:val="22"/>
          <w:szCs w:val="22"/>
        </w:rPr>
        <w:t>2008. Bilan de distribution de l’eau arrêté en octobre.</w:t>
      </w:r>
    </w:p>
    <w:p w:rsidR="00F164EF" w:rsidRPr="009E5034" w:rsidRDefault="00F164EF" w:rsidP="009E5034">
      <w:pPr>
        <w:ind w:left="0"/>
        <w:jc w:val="left"/>
        <w:rPr>
          <w:bCs/>
          <w:sz w:val="22"/>
          <w:szCs w:val="22"/>
        </w:rPr>
      </w:pPr>
      <w:r w:rsidRPr="009E5034">
        <w:rPr>
          <w:bCs/>
          <w:sz w:val="22"/>
          <w:szCs w:val="22"/>
        </w:rPr>
        <w:t xml:space="preserve">FAO, 2003. </w:t>
      </w:r>
      <w:r w:rsidRPr="009E5034">
        <w:rPr>
          <w:bCs/>
          <w:i/>
          <w:iCs/>
          <w:sz w:val="22"/>
          <w:szCs w:val="22"/>
        </w:rPr>
        <w:t>Etude prospective du secteur forestier en Afrique : Rapport sous-régional Afrique de l’Ouest</w:t>
      </w:r>
      <w:r w:rsidRPr="009E5034">
        <w:rPr>
          <w:bCs/>
          <w:sz w:val="22"/>
          <w:szCs w:val="22"/>
        </w:rPr>
        <w:t>.</w:t>
      </w:r>
    </w:p>
    <w:p w:rsidR="00F164EF" w:rsidRPr="009E5034" w:rsidRDefault="00F164EF" w:rsidP="009E5034">
      <w:pPr>
        <w:ind w:left="0"/>
        <w:jc w:val="left"/>
        <w:rPr>
          <w:sz w:val="22"/>
          <w:szCs w:val="22"/>
        </w:rPr>
      </w:pPr>
      <w:r w:rsidRPr="009E5034">
        <w:rPr>
          <w:sz w:val="22"/>
          <w:szCs w:val="22"/>
        </w:rPr>
        <w:t xml:space="preserve">FNAM, 1997 : </w:t>
      </w:r>
      <w:r w:rsidRPr="009E5034">
        <w:rPr>
          <w:i/>
          <w:sz w:val="22"/>
          <w:szCs w:val="22"/>
        </w:rPr>
        <w:t>Présentation de la Fédération Nationale des Artisans du Mali</w:t>
      </w:r>
      <w:r w:rsidRPr="009E5034">
        <w:rPr>
          <w:sz w:val="22"/>
          <w:szCs w:val="22"/>
        </w:rPr>
        <w:t>. Mai 1997. 80 pages.</w:t>
      </w:r>
    </w:p>
    <w:p w:rsidR="00F164EF" w:rsidRPr="009E5034" w:rsidRDefault="00F164EF" w:rsidP="009E5034">
      <w:pPr>
        <w:ind w:left="0"/>
        <w:jc w:val="left"/>
        <w:rPr>
          <w:bCs/>
          <w:i/>
          <w:iCs/>
          <w:sz w:val="22"/>
          <w:szCs w:val="22"/>
        </w:rPr>
      </w:pPr>
      <w:r w:rsidRPr="009E5034">
        <w:rPr>
          <w:bCs/>
          <w:sz w:val="22"/>
          <w:szCs w:val="22"/>
        </w:rPr>
        <w:t xml:space="preserve">GIE Magnamboug SANIYA, </w:t>
      </w:r>
      <w:r w:rsidRPr="009E5034">
        <w:rPr>
          <w:bCs/>
          <w:i/>
          <w:iCs/>
          <w:sz w:val="22"/>
          <w:szCs w:val="22"/>
        </w:rPr>
        <w:t>2009. Rapport d’activité.</w:t>
      </w:r>
    </w:p>
    <w:p w:rsidR="00F164EF" w:rsidRPr="009E5034" w:rsidRDefault="00F164EF" w:rsidP="009E5034">
      <w:pPr>
        <w:ind w:left="0"/>
        <w:jc w:val="left"/>
        <w:rPr>
          <w:bCs/>
          <w:sz w:val="22"/>
          <w:szCs w:val="22"/>
        </w:rPr>
      </w:pPr>
      <w:r w:rsidRPr="009E5034">
        <w:rPr>
          <w:bCs/>
          <w:sz w:val="22"/>
          <w:szCs w:val="22"/>
        </w:rPr>
        <w:t xml:space="preserve">Gouverneur – Gao – UNFPA, 2005. </w:t>
      </w:r>
      <w:r w:rsidRPr="009E5034">
        <w:rPr>
          <w:bCs/>
          <w:i/>
          <w:iCs/>
          <w:sz w:val="22"/>
          <w:szCs w:val="22"/>
        </w:rPr>
        <w:t>Programme Régional Prioritaire d’Investissements en matière de Population (PRPIP) 2004-2008</w:t>
      </w:r>
      <w:r w:rsidRPr="009E5034">
        <w:rPr>
          <w:bCs/>
          <w:sz w:val="22"/>
          <w:szCs w:val="22"/>
        </w:rPr>
        <w:t>.</w:t>
      </w:r>
    </w:p>
    <w:p w:rsidR="00F164EF" w:rsidRPr="009E5034" w:rsidRDefault="00F164EF" w:rsidP="009E5034">
      <w:pPr>
        <w:ind w:left="0"/>
        <w:jc w:val="left"/>
        <w:rPr>
          <w:bCs/>
          <w:sz w:val="22"/>
          <w:szCs w:val="22"/>
        </w:rPr>
      </w:pPr>
      <w:r w:rsidRPr="009E5034">
        <w:rPr>
          <w:sz w:val="22"/>
          <w:szCs w:val="22"/>
          <w:lang w:val="en-US"/>
        </w:rPr>
        <w:t xml:space="preserve">Hardoy, J-E, Mitlin, D., Satterthwaite, D 2001: </w:t>
      </w:r>
      <w:r w:rsidRPr="009E5034">
        <w:rPr>
          <w:i/>
          <w:sz w:val="22"/>
          <w:szCs w:val="22"/>
          <w:lang w:val="en-US"/>
        </w:rPr>
        <w:t>Environmental Degradation in an Urbanizing</w:t>
      </w:r>
      <w:r w:rsidRPr="009E5034">
        <w:rPr>
          <w:sz w:val="22"/>
          <w:szCs w:val="22"/>
          <w:lang w:val="en-US"/>
        </w:rPr>
        <w:t xml:space="preserve"> World. </w:t>
      </w:r>
      <w:r w:rsidRPr="009E5034">
        <w:rPr>
          <w:sz w:val="22"/>
          <w:szCs w:val="22"/>
        </w:rPr>
        <w:t>Earthscan Publications</w:t>
      </w:r>
      <w:r w:rsidRPr="009E5034">
        <w:rPr>
          <w:bCs/>
          <w:sz w:val="22"/>
          <w:szCs w:val="22"/>
        </w:rPr>
        <w:t xml:space="preserve"> </w:t>
      </w:r>
    </w:p>
    <w:p w:rsidR="00F164EF" w:rsidRPr="009E5034" w:rsidRDefault="00F164EF" w:rsidP="009E5034">
      <w:pPr>
        <w:ind w:left="0"/>
        <w:jc w:val="left"/>
        <w:rPr>
          <w:sz w:val="22"/>
          <w:szCs w:val="22"/>
        </w:rPr>
      </w:pPr>
      <w:r w:rsidRPr="009E5034">
        <w:rPr>
          <w:bCs/>
          <w:sz w:val="22"/>
          <w:szCs w:val="22"/>
        </w:rPr>
        <w:t>Institut National de la Statistique</w:t>
      </w:r>
      <w:r w:rsidRPr="009E5034">
        <w:rPr>
          <w:bCs/>
          <w:i/>
          <w:iCs/>
          <w:sz w:val="22"/>
          <w:szCs w:val="22"/>
        </w:rPr>
        <w:t xml:space="preserve"> –Bureau Central du Recensement, 2009. 4ème Recensement Général de la Population de l’Habitat du Mali</w:t>
      </w:r>
      <w:r w:rsidRPr="009E5034">
        <w:rPr>
          <w:sz w:val="22"/>
          <w:szCs w:val="22"/>
        </w:rPr>
        <w:t>.</w:t>
      </w:r>
    </w:p>
    <w:p w:rsidR="00F164EF" w:rsidRPr="009E5034" w:rsidRDefault="00F164EF" w:rsidP="009E5034">
      <w:pPr>
        <w:ind w:left="0"/>
        <w:jc w:val="left"/>
        <w:rPr>
          <w:sz w:val="22"/>
          <w:szCs w:val="22"/>
        </w:rPr>
      </w:pPr>
      <w:r w:rsidRPr="009E5034">
        <w:rPr>
          <w:sz w:val="22"/>
          <w:szCs w:val="22"/>
        </w:rPr>
        <w:t xml:space="preserve">Kessides, 2006 : </w:t>
      </w:r>
      <w:r w:rsidRPr="009E5034">
        <w:rPr>
          <w:i/>
          <w:sz w:val="22"/>
          <w:szCs w:val="22"/>
        </w:rPr>
        <w:t>La Transition Urbaine en Afrique au SubSaharienne : Impacts sur la Croissance Economique et La Réduction de la Pauvreté.</w:t>
      </w:r>
      <w:r w:rsidRPr="009E5034">
        <w:rPr>
          <w:sz w:val="22"/>
          <w:szCs w:val="22"/>
        </w:rPr>
        <w:t xml:space="preserve"> The World Bank, SIDA, Cities Alliance.</w:t>
      </w:r>
    </w:p>
    <w:p w:rsidR="00F164EF" w:rsidRPr="009E5034" w:rsidRDefault="00F164EF" w:rsidP="009E5034">
      <w:pPr>
        <w:ind w:left="0"/>
        <w:jc w:val="left"/>
        <w:rPr>
          <w:sz w:val="22"/>
          <w:szCs w:val="22"/>
        </w:rPr>
      </w:pPr>
      <w:r w:rsidRPr="009E5034">
        <w:rPr>
          <w:sz w:val="22"/>
          <w:szCs w:val="22"/>
        </w:rPr>
        <w:t xml:space="preserve">Laboratoire nationale des eaux, 2010 : </w:t>
      </w:r>
      <w:r w:rsidRPr="009E5034">
        <w:rPr>
          <w:i/>
          <w:sz w:val="22"/>
          <w:szCs w:val="22"/>
        </w:rPr>
        <w:t>Suivi de la qualité des eaux souterraines de la zone aéroportuaire de Bamako de juillet à décembre 2009</w:t>
      </w:r>
      <w:r w:rsidRPr="009E5034">
        <w:rPr>
          <w:sz w:val="22"/>
          <w:szCs w:val="22"/>
        </w:rPr>
        <w:t>. 17 pages</w:t>
      </w:r>
    </w:p>
    <w:p w:rsidR="00F164EF" w:rsidRPr="009E5034" w:rsidRDefault="00F164EF" w:rsidP="009E5034">
      <w:pPr>
        <w:ind w:left="0"/>
        <w:jc w:val="left"/>
        <w:rPr>
          <w:sz w:val="22"/>
          <w:szCs w:val="22"/>
        </w:rPr>
      </w:pPr>
      <w:r w:rsidRPr="009E5034">
        <w:rPr>
          <w:sz w:val="22"/>
          <w:szCs w:val="22"/>
        </w:rPr>
        <w:t xml:space="preserve">Leitmann, J., 1993 : </w:t>
      </w:r>
      <w:r w:rsidRPr="009E5034">
        <w:rPr>
          <w:i/>
          <w:sz w:val="22"/>
          <w:szCs w:val="22"/>
        </w:rPr>
        <w:t>Rapid Urban Environmental Assessment vol. 1 &amp; 2. Programme de Gestion Urbaine</w:t>
      </w:r>
      <w:r w:rsidRPr="009E5034">
        <w:rPr>
          <w:sz w:val="22"/>
          <w:szCs w:val="22"/>
        </w:rPr>
        <w:t xml:space="preserve"> (programme conjoint PNUD, HABITAT, Banque mondiale).</w:t>
      </w:r>
    </w:p>
    <w:p w:rsidR="00F164EF" w:rsidRPr="009E5034" w:rsidRDefault="00F164EF" w:rsidP="009E5034">
      <w:pPr>
        <w:ind w:left="0"/>
        <w:jc w:val="left"/>
        <w:rPr>
          <w:sz w:val="22"/>
          <w:szCs w:val="22"/>
        </w:rPr>
      </w:pPr>
      <w:r w:rsidRPr="009E5034">
        <w:rPr>
          <w:sz w:val="22"/>
          <w:szCs w:val="22"/>
        </w:rPr>
        <w:t xml:space="preserve">Lepinay, G., 2008. </w:t>
      </w:r>
      <w:r w:rsidRPr="009E5034">
        <w:rPr>
          <w:i/>
          <w:sz w:val="22"/>
          <w:szCs w:val="22"/>
        </w:rPr>
        <w:t>Proposition d’un système de prétraitement des effluents de teinture à Bamako</w:t>
      </w:r>
      <w:r w:rsidRPr="009E5034">
        <w:rPr>
          <w:sz w:val="22"/>
          <w:szCs w:val="22"/>
        </w:rPr>
        <w:t>. IBEA – UNESCO. 33 pages.</w:t>
      </w:r>
    </w:p>
    <w:p w:rsidR="00F164EF" w:rsidRPr="009E5034" w:rsidRDefault="00F164EF" w:rsidP="009E5034">
      <w:pPr>
        <w:ind w:left="0"/>
        <w:jc w:val="left"/>
        <w:rPr>
          <w:sz w:val="22"/>
          <w:szCs w:val="22"/>
        </w:rPr>
      </w:pPr>
      <w:r w:rsidRPr="009E5034">
        <w:rPr>
          <w:sz w:val="22"/>
          <w:szCs w:val="22"/>
        </w:rPr>
        <w:t xml:space="preserve">Ly-El-H, 2001 : </w:t>
      </w:r>
      <w:r w:rsidRPr="009E5034">
        <w:rPr>
          <w:i/>
          <w:sz w:val="22"/>
          <w:szCs w:val="22"/>
        </w:rPr>
        <w:t>Réinventer un nouvel urbanisme pour une bonne gouvernance locale à partir des outils de participation et de planification stratégique concertée</w:t>
      </w:r>
      <w:r w:rsidRPr="009E5034">
        <w:rPr>
          <w:sz w:val="22"/>
          <w:szCs w:val="22"/>
        </w:rPr>
        <w:t>. Communication au forum du CNUEH sur la pauvreté urbaine, tenu à Marrakech du 16 au 19 octobre 2001. 20 pages.</w:t>
      </w:r>
    </w:p>
    <w:p w:rsidR="00F164EF" w:rsidRPr="009E5034" w:rsidRDefault="00F164EF" w:rsidP="009E5034">
      <w:pPr>
        <w:tabs>
          <w:tab w:val="num" w:pos="1080"/>
        </w:tabs>
        <w:ind w:left="0"/>
        <w:jc w:val="left"/>
        <w:rPr>
          <w:bCs/>
          <w:sz w:val="22"/>
          <w:szCs w:val="22"/>
        </w:rPr>
      </w:pPr>
      <w:r w:rsidRPr="009E5034">
        <w:rPr>
          <w:bCs/>
          <w:sz w:val="22"/>
          <w:szCs w:val="22"/>
        </w:rPr>
        <w:t xml:space="preserve">Mairie de la commune I du District de Bamako, 2007. </w:t>
      </w:r>
      <w:r w:rsidRPr="009E5034">
        <w:rPr>
          <w:bCs/>
          <w:i/>
          <w:sz w:val="22"/>
          <w:szCs w:val="22"/>
        </w:rPr>
        <w:t>Projet de budget primitif de la mairie de la commune I Exercice 2007</w:t>
      </w:r>
      <w:r w:rsidRPr="009E5034">
        <w:rPr>
          <w:bCs/>
          <w:sz w:val="22"/>
          <w:szCs w:val="22"/>
        </w:rPr>
        <w:t>. 22 pages.</w:t>
      </w:r>
    </w:p>
    <w:p w:rsidR="00F164EF" w:rsidRPr="009E5034" w:rsidRDefault="00F164EF" w:rsidP="009E5034">
      <w:pPr>
        <w:tabs>
          <w:tab w:val="num" w:pos="1080"/>
        </w:tabs>
        <w:ind w:left="0"/>
        <w:jc w:val="left"/>
        <w:rPr>
          <w:bCs/>
          <w:sz w:val="22"/>
          <w:szCs w:val="22"/>
        </w:rPr>
      </w:pPr>
      <w:r w:rsidRPr="009E5034">
        <w:rPr>
          <w:bCs/>
          <w:sz w:val="22"/>
          <w:szCs w:val="22"/>
        </w:rPr>
        <w:t xml:space="preserve">Mairie de la commune I du District de Bamako, 2008. </w:t>
      </w:r>
      <w:r w:rsidRPr="009E5034">
        <w:rPr>
          <w:bCs/>
          <w:i/>
          <w:sz w:val="22"/>
          <w:szCs w:val="22"/>
        </w:rPr>
        <w:t>Projet de budget primitif de la mairie de la commune I Exercice 2008</w:t>
      </w:r>
      <w:r w:rsidRPr="009E5034">
        <w:rPr>
          <w:bCs/>
          <w:sz w:val="22"/>
          <w:szCs w:val="22"/>
        </w:rPr>
        <w:t>. 22 pages.</w:t>
      </w:r>
    </w:p>
    <w:p w:rsidR="00F164EF" w:rsidRPr="009E5034" w:rsidRDefault="00F164EF" w:rsidP="009E5034">
      <w:pPr>
        <w:tabs>
          <w:tab w:val="num" w:pos="1080"/>
        </w:tabs>
        <w:ind w:left="0"/>
        <w:jc w:val="left"/>
        <w:rPr>
          <w:bCs/>
          <w:sz w:val="22"/>
          <w:szCs w:val="22"/>
        </w:rPr>
      </w:pPr>
      <w:r w:rsidRPr="009E5034">
        <w:rPr>
          <w:bCs/>
          <w:sz w:val="22"/>
          <w:szCs w:val="22"/>
        </w:rPr>
        <w:t xml:space="preserve">Mairie de la commune I du District de Bamako, 2009. </w:t>
      </w:r>
      <w:r w:rsidRPr="009E5034">
        <w:rPr>
          <w:bCs/>
          <w:i/>
          <w:sz w:val="22"/>
          <w:szCs w:val="22"/>
        </w:rPr>
        <w:t>Projet de budget primitif de la mairie de la commune I Exercice 2009</w:t>
      </w:r>
      <w:r w:rsidRPr="009E5034">
        <w:rPr>
          <w:bCs/>
          <w:sz w:val="22"/>
          <w:szCs w:val="22"/>
        </w:rPr>
        <w:t>. 22 pages.</w:t>
      </w:r>
    </w:p>
    <w:p w:rsidR="00F164EF" w:rsidRPr="009E5034" w:rsidRDefault="00F164EF" w:rsidP="009E5034">
      <w:pPr>
        <w:ind w:left="0"/>
        <w:jc w:val="left"/>
        <w:rPr>
          <w:bCs/>
          <w:sz w:val="22"/>
          <w:szCs w:val="22"/>
        </w:rPr>
      </w:pPr>
      <w:r w:rsidRPr="009E5034">
        <w:rPr>
          <w:bCs/>
          <w:sz w:val="22"/>
          <w:szCs w:val="22"/>
        </w:rPr>
        <w:t xml:space="preserve">Mairie Gao, 2008. </w:t>
      </w:r>
      <w:r w:rsidRPr="009E5034">
        <w:rPr>
          <w:bCs/>
          <w:i/>
          <w:iCs/>
          <w:sz w:val="22"/>
          <w:szCs w:val="22"/>
        </w:rPr>
        <w:t>Plan Stratégique 2007-2015 de la région de Gao-</w:t>
      </w:r>
      <w:r w:rsidRPr="009E5034">
        <w:rPr>
          <w:bCs/>
          <w:sz w:val="22"/>
          <w:szCs w:val="22"/>
        </w:rPr>
        <w:t xml:space="preserve"> </w:t>
      </w:r>
      <w:r w:rsidRPr="009E5034">
        <w:rPr>
          <w:bCs/>
          <w:i/>
          <w:iCs/>
          <w:sz w:val="22"/>
          <w:szCs w:val="22"/>
        </w:rPr>
        <w:t>perspectives régionale</w:t>
      </w:r>
      <w:r w:rsidRPr="009E5034">
        <w:rPr>
          <w:bCs/>
          <w:sz w:val="22"/>
          <w:szCs w:val="22"/>
        </w:rPr>
        <w:t>.</w:t>
      </w:r>
    </w:p>
    <w:p w:rsidR="00F164EF" w:rsidRPr="009E5034" w:rsidRDefault="00F164EF" w:rsidP="009E5034">
      <w:pPr>
        <w:ind w:left="0"/>
        <w:jc w:val="left"/>
        <w:rPr>
          <w:sz w:val="22"/>
          <w:szCs w:val="22"/>
        </w:rPr>
      </w:pPr>
      <w:r w:rsidRPr="009E5034">
        <w:rPr>
          <w:bCs/>
          <w:sz w:val="22"/>
          <w:szCs w:val="22"/>
        </w:rPr>
        <w:t xml:space="preserve">Mairie Mopti, 2000. </w:t>
      </w:r>
      <w:r w:rsidRPr="009E5034">
        <w:rPr>
          <w:bCs/>
          <w:i/>
          <w:iCs/>
          <w:sz w:val="22"/>
          <w:szCs w:val="22"/>
        </w:rPr>
        <w:t>Rapport de la Révision du Schéma Directeur d’Aménagement d’Urbanisme de Mopti-Sevaré</w:t>
      </w:r>
      <w:r w:rsidRPr="009E5034">
        <w:rPr>
          <w:bCs/>
          <w:sz w:val="22"/>
          <w:szCs w:val="22"/>
        </w:rPr>
        <w:t>.</w:t>
      </w:r>
    </w:p>
    <w:p w:rsidR="00F164EF" w:rsidRPr="009E5034" w:rsidRDefault="00F164EF" w:rsidP="009E5034">
      <w:pPr>
        <w:ind w:left="0"/>
        <w:jc w:val="left"/>
        <w:rPr>
          <w:sz w:val="22"/>
          <w:szCs w:val="22"/>
        </w:rPr>
      </w:pPr>
      <w:r w:rsidRPr="009E5034">
        <w:rPr>
          <w:sz w:val="22"/>
          <w:szCs w:val="22"/>
        </w:rPr>
        <w:t xml:space="preserve">Mairie Mopti, </w:t>
      </w:r>
      <w:r w:rsidRPr="009E5034">
        <w:rPr>
          <w:bCs/>
          <w:sz w:val="22"/>
          <w:szCs w:val="22"/>
        </w:rPr>
        <w:t xml:space="preserve">2004. </w:t>
      </w:r>
      <w:r w:rsidRPr="009E5034">
        <w:rPr>
          <w:i/>
          <w:iCs/>
          <w:sz w:val="22"/>
          <w:szCs w:val="22"/>
        </w:rPr>
        <w:t>Programme tr</w:t>
      </w:r>
      <w:r w:rsidRPr="009E5034">
        <w:rPr>
          <w:bCs/>
          <w:i/>
          <w:iCs/>
          <w:sz w:val="22"/>
          <w:szCs w:val="22"/>
        </w:rPr>
        <w:t>iennal de Développement de la Commune Urbaine de Mopti</w:t>
      </w:r>
      <w:r w:rsidRPr="009E5034">
        <w:rPr>
          <w:bCs/>
          <w:sz w:val="22"/>
          <w:szCs w:val="22"/>
        </w:rPr>
        <w:t xml:space="preserve"> (PTC).</w:t>
      </w:r>
    </w:p>
    <w:p w:rsidR="00F164EF" w:rsidRPr="009E5034" w:rsidRDefault="00F164EF" w:rsidP="009E5034">
      <w:pPr>
        <w:ind w:left="0"/>
        <w:jc w:val="left"/>
        <w:rPr>
          <w:sz w:val="22"/>
          <w:szCs w:val="22"/>
        </w:rPr>
      </w:pPr>
      <w:r w:rsidRPr="009E5034">
        <w:rPr>
          <w:bCs/>
          <w:sz w:val="22"/>
          <w:szCs w:val="22"/>
        </w:rPr>
        <w:t xml:space="preserve">Mairie Mopti, 2005a. </w:t>
      </w:r>
      <w:r w:rsidRPr="009E5034">
        <w:rPr>
          <w:bCs/>
          <w:i/>
          <w:iCs/>
          <w:sz w:val="22"/>
          <w:szCs w:val="22"/>
        </w:rPr>
        <w:t>APD du Plan Stratégique d’Assainissement de la ville de Mopti</w:t>
      </w:r>
      <w:r w:rsidRPr="009E5034">
        <w:rPr>
          <w:bCs/>
          <w:sz w:val="22"/>
          <w:szCs w:val="22"/>
        </w:rPr>
        <w:t>.</w:t>
      </w:r>
    </w:p>
    <w:p w:rsidR="00F164EF" w:rsidRPr="009E5034" w:rsidRDefault="00F164EF" w:rsidP="009E5034">
      <w:pPr>
        <w:ind w:left="0"/>
        <w:jc w:val="left"/>
        <w:rPr>
          <w:sz w:val="22"/>
          <w:szCs w:val="22"/>
        </w:rPr>
      </w:pPr>
      <w:r w:rsidRPr="009E5034">
        <w:rPr>
          <w:sz w:val="22"/>
          <w:szCs w:val="22"/>
        </w:rPr>
        <w:t xml:space="preserve">Mairie Mopti, </w:t>
      </w:r>
      <w:r w:rsidRPr="009E5034">
        <w:rPr>
          <w:bCs/>
          <w:sz w:val="22"/>
          <w:szCs w:val="22"/>
        </w:rPr>
        <w:t xml:space="preserve">2005b. </w:t>
      </w:r>
      <w:r w:rsidRPr="009E5034">
        <w:rPr>
          <w:bCs/>
          <w:i/>
          <w:iCs/>
          <w:sz w:val="22"/>
          <w:szCs w:val="22"/>
        </w:rPr>
        <w:t>Base de données SIG pour la Ville de Mopti, Medina Coura et Sevaré</w:t>
      </w:r>
      <w:r w:rsidRPr="009E5034">
        <w:rPr>
          <w:bCs/>
          <w:sz w:val="22"/>
          <w:szCs w:val="22"/>
        </w:rPr>
        <w:t>.</w:t>
      </w:r>
    </w:p>
    <w:p w:rsidR="00F164EF" w:rsidRPr="009E5034" w:rsidRDefault="00F164EF" w:rsidP="009E5034">
      <w:pPr>
        <w:ind w:left="0"/>
        <w:jc w:val="left"/>
        <w:rPr>
          <w:sz w:val="22"/>
          <w:szCs w:val="22"/>
        </w:rPr>
      </w:pPr>
      <w:r w:rsidRPr="009E5034">
        <w:rPr>
          <w:bCs/>
          <w:sz w:val="22"/>
          <w:szCs w:val="22"/>
        </w:rPr>
        <w:t xml:space="preserve">Mairie Mopti, 2006a. </w:t>
      </w:r>
      <w:r w:rsidRPr="009E5034">
        <w:rPr>
          <w:bCs/>
          <w:i/>
          <w:iCs/>
          <w:sz w:val="22"/>
          <w:szCs w:val="22"/>
        </w:rPr>
        <w:t>Monographie Commune Mopti.</w:t>
      </w:r>
    </w:p>
    <w:p w:rsidR="00F164EF" w:rsidRPr="009E5034" w:rsidRDefault="00F164EF" w:rsidP="009E5034">
      <w:pPr>
        <w:ind w:left="0"/>
        <w:jc w:val="left"/>
        <w:rPr>
          <w:sz w:val="22"/>
          <w:szCs w:val="22"/>
        </w:rPr>
      </w:pPr>
      <w:r w:rsidRPr="009E5034">
        <w:rPr>
          <w:bCs/>
          <w:sz w:val="22"/>
          <w:szCs w:val="22"/>
        </w:rPr>
        <w:t>Mairie Mopti</w:t>
      </w:r>
      <w:r w:rsidRPr="009E5034">
        <w:rPr>
          <w:bCs/>
          <w:i/>
          <w:iCs/>
          <w:sz w:val="22"/>
          <w:szCs w:val="22"/>
        </w:rPr>
        <w:t xml:space="preserve">, </w:t>
      </w:r>
      <w:r w:rsidRPr="009E5034">
        <w:rPr>
          <w:sz w:val="22"/>
          <w:szCs w:val="22"/>
        </w:rPr>
        <w:t xml:space="preserve">2006b. </w:t>
      </w:r>
      <w:r w:rsidRPr="009E5034">
        <w:rPr>
          <w:bCs/>
          <w:i/>
          <w:iCs/>
          <w:sz w:val="22"/>
          <w:szCs w:val="22"/>
        </w:rPr>
        <w:t>Plan d’assainissement quartier de Toguel</w:t>
      </w:r>
      <w:r w:rsidRPr="009E5034">
        <w:rPr>
          <w:sz w:val="22"/>
          <w:szCs w:val="22"/>
        </w:rPr>
        <w:t>.</w:t>
      </w:r>
    </w:p>
    <w:p w:rsidR="00F164EF" w:rsidRPr="009E5034" w:rsidRDefault="00F164EF" w:rsidP="009E5034">
      <w:pPr>
        <w:ind w:left="0"/>
        <w:jc w:val="left"/>
        <w:rPr>
          <w:bCs/>
          <w:sz w:val="22"/>
          <w:szCs w:val="22"/>
        </w:rPr>
      </w:pPr>
      <w:r w:rsidRPr="009E5034">
        <w:rPr>
          <w:bCs/>
          <w:sz w:val="22"/>
          <w:szCs w:val="22"/>
        </w:rPr>
        <w:t xml:space="preserve">Mairie Mopti, 2006c. </w:t>
      </w:r>
      <w:r w:rsidRPr="009E5034">
        <w:rPr>
          <w:bCs/>
          <w:i/>
          <w:iCs/>
          <w:sz w:val="22"/>
          <w:szCs w:val="22"/>
        </w:rPr>
        <w:t>Plan Stratégique d’Assainissement de la ville de Mopti-Sevare</w:t>
      </w:r>
      <w:r w:rsidRPr="009E5034">
        <w:rPr>
          <w:bCs/>
          <w:sz w:val="22"/>
          <w:szCs w:val="22"/>
        </w:rPr>
        <w:t>.</w:t>
      </w:r>
    </w:p>
    <w:p w:rsidR="00F164EF" w:rsidRPr="009E5034" w:rsidRDefault="00F164EF" w:rsidP="009E5034">
      <w:pPr>
        <w:ind w:left="0"/>
        <w:jc w:val="left"/>
        <w:rPr>
          <w:bCs/>
          <w:sz w:val="22"/>
          <w:szCs w:val="22"/>
        </w:rPr>
      </w:pPr>
      <w:r w:rsidRPr="009E5034">
        <w:rPr>
          <w:bCs/>
          <w:sz w:val="22"/>
          <w:szCs w:val="22"/>
        </w:rPr>
        <w:t xml:space="preserve">Mairie Mopti, 2006d. </w:t>
      </w:r>
      <w:r w:rsidRPr="009E5034">
        <w:rPr>
          <w:bCs/>
          <w:i/>
          <w:iCs/>
          <w:sz w:val="22"/>
          <w:szCs w:val="22"/>
        </w:rPr>
        <w:t>Rapport  de Mission de maîtrise d'œuvre du PDSU à Mopti/ rapport de diagnostic territorial</w:t>
      </w:r>
      <w:r w:rsidRPr="009E5034">
        <w:rPr>
          <w:bCs/>
          <w:sz w:val="22"/>
          <w:szCs w:val="22"/>
        </w:rPr>
        <w:t>.</w:t>
      </w:r>
    </w:p>
    <w:p w:rsidR="00F164EF" w:rsidRPr="009E5034" w:rsidRDefault="00F164EF" w:rsidP="009E5034">
      <w:pPr>
        <w:ind w:left="0"/>
        <w:jc w:val="left"/>
        <w:rPr>
          <w:sz w:val="22"/>
          <w:szCs w:val="22"/>
        </w:rPr>
      </w:pPr>
      <w:r w:rsidRPr="009E5034">
        <w:rPr>
          <w:bCs/>
          <w:sz w:val="22"/>
          <w:szCs w:val="22"/>
        </w:rPr>
        <w:t xml:space="preserve">Mairie Mopti, 2007. </w:t>
      </w:r>
      <w:r w:rsidRPr="009E5034">
        <w:rPr>
          <w:bCs/>
          <w:i/>
          <w:iCs/>
          <w:sz w:val="22"/>
          <w:szCs w:val="22"/>
        </w:rPr>
        <w:t>Plan d’assainissement du quartier komoguel</w:t>
      </w:r>
      <w:r w:rsidRPr="009E5034">
        <w:rPr>
          <w:bCs/>
          <w:sz w:val="22"/>
          <w:szCs w:val="22"/>
        </w:rPr>
        <w:t>.</w:t>
      </w:r>
    </w:p>
    <w:p w:rsidR="00F164EF" w:rsidRPr="009E5034" w:rsidRDefault="00F164EF" w:rsidP="009E5034">
      <w:pPr>
        <w:ind w:left="0"/>
        <w:jc w:val="left"/>
        <w:rPr>
          <w:sz w:val="22"/>
          <w:szCs w:val="22"/>
        </w:rPr>
      </w:pPr>
      <w:r w:rsidRPr="009E5034">
        <w:rPr>
          <w:bCs/>
          <w:sz w:val="22"/>
          <w:szCs w:val="22"/>
        </w:rPr>
        <w:t xml:space="preserve">Marie Mopti, 2006. </w:t>
      </w:r>
      <w:r w:rsidRPr="009E5034">
        <w:rPr>
          <w:bCs/>
          <w:i/>
          <w:iCs/>
          <w:sz w:val="22"/>
          <w:szCs w:val="22"/>
        </w:rPr>
        <w:t>Rapport de Gestion des déchets et assainissement urbain à Mopti</w:t>
      </w:r>
      <w:r w:rsidRPr="009E5034">
        <w:rPr>
          <w:bCs/>
          <w:sz w:val="22"/>
          <w:szCs w:val="22"/>
        </w:rPr>
        <w:t xml:space="preserve"> (Mali).</w:t>
      </w:r>
    </w:p>
    <w:p w:rsidR="00F164EF" w:rsidRPr="009E5034" w:rsidRDefault="00F164EF" w:rsidP="009E5034">
      <w:pPr>
        <w:ind w:left="0"/>
        <w:jc w:val="left"/>
        <w:rPr>
          <w:sz w:val="22"/>
          <w:szCs w:val="22"/>
        </w:rPr>
      </w:pPr>
      <w:r w:rsidRPr="009E5034">
        <w:rPr>
          <w:bCs/>
          <w:sz w:val="22"/>
          <w:szCs w:val="22"/>
        </w:rPr>
        <w:t xml:space="preserve">Meynet, C. Thèse de Doctorat, 2006 : </w:t>
      </w:r>
      <w:r w:rsidRPr="009E5034">
        <w:rPr>
          <w:bCs/>
          <w:i/>
          <w:iCs/>
          <w:sz w:val="22"/>
          <w:szCs w:val="22"/>
        </w:rPr>
        <w:t>Les interactions entre les territoires et les sociétés, observées à partir de la gestion de l’assainissement urbain des villes de Motpi, Segou et Kayes</w:t>
      </w:r>
      <w:r w:rsidRPr="009E5034">
        <w:rPr>
          <w:bCs/>
          <w:sz w:val="22"/>
          <w:szCs w:val="22"/>
        </w:rPr>
        <w:t>.</w:t>
      </w:r>
    </w:p>
    <w:p w:rsidR="00F164EF" w:rsidRPr="009E5034" w:rsidRDefault="00F164EF" w:rsidP="009E5034">
      <w:pPr>
        <w:ind w:left="0"/>
        <w:jc w:val="left"/>
        <w:rPr>
          <w:sz w:val="22"/>
          <w:szCs w:val="22"/>
          <w:lang w:val="en-US"/>
        </w:rPr>
      </w:pPr>
      <w:r w:rsidRPr="009E5034">
        <w:rPr>
          <w:sz w:val="22"/>
          <w:szCs w:val="22"/>
          <w:lang w:val="en-US"/>
        </w:rPr>
        <w:t>Mike, M. 2007; “</w:t>
      </w:r>
      <w:r w:rsidRPr="009E5034">
        <w:rPr>
          <w:i/>
          <w:sz w:val="22"/>
          <w:szCs w:val="22"/>
          <w:lang w:val="en-US"/>
        </w:rPr>
        <w:t>Adapting to Climate Change:  Water Management for Urban Resilience</w:t>
      </w:r>
      <w:r w:rsidRPr="009E5034">
        <w:rPr>
          <w:sz w:val="22"/>
          <w:szCs w:val="22"/>
          <w:lang w:val="en-US"/>
        </w:rPr>
        <w:t>”; Environment &amp; Urbanization, vol. 19 no 1, pp 99-113</w:t>
      </w:r>
    </w:p>
    <w:p w:rsidR="00F164EF" w:rsidRPr="009E5034" w:rsidRDefault="00F164EF" w:rsidP="009E5034">
      <w:pPr>
        <w:tabs>
          <w:tab w:val="num" w:pos="1080"/>
        </w:tabs>
        <w:ind w:left="0"/>
        <w:jc w:val="left"/>
        <w:rPr>
          <w:bCs/>
          <w:sz w:val="22"/>
          <w:szCs w:val="22"/>
        </w:rPr>
      </w:pPr>
      <w:r w:rsidRPr="009E5034">
        <w:rPr>
          <w:bCs/>
          <w:sz w:val="22"/>
          <w:szCs w:val="22"/>
        </w:rPr>
        <w:t>Ministère de l’environnement et de l’assainissement &amp; Banque Mondiale, 2009.</w:t>
      </w:r>
      <w:r w:rsidRPr="009E5034">
        <w:rPr>
          <w:bCs/>
          <w:i/>
          <w:sz w:val="22"/>
          <w:szCs w:val="22"/>
        </w:rPr>
        <w:t>Etude de la qualité de l’air à Bamako</w:t>
      </w:r>
      <w:r w:rsidRPr="009E5034">
        <w:rPr>
          <w:bCs/>
          <w:sz w:val="22"/>
          <w:szCs w:val="22"/>
        </w:rPr>
        <w:t>. Rapport de synthèse du BURGEAP. 9 pages.</w:t>
      </w:r>
    </w:p>
    <w:p w:rsidR="00F164EF" w:rsidRPr="009E5034" w:rsidRDefault="00F164EF" w:rsidP="009E5034">
      <w:pPr>
        <w:ind w:left="0"/>
        <w:jc w:val="left"/>
        <w:rPr>
          <w:sz w:val="22"/>
          <w:szCs w:val="22"/>
        </w:rPr>
      </w:pPr>
      <w:r w:rsidRPr="009E5034">
        <w:rPr>
          <w:bCs/>
          <w:sz w:val="22"/>
          <w:szCs w:val="22"/>
        </w:rPr>
        <w:t xml:space="preserve">Ministère de l’Environnement et de l’Assainissement, 2006. </w:t>
      </w:r>
      <w:r w:rsidRPr="009E5034">
        <w:rPr>
          <w:bCs/>
          <w:i/>
          <w:iCs/>
          <w:sz w:val="22"/>
          <w:szCs w:val="22"/>
        </w:rPr>
        <w:t>Rapport National sur l’Etat de l’Environnement (2005</w:t>
      </w:r>
      <w:r w:rsidRPr="009E5034">
        <w:rPr>
          <w:bCs/>
          <w:sz w:val="22"/>
          <w:szCs w:val="22"/>
        </w:rPr>
        <w:t>).</w:t>
      </w:r>
    </w:p>
    <w:p w:rsidR="00F164EF" w:rsidRPr="009E5034" w:rsidRDefault="00F164EF" w:rsidP="009E5034">
      <w:pPr>
        <w:ind w:left="0"/>
        <w:jc w:val="left"/>
        <w:rPr>
          <w:bCs/>
          <w:sz w:val="22"/>
          <w:szCs w:val="22"/>
        </w:rPr>
      </w:pPr>
      <w:r w:rsidRPr="009E5034">
        <w:rPr>
          <w:bCs/>
          <w:sz w:val="22"/>
          <w:szCs w:val="22"/>
        </w:rPr>
        <w:t>Ministère de l’Environnement et de l’Assainissement du Mali, DNACPN, 2002. Stratégie de gestion des déchets solides à Bamako.</w:t>
      </w:r>
    </w:p>
    <w:p w:rsidR="00F164EF" w:rsidRPr="009E5034" w:rsidRDefault="00F164EF" w:rsidP="009E5034">
      <w:pPr>
        <w:ind w:left="0"/>
        <w:jc w:val="left"/>
        <w:rPr>
          <w:bCs/>
          <w:sz w:val="22"/>
          <w:szCs w:val="22"/>
        </w:rPr>
      </w:pPr>
      <w:r w:rsidRPr="009E5034">
        <w:rPr>
          <w:bCs/>
          <w:sz w:val="22"/>
          <w:szCs w:val="22"/>
        </w:rPr>
        <w:t xml:space="preserve">Ministère de l’Environnement et de l’Assainissement du Mali, DNACPN, 2005. </w:t>
      </w:r>
      <w:r w:rsidRPr="009E5034">
        <w:rPr>
          <w:bCs/>
          <w:i/>
          <w:iCs/>
          <w:sz w:val="22"/>
          <w:szCs w:val="22"/>
        </w:rPr>
        <w:t>Plan stratégique d’assainissement de la ville de Sikasso</w:t>
      </w:r>
      <w:r w:rsidRPr="009E5034">
        <w:rPr>
          <w:bCs/>
          <w:sz w:val="22"/>
          <w:szCs w:val="22"/>
        </w:rPr>
        <w:t>.</w:t>
      </w:r>
    </w:p>
    <w:p w:rsidR="00F164EF" w:rsidRPr="009E5034" w:rsidRDefault="00F164EF" w:rsidP="009E5034">
      <w:pPr>
        <w:ind w:left="0"/>
        <w:jc w:val="left"/>
        <w:rPr>
          <w:sz w:val="22"/>
          <w:szCs w:val="22"/>
        </w:rPr>
      </w:pPr>
      <w:r w:rsidRPr="009E5034">
        <w:rPr>
          <w:bCs/>
          <w:sz w:val="22"/>
          <w:szCs w:val="22"/>
        </w:rPr>
        <w:t>Ministère de l’Environnement et de l’Assainissement du Mali, DNACPN</w:t>
      </w:r>
      <w:r w:rsidRPr="009E5034">
        <w:rPr>
          <w:sz w:val="22"/>
          <w:szCs w:val="22"/>
        </w:rPr>
        <w:t xml:space="preserve">, </w:t>
      </w:r>
      <w:r w:rsidRPr="009E5034">
        <w:rPr>
          <w:bCs/>
          <w:sz w:val="22"/>
          <w:szCs w:val="22"/>
        </w:rPr>
        <w:t xml:space="preserve">2006. </w:t>
      </w:r>
      <w:r w:rsidRPr="009E5034">
        <w:rPr>
          <w:bCs/>
          <w:i/>
          <w:iCs/>
          <w:sz w:val="22"/>
          <w:szCs w:val="22"/>
        </w:rPr>
        <w:t>Plan stratégique d’assainissement de Mopti : état de lieu de mise en œuvre</w:t>
      </w:r>
      <w:r w:rsidRPr="009E5034">
        <w:rPr>
          <w:bCs/>
          <w:sz w:val="22"/>
          <w:szCs w:val="22"/>
        </w:rPr>
        <w:t xml:space="preserve">, </w:t>
      </w:r>
    </w:p>
    <w:p w:rsidR="00F164EF" w:rsidRPr="009E5034" w:rsidRDefault="00F164EF" w:rsidP="009E5034">
      <w:pPr>
        <w:ind w:left="0"/>
        <w:jc w:val="left"/>
        <w:rPr>
          <w:bCs/>
          <w:sz w:val="22"/>
          <w:szCs w:val="22"/>
        </w:rPr>
      </w:pPr>
      <w:r w:rsidRPr="009E5034">
        <w:rPr>
          <w:bCs/>
          <w:sz w:val="22"/>
          <w:szCs w:val="22"/>
        </w:rPr>
        <w:t xml:space="preserve">Ministère de l’environnement et de l’Assainissement du Mali, DNACPN, 2007. </w:t>
      </w:r>
      <w:r w:rsidRPr="009E5034">
        <w:rPr>
          <w:bCs/>
          <w:i/>
          <w:iCs/>
          <w:sz w:val="22"/>
          <w:szCs w:val="22"/>
        </w:rPr>
        <w:t>Schéma directeur et programme de drainage des eaux pluviales et d’assainissement des eaux usées du district de Bamako.</w:t>
      </w:r>
      <w:r w:rsidRPr="009E5034">
        <w:rPr>
          <w:bCs/>
          <w:sz w:val="22"/>
          <w:szCs w:val="22"/>
        </w:rPr>
        <w:t>, volume 2 ; Diagnostic technique, 2007. Volume 3 : Diagnostic institutionnel et fonctionnel, 2007. Volume 2/4 : Rapport institutionnel et financier, 2007. Volume 4 : Diagnostic socioéconomique, 2008. Volume annexe au diagnostic technique, 2007.</w:t>
      </w:r>
    </w:p>
    <w:p w:rsidR="00F164EF" w:rsidRPr="009E5034" w:rsidRDefault="00F164EF" w:rsidP="009E5034">
      <w:pPr>
        <w:ind w:left="0"/>
        <w:jc w:val="left"/>
        <w:rPr>
          <w:sz w:val="22"/>
          <w:szCs w:val="22"/>
        </w:rPr>
      </w:pPr>
      <w:r w:rsidRPr="009E5034">
        <w:rPr>
          <w:bCs/>
          <w:sz w:val="22"/>
          <w:szCs w:val="22"/>
        </w:rPr>
        <w:t>Ministère de l’Environnement et de l’Assainissement du Mali, DNACPN</w:t>
      </w:r>
      <w:r w:rsidRPr="009E5034">
        <w:rPr>
          <w:bCs/>
          <w:i/>
          <w:iCs/>
          <w:sz w:val="22"/>
          <w:szCs w:val="22"/>
        </w:rPr>
        <w:t xml:space="preserve">, </w:t>
      </w:r>
      <w:r w:rsidRPr="009E5034">
        <w:rPr>
          <w:sz w:val="22"/>
          <w:szCs w:val="22"/>
        </w:rPr>
        <w:t xml:space="preserve">2008a. </w:t>
      </w:r>
      <w:r w:rsidRPr="009E5034">
        <w:rPr>
          <w:bCs/>
          <w:i/>
          <w:iCs/>
          <w:sz w:val="22"/>
          <w:szCs w:val="22"/>
        </w:rPr>
        <w:t>Politique Nationale d’Assainissement (PNA)</w:t>
      </w:r>
      <w:r w:rsidRPr="009E5034">
        <w:rPr>
          <w:i/>
          <w:iCs/>
          <w:sz w:val="22"/>
          <w:szCs w:val="22"/>
        </w:rPr>
        <w:t>.</w:t>
      </w:r>
    </w:p>
    <w:p w:rsidR="00F164EF" w:rsidRPr="009E5034" w:rsidRDefault="00F164EF" w:rsidP="009E5034">
      <w:pPr>
        <w:ind w:left="0"/>
        <w:jc w:val="left"/>
        <w:rPr>
          <w:sz w:val="22"/>
          <w:szCs w:val="22"/>
        </w:rPr>
      </w:pPr>
      <w:r w:rsidRPr="009E5034">
        <w:rPr>
          <w:bCs/>
          <w:sz w:val="22"/>
          <w:szCs w:val="22"/>
        </w:rPr>
        <w:t xml:space="preserve">Ministère de l’Environnement et de l’Assainissement du Mali, DNACPN, 2008b. </w:t>
      </w:r>
      <w:r w:rsidRPr="009E5034">
        <w:rPr>
          <w:bCs/>
          <w:i/>
          <w:iCs/>
          <w:sz w:val="22"/>
          <w:szCs w:val="22"/>
        </w:rPr>
        <w:t>Stratégie nationale de gestion des déchets spéciaux</w:t>
      </w:r>
      <w:r w:rsidRPr="009E5034">
        <w:rPr>
          <w:bCs/>
          <w:sz w:val="22"/>
          <w:szCs w:val="22"/>
        </w:rPr>
        <w:t>.</w:t>
      </w:r>
    </w:p>
    <w:p w:rsidR="00F164EF" w:rsidRPr="009E5034" w:rsidRDefault="00F164EF" w:rsidP="009E5034">
      <w:pPr>
        <w:ind w:left="0"/>
        <w:jc w:val="left"/>
        <w:rPr>
          <w:sz w:val="22"/>
          <w:szCs w:val="22"/>
        </w:rPr>
      </w:pPr>
      <w:r w:rsidRPr="009E5034">
        <w:rPr>
          <w:bCs/>
          <w:sz w:val="22"/>
          <w:szCs w:val="22"/>
        </w:rPr>
        <w:t xml:space="preserve">Ministère de l’Environnement et de l’Assainissement du Mali, DNACPN, 2008c. </w:t>
      </w:r>
      <w:r w:rsidRPr="009E5034">
        <w:rPr>
          <w:bCs/>
          <w:i/>
          <w:iCs/>
          <w:sz w:val="22"/>
          <w:szCs w:val="22"/>
        </w:rPr>
        <w:t>Stratégie nationale de gestion des déchets solides</w:t>
      </w:r>
      <w:r w:rsidRPr="009E5034">
        <w:rPr>
          <w:bCs/>
          <w:sz w:val="22"/>
          <w:szCs w:val="22"/>
        </w:rPr>
        <w:t>.</w:t>
      </w:r>
    </w:p>
    <w:p w:rsidR="00F164EF" w:rsidRPr="009E5034" w:rsidRDefault="00F164EF" w:rsidP="009E5034">
      <w:pPr>
        <w:ind w:left="0"/>
        <w:jc w:val="left"/>
        <w:rPr>
          <w:sz w:val="22"/>
          <w:szCs w:val="22"/>
        </w:rPr>
      </w:pPr>
      <w:r w:rsidRPr="009E5034">
        <w:rPr>
          <w:bCs/>
          <w:sz w:val="22"/>
          <w:szCs w:val="22"/>
        </w:rPr>
        <w:t xml:space="preserve">Ministère de l’Environnement et de l’Assainissement du Mali, DNACPN, 2008d. </w:t>
      </w:r>
      <w:r w:rsidRPr="009E5034">
        <w:rPr>
          <w:bCs/>
          <w:i/>
          <w:iCs/>
          <w:sz w:val="22"/>
          <w:szCs w:val="22"/>
        </w:rPr>
        <w:t>Stratégie nationale de gestion des déchets liquides</w:t>
      </w:r>
      <w:r w:rsidRPr="009E5034">
        <w:rPr>
          <w:bCs/>
          <w:sz w:val="22"/>
          <w:szCs w:val="22"/>
        </w:rPr>
        <w:t>, 2007</w:t>
      </w:r>
    </w:p>
    <w:p w:rsidR="00F164EF" w:rsidRPr="009E5034" w:rsidRDefault="00F164EF" w:rsidP="009E5034">
      <w:pPr>
        <w:ind w:left="0"/>
        <w:jc w:val="left"/>
        <w:rPr>
          <w:bCs/>
          <w:sz w:val="22"/>
          <w:szCs w:val="22"/>
        </w:rPr>
      </w:pPr>
      <w:r w:rsidRPr="009E5034">
        <w:rPr>
          <w:bCs/>
          <w:sz w:val="22"/>
          <w:szCs w:val="22"/>
        </w:rPr>
        <w:t xml:space="preserve">Ministère de l’Environnement et de l’Assainissement du Mali, DNACPN, 2008e. </w:t>
      </w:r>
      <w:r w:rsidRPr="009E5034">
        <w:rPr>
          <w:bCs/>
          <w:i/>
          <w:iCs/>
          <w:sz w:val="22"/>
          <w:szCs w:val="22"/>
        </w:rPr>
        <w:t>Stratégie nationale de transfert des compétences en assainissement</w:t>
      </w:r>
      <w:r w:rsidRPr="009E5034">
        <w:rPr>
          <w:bCs/>
          <w:sz w:val="22"/>
          <w:szCs w:val="22"/>
        </w:rPr>
        <w:t>.</w:t>
      </w:r>
    </w:p>
    <w:p w:rsidR="00F164EF" w:rsidRPr="009E5034" w:rsidRDefault="00F164EF" w:rsidP="009E5034">
      <w:pPr>
        <w:ind w:left="0"/>
        <w:jc w:val="left"/>
        <w:rPr>
          <w:sz w:val="22"/>
          <w:szCs w:val="22"/>
        </w:rPr>
      </w:pPr>
      <w:r w:rsidRPr="009E5034">
        <w:rPr>
          <w:bCs/>
          <w:sz w:val="22"/>
          <w:szCs w:val="22"/>
        </w:rPr>
        <w:t xml:space="preserve">Ministère de l’Environnement et de l’Assainissement du Mali, DNACPN, 2007f. </w:t>
      </w:r>
      <w:r w:rsidRPr="009E5034">
        <w:rPr>
          <w:bCs/>
          <w:i/>
          <w:iCs/>
          <w:sz w:val="22"/>
          <w:szCs w:val="22"/>
        </w:rPr>
        <w:t>Plan Stratégique d’Assainissement de Gao (PSA</w:t>
      </w:r>
      <w:r w:rsidRPr="009E5034">
        <w:rPr>
          <w:bCs/>
          <w:sz w:val="22"/>
          <w:szCs w:val="22"/>
        </w:rPr>
        <w:t xml:space="preserve">), </w:t>
      </w:r>
    </w:p>
    <w:p w:rsidR="00F164EF" w:rsidRPr="009E5034" w:rsidRDefault="00F164EF" w:rsidP="009E5034">
      <w:pPr>
        <w:ind w:left="0"/>
        <w:jc w:val="left"/>
        <w:rPr>
          <w:sz w:val="22"/>
          <w:szCs w:val="22"/>
        </w:rPr>
      </w:pPr>
      <w:r w:rsidRPr="009E5034">
        <w:rPr>
          <w:bCs/>
          <w:sz w:val="22"/>
          <w:szCs w:val="22"/>
        </w:rPr>
        <w:t xml:space="preserve">Ministère de l’Environnement et de l’Assainissement du Mali, DNACPN, 2008a. </w:t>
      </w:r>
      <w:r w:rsidRPr="009E5034">
        <w:rPr>
          <w:bCs/>
          <w:i/>
          <w:iCs/>
          <w:sz w:val="22"/>
          <w:szCs w:val="22"/>
        </w:rPr>
        <w:t>Stratégie nationale de gestion des eaux pluviales</w:t>
      </w:r>
      <w:r w:rsidRPr="009E5034">
        <w:rPr>
          <w:bCs/>
          <w:sz w:val="22"/>
          <w:szCs w:val="22"/>
        </w:rPr>
        <w:t>, 2008</w:t>
      </w:r>
    </w:p>
    <w:p w:rsidR="00F164EF" w:rsidRPr="009E5034" w:rsidRDefault="00F164EF" w:rsidP="009E5034">
      <w:pPr>
        <w:ind w:left="0"/>
        <w:jc w:val="left"/>
        <w:rPr>
          <w:sz w:val="22"/>
          <w:szCs w:val="22"/>
        </w:rPr>
      </w:pPr>
      <w:r w:rsidRPr="009E5034">
        <w:rPr>
          <w:bCs/>
          <w:sz w:val="22"/>
          <w:szCs w:val="22"/>
        </w:rPr>
        <w:t xml:space="preserve">Ministère de l’Environnement et de l’Assainissement du Mali, DNACPN, </w:t>
      </w:r>
      <w:r w:rsidRPr="009E5034">
        <w:rPr>
          <w:bCs/>
          <w:i/>
          <w:iCs/>
          <w:sz w:val="22"/>
          <w:szCs w:val="22"/>
        </w:rPr>
        <w:t>Stratégie nationale de gestion des déchets solides</w:t>
      </w:r>
      <w:r w:rsidRPr="009E5034">
        <w:rPr>
          <w:bCs/>
          <w:sz w:val="22"/>
          <w:szCs w:val="22"/>
        </w:rPr>
        <w:t>.</w:t>
      </w:r>
    </w:p>
    <w:p w:rsidR="00F164EF" w:rsidRPr="009E5034" w:rsidRDefault="00F164EF" w:rsidP="009E5034">
      <w:pPr>
        <w:ind w:left="0"/>
        <w:jc w:val="left"/>
        <w:rPr>
          <w:sz w:val="22"/>
          <w:szCs w:val="22"/>
        </w:rPr>
      </w:pPr>
      <w:r w:rsidRPr="009E5034">
        <w:rPr>
          <w:bCs/>
          <w:sz w:val="22"/>
          <w:szCs w:val="22"/>
        </w:rPr>
        <w:t>Ministère de l’Environnement et de l’Assainissement du Mali, DNACPN, 2010. Rapport annuel 2009.</w:t>
      </w:r>
    </w:p>
    <w:p w:rsidR="00F164EF" w:rsidRPr="009E5034" w:rsidRDefault="00F164EF" w:rsidP="009E5034">
      <w:pPr>
        <w:ind w:left="0"/>
        <w:jc w:val="left"/>
        <w:rPr>
          <w:sz w:val="22"/>
          <w:szCs w:val="22"/>
        </w:rPr>
      </w:pPr>
      <w:r w:rsidRPr="009E5034">
        <w:rPr>
          <w:sz w:val="22"/>
          <w:szCs w:val="22"/>
        </w:rPr>
        <w:t>Ministère de l’Environnement et de l’Assainissement, 2006a: Rapport national sur l’état de l’environnement (2005). Projet PAPE/GTZ. 60 pages.</w:t>
      </w:r>
    </w:p>
    <w:p w:rsidR="00F164EF" w:rsidRPr="009E5034" w:rsidRDefault="00F164EF" w:rsidP="009E5034">
      <w:pPr>
        <w:tabs>
          <w:tab w:val="num" w:pos="1080"/>
        </w:tabs>
        <w:ind w:left="0"/>
        <w:jc w:val="left"/>
        <w:rPr>
          <w:bCs/>
          <w:sz w:val="22"/>
          <w:szCs w:val="22"/>
        </w:rPr>
      </w:pPr>
      <w:r w:rsidRPr="009E5034">
        <w:rPr>
          <w:bCs/>
          <w:sz w:val="22"/>
          <w:szCs w:val="22"/>
        </w:rPr>
        <w:t xml:space="preserve">Ministère de l’Environnement et de l’Assainissement, 2009 : </w:t>
      </w:r>
      <w:r w:rsidRPr="009E5034">
        <w:rPr>
          <w:bCs/>
          <w:i/>
          <w:sz w:val="22"/>
          <w:szCs w:val="22"/>
        </w:rPr>
        <w:t>Document préparatoire du forum national-Assises Nationale de l’environnement-cadre stratégique national de l’environnement</w:t>
      </w:r>
      <w:r w:rsidRPr="009E5034">
        <w:rPr>
          <w:bCs/>
          <w:sz w:val="22"/>
          <w:szCs w:val="22"/>
        </w:rPr>
        <w:t>. 246 pages</w:t>
      </w:r>
    </w:p>
    <w:p w:rsidR="00F164EF" w:rsidRPr="009E5034" w:rsidRDefault="00F164EF" w:rsidP="009E5034">
      <w:pPr>
        <w:ind w:left="0"/>
        <w:jc w:val="left"/>
        <w:rPr>
          <w:bCs/>
          <w:sz w:val="22"/>
          <w:szCs w:val="22"/>
        </w:rPr>
      </w:pPr>
      <w:r w:rsidRPr="009E5034">
        <w:rPr>
          <w:bCs/>
          <w:sz w:val="22"/>
          <w:szCs w:val="22"/>
        </w:rPr>
        <w:t xml:space="preserve">Ministère de l’Habitat et de l’Urbanisme, 2005. </w:t>
      </w:r>
      <w:r w:rsidRPr="009E5034">
        <w:rPr>
          <w:bCs/>
          <w:i/>
          <w:iCs/>
          <w:sz w:val="22"/>
          <w:szCs w:val="22"/>
        </w:rPr>
        <w:t>Schéma directeur d’urbanisme de la ville de Sikasso et ses environs</w:t>
      </w:r>
      <w:r w:rsidRPr="009E5034">
        <w:rPr>
          <w:bCs/>
          <w:sz w:val="22"/>
          <w:szCs w:val="22"/>
        </w:rPr>
        <w:t>.</w:t>
      </w:r>
    </w:p>
    <w:p w:rsidR="00F164EF" w:rsidRPr="009E5034" w:rsidRDefault="00F164EF" w:rsidP="009E5034">
      <w:pPr>
        <w:tabs>
          <w:tab w:val="num" w:pos="1080"/>
        </w:tabs>
        <w:ind w:left="0"/>
        <w:jc w:val="left"/>
        <w:rPr>
          <w:bCs/>
          <w:sz w:val="22"/>
          <w:szCs w:val="22"/>
        </w:rPr>
      </w:pPr>
      <w:r w:rsidRPr="009E5034">
        <w:rPr>
          <w:bCs/>
          <w:sz w:val="22"/>
          <w:szCs w:val="22"/>
        </w:rPr>
        <w:t>Ministère de l’Urbanisme et de l’Habitat, 1996. Déclaration de politique sectorielle de développement urbain approuvée par le conseil des ministres du mercredi 25 septembre 1996. 21 pages</w:t>
      </w:r>
    </w:p>
    <w:p w:rsidR="00F164EF" w:rsidRPr="009E5034" w:rsidRDefault="00F164EF" w:rsidP="009E5034">
      <w:pPr>
        <w:ind w:left="0"/>
        <w:jc w:val="left"/>
        <w:rPr>
          <w:sz w:val="22"/>
          <w:szCs w:val="22"/>
        </w:rPr>
      </w:pPr>
      <w:r w:rsidRPr="009E5034">
        <w:rPr>
          <w:sz w:val="22"/>
          <w:szCs w:val="22"/>
        </w:rPr>
        <w:t xml:space="preserve">Ministère de la Santé &amp; Ministère de l’Économie, de l’Industrie et du Commerce, 2006: </w:t>
      </w:r>
      <w:r w:rsidRPr="009E5034">
        <w:rPr>
          <w:i/>
          <w:sz w:val="22"/>
          <w:szCs w:val="22"/>
        </w:rPr>
        <w:t>Enquête démographique et de santé du Mali IV (EDSM IV)</w:t>
      </w:r>
      <w:r w:rsidRPr="009E5034">
        <w:rPr>
          <w:sz w:val="22"/>
          <w:szCs w:val="22"/>
        </w:rPr>
        <w:t>, 2006. 535 pages.</w:t>
      </w:r>
    </w:p>
    <w:p w:rsidR="00F164EF" w:rsidRPr="009E5034" w:rsidRDefault="00F164EF" w:rsidP="009E5034">
      <w:pPr>
        <w:ind w:left="0"/>
        <w:jc w:val="left"/>
        <w:rPr>
          <w:sz w:val="22"/>
          <w:szCs w:val="22"/>
        </w:rPr>
      </w:pPr>
      <w:r w:rsidRPr="009E5034">
        <w:rPr>
          <w:bCs/>
          <w:sz w:val="22"/>
          <w:szCs w:val="22"/>
        </w:rPr>
        <w:t xml:space="preserve">Ministère de la Santé du Mali, </w:t>
      </w:r>
      <w:r w:rsidRPr="009E5034">
        <w:rPr>
          <w:sz w:val="22"/>
          <w:szCs w:val="22"/>
        </w:rPr>
        <w:t xml:space="preserve">2004. </w:t>
      </w:r>
      <w:r w:rsidRPr="009E5034">
        <w:rPr>
          <w:bCs/>
          <w:i/>
          <w:iCs/>
          <w:sz w:val="22"/>
          <w:szCs w:val="22"/>
        </w:rPr>
        <w:t>Document de politique santé et environnement</w:t>
      </w:r>
      <w:r w:rsidRPr="009E5034">
        <w:rPr>
          <w:sz w:val="22"/>
          <w:szCs w:val="22"/>
        </w:rPr>
        <w:t>.</w:t>
      </w:r>
    </w:p>
    <w:p w:rsidR="00F164EF" w:rsidRPr="009E5034" w:rsidRDefault="00F164EF" w:rsidP="009E5034">
      <w:pPr>
        <w:ind w:left="0"/>
        <w:jc w:val="left"/>
        <w:rPr>
          <w:sz w:val="22"/>
          <w:szCs w:val="22"/>
        </w:rPr>
      </w:pPr>
      <w:r w:rsidRPr="009E5034">
        <w:rPr>
          <w:bCs/>
          <w:sz w:val="22"/>
          <w:szCs w:val="22"/>
        </w:rPr>
        <w:t xml:space="preserve">Ministère de la Santé du Mali, </w:t>
      </w:r>
      <w:r w:rsidRPr="009E5034">
        <w:rPr>
          <w:sz w:val="22"/>
          <w:szCs w:val="22"/>
        </w:rPr>
        <w:t xml:space="preserve">2006. </w:t>
      </w:r>
      <w:r w:rsidRPr="009E5034">
        <w:rPr>
          <w:bCs/>
          <w:i/>
          <w:iCs/>
          <w:sz w:val="22"/>
          <w:szCs w:val="22"/>
        </w:rPr>
        <w:t>Etude diagnostique des situations sanitaires de la ville de Sikasso</w:t>
      </w:r>
      <w:r w:rsidRPr="009E5034">
        <w:rPr>
          <w:i/>
          <w:iCs/>
          <w:sz w:val="22"/>
          <w:szCs w:val="22"/>
        </w:rPr>
        <w:t>.</w:t>
      </w:r>
    </w:p>
    <w:p w:rsidR="00F164EF" w:rsidRPr="009E5034" w:rsidRDefault="00F164EF" w:rsidP="009E5034">
      <w:pPr>
        <w:ind w:left="0"/>
        <w:jc w:val="left"/>
        <w:rPr>
          <w:bCs/>
          <w:sz w:val="22"/>
          <w:szCs w:val="22"/>
        </w:rPr>
      </w:pPr>
      <w:r w:rsidRPr="009E5034">
        <w:rPr>
          <w:bCs/>
          <w:sz w:val="22"/>
          <w:szCs w:val="22"/>
        </w:rPr>
        <w:t xml:space="preserve">Ministère de la Santé du Mali. </w:t>
      </w:r>
      <w:r w:rsidRPr="009E5034">
        <w:rPr>
          <w:bCs/>
          <w:i/>
          <w:iCs/>
          <w:sz w:val="22"/>
          <w:szCs w:val="22"/>
        </w:rPr>
        <w:t>Annuaire du Système local d’information sanitaire</w:t>
      </w:r>
      <w:r w:rsidRPr="009E5034">
        <w:rPr>
          <w:bCs/>
          <w:sz w:val="22"/>
          <w:szCs w:val="22"/>
        </w:rPr>
        <w:t xml:space="preserve"> (SLIS): années 2003-2004- 2005 et 2006.</w:t>
      </w:r>
    </w:p>
    <w:p w:rsidR="00F164EF" w:rsidRPr="009E5034" w:rsidRDefault="00F164EF" w:rsidP="009E5034">
      <w:pPr>
        <w:tabs>
          <w:tab w:val="num" w:pos="1080"/>
        </w:tabs>
        <w:ind w:left="0"/>
        <w:jc w:val="left"/>
        <w:rPr>
          <w:bCs/>
          <w:sz w:val="22"/>
          <w:szCs w:val="22"/>
        </w:rPr>
      </w:pPr>
      <w:r w:rsidRPr="009E5034">
        <w:rPr>
          <w:bCs/>
          <w:sz w:val="22"/>
          <w:szCs w:val="22"/>
        </w:rPr>
        <w:t>Ministère du logement, des Affaires foncières et de l’Urbanisme, 2009. Stratégie de développement des villes du mali – SDVM  adoptée par le Gouvernement le mercredi 28 Janvier 2009. 52 pages.</w:t>
      </w:r>
    </w:p>
    <w:p w:rsidR="00F164EF" w:rsidRPr="009E5034" w:rsidRDefault="00F164EF" w:rsidP="009E5034">
      <w:pPr>
        <w:ind w:left="0"/>
        <w:jc w:val="left"/>
        <w:rPr>
          <w:bCs/>
          <w:sz w:val="22"/>
          <w:szCs w:val="22"/>
        </w:rPr>
      </w:pPr>
      <w:r w:rsidRPr="009E5034">
        <w:rPr>
          <w:bCs/>
          <w:sz w:val="22"/>
          <w:szCs w:val="22"/>
        </w:rPr>
        <w:t xml:space="preserve">Ministère Français des Affaires Etrangères, 2002. </w:t>
      </w:r>
      <w:r w:rsidRPr="009E5034">
        <w:rPr>
          <w:bCs/>
          <w:i/>
          <w:iCs/>
          <w:sz w:val="22"/>
          <w:szCs w:val="22"/>
        </w:rPr>
        <w:t>Gestion des déchets et assainissement urbain</w:t>
      </w:r>
      <w:r w:rsidRPr="009E5034">
        <w:rPr>
          <w:bCs/>
          <w:sz w:val="22"/>
          <w:szCs w:val="22"/>
        </w:rPr>
        <w:t>.</w:t>
      </w:r>
    </w:p>
    <w:p w:rsidR="00F164EF" w:rsidRPr="009E5034" w:rsidRDefault="00F164EF" w:rsidP="009E5034">
      <w:pPr>
        <w:ind w:left="0"/>
        <w:jc w:val="left"/>
        <w:rPr>
          <w:sz w:val="22"/>
          <w:szCs w:val="22"/>
          <w:lang w:val="en-US"/>
        </w:rPr>
      </w:pPr>
      <w:r w:rsidRPr="009E5034">
        <w:rPr>
          <w:sz w:val="22"/>
          <w:szCs w:val="22"/>
          <w:lang w:val="en-US"/>
        </w:rPr>
        <w:t xml:space="preserve">Neil, A., Aggarwal, P., Agrawala, S. 2007; </w:t>
      </w:r>
      <w:r w:rsidRPr="009E5034">
        <w:rPr>
          <w:i/>
          <w:sz w:val="22"/>
          <w:szCs w:val="22"/>
          <w:lang w:val="en-US"/>
        </w:rPr>
        <w:t>Climate Change 2007: Impacts, Adaptation and Vulnerability</w:t>
      </w:r>
      <w:r w:rsidRPr="009E5034">
        <w:rPr>
          <w:sz w:val="22"/>
          <w:szCs w:val="22"/>
          <w:lang w:val="en-US"/>
        </w:rPr>
        <w:t>: Summary for Policy Makers, Working Group II Contribution to the Intergovernmental Panel on Climate Change; Fourth Assessment Report, IPCC Secretariat, WHO and UNEP, Geneva.</w:t>
      </w:r>
    </w:p>
    <w:p w:rsidR="00F164EF" w:rsidRPr="009E5034" w:rsidRDefault="00F164EF" w:rsidP="009E5034">
      <w:pPr>
        <w:ind w:left="0"/>
        <w:jc w:val="left"/>
        <w:rPr>
          <w:sz w:val="22"/>
          <w:szCs w:val="22"/>
          <w:lang w:val="en-US"/>
        </w:rPr>
      </w:pPr>
      <w:r w:rsidRPr="009E5034">
        <w:rPr>
          <w:sz w:val="22"/>
          <w:szCs w:val="22"/>
          <w:lang w:val="en-US"/>
        </w:rPr>
        <w:t xml:space="preserve">OMS, </w:t>
      </w:r>
      <w:r w:rsidRPr="009E5034">
        <w:rPr>
          <w:bCs/>
          <w:sz w:val="22"/>
          <w:szCs w:val="22"/>
          <w:lang w:val="en-US"/>
        </w:rPr>
        <w:t xml:space="preserve">2008. </w:t>
      </w:r>
      <w:r w:rsidRPr="009E5034">
        <w:rPr>
          <w:bCs/>
          <w:i/>
          <w:iCs/>
          <w:sz w:val="22"/>
          <w:szCs w:val="22"/>
          <w:lang w:val="en-US"/>
        </w:rPr>
        <w:t>World Malaria report</w:t>
      </w:r>
      <w:r w:rsidRPr="009E5034">
        <w:rPr>
          <w:bCs/>
          <w:sz w:val="22"/>
          <w:szCs w:val="22"/>
          <w:lang w:val="en-US"/>
        </w:rPr>
        <w:t>.</w:t>
      </w:r>
    </w:p>
    <w:p w:rsidR="00F164EF" w:rsidRPr="009E5034" w:rsidRDefault="00F164EF" w:rsidP="009E5034">
      <w:pPr>
        <w:ind w:left="0"/>
        <w:jc w:val="left"/>
        <w:rPr>
          <w:bCs/>
          <w:sz w:val="22"/>
          <w:szCs w:val="22"/>
        </w:rPr>
      </w:pPr>
      <w:r w:rsidRPr="009E5034">
        <w:rPr>
          <w:bCs/>
          <w:sz w:val="22"/>
          <w:szCs w:val="22"/>
          <w:lang w:val="en-US"/>
        </w:rPr>
        <w:t xml:space="preserve">ONG Action Mopti, 2001. </w:t>
      </w:r>
      <w:r w:rsidRPr="009E5034">
        <w:rPr>
          <w:bCs/>
          <w:i/>
          <w:iCs/>
          <w:sz w:val="22"/>
          <w:szCs w:val="22"/>
        </w:rPr>
        <w:t>Plan Développement Communal 2002-2011 de la commune de Mopti – Secteur secondaire et tertiaire</w:t>
      </w:r>
      <w:r w:rsidRPr="009E5034">
        <w:rPr>
          <w:bCs/>
          <w:sz w:val="22"/>
          <w:szCs w:val="22"/>
        </w:rPr>
        <w:t>.</w:t>
      </w:r>
    </w:p>
    <w:p w:rsidR="00F164EF" w:rsidRPr="009E5034" w:rsidRDefault="00F164EF" w:rsidP="009E5034">
      <w:pPr>
        <w:ind w:left="0"/>
        <w:jc w:val="left"/>
        <w:rPr>
          <w:bCs/>
          <w:sz w:val="22"/>
          <w:szCs w:val="22"/>
        </w:rPr>
      </w:pPr>
      <w:r w:rsidRPr="009E5034">
        <w:rPr>
          <w:bCs/>
          <w:sz w:val="22"/>
          <w:szCs w:val="22"/>
        </w:rPr>
        <w:t xml:space="preserve">ONG Action Mopti, 2005. </w:t>
      </w:r>
      <w:r w:rsidRPr="009E5034">
        <w:rPr>
          <w:bCs/>
          <w:i/>
          <w:iCs/>
          <w:sz w:val="22"/>
          <w:szCs w:val="22"/>
        </w:rPr>
        <w:t>Rapport  de Mission de maîtrise d'œuvre du PDSU à Mopti.</w:t>
      </w:r>
    </w:p>
    <w:p w:rsidR="00F164EF" w:rsidRPr="009E5034" w:rsidRDefault="00F164EF" w:rsidP="009E5034">
      <w:pPr>
        <w:ind w:left="0"/>
        <w:jc w:val="left"/>
        <w:rPr>
          <w:sz w:val="22"/>
          <w:szCs w:val="22"/>
        </w:rPr>
      </w:pPr>
      <w:r w:rsidRPr="009E5034">
        <w:rPr>
          <w:bCs/>
          <w:sz w:val="22"/>
          <w:szCs w:val="22"/>
        </w:rPr>
        <w:t xml:space="preserve">ONG Action Mopti, 2006. </w:t>
      </w:r>
      <w:r w:rsidRPr="009E5034">
        <w:rPr>
          <w:bCs/>
          <w:i/>
          <w:iCs/>
          <w:sz w:val="22"/>
          <w:szCs w:val="22"/>
        </w:rPr>
        <w:t>Données relatives aux GIE de pré collecte des ordures ménagères</w:t>
      </w:r>
      <w:r w:rsidRPr="009E5034">
        <w:rPr>
          <w:bCs/>
          <w:sz w:val="22"/>
          <w:szCs w:val="22"/>
        </w:rPr>
        <w:t>.</w:t>
      </w:r>
    </w:p>
    <w:p w:rsidR="00F164EF" w:rsidRPr="009E5034" w:rsidRDefault="00F164EF" w:rsidP="009E5034">
      <w:pPr>
        <w:ind w:left="0"/>
        <w:jc w:val="left"/>
        <w:rPr>
          <w:sz w:val="22"/>
          <w:szCs w:val="22"/>
        </w:rPr>
      </w:pPr>
      <w:r w:rsidRPr="009E5034">
        <w:rPr>
          <w:bCs/>
          <w:sz w:val="22"/>
          <w:szCs w:val="22"/>
        </w:rPr>
        <w:t xml:space="preserve">ONG Action Mopti, 2007. </w:t>
      </w:r>
      <w:r w:rsidRPr="009E5034">
        <w:rPr>
          <w:bCs/>
          <w:i/>
          <w:iCs/>
          <w:sz w:val="22"/>
          <w:szCs w:val="22"/>
        </w:rPr>
        <w:t>Monographie du quartier de Mosinkoré</w:t>
      </w:r>
      <w:r w:rsidRPr="009E5034">
        <w:rPr>
          <w:bCs/>
          <w:sz w:val="22"/>
          <w:szCs w:val="22"/>
        </w:rPr>
        <w:t xml:space="preserve"> Mopti.</w:t>
      </w:r>
    </w:p>
    <w:p w:rsidR="00F164EF" w:rsidRPr="009E5034" w:rsidRDefault="00F164EF" w:rsidP="009E5034">
      <w:pPr>
        <w:ind w:left="0"/>
        <w:jc w:val="left"/>
        <w:rPr>
          <w:sz w:val="22"/>
          <w:szCs w:val="22"/>
        </w:rPr>
      </w:pPr>
      <w:r w:rsidRPr="009E5034">
        <w:rPr>
          <w:bCs/>
          <w:sz w:val="22"/>
          <w:szCs w:val="22"/>
        </w:rPr>
        <w:t>ONG PROTOS</w:t>
      </w:r>
      <w:r w:rsidRPr="009E5034">
        <w:rPr>
          <w:bCs/>
          <w:i/>
          <w:iCs/>
          <w:sz w:val="22"/>
          <w:szCs w:val="22"/>
        </w:rPr>
        <w:t xml:space="preserve">, </w:t>
      </w:r>
      <w:r w:rsidRPr="009E5034">
        <w:rPr>
          <w:bCs/>
          <w:sz w:val="22"/>
          <w:szCs w:val="22"/>
        </w:rPr>
        <w:t xml:space="preserve">2008. </w:t>
      </w:r>
      <w:r w:rsidRPr="009E5034">
        <w:rPr>
          <w:bCs/>
          <w:i/>
          <w:iCs/>
          <w:sz w:val="22"/>
          <w:szCs w:val="22"/>
        </w:rPr>
        <w:t>Rapports Trimestriel du projet de Gestion Intégrée des Ressources en Eau dans le Delta Intérieur du Niger</w:t>
      </w:r>
      <w:r w:rsidRPr="009E5034">
        <w:rPr>
          <w:bCs/>
          <w:sz w:val="22"/>
          <w:szCs w:val="22"/>
        </w:rPr>
        <w:t>.</w:t>
      </w:r>
    </w:p>
    <w:p w:rsidR="00F164EF" w:rsidRPr="009E5034" w:rsidRDefault="00F164EF" w:rsidP="009E5034">
      <w:pPr>
        <w:ind w:left="0"/>
        <w:jc w:val="left"/>
        <w:rPr>
          <w:sz w:val="22"/>
          <w:szCs w:val="22"/>
        </w:rPr>
      </w:pPr>
      <w:r w:rsidRPr="009E5034">
        <w:rPr>
          <w:bCs/>
          <w:sz w:val="22"/>
          <w:szCs w:val="22"/>
        </w:rPr>
        <w:t xml:space="preserve">PDSU – SCAC, 2002. </w:t>
      </w:r>
      <w:r w:rsidRPr="009E5034">
        <w:rPr>
          <w:bCs/>
          <w:i/>
          <w:iCs/>
          <w:sz w:val="22"/>
          <w:szCs w:val="22"/>
        </w:rPr>
        <w:t xml:space="preserve">Plan Décennal de Développement de la Commune Urbaine de Mopti </w:t>
      </w:r>
      <w:r w:rsidRPr="009E5034">
        <w:rPr>
          <w:bCs/>
          <w:sz w:val="22"/>
          <w:szCs w:val="22"/>
        </w:rPr>
        <w:t>(PDC).</w:t>
      </w:r>
    </w:p>
    <w:p w:rsidR="00F164EF" w:rsidRPr="009E5034" w:rsidRDefault="00F164EF" w:rsidP="009E5034">
      <w:pPr>
        <w:ind w:left="0"/>
        <w:jc w:val="left"/>
        <w:rPr>
          <w:sz w:val="22"/>
          <w:szCs w:val="22"/>
        </w:rPr>
      </w:pPr>
      <w:r w:rsidRPr="009E5034">
        <w:rPr>
          <w:bCs/>
          <w:sz w:val="22"/>
          <w:szCs w:val="22"/>
        </w:rPr>
        <w:t xml:space="preserve">PNUD-PNUE, 2008. </w:t>
      </w:r>
      <w:r w:rsidRPr="009E5034">
        <w:rPr>
          <w:bCs/>
          <w:i/>
          <w:iCs/>
          <w:sz w:val="22"/>
          <w:szCs w:val="22"/>
        </w:rPr>
        <w:t>Evaluation économique de la gestion environnementale au Mali: coûts et bénéfices</w:t>
      </w:r>
      <w:r w:rsidRPr="009E5034">
        <w:rPr>
          <w:bCs/>
          <w:sz w:val="22"/>
          <w:szCs w:val="22"/>
        </w:rPr>
        <w:t>.</w:t>
      </w:r>
    </w:p>
    <w:p w:rsidR="00F164EF" w:rsidRPr="009E5034" w:rsidRDefault="00F164EF" w:rsidP="009E5034">
      <w:pPr>
        <w:ind w:left="0"/>
        <w:jc w:val="left"/>
        <w:rPr>
          <w:bCs/>
          <w:sz w:val="22"/>
          <w:szCs w:val="22"/>
        </w:rPr>
      </w:pPr>
      <w:r w:rsidRPr="009E5034">
        <w:rPr>
          <w:bCs/>
          <w:sz w:val="22"/>
          <w:szCs w:val="22"/>
          <w:lang w:val="en-US"/>
        </w:rPr>
        <w:t xml:space="preserve">Prüss, A., Giroult, E., Rushbrook, P., 1999. Safe management of waste from health-care activities. </w:t>
      </w:r>
      <w:r w:rsidRPr="009E5034">
        <w:rPr>
          <w:bCs/>
          <w:sz w:val="22"/>
          <w:szCs w:val="22"/>
        </w:rPr>
        <w:t>WHO, 230 pages.</w:t>
      </w:r>
    </w:p>
    <w:p w:rsidR="00F164EF" w:rsidRPr="009E5034" w:rsidRDefault="00F164EF" w:rsidP="009E5034">
      <w:pPr>
        <w:ind w:left="0"/>
        <w:jc w:val="left"/>
        <w:rPr>
          <w:sz w:val="22"/>
          <w:szCs w:val="22"/>
        </w:rPr>
      </w:pPr>
      <w:r w:rsidRPr="009E5034">
        <w:rPr>
          <w:sz w:val="22"/>
          <w:szCs w:val="22"/>
        </w:rPr>
        <w:t xml:space="preserve">UNEP, UNDP, SBA, Février 2009. </w:t>
      </w:r>
      <w:r w:rsidRPr="009E5034">
        <w:rPr>
          <w:i/>
          <w:sz w:val="22"/>
          <w:szCs w:val="22"/>
        </w:rPr>
        <w:t>Evaluation économique de la gestion environnementale au Mali. Coût et Bénéfice</w:t>
      </w:r>
      <w:r w:rsidRPr="009E5034">
        <w:rPr>
          <w:sz w:val="22"/>
          <w:szCs w:val="22"/>
        </w:rPr>
        <w:t>. 110 pages.</w:t>
      </w:r>
    </w:p>
    <w:p w:rsidR="00F164EF" w:rsidRPr="009E5034" w:rsidRDefault="00F164EF" w:rsidP="009E5034">
      <w:pPr>
        <w:ind w:left="0"/>
        <w:jc w:val="left"/>
        <w:rPr>
          <w:sz w:val="22"/>
          <w:szCs w:val="22"/>
        </w:rPr>
      </w:pPr>
      <w:r w:rsidRPr="009E5034">
        <w:rPr>
          <w:sz w:val="22"/>
          <w:szCs w:val="22"/>
        </w:rPr>
        <w:t xml:space="preserve">UNEP-PNUD-SBA, 2009. </w:t>
      </w:r>
      <w:r w:rsidRPr="009E5034">
        <w:rPr>
          <w:i/>
          <w:sz w:val="22"/>
          <w:szCs w:val="22"/>
        </w:rPr>
        <w:t>Evaluation économique de la gestion environnementale au Mali</w:t>
      </w:r>
      <w:r w:rsidRPr="009E5034">
        <w:rPr>
          <w:sz w:val="22"/>
          <w:szCs w:val="22"/>
        </w:rPr>
        <w:t>.</w:t>
      </w:r>
    </w:p>
    <w:p w:rsidR="00F164EF" w:rsidRPr="009E5034" w:rsidRDefault="00F164EF" w:rsidP="009E5034">
      <w:pPr>
        <w:ind w:left="0"/>
        <w:jc w:val="left"/>
        <w:rPr>
          <w:sz w:val="22"/>
          <w:szCs w:val="22"/>
          <w:lang w:val="en-US"/>
        </w:rPr>
      </w:pPr>
      <w:r w:rsidRPr="009E5034">
        <w:rPr>
          <w:sz w:val="22"/>
          <w:szCs w:val="22"/>
          <w:lang w:val="en-US"/>
        </w:rPr>
        <w:t xml:space="preserve">VICA Team, 2009. </w:t>
      </w:r>
      <w:r w:rsidRPr="009E5034">
        <w:rPr>
          <w:i/>
          <w:sz w:val="22"/>
          <w:szCs w:val="22"/>
          <w:lang w:val="en-US"/>
        </w:rPr>
        <w:t>Current situation of municipal waste management in Bamako and Koulikoro. Prospects for a sustainable waste management system in the two cities and for transforming their waste into electricity</w:t>
      </w:r>
      <w:r w:rsidRPr="009E5034">
        <w:rPr>
          <w:sz w:val="22"/>
          <w:szCs w:val="22"/>
          <w:lang w:val="en-US"/>
        </w:rPr>
        <w:t>.93 pages.</w:t>
      </w:r>
    </w:p>
    <w:p w:rsidR="00F164EF" w:rsidRPr="009E5034" w:rsidRDefault="00F164EF" w:rsidP="009E5034">
      <w:pPr>
        <w:ind w:left="0"/>
        <w:jc w:val="left"/>
        <w:rPr>
          <w:bCs/>
          <w:sz w:val="22"/>
          <w:szCs w:val="22"/>
          <w:lang w:val="en-GB"/>
        </w:rPr>
      </w:pPr>
      <w:r w:rsidRPr="009E5034">
        <w:rPr>
          <w:bCs/>
          <w:sz w:val="22"/>
          <w:szCs w:val="22"/>
          <w:lang w:val="en-GB"/>
        </w:rPr>
        <w:t xml:space="preserve">World Resources Institute, </w:t>
      </w:r>
      <w:r w:rsidRPr="009E5034">
        <w:rPr>
          <w:bCs/>
          <w:sz w:val="22"/>
          <w:szCs w:val="22"/>
          <w:lang w:val="pt-BR"/>
        </w:rPr>
        <w:t>DANIDA, DMFA, SIDA, WB, UNAP, USAID</w:t>
      </w:r>
      <w:r w:rsidRPr="009E5034">
        <w:rPr>
          <w:bCs/>
          <w:i/>
          <w:iCs/>
          <w:sz w:val="22"/>
          <w:szCs w:val="22"/>
          <w:lang w:val="pt-BR"/>
        </w:rPr>
        <w:t xml:space="preserve">, </w:t>
      </w:r>
      <w:r w:rsidRPr="009E5034">
        <w:rPr>
          <w:bCs/>
          <w:sz w:val="22"/>
          <w:szCs w:val="22"/>
          <w:lang w:val="en-GB"/>
        </w:rPr>
        <w:t xml:space="preserve">2007. </w:t>
      </w:r>
      <w:r w:rsidRPr="009E5034">
        <w:rPr>
          <w:bCs/>
          <w:i/>
          <w:iCs/>
          <w:sz w:val="22"/>
          <w:szCs w:val="22"/>
          <w:lang w:val="en-GB"/>
        </w:rPr>
        <w:t>Earth trends</w:t>
      </w:r>
      <w:r w:rsidRPr="009E5034">
        <w:rPr>
          <w:bCs/>
          <w:sz w:val="22"/>
          <w:szCs w:val="22"/>
          <w:lang w:val="en-GB"/>
        </w:rPr>
        <w:t>.</w:t>
      </w:r>
    </w:p>
    <w:sectPr w:rsidR="00F164EF" w:rsidRPr="009E5034" w:rsidSect="001552DA">
      <w:pgSz w:w="11906" w:h="16838" w:code="9"/>
      <w:pgMar w:top="1440" w:right="1440" w:bottom="1440" w:left="1800" w:header="720"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713" w:rsidRDefault="00E87713" w:rsidP="00772966">
      <w:pPr>
        <w:spacing w:before="0"/>
      </w:pPr>
      <w:r>
        <w:separator/>
      </w:r>
    </w:p>
  </w:endnote>
  <w:endnote w:type="continuationSeparator" w:id="0">
    <w:p w:rsidR="00E87713" w:rsidRDefault="00E87713" w:rsidP="00772966">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TrueHelveticaLight">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7B2" w:rsidRDefault="00BE1A51">
    <w:pPr>
      <w:pStyle w:val="Footer"/>
      <w:jc w:val="right"/>
    </w:pPr>
    <w:fldSimple w:instr=" PAGE   \* MERGEFORMAT ">
      <w:r w:rsidR="003F3494">
        <w:rPr>
          <w:noProof/>
        </w:rPr>
        <w:t>ii</w:t>
      </w:r>
    </w:fldSimple>
  </w:p>
  <w:p w:rsidR="00E547B2" w:rsidRPr="00CF557A" w:rsidRDefault="00E547B2" w:rsidP="007A7E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7B2" w:rsidRDefault="00BE1A51">
    <w:pPr>
      <w:pStyle w:val="Footer"/>
      <w:jc w:val="right"/>
    </w:pPr>
    <w:fldSimple w:instr=" PAGE   \* MERGEFORMAT ">
      <w:r w:rsidR="00AA4C43">
        <w:rPr>
          <w:noProof/>
        </w:rPr>
        <w:t>5</w:t>
      </w:r>
    </w:fldSimple>
  </w:p>
  <w:p w:rsidR="00E547B2" w:rsidRPr="00CF557A" w:rsidRDefault="00E547B2" w:rsidP="007A7E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713" w:rsidRDefault="00E87713" w:rsidP="00772966">
      <w:pPr>
        <w:spacing w:before="0"/>
      </w:pPr>
      <w:r>
        <w:separator/>
      </w:r>
    </w:p>
  </w:footnote>
  <w:footnote w:type="continuationSeparator" w:id="0">
    <w:p w:rsidR="00E87713" w:rsidRDefault="00E87713" w:rsidP="00772966">
      <w:pPr>
        <w:spacing w:before="0"/>
      </w:pPr>
      <w:r>
        <w:continuationSeparator/>
      </w:r>
    </w:p>
  </w:footnote>
  <w:footnote w:id="1">
    <w:p w:rsidR="00E547B2" w:rsidRDefault="00E547B2" w:rsidP="00BC4EA1">
      <w:pPr>
        <w:pStyle w:val="FootnoteText"/>
      </w:pPr>
      <w:r>
        <w:rPr>
          <w:rStyle w:val="FootnoteReference"/>
        </w:rPr>
        <w:footnoteRef/>
      </w:r>
      <w:r>
        <w:t xml:space="preserve"> Il s’agit d’un outil d’aide à la décision qui a été développé par le Programme de Gestion Urbaine (programme conjoint PNUD, HABITAT, Banque mondiale) au milieu des années 90, voir J. Leitmann 1993: Rapid Urban Environmental Assessment vol. 1 &amp; 2. The World Bank, Washington D.C.</w:t>
      </w:r>
    </w:p>
  </w:footnote>
  <w:footnote w:id="2">
    <w:p w:rsidR="00E547B2" w:rsidRDefault="00E547B2" w:rsidP="000A4928">
      <w:pPr>
        <w:pStyle w:val="FootnoteText"/>
      </w:pPr>
      <w:r>
        <w:rPr>
          <w:rStyle w:val="FootnoteReference"/>
        </w:rPr>
        <w:footnoteRef/>
      </w:r>
      <w:r>
        <w:t xml:space="preserve"> Cette approche est utilisée dans la publication intitulée: La Transition Urbaine en Afrique au SubSaharienne: Impacts sur la Croissance Economique et La Réduction de la Pauvreté par C. Kessides, The World Bank, SIDA, Cities Alliance, 2006.</w:t>
      </w:r>
    </w:p>
  </w:footnote>
  <w:footnote w:id="3">
    <w:p w:rsidR="00E547B2" w:rsidRDefault="00E547B2" w:rsidP="00F164EF">
      <w:pPr>
        <w:pStyle w:val="FootnoteText"/>
      </w:pPr>
      <w:r>
        <w:rPr>
          <w:rStyle w:val="FootnoteReference"/>
        </w:rPr>
        <w:footnoteRef/>
      </w:r>
      <w:r>
        <w:t xml:space="preserve"> Population estimée à partir des statistiques du Ministère de la santé de 2006 auxquelles 2% de croissance ont été ajouté pour obtenir la population de 2007.</w:t>
      </w:r>
    </w:p>
  </w:footnote>
  <w:footnote w:id="4">
    <w:p w:rsidR="00E547B2" w:rsidRDefault="00E547B2" w:rsidP="00F164EF">
      <w:pPr>
        <w:pStyle w:val="FootnoteText"/>
      </w:pPr>
      <w:r>
        <w:rPr>
          <w:rStyle w:val="FootnoteReference"/>
        </w:rPr>
        <w:footnoteRef/>
      </w:r>
      <w:r>
        <w:t xml:space="preserve"> Estimation Schéma directeur d’assainissement de Bamako</w:t>
      </w:r>
    </w:p>
  </w:footnote>
  <w:footnote w:id="5">
    <w:p w:rsidR="00E547B2" w:rsidRDefault="00E547B2" w:rsidP="00F164EF">
      <w:pPr>
        <w:pStyle w:val="FootnoteText"/>
      </w:pPr>
      <w:r>
        <w:rPr>
          <w:rStyle w:val="FootnoteReference"/>
        </w:rPr>
        <w:footnoteRef/>
      </w:r>
      <w:r>
        <w:t xml:space="preserve"> Hôpitaux, administration publique, mosquée, marchés, écoles et établissements académiques, aéroport.</w:t>
      </w:r>
    </w:p>
  </w:footnote>
  <w:footnote w:id="6">
    <w:p w:rsidR="00E547B2" w:rsidRDefault="00E547B2" w:rsidP="00F164EF">
      <w:pPr>
        <w:pStyle w:val="FootnoteText"/>
      </w:pPr>
      <w:r>
        <w:rPr>
          <w:rStyle w:val="FootnoteReference"/>
        </w:rPr>
        <w:footnoteRef/>
      </w:r>
      <w:r>
        <w:t xml:space="preserve"> Données déterminées lors de l’étude du projet de la station de traitement des eaux usées de la zone industrielle.</w:t>
      </w:r>
    </w:p>
  </w:footnote>
  <w:footnote w:id="7">
    <w:p w:rsidR="00E547B2" w:rsidRDefault="00E547B2" w:rsidP="00F164EF">
      <w:pPr>
        <w:pStyle w:val="FootnoteText"/>
        <w:ind w:left="0"/>
      </w:pPr>
      <w:r>
        <w:rPr>
          <w:rStyle w:val="FootnoteReference"/>
        </w:rPr>
        <w:footnoteRef/>
      </w:r>
      <w:r w:rsidRPr="008A553D">
        <w:rPr>
          <w:b/>
          <w:bCs/>
          <w:lang w:val="en-GB"/>
        </w:rPr>
        <w:t xml:space="preserve">Prüss, A., Giroult, E., Rushbrook, P., 1999 </w:t>
      </w:r>
      <w:r w:rsidRPr="008A553D">
        <w:rPr>
          <w:lang w:val="en-GB"/>
        </w:rPr>
        <w:t>:</w:t>
      </w:r>
      <w:r w:rsidRPr="008A553D">
        <w:rPr>
          <w:lang w:val="en-GB"/>
        </w:rPr>
        <w:tab/>
      </w:r>
      <w:r w:rsidRPr="008A553D">
        <w:rPr>
          <w:i/>
          <w:iCs/>
          <w:lang w:val="en-GB"/>
        </w:rPr>
        <w:t>Safe management of waste from health-care activities</w:t>
      </w:r>
      <w:r w:rsidRPr="008A553D">
        <w:rPr>
          <w:lang w:val="en-GB"/>
        </w:rPr>
        <w:t xml:space="preserve">. </w:t>
      </w:r>
      <w:r w:rsidRPr="00FE254C">
        <w:t>WHO, 230 pages.</w:t>
      </w:r>
    </w:p>
  </w:footnote>
  <w:footnote w:id="8">
    <w:p w:rsidR="00E547B2" w:rsidRDefault="00E547B2" w:rsidP="00F164EF">
      <w:pPr>
        <w:pStyle w:val="FootnoteText"/>
      </w:pPr>
      <w:r>
        <w:rPr>
          <w:rStyle w:val="FootnoteReference"/>
        </w:rPr>
        <w:footnoteRef/>
      </w:r>
      <w:r>
        <w:t xml:space="preserve">  MEA-DNACPN, 2004. Etude pour la réalisation de la décharge finale de Sikasso. CTB mandat CIRA.127 pages</w:t>
      </w:r>
    </w:p>
  </w:footnote>
  <w:footnote w:id="9">
    <w:p w:rsidR="00E547B2" w:rsidRDefault="00E547B2" w:rsidP="00F164EF">
      <w:pPr>
        <w:pStyle w:val="FootnoteText"/>
      </w:pPr>
      <w:r>
        <w:rPr>
          <w:rStyle w:val="FootnoteReference"/>
        </w:rPr>
        <w:footnoteRef/>
      </w:r>
      <w:r>
        <w:t xml:space="preserve"> PSA Sikasso, 2006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9C8D124"/>
    <w:lvl w:ilvl="0">
      <w:start w:val="1"/>
      <w:numFmt w:val="decimal"/>
      <w:pStyle w:val="ListNumber5"/>
      <w:lvlText w:val="%1."/>
      <w:lvlJc w:val="left"/>
      <w:pPr>
        <w:tabs>
          <w:tab w:val="num" w:pos="1492"/>
        </w:tabs>
        <w:ind w:left="1492" w:hanging="360"/>
      </w:pPr>
    </w:lvl>
  </w:abstractNum>
  <w:abstractNum w:abstractNumId="1">
    <w:nsid w:val="FFFFFF81"/>
    <w:multiLevelType w:val="singleLevel"/>
    <w:tmpl w:val="27009248"/>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3"/>
    <w:multiLevelType w:val="singleLevel"/>
    <w:tmpl w:val="A9164E6E"/>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12AD1CF4"/>
    <w:multiLevelType w:val="hybridMultilevel"/>
    <w:tmpl w:val="D5047240"/>
    <w:lvl w:ilvl="0" w:tplc="737E2142">
      <w:start w:val="1"/>
      <w:numFmt w:val="bullet"/>
      <w:pStyle w:val="BodyText"/>
      <w:lvlText w:val=""/>
      <w:lvlJc w:val="left"/>
      <w:pPr>
        <w:ind w:left="731" w:hanging="360"/>
      </w:pPr>
      <w:rPr>
        <w:rFonts w:ascii="Symbol" w:hAnsi="Symbol" w:hint="default"/>
      </w:rPr>
    </w:lvl>
    <w:lvl w:ilvl="1" w:tplc="040C0003" w:tentative="1">
      <w:start w:val="1"/>
      <w:numFmt w:val="bullet"/>
      <w:lvlText w:val="o"/>
      <w:lvlJc w:val="left"/>
      <w:pPr>
        <w:ind w:left="1451" w:hanging="360"/>
      </w:pPr>
      <w:rPr>
        <w:rFonts w:ascii="Courier New" w:hAnsi="Courier New" w:cs="Courier New" w:hint="default"/>
      </w:rPr>
    </w:lvl>
    <w:lvl w:ilvl="2" w:tplc="040C0005" w:tentative="1">
      <w:start w:val="1"/>
      <w:numFmt w:val="bullet"/>
      <w:lvlText w:val=""/>
      <w:lvlJc w:val="left"/>
      <w:pPr>
        <w:ind w:left="2171" w:hanging="360"/>
      </w:pPr>
      <w:rPr>
        <w:rFonts w:ascii="Wingdings" w:hAnsi="Wingdings" w:hint="default"/>
      </w:rPr>
    </w:lvl>
    <w:lvl w:ilvl="3" w:tplc="040C0001" w:tentative="1">
      <w:start w:val="1"/>
      <w:numFmt w:val="bullet"/>
      <w:lvlText w:val=""/>
      <w:lvlJc w:val="left"/>
      <w:pPr>
        <w:ind w:left="2891" w:hanging="360"/>
      </w:pPr>
      <w:rPr>
        <w:rFonts w:ascii="Symbol" w:hAnsi="Symbol" w:hint="default"/>
      </w:rPr>
    </w:lvl>
    <w:lvl w:ilvl="4" w:tplc="040C0003" w:tentative="1">
      <w:start w:val="1"/>
      <w:numFmt w:val="bullet"/>
      <w:lvlText w:val="o"/>
      <w:lvlJc w:val="left"/>
      <w:pPr>
        <w:ind w:left="3611" w:hanging="360"/>
      </w:pPr>
      <w:rPr>
        <w:rFonts w:ascii="Courier New" w:hAnsi="Courier New" w:cs="Courier New" w:hint="default"/>
      </w:rPr>
    </w:lvl>
    <w:lvl w:ilvl="5" w:tplc="040C0005" w:tentative="1">
      <w:start w:val="1"/>
      <w:numFmt w:val="bullet"/>
      <w:lvlText w:val=""/>
      <w:lvlJc w:val="left"/>
      <w:pPr>
        <w:ind w:left="4331" w:hanging="360"/>
      </w:pPr>
      <w:rPr>
        <w:rFonts w:ascii="Wingdings" w:hAnsi="Wingdings" w:hint="default"/>
      </w:rPr>
    </w:lvl>
    <w:lvl w:ilvl="6" w:tplc="040C0001" w:tentative="1">
      <w:start w:val="1"/>
      <w:numFmt w:val="bullet"/>
      <w:lvlText w:val=""/>
      <w:lvlJc w:val="left"/>
      <w:pPr>
        <w:ind w:left="5051" w:hanging="360"/>
      </w:pPr>
      <w:rPr>
        <w:rFonts w:ascii="Symbol" w:hAnsi="Symbol" w:hint="default"/>
      </w:rPr>
    </w:lvl>
    <w:lvl w:ilvl="7" w:tplc="040C0003" w:tentative="1">
      <w:start w:val="1"/>
      <w:numFmt w:val="bullet"/>
      <w:lvlText w:val="o"/>
      <w:lvlJc w:val="left"/>
      <w:pPr>
        <w:ind w:left="5771" w:hanging="360"/>
      </w:pPr>
      <w:rPr>
        <w:rFonts w:ascii="Courier New" w:hAnsi="Courier New" w:cs="Courier New" w:hint="default"/>
      </w:rPr>
    </w:lvl>
    <w:lvl w:ilvl="8" w:tplc="040C0005" w:tentative="1">
      <w:start w:val="1"/>
      <w:numFmt w:val="bullet"/>
      <w:lvlText w:val=""/>
      <w:lvlJc w:val="left"/>
      <w:pPr>
        <w:ind w:left="6491" w:hanging="360"/>
      </w:pPr>
      <w:rPr>
        <w:rFonts w:ascii="Wingdings" w:hAnsi="Wingdings" w:hint="default"/>
      </w:rPr>
    </w:lvl>
  </w:abstractNum>
  <w:abstractNum w:abstractNumId="4">
    <w:nsid w:val="182B51F3"/>
    <w:multiLevelType w:val="multilevel"/>
    <w:tmpl w:val="18DC1E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82C793C"/>
    <w:multiLevelType w:val="hybridMultilevel"/>
    <w:tmpl w:val="AD0ACFF6"/>
    <w:lvl w:ilvl="0" w:tplc="51F45DE0">
      <w:start w:val="1"/>
      <w:numFmt w:val="bullet"/>
      <w:lvlText w:val=""/>
      <w:lvlJc w:val="left"/>
      <w:pPr>
        <w:tabs>
          <w:tab w:val="num" w:pos="1106"/>
        </w:tabs>
        <w:ind w:left="1106" w:hanging="397"/>
      </w:pPr>
      <w:rPr>
        <w:rFonts w:ascii="Symbol" w:hAnsi="Symbol" w:hint="default"/>
      </w:rPr>
    </w:lvl>
    <w:lvl w:ilvl="1" w:tplc="04090019" w:tentative="1">
      <w:start w:val="1"/>
      <w:numFmt w:val="bullet"/>
      <w:lvlText w:val="o"/>
      <w:lvlJc w:val="left"/>
      <w:pPr>
        <w:tabs>
          <w:tab w:val="num" w:pos="2149"/>
        </w:tabs>
        <w:ind w:left="2149" w:hanging="360"/>
      </w:pPr>
      <w:rPr>
        <w:rFonts w:ascii="Courier New" w:hAnsi="Courier New" w:hint="default"/>
      </w:rPr>
    </w:lvl>
    <w:lvl w:ilvl="2" w:tplc="0409001B" w:tentative="1">
      <w:start w:val="1"/>
      <w:numFmt w:val="bullet"/>
      <w:lvlText w:val=""/>
      <w:lvlJc w:val="left"/>
      <w:pPr>
        <w:tabs>
          <w:tab w:val="num" w:pos="2869"/>
        </w:tabs>
        <w:ind w:left="2869" w:hanging="360"/>
      </w:pPr>
      <w:rPr>
        <w:rFonts w:ascii="Wingdings" w:hAnsi="Wingdings" w:hint="default"/>
      </w:rPr>
    </w:lvl>
    <w:lvl w:ilvl="3" w:tplc="0409000F" w:tentative="1">
      <w:start w:val="1"/>
      <w:numFmt w:val="bullet"/>
      <w:lvlText w:val=""/>
      <w:lvlJc w:val="left"/>
      <w:pPr>
        <w:tabs>
          <w:tab w:val="num" w:pos="3589"/>
        </w:tabs>
        <w:ind w:left="3589" w:hanging="360"/>
      </w:pPr>
      <w:rPr>
        <w:rFonts w:ascii="Symbol" w:hAnsi="Symbol" w:hint="default"/>
      </w:rPr>
    </w:lvl>
    <w:lvl w:ilvl="4" w:tplc="04090019" w:tentative="1">
      <w:start w:val="1"/>
      <w:numFmt w:val="bullet"/>
      <w:lvlText w:val="o"/>
      <w:lvlJc w:val="left"/>
      <w:pPr>
        <w:tabs>
          <w:tab w:val="num" w:pos="4309"/>
        </w:tabs>
        <w:ind w:left="4309" w:hanging="360"/>
      </w:pPr>
      <w:rPr>
        <w:rFonts w:ascii="Courier New" w:hAnsi="Courier New" w:hint="default"/>
      </w:rPr>
    </w:lvl>
    <w:lvl w:ilvl="5" w:tplc="0409001B" w:tentative="1">
      <w:start w:val="1"/>
      <w:numFmt w:val="bullet"/>
      <w:lvlText w:val=""/>
      <w:lvlJc w:val="left"/>
      <w:pPr>
        <w:tabs>
          <w:tab w:val="num" w:pos="5029"/>
        </w:tabs>
        <w:ind w:left="5029" w:hanging="360"/>
      </w:pPr>
      <w:rPr>
        <w:rFonts w:ascii="Wingdings" w:hAnsi="Wingdings" w:hint="default"/>
      </w:rPr>
    </w:lvl>
    <w:lvl w:ilvl="6" w:tplc="0409000F" w:tentative="1">
      <w:start w:val="1"/>
      <w:numFmt w:val="bullet"/>
      <w:lvlText w:val=""/>
      <w:lvlJc w:val="left"/>
      <w:pPr>
        <w:tabs>
          <w:tab w:val="num" w:pos="5749"/>
        </w:tabs>
        <w:ind w:left="5749" w:hanging="360"/>
      </w:pPr>
      <w:rPr>
        <w:rFonts w:ascii="Symbol" w:hAnsi="Symbol" w:hint="default"/>
      </w:rPr>
    </w:lvl>
    <w:lvl w:ilvl="7" w:tplc="04090019" w:tentative="1">
      <w:start w:val="1"/>
      <w:numFmt w:val="bullet"/>
      <w:lvlText w:val="o"/>
      <w:lvlJc w:val="left"/>
      <w:pPr>
        <w:tabs>
          <w:tab w:val="num" w:pos="6469"/>
        </w:tabs>
        <w:ind w:left="6469" w:hanging="360"/>
      </w:pPr>
      <w:rPr>
        <w:rFonts w:ascii="Courier New" w:hAnsi="Courier New" w:hint="default"/>
      </w:rPr>
    </w:lvl>
    <w:lvl w:ilvl="8" w:tplc="0409001B" w:tentative="1">
      <w:start w:val="1"/>
      <w:numFmt w:val="bullet"/>
      <w:lvlText w:val=""/>
      <w:lvlJc w:val="left"/>
      <w:pPr>
        <w:tabs>
          <w:tab w:val="num" w:pos="7189"/>
        </w:tabs>
        <w:ind w:left="7189" w:hanging="360"/>
      </w:pPr>
      <w:rPr>
        <w:rFonts w:ascii="Wingdings" w:hAnsi="Wingdings" w:hint="default"/>
      </w:rPr>
    </w:lvl>
  </w:abstractNum>
  <w:abstractNum w:abstractNumId="6">
    <w:nsid w:val="19865C46"/>
    <w:multiLevelType w:val="singleLevel"/>
    <w:tmpl w:val="C85AB61C"/>
    <w:lvl w:ilvl="0">
      <w:start w:val="1"/>
      <w:numFmt w:val="lowerLetter"/>
      <w:pStyle w:val="Alpha6"/>
      <w:lvlText w:val="%1."/>
      <w:lvlJc w:val="left"/>
      <w:pPr>
        <w:tabs>
          <w:tab w:val="num" w:pos="1004"/>
        </w:tabs>
        <w:ind w:left="567" w:hanging="283"/>
      </w:pPr>
      <w:rPr>
        <w:rFonts w:hint="default"/>
      </w:rPr>
    </w:lvl>
  </w:abstractNum>
  <w:abstractNum w:abstractNumId="7">
    <w:nsid w:val="1C91248F"/>
    <w:multiLevelType w:val="hybridMultilevel"/>
    <w:tmpl w:val="2F6CB646"/>
    <w:lvl w:ilvl="0" w:tplc="51F45DE0">
      <w:start w:val="1"/>
      <w:numFmt w:val="bullet"/>
      <w:pStyle w:val="Listing2"/>
      <w:lvlText w:val=""/>
      <w:lvlJc w:val="left"/>
      <w:pPr>
        <w:tabs>
          <w:tab w:val="num" w:pos="360"/>
        </w:tabs>
        <w:ind w:left="360" w:hanging="360"/>
      </w:pPr>
      <w:rPr>
        <w:rFonts w:ascii="Wingdings" w:hAnsi="Wingdings" w:hint="default"/>
        <w:color w:val="000000"/>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nsid w:val="276512B0"/>
    <w:multiLevelType w:val="hybridMultilevel"/>
    <w:tmpl w:val="3CE8FE56"/>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nsid w:val="33046CD1"/>
    <w:multiLevelType w:val="hybridMultilevel"/>
    <w:tmpl w:val="D4E2A468"/>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0">
    <w:nsid w:val="37D75F09"/>
    <w:multiLevelType w:val="hybridMultilevel"/>
    <w:tmpl w:val="2FB49A7A"/>
    <w:lvl w:ilvl="0" w:tplc="04090001">
      <w:start w:val="1"/>
      <w:numFmt w:val="lowerRoman"/>
      <w:lvlText w:val="(%1)"/>
      <w:lvlJc w:val="left"/>
      <w:pPr>
        <w:ind w:left="731" w:hanging="720"/>
      </w:pPr>
      <w:rPr>
        <w:rFonts w:hint="default"/>
      </w:rPr>
    </w:lvl>
    <w:lvl w:ilvl="1" w:tplc="04090003" w:tentative="1">
      <w:start w:val="1"/>
      <w:numFmt w:val="lowerLetter"/>
      <w:lvlText w:val="%2."/>
      <w:lvlJc w:val="left"/>
      <w:pPr>
        <w:ind w:left="1091" w:hanging="360"/>
      </w:pPr>
    </w:lvl>
    <w:lvl w:ilvl="2" w:tplc="04090005" w:tentative="1">
      <w:start w:val="1"/>
      <w:numFmt w:val="lowerRoman"/>
      <w:lvlText w:val="%3."/>
      <w:lvlJc w:val="right"/>
      <w:pPr>
        <w:ind w:left="1811" w:hanging="180"/>
      </w:pPr>
    </w:lvl>
    <w:lvl w:ilvl="3" w:tplc="04090001" w:tentative="1">
      <w:start w:val="1"/>
      <w:numFmt w:val="decimal"/>
      <w:lvlText w:val="%4."/>
      <w:lvlJc w:val="left"/>
      <w:pPr>
        <w:ind w:left="2531" w:hanging="360"/>
      </w:pPr>
    </w:lvl>
    <w:lvl w:ilvl="4" w:tplc="04090003" w:tentative="1">
      <w:start w:val="1"/>
      <w:numFmt w:val="lowerLetter"/>
      <w:lvlText w:val="%5."/>
      <w:lvlJc w:val="left"/>
      <w:pPr>
        <w:ind w:left="3251" w:hanging="360"/>
      </w:pPr>
    </w:lvl>
    <w:lvl w:ilvl="5" w:tplc="04090005" w:tentative="1">
      <w:start w:val="1"/>
      <w:numFmt w:val="lowerRoman"/>
      <w:lvlText w:val="%6."/>
      <w:lvlJc w:val="right"/>
      <w:pPr>
        <w:ind w:left="3971" w:hanging="180"/>
      </w:pPr>
    </w:lvl>
    <w:lvl w:ilvl="6" w:tplc="04090001" w:tentative="1">
      <w:start w:val="1"/>
      <w:numFmt w:val="decimal"/>
      <w:lvlText w:val="%7."/>
      <w:lvlJc w:val="left"/>
      <w:pPr>
        <w:ind w:left="4691" w:hanging="360"/>
      </w:pPr>
    </w:lvl>
    <w:lvl w:ilvl="7" w:tplc="04090003" w:tentative="1">
      <w:start w:val="1"/>
      <w:numFmt w:val="lowerLetter"/>
      <w:lvlText w:val="%8."/>
      <w:lvlJc w:val="left"/>
      <w:pPr>
        <w:ind w:left="5411" w:hanging="360"/>
      </w:pPr>
    </w:lvl>
    <w:lvl w:ilvl="8" w:tplc="04090005" w:tentative="1">
      <w:start w:val="1"/>
      <w:numFmt w:val="lowerRoman"/>
      <w:lvlText w:val="%9."/>
      <w:lvlJc w:val="right"/>
      <w:pPr>
        <w:ind w:left="6131" w:hanging="180"/>
      </w:pPr>
    </w:lvl>
  </w:abstractNum>
  <w:abstractNum w:abstractNumId="11">
    <w:nsid w:val="3A9F184F"/>
    <w:multiLevelType w:val="hybridMultilevel"/>
    <w:tmpl w:val="9EAA8D8A"/>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2">
    <w:nsid w:val="43874B1F"/>
    <w:multiLevelType w:val="hybridMultilevel"/>
    <w:tmpl w:val="C5EA378E"/>
    <w:lvl w:ilvl="0" w:tplc="F52666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880048"/>
    <w:multiLevelType w:val="multilevel"/>
    <w:tmpl w:val="7E68CF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CA63C95"/>
    <w:multiLevelType w:val="hybridMultilevel"/>
    <w:tmpl w:val="D8FCFA7C"/>
    <w:lvl w:ilvl="0" w:tplc="0001040C">
      <w:start w:val="1"/>
      <w:numFmt w:val="bullet"/>
      <w:lvlText w:val=""/>
      <w:lvlJc w:val="left"/>
      <w:pPr>
        <w:ind w:left="360" w:hanging="360"/>
      </w:pPr>
      <w:rPr>
        <w:rFonts w:ascii="Symbol" w:hAnsi="Symbol" w:hint="default"/>
      </w:rPr>
    </w:lvl>
    <w:lvl w:ilvl="1" w:tplc="0003040C" w:tentative="1">
      <w:start w:val="1"/>
      <w:numFmt w:val="bullet"/>
      <w:lvlText w:val="o"/>
      <w:lvlJc w:val="left"/>
      <w:pPr>
        <w:ind w:left="1080" w:hanging="360"/>
      </w:pPr>
      <w:rPr>
        <w:rFonts w:ascii="Courier New" w:hAnsi="Courier New" w:cs="Courier New" w:hint="default"/>
      </w:rPr>
    </w:lvl>
    <w:lvl w:ilvl="2" w:tplc="0005040C" w:tentative="1">
      <w:start w:val="1"/>
      <w:numFmt w:val="bullet"/>
      <w:lvlText w:val=""/>
      <w:lvlJc w:val="left"/>
      <w:pPr>
        <w:ind w:left="1800" w:hanging="360"/>
      </w:pPr>
      <w:rPr>
        <w:rFonts w:ascii="Wingdings" w:hAnsi="Wingdings" w:hint="default"/>
      </w:rPr>
    </w:lvl>
    <w:lvl w:ilvl="3" w:tplc="0001040C" w:tentative="1">
      <w:start w:val="1"/>
      <w:numFmt w:val="bullet"/>
      <w:lvlText w:val=""/>
      <w:lvlJc w:val="left"/>
      <w:pPr>
        <w:ind w:left="2520" w:hanging="360"/>
      </w:pPr>
      <w:rPr>
        <w:rFonts w:ascii="Symbol" w:hAnsi="Symbol" w:hint="default"/>
      </w:rPr>
    </w:lvl>
    <w:lvl w:ilvl="4" w:tplc="0003040C" w:tentative="1">
      <w:start w:val="1"/>
      <w:numFmt w:val="bullet"/>
      <w:lvlText w:val="o"/>
      <w:lvlJc w:val="left"/>
      <w:pPr>
        <w:ind w:left="3240" w:hanging="360"/>
      </w:pPr>
      <w:rPr>
        <w:rFonts w:ascii="Courier New" w:hAnsi="Courier New" w:cs="Courier New" w:hint="default"/>
      </w:rPr>
    </w:lvl>
    <w:lvl w:ilvl="5" w:tplc="0005040C" w:tentative="1">
      <w:start w:val="1"/>
      <w:numFmt w:val="bullet"/>
      <w:lvlText w:val=""/>
      <w:lvlJc w:val="left"/>
      <w:pPr>
        <w:ind w:left="3960" w:hanging="360"/>
      </w:pPr>
      <w:rPr>
        <w:rFonts w:ascii="Wingdings" w:hAnsi="Wingdings" w:hint="default"/>
      </w:rPr>
    </w:lvl>
    <w:lvl w:ilvl="6" w:tplc="0001040C" w:tentative="1">
      <w:start w:val="1"/>
      <w:numFmt w:val="bullet"/>
      <w:lvlText w:val=""/>
      <w:lvlJc w:val="left"/>
      <w:pPr>
        <w:ind w:left="4680" w:hanging="360"/>
      </w:pPr>
      <w:rPr>
        <w:rFonts w:ascii="Symbol" w:hAnsi="Symbol" w:hint="default"/>
      </w:rPr>
    </w:lvl>
    <w:lvl w:ilvl="7" w:tplc="0003040C" w:tentative="1">
      <w:start w:val="1"/>
      <w:numFmt w:val="bullet"/>
      <w:lvlText w:val="o"/>
      <w:lvlJc w:val="left"/>
      <w:pPr>
        <w:ind w:left="5400" w:hanging="360"/>
      </w:pPr>
      <w:rPr>
        <w:rFonts w:ascii="Courier New" w:hAnsi="Courier New" w:cs="Courier New" w:hint="default"/>
      </w:rPr>
    </w:lvl>
    <w:lvl w:ilvl="8" w:tplc="0005040C" w:tentative="1">
      <w:start w:val="1"/>
      <w:numFmt w:val="bullet"/>
      <w:lvlText w:val=""/>
      <w:lvlJc w:val="left"/>
      <w:pPr>
        <w:ind w:left="6120" w:hanging="360"/>
      </w:pPr>
      <w:rPr>
        <w:rFonts w:ascii="Wingdings" w:hAnsi="Wingdings" w:hint="default"/>
      </w:rPr>
    </w:lvl>
  </w:abstractNum>
  <w:abstractNum w:abstractNumId="15">
    <w:nsid w:val="547B40CA"/>
    <w:multiLevelType w:val="hybridMultilevel"/>
    <w:tmpl w:val="78107612"/>
    <w:lvl w:ilvl="0" w:tplc="04090001">
      <w:start w:val="1"/>
      <w:numFmt w:val="bullet"/>
      <w:lvlText w:val=""/>
      <w:lvlJc w:val="left"/>
      <w:pPr>
        <w:ind w:left="731" w:hanging="360"/>
      </w:pPr>
      <w:rPr>
        <w:rFonts w:ascii="Symbol" w:hAnsi="Symbol" w:hint="default"/>
      </w:rPr>
    </w:lvl>
    <w:lvl w:ilvl="1" w:tplc="04090003">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6">
    <w:nsid w:val="57843584"/>
    <w:multiLevelType w:val="hybridMultilevel"/>
    <w:tmpl w:val="7AA0A706"/>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7">
    <w:nsid w:val="5F0F7F1F"/>
    <w:multiLevelType w:val="hybridMultilevel"/>
    <w:tmpl w:val="2DBAC708"/>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8">
    <w:nsid w:val="62F3465C"/>
    <w:multiLevelType w:val="hybridMultilevel"/>
    <w:tmpl w:val="B396EE44"/>
    <w:lvl w:ilvl="0" w:tplc="86C83D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F0289F"/>
    <w:multiLevelType w:val="hybridMultilevel"/>
    <w:tmpl w:val="AF409E4E"/>
    <w:lvl w:ilvl="0" w:tplc="0409000F">
      <w:start w:val="1"/>
      <w:numFmt w:val="bullet"/>
      <w:pStyle w:val="23arialbullets"/>
      <w:lvlText w:val=""/>
      <w:lvlJc w:val="left"/>
      <w:pPr>
        <w:tabs>
          <w:tab w:val="num" w:pos="644"/>
        </w:tabs>
        <w:ind w:left="567" w:hanging="283"/>
      </w:pPr>
      <w:rPr>
        <w:rFonts w:ascii="Symbol" w:hAnsi="Symbol" w:hint="default"/>
        <w:color w:val="80808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67DF23C7"/>
    <w:multiLevelType w:val="multilevel"/>
    <w:tmpl w:val="7E68CF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D8669AD"/>
    <w:multiLevelType w:val="multilevel"/>
    <w:tmpl w:val="288E363C"/>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862" w:hanging="720"/>
      </w:pPr>
    </w:lvl>
    <w:lvl w:ilvl="3">
      <w:start w:val="1"/>
      <w:numFmt w:val="decimal"/>
      <w:pStyle w:val="Heading4"/>
      <w:lvlText w:val="%1.%2.%3.%4"/>
      <w:lvlJc w:val="left"/>
      <w:pPr>
        <w:ind w:left="95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6E6C74A7"/>
    <w:multiLevelType w:val="hybridMultilevel"/>
    <w:tmpl w:val="F962DCDA"/>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3">
    <w:nsid w:val="71F91BA9"/>
    <w:multiLevelType w:val="hybridMultilevel"/>
    <w:tmpl w:val="93F82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CE6F07"/>
    <w:multiLevelType w:val="hybridMultilevel"/>
    <w:tmpl w:val="92CE5D56"/>
    <w:lvl w:ilvl="0" w:tplc="0001040C">
      <w:start w:val="1"/>
      <w:numFmt w:val="bullet"/>
      <w:pStyle w:val="ListParagraph"/>
      <w:lvlText w:val=""/>
      <w:lvlJc w:val="left"/>
      <w:pPr>
        <w:ind w:left="630" w:hanging="360"/>
      </w:pPr>
      <w:rPr>
        <w:rFonts w:ascii="Symbol" w:hAnsi="Symbol" w:hint="default"/>
      </w:rPr>
    </w:lvl>
    <w:lvl w:ilvl="1" w:tplc="0003040C">
      <w:start w:val="1"/>
      <w:numFmt w:val="bullet"/>
      <w:lvlText w:val="o"/>
      <w:lvlJc w:val="left"/>
      <w:pPr>
        <w:ind w:left="2007" w:hanging="360"/>
      </w:pPr>
      <w:rPr>
        <w:rFonts w:ascii="Courier New" w:hAnsi="Courier New" w:cs="Courier New" w:hint="default"/>
      </w:rPr>
    </w:lvl>
    <w:lvl w:ilvl="2" w:tplc="0005040C" w:tentative="1">
      <w:start w:val="1"/>
      <w:numFmt w:val="bullet"/>
      <w:lvlText w:val=""/>
      <w:lvlJc w:val="left"/>
      <w:pPr>
        <w:ind w:left="2727" w:hanging="360"/>
      </w:pPr>
      <w:rPr>
        <w:rFonts w:ascii="Wingdings" w:hAnsi="Wingdings" w:hint="default"/>
      </w:rPr>
    </w:lvl>
    <w:lvl w:ilvl="3" w:tplc="0001040C" w:tentative="1">
      <w:start w:val="1"/>
      <w:numFmt w:val="bullet"/>
      <w:lvlText w:val=""/>
      <w:lvlJc w:val="left"/>
      <w:pPr>
        <w:ind w:left="3447" w:hanging="360"/>
      </w:pPr>
      <w:rPr>
        <w:rFonts w:ascii="Symbol" w:hAnsi="Symbol" w:hint="default"/>
      </w:rPr>
    </w:lvl>
    <w:lvl w:ilvl="4" w:tplc="0003040C" w:tentative="1">
      <w:start w:val="1"/>
      <w:numFmt w:val="bullet"/>
      <w:lvlText w:val="o"/>
      <w:lvlJc w:val="left"/>
      <w:pPr>
        <w:ind w:left="4167" w:hanging="360"/>
      </w:pPr>
      <w:rPr>
        <w:rFonts w:ascii="Courier New" w:hAnsi="Courier New" w:cs="Courier New" w:hint="default"/>
      </w:rPr>
    </w:lvl>
    <w:lvl w:ilvl="5" w:tplc="0005040C" w:tentative="1">
      <w:start w:val="1"/>
      <w:numFmt w:val="bullet"/>
      <w:lvlText w:val=""/>
      <w:lvlJc w:val="left"/>
      <w:pPr>
        <w:ind w:left="4887" w:hanging="360"/>
      </w:pPr>
      <w:rPr>
        <w:rFonts w:ascii="Wingdings" w:hAnsi="Wingdings" w:hint="default"/>
      </w:rPr>
    </w:lvl>
    <w:lvl w:ilvl="6" w:tplc="0001040C" w:tentative="1">
      <w:start w:val="1"/>
      <w:numFmt w:val="bullet"/>
      <w:lvlText w:val=""/>
      <w:lvlJc w:val="left"/>
      <w:pPr>
        <w:ind w:left="5607" w:hanging="360"/>
      </w:pPr>
      <w:rPr>
        <w:rFonts w:ascii="Symbol" w:hAnsi="Symbol" w:hint="default"/>
      </w:rPr>
    </w:lvl>
    <w:lvl w:ilvl="7" w:tplc="0003040C" w:tentative="1">
      <w:start w:val="1"/>
      <w:numFmt w:val="bullet"/>
      <w:lvlText w:val="o"/>
      <w:lvlJc w:val="left"/>
      <w:pPr>
        <w:ind w:left="6327" w:hanging="360"/>
      </w:pPr>
      <w:rPr>
        <w:rFonts w:ascii="Courier New" w:hAnsi="Courier New" w:cs="Courier New" w:hint="default"/>
      </w:rPr>
    </w:lvl>
    <w:lvl w:ilvl="8" w:tplc="0005040C" w:tentative="1">
      <w:start w:val="1"/>
      <w:numFmt w:val="bullet"/>
      <w:lvlText w:val=""/>
      <w:lvlJc w:val="left"/>
      <w:pPr>
        <w:ind w:left="7047" w:hanging="360"/>
      </w:pPr>
      <w:rPr>
        <w:rFonts w:ascii="Wingdings" w:hAnsi="Wingdings" w:hint="default"/>
      </w:rPr>
    </w:lvl>
  </w:abstractNum>
  <w:abstractNum w:abstractNumId="25">
    <w:nsid w:val="78484294"/>
    <w:multiLevelType w:val="hybridMultilevel"/>
    <w:tmpl w:val="42342272"/>
    <w:lvl w:ilvl="0" w:tplc="3BF6A076">
      <w:start w:val="3"/>
      <w:numFmt w:val="upperRoman"/>
      <w:lvlText w:val="%1."/>
      <w:lvlJc w:val="left"/>
      <w:pPr>
        <w:ind w:left="731" w:hanging="72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26">
    <w:nsid w:val="791C71E0"/>
    <w:multiLevelType w:val="singleLevel"/>
    <w:tmpl w:val="7932FF8C"/>
    <w:lvl w:ilvl="0">
      <w:start w:val="1"/>
      <w:numFmt w:val="bullet"/>
      <w:pStyle w:val="Tiret6"/>
      <w:lvlText w:val="-"/>
      <w:lvlJc w:val="left"/>
      <w:pPr>
        <w:tabs>
          <w:tab w:val="num" w:pos="360"/>
        </w:tabs>
        <w:ind w:left="360" w:hanging="360"/>
      </w:pPr>
      <w:rPr>
        <w:rFonts w:ascii="Times New Roman" w:hAnsi="Times New Roman" w:hint="default"/>
      </w:rPr>
    </w:lvl>
  </w:abstractNum>
  <w:num w:numId="1">
    <w:abstractNumId w:val="6"/>
  </w:num>
  <w:num w:numId="2">
    <w:abstractNumId w:val="26"/>
  </w:num>
  <w:num w:numId="3">
    <w:abstractNumId w:val="1"/>
  </w:num>
  <w:num w:numId="4">
    <w:abstractNumId w:val="2"/>
  </w:num>
  <w:num w:numId="5">
    <w:abstractNumId w:val="7"/>
  </w:num>
  <w:num w:numId="6">
    <w:abstractNumId w:val="0"/>
  </w:num>
  <w:num w:numId="7">
    <w:abstractNumId w:val="21"/>
  </w:num>
  <w:num w:numId="8">
    <w:abstractNumId w:val="19"/>
  </w:num>
  <w:num w:numId="9">
    <w:abstractNumId w:val="24"/>
  </w:num>
  <w:num w:numId="10">
    <w:abstractNumId w:val="5"/>
  </w:num>
  <w:num w:numId="11">
    <w:abstractNumId w:val="3"/>
  </w:num>
  <w:num w:numId="12">
    <w:abstractNumId w:val="14"/>
  </w:num>
  <w:num w:numId="13">
    <w:abstractNumId w:val="2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 w:numId="17">
    <w:abstractNumId w:val="16"/>
  </w:num>
  <w:num w:numId="18">
    <w:abstractNumId w:val="11"/>
  </w:num>
  <w:num w:numId="19">
    <w:abstractNumId w:val="22"/>
  </w:num>
  <w:num w:numId="20">
    <w:abstractNumId w:val="15"/>
  </w:num>
  <w:num w:numId="21">
    <w:abstractNumId w:val="17"/>
  </w:num>
  <w:num w:numId="22">
    <w:abstractNumId w:val="23"/>
  </w:num>
  <w:num w:numId="23">
    <w:abstractNumId w:val="4"/>
  </w:num>
  <w:num w:numId="24">
    <w:abstractNumId w:val="20"/>
  </w:num>
  <w:num w:numId="25">
    <w:abstractNumId w:val="13"/>
  </w:num>
  <w:num w:numId="26">
    <w:abstractNumId w:val="18"/>
  </w:num>
  <w:num w:numId="27">
    <w:abstractNumId w:val="25"/>
  </w:num>
  <w:num w:numId="28">
    <w:abstractNumId w:val="1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5"/>
  <w:displayHorizontalDrawingGridEvery w:val="2"/>
  <w:characterSpacingControl w:val="doNotCompress"/>
  <w:hdrShapeDefaults>
    <o:shapedefaults v:ext="edit" spidmax="27649"/>
  </w:hdrShapeDefaults>
  <w:footnotePr>
    <w:footnote w:id="-1"/>
    <w:footnote w:id="0"/>
  </w:footnotePr>
  <w:endnotePr>
    <w:endnote w:id="-1"/>
    <w:endnote w:id="0"/>
  </w:endnotePr>
  <w:compat/>
  <w:rsids>
    <w:rsidRoot w:val="00772966"/>
    <w:rsid w:val="0000089E"/>
    <w:rsid w:val="00000C04"/>
    <w:rsid w:val="000018E7"/>
    <w:rsid w:val="00004430"/>
    <w:rsid w:val="0000606D"/>
    <w:rsid w:val="00006193"/>
    <w:rsid w:val="00011933"/>
    <w:rsid w:val="0001252C"/>
    <w:rsid w:val="000127F3"/>
    <w:rsid w:val="00012EE1"/>
    <w:rsid w:val="00014C99"/>
    <w:rsid w:val="00015568"/>
    <w:rsid w:val="000162B5"/>
    <w:rsid w:val="00016A76"/>
    <w:rsid w:val="00017EB0"/>
    <w:rsid w:val="00020B51"/>
    <w:rsid w:val="00021478"/>
    <w:rsid w:val="000215F2"/>
    <w:rsid w:val="000237A5"/>
    <w:rsid w:val="00023BC8"/>
    <w:rsid w:val="00023DD2"/>
    <w:rsid w:val="00024CD4"/>
    <w:rsid w:val="00025036"/>
    <w:rsid w:val="00031088"/>
    <w:rsid w:val="0003239E"/>
    <w:rsid w:val="0003294E"/>
    <w:rsid w:val="000333D1"/>
    <w:rsid w:val="000341D1"/>
    <w:rsid w:val="0003469E"/>
    <w:rsid w:val="0003626C"/>
    <w:rsid w:val="00036355"/>
    <w:rsid w:val="00036F61"/>
    <w:rsid w:val="00037582"/>
    <w:rsid w:val="0004108B"/>
    <w:rsid w:val="00042B81"/>
    <w:rsid w:val="00043CFC"/>
    <w:rsid w:val="0004488B"/>
    <w:rsid w:val="00044A59"/>
    <w:rsid w:val="00045006"/>
    <w:rsid w:val="00045107"/>
    <w:rsid w:val="0004510B"/>
    <w:rsid w:val="00046466"/>
    <w:rsid w:val="0005074A"/>
    <w:rsid w:val="00051404"/>
    <w:rsid w:val="000517F9"/>
    <w:rsid w:val="00051F2F"/>
    <w:rsid w:val="00051F7B"/>
    <w:rsid w:val="00052089"/>
    <w:rsid w:val="00052D5C"/>
    <w:rsid w:val="00053206"/>
    <w:rsid w:val="0005483E"/>
    <w:rsid w:val="000552CF"/>
    <w:rsid w:val="00055361"/>
    <w:rsid w:val="00056ED1"/>
    <w:rsid w:val="000604DD"/>
    <w:rsid w:val="000617C3"/>
    <w:rsid w:val="000619C4"/>
    <w:rsid w:val="00063DB9"/>
    <w:rsid w:val="00064148"/>
    <w:rsid w:val="000641D2"/>
    <w:rsid w:val="000655B7"/>
    <w:rsid w:val="00065DA3"/>
    <w:rsid w:val="00067F73"/>
    <w:rsid w:val="000700CD"/>
    <w:rsid w:val="0007078A"/>
    <w:rsid w:val="000709B5"/>
    <w:rsid w:val="00070C73"/>
    <w:rsid w:val="00071049"/>
    <w:rsid w:val="00071357"/>
    <w:rsid w:val="00072CBC"/>
    <w:rsid w:val="00075489"/>
    <w:rsid w:val="000772B6"/>
    <w:rsid w:val="00077779"/>
    <w:rsid w:val="000777F2"/>
    <w:rsid w:val="00077BC6"/>
    <w:rsid w:val="00080220"/>
    <w:rsid w:val="0008061F"/>
    <w:rsid w:val="00080D4D"/>
    <w:rsid w:val="00081108"/>
    <w:rsid w:val="00081724"/>
    <w:rsid w:val="00082090"/>
    <w:rsid w:val="00082CF2"/>
    <w:rsid w:val="00082FD5"/>
    <w:rsid w:val="00083723"/>
    <w:rsid w:val="00083B53"/>
    <w:rsid w:val="00083CBC"/>
    <w:rsid w:val="0008418C"/>
    <w:rsid w:val="0008436C"/>
    <w:rsid w:val="00084CBF"/>
    <w:rsid w:val="000854CE"/>
    <w:rsid w:val="0008552C"/>
    <w:rsid w:val="000867CB"/>
    <w:rsid w:val="000902A3"/>
    <w:rsid w:val="00091166"/>
    <w:rsid w:val="00092128"/>
    <w:rsid w:val="000929E9"/>
    <w:rsid w:val="00092BE8"/>
    <w:rsid w:val="00093636"/>
    <w:rsid w:val="00094278"/>
    <w:rsid w:val="000942A8"/>
    <w:rsid w:val="0009469B"/>
    <w:rsid w:val="000959B5"/>
    <w:rsid w:val="00096D4A"/>
    <w:rsid w:val="0009711A"/>
    <w:rsid w:val="00097A0A"/>
    <w:rsid w:val="000A09A7"/>
    <w:rsid w:val="000A2C7D"/>
    <w:rsid w:val="000A2CA8"/>
    <w:rsid w:val="000A4928"/>
    <w:rsid w:val="000A6EC6"/>
    <w:rsid w:val="000A7898"/>
    <w:rsid w:val="000B029F"/>
    <w:rsid w:val="000B0793"/>
    <w:rsid w:val="000B0D1C"/>
    <w:rsid w:val="000B1155"/>
    <w:rsid w:val="000B3C4A"/>
    <w:rsid w:val="000B5F10"/>
    <w:rsid w:val="000B6132"/>
    <w:rsid w:val="000B681F"/>
    <w:rsid w:val="000C030A"/>
    <w:rsid w:val="000C0E22"/>
    <w:rsid w:val="000C0EB4"/>
    <w:rsid w:val="000C3C7D"/>
    <w:rsid w:val="000C4106"/>
    <w:rsid w:val="000C4715"/>
    <w:rsid w:val="000C60A6"/>
    <w:rsid w:val="000C74A4"/>
    <w:rsid w:val="000D02EA"/>
    <w:rsid w:val="000D1750"/>
    <w:rsid w:val="000D2BC1"/>
    <w:rsid w:val="000D3F47"/>
    <w:rsid w:val="000D437D"/>
    <w:rsid w:val="000D57C1"/>
    <w:rsid w:val="000D6688"/>
    <w:rsid w:val="000D6F4E"/>
    <w:rsid w:val="000E206E"/>
    <w:rsid w:val="000E2C31"/>
    <w:rsid w:val="000E3866"/>
    <w:rsid w:val="000E4193"/>
    <w:rsid w:val="000E467D"/>
    <w:rsid w:val="000E51B9"/>
    <w:rsid w:val="000E633D"/>
    <w:rsid w:val="000E6D52"/>
    <w:rsid w:val="000E7424"/>
    <w:rsid w:val="000E7468"/>
    <w:rsid w:val="000E77D8"/>
    <w:rsid w:val="000F0A0F"/>
    <w:rsid w:val="000F2EC6"/>
    <w:rsid w:val="000F3BD5"/>
    <w:rsid w:val="000F5363"/>
    <w:rsid w:val="000F6E79"/>
    <w:rsid w:val="0010004D"/>
    <w:rsid w:val="00100676"/>
    <w:rsid w:val="0010079D"/>
    <w:rsid w:val="00100B49"/>
    <w:rsid w:val="00100D20"/>
    <w:rsid w:val="00100D3A"/>
    <w:rsid w:val="00100E34"/>
    <w:rsid w:val="001013F9"/>
    <w:rsid w:val="00101883"/>
    <w:rsid w:val="0010192B"/>
    <w:rsid w:val="00101951"/>
    <w:rsid w:val="00102729"/>
    <w:rsid w:val="001032BC"/>
    <w:rsid w:val="001034D7"/>
    <w:rsid w:val="00103B35"/>
    <w:rsid w:val="00106687"/>
    <w:rsid w:val="00106DBA"/>
    <w:rsid w:val="001079A1"/>
    <w:rsid w:val="00111C67"/>
    <w:rsid w:val="001136BF"/>
    <w:rsid w:val="00113D90"/>
    <w:rsid w:val="00113E4A"/>
    <w:rsid w:val="001156C7"/>
    <w:rsid w:val="00116B6E"/>
    <w:rsid w:val="00116D39"/>
    <w:rsid w:val="00117452"/>
    <w:rsid w:val="00117EE7"/>
    <w:rsid w:val="001203BB"/>
    <w:rsid w:val="00120A50"/>
    <w:rsid w:val="00120F32"/>
    <w:rsid w:val="00121A8E"/>
    <w:rsid w:val="00123485"/>
    <w:rsid w:val="0012364B"/>
    <w:rsid w:val="001240A8"/>
    <w:rsid w:val="00125B76"/>
    <w:rsid w:val="00125CE3"/>
    <w:rsid w:val="001262BF"/>
    <w:rsid w:val="0012649E"/>
    <w:rsid w:val="00126EC9"/>
    <w:rsid w:val="00127D15"/>
    <w:rsid w:val="001308A7"/>
    <w:rsid w:val="001315D2"/>
    <w:rsid w:val="00131630"/>
    <w:rsid w:val="00131BD4"/>
    <w:rsid w:val="00132F28"/>
    <w:rsid w:val="00134061"/>
    <w:rsid w:val="00134CD0"/>
    <w:rsid w:val="00134E2C"/>
    <w:rsid w:val="00135A6D"/>
    <w:rsid w:val="0014096C"/>
    <w:rsid w:val="00140F55"/>
    <w:rsid w:val="0014244D"/>
    <w:rsid w:val="0014269F"/>
    <w:rsid w:val="00142ED7"/>
    <w:rsid w:val="001436C9"/>
    <w:rsid w:val="00143AC6"/>
    <w:rsid w:val="00143EB6"/>
    <w:rsid w:val="00144809"/>
    <w:rsid w:val="00146AD6"/>
    <w:rsid w:val="00147BEF"/>
    <w:rsid w:val="00150342"/>
    <w:rsid w:val="001507B5"/>
    <w:rsid w:val="00151519"/>
    <w:rsid w:val="00151AD4"/>
    <w:rsid w:val="00154DA3"/>
    <w:rsid w:val="001552DA"/>
    <w:rsid w:val="00155E12"/>
    <w:rsid w:val="00157A7F"/>
    <w:rsid w:val="001602D3"/>
    <w:rsid w:val="00160DFD"/>
    <w:rsid w:val="00160E82"/>
    <w:rsid w:val="001613D4"/>
    <w:rsid w:val="001618C4"/>
    <w:rsid w:val="0016239B"/>
    <w:rsid w:val="00162F04"/>
    <w:rsid w:val="0016368E"/>
    <w:rsid w:val="00164152"/>
    <w:rsid w:val="0016445D"/>
    <w:rsid w:val="00165FA5"/>
    <w:rsid w:val="00166933"/>
    <w:rsid w:val="001675A4"/>
    <w:rsid w:val="0016776D"/>
    <w:rsid w:val="001678CB"/>
    <w:rsid w:val="00171EB0"/>
    <w:rsid w:val="00172BF6"/>
    <w:rsid w:val="00174FCE"/>
    <w:rsid w:val="0017519F"/>
    <w:rsid w:val="00175CEF"/>
    <w:rsid w:val="0017668B"/>
    <w:rsid w:val="0017688E"/>
    <w:rsid w:val="00180374"/>
    <w:rsid w:val="0018052F"/>
    <w:rsid w:val="00180557"/>
    <w:rsid w:val="0018145F"/>
    <w:rsid w:val="00181FFA"/>
    <w:rsid w:val="0018224C"/>
    <w:rsid w:val="00183B56"/>
    <w:rsid w:val="00184900"/>
    <w:rsid w:val="00184E10"/>
    <w:rsid w:val="00187580"/>
    <w:rsid w:val="001907EF"/>
    <w:rsid w:val="00190B25"/>
    <w:rsid w:val="00192AFC"/>
    <w:rsid w:val="00192BBA"/>
    <w:rsid w:val="00194725"/>
    <w:rsid w:val="00194744"/>
    <w:rsid w:val="001970FD"/>
    <w:rsid w:val="00197EE9"/>
    <w:rsid w:val="001A1773"/>
    <w:rsid w:val="001A1ADD"/>
    <w:rsid w:val="001A29B2"/>
    <w:rsid w:val="001A2C22"/>
    <w:rsid w:val="001A45AE"/>
    <w:rsid w:val="001A50AA"/>
    <w:rsid w:val="001A5586"/>
    <w:rsid w:val="001A5F35"/>
    <w:rsid w:val="001A60FC"/>
    <w:rsid w:val="001A633C"/>
    <w:rsid w:val="001A6695"/>
    <w:rsid w:val="001A7C09"/>
    <w:rsid w:val="001A7CAB"/>
    <w:rsid w:val="001B0851"/>
    <w:rsid w:val="001B2526"/>
    <w:rsid w:val="001B3DB0"/>
    <w:rsid w:val="001B3E41"/>
    <w:rsid w:val="001B4318"/>
    <w:rsid w:val="001B498E"/>
    <w:rsid w:val="001C0077"/>
    <w:rsid w:val="001C199E"/>
    <w:rsid w:val="001C2849"/>
    <w:rsid w:val="001C3512"/>
    <w:rsid w:val="001C39FA"/>
    <w:rsid w:val="001C58EE"/>
    <w:rsid w:val="001C6389"/>
    <w:rsid w:val="001C6AEC"/>
    <w:rsid w:val="001C7E56"/>
    <w:rsid w:val="001D0067"/>
    <w:rsid w:val="001D0534"/>
    <w:rsid w:val="001D0E52"/>
    <w:rsid w:val="001D0FFF"/>
    <w:rsid w:val="001D15A2"/>
    <w:rsid w:val="001D2879"/>
    <w:rsid w:val="001D3057"/>
    <w:rsid w:val="001D4896"/>
    <w:rsid w:val="001D4DA4"/>
    <w:rsid w:val="001D5238"/>
    <w:rsid w:val="001D7A13"/>
    <w:rsid w:val="001E16DC"/>
    <w:rsid w:val="001E23F5"/>
    <w:rsid w:val="001E317F"/>
    <w:rsid w:val="001E347E"/>
    <w:rsid w:val="001E40AE"/>
    <w:rsid w:val="001E4BBD"/>
    <w:rsid w:val="001E7D05"/>
    <w:rsid w:val="001F03DD"/>
    <w:rsid w:val="001F25D8"/>
    <w:rsid w:val="001F35FD"/>
    <w:rsid w:val="001F45C7"/>
    <w:rsid w:val="001F5299"/>
    <w:rsid w:val="001F52FF"/>
    <w:rsid w:val="00200F73"/>
    <w:rsid w:val="00201395"/>
    <w:rsid w:val="002019A8"/>
    <w:rsid w:val="002024AD"/>
    <w:rsid w:val="002028DA"/>
    <w:rsid w:val="00202F77"/>
    <w:rsid w:val="002031D8"/>
    <w:rsid w:val="0020335C"/>
    <w:rsid w:val="0020411B"/>
    <w:rsid w:val="00205237"/>
    <w:rsid w:val="002056AB"/>
    <w:rsid w:val="00206A93"/>
    <w:rsid w:val="00206F89"/>
    <w:rsid w:val="00207285"/>
    <w:rsid w:val="00207742"/>
    <w:rsid w:val="00207A3C"/>
    <w:rsid w:val="00207B5A"/>
    <w:rsid w:val="00210E4A"/>
    <w:rsid w:val="00211824"/>
    <w:rsid w:val="00211D25"/>
    <w:rsid w:val="0021212E"/>
    <w:rsid w:val="0021242F"/>
    <w:rsid w:val="00212570"/>
    <w:rsid w:val="00215BC3"/>
    <w:rsid w:val="00215DDF"/>
    <w:rsid w:val="00215E51"/>
    <w:rsid w:val="002166B0"/>
    <w:rsid w:val="0021742D"/>
    <w:rsid w:val="00217620"/>
    <w:rsid w:val="00220856"/>
    <w:rsid w:val="00221A10"/>
    <w:rsid w:val="00221EAC"/>
    <w:rsid w:val="002223B7"/>
    <w:rsid w:val="00224022"/>
    <w:rsid w:val="002242B1"/>
    <w:rsid w:val="00224408"/>
    <w:rsid w:val="00225344"/>
    <w:rsid w:val="00226509"/>
    <w:rsid w:val="0022654A"/>
    <w:rsid w:val="0023019D"/>
    <w:rsid w:val="00230FBF"/>
    <w:rsid w:val="00231E0C"/>
    <w:rsid w:val="00232F28"/>
    <w:rsid w:val="00232F36"/>
    <w:rsid w:val="00234106"/>
    <w:rsid w:val="002345AD"/>
    <w:rsid w:val="00235188"/>
    <w:rsid w:val="002359DA"/>
    <w:rsid w:val="002404D6"/>
    <w:rsid w:val="002405F1"/>
    <w:rsid w:val="00244F13"/>
    <w:rsid w:val="002451EC"/>
    <w:rsid w:val="002455DC"/>
    <w:rsid w:val="00247438"/>
    <w:rsid w:val="00247C04"/>
    <w:rsid w:val="00250F89"/>
    <w:rsid w:val="00255AA6"/>
    <w:rsid w:val="00255DA1"/>
    <w:rsid w:val="00256573"/>
    <w:rsid w:val="00257435"/>
    <w:rsid w:val="0025759E"/>
    <w:rsid w:val="002620B5"/>
    <w:rsid w:val="002632B7"/>
    <w:rsid w:val="00263E51"/>
    <w:rsid w:val="00263EB9"/>
    <w:rsid w:val="0026541E"/>
    <w:rsid w:val="00265B6C"/>
    <w:rsid w:val="002675BE"/>
    <w:rsid w:val="00267AE7"/>
    <w:rsid w:val="00267B60"/>
    <w:rsid w:val="00267F05"/>
    <w:rsid w:val="00270D2E"/>
    <w:rsid w:val="00272689"/>
    <w:rsid w:val="002735C2"/>
    <w:rsid w:val="002743F8"/>
    <w:rsid w:val="00275221"/>
    <w:rsid w:val="0027542D"/>
    <w:rsid w:val="002757DC"/>
    <w:rsid w:val="00277349"/>
    <w:rsid w:val="00280B53"/>
    <w:rsid w:val="00280B98"/>
    <w:rsid w:val="0028192F"/>
    <w:rsid w:val="00282501"/>
    <w:rsid w:val="00284AD4"/>
    <w:rsid w:val="00285CB8"/>
    <w:rsid w:val="00286259"/>
    <w:rsid w:val="00287C2B"/>
    <w:rsid w:val="00287F6C"/>
    <w:rsid w:val="002904BB"/>
    <w:rsid w:val="00290E4D"/>
    <w:rsid w:val="00290F3C"/>
    <w:rsid w:val="00291EA1"/>
    <w:rsid w:val="00293864"/>
    <w:rsid w:val="002946AE"/>
    <w:rsid w:val="00294D6E"/>
    <w:rsid w:val="00295031"/>
    <w:rsid w:val="002959F8"/>
    <w:rsid w:val="00295B1C"/>
    <w:rsid w:val="0029682D"/>
    <w:rsid w:val="002970FA"/>
    <w:rsid w:val="002971A7"/>
    <w:rsid w:val="002A29D1"/>
    <w:rsid w:val="002A2C90"/>
    <w:rsid w:val="002A2EF9"/>
    <w:rsid w:val="002A2F02"/>
    <w:rsid w:val="002A32DA"/>
    <w:rsid w:val="002A3A51"/>
    <w:rsid w:val="002A722B"/>
    <w:rsid w:val="002A7600"/>
    <w:rsid w:val="002A7B51"/>
    <w:rsid w:val="002B010B"/>
    <w:rsid w:val="002B03C9"/>
    <w:rsid w:val="002B1760"/>
    <w:rsid w:val="002B252C"/>
    <w:rsid w:val="002B2675"/>
    <w:rsid w:val="002B2F88"/>
    <w:rsid w:val="002B359C"/>
    <w:rsid w:val="002B3DC8"/>
    <w:rsid w:val="002B4F11"/>
    <w:rsid w:val="002B51A3"/>
    <w:rsid w:val="002B554A"/>
    <w:rsid w:val="002B5AC4"/>
    <w:rsid w:val="002B5AE6"/>
    <w:rsid w:val="002B6321"/>
    <w:rsid w:val="002B6D2A"/>
    <w:rsid w:val="002C0D7E"/>
    <w:rsid w:val="002C0EE2"/>
    <w:rsid w:val="002C17A4"/>
    <w:rsid w:val="002C186C"/>
    <w:rsid w:val="002C1FAE"/>
    <w:rsid w:val="002C2AAF"/>
    <w:rsid w:val="002C2BC9"/>
    <w:rsid w:val="002C307D"/>
    <w:rsid w:val="002C3728"/>
    <w:rsid w:val="002C379A"/>
    <w:rsid w:val="002C38C2"/>
    <w:rsid w:val="002C3ADC"/>
    <w:rsid w:val="002C3BED"/>
    <w:rsid w:val="002C3E91"/>
    <w:rsid w:val="002C4114"/>
    <w:rsid w:val="002C4CCF"/>
    <w:rsid w:val="002C5D1A"/>
    <w:rsid w:val="002C6D6E"/>
    <w:rsid w:val="002C7795"/>
    <w:rsid w:val="002D08E3"/>
    <w:rsid w:val="002D155B"/>
    <w:rsid w:val="002D1A05"/>
    <w:rsid w:val="002D2930"/>
    <w:rsid w:val="002D2EF4"/>
    <w:rsid w:val="002D3E1F"/>
    <w:rsid w:val="002D3E93"/>
    <w:rsid w:val="002D549A"/>
    <w:rsid w:val="002D5E8F"/>
    <w:rsid w:val="002D65C6"/>
    <w:rsid w:val="002E0374"/>
    <w:rsid w:val="002E0568"/>
    <w:rsid w:val="002E099A"/>
    <w:rsid w:val="002E0CCB"/>
    <w:rsid w:val="002E1905"/>
    <w:rsid w:val="002E1B66"/>
    <w:rsid w:val="002E372E"/>
    <w:rsid w:val="002E3BD5"/>
    <w:rsid w:val="002E3CCA"/>
    <w:rsid w:val="002E3DCA"/>
    <w:rsid w:val="002E417F"/>
    <w:rsid w:val="002E5846"/>
    <w:rsid w:val="002E7628"/>
    <w:rsid w:val="002F0051"/>
    <w:rsid w:val="002F00DE"/>
    <w:rsid w:val="002F0553"/>
    <w:rsid w:val="002F0729"/>
    <w:rsid w:val="002F0D16"/>
    <w:rsid w:val="002F17B4"/>
    <w:rsid w:val="002F2A30"/>
    <w:rsid w:val="002F2DB8"/>
    <w:rsid w:val="002F2E30"/>
    <w:rsid w:val="002F3C37"/>
    <w:rsid w:val="002F3D22"/>
    <w:rsid w:val="002F44E0"/>
    <w:rsid w:val="002F6C3E"/>
    <w:rsid w:val="002F71BE"/>
    <w:rsid w:val="0030017F"/>
    <w:rsid w:val="003004F9"/>
    <w:rsid w:val="00300CDF"/>
    <w:rsid w:val="00301F8C"/>
    <w:rsid w:val="00302537"/>
    <w:rsid w:val="00303486"/>
    <w:rsid w:val="00303B3B"/>
    <w:rsid w:val="00305625"/>
    <w:rsid w:val="003057CA"/>
    <w:rsid w:val="003058EF"/>
    <w:rsid w:val="003064C7"/>
    <w:rsid w:val="003067C6"/>
    <w:rsid w:val="00310F10"/>
    <w:rsid w:val="00312A20"/>
    <w:rsid w:val="00315007"/>
    <w:rsid w:val="0031581E"/>
    <w:rsid w:val="0031586C"/>
    <w:rsid w:val="0031642A"/>
    <w:rsid w:val="00317058"/>
    <w:rsid w:val="00317CA0"/>
    <w:rsid w:val="003206B3"/>
    <w:rsid w:val="00322E90"/>
    <w:rsid w:val="00323E26"/>
    <w:rsid w:val="00326852"/>
    <w:rsid w:val="003269E0"/>
    <w:rsid w:val="003272E4"/>
    <w:rsid w:val="003303C5"/>
    <w:rsid w:val="00331511"/>
    <w:rsid w:val="00331F51"/>
    <w:rsid w:val="00332121"/>
    <w:rsid w:val="00332195"/>
    <w:rsid w:val="003322AE"/>
    <w:rsid w:val="00332754"/>
    <w:rsid w:val="00333A08"/>
    <w:rsid w:val="00333BD4"/>
    <w:rsid w:val="00336D21"/>
    <w:rsid w:val="003376B6"/>
    <w:rsid w:val="00337D85"/>
    <w:rsid w:val="00340AF1"/>
    <w:rsid w:val="00340BFD"/>
    <w:rsid w:val="0034280D"/>
    <w:rsid w:val="0034388B"/>
    <w:rsid w:val="003456DA"/>
    <w:rsid w:val="00345881"/>
    <w:rsid w:val="003463A4"/>
    <w:rsid w:val="003472FC"/>
    <w:rsid w:val="003476EA"/>
    <w:rsid w:val="0035066D"/>
    <w:rsid w:val="00351B18"/>
    <w:rsid w:val="00353C42"/>
    <w:rsid w:val="003547BE"/>
    <w:rsid w:val="003578EC"/>
    <w:rsid w:val="00357ACC"/>
    <w:rsid w:val="00357EB3"/>
    <w:rsid w:val="00360AED"/>
    <w:rsid w:val="00361AAD"/>
    <w:rsid w:val="0036477F"/>
    <w:rsid w:val="00365219"/>
    <w:rsid w:val="00365943"/>
    <w:rsid w:val="00366310"/>
    <w:rsid w:val="003665F9"/>
    <w:rsid w:val="00367916"/>
    <w:rsid w:val="00367D0E"/>
    <w:rsid w:val="00370D94"/>
    <w:rsid w:val="003710E7"/>
    <w:rsid w:val="0037458D"/>
    <w:rsid w:val="00374897"/>
    <w:rsid w:val="00374CB8"/>
    <w:rsid w:val="0037647A"/>
    <w:rsid w:val="0037650B"/>
    <w:rsid w:val="00377E00"/>
    <w:rsid w:val="0038034F"/>
    <w:rsid w:val="003809F3"/>
    <w:rsid w:val="00381097"/>
    <w:rsid w:val="00381ABD"/>
    <w:rsid w:val="00382BA8"/>
    <w:rsid w:val="003845E9"/>
    <w:rsid w:val="0038479A"/>
    <w:rsid w:val="00384E04"/>
    <w:rsid w:val="003858A9"/>
    <w:rsid w:val="00386279"/>
    <w:rsid w:val="003871B6"/>
    <w:rsid w:val="0038789C"/>
    <w:rsid w:val="00390835"/>
    <w:rsid w:val="00390B50"/>
    <w:rsid w:val="0039219F"/>
    <w:rsid w:val="0039428D"/>
    <w:rsid w:val="00395949"/>
    <w:rsid w:val="00396634"/>
    <w:rsid w:val="00396E4F"/>
    <w:rsid w:val="0039706A"/>
    <w:rsid w:val="00397E12"/>
    <w:rsid w:val="003A0410"/>
    <w:rsid w:val="003A063D"/>
    <w:rsid w:val="003A08E8"/>
    <w:rsid w:val="003A2D80"/>
    <w:rsid w:val="003A415B"/>
    <w:rsid w:val="003A4DFE"/>
    <w:rsid w:val="003A557B"/>
    <w:rsid w:val="003A5BAD"/>
    <w:rsid w:val="003B07F6"/>
    <w:rsid w:val="003B109F"/>
    <w:rsid w:val="003B1925"/>
    <w:rsid w:val="003B1EAA"/>
    <w:rsid w:val="003B2110"/>
    <w:rsid w:val="003B26CE"/>
    <w:rsid w:val="003B32CF"/>
    <w:rsid w:val="003B3B3B"/>
    <w:rsid w:val="003B5C15"/>
    <w:rsid w:val="003B6E6C"/>
    <w:rsid w:val="003C0067"/>
    <w:rsid w:val="003C2A29"/>
    <w:rsid w:val="003C3B36"/>
    <w:rsid w:val="003C45FD"/>
    <w:rsid w:val="003C49E2"/>
    <w:rsid w:val="003C53FF"/>
    <w:rsid w:val="003C623C"/>
    <w:rsid w:val="003C6FD0"/>
    <w:rsid w:val="003C7FAA"/>
    <w:rsid w:val="003D3331"/>
    <w:rsid w:val="003D3A64"/>
    <w:rsid w:val="003D75C3"/>
    <w:rsid w:val="003D7605"/>
    <w:rsid w:val="003E1D43"/>
    <w:rsid w:val="003E1E6A"/>
    <w:rsid w:val="003E24EC"/>
    <w:rsid w:val="003E2AAD"/>
    <w:rsid w:val="003E2B6D"/>
    <w:rsid w:val="003E3472"/>
    <w:rsid w:val="003E4948"/>
    <w:rsid w:val="003E56FC"/>
    <w:rsid w:val="003E602F"/>
    <w:rsid w:val="003E6988"/>
    <w:rsid w:val="003E6C43"/>
    <w:rsid w:val="003E6F7E"/>
    <w:rsid w:val="003E7B04"/>
    <w:rsid w:val="003F0212"/>
    <w:rsid w:val="003F06CA"/>
    <w:rsid w:val="003F0F44"/>
    <w:rsid w:val="003F1447"/>
    <w:rsid w:val="003F1A1B"/>
    <w:rsid w:val="003F2BBA"/>
    <w:rsid w:val="003F2C55"/>
    <w:rsid w:val="003F2FBB"/>
    <w:rsid w:val="003F3494"/>
    <w:rsid w:val="003F366F"/>
    <w:rsid w:val="003F4872"/>
    <w:rsid w:val="003F6F72"/>
    <w:rsid w:val="003F715B"/>
    <w:rsid w:val="003F7A73"/>
    <w:rsid w:val="003F7BFA"/>
    <w:rsid w:val="00400024"/>
    <w:rsid w:val="00400209"/>
    <w:rsid w:val="004029B8"/>
    <w:rsid w:val="00404998"/>
    <w:rsid w:val="004053F4"/>
    <w:rsid w:val="00405CBF"/>
    <w:rsid w:val="0040607A"/>
    <w:rsid w:val="00406F7F"/>
    <w:rsid w:val="004073A0"/>
    <w:rsid w:val="0040757A"/>
    <w:rsid w:val="00411E15"/>
    <w:rsid w:val="004125C5"/>
    <w:rsid w:val="00412D42"/>
    <w:rsid w:val="00412F44"/>
    <w:rsid w:val="004131DB"/>
    <w:rsid w:val="00413313"/>
    <w:rsid w:val="004140C5"/>
    <w:rsid w:val="004142AE"/>
    <w:rsid w:val="00414D97"/>
    <w:rsid w:val="00416CA6"/>
    <w:rsid w:val="0041736B"/>
    <w:rsid w:val="0041772B"/>
    <w:rsid w:val="00420726"/>
    <w:rsid w:val="00420DF1"/>
    <w:rsid w:val="00421B78"/>
    <w:rsid w:val="004223FF"/>
    <w:rsid w:val="00422B59"/>
    <w:rsid w:val="004234DC"/>
    <w:rsid w:val="00423B88"/>
    <w:rsid w:val="00424B19"/>
    <w:rsid w:val="0042616D"/>
    <w:rsid w:val="00430562"/>
    <w:rsid w:val="00430972"/>
    <w:rsid w:val="004316C8"/>
    <w:rsid w:val="0043172D"/>
    <w:rsid w:val="00431E2E"/>
    <w:rsid w:val="004325BD"/>
    <w:rsid w:val="00433635"/>
    <w:rsid w:val="0043404B"/>
    <w:rsid w:val="004348DF"/>
    <w:rsid w:val="004351BB"/>
    <w:rsid w:val="004351BF"/>
    <w:rsid w:val="00437A42"/>
    <w:rsid w:val="0044029A"/>
    <w:rsid w:val="0044121D"/>
    <w:rsid w:val="004424BB"/>
    <w:rsid w:val="004433D2"/>
    <w:rsid w:val="004435D1"/>
    <w:rsid w:val="00444DC9"/>
    <w:rsid w:val="00444DE3"/>
    <w:rsid w:val="00445484"/>
    <w:rsid w:val="00446282"/>
    <w:rsid w:val="0044760A"/>
    <w:rsid w:val="004476C0"/>
    <w:rsid w:val="00447D57"/>
    <w:rsid w:val="00447E40"/>
    <w:rsid w:val="004504B1"/>
    <w:rsid w:val="00450EB0"/>
    <w:rsid w:val="004515A5"/>
    <w:rsid w:val="00452141"/>
    <w:rsid w:val="00453264"/>
    <w:rsid w:val="004574BB"/>
    <w:rsid w:val="00457874"/>
    <w:rsid w:val="0046020F"/>
    <w:rsid w:val="00461B16"/>
    <w:rsid w:val="004623EA"/>
    <w:rsid w:val="00462742"/>
    <w:rsid w:val="0046295E"/>
    <w:rsid w:val="0046382A"/>
    <w:rsid w:val="00463FF0"/>
    <w:rsid w:val="00464863"/>
    <w:rsid w:val="0046492C"/>
    <w:rsid w:val="00465BA2"/>
    <w:rsid w:val="00466018"/>
    <w:rsid w:val="00466837"/>
    <w:rsid w:val="004668EC"/>
    <w:rsid w:val="004674D2"/>
    <w:rsid w:val="00467516"/>
    <w:rsid w:val="00471F06"/>
    <w:rsid w:val="00473E66"/>
    <w:rsid w:val="00474BCB"/>
    <w:rsid w:val="00474D25"/>
    <w:rsid w:val="00476B39"/>
    <w:rsid w:val="0047797C"/>
    <w:rsid w:val="00477CAB"/>
    <w:rsid w:val="00477F84"/>
    <w:rsid w:val="00480758"/>
    <w:rsid w:val="00480B9F"/>
    <w:rsid w:val="00480ED6"/>
    <w:rsid w:val="0048152F"/>
    <w:rsid w:val="0048243E"/>
    <w:rsid w:val="00482DC5"/>
    <w:rsid w:val="0048485E"/>
    <w:rsid w:val="00485B52"/>
    <w:rsid w:val="00485C0E"/>
    <w:rsid w:val="004907C5"/>
    <w:rsid w:val="00490F8A"/>
    <w:rsid w:val="00491DEC"/>
    <w:rsid w:val="004928B1"/>
    <w:rsid w:val="004936DE"/>
    <w:rsid w:val="004937C8"/>
    <w:rsid w:val="004942C1"/>
    <w:rsid w:val="004944BF"/>
    <w:rsid w:val="004959C4"/>
    <w:rsid w:val="004963D2"/>
    <w:rsid w:val="004966FC"/>
    <w:rsid w:val="0049686D"/>
    <w:rsid w:val="00496963"/>
    <w:rsid w:val="004969C4"/>
    <w:rsid w:val="00497726"/>
    <w:rsid w:val="00497A1B"/>
    <w:rsid w:val="004A0FFC"/>
    <w:rsid w:val="004A1036"/>
    <w:rsid w:val="004A1A55"/>
    <w:rsid w:val="004A252F"/>
    <w:rsid w:val="004A2C41"/>
    <w:rsid w:val="004A2EA8"/>
    <w:rsid w:val="004A3713"/>
    <w:rsid w:val="004A3909"/>
    <w:rsid w:val="004A39D6"/>
    <w:rsid w:val="004A3DCC"/>
    <w:rsid w:val="004A415D"/>
    <w:rsid w:val="004A436B"/>
    <w:rsid w:val="004A668A"/>
    <w:rsid w:val="004B12AB"/>
    <w:rsid w:val="004B15D1"/>
    <w:rsid w:val="004B1EF1"/>
    <w:rsid w:val="004B2DD5"/>
    <w:rsid w:val="004B3849"/>
    <w:rsid w:val="004B536A"/>
    <w:rsid w:val="004B5801"/>
    <w:rsid w:val="004C0F84"/>
    <w:rsid w:val="004C0FD8"/>
    <w:rsid w:val="004C19D4"/>
    <w:rsid w:val="004C1B65"/>
    <w:rsid w:val="004C317F"/>
    <w:rsid w:val="004C346C"/>
    <w:rsid w:val="004C3B63"/>
    <w:rsid w:val="004C3F69"/>
    <w:rsid w:val="004C55C9"/>
    <w:rsid w:val="004C6671"/>
    <w:rsid w:val="004C69F4"/>
    <w:rsid w:val="004C6D3A"/>
    <w:rsid w:val="004C6EDF"/>
    <w:rsid w:val="004C751F"/>
    <w:rsid w:val="004C75E8"/>
    <w:rsid w:val="004C7D05"/>
    <w:rsid w:val="004D0901"/>
    <w:rsid w:val="004D257F"/>
    <w:rsid w:val="004D37C6"/>
    <w:rsid w:val="004D3C97"/>
    <w:rsid w:val="004D4C0F"/>
    <w:rsid w:val="004D5925"/>
    <w:rsid w:val="004D607B"/>
    <w:rsid w:val="004D6277"/>
    <w:rsid w:val="004D6F1B"/>
    <w:rsid w:val="004D6F73"/>
    <w:rsid w:val="004D6F8F"/>
    <w:rsid w:val="004E0382"/>
    <w:rsid w:val="004E1A19"/>
    <w:rsid w:val="004E22E0"/>
    <w:rsid w:val="004E2FC6"/>
    <w:rsid w:val="004E36FB"/>
    <w:rsid w:val="004E6B78"/>
    <w:rsid w:val="004E77E0"/>
    <w:rsid w:val="004E7823"/>
    <w:rsid w:val="004E7FEE"/>
    <w:rsid w:val="004F01F4"/>
    <w:rsid w:val="004F38BD"/>
    <w:rsid w:val="004F44B4"/>
    <w:rsid w:val="004F5FB7"/>
    <w:rsid w:val="004F655D"/>
    <w:rsid w:val="004F6B7C"/>
    <w:rsid w:val="004F7FD0"/>
    <w:rsid w:val="00500477"/>
    <w:rsid w:val="0050250B"/>
    <w:rsid w:val="00503A03"/>
    <w:rsid w:val="0050407B"/>
    <w:rsid w:val="00504AA1"/>
    <w:rsid w:val="00504FF0"/>
    <w:rsid w:val="00505484"/>
    <w:rsid w:val="00511385"/>
    <w:rsid w:val="005117BC"/>
    <w:rsid w:val="00512B4B"/>
    <w:rsid w:val="005151A6"/>
    <w:rsid w:val="00515AD4"/>
    <w:rsid w:val="00516332"/>
    <w:rsid w:val="0051745A"/>
    <w:rsid w:val="00517B61"/>
    <w:rsid w:val="00517DBF"/>
    <w:rsid w:val="0052093C"/>
    <w:rsid w:val="00520F07"/>
    <w:rsid w:val="00522BE9"/>
    <w:rsid w:val="00522DE6"/>
    <w:rsid w:val="005238BE"/>
    <w:rsid w:val="00523907"/>
    <w:rsid w:val="00523D44"/>
    <w:rsid w:val="00524777"/>
    <w:rsid w:val="00525272"/>
    <w:rsid w:val="00526847"/>
    <w:rsid w:val="00530559"/>
    <w:rsid w:val="005310C8"/>
    <w:rsid w:val="00531358"/>
    <w:rsid w:val="005318C1"/>
    <w:rsid w:val="00531CFB"/>
    <w:rsid w:val="005320A6"/>
    <w:rsid w:val="0053292E"/>
    <w:rsid w:val="00532F64"/>
    <w:rsid w:val="0053390F"/>
    <w:rsid w:val="00534D99"/>
    <w:rsid w:val="005355A3"/>
    <w:rsid w:val="00536666"/>
    <w:rsid w:val="005418FC"/>
    <w:rsid w:val="00541C0E"/>
    <w:rsid w:val="00542C44"/>
    <w:rsid w:val="00543F25"/>
    <w:rsid w:val="00547057"/>
    <w:rsid w:val="00550530"/>
    <w:rsid w:val="00550580"/>
    <w:rsid w:val="0055083A"/>
    <w:rsid w:val="00550DB7"/>
    <w:rsid w:val="00550FFC"/>
    <w:rsid w:val="00551BF4"/>
    <w:rsid w:val="00552147"/>
    <w:rsid w:val="00553740"/>
    <w:rsid w:val="00554A0A"/>
    <w:rsid w:val="00557DB6"/>
    <w:rsid w:val="00560F0F"/>
    <w:rsid w:val="00563372"/>
    <w:rsid w:val="00564722"/>
    <w:rsid w:val="005647D0"/>
    <w:rsid w:val="0056490B"/>
    <w:rsid w:val="00564BBC"/>
    <w:rsid w:val="005651CD"/>
    <w:rsid w:val="00566061"/>
    <w:rsid w:val="005678A9"/>
    <w:rsid w:val="00570A01"/>
    <w:rsid w:val="00571459"/>
    <w:rsid w:val="00571B9C"/>
    <w:rsid w:val="005723C1"/>
    <w:rsid w:val="005743EF"/>
    <w:rsid w:val="00575A0C"/>
    <w:rsid w:val="00576ACA"/>
    <w:rsid w:val="00581434"/>
    <w:rsid w:val="00581560"/>
    <w:rsid w:val="00582410"/>
    <w:rsid w:val="0058361E"/>
    <w:rsid w:val="00583AA1"/>
    <w:rsid w:val="005846E5"/>
    <w:rsid w:val="00584BC9"/>
    <w:rsid w:val="0058526D"/>
    <w:rsid w:val="00587B17"/>
    <w:rsid w:val="0059023A"/>
    <w:rsid w:val="00590261"/>
    <w:rsid w:val="00590281"/>
    <w:rsid w:val="00590CB4"/>
    <w:rsid w:val="00592796"/>
    <w:rsid w:val="0059504E"/>
    <w:rsid w:val="005A010A"/>
    <w:rsid w:val="005A020E"/>
    <w:rsid w:val="005A062C"/>
    <w:rsid w:val="005A0764"/>
    <w:rsid w:val="005A0B40"/>
    <w:rsid w:val="005A173F"/>
    <w:rsid w:val="005A20A2"/>
    <w:rsid w:val="005A2277"/>
    <w:rsid w:val="005A39E8"/>
    <w:rsid w:val="005A4824"/>
    <w:rsid w:val="005A4999"/>
    <w:rsid w:val="005A7402"/>
    <w:rsid w:val="005B12E8"/>
    <w:rsid w:val="005B1E95"/>
    <w:rsid w:val="005B2562"/>
    <w:rsid w:val="005B33E6"/>
    <w:rsid w:val="005B3B4C"/>
    <w:rsid w:val="005B607C"/>
    <w:rsid w:val="005B6125"/>
    <w:rsid w:val="005B6A4C"/>
    <w:rsid w:val="005B7DD8"/>
    <w:rsid w:val="005C01A9"/>
    <w:rsid w:val="005C066F"/>
    <w:rsid w:val="005C0F42"/>
    <w:rsid w:val="005C1662"/>
    <w:rsid w:val="005C1CE1"/>
    <w:rsid w:val="005C208A"/>
    <w:rsid w:val="005C22F0"/>
    <w:rsid w:val="005C2969"/>
    <w:rsid w:val="005C3F5F"/>
    <w:rsid w:val="005C4111"/>
    <w:rsid w:val="005C4590"/>
    <w:rsid w:val="005C55DF"/>
    <w:rsid w:val="005C7850"/>
    <w:rsid w:val="005D0022"/>
    <w:rsid w:val="005D0870"/>
    <w:rsid w:val="005D2159"/>
    <w:rsid w:val="005D3951"/>
    <w:rsid w:val="005D4178"/>
    <w:rsid w:val="005D4797"/>
    <w:rsid w:val="005D51CC"/>
    <w:rsid w:val="005D7D30"/>
    <w:rsid w:val="005E0329"/>
    <w:rsid w:val="005E1B01"/>
    <w:rsid w:val="005E26A0"/>
    <w:rsid w:val="005E303D"/>
    <w:rsid w:val="005E3B63"/>
    <w:rsid w:val="005E4D84"/>
    <w:rsid w:val="005E5AC7"/>
    <w:rsid w:val="005E5E8E"/>
    <w:rsid w:val="005F44AE"/>
    <w:rsid w:val="005F4884"/>
    <w:rsid w:val="005F5448"/>
    <w:rsid w:val="005F5678"/>
    <w:rsid w:val="005F69B5"/>
    <w:rsid w:val="005F6F09"/>
    <w:rsid w:val="005F6F32"/>
    <w:rsid w:val="005F781D"/>
    <w:rsid w:val="005F7A7A"/>
    <w:rsid w:val="006001AC"/>
    <w:rsid w:val="006001B7"/>
    <w:rsid w:val="006015C6"/>
    <w:rsid w:val="0060235A"/>
    <w:rsid w:val="00602754"/>
    <w:rsid w:val="00602836"/>
    <w:rsid w:val="00602E3E"/>
    <w:rsid w:val="006058DA"/>
    <w:rsid w:val="00610592"/>
    <w:rsid w:val="00610D47"/>
    <w:rsid w:val="00611C02"/>
    <w:rsid w:val="00612A72"/>
    <w:rsid w:val="006136A5"/>
    <w:rsid w:val="00613E79"/>
    <w:rsid w:val="00613F77"/>
    <w:rsid w:val="00614074"/>
    <w:rsid w:val="006143F8"/>
    <w:rsid w:val="006146FF"/>
    <w:rsid w:val="00614AEB"/>
    <w:rsid w:val="00614D30"/>
    <w:rsid w:val="00615BB4"/>
    <w:rsid w:val="00616133"/>
    <w:rsid w:val="00616C6D"/>
    <w:rsid w:val="00621524"/>
    <w:rsid w:val="00621608"/>
    <w:rsid w:val="00621C11"/>
    <w:rsid w:val="00621E39"/>
    <w:rsid w:val="00622BFD"/>
    <w:rsid w:val="00623DB0"/>
    <w:rsid w:val="0062459B"/>
    <w:rsid w:val="00624F9D"/>
    <w:rsid w:val="00625C10"/>
    <w:rsid w:val="00625ECD"/>
    <w:rsid w:val="0062670E"/>
    <w:rsid w:val="00626DE5"/>
    <w:rsid w:val="00630C07"/>
    <w:rsid w:val="00630F0F"/>
    <w:rsid w:val="006312FC"/>
    <w:rsid w:val="006336E7"/>
    <w:rsid w:val="00633C79"/>
    <w:rsid w:val="00634AD1"/>
    <w:rsid w:val="00634E2F"/>
    <w:rsid w:val="00636B48"/>
    <w:rsid w:val="00640718"/>
    <w:rsid w:val="00641D9C"/>
    <w:rsid w:val="00642926"/>
    <w:rsid w:val="00642AF2"/>
    <w:rsid w:val="006435BA"/>
    <w:rsid w:val="00643BFC"/>
    <w:rsid w:val="00647426"/>
    <w:rsid w:val="00647E41"/>
    <w:rsid w:val="00647E7B"/>
    <w:rsid w:val="00652D07"/>
    <w:rsid w:val="00652D87"/>
    <w:rsid w:val="00653011"/>
    <w:rsid w:val="006535B0"/>
    <w:rsid w:val="00655865"/>
    <w:rsid w:val="00655C36"/>
    <w:rsid w:val="0065734B"/>
    <w:rsid w:val="00660767"/>
    <w:rsid w:val="00660B7B"/>
    <w:rsid w:val="0066137E"/>
    <w:rsid w:val="00661438"/>
    <w:rsid w:val="0066216E"/>
    <w:rsid w:val="006622A6"/>
    <w:rsid w:val="006623ED"/>
    <w:rsid w:val="00662DDD"/>
    <w:rsid w:val="0066301E"/>
    <w:rsid w:val="006632E6"/>
    <w:rsid w:val="0066331E"/>
    <w:rsid w:val="006633F4"/>
    <w:rsid w:val="006639F7"/>
    <w:rsid w:val="006654C8"/>
    <w:rsid w:val="0066658A"/>
    <w:rsid w:val="00666743"/>
    <w:rsid w:val="00667248"/>
    <w:rsid w:val="006677F5"/>
    <w:rsid w:val="006678D3"/>
    <w:rsid w:val="00670310"/>
    <w:rsid w:val="006703E1"/>
    <w:rsid w:val="006729A2"/>
    <w:rsid w:val="00672CF1"/>
    <w:rsid w:val="00673698"/>
    <w:rsid w:val="00675D6D"/>
    <w:rsid w:val="00675DCB"/>
    <w:rsid w:val="006761C5"/>
    <w:rsid w:val="00681933"/>
    <w:rsid w:val="006828DE"/>
    <w:rsid w:val="006845CF"/>
    <w:rsid w:val="00684A72"/>
    <w:rsid w:val="0068680D"/>
    <w:rsid w:val="006868A8"/>
    <w:rsid w:val="00687D26"/>
    <w:rsid w:val="00687D28"/>
    <w:rsid w:val="006911A6"/>
    <w:rsid w:val="00692113"/>
    <w:rsid w:val="006922C0"/>
    <w:rsid w:val="00692F11"/>
    <w:rsid w:val="0069321C"/>
    <w:rsid w:val="006948CF"/>
    <w:rsid w:val="006955DC"/>
    <w:rsid w:val="00695ED2"/>
    <w:rsid w:val="0069724D"/>
    <w:rsid w:val="00697CE3"/>
    <w:rsid w:val="006A07B0"/>
    <w:rsid w:val="006A0DAA"/>
    <w:rsid w:val="006A1D86"/>
    <w:rsid w:val="006A320E"/>
    <w:rsid w:val="006A3BD0"/>
    <w:rsid w:val="006A40F5"/>
    <w:rsid w:val="006A4198"/>
    <w:rsid w:val="006A4836"/>
    <w:rsid w:val="006A4A58"/>
    <w:rsid w:val="006A52A6"/>
    <w:rsid w:val="006A5F9F"/>
    <w:rsid w:val="006A7057"/>
    <w:rsid w:val="006A775D"/>
    <w:rsid w:val="006A7867"/>
    <w:rsid w:val="006B0708"/>
    <w:rsid w:val="006B0726"/>
    <w:rsid w:val="006B0D24"/>
    <w:rsid w:val="006B23FF"/>
    <w:rsid w:val="006B3509"/>
    <w:rsid w:val="006B350B"/>
    <w:rsid w:val="006B47BD"/>
    <w:rsid w:val="006B5DE3"/>
    <w:rsid w:val="006B73B2"/>
    <w:rsid w:val="006C0E0E"/>
    <w:rsid w:val="006C0FBA"/>
    <w:rsid w:val="006C1ED5"/>
    <w:rsid w:val="006C1F90"/>
    <w:rsid w:val="006C27EF"/>
    <w:rsid w:val="006C3EC8"/>
    <w:rsid w:val="006C4022"/>
    <w:rsid w:val="006C44AF"/>
    <w:rsid w:val="006C599F"/>
    <w:rsid w:val="006C65CE"/>
    <w:rsid w:val="006D04D9"/>
    <w:rsid w:val="006D0BD8"/>
    <w:rsid w:val="006D1A91"/>
    <w:rsid w:val="006D31F6"/>
    <w:rsid w:val="006D3BD4"/>
    <w:rsid w:val="006D3D79"/>
    <w:rsid w:val="006D4533"/>
    <w:rsid w:val="006D67C3"/>
    <w:rsid w:val="006E1CB3"/>
    <w:rsid w:val="006E72D8"/>
    <w:rsid w:val="006E73D6"/>
    <w:rsid w:val="006E7662"/>
    <w:rsid w:val="006E76AE"/>
    <w:rsid w:val="006E7882"/>
    <w:rsid w:val="006E7A32"/>
    <w:rsid w:val="006F168B"/>
    <w:rsid w:val="006F2496"/>
    <w:rsid w:val="006F2C5C"/>
    <w:rsid w:val="006F3CB8"/>
    <w:rsid w:val="006F4ED6"/>
    <w:rsid w:val="006F7D1C"/>
    <w:rsid w:val="00701679"/>
    <w:rsid w:val="00702C5E"/>
    <w:rsid w:val="00704E74"/>
    <w:rsid w:val="00706275"/>
    <w:rsid w:val="00706BF0"/>
    <w:rsid w:val="00710EAE"/>
    <w:rsid w:val="0071374D"/>
    <w:rsid w:val="00714808"/>
    <w:rsid w:val="00716AB1"/>
    <w:rsid w:val="00716BD7"/>
    <w:rsid w:val="0072018A"/>
    <w:rsid w:val="0072022C"/>
    <w:rsid w:val="007207C4"/>
    <w:rsid w:val="007217F5"/>
    <w:rsid w:val="00721F04"/>
    <w:rsid w:val="007235A6"/>
    <w:rsid w:val="00724C4B"/>
    <w:rsid w:val="007257C8"/>
    <w:rsid w:val="00725C48"/>
    <w:rsid w:val="0072734B"/>
    <w:rsid w:val="0072790D"/>
    <w:rsid w:val="00727CD4"/>
    <w:rsid w:val="007309B8"/>
    <w:rsid w:val="00730BAA"/>
    <w:rsid w:val="0073313A"/>
    <w:rsid w:val="00733BFD"/>
    <w:rsid w:val="0073488F"/>
    <w:rsid w:val="00736433"/>
    <w:rsid w:val="00740088"/>
    <w:rsid w:val="00740A07"/>
    <w:rsid w:val="00741344"/>
    <w:rsid w:val="0074141F"/>
    <w:rsid w:val="00741D1C"/>
    <w:rsid w:val="007425F2"/>
    <w:rsid w:val="00742616"/>
    <w:rsid w:val="00743471"/>
    <w:rsid w:val="007436B8"/>
    <w:rsid w:val="00743C34"/>
    <w:rsid w:val="007444CF"/>
    <w:rsid w:val="00744763"/>
    <w:rsid w:val="00745264"/>
    <w:rsid w:val="0074732E"/>
    <w:rsid w:val="0075090C"/>
    <w:rsid w:val="00753196"/>
    <w:rsid w:val="0075364F"/>
    <w:rsid w:val="0075403B"/>
    <w:rsid w:val="0075748E"/>
    <w:rsid w:val="00757981"/>
    <w:rsid w:val="00757BE7"/>
    <w:rsid w:val="007629CD"/>
    <w:rsid w:val="00763107"/>
    <w:rsid w:val="007661E5"/>
    <w:rsid w:val="007663E2"/>
    <w:rsid w:val="00766A0E"/>
    <w:rsid w:val="007679D1"/>
    <w:rsid w:val="00770542"/>
    <w:rsid w:val="00771B95"/>
    <w:rsid w:val="00772966"/>
    <w:rsid w:val="00772B76"/>
    <w:rsid w:val="00773485"/>
    <w:rsid w:val="0077397D"/>
    <w:rsid w:val="00773E8B"/>
    <w:rsid w:val="00774BC2"/>
    <w:rsid w:val="007753E6"/>
    <w:rsid w:val="00776183"/>
    <w:rsid w:val="007769DC"/>
    <w:rsid w:val="00776D31"/>
    <w:rsid w:val="00782315"/>
    <w:rsid w:val="00783400"/>
    <w:rsid w:val="0078345F"/>
    <w:rsid w:val="0078425F"/>
    <w:rsid w:val="00784D4E"/>
    <w:rsid w:val="0078525E"/>
    <w:rsid w:val="007857DB"/>
    <w:rsid w:val="007862DF"/>
    <w:rsid w:val="00790734"/>
    <w:rsid w:val="00790D1B"/>
    <w:rsid w:val="007916FB"/>
    <w:rsid w:val="00795B04"/>
    <w:rsid w:val="007A081F"/>
    <w:rsid w:val="007A0868"/>
    <w:rsid w:val="007A3506"/>
    <w:rsid w:val="007A3F66"/>
    <w:rsid w:val="007A45B5"/>
    <w:rsid w:val="007A59DF"/>
    <w:rsid w:val="007A5BD2"/>
    <w:rsid w:val="007A6065"/>
    <w:rsid w:val="007A6A31"/>
    <w:rsid w:val="007A7701"/>
    <w:rsid w:val="007A7E9A"/>
    <w:rsid w:val="007B1003"/>
    <w:rsid w:val="007B2219"/>
    <w:rsid w:val="007B2594"/>
    <w:rsid w:val="007B35A3"/>
    <w:rsid w:val="007B3F1A"/>
    <w:rsid w:val="007B4F56"/>
    <w:rsid w:val="007B52D1"/>
    <w:rsid w:val="007B5ABF"/>
    <w:rsid w:val="007B78C0"/>
    <w:rsid w:val="007C0FB7"/>
    <w:rsid w:val="007C196F"/>
    <w:rsid w:val="007C3B84"/>
    <w:rsid w:val="007C4509"/>
    <w:rsid w:val="007C45D1"/>
    <w:rsid w:val="007C4DA9"/>
    <w:rsid w:val="007C5430"/>
    <w:rsid w:val="007C54BD"/>
    <w:rsid w:val="007C64B8"/>
    <w:rsid w:val="007C65ED"/>
    <w:rsid w:val="007D0333"/>
    <w:rsid w:val="007D053A"/>
    <w:rsid w:val="007D0A57"/>
    <w:rsid w:val="007D1041"/>
    <w:rsid w:val="007D20CD"/>
    <w:rsid w:val="007D217B"/>
    <w:rsid w:val="007D36B7"/>
    <w:rsid w:val="007D36F5"/>
    <w:rsid w:val="007D5577"/>
    <w:rsid w:val="007D6613"/>
    <w:rsid w:val="007D7A8B"/>
    <w:rsid w:val="007E0127"/>
    <w:rsid w:val="007E23DC"/>
    <w:rsid w:val="007E3D09"/>
    <w:rsid w:val="007E5F19"/>
    <w:rsid w:val="007E7D30"/>
    <w:rsid w:val="007F002E"/>
    <w:rsid w:val="007F00AC"/>
    <w:rsid w:val="007F236D"/>
    <w:rsid w:val="007F2B0D"/>
    <w:rsid w:val="007F5F71"/>
    <w:rsid w:val="007F6274"/>
    <w:rsid w:val="007F6679"/>
    <w:rsid w:val="007F6E37"/>
    <w:rsid w:val="007F7C14"/>
    <w:rsid w:val="00802659"/>
    <w:rsid w:val="0080366B"/>
    <w:rsid w:val="008043F0"/>
    <w:rsid w:val="00804C69"/>
    <w:rsid w:val="0080516C"/>
    <w:rsid w:val="00805FF4"/>
    <w:rsid w:val="0080699A"/>
    <w:rsid w:val="00806A25"/>
    <w:rsid w:val="00806CB0"/>
    <w:rsid w:val="008077F0"/>
    <w:rsid w:val="008102BF"/>
    <w:rsid w:val="00810729"/>
    <w:rsid w:val="00811726"/>
    <w:rsid w:val="008119D1"/>
    <w:rsid w:val="0081237C"/>
    <w:rsid w:val="00812C24"/>
    <w:rsid w:val="008133E1"/>
    <w:rsid w:val="00813869"/>
    <w:rsid w:val="00813C3D"/>
    <w:rsid w:val="008140FD"/>
    <w:rsid w:val="008142E0"/>
    <w:rsid w:val="00814C09"/>
    <w:rsid w:val="0081503C"/>
    <w:rsid w:val="00815C96"/>
    <w:rsid w:val="008163C0"/>
    <w:rsid w:val="00816B21"/>
    <w:rsid w:val="00816BD2"/>
    <w:rsid w:val="0081780C"/>
    <w:rsid w:val="0082170E"/>
    <w:rsid w:val="00821D28"/>
    <w:rsid w:val="00822617"/>
    <w:rsid w:val="00823FC2"/>
    <w:rsid w:val="00826554"/>
    <w:rsid w:val="00826BFA"/>
    <w:rsid w:val="0082740E"/>
    <w:rsid w:val="00830115"/>
    <w:rsid w:val="00830A25"/>
    <w:rsid w:val="00831466"/>
    <w:rsid w:val="00831750"/>
    <w:rsid w:val="0083410D"/>
    <w:rsid w:val="00834627"/>
    <w:rsid w:val="0083495E"/>
    <w:rsid w:val="00834C5C"/>
    <w:rsid w:val="008358A5"/>
    <w:rsid w:val="0084135D"/>
    <w:rsid w:val="00842C61"/>
    <w:rsid w:val="008433E2"/>
    <w:rsid w:val="00846D76"/>
    <w:rsid w:val="008474EE"/>
    <w:rsid w:val="00850835"/>
    <w:rsid w:val="008516E7"/>
    <w:rsid w:val="00852728"/>
    <w:rsid w:val="008530CE"/>
    <w:rsid w:val="008548A5"/>
    <w:rsid w:val="008550A9"/>
    <w:rsid w:val="0085560A"/>
    <w:rsid w:val="008568C2"/>
    <w:rsid w:val="00860324"/>
    <w:rsid w:val="00860521"/>
    <w:rsid w:val="00864BCC"/>
    <w:rsid w:val="00865CA3"/>
    <w:rsid w:val="00865E05"/>
    <w:rsid w:val="008662B4"/>
    <w:rsid w:val="0086776A"/>
    <w:rsid w:val="008734B3"/>
    <w:rsid w:val="0087474E"/>
    <w:rsid w:val="00875BF0"/>
    <w:rsid w:val="00877742"/>
    <w:rsid w:val="00880826"/>
    <w:rsid w:val="00885324"/>
    <w:rsid w:val="00886223"/>
    <w:rsid w:val="0088694F"/>
    <w:rsid w:val="008900D0"/>
    <w:rsid w:val="0089069D"/>
    <w:rsid w:val="00891196"/>
    <w:rsid w:val="008912C0"/>
    <w:rsid w:val="00891B45"/>
    <w:rsid w:val="00891F79"/>
    <w:rsid w:val="0089288B"/>
    <w:rsid w:val="00893057"/>
    <w:rsid w:val="00893BD9"/>
    <w:rsid w:val="00894112"/>
    <w:rsid w:val="00895D05"/>
    <w:rsid w:val="0089660C"/>
    <w:rsid w:val="00897E13"/>
    <w:rsid w:val="008A08EC"/>
    <w:rsid w:val="008A1271"/>
    <w:rsid w:val="008A2AF1"/>
    <w:rsid w:val="008A3324"/>
    <w:rsid w:val="008A35D2"/>
    <w:rsid w:val="008A395C"/>
    <w:rsid w:val="008A4175"/>
    <w:rsid w:val="008A428E"/>
    <w:rsid w:val="008A56E4"/>
    <w:rsid w:val="008A58E9"/>
    <w:rsid w:val="008A5988"/>
    <w:rsid w:val="008A5C0A"/>
    <w:rsid w:val="008A7762"/>
    <w:rsid w:val="008A7D78"/>
    <w:rsid w:val="008B0BFE"/>
    <w:rsid w:val="008B1541"/>
    <w:rsid w:val="008B1670"/>
    <w:rsid w:val="008B21E0"/>
    <w:rsid w:val="008B2BEA"/>
    <w:rsid w:val="008B2E1D"/>
    <w:rsid w:val="008B34D4"/>
    <w:rsid w:val="008B396D"/>
    <w:rsid w:val="008B3C00"/>
    <w:rsid w:val="008B41F7"/>
    <w:rsid w:val="008B47DE"/>
    <w:rsid w:val="008B4D9B"/>
    <w:rsid w:val="008B500C"/>
    <w:rsid w:val="008B5FDA"/>
    <w:rsid w:val="008B684A"/>
    <w:rsid w:val="008B69D9"/>
    <w:rsid w:val="008B79E8"/>
    <w:rsid w:val="008C0860"/>
    <w:rsid w:val="008C3E0C"/>
    <w:rsid w:val="008C4B78"/>
    <w:rsid w:val="008C5253"/>
    <w:rsid w:val="008C7119"/>
    <w:rsid w:val="008C72AA"/>
    <w:rsid w:val="008C738C"/>
    <w:rsid w:val="008D030C"/>
    <w:rsid w:val="008D19BD"/>
    <w:rsid w:val="008D1F30"/>
    <w:rsid w:val="008D25B0"/>
    <w:rsid w:val="008D3586"/>
    <w:rsid w:val="008D3F36"/>
    <w:rsid w:val="008D3FCD"/>
    <w:rsid w:val="008D6660"/>
    <w:rsid w:val="008D7530"/>
    <w:rsid w:val="008E2966"/>
    <w:rsid w:val="008E46D9"/>
    <w:rsid w:val="008E4AD0"/>
    <w:rsid w:val="008E5183"/>
    <w:rsid w:val="008E52AE"/>
    <w:rsid w:val="008E574C"/>
    <w:rsid w:val="008E5E1C"/>
    <w:rsid w:val="008E5F6D"/>
    <w:rsid w:val="008E68A7"/>
    <w:rsid w:val="008E68AA"/>
    <w:rsid w:val="008E6F92"/>
    <w:rsid w:val="008F04CF"/>
    <w:rsid w:val="008F0D48"/>
    <w:rsid w:val="008F114F"/>
    <w:rsid w:val="008F16C1"/>
    <w:rsid w:val="008F178D"/>
    <w:rsid w:val="008F1E94"/>
    <w:rsid w:val="008F3032"/>
    <w:rsid w:val="008F38D9"/>
    <w:rsid w:val="008F4216"/>
    <w:rsid w:val="008F54A0"/>
    <w:rsid w:val="008F5667"/>
    <w:rsid w:val="008F6FF8"/>
    <w:rsid w:val="008F77A1"/>
    <w:rsid w:val="009012B4"/>
    <w:rsid w:val="009029A5"/>
    <w:rsid w:val="00904B24"/>
    <w:rsid w:val="00905656"/>
    <w:rsid w:val="0090565A"/>
    <w:rsid w:val="00905B89"/>
    <w:rsid w:val="00905BBA"/>
    <w:rsid w:val="0090694D"/>
    <w:rsid w:val="00910034"/>
    <w:rsid w:val="00910831"/>
    <w:rsid w:val="00911897"/>
    <w:rsid w:val="00914943"/>
    <w:rsid w:val="00914BD0"/>
    <w:rsid w:val="00917050"/>
    <w:rsid w:val="00917B0C"/>
    <w:rsid w:val="009205C8"/>
    <w:rsid w:val="00920EE7"/>
    <w:rsid w:val="0092108D"/>
    <w:rsid w:val="00921486"/>
    <w:rsid w:val="00921889"/>
    <w:rsid w:val="00922FE0"/>
    <w:rsid w:val="009231AB"/>
    <w:rsid w:val="0092383A"/>
    <w:rsid w:val="00924B47"/>
    <w:rsid w:val="009252AA"/>
    <w:rsid w:val="009265D1"/>
    <w:rsid w:val="00926E97"/>
    <w:rsid w:val="009307E2"/>
    <w:rsid w:val="00930D25"/>
    <w:rsid w:val="00931DEF"/>
    <w:rsid w:val="00932A7F"/>
    <w:rsid w:val="00932E9B"/>
    <w:rsid w:val="0093393F"/>
    <w:rsid w:val="00933D41"/>
    <w:rsid w:val="00934266"/>
    <w:rsid w:val="00935179"/>
    <w:rsid w:val="00935FF3"/>
    <w:rsid w:val="009364BF"/>
    <w:rsid w:val="00936A20"/>
    <w:rsid w:val="0094062C"/>
    <w:rsid w:val="00945EA7"/>
    <w:rsid w:val="00947F7E"/>
    <w:rsid w:val="00950E96"/>
    <w:rsid w:val="00950FCD"/>
    <w:rsid w:val="009516DC"/>
    <w:rsid w:val="00951D5F"/>
    <w:rsid w:val="00952A12"/>
    <w:rsid w:val="0095379A"/>
    <w:rsid w:val="00955AC3"/>
    <w:rsid w:val="00956C52"/>
    <w:rsid w:val="00956F33"/>
    <w:rsid w:val="00957094"/>
    <w:rsid w:val="009572B8"/>
    <w:rsid w:val="00957CED"/>
    <w:rsid w:val="00960739"/>
    <w:rsid w:val="00961026"/>
    <w:rsid w:val="009634E2"/>
    <w:rsid w:val="00963D90"/>
    <w:rsid w:val="0096503E"/>
    <w:rsid w:val="009674C9"/>
    <w:rsid w:val="009679D6"/>
    <w:rsid w:val="009679F6"/>
    <w:rsid w:val="00971782"/>
    <w:rsid w:val="009743A7"/>
    <w:rsid w:val="00974BDB"/>
    <w:rsid w:val="00975004"/>
    <w:rsid w:val="00975956"/>
    <w:rsid w:val="009761C6"/>
    <w:rsid w:val="00976756"/>
    <w:rsid w:val="00976D9A"/>
    <w:rsid w:val="00980398"/>
    <w:rsid w:val="009843E5"/>
    <w:rsid w:val="00984427"/>
    <w:rsid w:val="009847B3"/>
    <w:rsid w:val="0098662C"/>
    <w:rsid w:val="00986AED"/>
    <w:rsid w:val="00990789"/>
    <w:rsid w:val="00990AAC"/>
    <w:rsid w:val="0099145D"/>
    <w:rsid w:val="00993A39"/>
    <w:rsid w:val="00994AC0"/>
    <w:rsid w:val="00995BB1"/>
    <w:rsid w:val="00995C59"/>
    <w:rsid w:val="00995FED"/>
    <w:rsid w:val="0099609E"/>
    <w:rsid w:val="00996EAD"/>
    <w:rsid w:val="009A009B"/>
    <w:rsid w:val="009A0D11"/>
    <w:rsid w:val="009A191F"/>
    <w:rsid w:val="009A20BB"/>
    <w:rsid w:val="009A2494"/>
    <w:rsid w:val="009A278E"/>
    <w:rsid w:val="009A3AFA"/>
    <w:rsid w:val="009A4CD7"/>
    <w:rsid w:val="009A51FE"/>
    <w:rsid w:val="009A5C62"/>
    <w:rsid w:val="009A62EE"/>
    <w:rsid w:val="009A6D72"/>
    <w:rsid w:val="009A7526"/>
    <w:rsid w:val="009A7F07"/>
    <w:rsid w:val="009B05B4"/>
    <w:rsid w:val="009B09AE"/>
    <w:rsid w:val="009B0DDC"/>
    <w:rsid w:val="009B19E6"/>
    <w:rsid w:val="009B3DA4"/>
    <w:rsid w:val="009B78D8"/>
    <w:rsid w:val="009B7C95"/>
    <w:rsid w:val="009C04A8"/>
    <w:rsid w:val="009C0F79"/>
    <w:rsid w:val="009C244B"/>
    <w:rsid w:val="009C3555"/>
    <w:rsid w:val="009C45D5"/>
    <w:rsid w:val="009C53EE"/>
    <w:rsid w:val="009C6AC9"/>
    <w:rsid w:val="009C7338"/>
    <w:rsid w:val="009C7748"/>
    <w:rsid w:val="009D11D4"/>
    <w:rsid w:val="009D2452"/>
    <w:rsid w:val="009D25C0"/>
    <w:rsid w:val="009D2D84"/>
    <w:rsid w:val="009D3895"/>
    <w:rsid w:val="009D4B5E"/>
    <w:rsid w:val="009D57B7"/>
    <w:rsid w:val="009D57C4"/>
    <w:rsid w:val="009D61FD"/>
    <w:rsid w:val="009D746C"/>
    <w:rsid w:val="009E001B"/>
    <w:rsid w:val="009E065A"/>
    <w:rsid w:val="009E1BCA"/>
    <w:rsid w:val="009E2240"/>
    <w:rsid w:val="009E3CA9"/>
    <w:rsid w:val="009E3DFB"/>
    <w:rsid w:val="009E5034"/>
    <w:rsid w:val="009E5AD9"/>
    <w:rsid w:val="009E725C"/>
    <w:rsid w:val="009E7AE3"/>
    <w:rsid w:val="009E7B35"/>
    <w:rsid w:val="009F00A2"/>
    <w:rsid w:val="009F0493"/>
    <w:rsid w:val="009F145F"/>
    <w:rsid w:val="009F2C4D"/>
    <w:rsid w:val="009F33F0"/>
    <w:rsid w:val="009F3C78"/>
    <w:rsid w:val="009F61CA"/>
    <w:rsid w:val="009F6C00"/>
    <w:rsid w:val="009F76BC"/>
    <w:rsid w:val="00A00317"/>
    <w:rsid w:val="00A0191A"/>
    <w:rsid w:val="00A0277A"/>
    <w:rsid w:val="00A030BD"/>
    <w:rsid w:val="00A04A07"/>
    <w:rsid w:val="00A04E95"/>
    <w:rsid w:val="00A05AA3"/>
    <w:rsid w:val="00A06497"/>
    <w:rsid w:val="00A06744"/>
    <w:rsid w:val="00A06B29"/>
    <w:rsid w:val="00A06C46"/>
    <w:rsid w:val="00A06D30"/>
    <w:rsid w:val="00A11EB2"/>
    <w:rsid w:val="00A12760"/>
    <w:rsid w:val="00A13514"/>
    <w:rsid w:val="00A143DA"/>
    <w:rsid w:val="00A14816"/>
    <w:rsid w:val="00A14EBA"/>
    <w:rsid w:val="00A1536B"/>
    <w:rsid w:val="00A155C8"/>
    <w:rsid w:val="00A16309"/>
    <w:rsid w:val="00A1762A"/>
    <w:rsid w:val="00A17995"/>
    <w:rsid w:val="00A17A75"/>
    <w:rsid w:val="00A216B1"/>
    <w:rsid w:val="00A2438F"/>
    <w:rsid w:val="00A24928"/>
    <w:rsid w:val="00A26122"/>
    <w:rsid w:val="00A276EA"/>
    <w:rsid w:val="00A30252"/>
    <w:rsid w:val="00A3030E"/>
    <w:rsid w:val="00A3071D"/>
    <w:rsid w:val="00A30B3A"/>
    <w:rsid w:val="00A31087"/>
    <w:rsid w:val="00A314FB"/>
    <w:rsid w:val="00A31FEE"/>
    <w:rsid w:val="00A32878"/>
    <w:rsid w:val="00A33188"/>
    <w:rsid w:val="00A331DE"/>
    <w:rsid w:val="00A33C6B"/>
    <w:rsid w:val="00A348C0"/>
    <w:rsid w:val="00A35F1D"/>
    <w:rsid w:val="00A3608C"/>
    <w:rsid w:val="00A36417"/>
    <w:rsid w:val="00A365C6"/>
    <w:rsid w:val="00A36CFD"/>
    <w:rsid w:val="00A37109"/>
    <w:rsid w:val="00A4141D"/>
    <w:rsid w:val="00A4170C"/>
    <w:rsid w:val="00A418F6"/>
    <w:rsid w:val="00A42155"/>
    <w:rsid w:val="00A43172"/>
    <w:rsid w:val="00A43CEA"/>
    <w:rsid w:val="00A43FCB"/>
    <w:rsid w:val="00A44371"/>
    <w:rsid w:val="00A4518A"/>
    <w:rsid w:val="00A46561"/>
    <w:rsid w:val="00A47892"/>
    <w:rsid w:val="00A5059C"/>
    <w:rsid w:val="00A50B47"/>
    <w:rsid w:val="00A517BE"/>
    <w:rsid w:val="00A51F31"/>
    <w:rsid w:val="00A526EE"/>
    <w:rsid w:val="00A527EB"/>
    <w:rsid w:val="00A52B3E"/>
    <w:rsid w:val="00A5390C"/>
    <w:rsid w:val="00A540E6"/>
    <w:rsid w:val="00A546DA"/>
    <w:rsid w:val="00A549A1"/>
    <w:rsid w:val="00A55F46"/>
    <w:rsid w:val="00A56E60"/>
    <w:rsid w:val="00A608F4"/>
    <w:rsid w:val="00A6194A"/>
    <w:rsid w:val="00A61F8B"/>
    <w:rsid w:val="00A62CC0"/>
    <w:rsid w:val="00A6385E"/>
    <w:rsid w:val="00A64C6B"/>
    <w:rsid w:val="00A65CFD"/>
    <w:rsid w:val="00A65F94"/>
    <w:rsid w:val="00A66083"/>
    <w:rsid w:val="00A669AA"/>
    <w:rsid w:val="00A66F0C"/>
    <w:rsid w:val="00A67143"/>
    <w:rsid w:val="00A67733"/>
    <w:rsid w:val="00A678D4"/>
    <w:rsid w:val="00A67D90"/>
    <w:rsid w:val="00A70936"/>
    <w:rsid w:val="00A728C2"/>
    <w:rsid w:val="00A72E2D"/>
    <w:rsid w:val="00A73627"/>
    <w:rsid w:val="00A74D01"/>
    <w:rsid w:val="00A756BD"/>
    <w:rsid w:val="00A76799"/>
    <w:rsid w:val="00A77350"/>
    <w:rsid w:val="00A7781D"/>
    <w:rsid w:val="00A77E64"/>
    <w:rsid w:val="00A81193"/>
    <w:rsid w:val="00A81818"/>
    <w:rsid w:val="00A81C75"/>
    <w:rsid w:val="00A82668"/>
    <w:rsid w:val="00A82E47"/>
    <w:rsid w:val="00A835A6"/>
    <w:rsid w:val="00A84E25"/>
    <w:rsid w:val="00A853EB"/>
    <w:rsid w:val="00A85D4E"/>
    <w:rsid w:val="00A8629F"/>
    <w:rsid w:val="00A90849"/>
    <w:rsid w:val="00A90FC0"/>
    <w:rsid w:val="00A91F18"/>
    <w:rsid w:val="00A93913"/>
    <w:rsid w:val="00A93E80"/>
    <w:rsid w:val="00A94514"/>
    <w:rsid w:val="00A95AC6"/>
    <w:rsid w:val="00AA11CE"/>
    <w:rsid w:val="00AA1331"/>
    <w:rsid w:val="00AA1A00"/>
    <w:rsid w:val="00AA2328"/>
    <w:rsid w:val="00AA288E"/>
    <w:rsid w:val="00AA3414"/>
    <w:rsid w:val="00AA3C86"/>
    <w:rsid w:val="00AA3EBB"/>
    <w:rsid w:val="00AA4C43"/>
    <w:rsid w:val="00AA655E"/>
    <w:rsid w:val="00AA6AE4"/>
    <w:rsid w:val="00AA7FC6"/>
    <w:rsid w:val="00AB145B"/>
    <w:rsid w:val="00AB21DB"/>
    <w:rsid w:val="00AB2720"/>
    <w:rsid w:val="00AB2A73"/>
    <w:rsid w:val="00AB4DCC"/>
    <w:rsid w:val="00AB4EF9"/>
    <w:rsid w:val="00AB562A"/>
    <w:rsid w:val="00AC0924"/>
    <w:rsid w:val="00AC2DED"/>
    <w:rsid w:val="00AC2FFE"/>
    <w:rsid w:val="00AC3F94"/>
    <w:rsid w:val="00AC3FEA"/>
    <w:rsid w:val="00AC40DB"/>
    <w:rsid w:val="00AC4B94"/>
    <w:rsid w:val="00AC7A49"/>
    <w:rsid w:val="00AC7D22"/>
    <w:rsid w:val="00AD0420"/>
    <w:rsid w:val="00AD0FAF"/>
    <w:rsid w:val="00AD1B6C"/>
    <w:rsid w:val="00AD45D3"/>
    <w:rsid w:val="00AD74E8"/>
    <w:rsid w:val="00AE133D"/>
    <w:rsid w:val="00AE31EE"/>
    <w:rsid w:val="00AE3A38"/>
    <w:rsid w:val="00AE3FD1"/>
    <w:rsid w:val="00AE4B57"/>
    <w:rsid w:val="00AE6255"/>
    <w:rsid w:val="00AE6D15"/>
    <w:rsid w:val="00AF07A0"/>
    <w:rsid w:val="00AF0B3C"/>
    <w:rsid w:val="00AF18BF"/>
    <w:rsid w:val="00AF1B1C"/>
    <w:rsid w:val="00AF2259"/>
    <w:rsid w:val="00AF3AD3"/>
    <w:rsid w:val="00AF40DB"/>
    <w:rsid w:val="00AF4972"/>
    <w:rsid w:val="00AF4FEF"/>
    <w:rsid w:val="00AF506D"/>
    <w:rsid w:val="00AF52F1"/>
    <w:rsid w:val="00AF7D28"/>
    <w:rsid w:val="00AF7E25"/>
    <w:rsid w:val="00B0182D"/>
    <w:rsid w:val="00B0196F"/>
    <w:rsid w:val="00B0252E"/>
    <w:rsid w:val="00B02A67"/>
    <w:rsid w:val="00B0313F"/>
    <w:rsid w:val="00B03A5D"/>
    <w:rsid w:val="00B048C7"/>
    <w:rsid w:val="00B050CA"/>
    <w:rsid w:val="00B05E91"/>
    <w:rsid w:val="00B0771B"/>
    <w:rsid w:val="00B11144"/>
    <w:rsid w:val="00B119D0"/>
    <w:rsid w:val="00B11D72"/>
    <w:rsid w:val="00B12C78"/>
    <w:rsid w:val="00B13211"/>
    <w:rsid w:val="00B13291"/>
    <w:rsid w:val="00B134AB"/>
    <w:rsid w:val="00B14B42"/>
    <w:rsid w:val="00B1527A"/>
    <w:rsid w:val="00B15B78"/>
    <w:rsid w:val="00B17A6E"/>
    <w:rsid w:val="00B20012"/>
    <w:rsid w:val="00B200F6"/>
    <w:rsid w:val="00B20367"/>
    <w:rsid w:val="00B21204"/>
    <w:rsid w:val="00B240C8"/>
    <w:rsid w:val="00B24225"/>
    <w:rsid w:val="00B25211"/>
    <w:rsid w:val="00B25DF0"/>
    <w:rsid w:val="00B266B3"/>
    <w:rsid w:val="00B277E9"/>
    <w:rsid w:val="00B310F9"/>
    <w:rsid w:val="00B3275A"/>
    <w:rsid w:val="00B3349B"/>
    <w:rsid w:val="00B33D89"/>
    <w:rsid w:val="00B34FE9"/>
    <w:rsid w:val="00B352B8"/>
    <w:rsid w:val="00B35A9A"/>
    <w:rsid w:val="00B36AFA"/>
    <w:rsid w:val="00B36C10"/>
    <w:rsid w:val="00B36C64"/>
    <w:rsid w:val="00B40508"/>
    <w:rsid w:val="00B40A4C"/>
    <w:rsid w:val="00B414A4"/>
    <w:rsid w:val="00B42473"/>
    <w:rsid w:val="00B42BC6"/>
    <w:rsid w:val="00B442FC"/>
    <w:rsid w:val="00B45DFC"/>
    <w:rsid w:val="00B4750E"/>
    <w:rsid w:val="00B478DB"/>
    <w:rsid w:val="00B47A48"/>
    <w:rsid w:val="00B47A93"/>
    <w:rsid w:val="00B500DA"/>
    <w:rsid w:val="00B50ABF"/>
    <w:rsid w:val="00B52C1F"/>
    <w:rsid w:val="00B53120"/>
    <w:rsid w:val="00B53313"/>
    <w:rsid w:val="00B54247"/>
    <w:rsid w:val="00B54D3D"/>
    <w:rsid w:val="00B57AF0"/>
    <w:rsid w:val="00B608C2"/>
    <w:rsid w:val="00B60ABA"/>
    <w:rsid w:val="00B648AC"/>
    <w:rsid w:val="00B64AF2"/>
    <w:rsid w:val="00B6559A"/>
    <w:rsid w:val="00B6596E"/>
    <w:rsid w:val="00B6628F"/>
    <w:rsid w:val="00B70E42"/>
    <w:rsid w:val="00B715E8"/>
    <w:rsid w:val="00B72F72"/>
    <w:rsid w:val="00B7308E"/>
    <w:rsid w:val="00B74E56"/>
    <w:rsid w:val="00B750C5"/>
    <w:rsid w:val="00B7580D"/>
    <w:rsid w:val="00B7768C"/>
    <w:rsid w:val="00B77904"/>
    <w:rsid w:val="00B779CC"/>
    <w:rsid w:val="00B8012D"/>
    <w:rsid w:val="00B81022"/>
    <w:rsid w:val="00B81442"/>
    <w:rsid w:val="00B81AEF"/>
    <w:rsid w:val="00B82694"/>
    <w:rsid w:val="00B82742"/>
    <w:rsid w:val="00B82BC9"/>
    <w:rsid w:val="00B82C15"/>
    <w:rsid w:val="00B82F74"/>
    <w:rsid w:val="00B8364E"/>
    <w:rsid w:val="00B83CD0"/>
    <w:rsid w:val="00B86DEB"/>
    <w:rsid w:val="00B86EAF"/>
    <w:rsid w:val="00B90178"/>
    <w:rsid w:val="00B9024E"/>
    <w:rsid w:val="00B9097F"/>
    <w:rsid w:val="00B90B32"/>
    <w:rsid w:val="00B9333E"/>
    <w:rsid w:val="00B93BA1"/>
    <w:rsid w:val="00B93C68"/>
    <w:rsid w:val="00B93F10"/>
    <w:rsid w:val="00B9475E"/>
    <w:rsid w:val="00B96244"/>
    <w:rsid w:val="00B96411"/>
    <w:rsid w:val="00BA0A6C"/>
    <w:rsid w:val="00BA101C"/>
    <w:rsid w:val="00BA2B15"/>
    <w:rsid w:val="00BA4275"/>
    <w:rsid w:val="00BA69F8"/>
    <w:rsid w:val="00BB0E15"/>
    <w:rsid w:val="00BB1E11"/>
    <w:rsid w:val="00BB2268"/>
    <w:rsid w:val="00BB317A"/>
    <w:rsid w:val="00BB339B"/>
    <w:rsid w:val="00BB468D"/>
    <w:rsid w:val="00BB4CCC"/>
    <w:rsid w:val="00BB5BD7"/>
    <w:rsid w:val="00BB6825"/>
    <w:rsid w:val="00BC0DE2"/>
    <w:rsid w:val="00BC1881"/>
    <w:rsid w:val="00BC44A1"/>
    <w:rsid w:val="00BC4D77"/>
    <w:rsid w:val="00BC4EA1"/>
    <w:rsid w:val="00BC53FA"/>
    <w:rsid w:val="00BC7A9E"/>
    <w:rsid w:val="00BC7E0A"/>
    <w:rsid w:val="00BD0546"/>
    <w:rsid w:val="00BD170F"/>
    <w:rsid w:val="00BD1C13"/>
    <w:rsid w:val="00BD280C"/>
    <w:rsid w:val="00BD2B3D"/>
    <w:rsid w:val="00BD3560"/>
    <w:rsid w:val="00BD3767"/>
    <w:rsid w:val="00BD39DE"/>
    <w:rsid w:val="00BD3D3B"/>
    <w:rsid w:val="00BD3D57"/>
    <w:rsid w:val="00BD608F"/>
    <w:rsid w:val="00BD63A5"/>
    <w:rsid w:val="00BD7A79"/>
    <w:rsid w:val="00BD7ABF"/>
    <w:rsid w:val="00BE00E5"/>
    <w:rsid w:val="00BE06C5"/>
    <w:rsid w:val="00BE08C8"/>
    <w:rsid w:val="00BE0AF1"/>
    <w:rsid w:val="00BE1A51"/>
    <w:rsid w:val="00BE20B3"/>
    <w:rsid w:val="00BE2416"/>
    <w:rsid w:val="00BE2886"/>
    <w:rsid w:val="00BE3A13"/>
    <w:rsid w:val="00BE667F"/>
    <w:rsid w:val="00BE75AA"/>
    <w:rsid w:val="00BE7A1A"/>
    <w:rsid w:val="00BF03EF"/>
    <w:rsid w:val="00BF19D9"/>
    <w:rsid w:val="00BF1F19"/>
    <w:rsid w:val="00BF2515"/>
    <w:rsid w:val="00BF27BA"/>
    <w:rsid w:val="00BF2F29"/>
    <w:rsid w:val="00BF3BD3"/>
    <w:rsid w:val="00BF3D72"/>
    <w:rsid w:val="00BF5F95"/>
    <w:rsid w:val="00BF60CC"/>
    <w:rsid w:val="00BF627A"/>
    <w:rsid w:val="00BF701A"/>
    <w:rsid w:val="00BF7314"/>
    <w:rsid w:val="00BF7315"/>
    <w:rsid w:val="00BF773C"/>
    <w:rsid w:val="00C027DF"/>
    <w:rsid w:val="00C02DFD"/>
    <w:rsid w:val="00C032B7"/>
    <w:rsid w:val="00C0419E"/>
    <w:rsid w:val="00C05D9C"/>
    <w:rsid w:val="00C065FA"/>
    <w:rsid w:val="00C06980"/>
    <w:rsid w:val="00C06ABC"/>
    <w:rsid w:val="00C100ED"/>
    <w:rsid w:val="00C10356"/>
    <w:rsid w:val="00C10651"/>
    <w:rsid w:val="00C1068E"/>
    <w:rsid w:val="00C10C72"/>
    <w:rsid w:val="00C12CB7"/>
    <w:rsid w:val="00C1317F"/>
    <w:rsid w:val="00C132A1"/>
    <w:rsid w:val="00C13BD7"/>
    <w:rsid w:val="00C13F3F"/>
    <w:rsid w:val="00C155CE"/>
    <w:rsid w:val="00C171C6"/>
    <w:rsid w:val="00C1771E"/>
    <w:rsid w:val="00C17A0C"/>
    <w:rsid w:val="00C17AAD"/>
    <w:rsid w:val="00C21408"/>
    <w:rsid w:val="00C22ABF"/>
    <w:rsid w:val="00C238B7"/>
    <w:rsid w:val="00C23E09"/>
    <w:rsid w:val="00C2535E"/>
    <w:rsid w:val="00C25689"/>
    <w:rsid w:val="00C25D21"/>
    <w:rsid w:val="00C26344"/>
    <w:rsid w:val="00C27903"/>
    <w:rsid w:val="00C30317"/>
    <w:rsid w:val="00C31A11"/>
    <w:rsid w:val="00C3288E"/>
    <w:rsid w:val="00C32970"/>
    <w:rsid w:val="00C33B75"/>
    <w:rsid w:val="00C34208"/>
    <w:rsid w:val="00C346A8"/>
    <w:rsid w:val="00C34BEA"/>
    <w:rsid w:val="00C35DF1"/>
    <w:rsid w:val="00C362FD"/>
    <w:rsid w:val="00C3716E"/>
    <w:rsid w:val="00C371F1"/>
    <w:rsid w:val="00C37CA7"/>
    <w:rsid w:val="00C407CA"/>
    <w:rsid w:val="00C40EF4"/>
    <w:rsid w:val="00C44C4F"/>
    <w:rsid w:val="00C45115"/>
    <w:rsid w:val="00C459D5"/>
    <w:rsid w:val="00C45B32"/>
    <w:rsid w:val="00C46753"/>
    <w:rsid w:val="00C473FF"/>
    <w:rsid w:val="00C51E61"/>
    <w:rsid w:val="00C5211D"/>
    <w:rsid w:val="00C52BF4"/>
    <w:rsid w:val="00C53436"/>
    <w:rsid w:val="00C560F0"/>
    <w:rsid w:val="00C6023E"/>
    <w:rsid w:val="00C61213"/>
    <w:rsid w:val="00C61871"/>
    <w:rsid w:val="00C61FBE"/>
    <w:rsid w:val="00C63AD2"/>
    <w:rsid w:val="00C64BB8"/>
    <w:rsid w:val="00C6628A"/>
    <w:rsid w:val="00C665BC"/>
    <w:rsid w:val="00C66B73"/>
    <w:rsid w:val="00C66FED"/>
    <w:rsid w:val="00C67252"/>
    <w:rsid w:val="00C706FA"/>
    <w:rsid w:val="00C729EC"/>
    <w:rsid w:val="00C73F76"/>
    <w:rsid w:val="00C7400E"/>
    <w:rsid w:val="00C742D9"/>
    <w:rsid w:val="00C7456F"/>
    <w:rsid w:val="00C749B8"/>
    <w:rsid w:val="00C756AB"/>
    <w:rsid w:val="00C76013"/>
    <w:rsid w:val="00C77CCE"/>
    <w:rsid w:val="00C804E6"/>
    <w:rsid w:val="00C8099E"/>
    <w:rsid w:val="00C8204D"/>
    <w:rsid w:val="00C82B53"/>
    <w:rsid w:val="00C85087"/>
    <w:rsid w:val="00C85D8C"/>
    <w:rsid w:val="00C8706E"/>
    <w:rsid w:val="00C90153"/>
    <w:rsid w:val="00C90540"/>
    <w:rsid w:val="00C90621"/>
    <w:rsid w:val="00C9173F"/>
    <w:rsid w:val="00C92ED3"/>
    <w:rsid w:val="00C94D11"/>
    <w:rsid w:val="00C94E15"/>
    <w:rsid w:val="00C96D95"/>
    <w:rsid w:val="00C97F58"/>
    <w:rsid w:val="00CA19D3"/>
    <w:rsid w:val="00CA1C7A"/>
    <w:rsid w:val="00CA23C8"/>
    <w:rsid w:val="00CA2863"/>
    <w:rsid w:val="00CA46F9"/>
    <w:rsid w:val="00CA65FB"/>
    <w:rsid w:val="00CA73AD"/>
    <w:rsid w:val="00CA79AA"/>
    <w:rsid w:val="00CB0B55"/>
    <w:rsid w:val="00CB0C0C"/>
    <w:rsid w:val="00CB0C97"/>
    <w:rsid w:val="00CB0D5C"/>
    <w:rsid w:val="00CB0F34"/>
    <w:rsid w:val="00CB1E44"/>
    <w:rsid w:val="00CB283E"/>
    <w:rsid w:val="00CB4164"/>
    <w:rsid w:val="00CB4625"/>
    <w:rsid w:val="00CB5533"/>
    <w:rsid w:val="00CB5C76"/>
    <w:rsid w:val="00CB71BE"/>
    <w:rsid w:val="00CB7409"/>
    <w:rsid w:val="00CC0647"/>
    <w:rsid w:val="00CC1F13"/>
    <w:rsid w:val="00CC3C20"/>
    <w:rsid w:val="00CC45DE"/>
    <w:rsid w:val="00CC5C51"/>
    <w:rsid w:val="00CC699A"/>
    <w:rsid w:val="00CC6E6B"/>
    <w:rsid w:val="00CC749E"/>
    <w:rsid w:val="00CD02DF"/>
    <w:rsid w:val="00CD050C"/>
    <w:rsid w:val="00CD0514"/>
    <w:rsid w:val="00CD16DB"/>
    <w:rsid w:val="00CD1FCB"/>
    <w:rsid w:val="00CD2D29"/>
    <w:rsid w:val="00CD362C"/>
    <w:rsid w:val="00CD4796"/>
    <w:rsid w:val="00CD495E"/>
    <w:rsid w:val="00CD5BC9"/>
    <w:rsid w:val="00CD73C8"/>
    <w:rsid w:val="00CD7AED"/>
    <w:rsid w:val="00CE050D"/>
    <w:rsid w:val="00CE1E24"/>
    <w:rsid w:val="00CE29EB"/>
    <w:rsid w:val="00CE36BE"/>
    <w:rsid w:val="00CE4E87"/>
    <w:rsid w:val="00CE580C"/>
    <w:rsid w:val="00CE7CA2"/>
    <w:rsid w:val="00CF3ADF"/>
    <w:rsid w:val="00CF4389"/>
    <w:rsid w:val="00CF486E"/>
    <w:rsid w:val="00CF5FAC"/>
    <w:rsid w:val="00CF6E75"/>
    <w:rsid w:val="00CF74B5"/>
    <w:rsid w:val="00D010D6"/>
    <w:rsid w:val="00D02723"/>
    <w:rsid w:val="00D02F10"/>
    <w:rsid w:val="00D046C6"/>
    <w:rsid w:val="00D04A64"/>
    <w:rsid w:val="00D06457"/>
    <w:rsid w:val="00D068A0"/>
    <w:rsid w:val="00D07D94"/>
    <w:rsid w:val="00D13DE0"/>
    <w:rsid w:val="00D201A2"/>
    <w:rsid w:val="00D208CD"/>
    <w:rsid w:val="00D216B8"/>
    <w:rsid w:val="00D2198A"/>
    <w:rsid w:val="00D21A43"/>
    <w:rsid w:val="00D22FCF"/>
    <w:rsid w:val="00D232E6"/>
    <w:rsid w:val="00D23391"/>
    <w:rsid w:val="00D246BC"/>
    <w:rsid w:val="00D25862"/>
    <w:rsid w:val="00D275ED"/>
    <w:rsid w:val="00D3186E"/>
    <w:rsid w:val="00D31CBA"/>
    <w:rsid w:val="00D3214A"/>
    <w:rsid w:val="00D326BA"/>
    <w:rsid w:val="00D32E3B"/>
    <w:rsid w:val="00D33BE7"/>
    <w:rsid w:val="00D34CB8"/>
    <w:rsid w:val="00D3520F"/>
    <w:rsid w:val="00D35C04"/>
    <w:rsid w:val="00D3617C"/>
    <w:rsid w:val="00D367E7"/>
    <w:rsid w:val="00D3687E"/>
    <w:rsid w:val="00D36A5A"/>
    <w:rsid w:val="00D36A67"/>
    <w:rsid w:val="00D40488"/>
    <w:rsid w:val="00D424EA"/>
    <w:rsid w:val="00D43EA9"/>
    <w:rsid w:val="00D44169"/>
    <w:rsid w:val="00D44907"/>
    <w:rsid w:val="00D44EC7"/>
    <w:rsid w:val="00D45589"/>
    <w:rsid w:val="00D45613"/>
    <w:rsid w:val="00D464F2"/>
    <w:rsid w:val="00D46ACD"/>
    <w:rsid w:val="00D46B63"/>
    <w:rsid w:val="00D524AE"/>
    <w:rsid w:val="00D52BB8"/>
    <w:rsid w:val="00D534DF"/>
    <w:rsid w:val="00D53A1D"/>
    <w:rsid w:val="00D53CBD"/>
    <w:rsid w:val="00D54358"/>
    <w:rsid w:val="00D549BC"/>
    <w:rsid w:val="00D55008"/>
    <w:rsid w:val="00D55C88"/>
    <w:rsid w:val="00D56F8E"/>
    <w:rsid w:val="00D57072"/>
    <w:rsid w:val="00D57B3A"/>
    <w:rsid w:val="00D61804"/>
    <w:rsid w:val="00D62532"/>
    <w:rsid w:val="00D627A7"/>
    <w:rsid w:val="00D62850"/>
    <w:rsid w:val="00D63C02"/>
    <w:rsid w:val="00D64341"/>
    <w:rsid w:val="00D650B0"/>
    <w:rsid w:val="00D65815"/>
    <w:rsid w:val="00D67D22"/>
    <w:rsid w:val="00D7069D"/>
    <w:rsid w:val="00D715F4"/>
    <w:rsid w:val="00D7244E"/>
    <w:rsid w:val="00D72E8D"/>
    <w:rsid w:val="00D74597"/>
    <w:rsid w:val="00D74A4D"/>
    <w:rsid w:val="00D752B8"/>
    <w:rsid w:val="00D759F4"/>
    <w:rsid w:val="00D75C15"/>
    <w:rsid w:val="00D77268"/>
    <w:rsid w:val="00D81891"/>
    <w:rsid w:val="00D86749"/>
    <w:rsid w:val="00D86952"/>
    <w:rsid w:val="00D86F16"/>
    <w:rsid w:val="00D87DFF"/>
    <w:rsid w:val="00D9007A"/>
    <w:rsid w:val="00D9090D"/>
    <w:rsid w:val="00D92038"/>
    <w:rsid w:val="00D92532"/>
    <w:rsid w:val="00D92541"/>
    <w:rsid w:val="00D92CFC"/>
    <w:rsid w:val="00D93D9B"/>
    <w:rsid w:val="00D97A0E"/>
    <w:rsid w:val="00D97A9D"/>
    <w:rsid w:val="00D97D91"/>
    <w:rsid w:val="00DA282E"/>
    <w:rsid w:val="00DA3C8B"/>
    <w:rsid w:val="00DA3CA7"/>
    <w:rsid w:val="00DA3FFA"/>
    <w:rsid w:val="00DA668A"/>
    <w:rsid w:val="00DA69D2"/>
    <w:rsid w:val="00DA6C47"/>
    <w:rsid w:val="00DA6EA0"/>
    <w:rsid w:val="00DA7F9A"/>
    <w:rsid w:val="00DB4879"/>
    <w:rsid w:val="00DB4B2C"/>
    <w:rsid w:val="00DB4E4E"/>
    <w:rsid w:val="00DB64F7"/>
    <w:rsid w:val="00DB6CFA"/>
    <w:rsid w:val="00DB77EE"/>
    <w:rsid w:val="00DB7BB9"/>
    <w:rsid w:val="00DC15C4"/>
    <w:rsid w:val="00DC2AC2"/>
    <w:rsid w:val="00DC325F"/>
    <w:rsid w:val="00DC3A11"/>
    <w:rsid w:val="00DC3EA9"/>
    <w:rsid w:val="00DC5E4A"/>
    <w:rsid w:val="00DC656D"/>
    <w:rsid w:val="00DC663C"/>
    <w:rsid w:val="00DC679F"/>
    <w:rsid w:val="00DC7A79"/>
    <w:rsid w:val="00DD0487"/>
    <w:rsid w:val="00DD0601"/>
    <w:rsid w:val="00DD106F"/>
    <w:rsid w:val="00DD10F8"/>
    <w:rsid w:val="00DD15AF"/>
    <w:rsid w:val="00DD1F82"/>
    <w:rsid w:val="00DD3032"/>
    <w:rsid w:val="00DD34B4"/>
    <w:rsid w:val="00DD3F23"/>
    <w:rsid w:val="00DD5270"/>
    <w:rsid w:val="00DD54E5"/>
    <w:rsid w:val="00DD5A12"/>
    <w:rsid w:val="00DD73DD"/>
    <w:rsid w:val="00DD770F"/>
    <w:rsid w:val="00DD7C9F"/>
    <w:rsid w:val="00DE1B9B"/>
    <w:rsid w:val="00DE20AB"/>
    <w:rsid w:val="00DE249D"/>
    <w:rsid w:val="00DE2E21"/>
    <w:rsid w:val="00DE3711"/>
    <w:rsid w:val="00DE3988"/>
    <w:rsid w:val="00DE40C6"/>
    <w:rsid w:val="00DE734C"/>
    <w:rsid w:val="00DF008F"/>
    <w:rsid w:val="00DF030E"/>
    <w:rsid w:val="00DF03F4"/>
    <w:rsid w:val="00DF0BB1"/>
    <w:rsid w:val="00DF0F75"/>
    <w:rsid w:val="00DF1B12"/>
    <w:rsid w:val="00DF2416"/>
    <w:rsid w:val="00DF2A3A"/>
    <w:rsid w:val="00DF330B"/>
    <w:rsid w:val="00DF3725"/>
    <w:rsid w:val="00DF45AF"/>
    <w:rsid w:val="00DF604F"/>
    <w:rsid w:val="00DF7A69"/>
    <w:rsid w:val="00E00036"/>
    <w:rsid w:val="00E006F9"/>
    <w:rsid w:val="00E01097"/>
    <w:rsid w:val="00E0204E"/>
    <w:rsid w:val="00E0282A"/>
    <w:rsid w:val="00E02D46"/>
    <w:rsid w:val="00E04411"/>
    <w:rsid w:val="00E05531"/>
    <w:rsid w:val="00E05BB0"/>
    <w:rsid w:val="00E10025"/>
    <w:rsid w:val="00E13D4E"/>
    <w:rsid w:val="00E13EEE"/>
    <w:rsid w:val="00E14804"/>
    <w:rsid w:val="00E14950"/>
    <w:rsid w:val="00E14B50"/>
    <w:rsid w:val="00E15FC6"/>
    <w:rsid w:val="00E176F1"/>
    <w:rsid w:val="00E177A6"/>
    <w:rsid w:val="00E201F1"/>
    <w:rsid w:val="00E21DB2"/>
    <w:rsid w:val="00E2363A"/>
    <w:rsid w:val="00E24F56"/>
    <w:rsid w:val="00E252B8"/>
    <w:rsid w:val="00E25382"/>
    <w:rsid w:val="00E25F40"/>
    <w:rsid w:val="00E26BAF"/>
    <w:rsid w:val="00E27B25"/>
    <w:rsid w:val="00E31D66"/>
    <w:rsid w:val="00E33051"/>
    <w:rsid w:val="00E3412A"/>
    <w:rsid w:val="00E34694"/>
    <w:rsid w:val="00E3523B"/>
    <w:rsid w:val="00E361B5"/>
    <w:rsid w:val="00E40863"/>
    <w:rsid w:val="00E417BD"/>
    <w:rsid w:val="00E4187A"/>
    <w:rsid w:val="00E424B5"/>
    <w:rsid w:val="00E435F0"/>
    <w:rsid w:val="00E439BB"/>
    <w:rsid w:val="00E43CE0"/>
    <w:rsid w:val="00E446C3"/>
    <w:rsid w:val="00E453EB"/>
    <w:rsid w:val="00E45889"/>
    <w:rsid w:val="00E4764A"/>
    <w:rsid w:val="00E4769F"/>
    <w:rsid w:val="00E518E7"/>
    <w:rsid w:val="00E51DCD"/>
    <w:rsid w:val="00E52C1A"/>
    <w:rsid w:val="00E533D9"/>
    <w:rsid w:val="00E53B44"/>
    <w:rsid w:val="00E547B2"/>
    <w:rsid w:val="00E551B9"/>
    <w:rsid w:val="00E56E83"/>
    <w:rsid w:val="00E5708A"/>
    <w:rsid w:val="00E609EE"/>
    <w:rsid w:val="00E60FF4"/>
    <w:rsid w:val="00E619E1"/>
    <w:rsid w:val="00E621ED"/>
    <w:rsid w:val="00E6261E"/>
    <w:rsid w:val="00E62E56"/>
    <w:rsid w:val="00E6349B"/>
    <w:rsid w:val="00E653A6"/>
    <w:rsid w:val="00E65958"/>
    <w:rsid w:val="00E6761B"/>
    <w:rsid w:val="00E67792"/>
    <w:rsid w:val="00E67A31"/>
    <w:rsid w:val="00E67EFB"/>
    <w:rsid w:val="00E723EB"/>
    <w:rsid w:val="00E7340B"/>
    <w:rsid w:val="00E742E2"/>
    <w:rsid w:val="00E75A2F"/>
    <w:rsid w:val="00E76532"/>
    <w:rsid w:val="00E772FD"/>
    <w:rsid w:val="00E77FE3"/>
    <w:rsid w:val="00E81D57"/>
    <w:rsid w:val="00E81FA0"/>
    <w:rsid w:val="00E84095"/>
    <w:rsid w:val="00E847EB"/>
    <w:rsid w:val="00E8682C"/>
    <w:rsid w:val="00E87626"/>
    <w:rsid w:val="00E87713"/>
    <w:rsid w:val="00E90DE6"/>
    <w:rsid w:val="00E91FB4"/>
    <w:rsid w:val="00E922EE"/>
    <w:rsid w:val="00E926A6"/>
    <w:rsid w:val="00E92B46"/>
    <w:rsid w:val="00E93C1A"/>
    <w:rsid w:val="00E94BA1"/>
    <w:rsid w:val="00E94CB4"/>
    <w:rsid w:val="00E95381"/>
    <w:rsid w:val="00E960B2"/>
    <w:rsid w:val="00E97BFF"/>
    <w:rsid w:val="00E97F53"/>
    <w:rsid w:val="00EA03ED"/>
    <w:rsid w:val="00EA0E84"/>
    <w:rsid w:val="00EA175B"/>
    <w:rsid w:val="00EA1BE3"/>
    <w:rsid w:val="00EA2D85"/>
    <w:rsid w:val="00EA4726"/>
    <w:rsid w:val="00EA4B31"/>
    <w:rsid w:val="00EA4D5F"/>
    <w:rsid w:val="00EA4ED7"/>
    <w:rsid w:val="00EA6015"/>
    <w:rsid w:val="00EA6482"/>
    <w:rsid w:val="00EA6E8C"/>
    <w:rsid w:val="00EA725C"/>
    <w:rsid w:val="00EA7408"/>
    <w:rsid w:val="00EA7AB3"/>
    <w:rsid w:val="00EB667E"/>
    <w:rsid w:val="00EB6E64"/>
    <w:rsid w:val="00EB7A44"/>
    <w:rsid w:val="00EB7EA1"/>
    <w:rsid w:val="00EB7F3B"/>
    <w:rsid w:val="00EC008F"/>
    <w:rsid w:val="00EC023B"/>
    <w:rsid w:val="00EC28AC"/>
    <w:rsid w:val="00EC28FE"/>
    <w:rsid w:val="00EC31AA"/>
    <w:rsid w:val="00EC3971"/>
    <w:rsid w:val="00EC5C4A"/>
    <w:rsid w:val="00EC66BC"/>
    <w:rsid w:val="00EC7C4D"/>
    <w:rsid w:val="00ED01D2"/>
    <w:rsid w:val="00ED064C"/>
    <w:rsid w:val="00ED288A"/>
    <w:rsid w:val="00ED35E4"/>
    <w:rsid w:val="00ED774C"/>
    <w:rsid w:val="00EE0937"/>
    <w:rsid w:val="00EE1075"/>
    <w:rsid w:val="00EE1E0C"/>
    <w:rsid w:val="00EE29F8"/>
    <w:rsid w:val="00EE2B28"/>
    <w:rsid w:val="00EE2BA3"/>
    <w:rsid w:val="00EE2D77"/>
    <w:rsid w:val="00EE38C3"/>
    <w:rsid w:val="00EE4935"/>
    <w:rsid w:val="00EE4F2E"/>
    <w:rsid w:val="00EE5015"/>
    <w:rsid w:val="00EE58F0"/>
    <w:rsid w:val="00EE594A"/>
    <w:rsid w:val="00EE6AB5"/>
    <w:rsid w:val="00EE6F0E"/>
    <w:rsid w:val="00EE75D7"/>
    <w:rsid w:val="00EF2A95"/>
    <w:rsid w:val="00EF2A97"/>
    <w:rsid w:val="00EF31FD"/>
    <w:rsid w:val="00EF4032"/>
    <w:rsid w:val="00EF48E6"/>
    <w:rsid w:val="00EF50F3"/>
    <w:rsid w:val="00EF6538"/>
    <w:rsid w:val="00EF673C"/>
    <w:rsid w:val="00EF789D"/>
    <w:rsid w:val="00F00780"/>
    <w:rsid w:val="00F01ACA"/>
    <w:rsid w:val="00F01B6E"/>
    <w:rsid w:val="00F02709"/>
    <w:rsid w:val="00F039ED"/>
    <w:rsid w:val="00F03D12"/>
    <w:rsid w:val="00F04A6D"/>
    <w:rsid w:val="00F05809"/>
    <w:rsid w:val="00F06C18"/>
    <w:rsid w:val="00F07201"/>
    <w:rsid w:val="00F07DB9"/>
    <w:rsid w:val="00F10004"/>
    <w:rsid w:val="00F14188"/>
    <w:rsid w:val="00F164EF"/>
    <w:rsid w:val="00F16DBF"/>
    <w:rsid w:val="00F17904"/>
    <w:rsid w:val="00F20692"/>
    <w:rsid w:val="00F20CCD"/>
    <w:rsid w:val="00F20DB6"/>
    <w:rsid w:val="00F20DD7"/>
    <w:rsid w:val="00F2133F"/>
    <w:rsid w:val="00F21AC1"/>
    <w:rsid w:val="00F21C1F"/>
    <w:rsid w:val="00F23CEC"/>
    <w:rsid w:val="00F24248"/>
    <w:rsid w:val="00F2445E"/>
    <w:rsid w:val="00F25ECC"/>
    <w:rsid w:val="00F266FF"/>
    <w:rsid w:val="00F27049"/>
    <w:rsid w:val="00F30453"/>
    <w:rsid w:val="00F30C80"/>
    <w:rsid w:val="00F32BD3"/>
    <w:rsid w:val="00F35E18"/>
    <w:rsid w:val="00F37950"/>
    <w:rsid w:val="00F40DBC"/>
    <w:rsid w:val="00F40EE9"/>
    <w:rsid w:val="00F41C4D"/>
    <w:rsid w:val="00F41E2C"/>
    <w:rsid w:val="00F45248"/>
    <w:rsid w:val="00F465CD"/>
    <w:rsid w:val="00F50DD9"/>
    <w:rsid w:val="00F50E92"/>
    <w:rsid w:val="00F515EB"/>
    <w:rsid w:val="00F51E65"/>
    <w:rsid w:val="00F5408C"/>
    <w:rsid w:val="00F54B0C"/>
    <w:rsid w:val="00F553F1"/>
    <w:rsid w:val="00F558B8"/>
    <w:rsid w:val="00F5701E"/>
    <w:rsid w:val="00F60F26"/>
    <w:rsid w:val="00F63203"/>
    <w:rsid w:val="00F63905"/>
    <w:rsid w:val="00F64594"/>
    <w:rsid w:val="00F6509B"/>
    <w:rsid w:val="00F71E6E"/>
    <w:rsid w:val="00F723C4"/>
    <w:rsid w:val="00F72664"/>
    <w:rsid w:val="00F730BA"/>
    <w:rsid w:val="00F73C92"/>
    <w:rsid w:val="00F74AAE"/>
    <w:rsid w:val="00F7505A"/>
    <w:rsid w:val="00F77ED5"/>
    <w:rsid w:val="00F802DF"/>
    <w:rsid w:val="00F80853"/>
    <w:rsid w:val="00F80A46"/>
    <w:rsid w:val="00F81183"/>
    <w:rsid w:val="00F81361"/>
    <w:rsid w:val="00F81523"/>
    <w:rsid w:val="00F81EEF"/>
    <w:rsid w:val="00F821E0"/>
    <w:rsid w:val="00F82AE7"/>
    <w:rsid w:val="00F84038"/>
    <w:rsid w:val="00F840E4"/>
    <w:rsid w:val="00F84851"/>
    <w:rsid w:val="00F84B8D"/>
    <w:rsid w:val="00F86AC4"/>
    <w:rsid w:val="00F87DA7"/>
    <w:rsid w:val="00F90A60"/>
    <w:rsid w:val="00F91B72"/>
    <w:rsid w:val="00F92783"/>
    <w:rsid w:val="00F929BE"/>
    <w:rsid w:val="00F92B5D"/>
    <w:rsid w:val="00F9323D"/>
    <w:rsid w:val="00F953A4"/>
    <w:rsid w:val="00F965E6"/>
    <w:rsid w:val="00FA049E"/>
    <w:rsid w:val="00FA159C"/>
    <w:rsid w:val="00FA196B"/>
    <w:rsid w:val="00FA1EE8"/>
    <w:rsid w:val="00FA3A2E"/>
    <w:rsid w:val="00FA3A72"/>
    <w:rsid w:val="00FA51FD"/>
    <w:rsid w:val="00FA791C"/>
    <w:rsid w:val="00FA7FE3"/>
    <w:rsid w:val="00FB02FE"/>
    <w:rsid w:val="00FB2DF2"/>
    <w:rsid w:val="00FB3341"/>
    <w:rsid w:val="00FB410E"/>
    <w:rsid w:val="00FB420A"/>
    <w:rsid w:val="00FB42CD"/>
    <w:rsid w:val="00FB47FD"/>
    <w:rsid w:val="00FB78E6"/>
    <w:rsid w:val="00FC0047"/>
    <w:rsid w:val="00FC0F95"/>
    <w:rsid w:val="00FC1304"/>
    <w:rsid w:val="00FC2736"/>
    <w:rsid w:val="00FC49A7"/>
    <w:rsid w:val="00FC5E64"/>
    <w:rsid w:val="00FC6053"/>
    <w:rsid w:val="00FC6844"/>
    <w:rsid w:val="00FC7B78"/>
    <w:rsid w:val="00FC7B9B"/>
    <w:rsid w:val="00FD0EFE"/>
    <w:rsid w:val="00FD1475"/>
    <w:rsid w:val="00FD2671"/>
    <w:rsid w:val="00FD344D"/>
    <w:rsid w:val="00FD3732"/>
    <w:rsid w:val="00FD4337"/>
    <w:rsid w:val="00FD5649"/>
    <w:rsid w:val="00FD5738"/>
    <w:rsid w:val="00FD737E"/>
    <w:rsid w:val="00FD795E"/>
    <w:rsid w:val="00FE0043"/>
    <w:rsid w:val="00FE08E1"/>
    <w:rsid w:val="00FE09ED"/>
    <w:rsid w:val="00FE159F"/>
    <w:rsid w:val="00FE1CD5"/>
    <w:rsid w:val="00FE3DC4"/>
    <w:rsid w:val="00FE42FD"/>
    <w:rsid w:val="00FE4D22"/>
    <w:rsid w:val="00FE52E5"/>
    <w:rsid w:val="00FE5F44"/>
    <w:rsid w:val="00FE633E"/>
    <w:rsid w:val="00FE6600"/>
    <w:rsid w:val="00FE7929"/>
    <w:rsid w:val="00FE7C03"/>
    <w:rsid w:val="00FF0CDD"/>
    <w:rsid w:val="00FF269D"/>
    <w:rsid w:val="00FF2969"/>
    <w:rsid w:val="00FF421F"/>
    <w:rsid w:val="00FF4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49"/>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5"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966"/>
    <w:pPr>
      <w:autoSpaceDE w:val="0"/>
      <w:autoSpaceDN w:val="0"/>
      <w:adjustRightInd w:val="0"/>
      <w:spacing w:before="240" w:after="0" w:line="240" w:lineRule="auto"/>
      <w:ind w:left="11"/>
      <w:jc w:val="both"/>
    </w:pPr>
    <w:rPr>
      <w:rFonts w:ascii="Times New Roman" w:eastAsia="Times New Roman" w:hAnsi="Times New Roman" w:cs="Times New Roman"/>
      <w:sz w:val="21"/>
      <w:szCs w:val="21"/>
      <w:lang w:val="fr-FR"/>
    </w:rPr>
  </w:style>
  <w:style w:type="paragraph" w:styleId="Heading1">
    <w:name w:val="heading 1"/>
    <w:aliases w:val="Main Heading,+ 14 pt noire"/>
    <w:basedOn w:val="Normal"/>
    <w:next w:val="Normal"/>
    <w:link w:val="Heading1Char"/>
    <w:qFormat/>
    <w:rsid w:val="00D53A1D"/>
    <w:pPr>
      <w:widowControl w:val="0"/>
      <w:spacing w:after="240"/>
      <w:ind w:left="0"/>
      <w:jc w:val="left"/>
      <w:outlineLvl w:val="0"/>
    </w:pPr>
    <w:rPr>
      <w:b/>
    </w:rPr>
  </w:style>
  <w:style w:type="paragraph" w:styleId="Heading2">
    <w:name w:val="heading 2"/>
    <w:aliases w:val="Paranum"/>
    <w:basedOn w:val="Normal"/>
    <w:next w:val="Normal"/>
    <w:link w:val="Heading2Char1"/>
    <w:unhideWhenUsed/>
    <w:qFormat/>
    <w:rsid w:val="00772966"/>
    <w:pPr>
      <w:keepNext/>
      <w:keepLines/>
      <w:numPr>
        <w:ilvl w:val="1"/>
        <w:numId w:val="7"/>
      </w:numPr>
      <w:spacing w:after="240"/>
      <w:outlineLvl w:val="1"/>
    </w:pPr>
    <w:rPr>
      <w:b/>
    </w:rPr>
  </w:style>
  <w:style w:type="paragraph" w:styleId="Heading3">
    <w:name w:val="heading 3"/>
    <w:basedOn w:val="Normal"/>
    <w:next w:val="Normal"/>
    <w:link w:val="Heading3Char"/>
    <w:uiPriority w:val="9"/>
    <w:unhideWhenUsed/>
    <w:qFormat/>
    <w:rsid w:val="00772966"/>
    <w:pPr>
      <w:keepNext/>
      <w:keepLines/>
      <w:numPr>
        <w:ilvl w:val="2"/>
        <w:numId w:val="7"/>
      </w:numPr>
      <w:spacing w:after="240"/>
      <w:jc w:val="left"/>
      <w:outlineLvl w:val="2"/>
    </w:pPr>
    <w:rPr>
      <w:b/>
    </w:rPr>
  </w:style>
  <w:style w:type="paragraph" w:styleId="Heading4">
    <w:name w:val="heading 4"/>
    <w:basedOn w:val="Normal"/>
    <w:next w:val="Normal"/>
    <w:link w:val="Heading4Char"/>
    <w:uiPriority w:val="9"/>
    <w:unhideWhenUsed/>
    <w:qFormat/>
    <w:rsid w:val="00772966"/>
    <w:pPr>
      <w:keepNext/>
      <w:keepLines/>
      <w:numPr>
        <w:ilvl w:val="3"/>
        <w:numId w:val="7"/>
      </w:numPr>
      <w:spacing w:after="240"/>
      <w:outlineLvl w:val="3"/>
    </w:pPr>
    <w:rPr>
      <w:b/>
    </w:rPr>
  </w:style>
  <w:style w:type="paragraph" w:styleId="Heading5">
    <w:name w:val="heading 5"/>
    <w:basedOn w:val="Normal"/>
    <w:next w:val="Normal"/>
    <w:link w:val="Heading5Char"/>
    <w:unhideWhenUsed/>
    <w:qFormat/>
    <w:rsid w:val="00772966"/>
    <w:pPr>
      <w:keepNext/>
      <w:keepLines/>
      <w:numPr>
        <w:ilvl w:val="4"/>
        <w:numId w:val="7"/>
      </w:numPr>
      <w:spacing w:before="200"/>
      <w:outlineLvl w:val="4"/>
    </w:pPr>
    <w:rPr>
      <w:b/>
      <w:spacing w:val="-1"/>
      <w:w w:val="105"/>
    </w:rPr>
  </w:style>
  <w:style w:type="paragraph" w:styleId="Heading6">
    <w:name w:val="heading 6"/>
    <w:basedOn w:val="Normal"/>
    <w:next w:val="Normal"/>
    <w:link w:val="Heading6Char"/>
    <w:unhideWhenUsed/>
    <w:qFormat/>
    <w:rsid w:val="00772966"/>
    <w:pPr>
      <w:keepNext/>
      <w:keepLines/>
      <w:numPr>
        <w:ilvl w:val="5"/>
        <w:numId w:val="7"/>
      </w:numPr>
      <w:spacing w:before="200"/>
      <w:outlineLvl w:val="5"/>
    </w:pPr>
    <w:rPr>
      <w:rFonts w:ascii="Cambria" w:hAnsi="Cambria"/>
      <w:i/>
      <w:iCs/>
      <w:color w:val="243F60"/>
    </w:rPr>
  </w:style>
  <w:style w:type="paragraph" w:styleId="Heading7">
    <w:name w:val="heading 7"/>
    <w:basedOn w:val="Normal"/>
    <w:next w:val="Normal"/>
    <w:link w:val="Heading7Char"/>
    <w:unhideWhenUsed/>
    <w:qFormat/>
    <w:rsid w:val="00772966"/>
    <w:pPr>
      <w:keepNext/>
      <w:keepLines/>
      <w:numPr>
        <w:ilvl w:val="6"/>
        <w:numId w:val="7"/>
      </w:numPr>
      <w:spacing w:before="200"/>
      <w:outlineLvl w:val="6"/>
    </w:pPr>
    <w:rPr>
      <w:rFonts w:ascii="Cambria" w:hAnsi="Cambria"/>
      <w:i/>
      <w:iCs/>
      <w:color w:val="404040"/>
    </w:rPr>
  </w:style>
  <w:style w:type="paragraph" w:styleId="Heading8">
    <w:name w:val="heading 8"/>
    <w:aliases w:val="Titre 8 Car Car Car"/>
    <w:basedOn w:val="Normal"/>
    <w:next w:val="Normal"/>
    <w:link w:val="Heading8Char"/>
    <w:unhideWhenUsed/>
    <w:qFormat/>
    <w:rsid w:val="00772966"/>
    <w:pPr>
      <w:keepNext/>
      <w:keepLines/>
      <w:numPr>
        <w:ilvl w:val="7"/>
        <w:numId w:val="7"/>
      </w:numPr>
      <w:spacing w:before="200"/>
      <w:outlineLvl w:val="7"/>
    </w:pPr>
    <w:rPr>
      <w:rFonts w:ascii="Cambria" w:hAnsi="Cambria"/>
      <w:color w:val="404040"/>
      <w:sz w:val="20"/>
      <w:szCs w:val="20"/>
    </w:rPr>
  </w:style>
  <w:style w:type="paragraph" w:styleId="Heading9">
    <w:name w:val="heading 9"/>
    <w:basedOn w:val="Normal"/>
    <w:next w:val="Normal"/>
    <w:link w:val="Heading9Char"/>
    <w:unhideWhenUsed/>
    <w:qFormat/>
    <w:rsid w:val="00772966"/>
    <w:pPr>
      <w:keepNext/>
      <w:keepLines/>
      <w:numPr>
        <w:ilvl w:val="8"/>
        <w:numId w:val="7"/>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14 pt noire Char"/>
    <w:basedOn w:val="DefaultParagraphFont"/>
    <w:link w:val="Heading1"/>
    <w:rsid w:val="00D53A1D"/>
    <w:rPr>
      <w:rFonts w:ascii="Times New Roman" w:eastAsia="Times New Roman" w:hAnsi="Times New Roman" w:cs="Times New Roman"/>
      <w:b/>
      <w:sz w:val="21"/>
      <w:szCs w:val="21"/>
      <w:lang w:val="fr-FR"/>
    </w:rPr>
  </w:style>
  <w:style w:type="character" w:customStyle="1" w:styleId="Heading2Char">
    <w:name w:val="Heading 2 Char"/>
    <w:basedOn w:val="DefaultParagraphFont"/>
    <w:link w:val="Heading2"/>
    <w:rsid w:val="00772966"/>
    <w:rPr>
      <w:rFonts w:asciiTheme="majorHAnsi" w:eastAsiaTheme="majorEastAsia" w:hAnsiTheme="majorHAnsi" w:cstheme="majorBidi"/>
      <w:b/>
      <w:bCs/>
      <w:color w:val="4F81BD" w:themeColor="accent1"/>
      <w:sz w:val="26"/>
      <w:szCs w:val="26"/>
      <w:lang w:val="fr-FR"/>
    </w:rPr>
  </w:style>
  <w:style w:type="character" w:customStyle="1" w:styleId="Heading3Char">
    <w:name w:val="Heading 3 Char"/>
    <w:basedOn w:val="DefaultParagraphFont"/>
    <w:link w:val="Heading3"/>
    <w:uiPriority w:val="9"/>
    <w:rsid w:val="00772966"/>
    <w:rPr>
      <w:rFonts w:ascii="Times New Roman" w:eastAsia="Times New Roman" w:hAnsi="Times New Roman" w:cs="Times New Roman"/>
      <w:b/>
      <w:sz w:val="21"/>
      <w:szCs w:val="21"/>
      <w:lang w:val="fr-FR"/>
    </w:rPr>
  </w:style>
  <w:style w:type="character" w:customStyle="1" w:styleId="Heading4Char">
    <w:name w:val="Heading 4 Char"/>
    <w:basedOn w:val="DefaultParagraphFont"/>
    <w:link w:val="Heading4"/>
    <w:uiPriority w:val="9"/>
    <w:rsid w:val="00772966"/>
    <w:rPr>
      <w:rFonts w:ascii="Times New Roman" w:eastAsia="Times New Roman" w:hAnsi="Times New Roman" w:cs="Times New Roman"/>
      <w:b/>
      <w:sz w:val="21"/>
      <w:szCs w:val="21"/>
      <w:lang w:val="fr-FR"/>
    </w:rPr>
  </w:style>
  <w:style w:type="character" w:customStyle="1" w:styleId="Heading5Char">
    <w:name w:val="Heading 5 Char"/>
    <w:basedOn w:val="DefaultParagraphFont"/>
    <w:link w:val="Heading5"/>
    <w:rsid w:val="00772966"/>
    <w:rPr>
      <w:rFonts w:ascii="Times New Roman" w:eastAsia="Times New Roman" w:hAnsi="Times New Roman" w:cs="Times New Roman"/>
      <w:b/>
      <w:spacing w:val="-1"/>
      <w:w w:val="105"/>
      <w:sz w:val="21"/>
      <w:szCs w:val="21"/>
      <w:lang w:val="fr-FR"/>
    </w:rPr>
  </w:style>
  <w:style w:type="character" w:customStyle="1" w:styleId="Heading6Char">
    <w:name w:val="Heading 6 Char"/>
    <w:basedOn w:val="DefaultParagraphFont"/>
    <w:link w:val="Heading6"/>
    <w:rsid w:val="00772966"/>
    <w:rPr>
      <w:rFonts w:ascii="Cambria" w:eastAsia="Times New Roman" w:hAnsi="Cambria" w:cs="Times New Roman"/>
      <w:i/>
      <w:iCs/>
      <w:color w:val="243F60"/>
      <w:sz w:val="21"/>
      <w:szCs w:val="21"/>
      <w:lang w:val="fr-FR"/>
    </w:rPr>
  </w:style>
  <w:style w:type="character" w:customStyle="1" w:styleId="Heading7Char">
    <w:name w:val="Heading 7 Char"/>
    <w:basedOn w:val="DefaultParagraphFont"/>
    <w:link w:val="Heading7"/>
    <w:rsid w:val="00772966"/>
    <w:rPr>
      <w:rFonts w:ascii="Cambria" w:eastAsia="Times New Roman" w:hAnsi="Cambria" w:cs="Times New Roman"/>
      <w:i/>
      <w:iCs/>
      <w:color w:val="404040"/>
      <w:sz w:val="21"/>
      <w:szCs w:val="21"/>
      <w:lang w:val="fr-FR"/>
    </w:rPr>
  </w:style>
  <w:style w:type="character" w:customStyle="1" w:styleId="Heading8Char">
    <w:name w:val="Heading 8 Char"/>
    <w:aliases w:val="Titre 8 Car Car Car Char"/>
    <w:basedOn w:val="DefaultParagraphFont"/>
    <w:link w:val="Heading8"/>
    <w:rsid w:val="00772966"/>
    <w:rPr>
      <w:rFonts w:ascii="Cambria" w:eastAsia="Times New Roman" w:hAnsi="Cambria" w:cs="Times New Roman"/>
      <w:color w:val="404040"/>
      <w:sz w:val="20"/>
      <w:szCs w:val="20"/>
      <w:lang w:val="fr-FR"/>
    </w:rPr>
  </w:style>
  <w:style w:type="character" w:customStyle="1" w:styleId="Heading9Char">
    <w:name w:val="Heading 9 Char"/>
    <w:basedOn w:val="DefaultParagraphFont"/>
    <w:link w:val="Heading9"/>
    <w:rsid w:val="00772966"/>
    <w:rPr>
      <w:rFonts w:ascii="Cambria" w:eastAsia="Times New Roman" w:hAnsi="Cambria" w:cs="Times New Roman"/>
      <w:i/>
      <w:iCs/>
      <w:color w:val="404040"/>
      <w:sz w:val="20"/>
      <w:szCs w:val="20"/>
      <w:lang w:val="fr-FR"/>
    </w:rPr>
  </w:style>
  <w:style w:type="table" w:styleId="TableGrid">
    <w:name w:val="Table Grid"/>
    <w:basedOn w:val="TableNormal"/>
    <w:rsid w:val="00772966"/>
    <w:pPr>
      <w:spacing w:after="0" w:line="240" w:lineRule="auto"/>
    </w:pPr>
    <w:rPr>
      <w:rFonts w:ascii="Calibri" w:eastAsia="Calibri" w:hAnsi="Calibri" w:cs="Times New Roman"/>
      <w:sz w:val="20"/>
      <w:szCs w:val="20"/>
      <w:lang w:val="fr-FR"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772966"/>
    <w:rPr>
      <w:color w:val="0000FF"/>
      <w:u w:val="single"/>
    </w:rPr>
  </w:style>
  <w:style w:type="paragraph" w:styleId="BalloonText">
    <w:name w:val="Balloon Text"/>
    <w:basedOn w:val="Normal"/>
    <w:link w:val="BalloonTextChar"/>
    <w:uiPriority w:val="99"/>
    <w:semiHidden/>
    <w:unhideWhenUsed/>
    <w:rsid w:val="00772966"/>
    <w:rPr>
      <w:rFonts w:ascii="Tahoma" w:hAnsi="Tahoma" w:cs="Tahoma"/>
      <w:sz w:val="16"/>
      <w:szCs w:val="16"/>
    </w:rPr>
  </w:style>
  <w:style w:type="character" w:customStyle="1" w:styleId="BalloonTextChar">
    <w:name w:val="Balloon Text Char"/>
    <w:basedOn w:val="DefaultParagraphFont"/>
    <w:link w:val="BalloonText"/>
    <w:uiPriority w:val="99"/>
    <w:semiHidden/>
    <w:rsid w:val="00772966"/>
    <w:rPr>
      <w:rFonts w:ascii="Tahoma" w:eastAsia="Times New Roman" w:hAnsi="Tahoma" w:cs="Tahoma"/>
      <w:sz w:val="16"/>
      <w:szCs w:val="16"/>
      <w:lang w:val="fr-FR"/>
    </w:rPr>
  </w:style>
  <w:style w:type="paragraph" w:styleId="Caption">
    <w:name w:val="caption"/>
    <w:basedOn w:val="Normal"/>
    <w:next w:val="Normal"/>
    <w:unhideWhenUsed/>
    <w:qFormat/>
    <w:rsid w:val="00772966"/>
    <w:pPr>
      <w:spacing w:after="200"/>
      <w:ind w:left="910" w:hanging="899"/>
      <w:jc w:val="left"/>
    </w:pPr>
    <w:rPr>
      <w:bCs/>
      <w:i/>
      <w:sz w:val="18"/>
      <w:szCs w:val="18"/>
    </w:rPr>
  </w:style>
  <w:style w:type="paragraph" w:styleId="ListParagraph">
    <w:name w:val="List Paragraph"/>
    <w:aliases w:val="Liste 1"/>
    <w:basedOn w:val="Normal"/>
    <w:uiPriority w:val="34"/>
    <w:qFormat/>
    <w:rsid w:val="00772966"/>
    <w:pPr>
      <w:numPr>
        <w:numId w:val="9"/>
      </w:numPr>
      <w:spacing w:before="120" w:after="120"/>
      <w:jc w:val="left"/>
    </w:pPr>
    <w:rPr>
      <w:rFonts w:eastAsia="Calibri"/>
      <w:w w:val="105"/>
      <w:lang w:eastAsia="fr-FR"/>
    </w:rPr>
  </w:style>
  <w:style w:type="character" w:customStyle="1" w:styleId="Heading2Char1">
    <w:name w:val="Heading 2 Char1"/>
    <w:aliases w:val="Paranum Char"/>
    <w:basedOn w:val="DefaultParagraphFont"/>
    <w:link w:val="Heading2"/>
    <w:rsid w:val="00772966"/>
    <w:rPr>
      <w:rFonts w:ascii="Times New Roman" w:eastAsia="Times New Roman" w:hAnsi="Times New Roman" w:cs="Times New Roman"/>
      <w:b/>
      <w:sz w:val="21"/>
      <w:szCs w:val="21"/>
      <w:lang w:val="fr-FR"/>
    </w:rPr>
  </w:style>
  <w:style w:type="paragraph" w:customStyle="1" w:styleId="texte">
    <w:name w:val="texte"/>
    <w:basedOn w:val="Normal"/>
    <w:rsid w:val="00772966"/>
    <w:pPr>
      <w:tabs>
        <w:tab w:val="left" w:pos="-4"/>
        <w:tab w:val="left" w:pos="704"/>
        <w:tab w:val="left" w:pos="1412"/>
        <w:tab w:val="left" w:pos="2120"/>
        <w:tab w:val="left" w:pos="2828"/>
        <w:tab w:val="left" w:pos="3536"/>
        <w:tab w:val="left" w:pos="4244"/>
        <w:tab w:val="left" w:pos="4952"/>
        <w:tab w:val="left" w:pos="5660"/>
        <w:tab w:val="left" w:pos="6368"/>
        <w:tab w:val="left" w:pos="7076"/>
        <w:tab w:val="left" w:pos="7230"/>
        <w:tab w:val="left" w:pos="7797"/>
        <w:tab w:val="left" w:pos="8642"/>
      </w:tabs>
      <w:spacing w:before="60" w:after="60"/>
      <w:ind w:left="-6"/>
    </w:pPr>
    <w:rPr>
      <w:rFonts w:ascii="Times" w:hAnsi="Times"/>
      <w:snapToGrid w:val="0"/>
      <w:szCs w:val="20"/>
      <w:lang w:eastAsia="fr-FR"/>
    </w:rPr>
  </w:style>
  <w:style w:type="paragraph" w:customStyle="1" w:styleId="texte1">
    <w:name w:val="texte1"/>
    <w:basedOn w:val="Normal"/>
    <w:rsid w:val="00772966"/>
    <w:pPr>
      <w:tabs>
        <w:tab w:val="left" w:pos="567"/>
        <w:tab w:val="left" w:pos="702"/>
        <w:tab w:val="left" w:pos="1410"/>
        <w:tab w:val="left" w:pos="2118"/>
        <w:tab w:val="left" w:pos="2826"/>
        <w:tab w:val="left" w:pos="3534"/>
        <w:tab w:val="left" w:pos="4242"/>
        <w:tab w:val="left" w:pos="4950"/>
        <w:tab w:val="left" w:pos="5658"/>
        <w:tab w:val="left" w:pos="6366"/>
        <w:tab w:val="left" w:pos="7074"/>
        <w:tab w:val="left" w:pos="7230"/>
        <w:tab w:val="left" w:pos="7797"/>
        <w:tab w:val="left" w:pos="8640"/>
      </w:tabs>
      <w:spacing w:before="60" w:after="60"/>
      <w:ind w:left="567" w:right="284" w:hanging="567"/>
    </w:pPr>
    <w:rPr>
      <w:rFonts w:ascii="Times" w:hAnsi="Times"/>
      <w:snapToGrid w:val="0"/>
      <w:szCs w:val="20"/>
      <w:lang w:eastAsia="fr-FR"/>
    </w:rPr>
  </w:style>
  <w:style w:type="paragraph" w:styleId="FootnoteText">
    <w:name w:val="footnote text"/>
    <w:aliases w:val="Footnote Text1,single space,Fußnotentextf,FOOTNOTES,fn Car Car,fn Car,footnote text,Footnote Text Char2,Footnote Text Char1 Char,Footnote,12pt,fn,ALTS FOOTNOTE,Fodnotetekst Tegn,Footnote Text Char1 Char1,Car Car"/>
    <w:basedOn w:val="Normal"/>
    <w:link w:val="FootnoteTextChar1"/>
    <w:unhideWhenUsed/>
    <w:qFormat/>
    <w:rsid w:val="00772966"/>
    <w:pPr>
      <w:spacing w:before="0"/>
      <w:jc w:val="left"/>
    </w:pPr>
    <w:rPr>
      <w:sz w:val="18"/>
      <w:szCs w:val="20"/>
    </w:rPr>
  </w:style>
  <w:style w:type="character" w:customStyle="1" w:styleId="FootnoteTextChar">
    <w:name w:val="Footnote Text Char"/>
    <w:basedOn w:val="DefaultParagraphFont"/>
    <w:link w:val="FootnoteText"/>
    <w:uiPriority w:val="99"/>
    <w:semiHidden/>
    <w:rsid w:val="00772966"/>
    <w:rPr>
      <w:rFonts w:ascii="Times New Roman" w:eastAsia="Times New Roman" w:hAnsi="Times New Roman" w:cs="Times New Roman"/>
      <w:sz w:val="20"/>
      <w:szCs w:val="20"/>
      <w:lang w:val="fr-FR"/>
    </w:rPr>
  </w:style>
  <w:style w:type="character" w:customStyle="1" w:styleId="FootnoteTextChar1">
    <w:name w:val="Footnote Text Char1"/>
    <w:aliases w:val="Footnote Text1 Char,single space Char,Fußnotentextf Char,FOOTNOTES Char,fn Car Car Char,fn Car Char,footnote text Char,Footnote Text Char2 Char,Footnote Text Char1 Char Char,Footnote Char,12pt Char,fn Char,ALTS FOOTNOTE Char"/>
    <w:basedOn w:val="DefaultParagraphFont"/>
    <w:link w:val="FootnoteText"/>
    <w:uiPriority w:val="99"/>
    <w:rsid w:val="00772966"/>
    <w:rPr>
      <w:rFonts w:ascii="Times New Roman" w:eastAsia="Times New Roman" w:hAnsi="Times New Roman" w:cs="Times New Roman"/>
      <w:sz w:val="18"/>
      <w:szCs w:val="20"/>
      <w:lang w:val="fr-FR"/>
    </w:rPr>
  </w:style>
  <w:style w:type="character" w:styleId="FootnoteReference">
    <w:name w:val="footnote reference"/>
    <w:basedOn w:val="DefaultParagraphFont"/>
    <w:unhideWhenUsed/>
    <w:rsid w:val="00772966"/>
    <w:rPr>
      <w:vertAlign w:val="superscript"/>
    </w:rPr>
  </w:style>
  <w:style w:type="paragraph" w:styleId="DocumentMap">
    <w:name w:val="Document Map"/>
    <w:basedOn w:val="Normal"/>
    <w:link w:val="DocumentMapChar"/>
    <w:uiPriority w:val="99"/>
    <w:semiHidden/>
    <w:unhideWhenUsed/>
    <w:rsid w:val="00772966"/>
    <w:rPr>
      <w:rFonts w:ascii="Tahoma" w:hAnsi="Tahoma" w:cs="Tahoma"/>
      <w:sz w:val="16"/>
      <w:szCs w:val="16"/>
    </w:rPr>
  </w:style>
  <w:style w:type="character" w:customStyle="1" w:styleId="DocumentMapChar">
    <w:name w:val="Document Map Char"/>
    <w:basedOn w:val="DefaultParagraphFont"/>
    <w:link w:val="DocumentMap"/>
    <w:uiPriority w:val="99"/>
    <w:semiHidden/>
    <w:rsid w:val="00772966"/>
    <w:rPr>
      <w:rFonts w:ascii="Tahoma" w:eastAsia="Times New Roman" w:hAnsi="Tahoma" w:cs="Tahoma"/>
      <w:sz w:val="16"/>
      <w:szCs w:val="16"/>
      <w:lang w:val="fr-FR"/>
    </w:rPr>
  </w:style>
  <w:style w:type="character" w:styleId="CommentReference">
    <w:name w:val="annotation reference"/>
    <w:basedOn w:val="DefaultParagraphFont"/>
    <w:unhideWhenUsed/>
    <w:rsid w:val="00772966"/>
    <w:rPr>
      <w:sz w:val="16"/>
      <w:szCs w:val="16"/>
    </w:rPr>
  </w:style>
  <w:style w:type="paragraph" w:styleId="CommentText">
    <w:name w:val="annotation text"/>
    <w:basedOn w:val="Normal"/>
    <w:link w:val="CommentTextChar"/>
    <w:unhideWhenUsed/>
    <w:rsid w:val="00772966"/>
    <w:rPr>
      <w:sz w:val="20"/>
      <w:szCs w:val="20"/>
    </w:rPr>
  </w:style>
  <w:style w:type="character" w:customStyle="1" w:styleId="CommentTextChar">
    <w:name w:val="Comment Text Char"/>
    <w:basedOn w:val="DefaultParagraphFont"/>
    <w:link w:val="CommentText"/>
    <w:rsid w:val="00772966"/>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772966"/>
    <w:rPr>
      <w:b/>
      <w:bCs/>
    </w:rPr>
  </w:style>
  <w:style w:type="character" w:customStyle="1" w:styleId="CommentSubjectChar">
    <w:name w:val="Comment Subject Char"/>
    <w:basedOn w:val="CommentTextChar"/>
    <w:link w:val="CommentSubject"/>
    <w:uiPriority w:val="99"/>
    <w:semiHidden/>
    <w:rsid w:val="00772966"/>
    <w:rPr>
      <w:b/>
      <w:bCs/>
    </w:rPr>
  </w:style>
  <w:style w:type="paragraph" w:styleId="Revision">
    <w:name w:val="Revision"/>
    <w:hidden/>
    <w:uiPriority w:val="99"/>
    <w:semiHidden/>
    <w:rsid w:val="00772966"/>
    <w:pPr>
      <w:spacing w:before="240" w:after="240" w:line="240" w:lineRule="auto"/>
      <w:ind w:left="11"/>
      <w:jc w:val="both"/>
    </w:pPr>
    <w:rPr>
      <w:rFonts w:ascii="Times New Roman" w:eastAsia="Times New Roman" w:hAnsi="Times New Roman" w:cs="Times New Roman"/>
      <w:sz w:val="24"/>
      <w:szCs w:val="24"/>
      <w:lang w:val="fr-CA"/>
    </w:rPr>
  </w:style>
  <w:style w:type="paragraph" w:customStyle="1" w:styleId="Tableau">
    <w:name w:val="Tableau"/>
    <w:basedOn w:val="Normal"/>
    <w:link w:val="TableauCar"/>
    <w:qFormat/>
    <w:rsid w:val="00772966"/>
    <w:pPr>
      <w:autoSpaceDE/>
      <w:autoSpaceDN/>
      <w:adjustRightInd/>
      <w:spacing w:before="0"/>
      <w:ind w:left="12"/>
    </w:pPr>
    <w:rPr>
      <w:bCs/>
      <w:iCs/>
      <w:sz w:val="18"/>
    </w:rPr>
  </w:style>
  <w:style w:type="character" w:customStyle="1" w:styleId="TableauCar">
    <w:name w:val="Tableau Car"/>
    <w:basedOn w:val="DefaultParagraphFont"/>
    <w:link w:val="Tableau"/>
    <w:rsid w:val="00772966"/>
    <w:rPr>
      <w:rFonts w:ascii="Times New Roman" w:eastAsia="Times New Roman" w:hAnsi="Times New Roman" w:cs="Times New Roman"/>
      <w:bCs/>
      <w:iCs/>
      <w:sz w:val="18"/>
      <w:szCs w:val="21"/>
      <w:lang w:val="fr-FR"/>
    </w:rPr>
  </w:style>
  <w:style w:type="paragraph" w:customStyle="1" w:styleId="Corpsdetexte1">
    <w:name w:val="Corps de texte 1"/>
    <w:basedOn w:val="Normal"/>
    <w:rsid w:val="00772966"/>
    <w:pPr>
      <w:autoSpaceDE/>
      <w:autoSpaceDN/>
      <w:adjustRightInd/>
      <w:spacing w:before="0"/>
    </w:pPr>
    <w:rPr>
      <w:rFonts w:ascii="Book Antiqua" w:hAnsi="Book Antiqua"/>
      <w:sz w:val="20"/>
      <w:szCs w:val="20"/>
    </w:rPr>
  </w:style>
  <w:style w:type="paragraph" w:customStyle="1" w:styleId="Bullet6">
    <w:name w:val="Bullet 6"/>
    <w:basedOn w:val="Normal"/>
    <w:rsid w:val="00772966"/>
    <w:pPr>
      <w:tabs>
        <w:tab w:val="num" w:pos="717"/>
      </w:tabs>
      <w:autoSpaceDE/>
      <w:autoSpaceDN/>
      <w:adjustRightInd/>
      <w:spacing w:before="120"/>
      <w:ind w:left="714" w:hanging="357"/>
    </w:pPr>
    <w:rPr>
      <w:rFonts w:ascii="Book Antiqua" w:hAnsi="Book Antiqua"/>
      <w:sz w:val="20"/>
      <w:szCs w:val="20"/>
    </w:rPr>
  </w:style>
  <w:style w:type="paragraph" w:customStyle="1" w:styleId="Bullet3">
    <w:name w:val="Bullet 3"/>
    <w:basedOn w:val="Bullet6"/>
    <w:rsid w:val="00772966"/>
    <w:pPr>
      <w:spacing w:before="60"/>
    </w:pPr>
  </w:style>
  <w:style w:type="paragraph" w:styleId="BodyText">
    <w:name w:val="Body Text"/>
    <w:basedOn w:val="Normal"/>
    <w:link w:val="BodyTextChar"/>
    <w:qFormat/>
    <w:rsid w:val="00772966"/>
    <w:pPr>
      <w:numPr>
        <w:numId w:val="11"/>
      </w:numPr>
      <w:autoSpaceDE/>
      <w:autoSpaceDN/>
      <w:adjustRightInd/>
      <w:spacing w:before="0"/>
      <w:jc w:val="left"/>
    </w:pPr>
    <w:rPr>
      <w:rFonts w:eastAsia="MS Mincho"/>
      <w:szCs w:val="24"/>
    </w:rPr>
  </w:style>
  <w:style w:type="character" w:customStyle="1" w:styleId="BodyTextChar">
    <w:name w:val="Body Text Char"/>
    <w:basedOn w:val="DefaultParagraphFont"/>
    <w:link w:val="BodyText"/>
    <w:rsid w:val="00772966"/>
    <w:rPr>
      <w:rFonts w:ascii="Times New Roman" w:eastAsia="MS Mincho" w:hAnsi="Times New Roman" w:cs="Times New Roman"/>
      <w:sz w:val="21"/>
      <w:szCs w:val="24"/>
      <w:lang w:val="fr-FR"/>
    </w:rPr>
  </w:style>
  <w:style w:type="paragraph" w:customStyle="1" w:styleId="Alpha6">
    <w:name w:val="Alpha 6"/>
    <w:basedOn w:val="Corpsdetexte1"/>
    <w:rsid w:val="00772966"/>
    <w:pPr>
      <w:numPr>
        <w:numId w:val="1"/>
      </w:numPr>
      <w:spacing w:before="120"/>
    </w:pPr>
  </w:style>
  <w:style w:type="paragraph" w:customStyle="1" w:styleId="Tiret6">
    <w:name w:val="Tiret 6"/>
    <w:basedOn w:val="Bullet6"/>
    <w:rsid w:val="00772966"/>
    <w:pPr>
      <w:numPr>
        <w:numId w:val="2"/>
      </w:numPr>
      <w:tabs>
        <w:tab w:val="clear" w:pos="360"/>
        <w:tab w:val="num" w:pos="1434"/>
      </w:tabs>
      <w:ind w:left="1434"/>
    </w:pPr>
  </w:style>
  <w:style w:type="paragraph" w:customStyle="1" w:styleId="Tiret3">
    <w:name w:val="Tiret 3"/>
    <w:basedOn w:val="Tiret6"/>
    <w:rsid w:val="00772966"/>
    <w:pPr>
      <w:tabs>
        <w:tab w:val="clear" w:pos="1434"/>
        <w:tab w:val="num" w:pos="360"/>
      </w:tabs>
      <w:spacing w:before="60"/>
      <w:ind w:left="360"/>
    </w:pPr>
  </w:style>
  <w:style w:type="paragraph" w:styleId="BodyText3">
    <w:name w:val="Body Text 3"/>
    <w:basedOn w:val="Normal"/>
    <w:link w:val="BodyText3Char"/>
    <w:rsid w:val="00772966"/>
    <w:pPr>
      <w:autoSpaceDE/>
      <w:autoSpaceDN/>
      <w:adjustRightInd/>
      <w:spacing w:before="0" w:after="120"/>
      <w:jc w:val="left"/>
    </w:pPr>
    <w:rPr>
      <w:sz w:val="16"/>
      <w:szCs w:val="16"/>
    </w:rPr>
  </w:style>
  <w:style w:type="character" w:customStyle="1" w:styleId="BodyText3Char">
    <w:name w:val="Body Text 3 Char"/>
    <w:basedOn w:val="DefaultParagraphFont"/>
    <w:link w:val="BodyText3"/>
    <w:rsid w:val="00772966"/>
    <w:rPr>
      <w:rFonts w:ascii="Times New Roman" w:eastAsia="Times New Roman" w:hAnsi="Times New Roman" w:cs="Times New Roman"/>
      <w:sz w:val="16"/>
      <w:szCs w:val="16"/>
      <w:lang w:val="fr-FR"/>
    </w:rPr>
  </w:style>
  <w:style w:type="paragraph" w:customStyle="1" w:styleId="TitreCS">
    <w:name w:val="Titre CS"/>
    <w:basedOn w:val="Normal"/>
    <w:rsid w:val="00772966"/>
    <w:pPr>
      <w:autoSpaceDE/>
      <w:autoSpaceDN/>
      <w:adjustRightInd/>
      <w:spacing w:before="0"/>
      <w:jc w:val="center"/>
    </w:pPr>
    <w:rPr>
      <w:rFonts w:ascii="Century Gothic" w:hAnsi="Century Gothic"/>
      <w:bCs/>
      <w:szCs w:val="20"/>
      <w:lang w:val="fr-SN" w:eastAsia="fr-FR"/>
    </w:rPr>
  </w:style>
  <w:style w:type="paragraph" w:styleId="BodyText2">
    <w:name w:val="Body Text 2"/>
    <w:basedOn w:val="Normal"/>
    <w:link w:val="BodyText2Char"/>
    <w:rsid w:val="00772966"/>
    <w:pPr>
      <w:autoSpaceDE/>
      <w:autoSpaceDN/>
      <w:adjustRightInd/>
      <w:spacing w:before="0" w:after="120" w:line="480" w:lineRule="auto"/>
      <w:jc w:val="left"/>
    </w:pPr>
    <w:rPr>
      <w:szCs w:val="24"/>
      <w:lang w:eastAsia="fr-FR"/>
    </w:rPr>
  </w:style>
  <w:style w:type="character" w:customStyle="1" w:styleId="BodyText2Char">
    <w:name w:val="Body Text 2 Char"/>
    <w:basedOn w:val="DefaultParagraphFont"/>
    <w:link w:val="BodyText2"/>
    <w:rsid w:val="00772966"/>
    <w:rPr>
      <w:rFonts w:ascii="Times New Roman" w:eastAsia="Times New Roman" w:hAnsi="Times New Roman" w:cs="Times New Roman"/>
      <w:sz w:val="21"/>
      <w:szCs w:val="24"/>
      <w:lang w:val="fr-FR" w:eastAsia="fr-FR"/>
    </w:rPr>
  </w:style>
  <w:style w:type="paragraph" w:styleId="BodyTextIndent">
    <w:name w:val="Body Text Indent"/>
    <w:basedOn w:val="Normal"/>
    <w:link w:val="BodyTextIndentChar"/>
    <w:uiPriority w:val="99"/>
    <w:semiHidden/>
    <w:unhideWhenUsed/>
    <w:rsid w:val="00772966"/>
    <w:pPr>
      <w:spacing w:after="120"/>
      <w:ind w:left="283"/>
    </w:pPr>
  </w:style>
  <w:style w:type="character" w:customStyle="1" w:styleId="BodyTextIndentChar">
    <w:name w:val="Body Text Indent Char"/>
    <w:basedOn w:val="DefaultParagraphFont"/>
    <w:link w:val="BodyTextIndent"/>
    <w:uiPriority w:val="99"/>
    <w:semiHidden/>
    <w:rsid w:val="00772966"/>
    <w:rPr>
      <w:rFonts w:ascii="Times New Roman" w:eastAsia="Times New Roman" w:hAnsi="Times New Roman" w:cs="Times New Roman"/>
      <w:sz w:val="21"/>
      <w:szCs w:val="21"/>
      <w:lang w:val="fr-FR"/>
    </w:rPr>
  </w:style>
  <w:style w:type="paragraph" w:styleId="NormalWeb">
    <w:name w:val="Normal (Web)"/>
    <w:basedOn w:val="Normal"/>
    <w:uiPriority w:val="99"/>
    <w:unhideWhenUsed/>
    <w:rsid w:val="00772966"/>
    <w:pPr>
      <w:autoSpaceDE/>
      <w:autoSpaceDN/>
      <w:adjustRightInd/>
      <w:spacing w:before="100" w:beforeAutospacing="1" w:after="100" w:afterAutospacing="1"/>
      <w:jc w:val="left"/>
    </w:pPr>
    <w:rPr>
      <w:color w:val="000000"/>
      <w:szCs w:val="24"/>
      <w:lang w:eastAsia="fr-FR"/>
    </w:rPr>
  </w:style>
  <w:style w:type="paragraph" w:styleId="Header">
    <w:name w:val="header"/>
    <w:basedOn w:val="Normal"/>
    <w:link w:val="HeaderChar"/>
    <w:unhideWhenUsed/>
    <w:rsid w:val="00772966"/>
    <w:pPr>
      <w:tabs>
        <w:tab w:val="center" w:pos="4536"/>
        <w:tab w:val="right" w:pos="9072"/>
      </w:tabs>
      <w:spacing w:before="0"/>
    </w:pPr>
  </w:style>
  <w:style w:type="character" w:customStyle="1" w:styleId="HeaderChar">
    <w:name w:val="Header Char"/>
    <w:basedOn w:val="DefaultParagraphFont"/>
    <w:link w:val="Header"/>
    <w:rsid w:val="00772966"/>
    <w:rPr>
      <w:rFonts w:ascii="Times New Roman" w:eastAsia="Times New Roman" w:hAnsi="Times New Roman" w:cs="Times New Roman"/>
      <w:sz w:val="21"/>
      <w:szCs w:val="21"/>
      <w:lang w:val="fr-FR"/>
    </w:rPr>
  </w:style>
  <w:style w:type="paragraph" w:styleId="Footer">
    <w:name w:val="footer"/>
    <w:basedOn w:val="Normal"/>
    <w:link w:val="FooterChar"/>
    <w:uiPriority w:val="99"/>
    <w:unhideWhenUsed/>
    <w:rsid w:val="00772966"/>
    <w:pPr>
      <w:tabs>
        <w:tab w:val="center" w:pos="4536"/>
        <w:tab w:val="right" w:pos="9072"/>
      </w:tabs>
      <w:spacing w:before="0"/>
    </w:pPr>
  </w:style>
  <w:style w:type="character" w:customStyle="1" w:styleId="FooterChar">
    <w:name w:val="Footer Char"/>
    <w:basedOn w:val="DefaultParagraphFont"/>
    <w:link w:val="Footer"/>
    <w:uiPriority w:val="99"/>
    <w:rsid w:val="00772966"/>
    <w:rPr>
      <w:rFonts w:ascii="Times New Roman" w:eastAsia="Times New Roman" w:hAnsi="Times New Roman" w:cs="Times New Roman"/>
      <w:sz w:val="21"/>
      <w:szCs w:val="21"/>
      <w:lang w:val="fr-FR"/>
    </w:rPr>
  </w:style>
  <w:style w:type="paragraph" w:styleId="NoSpacing">
    <w:name w:val="No Spacing"/>
    <w:uiPriority w:val="1"/>
    <w:qFormat/>
    <w:rsid w:val="00772966"/>
    <w:pPr>
      <w:spacing w:before="240" w:after="240" w:line="240" w:lineRule="auto"/>
      <w:ind w:left="11"/>
      <w:jc w:val="both"/>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9252AA"/>
    <w:pPr>
      <w:tabs>
        <w:tab w:val="left" w:pos="440"/>
        <w:tab w:val="right" w:leader="dot" w:pos="9072"/>
      </w:tabs>
      <w:spacing w:after="120"/>
      <w:ind w:left="14"/>
      <w:jc w:val="left"/>
    </w:pPr>
    <w:rPr>
      <w:rFonts w:ascii="Times New Roman Bold" w:hAnsi="Times New Roman Bold"/>
      <w:b/>
      <w:bCs/>
      <w:noProof/>
      <w:sz w:val="20"/>
      <w:szCs w:val="20"/>
    </w:rPr>
  </w:style>
  <w:style w:type="paragraph" w:styleId="TOC2">
    <w:name w:val="toc 2"/>
    <w:basedOn w:val="Normal"/>
    <w:next w:val="Normal"/>
    <w:autoRedefine/>
    <w:uiPriority w:val="39"/>
    <w:unhideWhenUsed/>
    <w:rsid w:val="00772966"/>
    <w:pPr>
      <w:spacing w:before="0"/>
      <w:ind w:left="220"/>
      <w:jc w:val="left"/>
    </w:pPr>
    <w:rPr>
      <w:smallCaps/>
      <w:sz w:val="20"/>
      <w:szCs w:val="20"/>
    </w:rPr>
  </w:style>
  <w:style w:type="paragraph" w:styleId="TOC3">
    <w:name w:val="toc 3"/>
    <w:basedOn w:val="Normal"/>
    <w:next w:val="Normal"/>
    <w:autoRedefine/>
    <w:uiPriority w:val="39"/>
    <w:unhideWhenUsed/>
    <w:rsid w:val="00772966"/>
    <w:pPr>
      <w:spacing w:before="0"/>
      <w:ind w:left="440"/>
      <w:jc w:val="left"/>
    </w:pPr>
    <w:rPr>
      <w:i/>
      <w:iCs/>
      <w:sz w:val="20"/>
      <w:szCs w:val="20"/>
    </w:rPr>
  </w:style>
  <w:style w:type="paragraph" w:styleId="TOC4">
    <w:name w:val="toc 4"/>
    <w:basedOn w:val="Normal"/>
    <w:next w:val="Normal"/>
    <w:autoRedefine/>
    <w:uiPriority w:val="39"/>
    <w:unhideWhenUsed/>
    <w:rsid w:val="00772966"/>
    <w:pPr>
      <w:spacing w:before="0"/>
      <w:ind w:left="660"/>
      <w:jc w:val="left"/>
    </w:pPr>
    <w:rPr>
      <w:sz w:val="18"/>
      <w:szCs w:val="18"/>
    </w:rPr>
  </w:style>
  <w:style w:type="paragraph" w:styleId="TOC5">
    <w:name w:val="toc 5"/>
    <w:basedOn w:val="Normal"/>
    <w:next w:val="Normal"/>
    <w:autoRedefine/>
    <w:uiPriority w:val="39"/>
    <w:unhideWhenUsed/>
    <w:rsid w:val="00772966"/>
    <w:pPr>
      <w:spacing w:before="0"/>
      <w:ind w:left="880"/>
      <w:jc w:val="left"/>
    </w:pPr>
    <w:rPr>
      <w:sz w:val="18"/>
      <w:szCs w:val="18"/>
    </w:rPr>
  </w:style>
  <w:style w:type="paragraph" w:styleId="TOC6">
    <w:name w:val="toc 6"/>
    <w:basedOn w:val="Normal"/>
    <w:next w:val="Normal"/>
    <w:autoRedefine/>
    <w:uiPriority w:val="39"/>
    <w:unhideWhenUsed/>
    <w:rsid w:val="00772966"/>
    <w:pPr>
      <w:spacing w:before="0"/>
      <w:ind w:left="1100"/>
      <w:jc w:val="left"/>
    </w:pPr>
    <w:rPr>
      <w:sz w:val="18"/>
      <w:szCs w:val="18"/>
    </w:rPr>
  </w:style>
  <w:style w:type="paragraph" w:styleId="TOC7">
    <w:name w:val="toc 7"/>
    <w:basedOn w:val="Normal"/>
    <w:next w:val="Normal"/>
    <w:autoRedefine/>
    <w:uiPriority w:val="39"/>
    <w:unhideWhenUsed/>
    <w:rsid w:val="00772966"/>
    <w:pPr>
      <w:spacing w:before="0"/>
      <w:ind w:left="1320"/>
      <w:jc w:val="left"/>
    </w:pPr>
    <w:rPr>
      <w:sz w:val="18"/>
      <w:szCs w:val="18"/>
    </w:rPr>
  </w:style>
  <w:style w:type="paragraph" w:styleId="TOC8">
    <w:name w:val="toc 8"/>
    <w:basedOn w:val="Normal"/>
    <w:next w:val="Normal"/>
    <w:autoRedefine/>
    <w:uiPriority w:val="39"/>
    <w:unhideWhenUsed/>
    <w:rsid w:val="00772966"/>
    <w:pPr>
      <w:spacing w:before="0"/>
      <w:ind w:left="1540"/>
      <w:jc w:val="left"/>
    </w:pPr>
    <w:rPr>
      <w:sz w:val="18"/>
      <w:szCs w:val="18"/>
    </w:rPr>
  </w:style>
  <w:style w:type="paragraph" w:styleId="TOC9">
    <w:name w:val="toc 9"/>
    <w:basedOn w:val="Normal"/>
    <w:next w:val="Normal"/>
    <w:autoRedefine/>
    <w:uiPriority w:val="39"/>
    <w:unhideWhenUsed/>
    <w:rsid w:val="00772966"/>
    <w:pPr>
      <w:spacing w:before="0"/>
      <w:ind w:left="1760"/>
      <w:jc w:val="left"/>
    </w:pPr>
    <w:rPr>
      <w:sz w:val="18"/>
      <w:szCs w:val="18"/>
    </w:rPr>
  </w:style>
  <w:style w:type="paragraph" w:customStyle="1" w:styleId="FrontPage1">
    <w:name w:val="FrontPage1"/>
    <w:basedOn w:val="Normal"/>
    <w:next w:val="BodyText"/>
    <w:semiHidden/>
    <w:rsid w:val="00772966"/>
    <w:pPr>
      <w:suppressAutoHyphens/>
      <w:autoSpaceDE/>
      <w:autoSpaceDN/>
      <w:adjustRightInd/>
      <w:spacing w:after="160" w:line="320" w:lineRule="exact"/>
      <w:jc w:val="left"/>
    </w:pPr>
    <w:rPr>
      <w:rFonts w:ascii="TrueHelveticaLight" w:hAnsi="TrueHelveticaLight"/>
      <w:sz w:val="28"/>
      <w:szCs w:val="20"/>
      <w:lang w:eastAsia="da-DK"/>
    </w:rPr>
  </w:style>
  <w:style w:type="paragraph" w:customStyle="1" w:styleId="FrontPage2">
    <w:name w:val="FrontPage2"/>
    <w:basedOn w:val="FrontPage1"/>
    <w:next w:val="BodyText"/>
    <w:semiHidden/>
    <w:rsid w:val="00772966"/>
    <w:pPr>
      <w:spacing w:line="400" w:lineRule="exact"/>
    </w:pPr>
    <w:rPr>
      <w:rFonts w:ascii="TrueHelveticaBlack" w:hAnsi="TrueHelveticaBlack"/>
      <w:sz w:val="36"/>
    </w:rPr>
  </w:style>
  <w:style w:type="paragraph" w:styleId="ListBullet">
    <w:name w:val="List Bullet"/>
    <w:basedOn w:val="Normal"/>
    <w:semiHidden/>
    <w:rsid w:val="00772966"/>
    <w:pPr>
      <w:tabs>
        <w:tab w:val="left" w:pos="284"/>
      </w:tabs>
      <w:autoSpaceDE/>
      <w:autoSpaceDN/>
      <w:adjustRightInd/>
      <w:spacing w:before="120"/>
      <w:ind w:left="1440" w:hanging="360"/>
    </w:pPr>
    <w:rPr>
      <w:rFonts w:ascii="Arial" w:hAnsi="Arial"/>
      <w:sz w:val="22"/>
      <w:szCs w:val="20"/>
      <w:lang w:eastAsia="fr-FR"/>
    </w:rPr>
  </w:style>
  <w:style w:type="paragraph" w:customStyle="1" w:styleId="CorpsTexte">
    <w:name w:val="Corps Texte"/>
    <w:basedOn w:val="Normal"/>
    <w:rsid w:val="00772966"/>
    <w:pPr>
      <w:autoSpaceDE/>
      <w:autoSpaceDN/>
      <w:adjustRightInd/>
      <w:spacing w:before="120" w:after="120"/>
    </w:pPr>
    <w:rPr>
      <w:szCs w:val="24"/>
      <w:lang w:eastAsia="fr-FR"/>
    </w:rPr>
  </w:style>
  <w:style w:type="character" w:styleId="BookTitle">
    <w:name w:val="Book Title"/>
    <w:basedOn w:val="DefaultParagraphFont"/>
    <w:uiPriority w:val="33"/>
    <w:qFormat/>
    <w:rsid w:val="00772966"/>
    <w:rPr>
      <w:b/>
      <w:bCs/>
      <w:smallCaps/>
      <w:spacing w:val="5"/>
    </w:rPr>
  </w:style>
  <w:style w:type="paragraph" w:styleId="ListBullet4">
    <w:name w:val="List Bullet 4"/>
    <w:basedOn w:val="Normal"/>
    <w:uiPriority w:val="99"/>
    <w:semiHidden/>
    <w:unhideWhenUsed/>
    <w:rsid w:val="00772966"/>
    <w:pPr>
      <w:numPr>
        <w:numId w:val="3"/>
      </w:numPr>
      <w:contextualSpacing/>
    </w:pPr>
  </w:style>
  <w:style w:type="paragraph" w:styleId="ListBullet2">
    <w:name w:val="List Bullet 2"/>
    <w:basedOn w:val="Normal"/>
    <w:uiPriority w:val="99"/>
    <w:unhideWhenUsed/>
    <w:rsid w:val="00772966"/>
    <w:pPr>
      <w:numPr>
        <w:numId w:val="4"/>
      </w:numPr>
      <w:contextualSpacing/>
    </w:pPr>
  </w:style>
  <w:style w:type="paragraph" w:customStyle="1" w:styleId="Listing2">
    <w:name w:val="Listing2"/>
    <w:basedOn w:val="Normal"/>
    <w:next w:val="Normal"/>
    <w:rsid w:val="00772966"/>
    <w:pPr>
      <w:numPr>
        <w:numId w:val="5"/>
      </w:numPr>
      <w:autoSpaceDE/>
      <w:autoSpaceDN/>
      <w:adjustRightInd/>
    </w:pPr>
    <w:rPr>
      <w:szCs w:val="24"/>
      <w:lang w:eastAsia="fr-FR"/>
    </w:rPr>
  </w:style>
  <w:style w:type="paragraph" w:customStyle="1" w:styleId="Listing1">
    <w:name w:val="Listing1"/>
    <w:basedOn w:val="Listing2"/>
    <w:next w:val="Normal"/>
    <w:rsid w:val="00772966"/>
    <w:pPr>
      <w:spacing w:before="120" w:after="120"/>
    </w:pPr>
  </w:style>
  <w:style w:type="paragraph" w:styleId="ListNumber5">
    <w:name w:val="List Number 5"/>
    <w:basedOn w:val="Normal"/>
    <w:semiHidden/>
    <w:rsid w:val="00772966"/>
    <w:pPr>
      <w:numPr>
        <w:numId w:val="6"/>
      </w:numPr>
      <w:autoSpaceDE/>
      <w:autoSpaceDN/>
      <w:adjustRightInd/>
      <w:spacing w:before="120" w:after="120" w:line="270" w:lineRule="atLeast"/>
      <w:jc w:val="left"/>
    </w:pPr>
    <w:rPr>
      <w:sz w:val="23"/>
      <w:szCs w:val="20"/>
      <w:lang w:eastAsia="da-DK"/>
    </w:rPr>
  </w:style>
  <w:style w:type="paragraph" w:customStyle="1" w:styleId="StyleCorpsdetexte">
    <w:name w:val="Style Corps de texte"/>
    <w:aliases w:val="A - Corps de texte/Liste à puce"/>
    <w:basedOn w:val="BodyText"/>
    <w:next w:val="ListBullet"/>
    <w:rsid w:val="00772966"/>
    <w:pPr>
      <w:spacing w:before="120"/>
    </w:pPr>
    <w:rPr>
      <w:rFonts w:eastAsia="Times New Roman"/>
      <w:sz w:val="23"/>
      <w:szCs w:val="20"/>
      <w:lang w:val="fr-CA" w:eastAsia="da-DK"/>
    </w:rPr>
  </w:style>
  <w:style w:type="paragraph" w:customStyle="1" w:styleId="xl25">
    <w:name w:val="xl25"/>
    <w:basedOn w:val="Normal"/>
    <w:rsid w:val="00772966"/>
    <w:pPr>
      <w:pBdr>
        <w:right w:val="single" w:sz="8" w:space="0" w:color="auto"/>
      </w:pBdr>
      <w:autoSpaceDE/>
      <w:autoSpaceDN/>
      <w:adjustRightInd/>
      <w:spacing w:before="100" w:beforeAutospacing="1" w:after="100" w:afterAutospacing="1"/>
    </w:pPr>
    <w:rPr>
      <w:rFonts w:ascii="Arial" w:hAnsi="Arial"/>
      <w:szCs w:val="24"/>
      <w:lang w:eastAsia="fr-FR"/>
    </w:rPr>
  </w:style>
  <w:style w:type="paragraph" w:customStyle="1" w:styleId="p24">
    <w:name w:val="p24"/>
    <w:basedOn w:val="Normal"/>
    <w:rsid w:val="00772966"/>
    <w:pPr>
      <w:widowControl w:val="0"/>
      <w:tabs>
        <w:tab w:val="left" w:pos="720"/>
      </w:tabs>
      <w:autoSpaceDE/>
      <w:autoSpaceDN/>
      <w:adjustRightInd/>
      <w:spacing w:before="60" w:after="60" w:line="240" w:lineRule="atLeast"/>
    </w:pPr>
    <w:rPr>
      <w:snapToGrid w:val="0"/>
      <w:sz w:val="22"/>
      <w:szCs w:val="22"/>
      <w:lang w:eastAsia="fr-FR"/>
    </w:rPr>
  </w:style>
  <w:style w:type="paragraph" w:customStyle="1" w:styleId="23arialbullets">
    <w:name w:val="23 arial bullets"/>
    <w:basedOn w:val="Normal"/>
    <w:rsid w:val="00772966"/>
    <w:pPr>
      <w:numPr>
        <w:numId w:val="8"/>
      </w:numPr>
      <w:autoSpaceDE/>
      <w:autoSpaceDN/>
      <w:adjustRightInd/>
      <w:spacing w:before="0" w:after="100"/>
      <w:jc w:val="left"/>
    </w:pPr>
    <w:rPr>
      <w:sz w:val="22"/>
      <w:szCs w:val="24"/>
      <w:lang w:eastAsia="fr-FR"/>
    </w:rPr>
  </w:style>
  <w:style w:type="character" w:styleId="Strong">
    <w:name w:val="Strong"/>
    <w:basedOn w:val="DefaultParagraphFont"/>
    <w:uiPriority w:val="22"/>
    <w:qFormat/>
    <w:rsid w:val="00772966"/>
    <w:rPr>
      <w:b/>
      <w:bCs/>
    </w:rPr>
  </w:style>
  <w:style w:type="paragraph" w:styleId="BodyTextIndent2">
    <w:name w:val="Body Text Indent 2"/>
    <w:basedOn w:val="Normal"/>
    <w:link w:val="BodyTextIndent2Char"/>
    <w:uiPriority w:val="99"/>
    <w:semiHidden/>
    <w:unhideWhenUsed/>
    <w:rsid w:val="00772966"/>
    <w:pPr>
      <w:spacing w:after="120" w:line="480" w:lineRule="auto"/>
      <w:ind w:left="283"/>
    </w:pPr>
  </w:style>
  <w:style w:type="character" w:customStyle="1" w:styleId="BodyTextIndent2Char">
    <w:name w:val="Body Text Indent 2 Char"/>
    <w:basedOn w:val="DefaultParagraphFont"/>
    <w:link w:val="BodyTextIndent2"/>
    <w:uiPriority w:val="99"/>
    <w:semiHidden/>
    <w:rsid w:val="00772966"/>
    <w:rPr>
      <w:rFonts w:ascii="Times New Roman" w:eastAsia="Times New Roman" w:hAnsi="Times New Roman" w:cs="Times New Roman"/>
      <w:sz w:val="21"/>
      <w:szCs w:val="21"/>
      <w:lang w:val="fr-FR"/>
    </w:rPr>
  </w:style>
  <w:style w:type="paragraph" w:styleId="Quote">
    <w:name w:val="Quote"/>
    <w:basedOn w:val="Normal"/>
    <w:next w:val="Normal"/>
    <w:link w:val="QuoteChar"/>
    <w:uiPriority w:val="29"/>
    <w:qFormat/>
    <w:rsid w:val="00772966"/>
    <w:pPr>
      <w:spacing w:before="0"/>
    </w:pPr>
    <w:rPr>
      <w:rFonts w:eastAsia="Calibri"/>
      <w:i/>
      <w:iCs/>
      <w:color w:val="000000"/>
      <w:sz w:val="16"/>
    </w:rPr>
  </w:style>
  <w:style w:type="character" w:customStyle="1" w:styleId="QuoteChar">
    <w:name w:val="Quote Char"/>
    <w:basedOn w:val="DefaultParagraphFont"/>
    <w:link w:val="Quote"/>
    <w:uiPriority w:val="29"/>
    <w:rsid w:val="00772966"/>
    <w:rPr>
      <w:rFonts w:ascii="Times New Roman" w:eastAsia="Calibri" w:hAnsi="Times New Roman" w:cs="Times New Roman"/>
      <w:i/>
      <w:iCs/>
      <w:color w:val="000000"/>
      <w:sz w:val="16"/>
      <w:szCs w:val="21"/>
      <w:lang w:val="fr-FR"/>
    </w:rPr>
  </w:style>
  <w:style w:type="paragraph" w:styleId="Title">
    <w:name w:val="Title"/>
    <w:basedOn w:val="Normal"/>
    <w:next w:val="Normal"/>
    <w:link w:val="TitleChar"/>
    <w:qFormat/>
    <w:rsid w:val="00143EB6"/>
    <w:pPr>
      <w:pageBreakBefore/>
      <w:spacing w:after="60"/>
      <w:jc w:val="left"/>
      <w:outlineLvl w:val="0"/>
    </w:pPr>
    <w:rPr>
      <w:b/>
      <w:bCs/>
      <w:caps/>
      <w:kern w:val="28"/>
      <w:sz w:val="24"/>
      <w:szCs w:val="32"/>
    </w:rPr>
  </w:style>
  <w:style w:type="character" w:customStyle="1" w:styleId="TitleChar">
    <w:name w:val="Title Char"/>
    <w:basedOn w:val="DefaultParagraphFont"/>
    <w:link w:val="Title"/>
    <w:rsid w:val="00143EB6"/>
    <w:rPr>
      <w:rFonts w:ascii="Times New Roman" w:eastAsia="Times New Roman" w:hAnsi="Times New Roman" w:cs="Times New Roman"/>
      <w:b/>
      <w:bCs/>
      <w:caps/>
      <w:kern w:val="28"/>
      <w:sz w:val="24"/>
      <w:szCs w:val="32"/>
      <w:lang w:val="fr-FR"/>
    </w:rPr>
  </w:style>
  <w:style w:type="character" w:styleId="Emphasis">
    <w:name w:val="Emphasis"/>
    <w:basedOn w:val="DefaultParagraphFont"/>
    <w:uiPriority w:val="20"/>
    <w:qFormat/>
    <w:rsid w:val="00772966"/>
    <w:rPr>
      <w:i/>
      <w:iCs/>
    </w:rPr>
  </w:style>
  <w:style w:type="paragraph" w:styleId="TOCHeading">
    <w:name w:val="TOC Heading"/>
    <w:basedOn w:val="Heading1"/>
    <w:next w:val="Normal"/>
    <w:uiPriority w:val="39"/>
    <w:semiHidden/>
    <w:unhideWhenUsed/>
    <w:qFormat/>
    <w:rsid w:val="00772966"/>
    <w:pPr>
      <w:autoSpaceDE/>
      <w:autoSpaceDN/>
      <w:adjustRightInd/>
      <w:spacing w:before="480" w:after="0" w:line="276" w:lineRule="auto"/>
      <w:outlineLvl w:val="9"/>
    </w:pPr>
    <w:rPr>
      <w:rFonts w:ascii="Cambria" w:hAnsi="Cambria"/>
      <w:bCs/>
      <w:color w:val="365F91"/>
      <w:sz w:val="28"/>
      <w:szCs w:val="28"/>
    </w:rPr>
  </w:style>
  <w:style w:type="paragraph" w:styleId="TableofFigures">
    <w:name w:val="table of figures"/>
    <w:basedOn w:val="Normal"/>
    <w:next w:val="Normal"/>
    <w:uiPriority w:val="99"/>
    <w:unhideWhenUsed/>
    <w:rsid w:val="00772966"/>
    <w:pPr>
      <w:ind w:left="0"/>
    </w:pPr>
  </w:style>
  <w:style w:type="paragraph" w:customStyle="1" w:styleId="BGP-Textecourant">
    <w:name w:val="BGP - Texte courant"/>
    <w:rsid w:val="00772966"/>
    <w:pPr>
      <w:spacing w:before="120" w:after="0" w:line="240" w:lineRule="auto"/>
      <w:jc w:val="both"/>
    </w:pPr>
    <w:rPr>
      <w:rFonts w:ascii="Tahoma" w:eastAsia="Times New Roman" w:hAnsi="Tahoma" w:cs="Times New Roman"/>
      <w:sz w:val="20"/>
      <w:szCs w:val="20"/>
      <w:lang w:val="en-GB" w:eastAsia="fr-FR"/>
    </w:rPr>
  </w:style>
  <w:style w:type="paragraph" w:customStyle="1" w:styleId="Heading1a">
    <w:name w:val="Heading 1a"/>
    <w:basedOn w:val="Normal"/>
    <w:next w:val="Normal"/>
    <w:rsid w:val="00772966"/>
    <w:pPr>
      <w:keepNext/>
      <w:keepLines/>
      <w:tabs>
        <w:tab w:val="num" w:pos="2520"/>
      </w:tabs>
      <w:autoSpaceDE/>
      <w:autoSpaceDN/>
      <w:adjustRightInd/>
      <w:spacing w:before="280" w:after="240"/>
      <w:ind w:left="2160" w:hanging="360"/>
      <w:jc w:val="center"/>
      <w:outlineLvl w:val="0"/>
    </w:pPr>
    <w:rPr>
      <w:rFonts w:ascii="Times New Roman Bold" w:hAnsi="Times New Roman Bold"/>
      <w:b/>
      <w:caps/>
      <w:sz w:val="28"/>
      <w:szCs w:val="24"/>
      <w:lang w:val="en-US"/>
    </w:rPr>
  </w:style>
  <w:style w:type="character" w:styleId="PageNumber">
    <w:name w:val="page number"/>
    <w:basedOn w:val="DefaultParagraphFont"/>
    <w:rsid w:val="00772966"/>
  </w:style>
  <w:style w:type="paragraph" w:customStyle="1" w:styleId="BankNormal">
    <w:name w:val="BankNormal"/>
    <w:basedOn w:val="Normal"/>
    <w:rsid w:val="00772966"/>
    <w:pPr>
      <w:adjustRightInd/>
      <w:spacing w:before="0" w:after="240"/>
      <w:ind w:left="0"/>
    </w:pPr>
    <w:rPr>
      <w:sz w:val="22"/>
      <w:szCs w:val="24"/>
    </w:rPr>
  </w:style>
  <w:style w:type="character" w:customStyle="1" w:styleId="content1">
    <w:name w:val="content1"/>
    <w:basedOn w:val="DefaultParagraphFont"/>
    <w:rsid w:val="00772966"/>
    <w:rPr>
      <w:rFonts w:ascii="Arial" w:hAnsi="Arial"/>
      <w:sz w:val="18"/>
    </w:rPr>
  </w:style>
  <w:style w:type="paragraph" w:customStyle="1" w:styleId="CommentText1">
    <w:name w:val="Comment Text1"/>
    <w:basedOn w:val="Normal"/>
    <w:rsid w:val="00772966"/>
    <w:pPr>
      <w:suppressAutoHyphens/>
      <w:autoSpaceDE/>
      <w:autoSpaceDN/>
      <w:adjustRightInd/>
      <w:spacing w:before="0"/>
      <w:ind w:left="0"/>
      <w:jc w:val="left"/>
    </w:pPr>
    <w:rPr>
      <w:sz w:val="20"/>
      <w:szCs w:val="20"/>
      <w:lang w:val="en-US" w:eastAsia="ar-SA"/>
    </w:rPr>
  </w:style>
  <w:style w:type="paragraph" w:customStyle="1" w:styleId="BGP-Titre1">
    <w:name w:val="BGP - Titre 1"/>
    <w:next w:val="BGP-Textecourant"/>
    <w:rsid w:val="007A6A31"/>
    <w:pPr>
      <w:tabs>
        <w:tab w:val="left" w:pos="680"/>
        <w:tab w:val="num" w:pos="1080"/>
      </w:tabs>
      <w:spacing w:before="600" w:line="240" w:lineRule="auto"/>
      <w:ind w:left="1080" w:hanging="360"/>
      <w:jc w:val="both"/>
      <w:outlineLvl w:val="0"/>
    </w:pPr>
    <w:rPr>
      <w:rFonts w:ascii="Tahoma" w:eastAsia="Times New Roman" w:hAnsi="Tahoma" w:cs="Times New Roman"/>
      <w:b/>
      <w:color w:val="000000"/>
      <w:sz w:val="28"/>
      <w:szCs w:val="20"/>
      <w:lang w:val="fr-FR" w:eastAsia="fr-FR"/>
    </w:rPr>
  </w:style>
  <w:style w:type="paragraph" w:customStyle="1" w:styleId="BGP-Titre11">
    <w:name w:val="BGP - Titre 1.1"/>
    <w:next w:val="BGP-Textecourant"/>
    <w:rsid w:val="007A6A31"/>
    <w:pPr>
      <w:tabs>
        <w:tab w:val="left" w:pos="680"/>
        <w:tab w:val="num" w:pos="1440"/>
      </w:tabs>
      <w:spacing w:before="400" w:line="240" w:lineRule="auto"/>
      <w:ind w:left="1440" w:hanging="360"/>
      <w:jc w:val="both"/>
      <w:outlineLvl w:val="1"/>
    </w:pPr>
    <w:rPr>
      <w:rFonts w:ascii="Tahoma" w:eastAsia="Times New Roman" w:hAnsi="Tahoma" w:cs="Times New Roman"/>
      <w:b/>
      <w:color w:val="000000"/>
      <w:sz w:val="24"/>
      <w:szCs w:val="20"/>
      <w:lang w:val="fr-FR" w:eastAsia="fr-FR"/>
    </w:rPr>
  </w:style>
  <w:style w:type="paragraph" w:customStyle="1" w:styleId="BGP-Titre111">
    <w:name w:val="BGP - Titre 1.11"/>
    <w:next w:val="BGP-Textecourant"/>
    <w:rsid w:val="007A6A31"/>
    <w:pPr>
      <w:tabs>
        <w:tab w:val="left" w:pos="851"/>
        <w:tab w:val="num" w:pos="2160"/>
      </w:tabs>
      <w:spacing w:before="400" w:line="240" w:lineRule="auto"/>
      <w:ind w:left="2160" w:hanging="360"/>
      <w:jc w:val="both"/>
      <w:outlineLvl w:val="2"/>
    </w:pPr>
    <w:rPr>
      <w:rFonts w:ascii="Tahoma" w:eastAsia="Times New Roman" w:hAnsi="Tahoma" w:cs="Times New Roman"/>
      <w:b/>
      <w:color w:val="000000"/>
      <w:szCs w:val="20"/>
      <w:lang w:val="fr-FR" w:eastAsia="fr-FR"/>
    </w:rPr>
  </w:style>
  <w:style w:type="paragraph" w:customStyle="1" w:styleId="BGP-Titre1111">
    <w:name w:val="BGP - Titre 1.111"/>
    <w:next w:val="BGP-Textecourant"/>
    <w:rsid w:val="007A6A31"/>
    <w:pPr>
      <w:tabs>
        <w:tab w:val="num" w:pos="2880"/>
      </w:tabs>
      <w:spacing w:before="400" w:after="100" w:line="240" w:lineRule="auto"/>
      <w:ind w:left="2880" w:hanging="360"/>
      <w:jc w:val="both"/>
      <w:outlineLvl w:val="3"/>
    </w:pPr>
    <w:rPr>
      <w:rFonts w:ascii="Tahoma" w:eastAsia="Times New Roman" w:hAnsi="Tahoma" w:cs="Times New Roman"/>
      <w:b/>
      <w:color w:val="000000"/>
      <w:sz w:val="20"/>
      <w:szCs w:val="20"/>
      <w:lang w:val="fr-FR"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r.wikipedia.org/wiki/Sahel_africa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r.wikipedia.org/wiki/Collectivit%C3%A9_territoriale_au_Mal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wikipedia.org/wiki/Collectivit%C3%A9_territoriale_au_Mal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fr.wikipedia.org/wiki/Niger_(fleuv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5A1F3-1113-48B1-93F9-1ADAB62F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30381</Words>
  <Characters>173176</Characters>
  <Application>Microsoft Office Word</Application>
  <DocSecurity>0</DocSecurity>
  <Lines>1443</Lines>
  <Paragraphs>406</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203151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Rémi Kini</dc:creator>
  <cp:lastModifiedBy>wb20439</cp:lastModifiedBy>
  <cp:revision>3</cp:revision>
  <cp:lastPrinted>2011-04-05T17:06:00Z</cp:lastPrinted>
  <dcterms:created xsi:type="dcterms:W3CDTF">2011-05-19T17:05:00Z</dcterms:created>
  <dcterms:modified xsi:type="dcterms:W3CDTF">2011-05-19T17:07:00Z</dcterms:modified>
</cp:coreProperties>
</file>