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570" w:rsidRPr="00752D3E" w:rsidRDefault="005E5725" w:rsidP="00DA5570">
      <w:pPr>
        <w:suppressAutoHyphens/>
        <w:spacing w:line="240" w:lineRule="auto"/>
        <w:jc w:val="right"/>
        <w:rPr>
          <w:b/>
          <w:sz w:val="22"/>
          <w:szCs w:val="22"/>
        </w:rPr>
      </w:pPr>
      <w:r>
        <w:rPr>
          <w:b/>
          <w:sz w:val="22"/>
          <w:szCs w:val="22"/>
        </w:rPr>
        <w:t>CONFORMED COPY</w:t>
      </w:r>
    </w:p>
    <w:p w:rsidR="00DA5570" w:rsidRPr="00752D3E" w:rsidRDefault="00DA5570" w:rsidP="00DA5570">
      <w:pPr>
        <w:suppressAutoHyphens/>
        <w:spacing w:line="240" w:lineRule="auto"/>
        <w:jc w:val="both"/>
        <w:rPr>
          <w:b/>
          <w:sz w:val="22"/>
          <w:szCs w:val="22"/>
        </w:rPr>
      </w:pPr>
    </w:p>
    <w:p w:rsidR="009C3E8F" w:rsidRDefault="009C3E8F" w:rsidP="00DA5570">
      <w:pPr>
        <w:suppressAutoHyphens/>
        <w:spacing w:line="240" w:lineRule="auto"/>
        <w:jc w:val="right"/>
        <w:rPr>
          <w:b/>
          <w:sz w:val="22"/>
          <w:szCs w:val="22"/>
        </w:rPr>
      </w:pPr>
    </w:p>
    <w:p w:rsidR="009C3E8F" w:rsidRDefault="009C3E8F" w:rsidP="00DA5570">
      <w:pPr>
        <w:suppressAutoHyphens/>
        <w:spacing w:line="240" w:lineRule="auto"/>
        <w:jc w:val="right"/>
        <w:rPr>
          <w:b/>
          <w:sz w:val="22"/>
          <w:szCs w:val="22"/>
        </w:rPr>
      </w:pPr>
    </w:p>
    <w:p w:rsidR="009C3E8F" w:rsidRDefault="009C3E8F" w:rsidP="00DA5570">
      <w:pPr>
        <w:suppressAutoHyphens/>
        <w:spacing w:line="240" w:lineRule="auto"/>
        <w:jc w:val="right"/>
        <w:rPr>
          <w:b/>
          <w:sz w:val="22"/>
          <w:szCs w:val="22"/>
        </w:rPr>
      </w:pPr>
    </w:p>
    <w:p w:rsidR="009C3E8F" w:rsidRDefault="009C3E8F" w:rsidP="00DA5570">
      <w:pPr>
        <w:suppressAutoHyphens/>
        <w:spacing w:line="240" w:lineRule="auto"/>
        <w:jc w:val="right"/>
        <w:rPr>
          <w:b/>
          <w:sz w:val="22"/>
          <w:szCs w:val="22"/>
        </w:rPr>
      </w:pPr>
    </w:p>
    <w:p w:rsidR="00DA5570" w:rsidRPr="0003372F" w:rsidRDefault="009C3E8F" w:rsidP="00DA5570">
      <w:pPr>
        <w:suppressAutoHyphens/>
        <w:spacing w:line="240" w:lineRule="auto"/>
        <w:jc w:val="right"/>
        <w:rPr>
          <w:b/>
          <w:sz w:val="22"/>
          <w:szCs w:val="22"/>
        </w:rPr>
      </w:pPr>
      <w:r>
        <w:rPr>
          <w:b/>
          <w:sz w:val="22"/>
          <w:szCs w:val="22"/>
        </w:rPr>
        <w:t>LOAN NUMBER 7810-PE</w:t>
      </w:r>
    </w:p>
    <w:p w:rsidR="00DA5570" w:rsidRPr="0003372F" w:rsidRDefault="00DA5570" w:rsidP="00DA5570">
      <w:pPr>
        <w:suppressAutoHyphens/>
        <w:spacing w:line="240" w:lineRule="auto"/>
        <w:rPr>
          <w:b/>
          <w:sz w:val="22"/>
          <w:szCs w:val="22"/>
        </w:rPr>
      </w:pPr>
    </w:p>
    <w:p w:rsidR="00DA5570" w:rsidRPr="0003372F" w:rsidRDefault="00DA5570" w:rsidP="00DA5570">
      <w:pPr>
        <w:suppressAutoHyphens/>
        <w:spacing w:line="240" w:lineRule="auto"/>
        <w:rPr>
          <w:b/>
          <w:sz w:val="22"/>
          <w:szCs w:val="22"/>
        </w:rPr>
      </w:pPr>
    </w:p>
    <w:p w:rsidR="00DA5570" w:rsidRPr="0003372F" w:rsidRDefault="00DA5570" w:rsidP="00DA5570">
      <w:pPr>
        <w:suppressAutoHyphens/>
        <w:spacing w:line="240" w:lineRule="auto"/>
        <w:rPr>
          <w:b/>
          <w:sz w:val="22"/>
          <w:szCs w:val="22"/>
        </w:rPr>
      </w:pPr>
    </w:p>
    <w:p w:rsidR="00DA5570" w:rsidRPr="0003372F" w:rsidRDefault="00DA5570" w:rsidP="00DA5570">
      <w:pPr>
        <w:suppressAutoHyphens/>
        <w:spacing w:line="240" w:lineRule="auto"/>
        <w:rPr>
          <w:b/>
          <w:sz w:val="22"/>
          <w:szCs w:val="22"/>
        </w:rPr>
      </w:pPr>
    </w:p>
    <w:p w:rsidR="00DA5570" w:rsidRPr="0003372F" w:rsidRDefault="00DA5570" w:rsidP="00DA5570">
      <w:pPr>
        <w:suppressAutoHyphens/>
        <w:spacing w:line="240" w:lineRule="auto"/>
        <w:rPr>
          <w:b/>
          <w:sz w:val="22"/>
          <w:szCs w:val="22"/>
        </w:rPr>
      </w:pPr>
    </w:p>
    <w:p w:rsidR="00DA5570" w:rsidRPr="0003372F" w:rsidRDefault="00DA5570" w:rsidP="00DA5570">
      <w:pPr>
        <w:suppressAutoHyphens/>
        <w:spacing w:line="240" w:lineRule="auto"/>
        <w:rPr>
          <w:b/>
          <w:sz w:val="22"/>
          <w:szCs w:val="22"/>
        </w:rPr>
      </w:pPr>
    </w:p>
    <w:p w:rsidR="00DA5570" w:rsidRPr="0003372F" w:rsidRDefault="00DA5570" w:rsidP="00DA5570">
      <w:pPr>
        <w:suppressAutoHyphens/>
        <w:spacing w:line="240" w:lineRule="auto"/>
        <w:rPr>
          <w:b/>
          <w:sz w:val="22"/>
          <w:szCs w:val="22"/>
        </w:rPr>
      </w:pPr>
    </w:p>
    <w:p w:rsidR="00DA5570" w:rsidRPr="0003372F" w:rsidRDefault="00DA5570" w:rsidP="006B794C">
      <w:pPr>
        <w:suppressAutoHyphens/>
        <w:spacing w:line="240" w:lineRule="auto"/>
        <w:jc w:val="center"/>
        <w:rPr>
          <w:b/>
          <w:sz w:val="50"/>
        </w:rPr>
      </w:pPr>
      <w:r w:rsidRPr="0003372F">
        <w:rPr>
          <w:b/>
          <w:sz w:val="50"/>
        </w:rPr>
        <w:t>Loan Agreement</w:t>
      </w:r>
    </w:p>
    <w:p w:rsidR="00DA5570" w:rsidRPr="0003372F" w:rsidRDefault="00DA5570" w:rsidP="006B794C">
      <w:pPr>
        <w:suppressAutoHyphens/>
        <w:spacing w:line="240" w:lineRule="auto"/>
        <w:jc w:val="center"/>
        <w:rPr>
          <w:b/>
          <w:sz w:val="22"/>
          <w:szCs w:val="22"/>
        </w:rPr>
      </w:pPr>
    </w:p>
    <w:p w:rsidR="00DA5570" w:rsidRPr="0003372F" w:rsidRDefault="00DA5570" w:rsidP="006B794C">
      <w:pPr>
        <w:suppressAutoHyphens/>
        <w:spacing w:line="240" w:lineRule="auto"/>
        <w:jc w:val="center"/>
        <w:rPr>
          <w:b/>
          <w:sz w:val="22"/>
          <w:szCs w:val="22"/>
        </w:rPr>
      </w:pPr>
      <w:r w:rsidRPr="0003372F">
        <w:rPr>
          <w:b/>
          <w:sz w:val="22"/>
          <w:szCs w:val="22"/>
        </w:rPr>
        <w:t>(</w:t>
      </w:r>
      <w:r>
        <w:rPr>
          <w:b/>
          <w:sz w:val="22"/>
          <w:szCs w:val="22"/>
        </w:rPr>
        <w:t xml:space="preserve">Second </w:t>
      </w:r>
      <w:r w:rsidR="00CE3B4C">
        <w:rPr>
          <w:b/>
          <w:sz w:val="22"/>
          <w:szCs w:val="22"/>
        </w:rPr>
        <w:t xml:space="preserve">Programmatic </w:t>
      </w:r>
      <w:r>
        <w:rPr>
          <w:b/>
          <w:sz w:val="22"/>
          <w:szCs w:val="22"/>
        </w:rPr>
        <w:t xml:space="preserve">Environmental </w:t>
      </w:r>
      <w:r w:rsidRPr="0003372F">
        <w:rPr>
          <w:b/>
          <w:sz w:val="22"/>
          <w:szCs w:val="22"/>
        </w:rPr>
        <w:t>Development Policy Loan)</w:t>
      </w:r>
    </w:p>
    <w:p w:rsidR="00DA5570" w:rsidRPr="0003372F" w:rsidRDefault="00DA5570" w:rsidP="006B794C">
      <w:pPr>
        <w:suppressAutoHyphens/>
        <w:spacing w:line="240" w:lineRule="auto"/>
        <w:jc w:val="center"/>
        <w:rPr>
          <w:b/>
          <w:sz w:val="22"/>
          <w:szCs w:val="22"/>
        </w:rPr>
      </w:pPr>
    </w:p>
    <w:p w:rsidR="00DA5570" w:rsidRPr="0003372F" w:rsidRDefault="00DA5570" w:rsidP="006B794C">
      <w:pPr>
        <w:suppressAutoHyphens/>
        <w:spacing w:line="240" w:lineRule="auto"/>
        <w:jc w:val="center"/>
        <w:rPr>
          <w:b/>
          <w:sz w:val="22"/>
          <w:szCs w:val="22"/>
        </w:rPr>
      </w:pPr>
    </w:p>
    <w:p w:rsidR="00DA5570" w:rsidRPr="0003372F" w:rsidRDefault="00DA5570" w:rsidP="006B794C">
      <w:pPr>
        <w:suppressAutoHyphens/>
        <w:spacing w:line="240" w:lineRule="auto"/>
        <w:jc w:val="center"/>
        <w:rPr>
          <w:b/>
          <w:sz w:val="22"/>
          <w:szCs w:val="22"/>
        </w:rPr>
      </w:pPr>
      <w:r w:rsidRPr="0003372F">
        <w:rPr>
          <w:b/>
          <w:sz w:val="22"/>
          <w:szCs w:val="22"/>
        </w:rPr>
        <w:t>between</w:t>
      </w:r>
    </w:p>
    <w:p w:rsidR="00DA5570" w:rsidRPr="0003372F" w:rsidRDefault="00DA5570" w:rsidP="006B794C">
      <w:pPr>
        <w:suppressAutoHyphens/>
        <w:spacing w:line="240" w:lineRule="auto"/>
        <w:jc w:val="center"/>
        <w:rPr>
          <w:b/>
          <w:sz w:val="22"/>
          <w:szCs w:val="22"/>
        </w:rPr>
      </w:pPr>
    </w:p>
    <w:p w:rsidR="00DA5570" w:rsidRPr="0003372F" w:rsidRDefault="00DA5570" w:rsidP="006B794C">
      <w:pPr>
        <w:suppressAutoHyphens/>
        <w:spacing w:line="240" w:lineRule="auto"/>
        <w:jc w:val="center"/>
        <w:rPr>
          <w:b/>
          <w:sz w:val="22"/>
          <w:szCs w:val="22"/>
        </w:rPr>
      </w:pPr>
    </w:p>
    <w:p w:rsidR="00DA5570" w:rsidRPr="0003372F" w:rsidRDefault="00DA5570" w:rsidP="006B794C">
      <w:pPr>
        <w:suppressAutoHyphens/>
        <w:spacing w:line="240" w:lineRule="auto"/>
        <w:jc w:val="center"/>
        <w:rPr>
          <w:b/>
          <w:sz w:val="22"/>
          <w:szCs w:val="22"/>
        </w:rPr>
      </w:pPr>
      <w:r w:rsidRPr="0003372F">
        <w:rPr>
          <w:b/>
          <w:sz w:val="22"/>
          <w:szCs w:val="22"/>
        </w:rPr>
        <w:t>REPUBLIC OF PERÚ</w:t>
      </w:r>
    </w:p>
    <w:p w:rsidR="00DA5570" w:rsidRPr="0003372F" w:rsidRDefault="00DA5570" w:rsidP="006B794C">
      <w:pPr>
        <w:suppressAutoHyphens/>
        <w:spacing w:line="240" w:lineRule="auto"/>
        <w:jc w:val="center"/>
        <w:rPr>
          <w:b/>
          <w:sz w:val="22"/>
          <w:szCs w:val="22"/>
        </w:rPr>
      </w:pPr>
    </w:p>
    <w:p w:rsidR="00DA5570" w:rsidRPr="0003372F" w:rsidRDefault="00DA5570" w:rsidP="006B794C">
      <w:pPr>
        <w:suppressAutoHyphens/>
        <w:spacing w:line="240" w:lineRule="auto"/>
        <w:jc w:val="center"/>
        <w:rPr>
          <w:b/>
          <w:sz w:val="22"/>
          <w:szCs w:val="22"/>
        </w:rPr>
      </w:pPr>
    </w:p>
    <w:p w:rsidR="00DA5570" w:rsidRPr="0003372F" w:rsidRDefault="00DA5570" w:rsidP="006B794C">
      <w:pPr>
        <w:suppressAutoHyphens/>
        <w:spacing w:line="240" w:lineRule="auto"/>
        <w:jc w:val="center"/>
        <w:rPr>
          <w:b/>
          <w:sz w:val="22"/>
          <w:szCs w:val="22"/>
        </w:rPr>
      </w:pPr>
      <w:r w:rsidRPr="0003372F">
        <w:rPr>
          <w:b/>
          <w:sz w:val="22"/>
          <w:szCs w:val="22"/>
        </w:rPr>
        <w:t>and</w:t>
      </w:r>
    </w:p>
    <w:p w:rsidR="00DA5570" w:rsidRPr="0003372F" w:rsidRDefault="00DA5570" w:rsidP="006B794C">
      <w:pPr>
        <w:suppressAutoHyphens/>
        <w:spacing w:line="240" w:lineRule="auto"/>
        <w:jc w:val="center"/>
        <w:rPr>
          <w:b/>
          <w:sz w:val="22"/>
          <w:szCs w:val="22"/>
        </w:rPr>
      </w:pPr>
    </w:p>
    <w:p w:rsidR="00DA5570" w:rsidRPr="0003372F" w:rsidRDefault="00DA5570" w:rsidP="006B794C">
      <w:pPr>
        <w:suppressAutoHyphens/>
        <w:spacing w:line="240" w:lineRule="auto"/>
        <w:jc w:val="center"/>
        <w:rPr>
          <w:b/>
          <w:sz w:val="22"/>
          <w:szCs w:val="22"/>
        </w:rPr>
      </w:pPr>
    </w:p>
    <w:p w:rsidR="00DA5570" w:rsidRPr="0003372F" w:rsidRDefault="00DA5570" w:rsidP="006B794C">
      <w:pPr>
        <w:suppressAutoHyphens/>
        <w:spacing w:line="240" w:lineRule="auto"/>
        <w:jc w:val="center"/>
        <w:rPr>
          <w:b/>
          <w:sz w:val="22"/>
          <w:szCs w:val="22"/>
        </w:rPr>
      </w:pPr>
      <w:r w:rsidRPr="0003372F">
        <w:rPr>
          <w:b/>
          <w:sz w:val="22"/>
          <w:szCs w:val="22"/>
        </w:rPr>
        <w:t>INTERNATIONAL BANK FOR RECONSTRUCTION</w:t>
      </w:r>
    </w:p>
    <w:p w:rsidR="00DA5570" w:rsidRPr="0003372F" w:rsidRDefault="00DA5570" w:rsidP="006B794C">
      <w:pPr>
        <w:suppressAutoHyphens/>
        <w:spacing w:line="240" w:lineRule="auto"/>
        <w:jc w:val="center"/>
        <w:rPr>
          <w:b/>
          <w:sz w:val="22"/>
          <w:szCs w:val="22"/>
        </w:rPr>
      </w:pPr>
      <w:r w:rsidRPr="0003372F">
        <w:rPr>
          <w:b/>
          <w:sz w:val="22"/>
          <w:szCs w:val="22"/>
        </w:rPr>
        <w:t>AND DEVELOPMENT</w:t>
      </w:r>
    </w:p>
    <w:p w:rsidR="00DA5570" w:rsidRPr="0003372F" w:rsidRDefault="00DA5570" w:rsidP="006B794C">
      <w:pPr>
        <w:suppressAutoHyphens/>
        <w:spacing w:line="240" w:lineRule="auto"/>
        <w:jc w:val="center"/>
        <w:rPr>
          <w:b/>
          <w:sz w:val="22"/>
          <w:szCs w:val="22"/>
        </w:rPr>
      </w:pPr>
    </w:p>
    <w:p w:rsidR="00DA5570" w:rsidRPr="0003372F" w:rsidRDefault="00DA5570" w:rsidP="006B794C">
      <w:pPr>
        <w:suppressAutoHyphens/>
        <w:spacing w:line="240" w:lineRule="auto"/>
        <w:jc w:val="center"/>
        <w:rPr>
          <w:b/>
          <w:sz w:val="22"/>
          <w:szCs w:val="22"/>
        </w:rPr>
      </w:pPr>
    </w:p>
    <w:p w:rsidR="00DA5570" w:rsidRPr="0003372F" w:rsidRDefault="00DA5570" w:rsidP="006B794C">
      <w:pPr>
        <w:suppressAutoHyphens/>
        <w:spacing w:line="240" w:lineRule="auto"/>
        <w:jc w:val="center"/>
        <w:rPr>
          <w:b/>
          <w:sz w:val="22"/>
          <w:szCs w:val="22"/>
        </w:rPr>
      </w:pPr>
    </w:p>
    <w:p w:rsidR="00DA5570" w:rsidRDefault="00DA5570" w:rsidP="006B794C">
      <w:pPr>
        <w:suppressAutoHyphens/>
        <w:spacing w:line="240" w:lineRule="auto"/>
        <w:jc w:val="center"/>
        <w:rPr>
          <w:b/>
          <w:sz w:val="22"/>
          <w:szCs w:val="22"/>
        </w:rPr>
      </w:pPr>
    </w:p>
    <w:p w:rsidR="009C3E8F" w:rsidRDefault="009C3E8F" w:rsidP="006B794C">
      <w:pPr>
        <w:suppressAutoHyphens/>
        <w:spacing w:line="240" w:lineRule="auto"/>
        <w:jc w:val="center"/>
        <w:rPr>
          <w:b/>
          <w:sz w:val="22"/>
          <w:szCs w:val="22"/>
        </w:rPr>
      </w:pPr>
    </w:p>
    <w:p w:rsidR="009C3E8F" w:rsidRPr="0003372F" w:rsidRDefault="009C3E8F" w:rsidP="006B794C">
      <w:pPr>
        <w:suppressAutoHyphens/>
        <w:spacing w:line="240" w:lineRule="auto"/>
        <w:jc w:val="center"/>
        <w:rPr>
          <w:b/>
          <w:sz w:val="22"/>
          <w:szCs w:val="22"/>
        </w:rPr>
      </w:pPr>
    </w:p>
    <w:p w:rsidR="00DA5570" w:rsidRPr="0003372F" w:rsidRDefault="00DA5570" w:rsidP="006B794C">
      <w:pPr>
        <w:suppressAutoHyphens/>
        <w:spacing w:line="240" w:lineRule="auto"/>
        <w:jc w:val="center"/>
        <w:rPr>
          <w:b/>
          <w:sz w:val="22"/>
          <w:szCs w:val="22"/>
        </w:rPr>
      </w:pPr>
    </w:p>
    <w:p w:rsidR="00DA5570" w:rsidRPr="0003372F" w:rsidRDefault="00DA5570" w:rsidP="006B794C">
      <w:pPr>
        <w:suppressAutoHyphens/>
        <w:spacing w:line="240" w:lineRule="auto"/>
        <w:jc w:val="center"/>
        <w:rPr>
          <w:b/>
          <w:sz w:val="22"/>
          <w:szCs w:val="22"/>
        </w:rPr>
      </w:pPr>
    </w:p>
    <w:p w:rsidR="00DA5570" w:rsidRPr="0003372F" w:rsidRDefault="005E5725" w:rsidP="006B794C">
      <w:pPr>
        <w:suppressAutoHyphens/>
        <w:spacing w:line="240" w:lineRule="auto"/>
        <w:jc w:val="center"/>
        <w:rPr>
          <w:b/>
          <w:sz w:val="22"/>
          <w:szCs w:val="22"/>
        </w:rPr>
      </w:pPr>
      <w:r>
        <w:rPr>
          <w:b/>
          <w:sz w:val="22"/>
          <w:szCs w:val="22"/>
        </w:rPr>
        <w:t>Dated December 18</w:t>
      </w:r>
      <w:r w:rsidR="00DA5570" w:rsidRPr="0003372F">
        <w:rPr>
          <w:b/>
          <w:sz w:val="22"/>
          <w:szCs w:val="22"/>
        </w:rPr>
        <w:t>, 200</w:t>
      </w:r>
      <w:r>
        <w:rPr>
          <w:b/>
          <w:sz w:val="22"/>
          <w:szCs w:val="22"/>
        </w:rPr>
        <w:t>9</w:t>
      </w:r>
    </w:p>
    <w:p w:rsidR="00DA5570" w:rsidRPr="0003372F" w:rsidRDefault="00DA5570" w:rsidP="00DA5570">
      <w:pPr>
        <w:suppressAutoHyphens/>
        <w:spacing w:line="240" w:lineRule="auto"/>
        <w:jc w:val="right"/>
      </w:pPr>
      <w:r w:rsidRPr="0003372F">
        <w:br w:type="page"/>
      </w:r>
    </w:p>
    <w:p w:rsidR="006B794C" w:rsidRDefault="006B794C" w:rsidP="00DA5570">
      <w:pPr>
        <w:pStyle w:val="Title"/>
        <w:spacing w:line="240" w:lineRule="auto"/>
        <w:rPr>
          <w:sz w:val="22"/>
          <w:szCs w:val="22"/>
        </w:rPr>
        <w:sectPr w:rsidR="006B794C" w:rsidSect="006B794C">
          <w:headerReference w:type="even" r:id="rId7"/>
          <w:headerReference w:type="default" r:id="rId8"/>
          <w:pgSz w:w="12240" w:h="15840" w:code="1"/>
          <w:pgMar w:top="1440" w:right="2160" w:bottom="1440" w:left="2160" w:header="1440" w:footer="1440" w:gutter="0"/>
          <w:cols w:space="720"/>
          <w:titlePg/>
          <w:docGrid w:linePitch="360"/>
        </w:sectPr>
      </w:pPr>
    </w:p>
    <w:p w:rsidR="00DA5570" w:rsidRPr="006B794C" w:rsidRDefault="00DA5570" w:rsidP="00DA5570">
      <w:pPr>
        <w:pStyle w:val="Title"/>
        <w:spacing w:line="240" w:lineRule="auto"/>
        <w:rPr>
          <w:sz w:val="22"/>
          <w:szCs w:val="22"/>
        </w:rPr>
      </w:pPr>
      <w:r w:rsidRPr="006B794C">
        <w:rPr>
          <w:sz w:val="22"/>
          <w:szCs w:val="22"/>
        </w:rPr>
        <w:lastRenderedPageBreak/>
        <w:t>LOAN AGREEMENT</w:t>
      </w:r>
    </w:p>
    <w:p w:rsidR="00DA5570" w:rsidRPr="006B794C" w:rsidRDefault="00DA5570" w:rsidP="00DA5570">
      <w:pPr>
        <w:spacing w:line="240" w:lineRule="auto"/>
        <w:jc w:val="center"/>
        <w:rPr>
          <w:sz w:val="22"/>
          <w:szCs w:val="22"/>
        </w:rPr>
      </w:pPr>
    </w:p>
    <w:p w:rsidR="00DA5570" w:rsidRPr="006B794C" w:rsidRDefault="00DA5570" w:rsidP="00DA5570">
      <w:pPr>
        <w:spacing w:line="240" w:lineRule="auto"/>
        <w:jc w:val="both"/>
        <w:rPr>
          <w:sz w:val="22"/>
          <w:szCs w:val="22"/>
        </w:rPr>
      </w:pPr>
      <w:r w:rsidRPr="006B794C">
        <w:rPr>
          <w:sz w:val="22"/>
          <w:szCs w:val="22"/>
        </w:rPr>
        <w:t xml:space="preserve">Agreement dated </w:t>
      </w:r>
      <w:r w:rsidR="005E5725">
        <w:rPr>
          <w:sz w:val="22"/>
          <w:szCs w:val="22"/>
        </w:rPr>
        <w:t>December 18</w:t>
      </w:r>
      <w:r w:rsidRPr="006B794C">
        <w:rPr>
          <w:sz w:val="22"/>
          <w:szCs w:val="22"/>
        </w:rPr>
        <w:t>, 200</w:t>
      </w:r>
      <w:r w:rsidR="005E5725">
        <w:rPr>
          <w:sz w:val="22"/>
          <w:szCs w:val="22"/>
        </w:rPr>
        <w:t>9</w:t>
      </w:r>
      <w:r w:rsidRPr="006B794C">
        <w:rPr>
          <w:sz w:val="22"/>
          <w:szCs w:val="22"/>
        </w:rPr>
        <w:t xml:space="preserve">, entered into between REPUBLIC OF PERÚ (“Borrower”) and INTERNATIONAL BANK FOR RECONSTRUCTION AND DEVELOPMENT (“Bank”) for the purpose of providing financing in support of the Program (as defined in the Appendix to this Agreement).  The Bank has decided to provide this financing on the basis, </w:t>
      </w:r>
      <w:r w:rsidRPr="00934884">
        <w:rPr>
          <w:i/>
          <w:sz w:val="22"/>
          <w:szCs w:val="22"/>
        </w:rPr>
        <w:t>inter alia</w:t>
      </w:r>
      <w:r w:rsidRPr="006B794C">
        <w:rPr>
          <w:sz w:val="22"/>
          <w:szCs w:val="22"/>
        </w:rPr>
        <w:t>, of: (a) the actions which the Borrower has already taken under the Program and which are described in Section I of Schedule 1 to this Agreement; and (b) the Borrower’s maintenance of an appropriate macro-economic policy framework.  The Borrower and the Bank therefore hereby agree as follows:</w:t>
      </w:r>
    </w:p>
    <w:p w:rsidR="00DA5570" w:rsidRPr="006B794C" w:rsidRDefault="00DA5570" w:rsidP="00DA5570">
      <w:pPr>
        <w:pStyle w:val="Heading1"/>
        <w:spacing w:line="240" w:lineRule="auto"/>
        <w:rPr>
          <w:sz w:val="22"/>
          <w:szCs w:val="22"/>
        </w:rPr>
      </w:pPr>
    </w:p>
    <w:p w:rsidR="00DA5570" w:rsidRPr="006B794C" w:rsidRDefault="00DA5570" w:rsidP="00DA5570">
      <w:pPr>
        <w:pStyle w:val="Heading1"/>
        <w:spacing w:line="240" w:lineRule="auto"/>
        <w:rPr>
          <w:sz w:val="22"/>
          <w:szCs w:val="22"/>
        </w:rPr>
      </w:pPr>
      <w:r w:rsidRPr="006B794C">
        <w:rPr>
          <w:sz w:val="22"/>
          <w:szCs w:val="22"/>
        </w:rPr>
        <w:t>ARTICLE I — GENERAL CONDITIONS; DEFINITIONS</w:t>
      </w:r>
    </w:p>
    <w:p w:rsidR="00DA5570" w:rsidRPr="006B794C" w:rsidRDefault="00DA5570" w:rsidP="00DA5570">
      <w:pPr>
        <w:spacing w:line="240" w:lineRule="auto"/>
        <w:rPr>
          <w:sz w:val="22"/>
          <w:szCs w:val="22"/>
        </w:rPr>
      </w:pPr>
    </w:p>
    <w:p w:rsidR="00DA5570" w:rsidRPr="006B794C" w:rsidRDefault="00DA5570" w:rsidP="00DA5570">
      <w:pPr>
        <w:pStyle w:val="BodyText"/>
        <w:numPr>
          <w:ilvl w:val="1"/>
          <w:numId w:val="1"/>
        </w:numPr>
        <w:tabs>
          <w:tab w:val="clear" w:pos="1485"/>
          <w:tab w:val="num" w:pos="720"/>
        </w:tabs>
        <w:ind w:left="720" w:hanging="720"/>
        <w:rPr>
          <w:sz w:val="22"/>
          <w:szCs w:val="22"/>
        </w:rPr>
      </w:pPr>
      <w:r w:rsidRPr="006B794C">
        <w:rPr>
          <w:sz w:val="22"/>
          <w:szCs w:val="22"/>
        </w:rPr>
        <w:t>The General Conditions (as defined in the Appendix to this Agreement) constitute an integral part of this Agreement.</w:t>
      </w:r>
    </w:p>
    <w:p w:rsidR="00DA5570" w:rsidRPr="006B794C" w:rsidRDefault="00DA5570" w:rsidP="00DA5570">
      <w:pPr>
        <w:pStyle w:val="BodyText"/>
        <w:tabs>
          <w:tab w:val="num" w:pos="720"/>
        </w:tabs>
        <w:ind w:left="720" w:hanging="720"/>
        <w:rPr>
          <w:sz w:val="22"/>
          <w:szCs w:val="22"/>
        </w:rPr>
      </w:pPr>
    </w:p>
    <w:p w:rsidR="00DA5570" w:rsidRPr="006B794C" w:rsidRDefault="00DA5570" w:rsidP="00DA5570">
      <w:pPr>
        <w:pStyle w:val="BodyText"/>
        <w:numPr>
          <w:ilvl w:val="1"/>
          <w:numId w:val="1"/>
        </w:numPr>
        <w:tabs>
          <w:tab w:val="clear" w:pos="1485"/>
          <w:tab w:val="num" w:pos="720"/>
        </w:tabs>
        <w:ind w:left="720" w:hanging="720"/>
        <w:rPr>
          <w:sz w:val="22"/>
          <w:szCs w:val="22"/>
        </w:rPr>
      </w:pPr>
      <w:r w:rsidRPr="006B794C">
        <w:rPr>
          <w:sz w:val="22"/>
          <w:szCs w:val="22"/>
        </w:rPr>
        <w:t>Unless the context requires otherwise, the capitalized terms used in this Agreement have the meanings ascribed to them in the General Conditions or in the Appendix to this Agreement.</w:t>
      </w:r>
    </w:p>
    <w:p w:rsidR="00DA5570" w:rsidRPr="006B794C" w:rsidRDefault="00DA5570" w:rsidP="00DA5570">
      <w:pPr>
        <w:pStyle w:val="BodyText"/>
        <w:jc w:val="center"/>
        <w:rPr>
          <w:b/>
          <w:bCs/>
          <w:sz w:val="22"/>
          <w:szCs w:val="22"/>
        </w:rPr>
      </w:pPr>
    </w:p>
    <w:p w:rsidR="00DA5570" w:rsidRPr="006B794C" w:rsidRDefault="00DA5570" w:rsidP="00DA5570">
      <w:pPr>
        <w:pStyle w:val="BodyText"/>
        <w:jc w:val="center"/>
        <w:rPr>
          <w:b/>
          <w:bCs/>
          <w:sz w:val="22"/>
          <w:szCs w:val="22"/>
        </w:rPr>
      </w:pPr>
      <w:r w:rsidRPr="006B794C">
        <w:rPr>
          <w:b/>
          <w:bCs/>
          <w:sz w:val="22"/>
          <w:szCs w:val="22"/>
        </w:rPr>
        <w:t>ARTICLE II — LOAN</w:t>
      </w:r>
    </w:p>
    <w:p w:rsidR="00DA5570" w:rsidRPr="006B794C" w:rsidRDefault="00DA5570" w:rsidP="00DA5570">
      <w:pPr>
        <w:pStyle w:val="BodyText"/>
        <w:jc w:val="center"/>
        <w:rPr>
          <w:b/>
          <w:bCs/>
          <w:sz w:val="22"/>
          <w:szCs w:val="22"/>
        </w:rPr>
      </w:pPr>
    </w:p>
    <w:p w:rsidR="00DA5570" w:rsidRPr="006B794C" w:rsidRDefault="00DA5570" w:rsidP="00DA5570">
      <w:pPr>
        <w:pStyle w:val="BodyText"/>
        <w:ind w:left="720" w:hanging="720"/>
        <w:rPr>
          <w:sz w:val="22"/>
          <w:szCs w:val="22"/>
        </w:rPr>
      </w:pPr>
      <w:r w:rsidRPr="006B794C">
        <w:rPr>
          <w:sz w:val="22"/>
          <w:szCs w:val="22"/>
        </w:rPr>
        <w:t>2.01.</w:t>
      </w:r>
      <w:r w:rsidRPr="006B794C">
        <w:rPr>
          <w:sz w:val="22"/>
          <w:szCs w:val="22"/>
        </w:rPr>
        <w:tab/>
        <w:t>The Bank agrees to lend to the Borrower, on the terms and conditions set forth or referred to in this Agreement, the amount of fifty million Dollars ($50,000,000), as such amount may be converted from time to time through a Currency Conversion in accordance with the provisions of Section 2.07 of this Agreement (“Loan”).</w:t>
      </w:r>
    </w:p>
    <w:p w:rsidR="00DA5570" w:rsidRPr="006B794C" w:rsidRDefault="00DA5570" w:rsidP="00DA5570">
      <w:pPr>
        <w:pStyle w:val="BodyText"/>
        <w:tabs>
          <w:tab w:val="num" w:pos="720"/>
        </w:tabs>
        <w:ind w:left="720" w:hanging="720"/>
        <w:rPr>
          <w:sz w:val="22"/>
          <w:szCs w:val="22"/>
        </w:rPr>
      </w:pPr>
    </w:p>
    <w:p w:rsidR="00DA5570" w:rsidRPr="006B794C" w:rsidRDefault="00DA5570" w:rsidP="00DA5570">
      <w:pPr>
        <w:pStyle w:val="BodyText"/>
        <w:numPr>
          <w:ilvl w:val="1"/>
          <w:numId w:val="3"/>
        </w:numPr>
        <w:ind w:left="720" w:hanging="720"/>
        <w:rPr>
          <w:sz w:val="22"/>
          <w:szCs w:val="22"/>
        </w:rPr>
      </w:pPr>
      <w:r w:rsidRPr="006B794C">
        <w:rPr>
          <w:sz w:val="22"/>
          <w:szCs w:val="22"/>
        </w:rPr>
        <w:t>The Borrower may withdraw the proceeds of the Loan in support of the Program in accordance with Section II of Schedule 1 to this Agreement.</w:t>
      </w:r>
      <w:r w:rsidRPr="006B794C">
        <w:rPr>
          <w:rStyle w:val="FootnoteReference"/>
          <w:sz w:val="22"/>
          <w:szCs w:val="22"/>
        </w:rPr>
        <w:t xml:space="preserve"> </w:t>
      </w:r>
    </w:p>
    <w:p w:rsidR="00DA5570" w:rsidRPr="006B794C" w:rsidRDefault="00DA5570" w:rsidP="00DA5570">
      <w:pPr>
        <w:pStyle w:val="BodyText"/>
        <w:rPr>
          <w:sz w:val="22"/>
          <w:szCs w:val="22"/>
        </w:rPr>
      </w:pPr>
    </w:p>
    <w:p w:rsidR="00DA5570" w:rsidRDefault="00DA5570" w:rsidP="00DA5570">
      <w:pPr>
        <w:pStyle w:val="BodyText"/>
        <w:numPr>
          <w:ilvl w:val="1"/>
          <w:numId w:val="3"/>
        </w:numPr>
        <w:tabs>
          <w:tab w:val="clear" w:pos="930"/>
        </w:tabs>
        <w:ind w:left="720" w:hanging="720"/>
        <w:rPr>
          <w:sz w:val="22"/>
          <w:szCs w:val="22"/>
        </w:rPr>
      </w:pPr>
      <w:r w:rsidRPr="006B794C">
        <w:rPr>
          <w:sz w:val="22"/>
          <w:szCs w:val="22"/>
        </w:rPr>
        <w:t>The Front-end Fee payable by the Borrower shall be equal to one quarter of one percent (0.25%) of the Loan amount. The Borrower shall pay the Front-end Fee not later than sixty days after the Effective Date.</w:t>
      </w:r>
    </w:p>
    <w:p w:rsidR="006B794C" w:rsidRPr="006B794C" w:rsidRDefault="006B794C" w:rsidP="006B794C">
      <w:pPr>
        <w:pStyle w:val="BodyText"/>
        <w:rPr>
          <w:sz w:val="22"/>
          <w:szCs w:val="22"/>
        </w:rPr>
      </w:pPr>
    </w:p>
    <w:p w:rsidR="00DA5570" w:rsidRPr="006B794C" w:rsidRDefault="00DA5570" w:rsidP="00DA5570">
      <w:pPr>
        <w:pStyle w:val="BodyText"/>
        <w:numPr>
          <w:ilvl w:val="1"/>
          <w:numId w:val="3"/>
        </w:numPr>
        <w:tabs>
          <w:tab w:val="clear" w:pos="930"/>
        </w:tabs>
        <w:ind w:left="720" w:hanging="720"/>
        <w:rPr>
          <w:sz w:val="22"/>
          <w:szCs w:val="22"/>
        </w:rPr>
      </w:pPr>
      <w:r w:rsidRPr="006B794C">
        <w:rPr>
          <w:sz w:val="22"/>
          <w:szCs w:val="22"/>
        </w:rPr>
        <w:t>The interest payable by the Borrower for each Interest Period shall be at a rate equal to LIBOR for the Loan Currency plus the Variable Spread; provided, that upon a Conversion of all or any portion of the principal amount of the Loan, the interest payable by the Borrower during the Conversion Period on such amount shall be determined in accordance with the relevant provisions of Article IV of the General Conditions.  Notwithstanding the foregoing, if any amount of the Withdrawn Loan Balance remains unpaid when due and such non-payment continues for a period of thirty days, then the interest payable by the Borrower shall instead be calculated as provided in Section 3.02 (d) of the General Conditions.</w:t>
      </w:r>
    </w:p>
    <w:p w:rsidR="00DA5570" w:rsidRPr="006B794C" w:rsidRDefault="00DA5570" w:rsidP="00DA5570">
      <w:pPr>
        <w:pStyle w:val="BodyText"/>
        <w:numPr>
          <w:ilvl w:val="1"/>
          <w:numId w:val="3"/>
        </w:numPr>
        <w:ind w:left="720" w:hanging="720"/>
        <w:rPr>
          <w:sz w:val="22"/>
          <w:szCs w:val="22"/>
        </w:rPr>
      </w:pPr>
      <w:r w:rsidRPr="006B794C">
        <w:rPr>
          <w:sz w:val="22"/>
          <w:szCs w:val="22"/>
        </w:rPr>
        <w:lastRenderedPageBreak/>
        <w:t>The Payment Dates are March15 and September15 in each year.</w:t>
      </w:r>
    </w:p>
    <w:p w:rsidR="00DA5570" w:rsidRPr="006B794C" w:rsidRDefault="00DA5570" w:rsidP="00DA5570">
      <w:pPr>
        <w:pStyle w:val="BodyText"/>
        <w:ind w:left="720" w:hanging="720"/>
        <w:rPr>
          <w:sz w:val="22"/>
          <w:szCs w:val="22"/>
        </w:rPr>
      </w:pPr>
    </w:p>
    <w:p w:rsidR="00DA5570" w:rsidRPr="006B794C" w:rsidRDefault="00DA5570" w:rsidP="00DA5570">
      <w:pPr>
        <w:pStyle w:val="BodyText"/>
        <w:tabs>
          <w:tab w:val="left" w:pos="720"/>
        </w:tabs>
        <w:ind w:left="720" w:hanging="720"/>
        <w:rPr>
          <w:sz w:val="22"/>
          <w:szCs w:val="22"/>
        </w:rPr>
      </w:pPr>
      <w:r w:rsidRPr="006B794C">
        <w:rPr>
          <w:sz w:val="22"/>
          <w:szCs w:val="22"/>
        </w:rPr>
        <w:t>2.06.</w:t>
      </w:r>
      <w:r w:rsidRPr="006B794C">
        <w:rPr>
          <w:sz w:val="22"/>
          <w:szCs w:val="22"/>
        </w:rPr>
        <w:tab/>
        <w:t>The principal amount of the Loan shall be repaid in accordance with the provisions of Schedule 2 to this Agreement.</w:t>
      </w:r>
    </w:p>
    <w:p w:rsidR="00DA5570" w:rsidRPr="006B794C" w:rsidRDefault="00DA5570" w:rsidP="00DA5570">
      <w:pPr>
        <w:pStyle w:val="BodyText"/>
        <w:tabs>
          <w:tab w:val="left" w:pos="720"/>
        </w:tabs>
        <w:ind w:left="1440" w:hanging="1440"/>
        <w:rPr>
          <w:sz w:val="22"/>
          <w:szCs w:val="22"/>
        </w:rPr>
      </w:pPr>
    </w:p>
    <w:p w:rsidR="00DA5570" w:rsidRPr="006B794C" w:rsidRDefault="00DA5570" w:rsidP="00DA5570">
      <w:pPr>
        <w:pStyle w:val="BodyText"/>
        <w:tabs>
          <w:tab w:val="left" w:pos="720"/>
        </w:tabs>
        <w:ind w:left="1440" w:hanging="1440"/>
        <w:rPr>
          <w:sz w:val="22"/>
          <w:szCs w:val="22"/>
        </w:rPr>
      </w:pPr>
      <w:r w:rsidRPr="006B794C">
        <w:rPr>
          <w:sz w:val="22"/>
          <w:szCs w:val="22"/>
        </w:rPr>
        <w:t>2.07.</w:t>
      </w:r>
      <w:r w:rsidRPr="006B794C">
        <w:rPr>
          <w:sz w:val="22"/>
          <w:szCs w:val="22"/>
        </w:rPr>
        <w:tab/>
        <w:t>(a)</w:t>
      </w:r>
      <w:r w:rsidRPr="006B794C">
        <w:rPr>
          <w:sz w:val="22"/>
          <w:szCs w:val="22"/>
        </w:rPr>
        <w:tab/>
        <w:t>The Borrower may at any time request any of the following Conversions of the terms of the Loan in order to facilitate prudent debt management: (i) a change of the Loan Currency of all or any portion of the principal amount of the Loan, withdrawn or unwithdrawn, to an Approved Currency; (ii) a change of the interest rate basis applicable to all or any portion of the principal amount of the Loan withdrawn and outstanding from a Variable Rate to a Fixed Rate, or vice versa; and (iii) the setting of limits on the Variable Rate applicable to all or any portion of the principal amount of the Loan withdrawn and outstanding by the establishment of an Interest Rate Cap or Interest Rate Collar on the Variable Rate.</w:t>
      </w:r>
    </w:p>
    <w:p w:rsidR="00DA5570" w:rsidRPr="006B794C" w:rsidRDefault="00DA5570" w:rsidP="00DA5570">
      <w:pPr>
        <w:pStyle w:val="BodyText"/>
        <w:tabs>
          <w:tab w:val="left" w:pos="720"/>
        </w:tabs>
        <w:ind w:left="1440" w:hanging="1440"/>
        <w:rPr>
          <w:sz w:val="22"/>
          <w:szCs w:val="22"/>
        </w:rPr>
      </w:pPr>
    </w:p>
    <w:p w:rsidR="00DA5570" w:rsidRPr="006B794C" w:rsidRDefault="00DA5570" w:rsidP="00DA5570">
      <w:pPr>
        <w:pStyle w:val="BodyText"/>
        <w:ind w:left="1440" w:hanging="720"/>
        <w:rPr>
          <w:sz w:val="22"/>
          <w:szCs w:val="22"/>
        </w:rPr>
      </w:pPr>
      <w:r w:rsidRPr="006B794C">
        <w:rPr>
          <w:sz w:val="22"/>
          <w:szCs w:val="22"/>
        </w:rPr>
        <w:t>(b)</w:t>
      </w:r>
      <w:r w:rsidRPr="006B794C">
        <w:rPr>
          <w:sz w:val="22"/>
          <w:szCs w:val="22"/>
        </w:rPr>
        <w:tab/>
        <w:t xml:space="preserve">Any conversion requested pursuant to paragraph (a) of this Section that is accepted by the Bank shall be considered a “Conversion”, as defined in the General Conditions, and shall be effected in accordance with the provisions of Article IV of the General Conditions and of the Conversion Guidelines. </w:t>
      </w:r>
    </w:p>
    <w:p w:rsidR="00DA5570" w:rsidRPr="006B794C" w:rsidRDefault="00DA5570" w:rsidP="00DA5570">
      <w:pPr>
        <w:pStyle w:val="BodyText"/>
        <w:ind w:left="1440" w:hanging="720"/>
        <w:rPr>
          <w:sz w:val="22"/>
          <w:szCs w:val="22"/>
        </w:rPr>
      </w:pPr>
    </w:p>
    <w:p w:rsidR="00DA5570" w:rsidRPr="006B794C" w:rsidRDefault="00DA5570" w:rsidP="00DA5570">
      <w:pPr>
        <w:pStyle w:val="BodyText"/>
        <w:ind w:left="720" w:hanging="720"/>
        <w:rPr>
          <w:bCs/>
          <w:sz w:val="22"/>
          <w:szCs w:val="22"/>
        </w:rPr>
      </w:pPr>
      <w:r w:rsidRPr="006B794C">
        <w:rPr>
          <w:sz w:val="22"/>
          <w:szCs w:val="22"/>
        </w:rPr>
        <w:t>2.08.</w:t>
      </w:r>
      <w:r w:rsidRPr="006B794C">
        <w:rPr>
          <w:sz w:val="22"/>
          <w:szCs w:val="22"/>
        </w:rPr>
        <w:tab/>
      </w:r>
      <w:r w:rsidRPr="006B794C">
        <w:rPr>
          <w:bCs/>
          <w:sz w:val="22"/>
          <w:szCs w:val="22"/>
        </w:rPr>
        <w:t xml:space="preserve">Without limitation upon the provisions of Section 5.08 of the General Conditions (renumbered as such pursuant to paragraph 4 of Section II of the Appendix to this Agreement and relating to </w:t>
      </w:r>
      <w:r w:rsidRPr="006B794C">
        <w:rPr>
          <w:bCs/>
          <w:i/>
          <w:sz w:val="22"/>
          <w:szCs w:val="22"/>
        </w:rPr>
        <w:t>Cooperation and Consultation</w:t>
      </w:r>
      <w:r w:rsidRPr="006B794C">
        <w:rPr>
          <w:bCs/>
          <w:sz w:val="22"/>
          <w:szCs w:val="22"/>
        </w:rPr>
        <w:t>), the Borrower shall promptly furnish to the Bank such information relating to the provisions of this Article II as the Bank may, from time to time, reasonably request.</w:t>
      </w:r>
    </w:p>
    <w:p w:rsidR="00DA5570" w:rsidRPr="006B794C" w:rsidRDefault="00DA5570" w:rsidP="00DA5570">
      <w:pPr>
        <w:pStyle w:val="BodyText"/>
        <w:ind w:left="720" w:hanging="720"/>
        <w:rPr>
          <w:bCs/>
          <w:sz w:val="22"/>
          <w:szCs w:val="22"/>
        </w:rPr>
      </w:pPr>
    </w:p>
    <w:p w:rsidR="00DA5570" w:rsidRPr="006B794C" w:rsidRDefault="00DA5570" w:rsidP="00DA5570">
      <w:pPr>
        <w:pStyle w:val="BodyText"/>
        <w:ind w:left="720" w:hanging="720"/>
        <w:rPr>
          <w:bCs/>
          <w:sz w:val="22"/>
          <w:szCs w:val="22"/>
        </w:rPr>
      </w:pPr>
      <w:r w:rsidRPr="006B794C">
        <w:rPr>
          <w:bCs/>
          <w:sz w:val="22"/>
          <w:szCs w:val="22"/>
        </w:rPr>
        <w:t>2.09.</w:t>
      </w:r>
      <w:r w:rsidRPr="006B794C">
        <w:rPr>
          <w:bCs/>
          <w:sz w:val="22"/>
          <w:szCs w:val="22"/>
        </w:rPr>
        <w:tab/>
        <w:t>The Borrower’s Minister of Economy and Finance or the Borrower’s Director of Public Indebtedness, or any person whom any of them shall designate in writing, is designated as the representative of the Borrower for purposes of taking any action required or permitted to be taken under the provisions of Section 2.02 of this Agreement and Article II of the General Conditions.</w:t>
      </w:r>
    </w:p>
    <w:p w:rsidR="00DA5570" w:rsidRPr="006B794C" w:rsidRDefault="00DA5570" w:rsidP="00DA5570">
      <w:pPr>
        <w:pStyle w:val="BodyText"/>
        <w:rPr>
          <w:sz w:val="22"/>
          <w:szCs w:val="22"/>
        </w:rPr>
      </w:pPr>
    </w:p>
    <w:p w:rsidR="00DA5570" w:rsidRPr="006B794C" w:rsidRDefault="00DA5570" w:rsidP="00DA5570">
      <w:pPr>
        <w:pStyle w:val="BodyText"/>
        <w:jc w:val="center"/>
        <w:rPr>
          <w:b/>
          <w:bCs/>
          <w:sz w:val="22"/>
          <w:szCs w:val="22"/>
        </w:rPr>
      </w:pPr>
      <w:r w:rsidRPr="006B794C">
        <w:rPr>
          <w:b/>
          <w:bCs/>
          <w:sz w:val="22"/>
          <w:szCs w:val="22"/>
        </w:rPr>
        <w:t>ARTICLE III — PROGRAM</w:t>
      </w:r>
    </w:p>
    <w:p w:rsidR="00DA5570" w:rsidRPr="006B794C" w:rsidRDefault="00DA5570" w:rsidP="00DA5570">
      <w:pPr>
        <w:pStyle w:val="Story"/>
        <w:spacing w:line="240" w:lineRule="auto"/>
        <w:rPr>
          <w:sz w:val="22"/>
          <w:szCs w:val="22"/>
        </w:rPr>
      </w:pPr>
    </w:p>
    <w:p w:rsidR="00DA5570" w:rsidRPr="006B794C" w:rsidRDefault="00DA5570" w:rsidP="00DA5570">
      <w:pPr>
        <w:pStyle w:val="BodyText"/>
        <w:ind w:left="720" w:hanging="720"/>
        <w:rPr>
          <w:sz w:val="22"/>
          <w:szCs w:val="22"/>
        </w:rPr>
      </w:pPr>
      <w:r w:rsidRPr="006B794C">
        <w:rPr>
          <w:sz w:val="22"/>
          <w:szCs w:val="22"/>
        </w:rPr>
        <w:t>3.01</w:t>
      </w:r>
      <w:r w:rsidR="002E5405">
        <w:rPr>
          <w:sz w:val="22"/>
          <w:szCs w:val="22"/>
        </w:rPr>
        <w:t>.</w:t>
      </w:r>
      <w:r w:rsidRPr="006B794C">
        <w:rPr>
          <w:sz w:val="22"/>
          <w:szCs w:val="22"/>
        </w:rPr>
        <w:tab/>
        <w:t>The Borrower declares its commitment to the Program and its implementation.  To this end, and further to Section 5.08 of the General Conditions:</w:t>
      </w:r>
    </w:p>
    <w:p w:rsidR="00DA5570" w:rsidRPr="006B794C" w:rsidRDefault="00DA5570" w:rsidP="00DA5570">
      <w:pPr>
        <w:pStyle w:val="BodyText"/>
        <w:ind w:left="720" w:hanging="720"/>
        <w:rPr>
          <w:sz w:val="22"/>
          <w:szCs w:val="22"/>
        </w:rPr>
      </w:pPr>
    </w:p>
    <w:p w:rsidR="00DA5570" w:rsidRPr="006B794C" w:rsidRDefault="00DA5570" w:rsidP="00DA5570">
      <w:pPr>
        <w:pStyle w:val="BodyText"/>
        <w:ind w:left="1440" w:hanging="720"/>
        <w:rPr>
          <w:sz w:val="22"/>
          <w:szCs w:val="22"/>
        </w:rPr>
      </w:pPr>
      <w:r w:rsidRPr="006B794C">
        <w:rPr>
          <w:sz w:val="22"/>
          <w:szCs w:val="22"/>
        </w:rPr>
        <w:t>(a)</w:t>
      </w:r>
      <w:r w:rsidRPr="006B794C">
        <w:rPr>
          <w:sz w:val="22"/>
          <w:szCs w:val="22"/>
        </w:rPr>
        <w:tab/>
        <w:t>the Borrower and the Bank shall from time to time, at the request of either party, exchange views on progress achieved in carrying out the Program;</w:t>
      </w:r>
    </w:p>
    <w:p w:rsidR="00DA5570" w:rsidRPr="006B794C" w:rsidRDefault="00DA5570" w:rsidP="00DA5570">
      <w:pPr>
        <w:pStyle w:val="BodyText"/>
        <w:ind w:left="1440" w:hanging="720"/>
        <w:rPr>
          <w:sz w:val="22"/>
          <w:szCs w:val="22"/>
        </w:rPr>
      </w:pPr>
    </w:p>
    <w:p w:rsidR="00DA5570" w:rsidRPr="006B794C" w:rsidRDefault="00DA5570" w:rsidP="00DA5570">
      <w:pPr>
        <w:pStyle w:val="BodyText"/>
        <w:ind w:left="1440" w:hanging="720"/>
        <w:rPr>
          <w:sz w:val="22"/>
          <w:szCs w:val="22"/>
        </w:rPr>
      </w:pPr>
      <w:r w:rsidRPr="006B794C">
        <w:rPr>
          <w:sz w:val="22"/>
          <w:szCs w:val="22"/>
        </w:rPr>
        <w:lastRenderedPageBreak/>
        <w:t>(b)</w:t>
      </w:r>
      <w:r w:rsidRPr="006B794C">
        <w:rPr>
          <w:sz w:val="22"/>
          <w:szCs w:val="22"/>
        </w:rPr>
        <w:tab/>
        <w:t>prior to each such exchange of views, the Borrower shall furnish to the Bank for its review and comment a report on the progress achieved in carrying out the Program, in such detail as the Bank shall reasonably request; and</w:t>
      </w:r>
    </w:p>
    <w:p w:rsidR="00DA5570" w:rsidRPr="006B794C" w:rsidRDefault="00DA5570" w:rsidP="00DA5570">
      <w:pPr>
        <w:pStyle w:val="BodyText"/>
        <w:ind w:left="1440" w:hanging="720"/>
        <w:rPr>
          <w:sz w:val="22"/>
          <w:szCs w:val="22"/>
        </w:rPr>
      </w:pPr>
    </w:p>
    <w:p w:rsidR="00DA5570" w:rsidRPr="006B794C" w:rsidRDefault="00DA5570" w:rsidP="00DA5570">
      <w:pPr>
        <w:tabs>
          <w:tab w:val="num" w:pos="720"/>
        </w:tabs>
        <w:spacing w:line="240" w:lineRule="auto"/>
        <w:ind w:left="1440" w:hanging="720"/>
        <w:jc w:val="both"/>
        <w:rPr>
          <w:sz w:val="22"/>
          <w:szCs w:val="22"/>
        </w:rPr>
      </w:pPr>
      <w:r w:rsidRPr="006B794C">
        <w:rPr>
          <w:sz w:val="22"/>
          <w:szCs w:val="22"/>
        </w:rPr>
        <w:t>(c)</w:t>
      </w:r>
      <w:r w:rsidRPr="006B794C">
        <w:rPr>
          <w:sz w:val="22"/>
          <w:szCs w:val="22"/>
        </w:rPr>
        <w:tab/>
        <w:t>without limitation upon the provisions of paragraphs (a) and (b) of this Section, the Borrower shall promptly inform the Bank of any situation that would have the effect of materially reversing the objectives of the Program or any action taken under the Program, including any action specified in Section I of Schedule 1 to this Agreement.</w:t>
      </w:r>
    </w:p>
    <w:p w:rsidR="00DA5570" w:rsidRPr="006B794C" w:rsidRDefault="00DA5570" w:rsidP="00DA5570">
      <w:pPr>
        <w:pStyle w:val="Heading1"/>
        <w:spacing w:line="240" w:lineRule="auto"/>
        <w:ind w:left="1440" w:hanging="720"/>
        <w:rPr>
          <w:sz w:val="22"/>
          <w:szCs w:val="22"/>
        </w:rPr>
      </w:pPr>
    </w:p>
    <w:p w:rsidR="00DA5570" w:rsidRPr="006B794C" w:rsidRDefault="00DA5570" w:rsidP="00DA5570">
      <w:pPr>
        <w:pStyle w:val="Heading1"/>
        <w:spacing w:line="240" w:lineRule="auto"/>
        <w:rPr>
          <w:sz w:val="22"/>
          <w:szCs w:val="22"/>
        </w:rPr>
      </w:pPr>
      <w:r w:rsidRPr="006B794C">
        <w:rPr>
          <w:sz w:val="22"/>
          <w:szCs w:val="22"/>
        </w:rPr>
        <w:t>ARTICLE IV — REMEDIES OF THE BANK</w:t>
      </w:r>
    </w:p>
    <w:p w:rsidR="00DA5570" w:rsidRPr="006B794C" w:rsidRDefault="00DA5570" w:rsidP="00DA5570">
      <w:pPr>
        <w:spacing w:line="240" w:lineRule="auto"/>
        <w:jc w:val="center"/>
        <w:rPr>
          <w:sz w:val="22"/>
          <w:szCs w:val="22"/>
        </w:rPr>
      </w:pPr>
    </w:p>
    <w:p w:rsidR="00DA5570" w:rsidRPr="006B794C" w:rsidRDefault="00DA5570" w:rsidP="00DA5570">
      <w:pPr>
        <w:pStyle w:val="BodyText"/>
        <w:rPr>
          <w:sz w:val="22"/>
          <w:szCs w:val="22"/>
        </w:rPr>
      </w:pPr>
      <w:r w:rsidRPr="006B794C">
        <w:rPr>
          <w:sz w:val="22"/>
          <w:szCs w:val="22"/>
        </w:rPr>
        <w:t>4.01.</w:t>
      </w:r>
      <w:r w:rsidRPr="006B794C">
        <w:rPr>
          <w:sz w:val="22"/>
          <w:szCs w:val="22"/>
        </w:rPr>
        <w:tab/>
        <w:t>The Additional Events of Suspension consist of the following:</w:t>
      </w:r>
    </w:p>
    <w:p w:rsidR="00DA5570" w:rsidRPr="006B794C" w:rsidRDefault="00DA5570" w:rsidP="00DA5570">
      <w:pPr>
        <w:autoSpaceDE w:val="0"/>
        <w:autoSpaceDN w:val="0"/>
        <w:adjustRightInd w:val="0"/>
        <w:spacing w:line="240" w:lineRule="auto"/>
        <w:rPr>
          <w:sz w:val="22"/>
          <w:szCs w:val="22"/>
        </w:rPr>
      </w:pPr>
    </w:p>
    <w:p w:rsidR="00DA5570" w:rsidRPr="002E5405" w:rsidRDefault="00DA5570" w:rsidP="002E5405">
      <w:pPr>
        <w:pStyle w:val="ListParagraph"/>
        <w:numPr>
          <w:ilvl w:val="0"/>
          <w:numId w:val="8"/>
        </w:numPr>
        <w:autoSpaceDE w:val="0"/>
        <w:autoSpaceDN w:val="0"/>
        <w:adjustRightInd w:val="0"/>
        <w:spacing w:line="240" w:lineRule="auto"/>
        <w:ind w:left="1440" w:hanging="720"/>
        <w:jc w:val="both"/>
        <w:rPr>
          <w:sz w:val="22"/>
          <w:szCs w:val="22"/>
        </w:rPr>
      </w:pPr>
      <w:r w:rsidRPr="002E5405">
        <w:rPr>
          <w:sz w:val="22"/>
          <w:szCs w:val="22"/>
        </w:rPr>
        <w:t>A situation has arisen which shall make it improbable that the Program, or a significant part thereof, will be carried out.</w:t>
      </w:r>
    </w:p>
    <w:p w:rsidR="00DA5570" w:rsidRPr="006B794C" w:rsidRDefault="00DA5570" w:rsidP="00DA5570">
      <w:pPr>
        <w:autoSpaceDE w:val="0"/>
        <w:autoSpaceDN w:val="0"/>
        <w:adjustRightInd w:val="0"/>
        <w:spacing w:line="240" w:lineRule="auto"/>
        <w:jc w:val="both"/>
        <w:rPr>
          <w:sz w:val="22"/>
          <w:szCs w:val="22"/>
        </w:rPr>
      </w:pPr>
    </w:p>
    <w:p w:rsidR="00DA5570" w:rsidRPr="002E5405" w:rsidRDefault="00DA5570" w:rsidP="002E5405">
      <w:pPr>
        <w:pStyle w:val="ListParagraph"/>
        <w:numPr>
          <w:ilvl w:val="0"/>
          <w:numId w:val="8"/>
        </w:numPr>
        <w:autoSpaceDE w:val="0"/>
        <w:autoSpaceDN w:val="0"/>
        <w:adjustRightInd w:val="0"/>
        <w:spacing w:line="240" w:lineRule="auto"/>
        <w:ind w:left="1440" w:hanging="720"/>
        <w:jc w:val="both"/>
        <w:rPr>
          <w:sz w:val="22"/>
          <w:szCs w:val="22"/>
        </w:rPr>
      </w:pPr>
      <w:r w:rsidRPr="002E5405">
        <w:rPr>
          <w:sz w:val="22"/>
          <w:szCs w:val="22"/>
        </w:rPr>
        <w:t>The Borrower's macroeconomic policy framework has become inconsistent with the objectives of the Program.</w:t>
      </w:r>
    </w:p>
    <w:p w:rsidR="00DA5570" w:rsidRPr="006B794C" w:rsidRDefault="00DA5570" w:rsidP="00DA5570">
      <w:pPr>
        <w:autoSpaceDE w:val="0"/>
        <w:autoSpaceDN w:val="0"/>
        <w:adjustRightInd w:val="0"/>
        <w:spacing w:line="240" w:lineRule="auto"/>
        <w:jc w:val="both"/>
        <w:rPr>
          <w:sz w:val="22"/>
          <w:szCs w:val="22"/>
        </w:rPr>
      </w:pPr>
    </w:p>
    <w:p w:rsidR="00DA5570" w:rsidRPr="002E5405" w:rsidRDefault="00DA5570" w:rsidP="002E5405">
      <w:pPr>
        <w:pStyle w:val="ListParagraph"/>
        <w:numPr>
          <w:ilvl w:val="0"/>
          <w:numId w:val="8"/>
        </w:numPr>
        <w:autoSpaceDE w:val="0"/>
        <w:autoSpaceDN w:val="0"/>
        <w:adjustRightInd w:val="0"/>
        <w:spacing w:line="240" w:lineRule="auto"/>
        <w:ind w:left="1440" w:hanging="720"/>
        <w:jc w:val="both"/>
        <w:rPr>
          <w:sz w:val="22"/>
          <w:szCs w:val="22"/>
        </w:rPr>
      </w:pPr>
      <w:r w:rsidRPr="002E5405">
        <w:rPr>
          <w:sz w:val="22"/>
          <w:szCs w:val="22"/>
        </w:rPr>
        <w:t>An action has been taken or a policy has been adopted to reverse any action or policy under the Program (including any action listed in Section I of Schedule 1to this Agreement) in a manner that would adversely affect the achievement of the objectives of the Program.</w:t>
      </w:r>
    </w:p>
    <w:p w:rsidR="00DA5570" w:rsidRPr="006B794C" w:rsidRDefault="00DA5570" w:rsidP="00DA5570">
      <w:pPr>
        <w:pStyle w:val="BodyText"/>
        <w:rPr>
          <w:sz w:val="22"/>
          <w:szCs w:val="22"/>
        </w:rPr>
      </w:pPr>
    </w:p>
    <w:p w:rsidR="00DA5570" w:rsidRPr="006B794C" w:rsidRDefault="00DA5570" w:rsidP="00DA5570">
      <w:pPr>
        <w:pStyle w:val="BodyText"/>
        <w:jc w:val="center"/>
        <w:rPr>
          <w:b/>
          <w:bCs/>
          <w:sz w:val="22"/>
          <w:szCs w:val="22"/>
        </w:rPr>
      </w:pPr>
      <w:r w:rsidRPr="006B794C">
        <w:rPr>
          <w:b/>
          <w:bCs/>
          <w:sz w:val="22"/>
          <w:szCs w:val="22"/>
        </w:rPr>
        <w:t>ARTICLE V — TERMINATION</w:t>
      </w:r>
    </w:p>
    <w:p w:rsidR="00DA5570" w:rsidRPr="006B794C" w:rsidRDefault="00DA5570" w:rsidP="00DA5570">
      <w:pPr>
        <w:pStyle w:val="BodyText"/>
        <w:jc w:val="center"/>
        <w:rPr>
          <w:sz w:val="22"/>
          <w:szCs w:val="22"/>
        </w:rPr>
      </w:pPr>
    </w:p>
    <w:p w:rsidR="00DA5570" w:rsidRPr="006B794C" w:rsidRDefault="00DA5570" w:rsidP="002E5405">
      <w:pPr>
        <w:pStyle w:val="BodyText"/>
        <w:ind w:left="720" w:hanging="720"/>
        <w:rPr>
          <w:sz w:val="22"/>
          <w:szCs w:val="22"/>
        </w:rPr>
      </w:pPr>
      <w:r w:rsidRPr="006B794C">
        <w:rPr>
          <w:sz w:val="22"/>
          <w:szCs w:val="22"/>
        </w:rPr>
        <w:t>5.01.</w:t>
      </w:r>
      <w:r w:rsidRPr="006B794C">
        <w:rPr>
          <w:sz w:val="22"/>
          <w:szCs w:val="22"/>
        </w:rPr>
        <w:tab/>
        <w:t xml:space="preserve">Without prejudice to the provisions of the General Conditions, the Effectiveness Deadline is the date ninety (90) days after the date of this Agreement, but in no case later than the eighteen (18) months after the Bank’s approval of the Loan which expire on </w:t>
      </w:r>
      <w:r w:rsidR="009C3E8F">
        <w:rPr>
          <w:sz w:val="22"/>
          <w:szCs w:val="22"/>
        </w:rPr>
        <w:t>June 8, 2011</w:t>
      </w:r>
      <w:r w:rsidRPr="006B794C">
        <w:rPr>
          <w:sz w:val="22"/>
          <w:szCs w:val="22"/>
        </w:rPr>
        <w:t>.</w:t>
      </w:r>
    </w:p>
    <w:p w:rsidR="00DA5570" w:rsidRPr="006B794C" w:rsidRDefault="00DA5570" w:rsidP="00DA5570">
      <w:pPr>
        <w:pStyle w:val="BodyText"/>
        <w:rPr>
          <w:sz w:val="22"/>
          <w:szCs w:val="22"/>
        </w:rPr>
      </w:pPr>
    </w:p>
    <w:p w:rsidR="00DA5570" w:rsidRPr="006B794C" w:rsidRDefault="00DA5570" w:rsidP="00DA5570">
      <w:pPr>
        <w:pStyle w:val="BodyText"/>
        <w:jc w:val="center"/>
        <w:rPr>
          <w:sz w:val="22"/>
          <w:szCs w:val="22"/>
        </w:rPr>
      </w:pPr>
      <w:r w:rsidRPr="006B794C">
        <w:rPr>
          <w:b/>
          <w:bCs/>
          <w:sz w:val="22"/>
          <w:szCs w:val="22"/>
        </w:rPr>
        <w:t>ARTICLE VI — REPRESENTATIVE; ADDRESSES</w:t>
      </w:r>
    </w:p>
    <w:p w:rsidR="00DA5570" w:rsidRPr="006B794C" w:rsidRDefault="00DA5570" w:rsidP="00DA5570">
      <w:pPr>
        <w:pStyle w:val="BodyText"/>
        <w:jc w:val="center"/>
        <w:rPr>
          <w:sz w:val="22"/>
          <w:szCs w:val="22"/>
        </w:rPr>
      </w:pPr>
    </w:p>
    <w:p w:rsidR="00DA5570" w:rsidRDefault="00DA5570" w:rsidP="00753323">
      <w:pPr>
        <w:pStyle w:val="BodyText"/>
        <w:ind w:left="720" w:hanging="720"/>
        <w:rPr>
          <w:sz w:val="22"/>
          <w:szCs w:val="22"/>
        </w:rPr>
      </w:pPr>
      <w:r w:rsidRPr="006B794C">
        <w:rPr>
          <w:sz w:val="22"/>
          <w:szCs w:val="22"/>
        </w:rPr>
        <w:t>6.01.</w:t>
      </w:r>
      <w:r w:rsidRPr="006B794C">
        <w:rPr>
          <w:sz w:val="22"/>
          <w:szCs w:val="22"/>
        </w:rPr>
        <w:tab/>
        <w:t>Except as provided in Section 2.09 of this Agreement, the Borrower’s representative is its Minister of Economy and Finance, provided that the Borrower’s Director of Public Indebtedness may, by him or herself, represent the Borrower to sign amendments to this Agreement which are considered of an administrative and non-financial nature.  The signing by such Director of an amendment shall constitute a representation by the Borrower that any such amendment is considered to be administrative and non-financial in nature.</w:t>
      </w:r>
    </w:p>
    <w:p w:rsidR="00753323" w:rsidRDefault="00753323" w:rsidP="00753323">
      <w:pPr>
        <w:pStyle w:val="BodyText"/>
        <w:ind w:left="720" w:hanging="720"/>
        <w:rPr>
          <w:sz w:val="22"/>
          <w:szCs w:val="22"/>
        </w:rPr>
      </w:pPr>
    </w:p>
    <w:p w:rsidR="005E5725" w:rsidRDefault="005E5725">
      <w:pPr>
        <w:spacing w:after="200" w:line="276" w:lineRule="auto"/>
        <w:rPr>
          <w:sz w:val="22"/>
          <w:szCs w:val="22"/>
        </w:rPr>
      </w:pPr>
      <w:r>
        <w:rPr>
          <w:sz w:val="22"/>
          <w:szCs w:val="22"/>
        </w:rPr>
        <w:br w:type="page"/>
      </w:r>
    </w:p>
    <w:p w:rsidR="00DA5570" w:rsidRPr="006B794C" w:rsidRDefault="00DA5570" w:rsidP="00DA5570">
      <w:pPr>
        <w:pStyle w:val="BodyText"/>
        <w:rPr>
          <w:sz w:val="22"/>
          <w:szCs w:val="22"/>
        </w:rPr>
      </w:pPr>
      <w:r w:rsidRPr="006B794C">
        <w:rPr>
          <w:sz w:val="22"/>
          <w:szCs w:val="22"/>
        </w:rPr>
        <w:lastRenderedPageBreak/>
        <w:t>6.02.</w:t>
      </w:r>
      <w:r w:rsidRPr="006B794C">
        <w:rPr>
          <w:sz w:val="22"/>
          <w:szCs w:val="22"/>
        </w:rPr>
        <w:tab/>
        <w:t>The Borrower’s Address is:</w:t>
      </w:r>
    </w:p>
    <w:p w:rsidR="00DA5570" w:rsidRPr="006B794C" w:rsidRDefault="00DA5570" w:rsidP="00DA5570">
      <w:pPr>
        <w:pStyle w:val="BodyText"/>
        <w:ind w:left="720"/>
        <w:rPr>
          <w:sz w:val="22"/>
          <w:szCs w:val="22"/>
        </w:rPr>
      </w:pPr>
    </w:p>
    <w:p w:rsidR="00DA5570" w:rsidRPr="006B794C" w:rsidRDefault="00DA5570" w:rsidP="00DA5570">
      <w:pPr>
        <w:pStyle w:val="BodyText"/>
        <w:ind w:left="720"/>
        <w:rPr>
          <w:sz w:val="22"/>
          <w:szCs w:val="22"/>
        </w:rPr>
      </w:pPr>
      <w:r w:rsidRPr="006B794C">
        <w:rPr>
          <w:sz w:val="22"/>
          <w:szCs w:val="22"/>
        </w:rPr>
        <w:t>Ministry of Economy and Finance</w:t>
      </w:r>
    </w:p>
    <w:p w:rsidR="00DA5570" w:rsidRPr="009C3E8F" w:rsidRDefault="00DA5570" w:rsidP="00DA5570">
      <w:pPr>
        <w:pStyle w:val="BodyText"/>
        <w:ind w:left="720"/>
        <w:rPr>
          <w:sz w:val="22"/>
          <w:szCs w:val="22"/>
          <w:lang w:val="es-US"/>
        </w:rPr>
      </w:pPr>
      <w:r w:rsidRPr="009C3E8F">
        <w:rPr>
          <w:sz w:val="22"/>
          <w:szCs w:val="22"/>
          <w:lang w:val="es-US"/>
        </w:rPr>
        <w:t>Jr. Junín 319</w:t>
      </w:r>
    </w:p>
    <w:p w:rsidR="00DA5570" w:rsidRPr="009C3E8F" w:rsidRDefault="00DA5570" w:rsidP="00DA5570">
      <w:pPr>
        <w:pStyle w:val="BodyText"/>
        <w:ind w:left="720"/>
        <w:rPr>
          <w:sz w:val="22"/>
          <w:szCs w:val="22"/>
          <w:lang w:val="es-US"/>
        </w:rPr>
      </w:pPr>
      <w:r w:rsidRPr="009C3E8F">
        <w:rPr>
          <w:sz w:val="22"/>
          <w:szCs w:val="22"/>
          <w:lang w:val="es-US"/>
        </w:rPr>
        <w:t>Lima, Perú</w:t>
      </w:r>
    </w:p>
    <w:p w:rsidR="00DA5570" w:rsidRPr="009C3E8F" w:rsidRDefault="00DA5570" w:rsidP="00DA5570">
      <w:pPr>
        <w:pStyle w:val="BodyText"/>
        <w:ind w:left="720"/>
        <w:rPr>
          <w:sz w:val="22"/>
          <w:szCs w:val="22"/>
          <w:lang w:val="es-US"/>
        </w:rPr>
      </w:pPr>
    </w:p>
    <w:p w:rsidR="00DA5570" w:rsidRPr="009C3E8F" w:rsidRDefault="00DA5570" w:rsidP="00DA5570">
      <w:pPr>
        <w:pStyle w:val="BodyText"/>
        <w:ind w:left="720"/>
        <w:rPr>
          <w:sz w:val="22"/>
          <w:szCs w:val="22"/>
          <w:lang w:val="es-US"/>
        </w:rPr>
      </w:pPr>
      <w:r w:rsidRPr="009C3E8F">
        <w:rPr>
          <w:sz w:val="22"/>
          <w:szCs w:val="22"/>
          <w:lang w:val="es-US"/>
        </w:rPr>
        <w:t>Facsimile:</w:t>
      </w:r>
      <w:r w:rsidRPr="009C3E8F">
        <w:rPr>
          <w:sz w:val="22"/>
          <w:szCs w:val="22"/>
          <w:lang w:val="es-US"/>
        </w:rPr>
        <w:tab/>
        <w:t>(511) 626-9921</w:t>
      </w:r>
    </w:p>
    <w:p w:rsidR="00DA5570" w:rsidRPr="009C3E8F" w:rsidRDefault="00DA5570" w:rsidP="00DA5570">
      <w:pPr>
        <w:pStyle w:val="BodyText"/>
        <w:ind w:left="720"/>
        <w:rPr>
          <w:sz w:val="22"/>
          <w:szCs w:val="22"/>
          <w:lang w:val="es-US"/>
        </w:rPr>
      </w:pPr>
    </w:p>
    <w:p w:rsidR="00DA5570" w:rsidRPr="009C3E8F" w:rsidRDefault="00DA5570" w:rsidP="00DA5570">
      <w:pPr>
        <w:pStyle w:val="BodyText"/>
        <w:rPr>
          <w:sz w:val="22"/>
          <w:szCs w:val="22"/>
          <w:lang w:val="es-US"/>
        </w:rPr>
      </w:pPr>
    </w:p>
    <w:p w:rsidR="00DA5570" w:rsidRPr="006B794C" w:rsidRDefault="00DA5570" w:rsidP="00DA5570">
      <w:pPr>
        <w:pStyle w:val="BodyText"/>
        <w:rPr>
          <w:sz w:val="22"/>
          <w:szCs w:val="22"/>
        </w:rPr>
      </w:pPr>
      <w:r w:rsidRPr="00CE3B4C">
        <w:rPr>
          <w:sz w:val="22"/>
          <w:szCs w:val="22"/>
        </w:rPr>
        <w:t>6.03.</w:t>
      </w:r>
      <w:r w:rsidRPr="00CE3B4C">
        <w:rPr>
          <w:sz w:val="22"/>
          <w:szCs w:val="22"/>
        </w:rPr>
        <w:tab/>
      </w:r>
      <w:r w:rsidRPr="006B794C">
        <w:rPr>
          <w:sz w:val="22"/>
          <w:szCs w:val="22"/>
        </w:rPr>
        <w:t>The Bank’s Address is:</w:t>
      </w:r>
    </w:p>
    <w:p w:rsidR="00DA5570" w:rsidRPr="006B794C" w:rsidRDefault="00DA5570" w:rsidP="00DA5570">
      <w:pPr>
        <w:pStyle w:val="BodyText"/>
        <w:ind w:left="720"/>
        <w:rPr>
          <w:sz w:val="22"/>
          <w:szCs w:val="22"/>
        </w:rPr>
      </w:pPr>
    </w:p>
    <w:p w:rsidR="00DA5570" w:rsidRPr="006B794C" w:rsidRDefault="00DA5570" w:rsidP="00DA5570">
      <w:pPr>
        <w:pStyle w:val="BodyText"/>
        <w:ind w:left="720"/>
        <w:rPr>
          <w:sz w:val="22"/>
          <w:szCs w:val="22"/>
        </w:rPr>
      </w:pPr>
      <w:r w:rsidRPr="006B794C">
        <w:rPr>
          <w:sz w:val="22"/>
          <w:szCs w:val="22"/>
        </w:rPr>
        <w:t>International Bank for Reconstruction and Development</w:t>
      </w:r>
    </w:p>
    <w:p w:rsidR="00DA5570" w:rsidRPr="006B794C" w:rsidRDefault="00DA5570" w:rsidP="00DA5570">
      <w:pPr>
        <w:pStyle w:val="BodyText"/>
        <w:ind w:left="720"/>
        <w:rPr>
          <w:sz w:val="22"/>
          <w:szCs w:val="22"/>
        </w:rPr>
      </w:pPr>
      <w:r w:rsidRPr="006B794C">
        <w:rPr>
          <w:sz w:val="22"/>
          <w:szCs w:val="22"/>
        </w:rPr>
        <w:t>1818 H Street, N.W.</w:t>
      </w:r>
    </w:p>
    <w:p w:rsidR="00DA5570" w:rsidRPr="006B794C" w:rsidRDefault="00DA5570" w:rsidP="00DA5570">
      <w:pPr>
        <w:pStyle w:val="BodyText"/>
        <w:ind w:left="720"/>
        <w:rPr>
          <w:sz w:val="22"/>
          <w:szCs w:val="22"/>
        </w:rPr>
      </w:pPr>
      <w:r w:rsidRPr="006B794C">
        <w:rPr>
          <w:sz w:val="22"/>
          <w:szCs w:val="22"/>
        </w:rPr>
        <w:t>Washington, D.C. 20433</w:t>
      </w:r>
    </w:p>
    <w:p w:rsidR="00DA5570" w:rsidRPr="006B794C" w:rsidRDefault="00DA5570" w:rsidP="00DA5570">
      <w:pPr>
        <w:pStyle w:val="BodyText"/>
        <w:ind w:left="720"/>
        <w:rPr>
          <w:sz w:val="22"/>
          <w:szCs w:val="22"/>
        </w:rPr>
      </w:pPr>
      <w:r w:rsidRPr="006B794C">
        <w:rPr>
          <w:sz w:val="22"/>
          <w:szCs w:val="22"/>
        </w:rPr>
        <w:t>United States of America</w:t>
      </w:r>
    </w:p>
    <w:p w:rsidR="00DA5570" w:rsidRPr="006B794C" w:rsidRDefault="00DA5570" w:rsidP="00DA5570">
      <w:pPr>
        <w:pStyle w:val="BodyText"/>
        <w:ind w:left="720"/>
        <w:rPr>
          <w:sz w:val="22"/>
          <w:szCs w:val="22"/>
        </w:rPr>
      </w:pPr>
    </w:p>
    <w:p w:rsidR="00DA5570" w:rsidRPr="006B794C" w:rsidRDefault="00DA5570" w:rsidP="00DA5570">
      <w:pPr>
        <w:pStyle w:val="BodyText"/>
        <w:ind w:left="720"/>
        <w:rPr>
          <w:sz w:val="22"/>
          <w:szCs w:val="22"/>
        </w:rPr>
      </w:pPr>
      <w:r w:rsidRPr="006B794C">
        <w:rPr>
          <w:sz w:val="22"/>
          <w:szCs w:val="22"/>
        </w:rPr>
        <w:t>Cable address:</w:t>
      </w:r>
      <w:r w:rsidRPr="006B794C">
        <w:rPr>
          <w:sz w:val="22"/>
          <w:szCs w:val="22"/>
        </w:rPr>
        <w:tab/>
      </w:r>
      <w:r w:rsidRPr="006B794C">
        <w:rPr>
          <w:sz w:val="22"/>
          <w:szCs w:val="22"/>
        </w:rPr>
        <w:tab/>
        <w:t>Telex:</w:t>
      </w:r>
      <w:r w:rsidRPr="006B794C">
        <w:rPr>
          <w:sz w:val="22"/>
          <w:szCs w:val="22"/>
        </w:rPr>
        <w:tab/>
      </w:r>
      <w:r w:rsidRPr="006B794C">
        <w:rPr>
          <w:sz w:val="22"/>
          <w:szCs w:val="22"/>
        </w:rPr>
        <w:tab/>
      </w:r>
      <w:r w:rsidRPr="006B794C">
        <w:rPr>
          <w:sz w:val="22"/>
          <w:szCs w:val="22"/>
        </w:rPr>
        <w:tab/>
        <w:t>Facsimile:</w:t>
      </w:r>
    </w:p>
    <w:p w:rsidR="00DA5570" w:rsidRPr="006B794C" w:rsidRDefault="00DA5570" w:rsidP="00DA5570">
      <w:pPr>
        <w:pStyle w:val="BodyText"/>
        <w:ind w:left="720"/>
        <w:rPr>
          <w:sz w:val="22"/>
          <w:szCs w:val="22"/>
        </w:rPr>
      </w:pPr>
    </w:p>
    <w:p w:rsidR="00DA5570" w:rsidRPr="006B794C" w:rsidRDefault="00DA5570" w:rsidP="00DA5570">
      <w:pPr>
        <w:pStyle w:val="BodyText"/>
        <w:ind w:left="720"/>
        <w:rPr>
          <w:sz w:val="22"/>
          <w:szCs w:val="22"/>
        </w:rPr>
      </w:pPr>
      <w:r w:rsidRPr="006B794C">
        <w:rPr>
          <w:sz w:val="22"/>
          <w:szCs w:val="22"/>
        </w:rPr>
        <w:t>INTBAFRAD</w:t>
      </w:r>
      <w:r w:rsidRPr="006B794C">
        <w:rPr>
          <w:sz w:val="22"/>
          <w:szCs w:val="22"/>
        </w:rPr>
        <w:tab/>
      </w:r>
      <w:r w:rsidRPr="006B794C">
        <w:rPr>
          <w:sz w:val="22"/>
          <w:szCs w:val="22"/>
        </w:rPr>
        <w:tab/>
        <w:t>248423(MCI) or</w:t>
      </w:r>
      <w:r w:rsidRPr="006B794C">
        <w:rPr>
          <w:sz w:val="22"/>
          <w:szCs w:val="22"/>
        </w:rPr>
        <w:tab/>
        <w:t>1-202-477-6391</w:t>
      </w:r>
    </w:p>
    <w:p w:rsidR="00DA5570" w:rsidRPr="006B794C" w:rsidRDefault="00DA5570" w:rsidP="00DA5570">
      <w:pPr>
        <w:pStyle w:val="BodyText"/>
        <w:ind w:left="720"/>
        <w:rPr>
          <w:sz w:val="22"/>
          <w:szCs w:val="22"/>
        </w:rPr>
      </w:pPr>
      <w:r w:rsidRPr="006B794C">
        <w:rPr>
          <w:sz w:val="22"/>
          <w:szCs w:val="22"/>
        </w:rPr>
        <w:t>Washington, D.C.</w:t>
      </w:r>
      <w:r w:rsidRPr="006B794C">
        <w:rPr>
          <w:sz w:val="22"/>
          <w:szCs w:val="22"/>
        </w:rPr>
        <w:tab/>
        <w:t xml:space="preserve"> 64145(MCI)</w:t>
      </w:r>
    </w:p>
    <w:p w:rsidR="00DA5570" w:rsidRPr="006B794C" w:rsidRDefault="00DA5570" w:rsidP="00DA5570">
      <w:pPr>
        <w:pStyle w:val="BodyText"/>
        <w:ind w:left="720"/>
        <w:rPr>
          <w:sz w:val="22"/>
          <w:szCs w:val="22"/>
        </w:rPr>
      </w:pPr>
      <w:r w:rsidRPr="006B794C">
        <w:rPr>
          <w:sz w:val="22"/>
          <w:szCs w:val="22"/>
        </w:rPr>
        <w:br w:type="page"/>
      </w:r>
    </w:p>
    <w:p w:rsidR="00DA5570" w:rsidRPr="006B794C" w:rsidRDefault="00DA5570" w:rsidP="00DA5570">
      <w:pPr>
        <w:pStyle w:val="BodyText"/>
        <w:rPr>
          <w:sz w:val="22"/>
          <w:szCs w:val="22"/>
        </w:rPr>
      </w:pPr>
      <w:proofErr w:type="gramStart"/>
      <w:r w:rsidRPr="006B794C">
        <w:rPr>
          <w:sz w:val="22"/>
          <w:szCs w:val="22"/>
        </w:rPr>
        <w:lastRenderedPageBreak/>
        <w:t>A</w:t>
      </w:r>
      <w:r w:rsidR="00753323">
        <w:rPr>
          <w:sz w:val="22"/>
          <w:szCs w:val="22"/>
        </w:rPr>
        <w:t xml:space="preserve">GREED at </w:t>
      </w:r>
      <w:r w:rsidR="005E5725">
        <w:rPr>
          <w:sz w:val="22"/>
          <w:szCs w:val="22"/>
        </w:rPr>
        <w:t>Lima, Peru</w:t>
      </w:r>
      <w:r w:rsidRPr="006B794C">
        <w:rPr>
          <w:sz w:val="22"/>
          <w:szCs w:val="22"/>
        </w:rPr>
        <w:t>, as of the day and year first above written.</w:t>
      </w:r>
      <w:proofErr w:type="gramEnd"/>
    </w:p>
    <w:p w:rsidR="00DA5570" w:rsidRPr="006B794C" w:rsidRDefault="00DA5570" w:rsidP="00DA5570">
      <w:pPr>
        <w:pStyle w:val="BodyText"/>
        <w:rPr>
          <w:sz w:val="22"/>
          <w:szCs w:val="22"/>
        </w:rPr>
      </w:pPr>
    </w:p>
    <w:p w:rsidR="00DA5570" w:rsidRPr="006B794C" w:rsidRDefault="00DA5570" w:rsidP="00DA5570">
      <w:pPr>
        <w:pStyle w:val="BodyText"/>
        <w:rPr>
          <w:sz w:val="22"/>
          <w:szCs w:val="22"/>
        </w:rPr>
      </w:pPr>
    </w:p>
    <w:p w:rsidR="00DA5570" w:rsidRPr="006B794C" w:rsidRDefault="00DA5570" w:rsidP="00DA5570">
      <w:pPr>
        <w:pStyle w:val="BodyText"/>
        <w:rPr>
          <w:sz w:val="22"/>
          <w:szCs w:val="22"/>
        </w:rPr>
      </w:pPr>
    </w:p>
    <w:p w:rsidR="00DA5570" w:rsidRPr="006B794C" w:rsidRDefault="00DA5570" w:rsidP="00DA5570">
      <w:pPr>
        <w:pStyle w:val="BodyText"/>
        <w:rPr>
          <w:sz w:val="22"/>
          <w:szCs w:val="22"/>
        </w:rPr>
      </w:pPr>
    </w:p>
    <w:p w:rsidR="00DA5570" w:rsidRPr="006B794C" w:rsidRDefault="00DA5570" w:rsidP="00DA5570">
      <w:pPr>
        <w:pStyle w:val="BodyText"/>
        <w:ind w:left="2160" w:firstLine="720"/>
        <w:rPr>
          <w:b/>
          <w:sz w:val="22"/>
          <w:szCs w:val="22"/>
        </w:rPr>
      </w:pPr>
      <w:r w:rsidRPr="006B794C">
        <w:rPr>
          <w:b/>
          <w:sz w:val="22"/>
          <w:szCs w:val="22"/>
        </w:rPr>
        <w:t>REPUBLIC OF PERÚ</w:t>
      </w:r>
    </w:p>
    <w:p w:rsidR="00DA5570" w:rsidRPr="006B794C" w:rsidRDefault="00DA5570" w:rsidP="00DA5570">
      <w:pPr>
        <w:pStyle w:val="BodyText"/>
        <w:rPr>
          <w:b/>
          <w:sz w:val="22"/>
          <w:szCs w:val="22"/>
        </w:rPr>
      </w:pPr>
    </w:p>
    <w:p w:rsidR="00DA5570" w:rsidRPr="006B794C" w:rsidRDefault="00DA5570" w:rsidP="00DA5570">
      <w:pPr>
        <w:pStyle w:val="BodyText"/>
        <w:rPr>
          <w:b/>
          <w:sz w:val="22"/>
          <w:szCs w:val="22"/>
        </w:rPr>
      </w:pPr>
    </w:p>
    <w:p w:rsidR="00DA5570" w:rsidRPr="006B794C" w:rsidRDefault="00DA5570" w:rsidP="00DA5570">
      <w:pPr>
        <w:pStyle w:val="BodyText"/>
        <w:rPr>
          <w:b/>
          <w:sz w:val="22"/>
          <w:szCs w:val="22"/>
        </w:rPr>
      </w:pPr>
    </w:p>
    <w:p w:rsidR="00DA5570" w:rsidRPr="006B794C" w:rsidRDefault="00DA5570" w:rsidP="00DA5570">
      <w:pPr>
        <w:pStyle w:val="BodyText"/>
        <w:ind w:left="2160" w:firstLine="720"/>
        <w:rPr>
          <w:b/>
          <w:sz w:val="22"/>
          <w:szCs w:val="22"/>
        </w:rPr>
      </w:pPr>
      <w:r w:rsidRPr="006B794C">
        <w:rPr>
          <w:b/>
          <w:sz w:val="22"/>
          <w:szCs w:val="22"/>
        </w:rPr>
        <w:t>By</w:t>
      </w:r>
      <w:r w:rsidR="005E5725">
        <w:rPr>
          <w:b/>
          <w:sz w:val="22"/>
          <w:szCs w:val="22"/>
        </w:rPr>
        <w:t xml:space="preserve"> /s/ Luis Carranza </w:t>
      </w:r>
      <w:proofErr w:type="spellStart"/>
      <w:r w:rsidR="005E5725">
        <w:rPr>
          <w:b/>
          <w:sz w:val="22"/>
          <w:szCs w:val="22"/>
        </w:rPr>
        <w:t>Ugarte</w:t>
      </w:r>
      <w:proofErr w:type="spellEnd"/>
    </w:p>
    <w:p w:rsidR="00DA5570" w:rsidRPr="006B794C" w:rsidRDefault="00DA5570" w:rsidP="00753323">
      <w:pPr>
        <w:pStyle w:val="BodyText"/>
        <w:jc w:val="right"/>
        <w:rPr>
          <w:b/>
          <w:sz w:val="22"/>
          <w:szCs w:val="22"/>
        </w:rPr>
      </w:pPr>
      <w:r w:rsidRPr="006B794C">
        <w:rPr>
          <w:b/>
          <w:sz w:val="22"/>
          <w:szCs w:val="22"/>
        </w:rPr>
        <w:tab/>
      </w:r>
      <w:r w:rsidRPr="006B794C">
        <w:rPr>
          <w:b/>
          <w:sz w:val="22"/>
          <w:szCs w:val="22"/>
        </w:rPr>
        <w:tab/>
      </w:r>
      <w:r w:rsidRPr="006B794C">
        <w:rPr>
          <w:b/>
          <w:sz w:val="22"/>
          <w:szCs w:val="22"/>
        </w:rPr>
        <w:tab/>
      </w:r>
      <w:r w:rsidRPr="006B794C">
        <w:rPr>
          <w:b/>
          <w:sz w:val="22"/>
          <w:szCs w:val="22"/>
        </w:rPr>
        <w:tab/>
      </w:r>
      <w:r w:rsidRPr="006B794C">
        <w:rPr>
          <w:b/>
          <w:sz w:val="22"/>
          <w:szCs w:val="22"/>
        </w:rPr>
        <w:tab/>
      </w:r>
      <w:r w:rsidRPr="006B794C">
        <w:rPr>
          <w:b/>
          <w:sz w:val="22"/>
          <w:szCs w:val="22"/>
        </w:rPr>
        <w:tab/>
      </w:r>
      <w:r w:rsidRPr="006B794C">
        <w:rPr>
          <w:b/>
          <w:sz w:val="22"/>
          <w:szCs w:val="22"/>
        </w:rPr>
        <w:tab/>
        <w:t>Authorized Representative</w:t>
      </w:r>
    </w:p>
    <w:p w:rsidR="00DA5570" w:rsidRPr="006B794C" w:rsidRDefault="00DA5570" w:rsidP="00DA5570">
      <w:pPr>
        <w:pStyle w:val="BodyText"/>
        <w:rPr>
          <w:b/>
          <w:sz w:val="22"/>
          <w:szCs w:val="22"/>
        </w:rPr>
      </w:pPr>
    </w:p>
    <w:p w:rsidR="00DA5570" w:rsidRPr="006B794C" w:rsidRDefault="00DA5570" w:rsidP="00DA5570">
      <w:pPr>
        <w:pStyle w:val="BodyText"/>
        <w:rPr>
          <w:b/>
          <w:sz w:val="22"/>
          <w:szCs w:val="22"/>
        </w:rPr>
      </w:pPr>
    </w:p>
    <w:p w:rsidR="00DA5570" w:rsidRPr="006B794C" w:rsidRDefault="00DA5570" w:rsidP="00DA5570">
      <w:pPr>
        <w:pStyle w:val="BodyText"/>
        <w:rPr>
          <w:b/>
          <w:sz w:val="22"/>
          <w:szCs w:val="22"/>
        </w:rPr>
      </w:pPr>
    </w:p>
    <w:p w:rsidR="00DA5570" w:rsidRPr="006B794C" w:rsidRDefault="00DA5570" w:rsidP="00DA5570">
      <w:pPr>
        <w:pStyle w:val="BodyText"/>
        <w:ind w:left="2160" w:firstLine="720"/>
        <w:rPr>
          <w:b/>
          <w:sz w:val="22"/>
          <w:szCs w:val="22"/>
        </w:rPr>
      </w:pPr>
      <w:r w:rsidRPr="006B794C">
        <w:rPr>
          <w:b/>
          <w:sz w:val="22"/>
          <w:szCs w:val="22"/>
        </w:rPr>
        <w:t>INTERNATIONAL BANK FOR</w:t>
      </w:r>
    </w:p>
    <w:p w:rsidR="00DA5570" w:rsidRPr="006B794C" w:rsidRDefault="00DA5570" w:rsidP="00DA5570">
      <w:pPr>
        <w:pStyle w:val="BodyText"/>
        <w:rPr>
          <w:b/>
          <w:sz w:val="22"/>
          <w:szCs w:val="22"/>
        </w:rPr>
      </w:pPr>
      <w:r w:rsidRPr="006B794C">
        <w:rPr>
          <w:b/>
          <w:sz w:val="22"/>
          <w:szCs w:val="22"/>
        </w:rPr>
        <w:tab/>
      </w:r>
      <w:r w:rsidRPr="006B794C">
        <w:rPr>
          <w:b/>
          <w:sz w:val="22"/>
          <w:szCs w:val="22"/>
        </w:rPr>
        <w:tab/>
      </w:r>
      <w:r w:rsidRPr="006B794C">
        <w:rPr>
          <w:b/>
          <w:sz w:val="22"/>
          <w:szCs w:val="22"/>
        </w:rPr>
        <w:tab/>
      </w:r>
      <w:r w:rsidRPr="006B794C">
        <w:rPr>
          <w:b/>
          <w:sz w:val="22"/>
          <w:szCs w:val="22"/>
        </w:rPr>
        <w:tab/>
        <w:t xml:space="preserve"> RECONSTRUCTION AND DEVELOPMENT</w:t>
      </w:r>
    </w:p>
    <w:p w:rsidR="00DA5570" w:rsidRPr="006B794C" w:rsidRDefault="00DA5570" w:rsidP="00DA5570">
      <w:pPr>
        <w:pStyle w:val="BodyText"/>
        <w:rPr>
          <w:b/>
          <w:sz w:val="22"/>
          <w:szCs w:val="22"/>
        </w:rPr>
      </w:pPr>
    </w:p>
    <w:p w:rsidR="00DA5570" w:rsidRPr="006B794C" w:rsidRDefault="00DA5570" w:rsidP="00DA5570">
      <w:pPr>
        <w:pStyle w:val="BodyText"/>
        <w:rPr>
          <w:b/>
          <w:sz w:val="22"/>
          <w:szCs w:val="22"/>
        </w:rPr>
      </w:pPr>
    </w:p>
    <w:p w:rsidR="00DA5570" w:rsidRPr="006B794C" w:rsidRDefault="00DA5570" w:rsidP="00DA5570">
      <w:pPr>
        <w:pStyle w:val="BodyText"/>
        <w:rPr>
          <w:b/>
          <w:sz w:val="22"/>
          <w:szCs w:val="22"/>
        </w:rPr>
      </w:pPr>
    </w:p>
    <w:p w:rsidR="00DA5570" w:rsidRPr="006B794C" w:rsidRDefault="00DA5570" w:rsidP="00DA5570">
      <w:pPr>
        <w:pStyle w:val="BodyText"/>
        <w:ind w:left="2160" w:firstLine="720"/>
        <w:rPr>
          <w:b/>
          <w:sz w:val="22"/>
          <w:szCs w:val="22"/>
        </w:rPr>
      </w:pPr>
      <w:r w:rsidRPr="006B794C">
        <w:rPr>
          <w:b/>
          <w:sz w:val="22"/>
          <w:szCs w:val="22"/>
        </w:rPr>
        <w:t>By</w:t>
      </w:r>
      <w:r w:rsidR="005E5725">
        <w:rPr>
          <w:b/>
          <w:sz w:val="22"/>
          <w:szCs w:val="22"/>
        </w:rPr>
        <w:t xml:space="preserve"> /s/ C. Felipe Jaramillo</w:t>
      </w:r>
    </w:p>
    <w:p w:rsidR="00DA5570" w:rsidRPr="006B794C" w:rsidRDefault="00DA5570" w:rsidP="00753323">
      <w:pPr>
        <w:pStyle w:val="BodyText"/>
        <w:jc w:val="right"/>
        <w:rPr>
          <w:b/>
          <w:sz w:val="22"/>
          <w:szCs w:val="22"/>
        </w:rPr>
      </w:pPr>
      <w:r w:rsidRPr="006B794C">
        <w:rPr>
          <w:b/>
          <w:sz w:val="22"/>
          <w:szCs w:val="22"/>
        </w:rPr>
        <w:tab/>
      </w:r>
      <w:r w:rsidRPr="006B794C">
        <w:rPr>
          <w:b/>
          <w:sz w:val="22"/>
          <w:szCs w:val="22"/>
        </w:rPr>
        <w:tab/>
      </w:r>
      <w:r w:rsidRPr="006B794C">
        <w:rPr>
          <w:b/>
          <w:sz w:val="22"/>
          <w:szCs w:val="22"/>
        </w:rPr>
        <w:tab/>
      </w:r>
      <w:r w:rsidRPr="006B794C">
        <w:rPr>
          <w:b/>
          <w:sz w:val="22"/>
          <w:szCs w:val="22"/>
        </w:rPr>
        <w:tab/>
      </w:r>
      <w:r w:rsidRPr="006B794C">
        <w:rPr>
          <w:b/>
          <w:sz w:val="22"/>
          <w:szCs w:val="22"/>
        </w:rPr>
        <w:tab/>
      </w:r>
      <w:r w:rsidRPr="006B794C">
        <w:rPr>
          <w:b/>
          <w:sz w:val="22"/>
          <w:szCs w:val="22"/>
        </w:rPr>
        <w:tab/>
      </w:r>
      <w:r w:rsidRPr="006B794C">
        <w:rPr>
          <w:b/>
          <w:sz w:val="22"/>
          <w:szCs w:val="22"/>
        </w:rPr>
        <w:tab/>
        <w:t>Authorized Representative</w:t>
      </w:r>
    </w:p>
    <w:p w:rsidR="00DA5570" w:rsidRPr="006B794C" w:rsidRDefault="00DA5570" w:rsidP="00DA5570">
      <w:pPr>
        <w:pStyle w:val="BodyText"/>
        <w:rPr>
          <w:b/>
          <w:sz w:val="22"/>
          <w:szCs w:val="22"/>
        </w:rPr>
      </w:pPr>
    </w:p>
    <w:p w:rsidR="00DA5570" w:rsidRPr="006B794C" w:rsidRDefault="00DA5570" w:rsidP="00DA5570">
      <w:pPr>
        <w:pStyle w:val="BodyText"/>
        <w:rPr>
          <w:b/>
          <w:sz w:val="22"/>
          <w:szCs w:val="22"/>
        </w:rPr>
      </w:pPr>
    </w:p>
    <w:p w:rsidR="00DA5570" w:rsidRPr="006B794C" w:rsidRDefault="00DA5570" w:rsidP="00DA5570">
      <w:pPr>
        <w:pStyle w:val="BodyText"/>
        <w:rPr>
          <w:b/>
          <w:sz w:val="22"/>
          <w:szCs w:val="22"/>
        </w:rPr>
      </w:pPr>
    </w:p>
    <w:p w:rsidR="00DA5570" w:rsidRPr="006B794C" w:rsidRDefault="00DA5570" w:rsidP="00DA5570">
      <w:pPr>
        <w:pStyle w:val="BodyText"/>
        <w:rPr>
          <w:b/>
          <w:sz w:val="22"/>
          <w:szCs w:val="22"/>
        </w:rPr>
      </w:pPr>
    </w:p>
    <w:p w:rsidR="00DA5570" w:rsidRPr="006B794C" w:rsidRDefault="00DA5570" w:rsidP="00DA5570">
      <w:pPr>
        <w:pStyle w:val="BodyText"/>
        <w:jc w:val="center"/>
        <w:rPr>
          <w:b/>
          <w:bCs/>
          <w:sz w:val="22"/>
          <w:szCs w:val="22"/>
        </w:rPr>
      </w:pPr>
      <w:r w:rsidRPr="006B794C">
        <w:rPr>
          <w:sz w:val="22"/>
          <w:szCs w:val="22"/>
        </w:rPr>
        <w:br w:type="page"/>
      </w:r>
      <w:r w:rsidRPr="006B794C">
        <w:rPr>
          <w:b/>
          <w:bCs/>
          <w:sz w:val="22"/>
          <w:szCs w:val="22"/>
        </w:rPr>
        <w:lastRenderedPageBreak/>
        <w:t>SCHEDULE 1</w:t>
      </w:r>
    </w:p>
    <w:p w:rsidR="00DA5570" w:rsidRPr="006B794C" w:rsidRDefault="00DA5570" w:rsidP="00DA5570">
      <w:pPr>
        <w:pStyle w:val="BodyText"/>
        <w:jc w:val="center"/>
        <w:rPr>
          <w:sz w:val="22"/>
          <w:szCs w:val="22"/>
        </w:rPr>
      </w:pPr>
    </w:p>
    <w:p w:rsidR="00DA5570" w:rsidRPr="006B794C" w:rsidRDefault="00DA5570" w:rsidP="00DA5570">
      <w:pPr>
        <w:pStyle w:val="BodyText"/>
        <w:jc w:val="center"/>
        <w:rPr>
          <w:b/>
          <w:bCs/>
          <w:sz w:val="22"/>
          <w:szCs w:val="22"/>
        </w:rPr>
      </w:pPr>
      <w:r w:rsidRPr="006B794C">
        <w:rPr>
          <w:b/>
          <w:bCs/>
          <w:sz w:val="22"/>
          <w:szCs w:val="22"/>
        </w:rPr>
        <w:t>Program Actions; Availability of Loan Proceeds</w:t>
      </w:r>
    </w:p>
    <w:p w:rsidR="00DA5570" w:rsidRPr="006B794C" w:rsidRDefault="00DA5570" w:rsidP="00DA5570">
      <w:pPr>
        <w:pStyle w:val="BodyText"/>
        <w:jc w:val="center"/>
        <w:rPr>
          <w:sz w:val="22"/>
          <w:szCs w:val="22"/>
        </w:rPr>
      </w:pPr>
    </w:p>
    <w:p w:rsidR="00DA5570" w:rsidRPr="006B794C" w:rsidRDefault="00DA5570" w:rsidP="00DA5570">
      <w:pPr>
        <w:pStyle w:val="BodyText"/>
        <w:rPr>
          <w:b/>
          <w:bCs/>
          <w:iCs/>
          <w:sz w:val="22"/>
          <w:szCs w:val="22"/>
        </w:rPr>
      </w:pPr>
      <w:r w:rsidRPr="006B794C">
        <w:rPr>
          <w:b/>
          <w:bCs/>
          <w:sz w:val="22"/>
          <w:szCs w:val="22"/>
        </w:rPr>
        <w:t>Section I.</w:t>
      </w:r>
      <w:r w:rsidRPr="006B794C">
        <w:rPr>
          <w:b/>
          <w:bCs/>
          <w:sz w:val="22"/>
          <w:szCs w:val="22"/>
        </w:rPr>
        <w:tab/>
      </w:r>
      <w:r w:rsidRPr="006B794C">
        <w:rPr>
          <w:b/>
          <w:bCs/>
          <w:sz w:val="22"/>
          <w:szCs w:val="22"/>
          <w:u w:val="single"/>
        </w:rPr>
        <w:t>A</w:t>
      </w:r>
      <w:r w:rsidRPr="006B794C">
        <w:rPr>
          <w:b/>
          <w:bCs/>
          <w:iCs/>
          <w:sz w:val="22"/>
          <w:szCs w:val="22"/>
          <w:u w:val="single"/>
        </w:rPr>
        <w:t>ctions Taken Under the Program</w:t>
      </w:r>
      <w:r w:rsidRPr="006B794C">
        <w:rPr>
          <w:bCs/>
          <w:iCs/>
          <w:sz w:val="22"/>
          <w:szCs w:val="22"/>
        </w:rPr>
        <w:t>.  The actions taken by the Borrower under the Program include the following:</w:t>
      </w:r>
    </w:p>
    <w:p w:rsidR="00DA5570" w:rsidRPr="006B794C" w:rsidRDefault="00DA5570" w:rsidP="00DA5570">
      <w:pPr>
        <w:pStyle w:val="BodyText"/>
        <w:ind w:left="720" w:hanging="720"/>
        <w:rPr>
          <w:bCs/>
          <w:iCs/>
          <w:sz w:val="22"/>
          <w:szCs w:val="22"/>
        </w:rPr>
      </w:pPr>
    </w:p>
    <w:p w:rsidR="00DA5570" w:rsidRDefault="00DA5570" w:rsidP="00AF3CF8">
      <w:pPr>
        <w:pStyle w:val="BodyText"/>
        <w:numPr>
          <w:ilvl w:val="0"/>
          <w:numId w:val="7"/>
        </w:numPr>
        <w:ind w:hanging="720"/>
        <w:rPr>
          <w:bCs/>
          <w:iCs/>
          <w:sz w:val="22"/>
          <w:szCs w:val="22"/>
        </w:rPr>
      </w:pPr>
      <w:r w:rsidRPr="006B794C">
        <w:rPr>
          <w:bCs/>
          <w:iCs/>
          <w:sz w:val="22"/>
          <w:szCs w:val="22"/>
        </w:rPr>
        <w:t>The Borrower has defined the roles and responsibilities of MINAM in the evaluation of environmental impact assessments for large projects and key sectors pursuant to the issuance of the Borrower’s Supreme Decree N</w:t>
      </w:r>
      <w:r w:rsidR="008416C4">
        <w:rPr>
          <w:bCs/>
          <w:iCs/>
          <w:sz w:val="22"/>
          <w:szCs w:val="22"/>
        </w:rPr>
        <w:t>o.</w:t>
      </w:r>
      <w:r w:rsidRPr="006B794C">
        <w:rPr>
          <w:bCs/>
          <w:iCs/>
          <w:sz w:val="22"/>
          <w:szCs w:val="22"/>
        </w:rPr>
        <w:t xml:space="preserve"> 019-2009-MINAM (Regulation of the Law No.27446 for the National System of Environmental Impact Assessment).</w:t>
      </w:r>
    </w:p>
    <w:p w:rsidR="00AF3CF8" w:rsidRPr="00BC66DA" w:rsidRDefault="00AF3CF8" w:rsidP="00AF3CF8">
      <w:pPr>
        <w:pStyle w:val="BodyText"/>
        <w:ind w:left="720" w:hanging="720"/>
        <w:rPr>
          <w:bCs/>
          <w:iCs/>
          <w:sz w:val="22"/>
          <w:szCs w:val="22"/>
        </w:rPr>
      </w:pPr>
    </w:p>
    <w:p w:rsidR="00DA5570" w:rsidRDefault="00DA5570" w:rsidP="00AF3CF8">
      <w:pPr>
        <w:pStyle w:val="ListParagraph"/>
        <w:numPr>
          <w:ilvl w:val="0"/>
          <w:numId w:val="7"/>
        </w:numPr>
        <w:spacing w:line="240" w:lineRule="auto"/>
        <w:ind w:hanging="720"/>
        <w:jc w:val="both"/>
        <w:rPr>
          <w:bCs/>
          <w:iCs/>
          <w:sz w:val="22"/>
          <w:szCs w:val="22"/>
        </w:rPr>
      </w:pPr>
      <w:r w:rsidRPr="00CE3B4C">
        <w:rPr>
          <w:bCs/>
          <w:iCs/>
          <w:sz w:val="22"/>
          <w:szCs w:val="22"/>
        </w:rPr>
        <w:t>The Borrower, through MINAM, has approved the financial strategy of the Borrower’s Natural Protected Areas System (</w:t>
      </w:r>
      <w:r w:rsidRPr="00CE3B4C">
        <w:rPr>
          <w:bCs/>
          <w:i/>
          <w:iCs/>
          <w:sz w:val="22"/>
          <w:szCs w:val="22"/>
        </w:rPr>
        <w:t xml:space="preserve">Plan </w:t>
      </w:r>
      <w:proofErr w:type="spellStart"/>
      <w:r w:rsidRPr="00CE3B4C">
        <w:rPr>
          <w:bCs/>
          <w:i/>
          <w:iCs/>
          <w:sz w:val="22"/>
          <w:szCs w:val="22"/>
        </w:rPr>
        <w:t>Financiero</w:t>
      </w:r>
      <w:proofErr w:type="spellEnd"/>
      <w:r w:rsidRPr="00CE3B4C">
        <w:rPr>
          <w:bCs/>
          <w:i/>
          <w:iCs/>
          <w:sz w:val="22"/>
          <w:szCs w:val="22"/>
        </w:rPr>
        <w:t xml:space="preserve"> </w:t>
      </w:r>
      <w:proofErr w:type="gramStart"/>
      <w:r w:rsidRPr="00CE3B4C">
        <w:rPr>
          <w:bCs/>
          <w:i/>
          <w:iCs/>
          <w:sz w:val="22"/>
          <w:szCs w:val="22"/>
        </w:rPr>
        <w:t>del</w:t>
      </w:r>
      <w:proofErr w:type="gramEnd"/>
      <w:r w:rsidRPr="00CE3B4C">
        <w:rPr>
          <w:bCs/>
          <w:i/>
          <w:iCs/>
          <w:sz w:val="22"/>
          <w:szCs w:val="22"/>
        </w:rPr>
        <w:t xml:space="preserve"> </w:t>
      </w:r>
      <w:proofErr w:type="spellStart"/>
      <w:r w:rsidRPr="00CE3B4C">
        <w:rPr>
          <w:bCs/>
          <w:i/>
          <w:iCs/>
          <w:sz w:val="22"/>
          <w:szCs w:val="22"/>
        </w:rPr>
        <w:t>Sistema</w:t>
      </w:r>
      <w:proofErr w:type="spellEnd"/>
      <w:r w:rsidRPr="00CE3B4C">
        <w:rPr>
          <w:bCs/>
          <w:i/>
          <w:iCs/>
          <w:sz w:val="22"/>
          <w:szCs w:val="22"/>
        </w:rPr>
        <w:t xml:space="preserve"> de Areas </w:t>
      </w:r>
      <w:proofErr w:type="spellStart"/>
      <w:r w:rsidRPr="00CE3B4C">
        <w:rPr>
          <w:bCs/>
          <w:i/>
          <w:iCs/>
          <w:sz w:val="22"/>
          <w:szCs w:val="22"/>
        </w:rPr>
        <w:t>Naturales</w:t>
      </w:r>
      <w:proofErr w:type="spellEnd"/>
      <w:r w:rsidRPr="00CE3B4C">
        <w:rPr>
          <w:bCs/>
          <w:i/>
          <w:iCs/>
          <w:sz w:val="22"/>
          <w:szCs w:val="22"/>
        </w:rPr>
        <w:t xml:space="preserve"> </w:t>
      </w:r>
      <w:proofErr w:type="spellStart"/>
      <w:r w:rsidRPr="00CE3B4C">
        <w:rPr>
          <w:bCs/>
          <w:i/>
          <w:iCs/>
          <w:sz w:val="22"/>
          <w:szCs w:val="22"/>
        </w:rPr>
        <w:t>Protegidas</w:t>
      </w:r>
      <w:proofErr w:type="spellEnd"/>
      <w:r w:rsidRPr="00CE3B4C">
        <w:rPr>
          <w:bCs/>
          <w:i/>
          <w:iCs/>
          <w:sz w:val="22"/>
          <w:szCs w:val="22"/>
        </w:rPr>
        <w:t xml:space="preserve"> </w:t>
      </w:r>
      <w:proofErr w:type="spellStart"/>
      <w:r w:rsidRPr="00CE3B4C">
        <w:rPr>
          <w:bCs/>
          <w:i/>
          <w:iCs/>
          <w:sz w:val="22"/>
          <w:szCs w:val="22"/>
        </w:rPr>
        <w:t>por</w:t>
      </w:r>
      <w:proofErr w:type="spellEnd"/>
      <w:r w:rsidRPr="00CE3B4C">
        <w:rPr>
          <w:bCs/>
          <w:i/>
          <w:iCs/>
          <w:sz w:val="22"/>
          <w:szCs w:val="22"/>
        </w:rPr>
        <w:t xml:space="preserve"> el Estado</w:t>
      </w:r>
      <w:r w:rsidRPr="00CE3B4C">
        <w:rPr>
          <w:bCs/>
          <w:iCs/>
          <w:sz w:val="22"/>
          <w:szCs w:val="22"/>
        </w:rPr>
        <w:t xml:space="preserve">), pursuant to the issuance of the Borrower’s Presidential Resolution No. 123-2009-SERNANP. </w:t>
      </w:r>
    </w:p>
    <w:p w:rsidR="008416C4" w:rsidRPr="008416C4" w:rsidRDefault="008416C4" w:rsidP="008416C4">
      <w:pPr>
        <w:spacing w:line="240" w:lineRule="auto"/>
        <w:jc w:val="both"/>
        <w:rPr>
          <w:bCs/>
          <w:iCs/>
          <w:sz w:val="22"/>
          <w:szCs w:val="22"/>
        </w:rPr>
      </w:pPr>
    </w:p>
    <w:p w:rsidR="00DA5570" w:rsidRPr="006B794C" w:rsidRDefault="00DA5570" w:rsidP="00AF3CF8">
      <w:pPr>
        <w:pStyle w:val="BodyText"/>
        <w:numPr>
          <w:ilvl w:val="0"/>
          <w:numId w:val="7"/>
        </w:numPr>
        <w:ind w:hanging="720"/>
        <w:rPr>
          <w:bCs/>
          <w:iCs/>
          <w:sz w:val="22"/>
          <w:szCs w:val="22"/>
        </w:rPr>
      </w:pPr>
      <w:r w:rsidRPr="006B794C">
        <w:rPr>
          <w:bCs/>
          <w:iCs/>
          <w:sz w:val="22"/>
          <w:szCs w:val="22"/>
        </w:rPr>
        <w:t>The Borrower has approved the Action Plan for Natural Protected Areas System (Plan Director), pursuant to the issuance of the Borrower’s Supreme Decree No. 016-2009-MINAM.</w:t>
      </w:r>
    </w:p>
    <w:p w:rsidR="00DA5570" w:rsidRPr="006B794C" w:rsidRDefault="00DA5570" w:rsidP="00DA5570">
      <w:pPr>
        <w:pStyle w:val="BodyText"/>
        <w:ind w:left="720"/>
        <w:rPr>
          <w:bCs/>
          <w:iCs/>
          <w:sz w:val="22"/>
          <w:szCs w:val="22"/>
        </w:rPr>
      </w:pPr>
      <w:r w:rsidRPr="006B794C">
        <w:rPr>
          <w:bCs/>
          <w:iCs/>
          <w:sz w:val="22"/>
          <w:szCs w:val="22"/>
        </w:rPr>
        <w:t xml:space="preserve"> </w:t>
      </w:r>
    </w:p>
    <w:p w:rsidR="00DA5570" w:rsidRPr="006B794C" w:rsidRDefault="00DA5570" w:rsidP="00AF3CF8">
      <w:pPr>
        <w:pStyle w:val="BodyText"/>
        <w:numPr>
          <w:ilvl w:val="0"/>
          <w:numId w:val="7"/>
        </w:numPr>
        <w:ind w:hanging="720"/>
        <w:rPr>
          <w:bCs/>
          <w:iCs/>
          <w:sz w:val="22"/>
          <w:szCs w:val="22"/>
        </w:rPr>
      </w:pPr>
      <w:r w:rsidRPr="006B794C">
        <w:rPr>
          <w:bCs/>
          <w:iCs/>
          <w:sz w:val="22"/>
          <w:szCs w:val="22"/>
        </w:rPr>
        <w:t>The Borrower has issued regulatory measures to promote private sector financing and management of the Borrower’s national protected areas, as evidenced by: (i) SERNANP’s approval of “Guidelines for the Creation of Trust in National Protected Areas”; and (ii) the issuance of Supreme Decree No. 018-2009-MINAM which regulates tourism activities within the Borrower’s national protected areas.</w:t>
      </w:r>
    </w:p>
    <w:p w:rsidR="00DA5570" w:rsidRPr="006B794C" w:rsidRDefault="00DA5570" w:rsidP="00DA5570">
      <w:pPr>
        <w:pStyle w:val="BodyText"/>
        <w:ind w:left="720"/>
        <w:rPr>
          <w:bCs/>
          <w:iCs/>
          <w:sz w:val="22"/>
          <w:szCs w:val="22"/>
        </w:rPr>
      </w:pPr>
    </w:p>
    <w:p w:rsidR="00DA5570" w:rsidRPr="006B794C" w:rsidRDefault="00DA5570" w:rsidP="00AF3CF8">
      <w:pPr>
        <w:pStyle w:val="BodyText"/>
        <w:numPr>
          <w:ilvl w:val="0"/>
          <w:numId w:val="7"/>
        </w:numPr>
        <w:ind w:hanging="720"/>
        <w:rPr>
          <w:bCs/>
          <w:iCs/>
          <w:sz w:val="22"/>
          <w:szCs w:val="22"/>
        </w:rPr>
      </w:pPr>
      <w:r w:rsidRPr="006B794C">
        <w:rPr>
          <w:bCs/>
          <w:iCs/>
          <w:sz w:val="22"/>
          <w:szCs w:val="22"/>
        </w:rPr>
        <w:t>The Borrower has completed the publication and dissemination of SENAMHI’s website of daily real-time air quality monitoring data for the cities of Lima and La</w:t>
      </w:r>
      <w:r w:rsidRPr="009C3E8F">
        <w:rPr>
          <w:bCs/>
          <w:iCs/>
          <w:sz w:val="22"/>
          <w:szCs w:val="22"/>
        </w:rPr>
        <w:t xml:space="preserve"> Oroya</w:t>
      </w:r>
      <w:r w:rsidRPr="006B794C">
        <w:rPr>
          <w:bCs/>
          <w:iCs/>
          <w:sz w:val="22"/>
          <w:szCs w:val="22"/>
        </w:rPr>
        <w:t>.</w:t>
      </w:r>
    </w:p>
    <w:p w:rsidR="00DA5570" w:rsidRPr="006B794C" w:rsidRDefault="00DA5570" w:rsidP="00DA5570">
      <w:pPr>
        <w:pStyle w:val="BodyText"/>
        <w:ind w:left="720"/>
        <w:rPr>
          <w:bCs/>
          <w:iCs/>
          <w:sz w:val="22"/>
          <w:szCs w:val="22"/>
        </w:rPr>
      </w:pPr>
    </w:p>
    <w:p w:rsidR="00DA5570" w:rsidRPr="006B794C" w:rsidRDefault="0000410B" w:rsidP="00AF3CF8">
      <w:pPr>
        <w:pStyle w:val="BodyText"/>
        <w:numPr>
          <w:ilvl w:val="0"/>
          <w:numId w:val="7"/>
        </w:numPr>
        <w:ind w:hanging="720"/>
        <w:rPr>
          <w:bCs/>
          <w:iCs/>
          <w:sz w:val="22"/>
          <w:szCs w:val="22"/>
        </w:rPr>
      </w:pPr>
      <w:r>
        <w:rPr>
          <w:bCs/>
          <w:iCs/>
          <w:sz w:val="22"/>
          <w:szCs w:val="22"/>
        </w:rPr>
        <w:t>The Borrower has: (i</w:t>
      </w:r>
      <w:r w:rsidR="00DA5570" w:rsidRPr="006B794C">
        <w:rPr>
          <w:bCs/>
          <w:iCs/>
          <w:sz w:val="22"/>
          <w:szCs w:val="22"/>
        </w:rPr>
        <w:t xml:space="preserve">) </w:t>
      </w:r>
      <w:r w:rsidR="00022EAD" w:rsidRPr="006B794C">
        <w:rPr>
          <w:rFonts w:eastAsiaTheme="minorHAnsi"/>
          <w:color w:val="000000"/>
          <w:sz w:val="22"/>
          <w:szCs w:val="22"/>
        </w:rPr>
        <w:t>approved the Directorial Resolution N</w:t>
      </w:r>
      <w:r w:rsidR="008416C4">
        <w:rPr>
          <w:rFonts w:eastAsiaTheme="minorHAnsi"/>
          <w:color w:val="000000"/>
          <w:sz w:val="22"/>
          <w:szCs w:val="22"/>
        </w:rPr>
        <w:t xml:space="preserve">o. </w:t>
      </w:r>
      <w:r w:rsidR="00022EAD" w:rsidRPr="006B794C">
        <w:rPr>
          <w:rFonts w:eastAsiaTheme="minorHAnsi"/>
          <w:color w:val="000000"/>
          <w:sz w:val="22"/>
          <w:szCs w:val="22"/>
        </w:rPr>
        <w:t xml:space="preserve">173-2009-MEM-DGM which mandates the application of PERCAN’s methodology </w:t>
      </w:r>
      <w:r w:rsidR="00FD334B" w:rsidRPr="006B794C">
        <w:rPr>
          <w:rFonts w:eastAsiaTheme="minorHAnsi"/>
          <w:color w:val="000000"/>
          <w:sz w:val="22"/>
          <w:szCs w:val="22"/>
        </w:rPr>
        <w:t>for</w:t>
      </w:r>
      <w:r w:rsidR="00022EAD" w:rsidRPr="006B794C">
        <w:rPr>
          <w:rFonts w:eastAsiaTheme="minorHAnsi"/>
          <w:color w:val="000000"/>
          <w:sz w:val="22"/>
          <w:szCs w:val="22"/>
        </w:rPr>
        <w:t xml:space="preserve"> the identification and prioritization of all mining environmental legacies in the Borrower’s</w:t>
      </w:r>
      <w:r w:rsidR="00FD334B" w:rsidRPr="006B794C">
        <w:rPr>
          <w:rFonts w:eastAsiaTheme="minorHAnsi"/>
          <w:color w:val="000000"/>
          <w:sz w:val="22"/>
          <w:szCs w:val="22"/>
        </w:rPr>
        <w:t xml:space="preserve"> territory</w:t>
      </w:r>
      <w:r>
        <w:rPr>
          <w:bCs/>
          <w:iCs/>
          <w:sz w:val="22"/>
          <w:szCs w:val="22"/>
        </w:rPr>
        <w:t>; and (ii</w:t>
      </w:r>
      <w:r w:rsidR="00DA5570" w:rsidRPr="006B794C">
        <w:rPr>
          <w:bCs/>
          <w:iCs/>
          <w:sz w:val="22"/>
          <w:szCs w:val="22"/>
        </w:rPr>
        <w:t xml:space="preserve">) approved a three year work program with budget for calendar year 2010 to identify, rank and manage mining environmental legacies. </w:t>
      </w:r>
    </w:p>
    <w:p w:rsidR="00DA5570" w:rsidRPr="006B794C" w:rsidRDefault="00DA5570" w:rsidP="00DA5570">
      <w:pPr>
        <w:pStyle w:val="BodyText"/>
        <w:ind w:left="720"/>
        <w:rPr>
          <w:bCs/>
          <w:iCs/>
          <w:sz w:val="22"/>
          <w:szCs w:val="22"/>
        </w:rPr>
      </w:pPr>
    </w:p>
    <w:p w:rsidR="00DA5570" w:rsidRPr="006B794C" w:rsidRDefault="00562A31" w:rsidP="00AF3CF8">
      <w:pPr>
        <w:pStyle w:val="BodyText"/>
        <w:numPr>
          <w:ilvl w:val="0"/>
          <w:numId w:val="7"/>
        </w:numPr>
        <w:ind w:hanging="720"/>
        <w:rPr>
          <w:bCs/>
          <w:iCs/>
          <w:sz w:val="22"/>
          <w:szCs w:val="22"/>
        </w:rPr>
      </w:pPr>
      <w:r>
        <w:rPr>
          <w:bCs/>
          <w:iCs/>
          <w:sz w:val="22"/>
          <w:szCs w:val="22"/>
        </w:rPr>
        <w:t>The Borrower, through MINE</w:t>
      </w:r>
      <w:r w:rsidR="00DA5570" w:rsidRPr="006B794C">
        <w:rPr>
          <w:bCs/>
          <w:iCs/>
          <w:sz w:val="22"/>
          <w:szCs w:val="22"/>
        </w:rPr>
        <w:t xml:space="preserve">M, has: (a) issued a Ministerial Resolution No. 304-2008-MEM/DM which approved norms to regulate the process of participatory environmental monitoring and surveillance in mining exploitation activities; and (b) started the operation of at least forty initiatives of environmental participatory monitoring. </w:t>
      </w:r>
    </w:p>
    <w:p w:rsidR="00DA5570" w:rsidRPr="006B794C" w:rsidRDefault="00DA5570" w:rsidP="00AF3CF8">
      <w:pPr>
        <w:pStyle w:val="BodyText"/>
        <w:numPr>
          <w:ilvl w:val="0"/>
          <w:numId w:val="7"/>
        </w:numPr>
        <w:ind w:hanging="720"/>
        <w:rPr>
          <w:bCs/>
          <w:iCs/>
          <w:sz w:val="22"/>
          <w:szCs w:val="22"/>
        </w:rPr>
      </w:pPr>
      <w:r w:rsidRPr="006B794C">
        <w:rPr>
          <w:bCs/>
          <w:iCs/>
          <w:sz w:val="22"/>
          <w:szCs w:val="22"/>
        </w:rPr>
        <w:lastRenderedPageBreak/>
        <w:t xml:space="preserve">The Borrower has issued the Supreme Decree No. 061-2009-EM which prohibits the supply of diesel with more than 50ppm of sulfur content in the cities of Lima and Callao. </w:t>
      </w:r>
    </w:p>
    <w:p w:rsidR="00DA5570" w:rsidRPr="006B794C" w:rsidRDefault="00DA5570" w:rsidP="00AF3CF8">
      <w:pPr>
        <w:pStyle w:val="BodyText"/>
        <w:ind w:left="720" w:hanging="720"/>
        <w:rPr>
          <w:bCs/>
          <w:iCs/>
          <w:sz w:val="22"/>
          <w:szCs w:val="22"/>
        </w:rPr>
      </w:pPr>
    </w:p>
    <w:p w:rsidR="00DA5570" w:rsidRPr="006B794C" w:rsidRDefault="00DA5570" w:rsidP="00AF3CF8">
      <w:pPr>
        <w:pStyle w:val="BodyText"/>
        <w:numPr>
          <w:ilvl w:val="0"/>
          <w:numId w:val="7"/>
        </w:numPr>
        <w:ind w:hanging="720"/>
        <w:rPr>
          <w:bCs/>
          <w:iCs/>
          <w:sz w:val="22"/>
          <w:szCs w:val="22"/>
        </w:rPr>
      </w:pPr>
      <w:r w:rsidRPr="006B794C">
        <w:rPr>
          <w:bCs/>
          <w:iCs/>
          <w:sz w:val="22"/>
          <w:szCs w:val="22"/>
        </w:rPr>
        <w:t>The Borrower has continued the promotion and implementation of vehicle conversions to natural gas, as evidenced by an allocation in the proposed budget for calendar year 2010.</w:t>
      </w:r>
    </w:p>
    <w:p w:rsidR="00DA5570" w:rsidRPr="006B794C" w:rsidRDefault="00DA5570" w:rsidP="00AF3CF8">
      <w:pPr>
        <w:pStyle w:val="BodyText"/>
        <w:ind w:left="720" w:hanging="720"/>
        <w:rPr>
          <w:bCs/>
          <w:iCs/>
          <w:sz w:val="22"/>
          <w:szCs w:val="22"/>
        </w:rPr>
      </w:pPr>
    </w:p>
    <w:p w:rsidR="00DA5570" w:rsidRPr="006B794C" w:rsidRDefault="00DA5570" w:rsidP="00AF3CF8">
      <w:pPr>
        <w:pStyle w:val="BodyText"/>
        <w:numPr>
          <w:ilvl w:val="0"/>
          <w:numId w:val="7"/>
        </w:numPr>
        <w:ind w:hanging="720"/>
        <w:rPr>
          <w:bCs/>
          <w:iCs/>
          <w:sz w:val="22"/>
          <w:szCs w:val="22"/>
        </w:rPr>
      </w:pPr>
      <w:r w:rsidRPr="006B794C">
        <w:rPr>
          <w:bCs/>
          <w:iCs/>
          <w:sz w:val="22"/>
          <w:szCs w:val="22"/>
        </w:rPr>
        <w:t xml:space="preserve">The Borrower has issued the </w:t>
      </w:r>
      <w:r w:rsidR="00FD334B" w:rsidRPr="006B794C">
        <w:rPr>
          <w:bCs/>
          <w:iCs/>
          <w:sz w:val="22"/>
          <w:szCs w:val="22"/>
        </w:rPr>
        <w:t>Directorial</w:t>
      </w:r>
      <w:r w:rsidRPr="006B794C">
        <w:rPr>
          <w:bCs/>
          <w:iCs/>
          <w:sz w:val="22"/>
          <w:szCs w:val="22"/>
        </w:rPr>
        <w:t xml:space="preserve"> Resolution N</w:t>
      </w:r>
      <w:r w:rsidR="008416C4">
        <w:rPr>
          <w:bCs/>
          <w:iCs/>
          <w:sz w:val="22"/>
          <w:szCs w:val="22"/>
        </w:rPr>
        <w:t>o.</w:t>
      </w:r>
      <w:r w:rsidRPr="006B794C">
        <w:rPr>
          <w:bCs/>
          <w:iCs/>
          <w:sz w:val="22"/>
          <w:szCs w:val="22"/>
        </w:rPr>
        <w:t xml:space="preserve"> 11645-2008-</w:t>
      </w:r>
      <w:r w:rsidR="00FD334B" w:rsidRPr="006B794C">
        <w:rPr>
          <w:bCs/>
          <w:iCs/>
          <w:sz w:val="22"/>
          <w:szCs w:val="22"/>
        </w:rPr>
        <w:t>MTC</w:t>
      </w:r>
      <w:r w:rsidRPr="006B794C">
        <w:rPr>
          <w:bCs/>
          <w:iCs/>
          <w:sz w:val="22"/>
          <w:szCs w:val="22"/>
        </w:rPr>
        <w:t>/15 which regulates the implementation of a vehicle inspection and maintenance system, according to a timetable based on license plate numbers in the Lima metropolitan region.</w:t>
      </w:r>
    </w:p>
    <w:p w:rsidR="00DA5570" w:rsidRPr="006B794C" w:rsidRDefault="00DA5570" w:rsidP="00AF3CF8">
      <w:pPr>
        <w:pStyle w:val="BodyText"/>
        <w:ind w:left="720" w:hanging="720"/>
        <w:rPr>
          <w:bCs/>
          <w:iCs/>
          <w:sz w:val="22"/>
          <w:szCs w:val="22"/>
        </w:rPr>
      </w:pPr>
    </w:p>
    <w:p w:rsidR="00DA5570" w:rsidRPr="006B794C" w:rsidRDefault="00DA5570" w:rsidP="00AF3CF8">
      <w:pPr>
        <w:pStyle w:val="BodyText"/>
        <w:numPr>
          <w:ilvl w:val="0"/>
          <w:numId w:val="7"/>
        </w:numPr>
        <w:ind w:hanging="720"/>
        <w:rPr>
          <w:bCs/>
          <w:iCs/>
          <w:sz w:val="22"/>
          <w:szCs w:val="22"/>
        </w:rPr>
      </w:pPr>
      <w:r w:rsidRPr="006B794C">
        <w:rPr>
          <w:bCs/>
          <w:iCs/>
          <w:sz w:val="22"/>
          <w:szCs w:val="22"/>
        </w:rPr>
        <w:t xml:space="preserve">The Borrower has </w:t>
      </w:r>
      <w:r w:rsidR="00FD334B" w:rsidRPr="006B794C">
        <w:rPr>
          <w:bCs/>
          <w:iCs/>
          <w:sz w:val="22"/>
          <w:szCs w:val="22"/>
        </w:rPr>
        <w:t>issued</w:t>
      </w:r>
      <w:r w:rsidRPr="006B794C">
        <w:rPr>
          <w:bCs/>
          <w:iCs/>
          <w:sz w:val="22"/>
          <w:szCs w:val="22"/>
        </w:rPr>
        <w:t xml:space="preserve"> the Supreme Decree No. 021-2008-PRODUCE (Regulation of Legislative Decree No. 1084), which mandates: (a) the implementation of fishing quotas by vessel; (b) the implementation of the social compensation fund for fisheries; and (c) the implementation of the retirement pension fund for fisheries.</w:t>
      </w:r>
    </w:p>
    <w:p w:rsidR="00DA5570" w:rsidRPr="006B794C" w:rsidRDefault="00DA5570" w:rsidP="00DA5570">
      <w:pPr>
        <w:pStyle w:val="BodyText"/>
        <w:rPr>
          <w:sz w:val="22"/>
          <w:szCs w:val="22"/>
          <w:u w:val="single"/>
        </w:rPr>
      </w:pPr>
    </w:p>
    <w:p w:rsidR="00DA5570" w:rsidRPr="006B794C" w:rsidRDefault="00DA5570" w:rsidP="00DA5570">
      <w:pPr>
        <w:pStyle w:val="BodyText"/>
        <w:rPr>
          <w:b/>
          <w:bCs/>
          <w:sz w:val="22"/>
          <w:szCs w:val="22"/>
        </w:rPr>
      </w:pPr>
      <w:r w:rsidRPr="006B794C">
        <w:rPr>
          <w:b/>
          <w:bCs/>
          <w:sz w:val="22"/>
          <w:szCs w:val="22"/>
        </w:rPr>
        <w:t>Section II.</w:t>
      </w:r>
      <w:r w:rsidRPr="006B794C">
        <w:rPr>
          <w:b/>
          <w:bCs/>
          <w:sz w:val="22"/>
          <w:szCs w:val="22"/>
        </w:rPr>
        <w:tab/>
      </w:r>
      <w:r w:rsidRPr="006B794C">
        <w:rPr>
          <w:b/>
          <w:bCs/>
          <w:sz w:val="22"/>
          <w:szCs w:val="22"/>
          <w:u w:val="single"/>
        </w:rPr>
        <w:t>Availability of Loan Proceeds</w:t>
      </w:r>
    </w:p>
    <w:p w:rsidR="00DA5570" w:rsidRPr="006B794C" w:rsidRDefault="00DA5570" w:rsidP="00DA5570">
      <w:pPr>
        <w:pStyle w:val="BodyText"/>
        <w:rPr>
          <w:sz w:val="22"/>
          <w:szCs w:val="22"/>
        </w:rPr>
      </w:pPr>
    </w:p>
    <w:p w:rsidR="00DA5570" w:rsidRPr="006B794C" w:rsidRDefault="00DA5570" w:rsidP="00DA5570">
      <w:pPr>
        <w:pStyle w:val="BodyText"/>
        <w:ind w:left="720" w:hanging="720"/>
        <w:rPr>
          <w:sz w:val="22"/>
          <w:szCs w:val="22"/>
        </w:rPr>
      </w:pPr>
      <w:r w:rsidRPr="006B794C">
        <w:rPr>
          <w:b/>
          <w:bCs/>
          <w:sz w:val="22"/>
          <w:szCs w:val="22"/>
        </w:rPr>
        <w:t>A.</w:t>
      </w:r>
      <w:r w:rsidRPr="006B794C">
        <w:rPr>
          <w:b/>
          <w:bCs/>
          <w:sz w:val="22"/>
          <w:szCs w:val="22"/>
        </w:rPr>
        <w:tab/>
        <w:t xml:space="preserve">General.  </w:t>
      </w:r>
      <w:bookmarkStart w:id="0" w:name="_DV_M100"/>
      <w:bookmarkEnd w:id="0"/>
      <w:r w:rsidRPr="006B794C">
        <w:rPr>
          <w:sz w:val="22"/>
          <w:szCs w:val="22"/>
        </w:rPr>
        <w:t>The Borrower may withdraw the proceeds of the Loan in accordance with the provisions of this Section and such additional instructions as the Bank may specify by notice to the Borrower.</w:t>
      </w:r>
    </w:p>
    <w:p w:rsidR="00DA5570" w:rsidRPr="006B794C" w:rsidRDefault="00DA5570" w:rsidP="00DA5570">
      <w:pPr>
        <w:pStyle w:val="BodyText"/>
        <w:ind w:left="720" w:hanging="720"/>
        <w:rPr>
          <w:sz w:val="22"/>
          <w:szCs w:val="22"/>
        </w:rPr>
      </w:pPr>
    </w:p>
    <w:p w:rsidR="00DA5570" w:rsidRPr="006B794C" w:rsidRDefault="00DA5570" w:rsidP="00DA5570">
      <w:pPr>
        <w:pStyle w:val="BodyText"/>
        <w:ind w:left="720" w:hanging="720"/>
        <w:rPr>
          <w:sz w:val="22"/>
          <w:szCs w:val="22"/>
        </w:rPr>
      </w:pPr>
      <w:r w:rsidRPr="006B794C">
        <w:rPr>
          <w:b/>
          <w:sz w:val="22"/>
          <w:szCs w:val="22"/>
        </w:rPr>
        <w:t>B.</w:t>
      </w:r>
      <w:r w:rsidRPr="006B794C">
        <w:rPr>
          <w:b/>
          <w:sz w:val="22"/>
          <w:szCs w:val="22"/>
        </w:rPr>
        <w:tab/>
        <w:t>Allocation of Loan Amounts.</w:t>
      </w:r>
      <w:r w:rsidRPr="006B794C">
        <w:rPr>
          <w:sz w:val="22"/>
          <w:szCs w:val="22"/>
        </w:rPr>
        <w:t xml:space="preserve">  The Loan is allocated in a single withdrawal tranche from which the Borrower may make withdrawals of the Loan proceeds. The allocation of the amounts of the Loan to this end is set out in the table below:</w:t>
      </w:r>
    </w:p>
    <w:p w:rsidR="00DA5570" w:rsidRPr="006B794C" w:rsidRDefault="00DA5570" w:rsidP="00DA5570">
      <w:pPr>
        <w:pStyle w:val="BodyText"/>
        <w:tabs>
          <w:tab w:val="left" w:pos="3690"/>
        </w:tabs>
        <w:rPr>
          <w:sz w:val="22"/>
          <w:szCs w:val="22"/>
        </w:rPr>
      </w:pPr>
    </w:p>
    <w:tbl>
      <w:tblPr>
        <w:tblW w:w="4425"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28"/>
        <w:gridCol w:w="4172"/>
      </w:tblGrid>
      <w:tr w:rsidR="00DA5570" w:rsidRPr="006B794C" w:rsidTr="008416C4">
        <w:tc>
          <w:tcPr>
            <w:tcW w:w="2103" w:type="pct"/>
          </w:tcPr>
          <w:p w:rsidR="008416C4" w:rsidRDefault="008416C4" w:rsidP="006B794C">
            <w:pPr>
              <w:pStyle w:val="BodyText"/>
              <w:jc w:val="center"/>
              <w:rPr>
                <w:b/>
                <w:szCs w:val="22"/>
              </w:rPr>
            </w:pPr>
          </w:p>
          <w:p w:rsidR="008416C4" w:rsidRDefault="008416C4" w:rsidP="006B794C">
            <w:pPr>
              <w:pStyle w:val="BodyText"/>
              <w:jc w:val="center"/>
              <w:rPr>
                <w:b/>
                <w:szCs w:val="22"/>
              </w:rPr>
            </w:pPr>
          </w:p>
          <w:p w:rsidR="00DA5570" w:rsidRPr="008416C4" w:rsidRDefault="00DA5570" w:rsidP="006B794C">
            <w:pPr>
              <w:pStyle w:val="BodyText"/>
              <w:jc w:val="center"/>
              <w:rPr>
                <w:b/>
                <w:szCs w:val="22"/>
                <w:u w:val="single"/>
              </w:rPr>
            </w:pPr>
            <w:r w:rsidRPr="008416C4">
              <w:rPr>
                <w:b/>
                <w:sz w:val="22"/>
                <w:szCs w:val="22"/>
                <w:u w:val="single"/>
              </w:rPr>
              <w:t>Allocations</w:t>
            </w:r>
          </w:p>
        </w:tc>
        <w:tc>
          <w:tcPr>
            <w:tcW w:w="2897" w:type="pct"/>
          </w:tcPr>
          <w:p w:rsidR="00DA5570" w:rsidRPr="006B794C" w:rsidRDefault="00DA5570" w:rsidP="006B794C">
            <w:pPr>
              <w:pStyle w:val="BodyText"/>
              <w:jc w:val="center"/>
              <w:rPr>
                <w:b/>
                <w:szCs w:val="22"/>
              </w:rPr>
            </w:pPr>
            <w:r w:rsidRPr="006B794C">
              <w:rPr>
                <w:b/>
                <w:sz w:val="22"/>
                <w:szCs w:val="22"/>
              </w:rPr>
              <w:t>Amount of the Tranche</w:t>
            </w:r>
          </w:p>
          <w:p w:rsidR="00DA5570" w:rsidRPr="006B794C" w:rsidRDefault="00DA5570" w:rsidP="006B794C">
            <w:pPr>
              <w:pStyle w:val="BodyText"/>
              <w:jc w:val="center"/>
              <w:rPr>
                <w:b/>
                <w:szCs w:val="22"/>
              </w:rPr>
            </w:pPr>
            <w:r w:rsidRPr="006B794C">
              <w:rPr>
                <w:b/>
                <w:sz w:val="22"/>
                <w:szCs w:val="22"/>
              </w:rPr>
              <w:t>Allocated</w:t>
            </w:r>
          </w:p>
          <w:p w:rsidR="00DA5570" w:rsidRDefault="00DA5570" w:rsidP="006B794C">
            <w:pPr>
              <w:pStyle w:val="BodyText"/>
              <w:jc w:val="center"/>
              <w:rPr>
                <w:b/>
                <w:szCs w:val="22"/>
              </w:rPr>
            </w:pPr>
            <w:r w:rsidRPr="006B794C">
              <w:rPr>
                <w:b/>
                <w:sz w:val="22"/>
                <w:szCs w:val="22"/>
              </w:rPr>
              <w:t>(</w:t>
            </w:r>
            <w:r w:rsidRPr="008416C4">
              <w:rPr>
                <w:b/>
                <w:sz w:val="22"/>
                <w:szCs w:val="22"/>
                <w:u w:val="single"/>
              </w:rPr>
              <w:t>expressed in Dollars</w:t>
            </w:r>
            <w:r w:rsidRPr="006B794C">
              <w:rPr>
                <w:b/>
                <w:sz w:val="22"/>
                <w:szCs w:val="22"/>
              </w:rPr>
              <w:t>)</w:t>
            </w:r>
          </w:p>
          <w:p w:rsidR="008416C4" w:rsidRPr="006B794C" w:rsidRDefault="008416C4" w:rsidP="006B794C">
            <w:pPr>
              <w:pStyle w:val="BodyText"/>
              <w:jc w:val="center"/>
              <w:rPr>
                <w:b/>
                <w:szCs w:val="22"/>
              </w:rPr>
            </w:pPr>
          </w:p>
        </w:tc>
      </w:tr>
      <w:tr w:rsidR="00DA5570" w:rsidRPr="006B794C" w:rsidTr="008416C4">
        <w:tc>
          <w:tcPr>
            <w:tcW w:w="2103" w:type="pct"/>
          </w:tcPr>
          <w:p w:rsidR="00DA5570" w:rsidRPr="006B794C" w:rsidRDefault="00DA5570" w:rsidP="006B794C">
            <w:pPr>
              <w:pStyle w:val="BodyText"/>
              <w:jc w:val="left"/>
              <w:rPr>
                <w:szCs w:val="22"/>
                <w:lang w:val="it-IT"/>
              </w:rPr>
            </w:pPr>
            <w:r w:rsidRPr="006B794C">
              <w:rPr>
                <w:sz w:val="22"/>
                <w:szCs w:val="22"/>
                <w:lang w:val="it-IT"/>
              </w:rPr>
              <w:t>Single Withdrawal Tranche</w:t>
            </w:r>
          </w:p>
          <w:p w:rsidR="00DA5570" w:rsidRPr="006B794C" w:rsidRDefault="00DA5570" w:rsidP="006B794C">
            <w:pPr>
              <w:pStyle w:val="BodyText"/>
              <w:jc w:val="left"/>
              <w:rPr>
                <w:szCs w:val="22"/>
                <w:lang w:val="it-IT"/>
              </w:rPr>
            </w:pPr>
          </w:p>
        </w:tc>
        <w:tc>
          <w:tcPr>
            <w:tcW w:w="2897" w:type="pct"/>
          </w:tcPr>
          <w:p w:rsidR="00DA5570" w:rsidRPr="006B794C" w:rsidRDefault="00DA5570" w:rsidP="006B794C">
            <w:pPr>
              <w:pStyle w:val="BodyText"/>
              <w:jc w:val="center"/>
              <w:rPr>
                <w:szCs w:val="22"/>
                <w:lang w:val="it-IT"/>
              </w:rPr>
            </w:pPr>
            <w:r w:rsidRPr="006B794C">
              <w:rPr>
                <w:sz w:val="22"/>
                <w:szCs w:val="22"/>
                <w:lang w:val="it-IT"/>
              </w:rPr>
              <w:t>50,000,000</w:t>
            </w:r>
          </w:p>
        </w:tc>
      </w:tr>
      <w:tr w:rsidR="00DA5570" w:rsidRPr="006B794C" w:rsidTr="008416C4">
        <w:tc>
          <w:tcPr>
            <w:tcW w:w="2103" w:type="pct"/>
          </w:tcPr>
          <w:p w:rsidR="00DA5570" w:rsidRPr="006B794C" w:rsidRDefault="00DA5570" w:rsidP="006B794C">
            <w:pPr>
              <w:pStyle w:val="BodyText"/>
              <w:jc w:val="left"/>
              <w:rPr>
                <w:szCs w:val="22"/>
              </w:rPr>
            </w:pPr>
            <w:r w:rsidRPr="006B794C">
              <w:rPr>
                <w:sz w:val="22"/>
                <w:szCs w:val="22"/>
              </w:rPr>
              <w:t>TOTAL AMOUNT</w:t>
            </w:r>
          </w:p>
          <w:p w:rsidR="00DA5570" w:rsidRPr="006B794C" w:rsidRDefault="00DA5570" w:rsidP="006B794C">
            <w:pPr>
              <w:pStyle w:val="BodyText"/>
              <w:jc w:val="left"/>
              <w:rPr>
                <w:szCs w:val="22"/>
              </w:rPr>
            </w:pPr>
          </w:p>
        </w:tc>
        <w:tc>
          <w:tcPr>
            <w:tcW w:w="2897" w:type="pct"/>
          </w:tcPr>
          <w:p w:rsidR="00DA5570" w:rsidRPr="006B794C" w:rsidRDefault="00DA5570" w:rsidP="006B794C">
            <w:pPr>
              <w:pStyle w:val="BodyText"/>
              <w:jc w:val="center"/>
              <w:rPr>
                <w:szCs w:val="22"/>
              </w:rPr>
            </w:pPr>
            <w:r w:rsidRPr="006B794C">
              <w:rPr>
                <w:sz w:val="22"/>
                <w:szCs w:val="22"/>
              </w:rPr>
              <w:t>50,000,000</w:t>
            </w:r>
          </w:p>
        </w:tc>
      </w:tr>
    </w:tbl>
    <w:p w:rsidR="00DA5570" w:rsidRPr="006B794C" w:rsidRDefault="00DA5570" w:rsidP="00DA5570">
      <w:pPr>
        <w:pStyle w:val="BodyText"/>
        <w:rPr>
          <w:sz w:val="22"/>
          <w:szCs w:val="22"/>
        </w:rPr>
      </w:pPr>
    </w:p>
    <w:p w:rsidR="00DA5570" w:rsidRPr="006B794C" w:rsidRDefault="00DA5570" w:rsidP="00DA5570">
      <w:pPr>
        <w:pStyle w:val="BodyText"/>
        <w:ind w:left="720" w:hanging="720"/>
        <w:rPr>
          <w:sz w:val="22"/>
          <w:szCs w:val="22"/>
        </w:rPr>
      </w:pPr>
      <w:bookmarkStart w:id="1" w:name="_DV_M254"/>
      <w:bookmarkStart w:id="2" w:name="_DV_M255"/>
      <w:bookmarkStart w:id="3" w:name="_DV_M262"/>
      <w:bookmarkStart w:id="4" w:name="_DV_M263"/>
      <w:bookmarkStart w:id="5" w:name="_DV_M264"/>
      <w:bookmarkStart w:id="6" w:name="_DV_M265"/>
      <w:bookmarkStart w:id="7" w:name="_DV_M266"/>
      <w:bookmarkStart w:id="8" w:name="_DV_M267"/>
      <w:bookmarkStart w:id="9" w:name="_DV_M268"/>
      <w:bookmarkStart w:id="10" w:name="_DV_M269"/>
      <w:bookmarkStart w:id="11" w:name="_DV_M270"/>
      <w:bookmarkStart w:id="12" w:name="_DV_M271"/>
      <w:bookmarkStart w:id="13" w:name="_DV_M272"/>
      <w:bookmarkStart w:id="14" w:name="_DV_M273"/>
      <w:bookmarkStart w:id="15" w:name="_DV_M274"/>
      <w:bookmarkStart w:id="16" w:name="_DV_M275"/>
      <w:bookmarkStart w:id="17" w:name="_DV_M276"/>
      <w:bookmarkStart w:id="18" w:name="_DV_M277"/>
      <w:bookmarkStart w:id="19" w:name="_DV_M278"/>
      <w:bookmarkStart w:id="20" w:name="_DV_M279"/>
      <w:bookmarkStart w:id="21" w:name="_DV_M280"/>
      <w:bookmarkStart w:id="22" w:name="_DV_M281"/>
      <w:bookmarkStart w:id="23" w:name="_DV_M282"/>
      <w:bookmarkStart w:id="24" w:name="_DV_M283"/>
      <w:bookmarkStart w:id="25" w:name="_DV_M284"/>
      <w:bookmarkStart w:id="26" w:name="_DV_M285"/>
      <w:bookmarkStart w:id="27" w:name="_DV_M286"/>
      <w:bookmarkStart w:id="28" w:name="_DV_M287"/>
      <w:bookmarkStart w:id="29" w:name="_DV_M288"/>
      <w:bookmarkStart w:id="30" w:name="_DV_M289"/>
      <w:bookmarkStart w:id="31" w:name="_DV_M290"/>
      <w:bookmarkStart w:id="32" w:name="_DV_M291"/>
      <w:bookmarkStart w:id="33" w:name="_DV_M292"/>
      <w:bookmarkStart w:id="34" w:name="_DV_M293"/>
      <w:bookmarkStart w:id="35" w:name="_DV_M294"/>
      <w:bookmarkStart w:id="36" w:name="_DV_M295"/>
      <w:bookmarkStart w:id="37" w:name="_DV_M298"/>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6B794C">
        <w:rPr>
          <w:b/>
          <w:bCs/>
          <w:sz w:val="22"/>
          <w:szCs w:val="22"/>
        </w:rPr>
        <w:t>C.</w:t>
      </w:r>
      <w:r w:rsidRPr="006B794C">
        <w:rPr>
          <w:b/>
          <w:bCs/>
          <w:sz w:val="22"/>
          <w:szCs w:val="22"/>
        </w:rPr>
        <w:tab/>
        <w:t xml:space="preserve">Payment of Front-end Fee.  </w:t>
      </w:r>
      <w:r w:rsidRPr="006B794C">
        <w:rPr>
          <w:bCs/>
          <w:sz w:val="22"/>
          <w:szCs w:val="22"/>
        </w:rPr>
        <w:t>No</w:t>
      </w:r>
      <w:r w:rsidRPr="006B794C">
        <w:rPr>
          <w:b/>
          <w:bCs/>
          <w:sz w:val="22"/>
          <w:szCs w:val="22"/>
        </w:rPr>
        <w:t xml:space="preserve"> </w:t>
      </w:r>
      <w:r w:rsidRPr="006B794C">
        <w:rPr>
          <w:bCs/>
          <w:sz w:val="22"/>
          <w:szCs w:val="22"/>
        </w:rPr>
        <w:t xml:space="preserve">withdrawal shall be made </w:t>
      </w:r>
      <w:r w:rsidRPr="006B794C">
        <w:rPr>
          <w:sz w:val="22"/>
          <w:szCs w:val="22"/>
        </w:rPr>
        <w:t>from the Loan Account until the Bank has received payment in full of the Front-end Fee.</w:t>
      </w:r>
    </w:p>
    <w:p w:rsidR="00DA5570" w:rsidRDefault="00DA5570" w:rsidP="00DA5570">
      <w:pPr>
        <w:pStyle w:val="BodyText"/>
        <w:ind w:left="720" w:hanging="720"/>
        <w:rPr>
          <w:sz w:val="22"/>
          <w:szCs w:val="22"/>
        </w:rPr>
      </w:pPr>
    </w:p>
    <w:p w:rsidR="005E5725" w:rsidRDefault="005E5725">
      <w:pPr>
        <w:spacing w:after="200" w:line="276" w:lineRule="auto"/>
        <w:rPr>
          <w:b/>
          <w:bCs/>
          <w:iCs/>
          <w:sz w:val="22"/>
          <w:szCs w:val="22"/>
        </w:rPr>
      </w:pPr>
      <w:r>
        <w:rPr>
          <w:b/>
          <w:bCs/>
          <w:iCs/>
          <w:sz w:val="22"/>
          <w:szCs w:val="22"/>
        </w:rPr>
        <w:br w:type="page"/>
      </w:r>
    </w:p>
    <w:p w:rsidR="00DA5570" w:rsidRPr="006B794C" w:rsidRDefault="00DA5570" w:rsidP="00DA5570">
      <w:pPr>
        <w:pStyle w:val="BodyText"/>
        <w:rPr>
          <w:sz w:val="22"/>
          <w:szCs w:val="22"/>
        </w:rPr>
      </w:pPr>
      <w:r w:rsidRPr="006B794C">
        <w:rPr>
          <w:b/>
          <w:bCs/>
          <w:iCs/>
          <w:sz w:val="22"/>
          <w:szCs w:val="22"/>
        </w:rPr>
        <w:t>D.</w:t>
      </w:r>
      <w:r w:rsidRPr="006B794C">
        <w:rPr>
          <w:b/>
          <w:bCs/>
          <w:iCs/>
          <w:sz w:val="22"/>
          <w:szCs w:val="22"/>
        </w:rPr>
        <w:tab/>
        <w:t>Deposits of Loan Amounts.</w:t>
      </w:r>
      <w:r w:rsidRPr="006B794C">
        <w:rPr>
          <w:bCs/>
          <w:iCs/>
          <w:sz w:val="22"/>
          <w:szCs w:val="22"/>
        </w:rPr>
        <w:t xml:space="preserve">  </w:t>
      </w:r>
      <w:r w:rsidRPr="006B794C">
        <w:rPr>
          <w:sz w:val="22"/>
          <w:szCs w:val="22"/>
        </w:rPr>
        <w:t xml:space="preserve">Except as the Bank may otherwise agree:  </w:t>
      </w:r>
    </w:p>
    <w:p w:rsidR="008416C4" w:rsidRDefault="008416C4" w:rsidP="00DA5570">
      <w:pPr>
        <w:pStyle w:val="BodyText"/>
        <w:ind w:left="1440" w:hanging="720"/>
        <w:rPr>
          <w:sz w:val="22"/>
          <w:szCs w:val="22"/>
        </w:rPr>
      </w:pPr>
    </w:p>
    <w:p w:rsidR="00DA5570" w:rsidRPr="006B794C" w:rsidRDefault="00DA5570" w:rsidP="00DA5570">
      <w:pPr>
        <w:pStyle w:val="BodyText"/>
        <w:ind w:left="1440" w:hanging="720"/>
        <w:rPr>
          <w:sz w:val="22"/>
          <w:szCs w:val="22"/>
        </w:rPr>
      </w:pPr>
      <w:r w:rsidRPr="006B794C">
        <w:rPr>
          <w:sz w:val="22"/>
          <w:szCs w:val="22"/>
        </w:rPr>
        <w:t>1.</w:t>
      </w:r>
      <w:r w:rsidRPr="006B794C">
        <w:rPr>
          <w:sz w:val="22"/>
          <w:szCs w:val="22"/>
        </w:rPr>
        <w:tab/>
        <w:t>all withdrawals from the Loan Account shall be deposited by the Bank into an account designated by the Borrower and acceptable to the Bank</w:t>
      </w:r>
      <w:bookmarkStart w:id="38" w:name="_DV_C98"/>
      <w:r w:rsidRPr="006B794C">
        <w:rPr>
          <w:sz w:val="22"/>
          <w:szCs w:val="22"/>
        </w:rPr>
        <w:t>; and</w:t>
      </w:r>
    </w:p>
    <w:p w:rsidR="00DA5570" w:rsidRPr="006B794C" w:rsidRDefault="00DA5570" w:rsidP="00DA5570">
      <w:pPr>
        <w:pStyle w:val="BodyText"/>
        <w:ind w:left="1440" w:hanging="720"/>
        <w:rPr>
          <w:sz w:val="22"/>
          <w:szCs w:val="22"/>
        </w:rPr>
      </w:pPr>
    </w:p>
    <w:p w:rsidR="00DA5570" w:rsidRPr="006B794C" w:rsidRDefault="00DA5570" w:rsidP="00DA5570">
      <w:pPr>
        <w:pStyle w:val="BodyText"/>
        <w:ind w:left="1440" w:hanging="720"/>
        <w:rPr>
          <w:sz w:val="22"/>
          <w:szCs w:val="22"/>
        </w:rPr>
      </w:pPr>
      <w:r w:rsidRPr="006B794C">
        <w:rPr>
          <w:sz w:val="22"/>
          <w:szCs w:val="22"/>
        </w:rPr>
        <w:t xml:space="preserve">2. </w:t>
      </w:r>
      <w:r w:rsidRPr="006B794C">
        <w:rPr>
          <w:sz w:val="22"/>
          <w:szCs w:val="22"/>
        </w:rPr>
        <w:tab/>
        <w:t>the Borrower shall ensure that upon each deposit of an amount of the Loan into this account, an equivalent amount is accounted for in the Borrower’s budget management system, in a manner acceptable to the Bank.</w:t>
      </w:r>
      <w:bookmarkStart w:id="39" w:name="_DV_C101"/>
      <w:bookmarkEnd w:id="38"/>
    </w:p>
    <w:p w:rsidR="00DA5570" w:rsidRPr="006B794C" w:rsidRDefault="00DA5570" w:rsidP="00DA5570">
      <w:pPr>
        <w:pStyle w:val="BodyText"/>
        <w:rPr>
          <w:bCs/>
          <w:sz w:val="22"/>
          <w:szCs w:val="22"/>
        </w:rPr>
      </w:pPr>
    </w:p>
    <w:p w:rsidR="00DA5570" w:rsidRPr="006B794C" w:rsidRDefault="00DA5570" w:rsidP="00DA5570">
      <w:pPr>
        <w:pStyle w:val="BodyText"/>
        <w:ind w:left="720" w:hanging="720"/>
        <w:rPr>
          <w:bCs/>
          <w:i/>
          <w:iCs/>
          <w:sz w:val="22"/>
          <w:szCs w:val="22"/>
        </w:rPr>
      </w:pPr>
      <w:r w:rsidRPr="006B794C">
        <w:rPr>
          <w:b/>
          <w:sz w:val="22"/>
          <w:szCs w:val="22"/>
        </w:rPr>
        <w:t>E.</w:t>
      </w:r>
      <w:r w:rsidRPr="006B794C">
        <w:rPr>
          <w:b/>
          <w:sz w:val="22"/>
          <w:szCs w:val="22"/>
        </w:rPr>
        <w:tab/>
        <w:t>Excluded Expenditures</w:t>
      </w:r>
      <w:r w:rsidRPr="006B794C">
        <w:rPr>
          <w:sz w:val="22"/>
          <w:szCs w:val="22"/>
        </w:rPr>
        <w:t>.  The Borrower undertakes that the proceeds of the Loan shall not be used to finance Excluded Expenditures. If the Bank determines at any time that an amount of the Loan was used to make a payment for an Excluded Expenditure, the Borrower shall, promptly upon notice from the Bank, refund an amount equal to the amount of such payment to the Bank. Amounts refunded to the Bank upon such request shall be cancelled.</w:t>
      </w:r>
      <w:bookmarkEnd w:id="39"/>
    </w:p>
    <w:p w:rsidR="00DA5570" w:rsidRPr="006B794C" w:rsidRDefault="00DA5570" w:rsidP="00DA5570">
      <w:pPr>
        <w:pStyle w:val="BodyText"/>
        <w:ind w:left="720" w:hanging="720"/>
        <w:rPr>
          <w:b/>
          <w:bCs/>
          <w:sz w:val="22"/>
          <w:szCs w:val="22"/>
        </w:rPr>
      </w:pPr>
    </w:p>
    <w:p w:rsidR="00DA5570" w:rsidRPr="0000410B" w:rsidRDefault="00DA5570" w:rsidP="0000410B">
      <w:pPr>
        <w:pStyle w:val="BodyText"/>
        <w:ind w:left="720" w:hanging="720"/>
        <w:rPr>
          <w:b/>
          <w:sz w:val="22"/>
          <w:szCs w:val="22"/>
        </w:rPr>
      </w:pPr>
      <w:r w:rsidRPr="006B794C">
        <w:rPr>
          <w:b/>
          <w:bCs/>
          <w:sz w:val="22"/>
          <w:szCs w:val="22"/>
        </w:rPr>
        <w:t>F.</w:t>
      </w:r>
      <w:r w:rsidRPr="006B794C">
        <w:rPr>
          <w:b/>
          <w:bCs/>
          <w:sz w:val="22"/>
          <w:szCs w:val="22"/>
        </w:rPr>
        <w:tab/>
        <w:t xml:space="preserve">Closing Date.  </w:t>
      </w:r>
      <w:r w:rsidRPr="006B794C">
        <w:rPr>
          <w:sz w:val="22"/>
          <w:szCs w:val="22"/>
        </w:rPr>
        <w:t>The Closing Date is</w:t>
      </w:r>
      <w:r w:rsidR="00DF66AD">
        <w:rPr>
          <w:sz w:val="22"/>
          <w:szCs w:val="22"/>
        </w:rPr>
        <w:t xml:space="preserve"> December 1</w:t>
      </w:r>
      <w:r w:rsidR="005E5725">
        <w:rPr>
          <w:sz w:val="22"/>
          <w:szCs w:val="22"/>
        </w:rPr>
        <w:t>8</w:t>
      </w:r>
      <w:r w:rsidR="00DF66AD">
        <w:rPr>
          <w:sz w:val="22"/>
          <w:szCs w:val="22"/>
        </w:rPr>
        <w:t>, 2012</w:t>
      </w:r>
      <w:r w:rsidR="00BB2960">
        <w:rPr>
          <w:sz w:val="22"/>
          <w:szCs w:val="22"/>
        </w:rPr>
        <w:t>.</w:t>
      </w:r>
    </w:p>
    <w:p w:rsidR="00DA5570" w:rsidRPr="006B794C" w:rsidRDefault="00DA5570" w:rsidP="00DA5570">
      <w:pPr>
        <w:pStyle w:val="BodyText"/>
        <w:jc w:val="center"/>
        <w:rPr>
          <w:b/>
          <w:sz w:val="22"/>
          <w:szCs w:val="22"/>
        </w:rPr>
      </w:pPr>
      <w:r w:rsidRPr="006B794C">
        <w:rPr>
          <w:sz w:val="22"/>
          <w:szCs w:val="22"/>
        </w:rPr>
        <w:br w:type="page"/>
      </w:r>
      <w:r w:rsidRPr="006B794C">
        <w:rPr>
          <w:b/>
          <w:sz w:val="22"/>
          <w:szCs w:val="22"/>
        </w:rPr>
        <w:lastRenderedPageBreak/>
        <w:t>SCHEDULE 2</w:t>
      </w:r>
    </w:p>
    <w:p w:rsidR="00DA5570" w:rsidRPr="006B794C" w:rsidRDefault="00DA5570" w:rsidP="00DA5570">
      <w:pPr>
        <w:pStyle w:val="BodyText"/>
        <w:jc w:val="center"/>
        <w:rPr>
          <w:b/>
          <w:sz w:val="22"/>
          <w:szCs w:val="22"/>
        </w:rPr>
      </w:pPr>
    </w:p>
    <w:p w:rsidR="00DA5570" w:rsidRPr="006B794C" w:rsidRDefault="00DA5570" w:rsidP="00DA5570">
      <w:pPr>
        <w:pStyle w:val="BodyText"/>
        <w:jc w:val="center"/>
        <w:rPr>
          <w:b/>
          <w:sz w:val="22"/>
          <w:szCs w:val="22"/>
        </w:rPr>
      </w:pPr>
      <w:r w:rsidRPr="006B794C">
        <w:rPr>
          <w:b/>
          <w:sz w:val="22"/>
          <w:szCs w:val="22"/>
        </w:rPr>
        <w:t>Amortization Schedule</w:t>
      </w:r>
    </w:p>
    <w:p w:rsidR="00DA5570" w:rsidRPr="006B794C" w:rsidRDefault="00DA5570" w:rsidP="00DA5570">
      <w:pPr>
        <w:pStyle w:val="BodyText"/>
        <w:jc w:val="center"/>
        <w:rPr>
          <w:b/>
          <w:sz w:val="22"/>
          <w:szCs w:val="22"/>
        </w:rPr>
      </w:pPr>
    </w:p>
    <w:p w:rsidR="00DA5570" w:rsidRPr="006B794C" w:rsidRDefault="00DA5570" w:rsidP="00DA5570">
      <w:pPr>
        <w:pStyle w:val="BodyText"/>
        <w:numPr>
          <w:ilvl w:val="0"/>
          <w:numId w:val="4"/>
        </w:numPr>
        <w:tabs>
          <w:tab w:val="clear" w:pos="720"/>
        </w:tabs>
        <w:rPr>
          <w:sz w:val="22"/>
          <w:szCs w:val="22"/>
        </w:rPr>
      </w:pPr>
      <w:r w:rsidRPr="006B794C">
        <w:rPr>
          <w:sz w:val="22"/>
          <w:szCs w:val="22"/>
        </w:rPr>
        <w:t>The following table sets forth the Principal Payment Dates of the Loan and the percentage of the total principal amount of the Loan payable on each Principal Payment Date (“Installment Share”).  If the proceeds of the Loan have been fully withdrawn as of the first Principal Payment Date, the principal amount of the Loan repayable by the Borrower on each Principal Payment Date shall be determined by the Bank by multiplying:  (a) Withdrawn Loan Balance as of the first Principal Payment Date; by (b) the Installment Share for each Principal Payment Date, such repayable amount to be adjusted, as necessary, to deduct any amounts referred to in paragraph 4 of this Schedule, to which a Currency Conversion applies.</w:t>
      </w:r>
    </w:p>
    <w:p w:rsidR="00DA5570" w:rsidRPr="006B794C" w:rsidRDefault="00DA5570" w:rsidP="00DA5570">
      <w:pPr>
        <w:pStyle w:val="BodyText"/>
        <w:rPr>
          <w:b/>
          <w:i/>
          <w:sz w:val="22"/>
          <w:szCs w:val="22"/>
        </w:rPr>
      </w:pPr>
    </w:p>
    <w:tbl>
      <w:tblPr>
        <w:tblW w:w="4425"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0"/>
        <w:gridCol w:w="3960"/>
      </w:tblGrid>
      <w:tr w:rsidR="00DA5570" w:rsidRPr="006B794C" w:rsidTr="008416C4">
        <w:tc>
          <w:tcPr>
            <w:tcW w:w="2250" w:type="pct"/>
          </w:tcPr>
          <w:p w:rsidR="00DA5570" w:rsidRPr="006B794C" w:rsidRDefault="00DA5570" w:rsidP="006B794C">
            <w:pPr>
              <w:pStyle w:val="BodyText"/>
              <w:jc w:val="center"/>
              <w:rPr>
                <w:b/>
                <w:szCs w:val="22"/>
              </w:rPr>
            </w:pPr>
            <w:r w:rsidRPr="006B794C">
              <w:rPr>
                <w:b/>
                <w:sz w:val="22"/>
                <w:szCs w:val="22"/>
              </w:rPr>
              <w:t>Principal Payment Date</w:t>
            </w:r>
          </w:p>
        </w:tc>
        <w:tc>
          <w:tcPr>
            <w:tcW w:w="2750" w:type="pct"/>
          </w:tcPr>
          <w:p w:rsidR="00DA5570" w:rsidRPr="006B794C" w:rsidRDefault="00DA5570" w:rsidP="006B794C">
            <w:pPr>
              <w:pStyle w:val="BodyText"/>
              <w:jc w:val="center"/>
              <w:rPr>
                <w:b/>
                <w:szCs w:val="22"/>
              </w:rPr>
            </w:pPr>
            <w:r w:rsidRPr="006B794C">
              <w:rPr>
                <w:b/>
                <w:sz w:val="22"/>
                <w:szCs w:val="22"/>
              </w:rPr>
              <w:t>Installment Share</w:t>
            </w:r>
          </w:p>
          <w:p w:rsidR="00DA5570" w:rsidRPr="006B794C" w:rsidRDefault="00DA5570" w:rsidP="006B794C">
            <w:pPr>
              <w:pStyle w:val="BodyText"/>
              <w:jc w:val="center"/>
              <w:rPr>
                <w:szCs w:val="22"/>
              </w:rPr>
            </w:pPr>
            <w:r w:rsidRPr="006B794C">
              <w:rPr>
                <w:b/>
                <w:sz w:val="22"/>
                <w:szCs w:val="22"/>
              </w:rPr>
              <w:t>(Expressed as a Percentage)</w:t>
            </w:r>
          </w:p>
        </w:tc>
      </w:tr>
      <w:tr w:rsidR="00DA5570" w:rsidRPr="006B794C" w:rsidTr="008416C4">
        <w:tc>
          <w:tcPr>
            <w:tcW w:w="2250" w:type="pct"/>
          </w:tcPr>
          <w:p w:rsidR="00DA5570" w:rsidRPr="006B794C" w:rsidRDefault="00DA5570" w:rsidP="006B794C">
            <w:pPr>
              <w:autoSpaceDE w:val="0"/>
              <w:autoSpaceDN w:val="0"/>
              <w:adjustRightInd w:val="0"/>
              <w:spacing w:line="240" w:lineRule="auto"/>
              <w:jc w:val="both"/>
              <w:rPr>
                <w:rFonts w:eastAsiaTheme="minorHAnsi"/>
                <w:color w:val="000000"/>
                <w:szCs w:val="22"/>
              </w:rPr>
            </w:pPr>
            <w:r w:rsidRPr="006B794C">
              <w:rPr>
                <w:rFonts w:eastAsiaTheme="minorHAnsi"/>
                <w:color w:val="000000"/>
                <w:sz w:val="22"/>
                <w:szCs w:val="22"/>
              </w:rPr>
              <w:t>March 15, 2027</w:t>
            </w:r>
          </w:p>
        </w:tc>
        <w:tc>
          <w:tcPr>
            <w:tcW w:w="2750" w:type="pct"/>
          </w:tcPr>
          <w:p w:rsidR="00DA5570" w:rsidRPr="006B794C" w:rsidRDefault="00DA5570" w:rsidP="008416C4">
            <w:pPr>
              <w:autoSpaceDE w:val="0"/>
              <w:autoSpaceDN w:val="0"/>
              <w:adjustRightInd w:val="0"/>
              <w:spacing w:line="240" w:lineRule="auto"/>
              <w:jc w:val="center"/>
              <w:rPr>
                <w:rFonts w:eastAsiaTheme="minorHAnsi"/>
                <w:color w:val="000000"/>
                <w:szCs w:val="22"/>
              </w:rPr>
            </w:pPr>
            <w:r w:rsidRPr="006B794C">
              <w:rPr>
                <w:rFonts w:eastAsiaTheme="minorHAnsi"/>
                <w:color w:val="000000"/>
                <w:sz w:val="22"/>
                <w:szCs w:val="22"/>
              </w:rPr>
              <w:t>30.50%</w:t>
            </w:r>
          </w:p>
        </w:tc>
      </w:tr>
      <w:tr w:rsidR="00DA5570" w:rsidRPr="006B794C" w:rsidTr="008416C4">
        <w:tc>
          <w:tcPr>
            <w:tcW w:w="2250" w:type="pct"/>
          </w:tcPr>
          <w:p w:rsidR="00DA5570" w:rsidRPr="006B794C" w:rsidRDefault="00DA5570" w:rsidP="006B794C">
            <w:pPr>
              <w:autoSpaceDE w:val="0"/>
              <w:autoSpaceDN w:val="0"/>
              <w:adjustRightInd w:val="0"/>
              <w:spacing w:line="240" w:lineRule="auto"/>
              <w:jc w:val="both"/>
              <w:rPr>
                <w:rFonts w:eastAsiaTheme="minorHAnsi"/>
                <w:color w:val="000000"/>
                <w:szCs w:val="22"/>
              </w:rPr>
            </w:pPr>
            <w:r w:rsidRPr="006B794C">
              <w:rPr>
                <w:rFonts w:eastAsiaTheme="minorHAnsi"/>
                <w:color w:val="000000"/>
                <w:sz w:val="22"/>
                <w:szCs w:val="22"/>
              </w:rPr>
              <w:t>September 15, 2027</w:t>
            </w:r>
          </w:p>
        </w:tc>
        <w:tc>
          <w:tcPr>
            <w:tcW w:w="2750" w:type="pct"/>
          </w:tcPr>
          <w:p w:rsidR="00DA5570" w:rsidRPr="006B794C" w:rsidRDefault="00DA5570" w:rsidP="008416C4">
            <w:pPr>
              <w:autoSpaceDE w:val="0"/>
              <w:autoSpaceDN w:val="0"/>
              <w:adjustRightInd w:val="0"/>
              <w:spacing w:line="240" w:lineRule="auto"/>
              <w:jc w:val="center"/>
              <w:rPr>
                <w:rFonts w:eastAsiaTheme="minorHAnsi"/>
                <w:color w:val="000000"/>
                <w:szCs w:val="22"/>
              </w:rPr>
            </w:pPr>
            <w:r w:rsidRPr="006B794C">
              <w:rPr>
                <w:rFonts w:eastAsiaTheme="minorHAnsi"/>
                <w:color w:val="000000"/>
                <w:sz w:val="22"/>
                <w:szCs w:val="22"/>
              </w:rPr>
              <w:t>30.50%</w:t>
            </w:r>
          </w:p>
        </w:tc>
      </w:tr>
      <w:tr w:rsidR="00DA5570" w:rsidRPr="006B794C" w:rsidTr="008416C4">
        <w:tc>
          <w:tcPr>
            <w:tcW w:w="2250" w:type="pct"/>
          </w:tcPr>
          <w:p w:rsidR="00DA5570" w:rsidRPr="006B794C" w:rsidRDefault="00DA5570" w:rsidP="006B794C">
            <w:pPr>
              <w:keepNext/>
              <w:keepLines/>
              <w:autoSpaceDE w:val="0"/>
              <w:autoSpaceDN w:val="0"/>
              <w:adjustRightInd w:val="0"/>
              <w:spacing w:line="240" w:lineRule="auto"/>
              <w:jc w:val="both"/>
              <w:rPr>
                <w:rFonts w:eastAsiaTheme="minorHAnsi"/>
                <w:color w:val="000000"/>
                <w:szCs w:val="22"/>
              </w:rPr>
            </w:pPr>
            <w:r w:rsidRPr="006B794C">
              <w:rPr>
                <w:rFonts w:eastAsiaTheme="minorHAnsi"/>
                <w:color w:val="000000"/>
                <w:sz w:val="22"/>
                <w:szCs w:val="22"/>
              </w:rPr>
              <w:t>March 15, 2028</w:t>
            </w:r>
          </w:p>
        </w:tc>
        <w:tc>
          <w:tcPr>
            <w:tcW w:w="2750" w:type="pct"/>
          </w:tcPr>
          <w:p w:rsidR="00DA5570" w:rsidRPr="006B794C" w:rsidRDefault="00DA5570" w:rsidP="008416C4">
            <w:pPr>
              <w:autoSpaceDE w:val="0"/>
              <w:autoSpaceDN w:val="0"/>
              <w:adjustRightInd w:val="0"/>
              <w:spacing w:line="240" w:lineRule="auto"/>
              <w:jc w:val="center"/>
              <w:rPr>
                <w:rFonts w:eastAsiaTheme="minorHAnsi"/>
                <w:color w:val="000000"/>
                <w:szCs w:val="22"/>
              </w:rPr>
            </w:pPr>
            <w:r w:rsidRPr="006B794C">
              <w:rPr>
                <w:rFonts w:eastAsiaTheme="minorHAnsi"/>
                <w:color w:val="000000"/>
                <w:sz w:val="22"/>
                <w:szCs w:val="22"/>
              </w:rPr>
              <w:t>14.66%</w:t>
            </w:r>
          </w:p>
        </w:tc>
      </w:tr>
      <w:tr w:rsidR="00DA5570" w:rsidRPr="006B794C" w:rsidTr="008416C4">
        <w:tc>
          <w:tcPr>
            <w:tcW w:w="2250" w:type="pct"/>
          </w:tcPr>
          <w:p w:rsidR="00DA5570" w:rsidRPr="006B794C" w:rsidRDefault="00DA5570" w:rsidP="006B794C">
            <w:pPr>
              <w:keepNext/>
              <w:keepLines/>
              <w:autoSpaceDE w:val="0"/>
              <w:autoSpaceDN w:val="0"/>
              <w:adjustRightInd w:val="0"/>
              <w:spacing w:line="240" w:lineRule="auto"/>
              <w:jc w:val="both"/>
              <w:rPr>
                <w:rFonts w:eastAsiaTheme="minorHAnsi"/>
                <w:color w:val="000000"/>
                <w:szCs w:val="22"/>
              </w:rPr>
            </w:pPr>
            <w:r w:rsidRPr="006B794C">
              <w:rPr>
                <w:rFonts w:eastAsiaTheme="minorHAnsi"/>
                <w:color w:val="000000"/>
                <w:sz w:val="22"/>
                <w:szCs w:val="22"/>
              </w:rPr>
              <w:t>September 15, 2028</w:t>
            </w:r>
          </w:p>
        </w:tc>
        <w:tc>
          <w:tcPr>
            <w:tcW w:w="2750" w:type="pct"/>
          </w:tcPr>
          <w:p w:rsidR="00DA5570" w:rsidRPr="006B794C" w:rsidRDefault="00DA5570" w:rsidP="008416C4">
            <w:pPr>
              <w:autoSpaceDE w:val="0"/>
              <w:autoSpaceDN w:val="0"/>
              <w:adjustRightInd w:val="0"/>
              <w:spacing w:line="240" w:lineRule="auto"/>
              <w:jc w:val="center"/>
              <w:rPr>
                <w:rFonts w:eastAsiaTheme="minorHAnsi"/>
                <w:color w:val="000000"/>
                <w:szCs w:val="22"/>
              </w:rPr>
            </w:pPr>
            <w:r w:rsidRPr="006B794C">
              <w:rPr>
                <w:rFonts w:eastAsiaTheme="minorHAnsi"/>
                <w:color w:val="000000"/>
                <w:sz w:val="22"/>
                <w:szCs w:val="22"/>
              </w:rPr>
              <w:t>17.33%</w:t>
            </w:r>
          </w:p>
        </w:tc>
      </w:tr>
      <w:tr w:rsidR="00DA5570" w:rsidRPr="006B794C" w:rsidTr="008416C4">
        <w:tc>
          <w:tcPr>
            <w:tcW w:w="2250" w:type="pct"/>
          </w:tcPr>
          <w:p w:rsidR="00DA5570" w:rsidRPr="006B794C" w:rsidRDefault="00DA5570" w:rsidP="006B794C">
            <w:pPr>
              <w:keepNext/>
              <w:keepLines/>
              <w:autoSpaceDE w:val="0"/>
              <w:autoSpaceDN w:val="0"/>
              <w:adjustRightInd w:val="0"/>
              <w:spacing w:line="240" w:lineRule="auto"/>
              <w:jc w:val="both"/>
              <w:rPr>
                <w:rFonts w:eastAsiaTheme="minorHAnsi"/>
                <w:color w:val="000000"/>
                <w:szCs w:val="22"/>
              </w:rPr>
            </w:pPr>
            <w:r w:rsidRPr="006B794C">
              <w:rPr>
                <w:rFonts w:eastAsiaTheme="minorHAnsi"/>
                <w:color w:val="000000"/>
                <w:sz w:val="22"/>
                <w:szCs w:val="22"/>
              </w:rPr>
              <w:t>March 15, 2029</w:t>
            </w:r>
          </w:p>
        </w:tc>
        <w:tc>
          <w:tcPr>
            <w:tcW w:w="2750" w:type="pct"/>
          </w:tcPr>
          <w:p w:rsidR="00DA5570" w:rsidRPr="006B794C" w:rsidRDefault="00DA5570" w:rsidP="008416C4">
            <w:pPr>
              <w:autoSpaceDE w:val="0"/>
              <w:autoSpaceDN w:val="0"/>
              <w:adjustRightInd w:val="0"/>
              <w:spacing w:line="240" w:lineRule="auto"/>
              <w:jc w:val="center"/>
              <w:rPr>
                <w:rFonts w:eastAsiaTheme="minorHAnsi"/>
                <w:color w:val="000000"/>
                <w:szCs w:val="22"/>
              </w:rPr>
            </w:pPr>
            <w:r w:rsidRPr="006B794C">
              <w:rPr>
                <w:rFonts w:eastAsiaTheme="minorHAnsi"/>
                <w:color w:val="000000"/>
                <w:sz w:val="22"/>
                <w:szCs w:val="22"/>
              </w:rPr>
              <w:t>3.50%</w:t>
            </w:r>
          </w:p>
        </w:tc>
      </w:tr>
      <w:tr w:rsidR="00DA5570" w:rsidRPr="006B794C" w:rsidTr="008416C4">
        <w:tc>
          <w:tcPr>
            <w:tcW w:w="2250" w:type="pct"/>
          </w:tcPr>
          <w:p w:rsidR="00DA5570" w:rsidRPr="006B794C" w:rsidRDefault="00DA5570" w:rsidP="006B794C">
            <w:pPr>
              <w:keepNext/>
              <w:keepLines/>
              <w:autoSpaceDE w:val="0"/>
              <w:autoSpaceDN w:val="0"/>
              <w:adjustRightInd w:val="0"/>
              <w:spacing w:line="240" w:lineRule="auto"/>
              <w:jc w:val="both"/>
              <w:rPr>
                <w:rFonts w:eastAsiaTheme="minorHAnsi"/>
                <w:color w:val="000000"/>
                <w:szCs w:val="22"/>
              </w:rPr>
            </w:pPr>
            <w:r w:rsidRPr="006B794C">
              <w:rPr>
                <w:rFonts w:eastAsiaTheme="minorHAnsi"/>
                <w:color w:val="000000"/>
                <w:sz w:val="22"/>
                <w:szCs w:val="22"/>
              </w:rPr>
              <w:t>September 15, 2029</w:t>
            </w:r>
          </w:p>
        </w:tc>
        <w:tc>
          <w:tcPr>
            <w:tcW w:w="2750" w:type="pct"/>
          </w:tcPr>
          <w:p w:rsidR="00DA5570" w:rsidRPr="006B794C" w:rsidRDefault="00DA5570" w:rsidP="008416C4">
            <w:pPr>
              <w:autoSpaceDE w:val="0"/>
              <w:autoSpaceDN w:val="0"/>
              <w:adjustRightInd w:val="0"/>
              <w:spacing w:line="240" w:lineRule="auto"/>
              <w:jc w:val="center"/>
              <w:rPr>
                <w:rFonts w:eastAsiaTheme="minorHAnsi"/>
                <w:color w:val="000000"/>
                <w:szCs w:val="22"/>
              </w:rPr>
            </w:pPr>
            <w:r w:rsidRPr="006B794C">
              <w:rPr>
                <w:rFonts w:eastAsiaTheme="minorHAnsi"/>
                <w:color w:val="000000"/>
                <w:sz w:val="22"/>
                <w:szCs w:val="22"/>
              </w:rPr>
              <w:t>3.51%</w:t>
            </w:r>
          </w:p>
        </w:tc>
      </w:tr>
    </w:tbl>
    <w:p w:rsidR="00DA5570" w:rsidRPr="006B794C" w:rsidRDefault="00DA5570" w:rsidP="00DA5570">
      <w:pPr>
        <w:pStyle w:val="BodyText"/>
        <w:rPr>
          <w:sz w:val="22"/>
          <w:szCs w:val="22"/>
        </w:rPr>
      </w:pPr>
    </w:p>
    <w:p w:rsidR="00DA5570" w:rsidRPr="006B794C" w:rsidRDefault="00DA5570" w:rsidP="00DA5570">
      <w:pPr>
        <w:pStyle w:val="BodyText"/>
        <w:ind w:left="720" w:hanging="720"/>
        <w:rPr>
          <w:sz w:val="22"/>
          <w:szCs w:val="22"/>
        </w:rPr>
      </w:pPr>
      <w:r w:rsidRPr="006B794C">
        <w:rPr>
          <w:sz w:val="22"/>
          <w:szCs w:val="22"/>
        </w:rPr>
        <w:t xml:space="preserve">2. </w:t>
      </w:r>
      <w:r w:rsidRPr="006B794C">
        <w:rPr>
          <w:sz w:val="22"/>
          <w:szCs w:val="22"/>
        </w:rPr>
        <w:tab/>
        <w:t>If the proceeds of the Loan have not been fully withdrawn as of the first Principal Payment Date, the principal amount of the Loan repayable by the Borrower on each Principal Payment Date shall be determined as follows:</w:t>
      </w:r>
    </w:p>
    <w:p w:rsidR="00DA5570" w:rsidRPr="006B794C" w:rsidRDefault="00DA5570" w:rsidP="00DA5570">
      <w:pPr>
        <w:pStyle w:val="BodyText"/>
        <w:ind w:left="720" w:hanging="720"/>
        <w:rPr>
          <w:sz w:val="22"/>
          <w:szCs w:val="22"/>
        </w:rPr>
      </w:pPr>
    </w:p>
    <w:p w:rsidR="00DA5570" w:rsidRPr="006B794C" w:rsidRDefault="00DA5570" w:rsidP="00DA5570">
      <w:pPr>
        <w:pStyle w:val="BodyText"/>
        <w:ind w:left="1440" w:hanging="720"/>
        <w:rPr>
          <w:sz w:val="22"/>
          <w:szCs w:val="22"/>
        </w:rPr>
      </w:pPr>
      <w:r w:rsidRPr="006B794C">
        <w:rPr>
          <w:sz w:val="22"/>
          <w:szCs w:val="22"/>
        </w:rPr>
        <w:t>(a)</w:t>
      </w:r>
      <w:r w:rsidRPr="006B794C">
        <w:rPr>
          <w:sz w:val="22"/>
          <w:szCs w:val="22"/>
        </w:rPr>
        <w:tab/>
        <w:t>To the extent that any proceeds of the Loan have been withdrawn as of the first Principal Payment Date, the Borrower shall repay the Withdrawn Loan Balance as of such date in accordance with paragraph 1 of this Schedule.</w:t>
      </w:r>
    </w:p>
    <w:p w:rsidR="00DA5570" w:rsidRPr="006B794C" w:rsidRDefault="00DA5570" w:rsidP="00DA5570">
      <w:pPr>
        <w:pStyle w:val="BodyText"/>
        <w:ind w:left="1440" w:hanging="720"/>
        <w:rPr>
          <w:sz w:val="22"/>
          <w:szCs w:val="22"/>
        </w:rPr>
      </w:pPr>
    </w:p>
    <w:p w:rsidR="00DA5570" w:rsidRPr="006B794C" w:rsidRDefault="00DA5570" w:rsidP="00DA5570">
      <w:pPr>
        <w:pStyle w:val="BodyText"/>
        <w:ind w:left="1440" w:hanging="720"/>
        <w:rPr>
          <w:sz w:val="22"/>
          <w:szCs w:val="22"/>
        </w:rPr>
      </w:pPr>
      <w:r w:rsidRPr="006B794C">
        <w:rPr>
          <w:sz w:val="22"/>
          <w:szCs w:val="22"/>
        </w:rPr>
        <w:t>(b)</w:t>
      </w:r>
      <w:r w:rsidRPr="006B794C">
        <w:rPr>
          <w:sz w:val="22"/>
          <w:szCs w:val="22"/>
        </w:rPr>
        <w:tab/>
        <w:t>Any amount withdrawn after the first Principal Payment Date shall be repaid on each Principal Payment Date falling after the date of such withdrawal in amounts determined by the Bank by multiplying the amount of each such withdrawal by a fraction, the numerator of which is the original Installment Share specified in the table in paragraph 1 of this Schedule for said Principal Payment Date (“Original Installment Share”) and the denominator of which is the sum of all remaining Original Installment Shares for Principal Payment Dates falling on or after such date, such amounts repayable to be adjusted, as necessary, to deduct any amounts referred to in paragraph 4 of this Schedule, to which a Currency Conversion applies.</w:t>
      </w:r>
      <w:r w:rsidRPr="006B794C">
        <w:rPr>
          <w:sz w:val="22"/>
          <w:szCs w:val="22"/>
          <w:vertAlign w:val="superscript"/>
        </w:rPr>
        <w:t xml:space="preserve"> </w:t>
      </w:r>
    </w:p>
    <w:p w:rsidR="00DA5570" w:rsidRPr="006B794C" w:rsidRDefault="00DA5570" w:rsidP="00DA5570">
      <w:pPr>
        <w:pStyle w:val="BodyText"/>
        <w:tabs>
          <w:tab w:val="left" w:pos="720"/>
        </w:tabs>
        <w:ind w:left="1440" w:hanging="1440"/>
        <w:rPr>
          <w:sz w:val="22"/>
          <w:szCs w:val="22"/>
        </w:rPr>
      </w:pPr>
      <w:r w:rsidRPr="006B794C">
        <w:rPr>
          <w:sz w:val="22"/>
          <w:szCs w:val="22"/>
        </w:rPr>
        <w:lastRenderedPageBreak/>
        <w:t>3.</w:t>
      </w:r>
      <w:r w:rsidRPr="006B794C">
        <w:rPr>
          <w:sz w:val="22"/>
          <w:szCs w:val="22"/>
        </w:rPr>
        <w:tab/>
        <w:t>(a)</w:t>
      </w:r>
      <w:r w:rsidRPr="006B794C">
        <w:rPr>
          <w:sz w:val="22"/>
          <w:szCs w:val="22"/>
        </w:rPr>
        <w:tab/>
        <w:t>Amounts of the Loan withdrawn within two calendar months prior to any Principal Payment Date shall, for the purposes solely of calculating the principal amounts payable on any Principal Payment Date, be treated as withdrawn and outstanding on the second Principal Payment Date following the date of withdrawal and shall be repayable on each Principal Payment Date commencing with the second Principal Payment Date following the date of withdrawal.</w:t>
      </w:r>
    </w:p>
    <w:p w:rsidR="00DA5570" w:rsidRPr="006B794C" w:rsidRDefault="00DA5570" w:rsidP="00DA5570">
      <w:pPr>
        <w:pStyle w:val="BodyText"/>
        <w:rPr>
          <w:sz w:val="22"/>
          <w:szCs w:val="22"/>
        </w:rPr>
      </w:pPr>
    </w:p>
    <w:p w:rsidR="00DA5570" w:rsidRPr="006B794C" w:rsidRDefault="00DA5570" w:rsidP="00DA5570">
      <w:pPr>
        <w:pStyle w:val="BodyText"/>
        <w:numPr>
          <w:ilvl w:val="0"/>
          <w:numId w:val="5"/>
        </w:numPr>
        <w:tabs>
          <w:tab w:val="clear" w:pos="1080"/>
        </w:tabs>
        <w:ind w:left="1440" w:hanging="720"/>
        <w:rPr>
          <w:sz w:val="22"/>
          <w:szCs w:val="22"/>
        </w:rPr>
      </w:pPr>
      <w:r w:rsidRPr="006B794C">
        <w:rPr>
          <w:sz w:val="22"/>
          <w:szCs w:val="22"/>
        </w:rPr>
        <w:t xml:space="preserve">Notwithstanding the provisions of sub-paragraph (a) of this paragraph, if at any time the Bank adopts a due date billing system under which invoices are issued on or after the respective Principal Payment Date, the provisions of such sub-paragraph shall no longer apply to any withdrawals made after the adoption of such billing system. </w:t>
      </w:r>
    </w:p>
    <w:p w:rsidR="00DA5570" w:rsidRPr="006B794C" w:rsidRDefault="00DA5570" w:rsidP="00DA5570">
      <w:pPr>
        <w:pStyle w:val="BodyText"/>
        <w:ind w:left="720"/>
        <w:rPr>
          <w:sz w:val="22"/>
          <w:szCs w:val="22"/>
        </w:rPr>
      </w:pPr>
    </w:p>
    <w:p w:rsidR="00DA5570" w:rsidRPr="006B794C" w:rsidRDefault="00DA5570" w:rsidP="00DA5570">
      <w:pPr>
        <w:pStyle w:val="BodyText"/>
        <w:ind w:left="720" w:hanging="720"/>
        <w:rPr>
          <w:sz w:val="22"/>
          <w:szCs w:val="22"/>
        </w:rPr>
      </w:pPr>
      <w:r w:rsidRPr="006B794C">
        <w:rPr>
          <w:sz w:val="22"/>
          <w:szCs w:val="22"/>
        </w:rPr>
        <w:t>4.</w:t>
      </w:r>
      <w:r w:rsidRPr="006B794C">
        <w:rPr>
          <w:sz w:val="22"/>
          <w:szCs w:val="22"/>
        </w:rPr>
        <w:tab/>
        <w:t xml:space="preserve">Notwithstanding the provisions of paragraphs 1 and 2 of this Schedule, upon a Currency Conversion of all or any portion of the Withdrawn Loan Balance to an Approved Currency, the amount so converted in the Approved Currency that is repayable on any Principal Payment Date occurring during the Conversion Period, shall be determined by the Bank by multiplying such amount in its currency of denomination immediately prior to the Conversion by either: (i) the exchange rate that reflects the amounts of principal in the Approved Currency payable by the Bank under the Currency Hedge Transaction relating to the Conversion; or (ii) if the Bank so determines in accordance with the Conversion Guidelines, the exchange rate component of the Screen Rate. </w:t>
      </w:r>
    </w:p>
    <w:p w:rsidR="00DA5570" w:rsidRPr="006B794C" w:rsidRDefault="00DA5570" w:rsidP="00DA5570">
      <w:pPr>
        <w:pStyle w:val="BodyText"/>
        <w:ind w:left="720" w:hanging="720"/>
        <w:rPr>
          <w:sz w:val="22"/>
          <w:szCs w:val="22"/>
        </w:rPr>
      </w:pPr>
    </w:p>
    <w:p w:rsidR="00DA5570" w:rsidRPr="006B794C" w:rsidRDefault="00DA5570" w:rsidP="00DA5570">
      <w:pPr>
        <w:pStyle w:val="BodyText"/>
        <w:ind w:left="720" w:hanging="720"/>
        <w:rPr>
          <w:sz w:val="22"/>
          <w:szCs w:val="22"/>
        </w:rPr>
      </w:pPr>
      <w:r w:rsidRPr="006B794C">
        <w:rPr>
          <w:sz w:val="22"/>
          <w:szCs w:val="22"/>
        </w:rPr>
        <w:t>5.</w:t>
      </w:r>
      <w:r w:rsidRPr="006B794C">
        <w:rPr>
          <w:sz w:val="22"/>
          <w:szCs w:val="22"/>
        </w:rPr>
        <w:tab/>
        <w:t>If the Withdrawn Loan Balance is denominated in more than one Loan Currency, the provisions of this Schedule shall apply separately to the amount denominated in each Loan Currency, so as to produce a separate amortization schedule for each such amount.</w:t>
      </w:r>
    </w:p>
    <w:p w:rsidR="00DA5570" w:rsidRPr="006B794C" w:rsidRDefault="00DA5570" w:rsidP="00DA5570">
      <w:pPr>
        <w:pStyle w:val="BodyText"/>
        <w:jc w:val="center"/>
        <w:rPr>
          <w:b/>
          <w:sz w:val="22"/>
          <w:szCs w:val="22"/>
        </w:rPr>
      </w:pPr>
      <w:r w:rsidRPr="006B794C">
        <w:rPr>
          <w:b/>
          <w:sz w:val="22"/>
          <w:szCs w:val="22"/>
        </w:rPr>
        <w:br w:type="page"/>
      </w:r>
    </w:p>
    <w:p w:rsidR="00DA5570" w:rsidRPr="006B794C" w:rsidRDefault="00DA5570" w:rsidP="00DA5570">
      <w:pPr>
        <w:pStyle w:val="BodyText"/>
        <w:ind w:left="720" w:hanging="720"/>
        <w:jc w:val="center"/>
        <w:rPr>
          <w:b/>
          <w:bCs/>
          <w:sz w:val="22"/>
          <w:szCs w:val="22"/>
        </w:rPr>
      </w:pPr>
      <w:r w:rsidRPr="006B794C">
        <w:rPr>
          <w:b/>
          <w:bCs/>
          <w:sz w:val="22"/>
          <w:szCs w:val="22"/>
        </w:rPr>
        <w:lastRenderedPageBreak/>
        <w:t>APPENDIX</w:t>
      </w:r>
    </w:p>
    <w:p w:rsidR="00DA5570" w:rsidRPr="006B794C" w:rsidRDefault="00DA5570" w:rsidP="00DA5570">
      <w:pPr>
        <w:pStyle w:val="BodyText"/>
        <w:ind w:left="720" w:hanging="720"/>
        <w:rPr>
          <w:b/>
          <w:bCs/>
          <w:sz w:val="22"/>
          <w:szCs w:val="22"/>
        </w:rPr>
      </w:pPr>
    </w:p>
    <w:p w:rsidR="00DA5570" w:rsidRPr="006B794C" w:rsidRDefault="00DA5570" w:rsidP="00DA5570">
      <w:pPr>
        <w:pStyle w:val="BodyText"/>
        <w:ind w:left="720" w:hanging="720"/>
        <w:rPr>
          <w:b/>
          <w:bCs/>
          <w:sz w:val="22"/>
          <w:szCs w:val="22"/>
        </w:rPr>
      </w:pPr>
      <w:r w:rsidRPr="006B794C">
        <w:rPr>
          <w:b/>
          <w:bCs/>
          <w:sz w:val="22"/>
          <w:szCs w:val="22"/>
        </w:rPr>
        <w:t>Section I.  Definitions</w:t>
      </w:r>
    </w:p>
    <w:p w:rsidR="00DA5570" w:rsidRPr="006B794C" w:rsidRDefault="00DA5570" w:rsidP="00DA5570">
      <w:pPr>
        <w:pStyle w:val="BodyText"/>
        <w:ind w:left="720" w:hanging="720"/>
        <w:rPr>
          <w:b/>
          <w:bCs/>
          <w:sz w:val="22"/>
          <w:szCs w:val="22"/>
        </w:rPr>
      </w:pPr>
    </w:p>
    <w:p w:rsidR="00DA5570" w:rsidRPr="006B794C" w:rsidRDefault="00DA5570" w:rsidP="00DA5570">
      <w:pPr>
        <w:pStyle w:val="BodyText"/>
        <w:numPr>
          <w:ilvl w:val="0"/>
          <w:numId w:val="2"/>
        </w:numPr>
        <w:tabs>
          <w:tab w:val="clear" w:pos="1080"/>
        </w:tabs>
        <w:ind w:left="720" w:hanging="720"/>
        <w:rPr>
          <w:sz w:val="22"/>
          <w:szCs w:val="22"/>
        </w:rPr>
      </w:pPr>
      <w:r w:rsidRPr="006B794C">
        <w:rPr>
          <w:bCs/>
          <w:sz w:val="22"/>
          <w:szCs w:val="22"/>
        </w:rPr>
        <w:t>“Excluded Expenditure” means any expenditure:</w:t>
      </w:r>
    </w:p>
    <w:p w:rsidR="00DA5570" w:rsidRPr="006B794C" w:rsidRDefault="00DA5570" w:rsidP="00DA5570">
      <w:pPr>
        <w:pStyle w:val="BodyText"/>
        <w:rPr>
          <w:sz w:val="22"/>
          <w:szCs w:val="22"/>
        </w:rPr>
      </w:pPr>
    </w:p>
    <w:p w:rsidR="00DA5570" w:rsidRPr="006B794C" w:rsidRDefault="00DA5570" w:rsidP="00DA5570">
      <w:pPr>
        <w:pStyle w:val="BodyText"/>
        <w:ind w:left="1440" w:hanging="720"/>
        <w:rPr>
          <w:bCs/>
          <w:sz w:val="22"/>
          <w:szCs w:val="22"/>
        </w:rPr>
      </w:pPr>
      <w:r w:rsidRPr="006B794C">
        <w:rPr>
          <w:bCs/>
          <w:sz w:val="22"/>
          <w:szCs w:val="22"/>
        </w:rPr>
        <w:t xml:space="preserve">(a) </w:t>
      </w:r>
      <w:r w:rsidRPr="006B794C">
        <w:rPr>
          <w:bCs/>
          <w:sz w:val="22"/>
          <w:szCs w:val="22"/>
        </w:rPr>
        <w:tab/>
        <w:t xml:space="preserve">for goods or services supplied </w:t>
      </w:r>
      <w:bookmarkStart w:id="40" w:name="_DV_M258"/>
      <w:bookmarkEnd w:id="40"/>
      <w:r w:rsidRPr="006B794C">
        <w:rPr>
          <w:bCs/>
          <w:sz w:val="22"/>
          <w:szCs w:val="22"/>
        </w:rPr>
        <w:t>under a contract which any national or international financing institution or agency other than the Bank or the Association has financed or agreed to finance, or which the Bank or the Association has financed or agreed to finance under another loan</w:t>
      </w:r>
      <w:bookmarkStart w:id="41" w:name="_DV_C325"/>
      <w:r w:rsidRPr="006B794C">
        <w:rPr>
          <w:bCs/>
          <w:sz w:val="22"/>
          <w:szCs w:val="22"/>
        </w:rPr>
        <w:t>,</w:t>
      </w:r>
      <w:bookmarkStart w:id="42" w:name="_DV_M259"/>
      <w:bookmarkEnd w:id="41"/>
      <w:bookmarkEnd w:id="42"/>
      <w:r w:rsidRPr="006B794C">
        <w:rPr>
          <w:bCs/>
          <w:sz w:val="22"/>
          <w:szCs w:val="22"/>
        </w:rPr>
        <w:t xml:space="preserve"> credit</w:t>
      </w:r>
      <w:bookmarkStart w:id="43" w:name="_DV_C326"/>
      <w:r w:rsidRPr="006B794C">
        <w:rPr>
          <w:bCs/>
          <w:sz w:val="22"/>
          <w:szCs w:val="22"/>
        </w:rPr>
        <w:t>, or grant</w:t>
      </w:r>
      <w:bookmarkStart w:id="44" w:name="_DV_M260"/>
      <w:bookmarkEnd w:id="43"/>
      <w:bookmarkEnd w:id="44"/>
      <w:r w:rsidRPr="006B794C">
        <w:rPr>
          <w:bCs/>
          <w:sz w:val="22"/>
          <w:szCs w:val="22"/>
        </w:rPr>
        <w:t>;</w:t>
      </w:r>
    </w:p>
    <w:p w:rsidR="00DA5570" w:rsidRPr="006B794C" w:rsidRDefault="00DA5570" w:rsidP="00DA5570">
      <w:pPr>
        <w:pStyle w:val="BodyText"/>
        <w:ind w:left="1440" w:hanging="720"/>
        <w:rPr>
          <w:bCs/>
          <w:sz w:val="22"/>
          <w:szCs w:val="22"/>
        </w:rPr>
      </w:pPr>
    </w:p>
    <w:p w:rsidR="00DA5570" w:rsidRPr="006B794C" w:rsidRDefault="00DA5570" w:rsidP="00DA5570">
      <w:pPr>
        <w:pStyle w:val="BodyText"/>
        <w:ind w:left="1440" w:hanging="720"/>
        <w:rPr>
          <w:bCs/>
          <w:sz w:val="22"/>
          <w:szCs w:val="22"/>
        </w:rPr>
      </w:pPr>
      <w:r w:rsidRPr="006B794C">
        <w:rPr>
          <w:bCs/>
          <w:sz w:val="22"/>
          <w:szCs w:val="22"/>
        </w:rPr>
        <w:t>(b)</w:t>
      </w:r>
      <w:r w:rsidRPr="006B794C">
        <w:rPr>
          <w:bCs/>
          <w:sz w:val="22"/>
          <w:szCs w:val="22"/>
        </w:rPr>
        <w:tab/>
        <w:t>for goods included in the following groups or sub-groups of the Standard International Trade Classification, Revision 3 (SITC, Rev.3), published by the United Nations in Statistical Papers, Series M, No. 34/Rev.3 (1986) (the SITC), or any successor groups or subgroups under future revisions to the SITC, as designated by the Bank by notice to the Borrower:</w:t>
      </w:r>
    </w:p>
    <w:p w:rsidR="00DA5570" w:rsidRPr="006B794C" w:rsidRDefault="00DA5570" w:rsidP="00DA5570">
      <w:pPr>
        <w:pStyle w:val="BodyText"/>
        <w:ind w:left="1440" w:hanging="720"/>
        <w:rPr>
          <w:bCs/>
          <w:sz w:val="22"/>
          <w:szCs w:val="22"/>
        </w:rPr>
      </w:pPr>
    </w:p>
    <w:tbl>
      <w:tblPr>
        <w:tblW w:w="4425"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1"/>
        <w:gridCol w:w="2340"/>
        <w:gridCol w:w="3149"/>
      </w:tblGrid>
      <w:tr w:rsidR="00DA5570" w:rsidRPr="006B794C" w:rsidTr="008416C4">
        <w:tc>
          <w:tcPr>
            <w:tcW w:w="1188" w:type="pct"/>
          </w:tcPr>
          <w:p w:rsidR="00DA5570" w:rsidRPr="008416C4" w:rsidRDefault="00DA5570" w:rsidP="008416C4">
            <w:pPr>
              <w:pStyle w:val="BodyText"/>
              <w:jc w:val="center"/>
              <w:rPr>
                <w:b/>
                <w:bCs/>
                <w:szCs w:val="22"/>
              </w:rPr>
            </w:pPr>
            <w:r w:rsidRPr="008416C4">
              <w:rPr>
                <w:b/>
                <w:bCs/>
                <w:sz w:val="22"/>
                <w:szCs w:val="22"/>
              </w:rPr>
              <w:t>Group</w:t>
            </w:r>
          </w:p>
        </w:tc>
        <w:tc>
          <w:tcPr>
            <w:tcW w:w="1625" w:type="pct"/>
          </w:tcPr>
          <w:p w:rsidR="00DA5570" w:rsidRPr="008416C4" w:rsidRDefault="00DA5570" w:rsidP="008416C4">
            <w:pPr>
              <w:pStyle w:val="BodyText"/>
              <w:ind w:left="-78"/>
              <w:jc w:val="center"/>
              <w:rPr>
                <w:b/>
                <w:bCs/>
                <w:szCs w:val="22"/>
              </w:rPr>
            </w:pPr>
            <w:r w:rsidRPr="008416C4">
              <w:rPr>
                <w:b/>
                <w:bCs/>
                <w:sz w:val="22"/>
                <w:szCs w:val="22"/>
              </w:rPr>
              <w:t>Sub-group</w:t>
            </w:r>
          </w:p>
        </w:tc>
        <w:tc>
          <w:tcPr>
            <w:tcW w:w="2188" w:type="pct"/>
          </w:tcPr>
          <w:p w:rsidR="00DA5570" w:rsidRPr="008416C4" w:rsidRDefault="00DA5570" w:rsidP="008416C4">
            <w:pPr>
              <w:pStyle w:val="BodyText"/>
              <w:ind w:left="-76"/>
              <w:jc w:val="center"/>
              <w:rPr>
                <w:b/>
                <w:bCs/>
                <w:szCs w:val="22"/>
              </w:rPr>
            </w:pPr>
            <w:r w:rsidRPr="008416C4">
              <w:rPr>
                <w:b/>
                <w:bCs/>
                <w:sz w:val="22"/>
                <w:szCs w:val="22"/>
              </w:rPr>
              <w:t>Description of Item</w:t>
            </w:r>
          </w:p>
        </w:tc>
      </w:tr>
      <w:tr w:rsidR="00DA5570" w:rsidRPr="006B794C" w:rsidTr="008416C4">
        <w:tc>
          <w:tcPr>
            <w:tcW w:w="1188" w:type="pct"/>
          </w:tcPr>
          <w:p w:rsidR="00DA5570" w:rsidRPr="006B794C" w:rsidRDefault="008416C4" w:rsidP="008416C4">
            <w:pPr>
              <w:pStyle w:val="BodyText"/>
              <w:rPr>
                <w:bCs/>
                <w:szCs w:val="22"/>
              </w:rPr>
            </w:pPr>
            <w:r>
              <w:rPr>
                <w:bCs/>
                <w:sz w:val="22"/>
                <w:szCs w:val="22"/>
              </w:rPr>
              <w:tab/>
            </w:r>
            <w:r w:rsidR="00DA5570" w:rsidRPr="006B794C">
              <w:rPr>
                <w:bCs/>
                <w:sz w:val="22"/>
                <w:szCs w:val="22"/>
              </w:rPr>
              <w:t>112</w:t>
            </w:r>
          </w:p>
        </w:tc>
        <w:tc>
          <w:tcPr>
            <w:tcW w:w="1625" w:type="pct"/>
          </w:tcPr>
          <w:p w:rsidR="00DA5570" w:rsidRPr="006B794C" w:rsidRDefault="00DA5570" w:rsidP="006B794C">
            <w:pPr>
              <w:pStyle w:val="BodyText"/>
              <w:ind w:left="1440" w:hanging="720"/>
              <w:rPr>
                <w:bCs/>
                <w:szCs w:val="22"/>
              </w:rPr>
            </w:pPr>
          </w:p>
        </w:tc>
        <w:tc>
          <w:tcPr>
            <w:tcW w:w="2188" w:type="pct"/>
          </w:tcPr>
          <w:p w:rsidR="00DA5570" w:rsidRPr="006B794C" w:rsidRDefault="00DA5570" w:rsidP="006B794C">
            <w:pPr>
              <w:pStyle w:val="BodyText"/>
              <w:jc w:val="left"/>
              <w:rPr>
                <w:bCs/>
                <w:szCs w:val="22"/>
              </w:rPr>
            </w:pPr>
            <w:r w:rsidRPr="006B794C">
              <w:rPr>
                <w:bCs/>
                <w:sz w:val="22"/>
                <w:szCs w:val="22"/>
              </w:rPr>
              <w:t>Alcoholic beverages</w:t>
            </w:r>
          </w:p>
        </w:tc>
      </w:tr>
      <w:tr w:rsidR="00DA5570" w:rsidRPr="006B794C" w:rsidTr="008416C4">
        <w:tc>
          <w:tcPr>
            <w:tcW w:w="1188" w:type="pct"/>
          </w:tcPr>
          <w:p w:rsidR="00DA5570" w:rsidRPr="006B794C" w:rsidRDefault="008416C4" w:rsidP="008416C4">
            <w:pPr>
              <w:pStyle w:val="BodyText"/>
              <w:rPr>
                <w:bCs/>
                <w:szCs w:val="22"/>
              </w:rPr>
            </w:pPr>
            <w:r>
              <w:rPr>
                <w:bCs/>
                <w:sz w:val="22"/>
                <w:szCs w:val="22"/>
              </w:rPr>
              <w:tab/>
            </w:r>
            <w:r w:rsidR="00DA5570" w:rsidRPr="006B794C">
              <w:rPr>
                <w:bCs/>
                <w:sz w:val="22"/>
                <w:szCs w:val="22"/>
              </w:rPr>
              <w:t>121</w:t>
            </w:r>
          </w:p>
        </w:tc>
        <w:tc>
          <w:tcPr>
            <w:tcW w:w="1625" w:type="pct"/>
          </w:tcPr>
          <w:p w:rsidR="00DA5570" w:rsidRPr="006B794C" w:rsidRDefault="00DA5570" w:rsidP="006B794C">
            <w:pPr>
              <w:pStyle w:val="BodyText"/>
              <w:ind w:left="1440" w:hanging="720"/>
              <w:rPr>
                <w:bCs/>
                <w:szCs w:val="22"/>
              </w:rPr>
            </w:pPr>
          </w:p>
        </w:tc>
        <w:tc>
          <w:tcPr>
            <w:tcW w:w="2188" w:type="pct"/>
          </w:tcPr>
          <w:p w:rsidR="00DA5570" w:rsidRPr="006B794C" w:rsidRDefault="00DA5570" w:rsidP="006B794C">
            <w:pPr>
              <w:pStyle w:val="BodyText"/>
              <w:jc w:val="left"/>
              <w:rPr>
                <w:bCs/>
                <w:szCs w:val="22"/>
              </w:rPr>
            </w:pPr>
            <w:r w:rsidRPr="006B794C">
              <w:rPr>
                <w:bCs/>
                <w:sz w:val="22"/>
                <w:szCs w:val="22"/>
              </w:rPr>
              <w:t>Tobacco, un-manufactured, tobacco refuse</w:t>
            </w:r>
          </w:p>
        </w:tc>
      </w:tr>
      <w:tr w:rsidR="00DA5570" w:rsidRPr="006B794C" w:rsidTr="008416C4">
        <w:tc>
          <w:tcPr>
            <w:tcW w:w="1188" w:type="pct"/>
          </w:tcPr>
          <w:p w:rsidR="00DA5570" w:rsidRPr="006B794C" w:rsidRDefault="008416C4" w:rsidP="008416C4">
            <w:pPr>
              <w:pStyle w:val="BodyText"/>
              <w:rPr>
                <w:bCs/>
                <w:szCs w:val="22"/>
              </w:rPr>
            </w:pPr>
            <w:r>
              <w:rPr>
                <w:bCs/>
                <w:sz w:val="22"/>
                <w:szCs w:val="22"/>
              </w:rPr>
              <w:tab/>
            </w:r>
            <w:r w:rsidR="00DA5570" w:rsidRPr="006B794C">
              <w:rPr>
                <w:bCs/>
                <w:sz w:val="22"/>
                <w:szCs w:val="22"/>
              </w:rPr>
              <w:t>122</w:t>
            </w:r>
          </w:p>
        </w:tc>
        <w:tc>
          <w:tcPr>
            <w:tcW w:w="1625" w:type="pct"/>
          </w:tcPr>
          <w:p w:rsidR="00DA5570" w:rsidRPr="006B794C" w:rsidRDefault="00DA5570" w:rsidP="006B794C">
            <w:pPr>
              <w:pStyle w:val="BodyText"/>
              <w:ind w:left="1440" w:hanging="720"/>
              <w:rPr>
                <w:bCs/>
                <w:szCs w:val="22"/>
              </w:rPr>
            </w:pPr>
          </w:p>
        </w:tc>
        <w:tc>
          <w:tcPr>
            <w:tcW w:w="2188" w:type="pct"/>
          </w:tcPr>
          <w:p w:rsidR="00DA5570" w:rsidRPr="006B794C" w:rsidRDefault="00DA5570" w:rsidP="006B794C">
            <w:pPr>
              <w:pStyle w:val="BodyText"/>
              <w:jc w:val="left"/>
              <w:rPr>
                <w:bCs/>
                <w:szCs w:val="22"/>
              </w:rPr>
            </w:pPr>
            <w:r w:rsidRPr="006B794C">
              <w:rPr>
                <w:bCs/>
                <w:sz w:val="22"/>
                <w:szCs w:val="22"/>
              </w:rPr>
              <w:t>Tobacco, manufactured (whether or not containing tobacco substitutes)</w:t>
            </w:r>
          </w:p>
        </w:tc>
      </w:tr>
      <w:tr w:rsidR="00DA5570" w:rsidRPr="006B794C" w:rsidTr="008416C4">
        <w:tc>
          <w:tcPr>
            <w:tcW w:w="1188" w:type="pct"/>
          </w:tcPr>
          <w:p w:rsidR="00DA5570" w:rsidRPr="006B794C" w:rsidRDefault="008416C4" w:rsidP="008416C4">
            <w:pPr>
              <w:pStyle w:val="BodyText"/>
              <w:rPr>
                <w:bCs/>
                <w:szCs w:val="22"/>
              </w:rPr>
            </w:pPr>
            <w:r>
              <w:rPr>
                <w:bCs/>
                <w:sz w:val="22"/>
                <w:szCs w:val="22"/>
              </w:rPr>
              <w:tab/>
            </w:r>
            <w:r w:rsidR="00DA5570" w:rsidRPr="006B794C">
              <w:rPr>
                <w:bCs/>
                <w:sz w:val="22"/>
                <w:szCs w:val="22"/>
              </w:rPr>
              <w:t>525</w:t>
            </w:r>
          </w:p>
        </w:tc>
        <w:tc>
          <w:tcPr>
            <w:tcW w:w="1625" w:type="pct"/>
          </w:tcPr>
          <w:p w:rsidR="00DA5570" w:rsidRPr="006B794C" w:rsidRDefault="00DA5570" w:rsidP="006B794C">
            <w:pPr>
              <w:pStyle w:val="BodyText"/>
              <w:ind w:left="1440" w:hanging="720"/>
              <w:rPr>
                <w:bCs/>
                <w:szCs w:val="22"/>
              </w:rPr>
            </w:pPr>
          </w:p>
        </w:tc>
        <w:tc>
          <w:tcPr>
            <w:tcW w:w="2188" w:type="pct"/>
          </w:tcPr>
          <w:p w:rsidR="00DA5570" w:rsidRPr="006B794C" w:rsidRDefault="00DA5570" w:rsidP="006B794C">
            <w:pPr>
              <w:pStyle w:val="BodyText"/>
              <w:jc w:val="left"/>
              <w:rPr>
                <w:bCs/>
                <w:szCs w:val="22"/>
              </w:rPr>
            </w:pPr>
            <w:r w:rsidRPr="006B794C">
              <w:rPr>
                <w:bCs/>
                <w:sz w:val="22"/>
                <w:szCs w:val="22"/>
              </w:rPr>
              <w:t>Radioactive and associated materials</w:t>
            </w:r>
          </w:p>
        </w:tc>
      </w:tr>
      <w:tr w:rsidR="00DA5570" w:rsidRPr="006B794C" w:rsidTr="008416C4">
        <w:tc>
          <w:tcPr>
            <w:tcW w:w="1188" w:type="pct"/>
          </w:tcPr>
          <w:p w:rsidR="00DA5570" w:rsidRPr="006B794C" w:rsidRDefault="008416C4" w:rsidP="008416C4">
            <w:pPr>
              <w:pStyle w:val="BodyText"/>
              <w:rPr>
                <w:bCs/>
                <w:szCs w:val="22"/>
              </w:rPr>
            </w:pPr>
            <w:r>
              <w:rPr>
                <w:bCs/>
                <w:sz w:val="22"/>
                <w:szCs w:val="22"/>
              </w:rPr>
              <w:tab/>
            </w:r>
            <w:r w:rsidR="00DA5570" w:rsidRPr="006B794C">
              <w:rPr>
                <w:bCs/>
                <w:sz w:val="22"/>
                <w:szCs w:val="22"/>
              </w:rPr>
              <w:t>667</w:t>
            </w:r>
          </w:p>
        </w:tc>
        <w:tc>
          <w:tcPr>
            <w:tcW w:w="1625" w:type="pct"/>
          </w:tcPr>
          <w:p w:rsidR="00DA5570" w:rsidRPr="006B794C" w:rsidRDefault="00DA5570" w:rsidP="006B794C">
            <w:pPr>
              <w:pStyle w:val="BodyText"/>
              <w:ind w:left="1440" w:hanging="720"/>
              <w:rPr>
                <w:bCs/>
                <w:szCs w:val="22"/>
              </w:rPr>
            </w:pPr>
          </w:p>
        </w:tc>
        <w:tc>
          <w:tcPr>
            <w:tcW w:w="2188" w:type="pct"/>
          </w:tcPr>
          <w:p w:rsidR="00DA5570" w:rsidRPr="006B794C" w:rsidRDefault="00DA5570" w:rsidP="006B794C">
            <w:pPr>
              <w:pStyle w:val="BodyText"/>
              <w:jc w:val="left"/>
              <w:rPr>
                <w:bCs/>
                <w:szCs w:val="22"/>
              </w:rPr>
            </w:pPr>
            <w:r w:rsidRPr="006B794C">
              <w:rPr>
                <w:bCs/>
                <w:sz w:val="22"/>
                <w:szCs w:val="22"/>
              </w:rPr>
              <w:t>Pearls, precious and semiprecious stones, unworked or worked</w:t>
            </w:r>
          </w:p>
        </w:tc>
      </w:tr>
      <w:tr w:rsidR="00DA5570" w:rsidRPr="006B794C" w:rsidTr="008416C4">
        <w:tc>
          <w:tcPr>
            <w:tcW w:w="1188" w:type="pct"/>
          </w:tcPr>
          <w:p w:rsidR="00DA5570" w:rsidRPr="006B794C" w:rsidRDefault="008416C4" w:rsidP="008416C4">
            <w:pPr>
              <w:pStyle w:val="BodyText"/>
              <w:rPr>
                <w:bCs/>
                <w:szCs w:val="22"/>
              </w:rPr>
            </w:pPr>
            <w:r>
              <w:rPr>
                <w:bCs/>
                <w:sz w:val="22"/>
                <w:szCs w:val="22"/>
              </w:rPr>
              <w:tab/>
            </w:r>
            <w:r w:rsidR="00DA5570" w:rsidRPr="006B794C">
              <w:rPr>
                <w:bCs/>
                <w:sz w:val="22"/>
                <w:szCs w:val="22"/>
              </w:rPr>
              <w:t xml:space="preserve">718 </w:t>
            </w:r>
          </w:p>
        </w:tc>
        <w:tc>
          <w:tcPr>
            <w:tcW w:w="1625" w:type="pct"/>
          </w:tcPr>
          <w:p w:rsidR="00DA5570" w:rsidRPr="006B794C" w:rsidRDefault="00DA5570" w:rsidP="006B794C">
            <w:pPr>
              <w:pStyle w:val="BodyText"/>
              <w:ind w:left="1440" w:hanging="720"/>
              <w:rPr>
                <w:bCs/>
                <w:szCs w:val="22"/>
              </w:rPr>
            </w:pPr>
            <w:r w:rsidRPr="006B794C">
              <w:rPr>
                <w:bCs/>
                <w:sz w:val="22"/>
                <w:szCs w:val="22"/>
              </w:rPr>
              <w:t>718.7</w:t>
            </w:r>
          </w:p>
          <w:p w:rsidR="00DA5570" w:rsidRPr="006B794C" w:rsidRDefault="00DA5570" w:rsidP="006B794C">
            <w:pPr>
              <w:pStyle w:val="BodyText"/>
              <w:ind w:left="1440" w:hanging="720"/>
              <w:rPr>
                <w:bCs/>
                <w:szCs w:val="22"/>
              </w:rPr>
            </w:pPr>
          </w:p>
        </w:tc>
        <w:tc>
          <w:tcPr>
            <w:tcW w:w="2188" w:type="pct"/>
          </w:tcPr>
          <w:p w:rsidR="00DA5570" w:rsidRPr="006B794C" w:rsidRDefault="00DA5570" w:rsidP="006B794C">
            <w:pPr>
              <w:pStyle w:val="BodyText"/>
              <w:jc w:val="left"/>
              <w:rPr>
                <w:bCs/>
                <w:szCs w:val="22"/>
              </w:rPr>
            </w:pPr>
            <w:r w:rsidRPr="006B794C">
              <w:rPr>
                <w:bCs/>
                <w:sz w:val="22"/>
                <w:szCs w:val="22"/>
              </w:rPr>
              <w:t>Nuclear reactors, and parts thereof; fuel elements (cartridges), non-irradiated, for nuclear reactors</w:t>
            </w:r>
          </w:p>
        </w:tc>
      </w:tr>
      <w:tr w:rsidR="00DA5570" w:rsidRPr="006B794C" w:rsidTr="008416C4">
        <w:tc>
          <w:tcPr>
            <w:tcW w:w="1188" w:type="pct"/>
          </w:tcPr>
          <w:p w:rsidR="00DA5570" w:rsidRPr="006B794C" w:rsidRDefault="008416C4" w:rsidP="008416C4">
            <w:pPr>
              <w:pStyle w:val="BodyText"/>
              <w:rPr>
                <w:bCs/>
                <w:szCs w:val="22"/>
              </w:rPr>
            </w:pPr>
            <w:r>
              <w:rPr>
                <w:bCs/>
                <w:sz w:val="22"/>
                <w:szCs w:val="22"/>
              </w:rPr>
              <w:tab/>
            </w:r>
            <w:r w:rsidR="00DA5570" w:rsidRPr="006B794C">
              <w:rPr>
                <w:bCs/>
                <w:sz w:val="22"/>
                <w:szCs w:val="22"/>
              </w:rPr>
              <w:t>728</w:t>
            </w:r>
          </w:p>
        </w:tc>
        <w:tc>
          <w:tcPr>
            <w:tcW w:w="1625" w:type="pct"/>
          </w:tcPr>
          <w:p w:rsidR="00DA5570" w:rsidRPr="006B794C" w:rsidRDefault="00DA5570" w:rsidP="006B794C">
            <w:pPr>
              <w:pStyle w:val="BodyText"/>
              <w:ind w:left="1440" w:hanging="720"/>
              <w:rPr>
                <w:bCs/>
                <w:szCs w:val="22"/>
              </w:rPr>
            </w:pPr>
            <w:r w:rsidRPr="006B794C">
              <w:rPr>
                <w:bCs/>
                <w:sz w:val="22"/>
                <w:szCs w:val="22"/>
              </w:rPr>
              <w:t xml:space="preserve">728.43 </w:t>
            </w:r>
          </w:p>
        </w:tc>
        <w:tc>
          <w:tcPr>
            <w:tcW w:w="2188" w:type="pct"/>
          </w:tcPr>
          <w:p w:rsidR="00DA5570" w:rsidRPr="006B794C" w:rsidRDefault="00DA5570" w:rsidP="006B794C">
            <w:pPr>
              <w:pStyle w:val="BodyText"/>
              <w:jc w:val="left"/>
              <w:rPr>
                <w:bCs/>
                <w:szCs w:val="22"/>
              </w:rPr>
            </w:pPr>
            <w:r w:rsidRPr="006B794C">
              <w:rPr>
                <w:bCs/>
                <w:sz w:val="22"/>
                <w:szCs w:val="22"/>
              </w:rPr>
              <w:t>Tobacco processing machinery</w:t>
            </w:r>
          </w:p>
        </w:tc>
      </w:tr>
      <w:tr w:rsidR="00DA5570" w:rsidRPr="006B794C" w:rsidTr="008416C4">
        <w:tc>
          <w:tcPr>
            <w:tcW w:w="1188" w:type="pct"/>
          </w:tcPr>
          <w:p w:rsidR="00DA5570" w:rsidRPr="006B794C" w:rsidRDefault="008416C4" w:rsidP="008416C4">
            <w:pPr>
              <w:pStyle w:val="BodyText"/>
              <w:rPr>
                <w:bCs/>
                <w:szCs w:val="22"/>
              </w:rPr>
            </w:pPr>
            <w:r>
              <w:rPr>
                <w:bCs/>
                <w:sz w:val="22"/>
                <w:szCs w:val="22"/>
              </w:rPr>
              <w:tab/>
            </w:r>
            <w:r w:rsidR="00DA5570" w:rsidRPr="006B794C">
              <w:rPr>
                <w:bCs/>
                <w:sz w:val="22"/>
                <w:szCs w:val="22"/>
              </w:rPr>
              <w:t xml:space="preserve">897 </w:t>
            </w:r>
          </w:p>
        </w:tc>
        <w:tc>
          <w:tcPr>
            <w:tcW w:w="1625" w:type="pct"/>
          </w:tcPr>
          <w:p w:rsidR="00DA5570" w:rsidRPr="006B794C" w:rsidRDefault="00DA5570" w:rsidP="006B794C">
            <w:pPr>
              <w:pStyle w:val="BodyText"/>
              <w:ind w:left="1440" w:hanging="720"/>
              <w:rPr>
                <w:bCs/>
                <w:szCs w:val="22"/>
              </w:rPr>
            </w:pPr>
            <w:r w:rsidRPr="006B794C">
              <w:rPr>
                <w:bCs/>
                <w:sz w:val="22"/>
                <w:szCs w:val="22"/>
              </w:rPr>
              <w:t>897.3</w:t>
            </w:r>
          </w:p>
        </w:tc>
        <w:tc>
          <w:tcPr>
            <w:tcW w:w="2188" w:type="pct"/>
          </w:tcPr>
          <w:p w:rsidR="00DA5570" w:rsidRPr="006B794C" w:rsidRDefault="00DA5570" w:rsidP="006B794C">
            <w:pPr>
              <w:pStyle w:val="BodyText"/>
              <w:jc w:val="left"/>
              <w:rPr>
                <w:bCs/>
                <w:szCs w:val="22"/>
              </w:rPr>
            </w:pPr>
            <w:r w:rsidRPr="006B794C">
              <w:rPr>
                <w:bCs/>
                <w:sz w:val="22"/>
                <w:szCs w:val="22"/>
              </w:rPr>
              <w:t>Jewelry of gold, silver or platinum group metals (except watches and watch cases) and goldsmiths’ or silversmiths’ wares (including set gems)</w:t>
            </w:r>
          </w:p>
        </w:tc>
      </w:tr>
      <w:tr w:rsidR="00DA5570" w:rsidRPr="006B794C" w:rsidTr="008416C4">
        <w:tc>
          <w:tcPr>
            <w:tcW w:w="1188" w:type="pct"/>
          </w:tcPr>
          <w:p w:rsidR="00DA5570" w:rsidRPr="006B794C" w:rsidRDefault="008416C4" w:rsidP="008416C4">
            <w:pPr>
              <w:pStyle w:val="BodyText"/>
              <w:rPr>
                <w:bCs/>
                <w:szCs w:val="22"/>
              </w:rPr>
            </w:pPr>
            <w:r>
              <w:rPr>
                <w:bCs/>
                <w:sz w:val="22"/>
                <w:szCs w:val="22"/>
              </w:rPr>
              <w:tab/>
            </w:r>
            <w:r w:rsidR="00DA5570" w:rsidRPr="006B794C">
              <w:rPr>
                <w:bCs/>
                <w:sz w:val="22"/>
                <w:szCs w:val="22"/>
              </w:rPr>
              <w:t xml:space="preserve">971 </w:t>
            </w:r>
          </w:p>
        </w:tc>
        <w:tc>
          <w:tcPr>
            <w:tcW w:w="1625" w:type="pct"/>
          </w:tcPr>
          <w:p w:rsidR="00DA5570" w:rsidRPr="006B794C" w:rsidRDefault="00DA5570" w:rsidP="006B794C">
            <w:pPr>
              <w:pStyle w:val="BodyText"/>
              <w:ind w:left="1440" w:hanging="720"/>
              <w:rPr>
                <w:bCs/>
                <w:szCs w:val="22"/>
              </w:rPr>
            </w:pPr>
          </w:p>
        </w:tc>
        <w:tc>
          <w:tcPr>
            <w:tcW w:w="2188" w:type="pct"/>
          </w:tcPr>
          <w:p w:rsidR="00DA5570" w:rsidRPr="006B794C" w:rsidRDefault="00DA5570" w:rsidP="006B794C">
            <w:pPr>
              <w:pStyle w:val="BodyText"/>
              <w:jc w:val="left"/>
              <w:rPr>
                <w:bCs/>
                <w:szCs w:val="22"/>
              </w:rPr>
            </w:pPr>
            <w:r w:rsidRPr="006B794C">
              <w:rPr>
                <w:bCs/>
                <w:sz w:val="22"/>
                <w:szCs w:val="22"/>
              </w:rPr>
              <w:t>Gold, non-monetary (excluding gold ores and concentrates)</w:t>
            </w:r>
          </w:p>
        </w:tc>
      </w:tr>
    </w:tbl>
    <w:p w:rsidR="00DA5570" w:rsidRPr="006B794C" w:rsidRDefault="00DA5570" w:rsidP="00DA5570">
      <w:pPr>
        <w:pStyle w:val="BodyText"/>
        <w:ind w:left="1440" w:hanging="720"/>
        <w:rPr>
          <w:bCs/>
          <w:sz w:val="22"/>
          <w:szCs w:val="22"/>
        </w:rPr>
      </w:pPr>
    </w:p>
    <w:p w:rsidR="00DA5570" w:rsidRPr="006B794C" w:rsidRDefault="00DA5570" w:rsidP="00DA5570">
      <w:pPr>
        <w:pStyle w:val="BodyText"/>
        <w:ind w:left="1440" w:hanging="720"/>
        <w:rPr>
          <w:bCs/>
          <w:sz w:val="22"/>
          <w:szCs w:val="22"/>
        </w:rPr>
      </w:pPr>
      <w:bookmarkStart w:id="45" w:name="_DV_C330"/>
      <w:r w:rsidRPr="006B794C">
        <w:rPr>
          <w:bCs/>
          <w:sz w:val="22"/>
          <w:szCs w:val="22"/>
        </w:rPr>
        <w:lastRenderedPageBreak/>
        <w:t>(c)</w:t>
      </w:r>
      <w:r w:rsidRPr="006B794C">
        <w:rPr>
          <w:bCs/>
          <w:sz w:val="22"/>
          <w:szCs w:val="22"/>
        </w:rPr>
        <w:tab/>
      </w:r>
      <w:bookmarkEnd w:id="45"/>
      <w:r w:rsidRPr="006B794C">
        <w:rPr>
          <w:bCs/>
          <w:sz w:val="22"/>
          <w:szCs w:val="22"/>
        </w:rPr>
        <w:t>for goods intended for a military or paramilitary purpose or for luxury consumption;</w:t>
      </w:r>
    </w:p>
    <w:p w:rsidR="00DA5570" w:rsidRPr="006B794C" w:rsidRDefault="00DA5570" w:rsidP="00DA5570">
      <w:pPr>
        <w:pStyle w:val="BodyText"/>
        <w:ind w:left="1440" w:hanging="720"/>
        <w:rPr>
          <w:bCs/>
          <w:sz w:val="22"/>
          <w:szCs w:val="22"/>
        </w:rPr>
      </w:pPr>
      <w:bookmarkStart w:id="46" w:name="_DV_C332"/>
    </w:p>
    <w:p w:rsidR="00DA5570" w:rsidRPr="006B794C" w:rsidRDefault="00DA5570" w:rsidP="00DA5570">
      <w:pPr>
        <w:pStyle w:val="BodyText"/>
        <w:ind w:left="1440" w:hanging="720"/>
        <w:rPr>
          <w:bCs/>
          <w:sz w:val="22"/>
          <w:szCs w:val="22"/>
        </w:rPr>
      </w:pPr>
      <w:r w:rsidRPr="006B794C">
        <w:rPr>
          <w:bCs/>
          <w:sz w:val="22"/>
          <w:szCs w:val="22"/>
        </w:rPr>
        <w:t>(d)</w:t>
      </w:r>
      <w:bookmarkEnd w:id="46"/>
      <w:r w:rsidRPr="006B794C">
        <w:rPr>
          <w:bCs/>
          <w:sz w:val="22"/>
          <w:szCs w:val="22"/>
        </w:rPr>
        <w:tab/>
        <w:t>for environmentally hazardous goods, the manufacture, use or import of which is prohibited under the laws of the Borrower or international agreements to which the Borrower is a party;</w:t>
      </w:r>
    </w:p>
    <w:p w:rsidR="00DA5570" w:rsidRPr="006B794C" w:rsidRDefault="00DA5570" w:rsidP="00DA5570">
      <w:pPr>
        <w:pStyle w:val="BodyText"/>
        <w:ind w:left="1440" w:hanging="720"/>
        <w:rPr>
          <w:bCs/>
          <w:sz w:val="22"/>
          <w:szCs w:val="22"/>
        </w:rPr>
      </w:pPr>
      <w:bookmarkStart w:id="47" w:name="_DV_C339"/>
    </w:p>
    <w:p w:rsidR="00DA5570" w:rsidRPr="006B794C" w:rsidRDefault="00DA5570" w:rsidP="00DA5570">
      <w:pPr>
        <w:pStyle w:val="BodyText"/>
        <w:ind w:left="1440" w:hanging="720"/>
        <w:rPr>
          <w:bCs/>
          <w:sz w:val="22"/>
          <w:szCs w:val="22"/>
        </w:rPr>
      </w:pPr>
      <w:r w:rsidRPr="006B794C">
        <w:rPr>
          <w:bCs/>
          <w:sz w:val="22"/>
          <w:szCs w:val="22"/>
        </w:rPr>
        <w:t>(e)</w:t>
      </w:r>
      <w:bookmarkEnd w:id="47"/>
      <w:r w:rsidRPr="006B794C">
        <w:rPr>
          <w:bCs/>
          <w:sz w:val="22"/>
          <w:szCs w:val="22"/>
        </w:rPr>
        <w:tab/>
        <w:t>on account of any payment prohibited by a decision of the United Nations Security Council taken under Chapter VII of the Charter of the United Nations; and</w:t>
      </w:r>
    </w:p>
    <w:p w:rsidR="00DA5570" w:rsidRPr="006B794C" w:rsidRDefault="00DA5570" w:rsidP="00DA5570">
      <w:pPr>
        <w:pStyle w:val="BodyText"/>
        <w:ind w:left="1440" w:hanging="720"/>
        <w:rPr>
          <w:bCs/>
          <w:sz w:val="22"/>
          <w:szCs w:val="22"/>
        </w:rPr>
      </w:pPr>
      <w:bookmarkStart w:id="48" w:name="_DV_C341"/>
    </w:p>
    <w:p w:rsidR="00DA5570" w:rsidRPr="006B794C" w:rsidRDefault="00DA5570" w:rsidP="00DA5570">
      <w:pPr>
        <w:pStyle w:val="BodyText"/>
        <w:ind w:left="1440" w:hanging="720"/>
        <w:rPr>
          <w:bCs/>
          <w:sz w:val="22"/>
          <w:szCs w:val="22"/>
        </w:rPr>
      </w:pPr>
      <w:r w:rsidRPr="006B794C">
        <w:rPr>
          <w:bCs/>
          <w:sz w:val="22"/>
          <w:szCs w:val="22"/>
        </w:rPr>
        <w:t>(f)</w:t>
      </w:r>
      <w:bookmarkEnd w:id="48"/>
      <w:r w:rsidRPr="006B794C">
        <w:rPr>
          <w:bCs/>
          <w:sz w:val="22"/>
          <w:szCs w:val="22"/>
        </w:rPr>
        <w:tab/>
        <w:t>with respect to which the Bank determines that corrupt, fraudulent</w:t>
      </w:r>
      <w:bookmarkStart w:id="49" w:name="_DV_C344"/>
      <w:r w:rsidRPr="006B794C">
        <w:rPr>
          <w:bCs/>
          <w:sz w:val="22"/>
          <w:szCs w:val="22"/>
        </w:rPr>
        <w:t>, collusive or coercive</w:t>
      </w:r>
      <w:bookmarkStart w:id="50" w:name="_DV_M302"/>
      <w:bookmarkEnd w:id="49"/>
      <w:bookmarkEnd w:id="50"/>
      <w:r w:rsidRPr="006B794C">
        <w:rPr>
          <w:bCs/>
          <w:sz w:val="22"/>
          <w:szCs w:val="22"/>
        </w:rPr>
        <w:t xml:space="preserve"> practices were engaged in by representatives of the Borrower or other recipient of the Loan proceeds, without the Borrower (or other such recipient) having taken timely and appropriate action satisfactory to the Bank to address such practices when they occur.</w:t>
      </w:r>
    </w:p>
    <w:p w:rsidR="00DA5570" w:rsidRPr="006B794C" w:rsidRDefault="00DA5570" w:rsidP="00DA5570">
      <w:pPr>
        <w:pStyle w:val="BodyText"/>
        <w:rPr>
          <w:sz w:val="22"/>
          <w:szCs w:val="22"/>
        </w:rPr>
      </w:pPr>
      <w:bookmarkStart w:id="51" w:name="_DV_M256"/>
      <w:bookmarkStart w:id="52" w:name="_DV_M257"/>
      <w:bookmarkStart w:id="53" w:name="_DV_M297"/>
      <w:bookmarkStart w:id="54" w:name="_DV_M299"/>
      <w:bookmarkStart w:id="55" w:name="_DV_M300"/>
      <w:bookmarkEnd w:id="51"/>
      <w:bookmarkEnd w:id="52"/>
      <w:bookmarkEnd w:id="53"/>
      <w:bookmarkEnd w:id="54"/>
      <w:bookmarkEnd w:id="55"/>
    </w:p>
    <w:p w:rsidR="00DA5570" w:rsidRPr="006B794C" w:rsidRDefault="00DA5570" w:rsidP="00DA5570">
      <w:pPr>
        <w:pStyle w:val="BodyText"/>
        <w:numPr>
          <w:ilvl w:val="0"/>
          <w:numId w:val="2"/>
        </w:numPr>
        <w:tabs>
          <w:tab w:val="clear" w:pos="1080"/>
        </w:tabs>
        <w:ind w:left="720" w:hanging="720"/>
        <w:rPr>
          <w:sz w:val="22"/>
          <w:szCs w:val="22"/>
        </w:rPr>
      </w:pPr>
      <w:r w:rsidRPr="006B794C">
        <w:rPr>
          <w:sz w:val="22"/>
          <w:szCs w:val="22"/>
        </w:rPr>
        <w:t>“General Conditions” means the “International Bank for Reconstruction and Development General Conditions for Loans”, dated July 1, 2005 (as amended through February 12, 2008) with the modifications set forth in Section II of this Appendix.</w:t>
      </w:r>
    </w:p>
    <w:p w:rsidR="00DA5570" w:rsidRPr="006B794C" w:rsidRDefault="00DA5570" w:rsidP="00DA5570">
      <w:pPr>
        <w:pStyle w:val="BodyText"/>
        <w:ind w:left="720"/>
        <w:rPr>
          <w:sz w:val="22"/>
          <w:szCs w:val="22"/>
        </w:rPr>
      </w:pPr>
    </w:p>
    <w:p w:rsidR="00DA5570" w:rsidRDefault="00DA5570" w:rsidP="00A82413">
      <w:pPr>
        <w:pStyle w:val="BodyText"/>
        <w:numPr>
          <w:ilvl w:val="0"/>
          <w:numId w:val="2"/>
        </w:numPr>
        <w:tabs>
          <w:tab w:val="clear" w:pos="1080"/>
        </w:tabs>
        <w:ind w:left="720" w:hanging="720"/>
        <w:rPr>
          <w:sz w:val="22"/>
          <w:szCs w:val="22"/>
        </w:rPr>
      </w:pPr>
      <w:r w:rsidRPr="006B794C">
        <w:rPr>
          <w:sz w:val="22"/>
          <w:szCs w:val="22"/>
        </w:rPr>
        <w:t>“MINAM” means the Borrower’s Ministry of Environment.</w:t>
      </w:r>
    </w:p>
    <w:p w:rsidR="00562A31" w:rsidRDefault="00562A31" w:rsidP="00562A31">
      <w:pPr>
        <w:pStyle w:val="ListParagraph"/>
        <w:rPr>
          <w:sz w:val="22"/>
          <w:szCs w:val="22"/>
        </w:rPr>
      </w:pPr>
    </w:p>
    <w:p w:rsidR="00562A31" w:rsidRPr="006B794C" w:rsidRDefault="00562A31" w:rsidP="00A82413">
      <w:pPr>
        <w:pStyle w:val="BodyText"/>
        <w:numPr>
          <w:ilvl w:val="0"/>
          <w:numId w:val="2"/>
        </w:numPr>
        <w:tabs>
          <w:tab w:val="clear" w:pos="1080"/>
        </w:tabs>
        <w:ind w:left="720" w:hanging="720"/>
        <w:rPr>
          <w:sz w:val="22"/>
          <w:szCs w:val="22"/>
        </w:rPr>
      </w:pPr>
      <w:r>
        <w:rPr>
          <w:sz w:val="22"/>
          <w:szCs w:val="22"/>
        </w:rPr>
        <w:t>“MINEM” means the Borrower´s Ministry of Energy and Mines.</w:t>
      </w:r>
    </w:p>
    <w:p w:rsidR="00DA5570" w:rsidRPr="006B794C" w:rsidRDefault="00DA5570" w:rsidP="00A82413">
      <w:pPr>
        <w:pStyle w:val="ListParagraph"/>
        <w:spacing w:line="240" w:lineRule="auto"/>
        <w:ind w:hanging="720"/>
        <w:rPr>
          <w:sz w:val="22"/>
          <w:szCs w:val="22"/>
        </w:rPr>
      </w:pPr>
    </w:p>
    <w:p w:rsidR="00DA5570" w:rsidRPr="006B794C" w:rsidRDefault="00DA5570" w:rsidP="00A82413">
      <w:pPr>
        <w:pStyle w:val="BodyText"/>
        <w:numPr>
          <w:ilvl w:val="0"/>
          <w:numId w:val="2"/>
        </w:numPr>
        <w:tabs>
          <w:tab w:val="clear" w:pos="1080"/>
        </w:tabs>
        <w:ind w:left="720" w:hanging="720"/>
        <w:rPr>
          <w:sz w:val="22"/>
          <w:szCs w:val="22"/>
        </w:rPr>
      </w:pPr>
      <w:r w:rsidRPr="006B794C">
        <w:rPr>
          <w:sz w:val="22"/>
          <w:szCs w:val="22"/>
        </w:rPr>
        <w:t xml:space="preserve">“PERCAN” means Peru-Canada Cooperation Program </w:t>
      </w:r>
      <w:r w:rsidRPr="00CE3B4C">
        <w:rPr>
          <w:sz w:val="22"/>
          <w:szCs w:val="22"/>
        </w:rPr>
        <w:t>(</w:t>
      </w:r>
      <w:proofErr w:type="spellStart"/>
      <w:r w:rsidRPr="00CE3B4C">
        <w:rPr>
          <w:i/>
          <w:sz w:val="22"/>
          <w:szCs w:val="22"/>
        </w:rPr>
        <w:t>Proyecto</w:t>
      </w:r>
      <w:proofErr w:type="spellEnd"/>
      <w:r w:rsidRPr="006B794C">
        <w:rPr>
          <w:i/>
          <w:sz w:val="22"/>
          <w:szCs w:val="22"/>
        </w:rPr>
        <w:t xml:space="preserve"> de</w:t>
      </w:r>
      <w:r w:rsidRPr="00CE3B4C">
        <w:rPr>
          <w:i/>
          <w:sz w:val="22"/>
          <w:szCs w:val="22"/>
        </w:rPr>
        <w:t xml:space="preserve"> </w:t>
      </w:r>
      <w:proofErr w:type="spellStart"/>
      <w:r w:rsidRPr="00CE3B4C">
        <w:rPr>
          <w:i/>
          <w:sz w:val="22"/>
          <w:szCs w:val="22"/>
        </w:rPr>
        <w:t>Reforma</w:t>
      </w:r>
      <w:proofErr w:type="spellEnd"/>
      <w:r w:rsidRPr="006B794C">
        <w:rPr>
          <w:i/>
          <w:sz w:val="22"/>
          <w:szCs w:val="22"/>
        </w:rPr>
        <w:t xml:space="preserve"> del Sector de</w:t>
      </w:r>
      <w:r w:rsidRPr="00CE3B4C">
        <w:rPr>
          <w:i/>
          <w:sz w:val="22"/>
          <w:szCs w:val="22"/>
        </w:rPr>
        <w:t xml:space="preserve"> </w:t>
      </w:r>
      <w:proofErr w:type="spellStart"/>
      <w:r w:rsidRPr="00CE3B4C">
        <w:rPr>
          <w:i/>
          <w:sz w:val="22"/>
          <w:szCs w:val="22"/>
        </w:rPr>
        <w:t>Recursos</w:t>
      </w:r>
      <w:proofErr w:type="spellEnd"/>
      <w:r w:rsidRPr="00CE3B4C">
        <w:rPr>
          <w:i/>
          <w:sz w:val="22"/>
          <w:szCs w:val="22"/>
        </w:rPr>
        <w:t xml:space="preserve"> </w:t>
      </w:r>
      <w:proofErr w:type="spellStart"/>
      <w:r w:rsidRPr="00CE3B4C">
        <w:rPr>
          <w:i/>
          <w:sz w:val="22"/>
          <w:szCs w:val="22"/>
        </w:rPr>
        <w:t>Minerales</w:t>
      </w:r>
      <w:proofErr w:type="spellEnd"/>
      <w:r w:rsidRPr="006B794C">
        <w:rPr>
          <w:i/>
          <w:sz w:val="22"/>
          <w:szCs w:val="22"/>
        </w:rPr>
        <w:t xml:space="preserve"> del</w:t>
      </w:r>
      <w:r w:rsidRPr="00CE3B4C">
        <w:rPr>
          <w:i/>
          <w:sz w:val="22"/>
          <w:szCs w:val="22"/>
        </w:rPr>
        <w:t xml:space="preserve"> </w:t>
      </w:r>
      <w:proofErr w:type="spellStart"/>
      <w:r w:rsidRPr="00CE3B4C">
        <w:rPr>
          <w:i/>
          <w:sz w:val="22"/>
          <w:szCs w:val="22"/>
        </w:rPr>
        <w:t>Perú</w:t>
      </w:r>
      <w:proofErr w:type="spellEnd"/>
      <w:r w:rsidRPr="006B794C">
        <w:rPr>
          <w:sz w:val="22"/>
          <w:szCs w:val="22"/>
        </w:rPr>
        <w:t>), created pursuant to the Memorandum of Understanding dated September 26, 2002 and entered into by the Republic of Peru and Canada.</w:t>
      </w:r>
    </w:p>
    <w:p w:rsidR="00DA5570" w:rsidRPr="006B794C" w:rsidRDefault="00DA5570" w:rsidP="00DA5570">
      <w:pPr>
        <w:pStyle w:val="BodyText"/>
        <w:rPr>
          <w:sz w:val="22"/>
          <w:szCs w:val="22"/>
        </w:rPr>
      </w:pPr>
    </w:p>
    <w:p w:rsidR="00DA5570" w:rsidRPr="006B794C" w:rsidRDefault="00DA5570" w:rsidP="00A82413">
      <w:pPr>
        <w:pStyle w:val="BodyText"/>
        <w:numPr>
          <w:ilvl w:val="0"/>
          <w:numId w:val="2"/>
        </w:numPr>
        <w:tabs>
          <w:tab w:val="clear" w:pos="1080"/>
        </w:tabs>
        <w:ind w:left="720" w:hanging="720"/>
        <w:rPr>
          <w:sz w:val="22"/>
          <w:szCs w:val="22"/>
        </w:rPr>
      </w:pPr>
      <w:r w:rsidRPr="006B794C">
        <w:rPr>
          <w:sz w:val="22"/>
          <w:szCs w:val="22"/>
        </w:rPr>
        <w:t xml:space="preserve">“Program” means the program of actions, objectives and policies designed to promote growth and achieve sustainable reductions in poverty and set forth or referred to in the letter dated </w:t>
      </w:r>
      <w:r w:rsidR="00752D3E" w:rsidRPr="006B794C">
        <w:rPr>
          <w:sz w:val="22"/>
          <w:szCs w:val="22"/>
        </w:rPr>
        <w:t xml:space="preserve">October 15, 2009, </w:t>
      </w:r>
      <w:r w:rsidRPr="006B794C">
        <w:rPr>
          <w:sz w:val="22"/>
          <w:szCs w:val="22"/>
        </w:rPr>
        <w:t>from the Borrower to the Bank</w:t>
      </w:r>
      <w:r w:rsidR="00752D3E" w:rsidRPr="006B794C">
        <w:rPr>
          <w:sz w:val="22"/>
          <w:szCs w:val="22"/>
        </w:rPr>
        <w:t>,</w:t>
      </w:r>
      <w:r w:rsidRPr="006B794C">
        <w:rPr>
          <w:sz w:val="22"/>
          <w:szCs w:val="22"/>
        </w:rPr>
        <w:t xml:space="preserve"> declaring the Borrower’s commitment to the execution of the Program, and requesting assistance from the Bank in support of the Program during its execution.</w:t>
      </w:r>
      <w:bookmarkStart w:id="56" w:name="_DV_M22"/>
      <w:bookmarkStart w:id="57" w:name="_DV_M23"/>
      <w:bookmarkEnd w:id="56"/>
      <w:bookmarkEnd w:id="57"/>
    </w:p>
    <w:p w:rsidR="00DA5570" w:rsidRPr="006B794C" w:rsidRDefault="00DA5570" w:rsidP="00A82413">
      <w:pPr>
        <w:pStyle w:val="ListParagraph"/>
        <w:spacing w:line="240" w:lineRule="auto"/>
        <w:rPr>
          <w:sz w:val="22"/>
          <w:szCs w:val="22"/>
        </w:rPr>
      </w:pPr>
    </w:p>
    <w:p w:rsidR="00DA5570" w:rsidRPr="006B794C" w:rsidRDefault="00DA5570" w:rsidP="00A82413">
      <w:pPr>
        <w:pStyle w:val="BodyText"/>
        <w:numPr>
          <w:ilvl w:val="0"/>
          <w:numId w:val="2"/>
        </w:numPr>
        <w:tabs>
          <w:tab w:val="clear" w:pos="1080"/>
        </w:tabs>
        <w:ind w:left="720" w:hanging="720"/>
        <w:rPr>
          <w:sz w:val="22"/>
          <w:szCs w:val="22"/>
        </w:rPr>
      </w:pPr>
      <w:r w:rsidRPr="006B794C">
        <w:rPr>
          <w:sz w:val="22"/>
          <w:szCs w:val="22"/>
        </w:rPr>
        <w:t xml:space="preserve">“SENAMHI” means </w:t>
      </w:r>
      <w:r w:rsidRPr="006B794C">
        <w:rPr>
          <w:i/>
          <w:sz w:val="22"/>
          <w:szCs w:val="22"/>
        </w:rPr>
        <w:t>the</w:t>
      </w:r>
      <w:r w:rsidRPr="00A82413">
        <w:rPr>
          <w:i/>
          <w:sz w:val="22"/>
          <w:szCs w:val="22"/>
          <w:lang w:val="es-PE"/>
        </w:rPr>
        <w:t xml:space="preserve"> Servicio Nacional</w:t>
      </w:r>
      <w:r w:rsidRPr="006B794C">
        <w:rPr>
          <w:i/>
          <w:sz w:val="22"/>
          <w:szCs w:val="22"/>
        </w:rPr>
        <w:t xml:space="preserve"> de</w:t>
      </w:r>
      <w:r w:rsidRPr="00A82413">
        <w:rPr>
          <w:i/>
          <w:sz w:val="22"/>
          <w:szCs w:val="22"/>
          <w:lang w:val="es-PE"/>
        </w:rPr>
        <w:t xml:space="preserve"> </w:t>
      </w:r>
      <w:r w:rsidR="00A82413" w:rsidRPr="00A82413">
        <w:rPr>
          <w:i/>
          <w:sz w:val="22"/>
          <w:szCs w:val="22"/>
          <w:lang w:val="es-PE"/>
        </w:rPr>
        <w:t>Meteorología</w:t>
      </w:r>
      <w:r w:rsidRPr="006B794C">
        <w:rPr>
          <w:i/>
          <w:sz w:val="22"/>
          <w:szCs w:val="22"/>
        </w:rPr>
        <w:t xml:space="preserve"> e</w:t>
      </w:r>
      <w:r w:rsidRPr="00A82413">
        <w:rPr>
          <w:i/>
          <w:sz w:val="22"/>
          <w:szCs w:val="22"/>
          <w:lang w:val="es-PE"/>
        </w:rPr>
        <w:t xml:space="preserve"> </w:t>
      </w:r>
      <w:r w:rsidR="00A82413" w:rsidRPr="00A82413">
        <w:rPr>
          <w:i/>
          <w:sz w:val="22"/>
          <w:szCs w:val="22"/>
          <w:lang w:val="es-PE"/>
        </w:rPr>
        <w:t>Hidrología</w:t>
      </w:r>
      <w:r w:rsidRPr="006B794C">
        <w:rPr>
          <w:sz w:val="22"/>
          <w:szCs w:val="22"/>
        </w:rPr>
        <w:t>, the Borrower’s National Meteorology and Hydrology Service.</w:t>
      </w:r>
    </w:p>
    <w:p w:rsidR="00DA5570" w:rsidRPr="006B794C" w:rsidRDefault="00DA5570" w:rsidP="00A82413">
      <w:pPr>
        <w:pStyle w:val="ListParagraph"/>
        <w:spacing w:line="240" w:lineRule="auto"/>
        <w:rPr>
          <w:sz w:val="22"/>
          <w:szCs w:val="22"/>
        </w:rPr>
      </w:pPr>
    </w:p>
    <w:p w:rsidR="00DA5570" w:rsidRDefault="00DA5570" w:rsidP="00A82413">
      <w:pPr>
        <w:pStyle w:val="BodyText"/>
        <w:numPr>
          <w:ilvl w:val="0"/>
          <w:numId w:val="2"/>
        </w:numPr>
        <w:tabs>
          <w:tab w:val="clear" w:pos="1080"/>
        </w:tabs>
        <w:ind w:left="720" w:hanging="720"/>
        <w:rPr>
          <w:sz w:val="22"/>
          <w:szCs w:val="22"/>
        </w:rPr>
      </w:pPr>
      <w:r w:rsidRPr="006B794C">
        <w:rPr>
          <w:sz w:val="22"/>
          <w:szCs w:val="22"/>
        </w:rPr>
        <w:t>“SERNANP” means</w:t>
      </w:r>
      <w:r w:rsidRPr="00A82413">
        <w:rPr>
          <w:sz w:val="22"/>
          <w:szCs w:val="22"/>
          <w:lang w:val="es-PE"/>
        </w:rPr>
        <w:t xml:space="preserve"> </w:t>
      </w:r>
      <w:r w:rsidRPr="00A82413">
        <w:rPr>
          <w:i/>
          <w:sz w:val="22"/>
          <w:szCs w:val="22"/>
          <w:lang w:val="es-PE"/>
        </w:rPr>
        <w:t>Servicio Nacional</w:t>
      </w:r>
      <w:r w:rsidRPr="006B794C">
        <w:rPr>
          <w:i/>
          <w:sz w:val="22"/>
          <w:szCs w:val="22"/>
        </w:rPr>
        <w:t xml:space="preserve"> de Areas</w:t>
      </w:r>
      <w:r w:rsidRPr="00A82413">
        <w:rPr>
          <w:i/>
          <w:sz w:val="22"/>
          <w:szCs w:val="22"/>
          <w:lang w:val="es-PE"/>
        </w:rPr>
        <w:t xml:space="preserve"> Naturales Protegidas</w:t>
      </w:r>
      <w:r w:rsidRPr="006B794C">
        <w:rPr>
          <w:sz w:val="22"/>
          <w:szCs w:val="22"/>
        </w:rPr>
        <w:t>, the Borrower’s natural protected areas service.</w:t>
      </w:r>
    </w:p>
    <w:p w:rsidR="00A82413" w:rsidRDefault="00A82413" w:rsidP="00A82413">
      <w:pPr>
        <w:pStyle w:val="ListParagraph"/>
        <w:spacing w:line="240" w:lineRule="auto"/>
        <w:rPr>
          <w:sz w:val="22"/>
          <w:szCs w:val="22"/>
        </w:rPr>
      </w:pPr>
    </w:p>
    <w:p w:rsidR="00DA5570" w:rsidRPr="00A82413" w:rsidRDefault="00DA5570" w:rsidP="00DA5570">
      <w:pPr>
        <w:pStyle w:val="BodyText"/>
        <w:numPr>
          <w:ilvl w:val="0"/>
          <w:numId w:val="2"/>
        </w:numPr>
        <w:tabs>
          <w:tab w:val="clear" w:pos="1080"/>
        </w:tabs>
        <w:ind w:left="720" w:hanging="720"/>
        <w:rPr>
          <w:sz w:val="22"/>
          <w:szCs w:val="22"/>
        </w:rPr>
      </w:pPr>
      <w:r w:rsidRPr="00A82413">
        <w:rPr>
          <w:sz w:val="22"/>
          <w:szCs w:val="22"/>
        </w:rPr>
        <w:lastRenderedPageBreak/>
        <w:t>“Single Withdrawal Tranche” means the amount of the Loan allocated to the category entitled “Single Withdrawal Tranche” in the table set forth in Part B of Section II of Schedule 1 to this Agreement.</w:t>
      </w:r>
      <w:r w:rsidRPr="00A82413">
        <w:rPr>
          <w:sz w:val="22"/>
          <w:szCs w:val="22"/>
        </w:rPr>
        <w:br w:type="page"/>
      </w:r>
    </w:p>
    <w:p w:rsidR="00DA5570" w:rsidRPr="006B794C" w:rsidRDefault="00DA5570" w:rsidP="00DA5570">
      <w:pPr>
        <w:pStyle w:val="BodyText"/>
        <w:ind w:left="720" w:hanging="720"/>
        <w:rPr>
          <w:b/>
          <w:bCs/>
          <w:sz w:val="22"/>
          <w:szCs w:val="22"/>
        </w:rPr>
      </w:pPr>
      <w:r w:rsidRPr="006B794C">
        <w:rPr>
          <w:b/>
          <w:bCs/>
          <w:sz w:val="22"/>
          <w:szCs w:val="22"/>
        </w:rPr>
        <w:lastRenderedPageBreak/>
        <w:t>Section II.  Modifications to the General Conditions</w:t>
      </w:r>
    </w:p>
    <w:p w:rsidR="00DA5570" w:rsidRPr="006B794C" w:rsidRDefault="00DA5570" w:rsidP="00DA5570">
      <w:pPr>
        <w:pStyle w:val="BodyText"/>
        <w:ind w:left="720" w:hanging="720"/>
        <w:rPr>
          <w:b/>
          <w:bCs/>
          <w:sz w:val="22"/>
          <w:szCs w:val="22"/>
        </w:rPr>
      </w:pPr>
    </w:p>
    <w:p w:rsidR="00DA5570" w:rsidRPr="006B794C" w:rsidRDefault="00DA5570" w:rsidP="00DA5570">
      <w:pPr>
        <w:pStyle w:val="BodyText"/>
        <w:rPr>
          <w:bCs/>
          <w:iCs/>
          <w:sz w:val="22"/>
          <w:szCs w:val="22"/>
        </w:rPr>
      </w:pPr>
      <w:r w:rsidRPr="006B794C">
        <w:rPr>
          <w:bCs/>
          <w:iCs/>
          <w:sz w:val="22"/>
          <w:szCs w:val="22"/>
        </w:rPr>
        <w:t xml:space="preserve">The modifications to the General Conditions are as follows:  </w:t>
      </w:r>
    </w:p>
    <w:p w:rsidR="00DA5570" w:rsidRPr="006B794C" w:rsidRDefault="00DA5570" w:rsidP="00DA5570">
      <w:pPr>
        <w:pStyle w:val="BodyText"/>
        <w:spacing w:before="240"/>
        <w:ind w:left="720" w:hanging="720"/>
        <w:rPr>
          <w:bCs/>
          <w:sz w:val="22"/>
          <w:szCs w:val="22"/>
        </w:rPr>
      </w:pPr>
      <w:r w:rsidRPr="006B794C">
        <w:rPr>
          <w:bCs/>
          <w:sz w:val="22"/>
          <w:szCs w:val="22"/>
        </w:rPr>
        <w:t>1.</w:t>
      </w:r>
      <w:r w:rsidRPr="006B794C">
        <w:rPr>
          <w:bCs/>
          <w:sz w:val="22"/>
          <w:szCs w:val="22"/>
        </w:rPr>
        <w:tab/>
        <w:t>The last sentence of paragraph (a) of Section 2.03 (relating to Applications for Withdrawal) is deleted in its entirety.</w:t>
      </w:r>
    </w:p>
    <w:p w:rsidR="00DA5570" w:rsidRPr="006B794C" w:rsidRDefault="00DA5570" w:rsidP="00DA5570">
      <w:pPr>
        <w:pStyle w:val="BodyText"/>
        <w:spacing w:before="240"/>
        <w:ind w:left="720" w:hanging="720"/>
        <w:rPr>
          <w:sz w:val="22"/>
          <w:szCs w:val="22"/>
        </w:rPr>
      </w:pPr>
      <w:r w:rsidRPr="006B794C">
        <w:rPr>
          <w:sz w:val="22"/>
          <w:szCs w:val="22"/>
        </w:rPr>
        <w:t>2.</w:t>
      </w:r>
      <w:r w:rsidRPr="006B794C">
        <w:rPr>
          <w:sz w:val="22"/>
          <w:szCs w:val="22"/>
        </w:rPr>
        <w:tab/>
        <w:t>Sections 2.04 (</w:t>
      </w:r>
      <w:r w:rsidRPr="006B794C">
        <w:rPr>
          <w:i/>
          <w:sz w:val="22"/>
          <w:szCs w:val="22"/>
        </w:rPr>
        <w:t>Designated Accounts)</w:t>
      </w:r>
      <w:r w:rsidRPr="006B794C">
        <w:rPr>
          <w:sz w:val="22"/>
          <w:szCs w:val="22"/>
        </w:rPr>
        <w:t xml:space="preserve"> and 2.05 (</w:t>
      </w:r>
      <w:r w:rsidRPr="006B794C">
        <w:rPr>
          <w:i/>
          <w:sz w:val="22"/>
          <w:szCs w:val="22"/>
        </w:rPr>
        <w:t>Eligible Expenditures</w:t>
      </w:r>
      <w:r w:rsidRPr="006B794C">
        <w:rPr>
          <w:sz w:val="22"/>
          <w:szCs w:val="22"/>
        </w:rPr>
        <w:t>) are deleted in their entirety, and the remaining Sections in Article II are renumbered accordingly.</w:t>
      </w:r>
    </w:p>
    <w:p w:rsidR="00DA5570" w:rsidRPr="006B794C" w:rsidRDefault="00DA5570" w:rsidP="00DA5570">
      <w:pPr>
        <w:pStyle w:val="BodyText"/>
        <w:spacing w:before="240"/>
        <w:ind w:left="720" w:hanging="720"/>
        <w:rPr>
          <w:bCs/>
          <w:sz w:val="22"/>
          <w:szCs w:val="22"/>
        </w:rPr>
      </w:pPr>
      <w:r w:rsidRPr="006B794C">
        <w:rPr>
          <w:sz w:val="22"/>
          <w:szCs w:val="22"/>
        </w:rPr>
        <w:t>3.</w:t>
      </w:r>
      <w:r w:rsidRPr="006B794C">
        <w:rPr>
          <w:sz w:val="22"/>
          <w:szCs w:val="22"/>
        </w:rPr>
        <w:tab/>
        <w:t xml:space="preserve">Paragraph (a) of Section 2.05 </w:t>
      </w:r>
      <w:r w:rsidRPr="006B794C">
        <w:rPr>
          <w:bCs/>
          <w:sz w:val="22"/>
          <w:szCs w:val="22"/>
        </w:rPr>
        <w:t xml:space="preserve">(renumbered as such pursuant to paragraph 2 above) </w:t>
      </w:r>
      <w:r w:rsidRPr="006B794C">
        <w:rPr>
          <w:sz w:val="22"/>
          <w:szCs w:val="22"/>
        </w:rPr>
        <w:t xml:space="preserve">is modified to read as follows: </w:t>
      </w:r>
    </w:p>
    <w:p w:rsidR="00DA5570" w:rsidRPr="006B794C" w:rsidRDefault="00DA5570" w:rsidP="00DA5570">
      <w:pPr>
        <w:autoSpaceDE w:val="0"/>
        <w:autoSpaceDN w:val="0"/>
        <w:adjustRightInd w:val="0"/>
        <w:spacing w:line="240" w:lineRule="auto"/>
        <w:rPr>
          <w:sz w:val="22"/>
          <w:szCs w:val="22"/>
        </w:rPr>
      </w:pPr>
    </w:p>
    <w:p w:rsidR="00DA5570" w:rsidRPr="006B794C" w:rsidRDefault="00DA5570" w:rsidP="00DA5570">
      <w:pPr>
        <w:autoSpaceDE w:val="0"/>
        <w:autoSpaceDN w:val="0"/>
        <w:adjustRightInd w:val="0"/>
        <w:spacing w:line="240" w:lineRule="auto"/>
        <w:ind w:left="720"/>
        <w:jc w:val="both"/>
        <w:rPr>
          <w:i/>
          <w:sz w:val="22"/>
          <w:szCs w:val="22"/>
        </w:rPr>
      </w:pPr>
      <w:r w:rsidRPr="006B794C">
        <w:rPr>
          <w:sz w:val="22"/>
          <w:szCs w:val="22"/>
        </w:rPr>
        <w:t xml:space="preserve">“Section 2.05. </w:t>
      </w:r>
      <w:r w:rsidRPr="006B794C">
        <w:rPr>
          <w:i/>
          <w:sz w:val="22"/>
          <w:szCs w:val="22"/>
        </w:rPr>
        <w:t>Refinancing Preparation Advance; Capitalizing Front-end Fee and Interest</w:t>
      </w:r>
    </w:p>
    <w:p w:rsidR="00DA5570" w:rsidRPr="006B794C" w:rsidRDefault="00DA5570" w:rsidP="00DA5570">
      <w:pPr>
        <w:autoSpaceDE w:val="0"/>
        <w:autoSpaceDN w:val="0"/>
        <w:adjustRightInd w:val="0"/>
        <w:spacing w:line="240" w:lineRule="auto"/>
        <w:ind w:left="720"/>
        <w:jc w:val="both"/>
        <w:rPr>
          <w:sz w:val="22"/>
          <w:szCs w:val="22"/>
        </w:rPr>
      </w:pPr>
    </w:p>
    <w:p w:rsidR="00DA5570" w:rsidRPr="006B794C" w:rsidRDefault="00DA5570" w:rsidP="00DA5570">
      <w:pPr>
        <w:autoSpaceDE w:val="0"/>
        <w:autoSpaceDN w:val="0"/>
        <w:adjustRightInd w:val="0"/>
        <w:spacing w:line="240" w:lineRule="auto"/>
        <w:ind w:left="720"/>
        <w:jc w:val="both"/>
        <w:rPr>
          <w:sz w:val="22"/>
          <w:szCs w:val="22"/>
        </w:rPr>
      </w:pPr>
      <w:r w:rsidRPr="006B794C">
        <w:rPr>
          <w:sz w:val="22"/>
          <w:szCs w:val="22"/>
        </w:rPr>
        <w:tab/>
        <w:t>(a)</w:t>
      </w:r>
      <w:r w:rsidRPr="006B794C">
        <w:rPr>
          <w:sz w:val="22"/>
          <w:szCs w:val="22"/>
        </w:rPr>
        <w:tab/>
        <w:t xml:space="preserve">If the </w:t>
      </w:r>
      <w:r w:rsidRPr="006B794C">
        <w:rPr>
          <w:bCs/>
          <w:sz w:val="22"/>
          <w:szCs w:val="22"/>
        </w:rPr>
        <w:t>Loan Agreement provides for the repayment out of the proceeds of the Loan of an advance made by the</w:t>
      </w:r>
      <w:r w:rsidRPr="006B794C">
        <w:rPr>
          <w:b/>
          <w:bCs/>
          <w:sz w:val="22"/>
          <w:szCs w:val="22"/>
        </w:rPr>
        <w:t xml:space="preserve"> </w:t>
      </w:r>
      <w:r w:rsidRPr="006B794C">
        <w:rPr>
          <w:sz w:val="22"/>
          <w:szCs w:val="22"/>
        </w:rPr>
        <w:t xml:space="preserve">Bank or the Association (“Preparation Advance”), the Bank shall, on behalf of such Loan Party, withdraw from the Loan Account on or after the Effective Date the amount required to repay the withdrawn and outstanding balance of the advance as at the date of such withdrawal from the Loan Account and to pay all </w:t>
      </w:r>
      <w:r w:rsidRPr="006B794C">
        <w:rPr>
          <w:bCs/>
          <w:sz w:val="22"/>
          <w:szCs w:val="22"/>
        </w:rPr>
        <w:t>accrued and</w:t>
      </w:r>
      <w:r w:rsidRPr="006B794C">
        <w:rPr>
          <w:b/>
          <w:bCs/>
          <w:sz w:val="22"/>
          <w:szCs w:val="22"/>
        </w:rPr>
        <w:t xml:space="preserve"> </w:t>
      </w:r>
      <w:r w:rsidRPr="006B794C">
        <w:rPr>
          <w:sz w:val="22"/>
          <w:szCs w:val="22"/>
        </w:rPr>
        <w:t xml:space="preserve">unpaid charges, if </w:t>
      </w:r>
      <w:r w:rsidRPr="006B794C">
        <w:rPr>
          <w:bCs/>
          <w:sz w:val="22"/>
          <w:szCs w:val="22"/>
        </w:rPr>
        <w:t>any,</w:t>
      </w:r>
      <w:r w:rsidRPr="006B794C">
        <w:rPr>
          <w:b/>
          <w:bCs/>
          <w:sz w:val="22"/>
          <w:szCs w:val="22"/>
        </w:rPr>
        <w:t xml:space="preserve"> </w:t>
      </w:r>
      <w:r w:rsidRPr="006B794C">
        <w:rPr>
          <w:sz w:val="22"/>
          <w:szCs w:val="22"/>
        </w:rPr>
        <w:t>on the advance as at such date.  The Bank shall pay the amount so withdrawn to itself or the Association, as the case may be, and shall cancel the remaining unwithdrawn amount of the advance.”</w:t>
      </w:r>
    </w:p>
    <w:p w:rsidR="00DA5570" w:rsidRPr="006B794C" w:rsidRDefault="00DA5570" w:rsidP="00DA5570">
      <w:pPr>
        <w:pStyle w:val="BodyText"/>
        <w:spacing w:before="240"/>
        <w:ind w:left="720" w:hanging="720"/>
        <w:rPr>
          <w:bCs/>
          <w:sz w:val="22"/>
          <w:szCs w:val="22"/>
        </w:rPr>
      </w:pPr>
      <w:r w:rsidRPr="006B794C">
        <w:rPr>
          <w:bCs/>
          <w:sz w:val="22"/>
          <w:szCs w:val="22"/>
        </w:rPr>
        <w:t>4.</w:t>
      </w:r>
      <w:r w:rsidRPr="006B794C">
        <w:rPr>
          <w:bCs/>
          <w:sz w:val="22"/>
          <w:szCs w:val="22"/>
        </w:rPr>
        <w:tab/>
        <w:t>Sections 5.01 (</w:t>
      </w:r>
      <w:r w:rsidRPr="006B794C">
        <w:rPr>
          <w:bCs/>
          <w:i/>
          <w:sz w:val="22"/>
          <w:szCs w:val="22"/>
        </w:rPr>
        <w:t>Project Execution Generally</w:t>
      </w:r>
      <w:r w:rsidRPr="006B794C">
        <w:rPr>
          <w:bCs/>
          <w:sz w:val="22"/>
          <w:szCs w:val="22"/>
        </w:rPr>
        <w:t>), and 5.09 (</w:t>
      </w:r>
      <w:r w:rsidRPr="006B794C">
        <w:rPr>
          <w:bCs/>
          <w:i/>
          <w:sz w:val="22"/>
          <w:szCs w:val="22"/>
        </w:rPr>
        <w:t>Financial Management; Financial Statements; Audits</w:t>
      </w:r>
      <w:r w:rsidRPr="006B794C">
        <w:rPr>
          <w:bCs/>
          <w:sz w:val="22"/>
          <w:szCs w:val="22"/>
        </w:rPr>
        <w:t>) are deleted in their entirety, and the remaining Sections in Article V are renumbered accordingly.</w:t>
      </w:r>
    </w:p>
    <w:p w:rsidR="00DA5570" w:rsidRPr="006B794C" w:rsidRDefault="00DA5570" w:rsidP="00DA5570">
      <w:pPr>
        <w:pStyle w:val="BodyText"/>
        <w:spacing w:before="240"/>
        <w:ind w:left="720" w:hanging="720"/>
        <w:rPr>
          <w:bCs/>
          <w:sz w:val="22"/>
          <w:szCs w:val="22"/>
        </w:rPr>
      </w:pPr>
      <w:r w:rsidRPr="006B794C">
        <w:rPr>
          <w:bCs/>
          <w:sz w:val="22"/>
          <w:szCs w:val="22"/>
        </w:rPr>
        <w:t>5.</w:t>
      </w:r>
      <w:r w:rsidRPr="006B794C">
        <w:rPr>
          <w:bCs/>
          <w:sz w:val="22"/>
          <w:szCs w:val="22"/>
        </w:rPr>
        <w:tab/>
        <w:t xml:space="preserve">Paragraph (a) of Section 5.05 (renumbered as such pursuant to paragraph 4 above and relating to </w:t>
      </w:r>
      <w:r w:rsidRPr="006B794C">
        <w:rPr>
          <w:bCs/>
          <w:i/>
          <w:sz w:val="22"/>
          <w:szCs w:val="22"/>
        </w:rPr>
        <w:t>Use of Goods, Works and Services</w:t>
      </w:r>
      <w:r w:rsidRPr="006B794C">
        <w:rPr>
          <w:bCs/>
          <w:sz w:val="22"/>
          <w:szCs w:val="22"/>
        </w:rPr>
        <w:t>) is deleted in its entirety.</w:t>
      </w:r>
    </w:p>
    <w:p w:rsidR="00DA5570" w:rsidRPr="006B794C" w:rsidRDefault="00DA5570" w:rsidP="00DA5570">
      <w:pPr>
        <w:pStyle w:val="BodyText"/>
        <w:ind w:left="720" w:hanging="720"/>
        <w:rPr>
          <w:bCs/>
          <w:sz w:val="22"/>
          <w:szCs w:val="22"/>
        </w:rPr>
      </w:pPr>
    </w:p>
    <w:p w:rsidR="00DA5570" w:rsidRPr="006B794C" w:rsidRDefault="00DA5570" w:rsidP="00DA5570">
      <w:pPr>
        <w:pStyle w:val="BodyText"/>
        <w:ind w:left="720" w:hanging="720"/>
        <w:rPr>
          <w:bCs/>
          <w:sz w:val="22"/>
          <w:szCs w:val="22"/>
        </w:rPr>
      </w:pPr>
      <w:r w:rsidRPr="006B794C">
        <w:rPr>
          <w:bCs/>
          <w:sz w:val="22"/>
          <w:szCs w:val="22"/>
        </w:rPr>
        <w:t>6.</w:t>
      </w:r>
      <w:r w:rsidRPr="006B794C">
        <w:rPr>
          <w:bCs/>
          <w:sz w:val="22"/>
          <w:szCs w:val="22"/>
        </w:rPr>
        <w:tab/>
        <w:t>Paragraph (c) of Section 5.06 (renumbered as such pursuant to paragraph 4 above) is modified to read as follows:</w:t>
      </w:r>
    </w:p>
    <w:p w:rsidR="00DA5570" w:rsidRPr="006B794C" w:rsidRDefault="00DA5570" w:rsidP="00DA5570">
      <w:pPr>
        <w:pStyle w:val="BodyText"/>
        <w:ind w:left="1440"/>
        <w:rPr>
          <w:bCs/>
          <w:sz w:val="22"/>
          <w:szCs w:val="22"/>
        </w:rPr>
      </w:pPr>
    </w:p>
    <w:p w:rsidR="00DA5570" w:rsidRPr="006B794C" w:rsidRDefault="00DA5570" w:rsidP="00A82413">
      <w:pPr>
        <w:pStyle w:val="BodyText"/>
        <w:ind w:left="720"/>
        <w:rPr>
          <w:bCs/>
          <w:i/>
          <w:iCs/>
          <w:sz w:val="22"/>
          <w:szCs w:val="22"/>
        </w:rPr>
      </w:pPr>
      <w:r w:rsidRPr="006B794C">
        <w:rPr>
          <w:bCs/>
          <w:sz w:val="22"/>
          <w:szCs w:val="22"/>
        </w:rPr>
        <w:t xml:space="preserve">“Section 5.06. </w:t>
      </w:r>
      <w:r w:rsidRPr="006B794C">
        <w:rPr>
          <w:bCs/>
          <w:i/>
          <w:iCs/>
          <w:sz w:val="22"/>
          <w:szCs w:val="22"/>
        </w:rPr>
        <w:t>Plans; Documents; Records</w:t>
      </w:r>
    </w:p>
    <w:p w:rsidR="00DA5570" w:rsidRPr="006B794C" w:rsidRDefault="00DA5570" w:rsidP="00DA5570">
      <w:pPr>
        <w:pStyle w:val="BodyText"/>
        <w:ind w:left="1440"/>
        <w:rPr>
          <w:bCs/>
          <w:sz w:val="22"/>
          <w:szCs w:val="22"/>
        </w:rPr>
      </w:pPr>
    </w:p>
    <w:p w:rsidR="00DA5570" w:rsidRDefault="00DA5570" w:rsidP="00A82413">
      <w:pPr>
        <w:pStyle w:val="BodyText"/>
        <w:ind w:left="720"/>
        <w:rPr>
          <w:bCs/>
          <w:sz w:val="22"/>
          <w:szCs w:val="22"/>
        </w:rPr>
      </w:pPr>
      <w:r w:rsidRPr="006B794C">
        <w:rPr>
          <w:bCs/>
          <w:sz w:val="22"/>
          <w:szCs w:val="22"/>
        </w:rPr>
        <w:t>…</w:t>
      </w:r>
      <w:r w:rsidRPr="006B794C">
        <w:rPr>
          <w:bCs/>
          <w:sz w:val="22"/>
          <w:szCs w:val="22"/>
        </w:rPr>
        <w:tab/>
        <w:t>(c)</w:t>
      </w:r>
      <w:r w:rsidRPr="006B794C">
        <w:rPr>
          <w:bCs/>
          <w:sz w:val="22"/>
          <w:szCs w:val="22"/>
        </w:rPr>
        <w:tab/>
        <w:t>The Borrower shall retain all records (contracts, orders, invoices, bills, receipts and other documents) evidencing expenditures under the Loan until two years after the Closing Date. The Borrower shall enable the Bank’s representatives to examine such records.”</w:t>
      </w:r>
    </w:p>
    <w:p w:rsidR="00A82413" w:rsidRPr="006B794C" w:rsidRDefault="00A82413" w:rsidP="00A82413">
      <w:pPr>
        <w:pStyle w:val="BodyText"/>
        <w:ind w:left="720"/>
        <w:rPr>
          <w:bCs/>
          <w:sz w:val="22"/>
          <w:szCs w:val="22"/>
        </w:rPr>
      </w:pPr>
    </w:p>
    <w:p w:rsidR="00DA5570" w:rsidRPr="006B794C" w:rsidRDefault="00DA5570" w:rsidP="00DA5570">
      <w:pPr>
        <w:pStyle w:val="BodyText"/>
        <w:ind w:left="720" w:hanging="720"/>
        <w:rPr>
          <w:bCs/>
          <w:sz w:val="22"/>
          <w:szCs w:val="22"/>
        </w:rPr>
      </w:pPr>
      <w:r w:rsidRPr="006B794C">
        <w:rPr>
          <w:bCs/>
          <w:sz w:val="22"/>
          <w:szCs w:val="22"/>
        </w:rPr>
        <w:lastRenderedPageBreak/>
        <w:t>7.</w:t>
      </w:r>
      <w:r w:rsidRPr="006B794C">
        <w:rPr>
          <w:bCs/>
          <w:sz w:val="22"/>
          <w:szCs w:val="22"/>
        </w:rPr>
        <w:tab/>
        <w:t>Paragraph (c) of Section 5.07 (renumbered as such pursuant to paragraph 4 above) is modified to read as follows:</w:t>
      </w:r>
    </w:p>
    <w:p w:rsidR="00DA5570" w:rsidRPr="00A82413" w:rsidRDefault="00DA5570" w:rsidP="00DA5570">
      <w:pPr>
        <w:pStyle w:val="BodyText"/>
        <w:ind w:left="720" w:hanging="720"/>
        <w:rPr>
          <w:bCs/>
          <w:sz w:val="18"/>
          <w:szCs w:val="18"/>
        </w:rPr>
      </w:pPr>
    </w:p>
    <w:p w:rsidR="00DA5570" w:rsidRPr="006B794C" w:rsidRDefault="00A82413" w:rsidP="00A82413">
      <w:pPr>
        <w:pStyle w:val="BodyText"/>
        <w:ind w:left="720"/>
        <w:rPr>
          <w:bCs/>
          <w:i/>
          <w:iCs/>
          <w:sz w:val="22"/>
          <w:szCs w:val="22"/>
        </w:rPr>
      </w:pPr>
      <w:r>
        <w:rPr>
          <w:bCs/>
          <w:sz w:val="22"/>
          <w:szCs w:val="22"/>
        </w:rPr>
        <w:t>“</w:t>
      </w:r>
      <w:r w:rsidR="00DA5570" w:rsidRPr="006B794C">
        <w:rPr>
          <w:bCs/>
          <w:sz w:val="22"/>
          <w:szCs w:val="22"/>
        </w:rPr>
        <w:t xml:space="preserve">Section 5.07. </w:t>
      </w:r>
      <w:r w:rsidR="00DA5570" w:rsidRPr="006B794C">
        <w:rPr>
          <w:bCs/>
          <w:i/>
          <w:iCs/>
          <w:sz w:val="22"/>
          <w:szCs w:val="22"/>
        </w:rPr>
        <w:t>Program Monitoring and Evaluation</w:t>
      </w:r>
    </w:p>
    <w:p w:rsidR="00DA5570" w:rsidRPr="00A82413" w:rsidRDefault="00DA5570" w:rsidP="00DA5570">
      <w:pPr>
        <w:pStyle w:val="BodyText"/>
        <w:ind w:left="720" w:hanging="720"/>
        <w:rPr>
          <w:bCs/>
          <w:sz w:val="18"/>
          <w:szCs w:val="18"/>
        </w:rPr>
      </w:pPr>
    </w:p>
    <w:p w:rsidR="00DA5570" w:rsidRPr="006B794C" w:rsidRDefault="00DA5570" w:rsidP="00A82413">
      <w:pPr>
        <w:pStyle w:val="BodyText"/>
        <w:ind w:left="720"/>
        <w:rPr>
          <w:bCs/>
          <w:sz w:val="22"/>
          <w:szCs w:val="22"/>
        </w:rPr>
      </w:pPr>
      <w:r w:rsidRPr="006B794C">
        <w:rPr>
          <w:bCs/>
          <w:sz w:val="22"/>
          <w:szCs w:val="22"/>
        </w:rPr>
        <w:t>…</w:t>
      </w:r>
      <w:r w:rsidRPr="006B794C">
        <w:rPr>
          <w:bCs/>
          <w:sz w:val="22"/>
          <w:szCs w:val="22"/>
        </w:rPr>
        <w:tab/>
        <w:t xml:space="preserve">(c) </w:t>
      </w:r>
      <w:r w:rsidRPr="006B794C">
        <w:rPr>
          <w:bCs/>
          <w:sz w:val="22"/>
          <w:szCs w:val="22"/>
        </w:rPr>
        <w:tab/>
        <w:t>The Borrower shall prepare, or cause to be prepared, and furnish to the Bank not later than six months after the Closing Date, a report of such scope and in such detail as the Bank shall reasonably request, on the execution of the Program, the performance by the Loan Parties and the Bank of their respective obligations under the Legal Agreements and the accomplishment of the purposes of the Loan.</w:t>
      </w:r>
      <w:r w:rsidR="00A82413">
        <w:rPr>
          <w:bCs/>
          <w:sz w:val="22"/>
          <w:szCs w:val="22"/>
        </w:rPr>
        <w:t>”</w:t>
      </w:r>
    </w:p>
    <w:p w:rsidR="00DA5570" w:rsidRPr="00A82413" w:rsidRDefault="00DA5570" w:rsidP="00DA5570">
      <w:pPr>
        <w:pStyle w:val="BodyText"/>
        <w:ind w:left="720" w:hanging="720"/>
        <w:rPr>
          <w:bCs/>
          <w:sz w:val="20"/>
        </w:rPr>
      </w:pPr>
    </w:p>
    <w:p w:rsidR="00DA5570" w:rsidRPr="006B794C" w:rsidRDefault="00DA5570" w:rsidP="00DA5570">
      <w:pPr>
        <w:pStyle w:val="BodyText"/>
        <w:ind w:left="720" w:hanging="720"/>
        <w:rPr>
          <w:bCs/>
          <w:sz w:val="22"/>
          <w:szCs w:val="22"/>
        </w:rPr>
      </w:pPr>
      <w:r w:rsidRPr="006B794C">
        <w:rPr>
          <w:bCs/>
          <w:sz w:val="22"/>
          <w:szCs w:val="22"/>
        </w:rPr>
        <w:t>8.</w:t>
      </w:r>
      <w:r w:rsidRPr="006B794C">
        <w:rPr>
          <w:bCs/>
          <w:sz w:val="22"/>
          <w:szCs w:val="22"/>
        </w:rPr>
        <w:tab/>
        <w:t>The following terms and definitions set forth in the Appendix are modified or deleted as follows, and the following new terms and definitions are added in alphabetical order to the Appendix as follows, with the terms being renumbered accordingly:</w:t>
      </w:r>
      <w:r w:rsidRPr="006B794C">
        <w:rPr>
          <w:rStyle w:val="FootnoteReference"/>
          <w:bCs/>
          <w:sz w:val="22"/>
          <w:szCs w:val="22"/>
        </w:rPr>
        <w:t xml:space="preserve"> </w:t>
      </w:r>
    </w:p>
    <w:p w:rsidR="00DA5570" w:rsidRPr="00A82413" w:rsidRDefault="00DA5570" w:rsidP="00DA5570">
      <w:pPr>
        <w:pStyle w:val="BodyText"/>
        <w:ind w:left="1440" w:hanging="720"/>
        <w:rPr>
          <w:bCs/>
          <w:sz w:val="18"/>
          <w:szCs w:val="18"/>
        </w:rPr>
      </w:pPr>
    </w:p>
    <w:p w:rsidR="00DA5570" w:rsidRPr="006B794C" w:rsidRDefault="00DA5570" w:rsidP="00DA5570">
      <w:pPr>
        <w:pStyle w:val="BodyText"/>
        <w:numPr>
          <w:ilvl w:val="0"/>
          <w:numId w:val="6"/>
        </w:numPr>
        <w:ind w:left="1440" w:hanging="720"/>
        <w:rPr>
          <w:bCs/>
          <w:sz w:val="22"/>
          <w:szCs w:val="22"/>
        </w:rPr>
      </w:pPr>
      <w:r w:rsidRPr="006B794C">
        <w:rPr>
          <w:bCs/>
          <w:sz w:val="22"/>
          <w:szCs w:val="22"/>
        </w:rPr>
        <w:t>The definition of “Conversion Date” is modified to read as follows:</w:t>
      </w:r>
    </w:p>
    <w:p w:rsidR="00DA5570" w:rsidRPr="00A82413" w:rsidRDefault="00DA5570" w:rsidP="00DA5570">
      <w:pPr>
        <w:pStyle w:val="BodyText"/>
        <w:ind w:left="1440"/>
        <w:rPr>
          <w:bCs/>
          <w:sz w:val="18"/>
          <w:szCs w:val="18"/>
        </w:rPr>
      </w:pPr>
    </w:p>
    <w:p w:rsidR="00DA5570" w:rsidRPr="006B794C" w:rsidRDefault="00DA5570" w:rsidP="00DA5570">
      <w:pPr>
        <w:pStyle w:val="BodyText"/>
        <w:ind w:left="1440"/>
        <w:rPr>
          <w:bCs/>
          <w:sz w:val="22"/>
          <w:szCs w:val="22"/>
        </w:rPr>
      </w:pPr>
      <w:r w:rsidRPr="006B794C">
        <w:rPr>
          <w:bCs/>
          <w:sz w:val="22"/>
          <w:szCs w:val="22"/>
        </w:rPr>
        <w:t>“Conversion Date” means, in respect of a Conversion, the Execution Date (as herein defined) or such other date as requested by the Borrower and accepted by the Bank, on which the Conversion enters into effect, and as further specified in the Conversion Guidelines.”</w:t>
      </w:r>
    </w:p>
    <w:p w:rsidR="00DA5570" w:rsidRPr="00A82413" w:rsidRDefault="00DA5570" w:rsidP="00DA5570">
      <w:pPr>
        <w:pStyle w:val="BodyText"/>
        <w:ind w:left="1440" w:hanging="720"/>
        <w:rPr>
          <w:bCs/>
          <w:sz w:val="18"/>
          <w:szCs w:val="18"/>
        </w:rPr>
      </w:pPr>
    </w:p>
    <w:p w:rsidR="00DA5570" w:rsidRPr="006B794C" w:rsidRDefault="00DA5570" w:rsidP="00DA5570">
      <w:pPr>
        <w:pStyle w:val="BodyText"/>
        <w:ind w:left="1440" w:hanging="720"/>
        <w:rPr>
          <w:bCs/>
          <w:sz w:val="22"/>
          <w:szCs w:val="22"/>
        </w:rPr>
      </w:pPr>
      <w:r w:rsidRPr="006B794C">
        <w:rPr>
          <w:bCs/>
          <w:sz w:val="22"/>
          <w:szCs w:val="22"/>
        </w:rPr>
        <w:t>(b)</w:t>
      </w:r>
      <w:r w:rsidRPr="006B794C">
        <w:rPr>
          <w:bCs/>
          <w:sz w:val="22"/>
          <w:szCs w:val="22"/>
        </w:rPr>
        <w:tab/>
        <w:t xml:space="preserve">The definition of the term “Eligible Expenditure” is modified to read as follows:  </w:t>
      </w:r>
    </w:p>
    <w:p w:rsidR="00DA5570" w:rsidRPr="00A82413" w:rsidRDefault="00DA5570" w:rsidP="00DA5570">
      <w:pPr>
        <w:pStyle w:val="BodyText"/>
        <w:ind w:left="1440" w:hanging="720"/>
        <w:rPr>
          <w:bCs/>
          <w:sz w:val="18"/>
          <w:szCs w:val="18"/>
        </w:rPr>
      </w:pPr>
    </w:p>
    <w:p w:rsidR="00DA5570" w:rsidRPr="006B794C" w:rsidRDefault="00DA5570" w:rsidP="00DA5570">
      <w:pPr>
        <w:pStyle w:val="BodyText"/>
        <w:ind w:left="1440" w:firstLine="90"/>
        <w:rPr>
          <w:bCs/>
          <w:sz w:val="22"/>
          <w:szCs w:val="22"/>
        </w:rPr>
      </w:pPr>
      <w:r w:rsidRPr="006B794C">
        <w:rPr>
          <w:bCs/>
          <w:sz w:val="22"/>
          <w:szCs w:val="22"/>
        </w:rPr>
        <w:t>“‘Eligible Expenditure’ means any use to which the Loan is put in support of the Program, other than to finance expenditures excluded pursuant to the Loan Agreement.”</w:t>
      </w:r>
    </w:p>
    <w:p w:rsidR="00DA5570" w:rsidRPr="00A82413" w:rsidRDefault="00DA5570" w:rsidP="00DA5570">
      <w:pPr>
        <w:pStyle w:val="BodyText"/>
        <w:ind w:left="1440" w:hanging="720"/>
        <w:rPr>
          <w:bCs/>
          <w:sz w:val="18"/>
          <w:szCs w:val="18"/>
        </w:rPr>
      </w:pPr>
    </w:p>
    <w:p w:rsidR="00DA5570" w:rsidRPr="006B794C" w:rsidRDefault="00DA5570" w:rsidP="00DA5570">
      <w:pPr>
        <w:pStyle w:val="BodyText"/>
        <w:ind w:left="1440" w:hanging="720"/>
        <w:rPr>
          <w:bCs/>
          <w:sz w:val="22"/>
          <w:szCs w:val="22"/>
        </w:rPr>
      </w:pPr>
      <w:bookmarkStart w:id="58" w:name="_DV_M301"/>
      <w:bookmarkEnd w:id="58"/>
      <w:r w:rsidRPr="006B794C">
        <w:rPr>
          <w:bCs/>
          <w:sz w:val="22"/>
          <w:szCs w:val="22"/>
        </w:rPr>
        <w:t>(c)</w:t>
      </w:r>
      <w:r w:rsidRPr="006B794C">
        <w:rPr>
          <w:bCs/>
          <w:sz w:val="22"/>
          <w:szCs w:val="22"/>
        </w:rPr>
        <w:tab/>
        <w:t>The term “Financial Statements” and its definition are deleted in their entirety.</w:t>
      </w:r>
    </w:p>
    <w:p w:rsidR="00DA5570" w:rsidRPr="00A82413" w:rsidRDefault="00DA5570" w:rsidP="00DA5570">
      <w:pPr>
        <w:pStyle w:val="BodyText"/>
        <w:ind w:left="1440" w:hanging="720"/>
        <w:rPr>
          <w:bCs/>
          <w:sz w:val="18"/>
          <w:szCs w:val="18"/>
        </w:rPr>
      </w:pPr>
    </w:p>
    <w:p w:rsidR="00DA5570" w:rsidRPr="006B794C" w:rsidRDefault="00DA5570" w:rsidP="00A82413">
      <w:pPr>
        <w:pStyle w:val="FootnoteText"/>
        <w:spacing w:line="240" w:lineRule="auto"/>
        <w:ind w:left="1440" w:hanging="720"/>
        <w:jc w:val="both"/>
        <w:rPr>
          <w:bCs/>
          <w:iCs/>
          <w:sz w:val="22"/>
          <w:szCs w:val="22"/>
        </w:rPr>
      </w:pPr>
      <w:r w:rsidRPr="006B794C">
        <w:rPr>
          <w:bCs/>
          <w:sz w:val="22"/>
          <w:szCs w:val="22"/>
        </w:rPr>
        <w:t>(d)</w:t>
      </w:r>
      <w:r w:rsidRPr="006B794C">
        <w:rPr>
          <w:bCs/>
          <w:sz w:val="22"/>
          <w:szCs w:val="22"/>
        </w:rPr>
        <w:tab/>
      </w:r>
      <w:r w:rsidRPr="006B794C">
        <w:rPr>
          <w:bCs/>
          <w:iCs/>
          <w:sz w:val="22"/>
          <w:szCs w:val="22"/>
        </w:rPr>
        <w:t>The term “Project” is modified to read “Program” and its definition is modified to read as follows (and a</w:t>
      </w:r>
      <w:r w:rsidRPr="006B794C">
        <w:rPr>
          <w:sz w:val="22"/>
          <w:szCs w:val="22"/>
        </w:rPr>
        <w:t>ll references to “Project” throughout these General Conditions are deemed to be references to “Program”</w:t>
      </w:r>
      <w:r w:rsidRPr="00A82413">
        <w:rPr>
          <w:sz w:val="22"/>
          <w:szCs w:val="22"/>
        </w:rPr>
        <w:t>)</w:t>
      </w:r>
      <w:r w:rsidRPr="00A82413">
        <w:rPr>
          <w:bCs/>
          <w:iCs/>
          <w:sz w:val="22"/>
          <w:szCs w:val="22"/>
        </w:rPr>
        <w:t>:</w:t>
      </w:r>
      <w:r w:rsidRPr="006B794C">
        <w:rPr>
          <w:bCs/>
          <w:iCs/>
          <w:sz w:val="22"/>
          <w:szCs w:val="22"/>
        </w:rPr>
        <w:t xml:space="preserve"> </w:t>
      </w:r>
    </w:p>
    <w:p w:rsidR="00DA5570" w:rsidRPr="00A82413" w:rsidRDefault="00DA5570" w:rsidP="00DA5570">
      <w:pPr>
        <w:pStyle w:val="BodyText"/>
        <w:ind w:left="1440" w:hanging="720"/>
        <w:rPr>
          <w:bCs/>
          <w:iCs/>
          <w:sz w:val="18"/>
          <w:szCs w:val="18"/>
        </w:rPr>
      </w:pPr>
    </w:p>
    <w:p w:rsidR="00DA5570" w:rsidRPr="006B794C" w:rsidRDefault="00DA5570" w:rsidP="00DA5570">
      <w:pPr>
        <w:pStyle w:val="BodyText"/>
        <w:ind w:left="1440" w:hanging="720"/>
        <w:rPr>
          <w:sz w:val="22"/>
          <w:szCs w:val="22"/>
        </w:rPr>
      </w:pPr>
      <w:r w:rsidRPr="006B794C">
        <w:rPr>
          <w:bCs/>
          <w:iCs/>
          <w:sz w:val="22"/>
          <w:szCs w:val="22"/>
        </w:rPr>
        <w:tab/>
      </w:r>
      <w:bookmarkStart w:id="59" w:name="_DV_M32"/>
      <w:bookmarkStart w:id="60" w:name="_DV_M33"/>
      <w:bookmarkStart w:id="61" w:name="_DV_M34"/>
      <w:bookmarkEnd w:id="59"/>
      <w:bookmarkEnd w:id="60"/>
      <w:bookmarkEnd w:id="61"/>
      <w:r w:rsidRPr="006B794C">
        <w:rPr>
          <w:sz w:val="22"/>
          <w:szCs w:val="22"/>
        </w:rPr>
        <w:t>“‘Program’ means the program referred to in the Loan Agreement in support of which the Loan is made.”</w:t>
      </w:r>
      <w:bookmarkStart w:id="62" w:name="_DV_M35"/>
      <w:bookmarkStart w:id="63" w:name="_DV_M37"/>
      <w:bookmarkStart w:id="64" w:name="_DV_M44"/>
      <w:bookmarkStart w:id="65" w:name="_DV_M45"/>
      <w:bookmarkStart w:id="66" w:name="_DV_M47"/>
      <w:bookmarkStart w:id="67" w:name="_DV_M50"/>
      <w:bookmarkStart w:id="68" w:name="_DV_M51"/>
      <w:bookmarkStart w:id="69" w:name="_DV_M55"/>
      <w:bookmarkStart w:id="70" w:name="_DV_M56"/>
      <w:bookmarkStart w:id="71" w:name="_DV_M57"/>
      <w:bookmarkStart w:id="72" w:name="_DV_M58"/>
      <w:bookmarkStart w:id="73" w:name="_DV_M59"/>
      <w:bookmarkStart w:id="74" w:name="_DV_M60"/>
      <w:bookmarkStart w:id="75" w:name="_DV_M62"/>
      <w:bookmarkStart w:id="76" w:name="_DV_M63"/>
      <w:bookmarkStart w:id="77" w:name="_DV_M65"/>
      <w:bookmarkStart w:id="78" w:name="_DV_M72"/>
      <w:bookmarkStart w:id="79" w:name="_DV_M74"/>
      <w:bookmarkStart w:id="80" w:name="_DV_M75"/>
      <w:bookmarkStart w:id="81" w:name="_DV_M77"/>
      <w:bookmarkStart w:id="82" w:name="_DV_M79"/>
      <w:bookmarkStart w:id="83" w:name="_DV_M80"/>
      <w:bookmarkStart w:id="84" w:name="_DV_M8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rsidR="00DA5570" w:rsidRPr="00A82413" w:rsidRDefault="00DA5570" w:rsidP="00DA5570">
      <w:pPr>
        <w:pStyle w:val="BodyText"/>
        <w:ind w:left="1440" w:hanging="720"/>
        <w:rPr>
          <w:sz w:val="18"/>
          <w:szCs w:val="18"/>
        </w:rPr>
      </w:pPr>
    </w:p>
    <w:p w:rsidR="00DA5570" w:rsidRDefault="00DA5570" w:rsidP="00DA5570">
      <w:pPr>
        <w:pStyle w:val="BodyText"/>
        <w:ind w:left="1440" w:hanging="720"/>
        <w:rPr>
          <w:bCs/>
          <w:iCs/>
          <w:sz w:val="22"/>
          <w:szCs w:val="22"/>
        </w:rPr>
      </w:pPr>
      <w:r w:rsidRPr="006B794C">
        <w:rPr>
          <w:sz w:val="22"/>
          <w:szCs w:val="22"/>
        </w:rPr>
        <w:t>(e)</w:t>
      </w:r>
      <w:r w:rsidRPr="006B794C">
        <w:rPr>
          <w:sz w:val="22"/>
          <w:szCs w:val="22"/>
        </w:rPr>
        <w:tab/>
      </w:r>
      <w:r w:rsidRPr="006B794C">
        <w:rPr>
          <w:bCs/>
          <w:iCs/>
          <w:sz w:val="22"/>
          <w:szCs w:val="22"/>
        </w:rPr>
        <w:t xml:space="preserve">The term </w:t>
      </w:r>
      <w:r w:rsidRPr="006B794C">
        <w:rPr>
          <w:bCs/>
          <w:sz w:val="22"/>
          <w:szCs w:val="22"/>
        </w:rPr>
        <w:t xml:space="preserve">“Program Preparation Advance” (renamed as such pursuant to subparagraph 8 (d) above) </w:t>
      </w:r>
      <w:r w:rsidRPr="006B794C">
        <w:rPr>
          <w:bCs/>
          <w:iCs/>
          <w:sz w:val="22"/>
          <w:szCs w:val="22"/>
        </w:rPr>
        <w:t xml:space="preserve">is modified to read </w:t>
      </w:r>
      <w:r w:rsidRPr="006B794C">
        <w:rPr>
          <w:sz w:val="22"/>
          <w:szCs w:val="22"/>
        </w:rPr>
        <w:t>“</w:t>
      </w:r>
      <w:r w:rsidRPr="006B794C">
        <w:rPr>
          <w:bCs/>
          <w:sz w:val="22"/>
          <w:szCs w:val="22"/>
        </w:rPr>
        <w:t xml:space="preserve">Preparation Advance” </w:t>
      </w:r>
      <w:r w:rsidRPr="006B794C">
        <w:rPr>
          <w:bCs/>
          <w:iCs/>
          <w:sz w:val="22"/>
          <w:szCs w:val="22"/>
        </w:rPr>
        <w:t>and its definition is modified to read as follows:</w:t>
      </w:r>
    </w:p>
    <w:p w:rsidR="00A82413" w:rsidRPr="006B794C" w:rsidRDefault="00A82413" w:rsidP="00DA5570">
      <w:pPr>
        <w:pStyle w:val="BodyText"/>
        <w:ind w:left="1440" w:hanging="720"/>
        <w:rPr>
          <w:sz w:val="22"/>
          <w:szCs w:val="22"/>
        </w:rPr>
      </w:pPr>
    </w:p>
    <w:p w:rsidR="00F52154" w:rsidRPr="006B794C" w:rsidRDefault="00DA5570" w:rsidP="00A82413">
      <w:pPr>
        <w:pStyle w:val="BodyText"/>
        <w:ind w:left="1440"/>
        <w:rPr>
          <w:sz w:val="22"/>
          <w:szCs w:val="22"/>
        </w:rPr>
      </w:pPr>
      <w:r w:rsidRPr="006B794C">
        <w:rPr>
          <w:sz w:val="22"/>
          <w:szCs w:val="22"/>
        </w:rPr>
        <w:t>“‘</w:t>
      </w:r>
      <w:r w:rsidRPr="006B794C">
        <w:rPr>
          <w:bCs/>
          <w:sz w:val="22"/>
          <w:szCs w:val="22"/>
        </w:rPr>
        <w:t xml:space="preserve">Preparation Advance’ means </w:t>
      </w:r>
      <w:r w:rsidRPr="006B794C">
        <w:rPr>
          <w:sz w:val="22"/>
          <w:szCs w:val="22"/>
        </w:rPr>
        <w:t>the advance referred to in the Loan Agreement and repayable in accordance with Section 2.05.”</w:t>
      </w:r>
    </w:p>
    <w:sectPr w:rsidR="00F52154" w:rsidRPr="006B794C" w:rsidSect="00A82413">
      <w:pgSz w:w="12240" w:h="15840" w:code="1"/>
      <w:pgMar w:top="2160" w:right="2160" w:bottom="2160" w:left="2160" w:header="1440" w:footer="1440" w:gutter="0"/>
      <w:pgNumType w:fmt="numberInDash"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3E8F" w:rsidRDefault="009C3E8F" w:rsidP="004F4A19">
      <w:pPr>
        <w:spacing w:line="240" w:lineRule="auto"/>
      </w:pPr>
      <w:r>
        <w:separator/>
      </w:r>
    </w:p>
  </w:endnote>
  <w:endnote w:type="continuationSeparator" w:id="0">
    <w:p w:rsidR="009C3E8F" w:rsidRDefault="009C3E8F" w:rsidP="004F4A1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3E8F" w:rsidRDefault="009C3E8F" w:rsidP="004F4A19">
      <w:pPr>
        <w:spacing w:line="240" w:lineRule="auto"/>
      </w:pPr>
      <w:r>
        <w:separator/>
      </w:r>
    </w:p>
  </w:footnote>
  <w:footnote w:type="continuationSeparator" w:id="0">
    <w:p w:rsidR="009C3E8F" w:rsidRDefault="009C3E8F" w:rsidP="004F4A1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E8F" w:rsidRDefault="00BC2909">
    <w:pPr>
      <w:pStyle w:val="Header"/>
      <w:framePr w:wrap="around" w:vAnchor="text" w:hAnchor="margin" w:xAlign="center" w:y="1"/>
      <w:rPr>
        <w:rStyle w:val="PageNumber"/>
      </w:rPr>
    </w:pPr>
    <w:r>
      <w:rPr>
        <w:rStyle w:val="PageNumber"/>
      </w:rPr>
      <w:fldChar w:fldCharType="begin"/>
    </w:r>
    <w:r w:rsidR="009C3E8F">
      <w:rPr>
        <w:rStyle w:val="PageNumber"/>
      </w:rPr>
      <w:instrText xml:space="preserve">PAGE  </w:instrText>
    </w:r>
    <w:r>
      <w:rPr>
        <w:rStyle w:val="PageNumber"/>
      </w:rPr>
      <w:fldChar w:fldCharType="end"/>
    </w:r>
  </w:p>
  <w:p w:rsidR="009C3E8F" w:rsidRDefault="009C3E8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922427"/>
      <w:docPartObj>
        <w:docPartGallery w:val="Page Numbers (Top of Page)"/>
        <w:docPartUnique/>
      </w:docPartObj>
    </w:sdtPr>
    <w:sdtEndPr>
      <w:rPr>
        <w:sz w:val="22"/>
        <w:szCs w:val="22"/>
      </w:rPr>
    </w:sdtEndPr>
    <w:sdtContent>
      <w:p w:rsidR="009C3E8F" w:rsidRPr="00A82413" w:rsidRDefault="00BC2909" w:rsidP="00A82413">
        <w:pPr>
          <w:pStyle w:val="Header"/>
          <w:jc w:val="center"/>
          <w:rPr>
            <w:sz w:val="22"/>
            <w:szCs w:val="22"/>
          </w:rPr>
        </w:pPr>
        <w:r w:rsidRPr="00A82413">
          <w:rPr>
            <w:sz w:val="22"/>
            <w:szCs w:val="22"/>
          </w:rPr>
          <w:fldChar w:fldCharType="begin"/>
        </w:r>
        <w:r w:rsidR="009C3E8F" w:rsidRPr="00A82413">
          <w:rPr>
            <w:sz w:val="22"/>
            <w:szCs w:val="22"/>
          </w:rPr>
          <w:instrText xml:space="preserve"> PAGE   \* MERGEFORMAT </w:instrText>
        </w:r>
        <w:r w:rsidRPr="00A82413">
          <w:rPr>
            <w:sz w:val="22"/>
            <w:szCs w:val="22"/>
          </w:rPr>
          <w:fldChar w:fldCharType="separate"/>
        </w:r>
        <w:r w:rsidR="005E5725">
          <w:rPr>
            <w:noProof/>
            <w:sz w:val="22"/>
            <w:szCs w:val="22"/>
          </w:rPr>
          <w:t>- 8 -</w:t>
        </w:r>
        <w:r w:rsidRPr="00A82413">
          <w:rPr>
            <w:sz w:val="22"/>
            <w:szCs w:val="22"/>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257F6"/>
    <w:multiLevelType w:val="hybridMultilevel"/>
    <w:tmpl w:val="71BA6EF4"/>
    <w:lvl w:ilvl="0" w:tplc="C6EA96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1872EA"/>
    <w:multiLevelType w:val="hybridMultilevel"/>
    <w:tmpl w:val="1D3AC402"/>
    <w:lvl w:ilvl="0" w:tplc="69487A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B2E1ADA"/>
    <w:multiLevelType w:val="hybridMultilevel"/>
    <w:tmpl w:val="91B670A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44B52627"/>
    <w:multiLevelType w:val="multilevel"/>
    <w:tmpl w:val="DDD6EB4C"/>
    <w:lvl w:ilvl="0">
      <w:start w:val="2"/>
      <w:numFmt w:val="decimal"/>
      <w:lvlText w:val="%1."/>
      <w:lvlJc w:val="left"/>
      <w:pPr>
        <w:tabs>
          <w:tab w:val="num" w:pos="480"/>
        </w:tabs>
        <w:ind w:left="480" w:hanging="480"/>
      </w:pPr>
      <w:rPr>
        <w:rFonts w:hint="default"/>
      </w:rPr>
    </w:lvl>
    <w:lvl w:ilvl="1">
      <w:start w:val="2"/>
      <w:numFmt w:val="decimalZero"/>
      <w:lvlText w:val="%1.%2."/>
      <w:lvlJc w:val="left"/>
      <w:pPr>
        <w:tabs>
          <w:tab w:val="num" w:pos="930"/>
        </w:tabs>
        <w:ind w:left="93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5336832"/>
    <w:multiLevelType w:val="multilevel"/>
    <w:tmpl w:val="134A7B08"/>
    <w:lvl w:ilvl="0">
      <w:start w:val="1"/>
      <w:numFmt w:val="decimal"/>
      <w:lvlText w:val="%1."/>
      <w:lvlJc w:val="left"/>
      <w:pPr>
        <w:tabs>
          <w:tab w:val="num" w:pos="765"/>
        </w:tabs>
        <w:ind w:left="765" w:hanging="765"/>
      </w:pPr>
      <w:rPr>
        <w:rFonts w:hint="default"/>
      </w:rPr>
    </w:lvl>
    <w:lvl w:ilvl="1">
      <w:start w:val="1"/>
      <w:numFmt w:val="decimalZero"/>
      <w:lvlText w:val="%1.%2."/>
      <w:lvlJc w:val="left"/>
      <w:pPr>
        <w:tabs>
          <w:tab w:val="num" w:pos="1485"/>
        </w:tabs>
        <w:ind w:left="1485" w:hanging="765"/>
      </w:pPr>
      <w:rPr>
        <w:rFonts w:hint="default"/>
      </w:rPr>
    </w:lvl>
    <w:lvl w:ilvl="2">
      <w:start w:val="1"/>
      <w:numFmt w:val="decimal"/>
      <w:lvlText w:val="%1.%2.%3."/>
      <w:lvlJc w:val="left"/>
      <w:pPr>
        <w:tabs>
          <w:tab w:val="num" w:pos="2205"/>
        </w:tabs>
        <w:ind w:left="2205" w:hanging="765"/>
      </w:pPr>
      <w:rPr>
        <w:rFonts w:hint="default"/>
      </w:rPr>
    </w:lvl>
    <w:lvl w:ilvl="3">
      <w:start w:val="1"/>
      <w:numFmt w:val="decimal"/>
      <w:lvlText w:val="%1.%2.%3.%4."/>
      <w:lvlJc w:val="left"/>
      <w:pPr>
        <w:tabs>
          <w:tab w:val="num" w:pos="2925"/>
        </w:tabs>
        <w:ind w:left="2925" w:hanging="76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4AD04475"/>
    <w:multiLevelType w:val="singleLevel"/>
    <w:tmpl w:val="1436E3B6"/>
    <w:lvl w:ilvl="0">
      <w:start w:val="1"/>
      <w:numFmt w:val="decimal"/>
      <w:lvlText w:val="%1."/>
      <w:lvlJc w:val="left"/>
      <w:pPr>
        <w:tabs>
          <w:tab w:val="num" w:pos="720"/>
        </w:tabs>
        <w:ind w:left="720" w:hanging="720"/>
      </w:pPr>
      <w:rPr>
        <w:rFonts w:hint="default"/>
      </w:rPr>
    </w:lvl>
  </w:abstractNum>
  <w:abstractNum w:abstractNumId="6">
    <w:nsid w:val="4DC67308"/>
    <w:multiLevelType w:val="hybridMultilevel"/>
    <w:tmpl w:val="3580BE52"/>
    <w:lvl w:ilvl="0" w:tplc="0AB06F1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2E55D17"/>
    <w:multiLevelType w:val="hybridMultilevel"/>
    <w:tmpl w:val="046AD8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5"/>
  </w:num>
  <w:num w:numId="5">
    <w:abstractNumId w:val="6"/>
  </w:num>
  <w:num w:numId="6">
    <w:abstractNumId w:val="0"/>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0"/>
  <w:proofState w:spelling="clean" w:grammar="clean"/>
  <w:defaultTabStop w:val="720"/>
  <w:characterSpacingControl w:val="doNotCompress"/>
  <w:footnotePr>
    <w:footnote w:id="-1"/>
    <w:footnote w:id="0"/>
  </w:footnotePr>
  <w:endnotePr>
    <w:endnote w:id="-1"/>
    <w:endnote w:id="0"/>
  </w:endnotePr>
  <w:compat/>
  <w:rsids>
    <w:rsidRoot w:val="00DA5570"/>
    <w:rsid w:val="0000410B"/>
    <w:rsid w:val="00022EAD"/>
    <w:rsid w:val="00065CF6"/>
    <w:rsid w:val="001A0806"/>
    <w:rsid w:val="00254354"/>
    <w:rsid w:val="002A4694"/>
    <w:rsid w:val="002E5405"/>
    <w:rsid w:val="003B4581"/>
    <w:rsid w:val="004F4A19"/>
    <w:rsid w:val="00551C89"/>
    <w:rsid w:val="00562A31"/>
    <w:rsid w:val="0057073C"/>
    <w:rsid w:val="005E3658"/>
    <w:rsid w:val="005E5725"/>
    <w:rsid w:val="006B794C"/>
    <w:rsid w:val="00752D3E"/>
    <w:rsid w:val="00753323"/>
    <w:rsid w:val="00794779"/>
    <w:rsid w:val="007D0D6D"/>
    <w:rsid w:val="008416C4"/>
    <w:rsid w:val="008A533B"/>
    <w:rsid w:val="00934884"/>
    <w:rsid w:val="00964438"/>
    <w:rsid w:val="009A40A7"/>
    <w:rsid w:val="009C3E8F"/>
    <w:rsid w:val="00A82413"/>
    <w:rsid w:val="00AF3CF8"/>
    <w:rsid w:val="00B11265"/>
    <w:rsid w:val="00BB2960"/>
    <w:rsid w:val="00BC2909"/>
    <w:rsid w:val="00BC66DA"/>
    <w:rsid w:val="00C570AC"/>
    <w:rsid w:val="00CE3B4C"/>
    <w:rsid w:val="00DA5570"/>
    <w:rsid w:val="00DF66AD"/>
    <w:rsid w:val="00F52154"/>
    <w:rsid w:val="00FD33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570"/>
    <w:pPr>
      <w:spacing w:after="0" w:line="48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DA5570"/>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5570"/>
    <w:rPr>
      <w:rFonts w:ascii="Times New Roman" w:eastAsia="Times New Roman" w:hAnsi="Times New Roman" w:cs="Times New Roman"/>
      <w:b/>
      <w:bCs/>
      <w:sz w:val="24"/>
      <w:szCs w:val="20"/>
    </w:rPr>
  </w:style>
  <w:style w:type="paragraph" w:customStyle="1" w:styleId="Story">
    <w:name w:val="Story"/>
    <w:basedOn w:val="Normal"/>
    <w:rsid w:val="00DA5570"/>
  </w:style>
  <w:style w:type="paragraph" w:styleId="Header">
    <w:name w:val="header"/>
    <w:basedOn w:val="Normal"/>
    <w:link w:val="HeaderChar"/>
    <w:uiPriority w:val="99"/>
    <w:rsid w:val="00DA5570"/>
    <w:pPr>
      <w:tabs>
        <w:tab w:val="center" w:pos="4320"/>
        <w:tab w:val="right" w:pos="8640"/>
      </w:tabs>
    </w:pPr>
  </w:style>
  <w:style w:type="character" w:customStyle="1" w:styleId="HeaderChar">
    <w:name w:val="Header Char"/>
    <w:basedOn w:val="DefaultParagraphFont"/>
    <w:link w:val="Header"/>
    <w:uiPriority w:val="99"/>
    <w:rsid w:val="00DA5570"/>
    <w:rPr>
      <w:rFonts w:ascii="Times New Roman" w:eastAsia="Times New Roman" w:hAnsi="Times New Roman" w:cs="Times New Roman"/>
      <w:sz w:val="24"/>
      <w:szCs w:val="20"/>
    </w:rPr>
  </w:style>
  <w:style w:type="paragraph" w:styleId="Footer">
    <w:name w:val="footer"/>
    <w:basedOn w:val="Normal"/>
    <w:link w:val="FooterChar"/>
    <w:rsid w:val="00DA5570"/>
    <w:pPr>
      <w:tabs>
        <w:tab w:val="center" w:pos="4320"/>
        <w:tab w:val="right" w:pos="8640"/>
      </w:tabs>
    </w:pPr>
  </w:style>
  <w:style w:type="character" w:customStyle="1" w:styleId="FooterChar">
    <w:name w:val="Footer Char"/>
    <w:basedOn w:val="DefaultParagraphFont"/>
    <w:link w:val="Footer"/>
    <w:rsid w:val="00DA5570"/>
    <w:rPr>
      <w:rFonts w:ascii="Times New Roman" w:eastAsia="Times New Roman" w:hAnsi="Times New Roman" w:cs="Times New Roman"/>
      <w:sz w:val="24"/>
      <w:szCs w:val="20"/>
    </w:rPr>
  </w:style>
  <w:style w:type="paragraph" w:styleId="Title">
    <w:name w:val="Title"/>
    <w:basedOn w:val="Normal"/>
    <w:link w:val="TitleChar"/>
    <w:qFormat/>
    <w:rsid w:val="00DA5570"/>
    <w:pPr>
      <w:jc w:val="center"/>
    </w:pPr>
    <w:rPr>
      <w:b/>
      <w:bCs/>
    </w:rPr>
  </w:style>
  <w:style w:type="character" w:customStyle="1" w:styleId="TitleChar">
    <w:name w:val="Title Char"/>
    <w:basedOn w:val="DefaultParagraphFont"/>
    <w:link w:val="Title"/>
    <w:rsid w:val="00DA5570"/>
    <w:rPr>
      <w:rFonts w:ascii="Times New Roman" w:eastAsia="Times New Roman" w:hAnsi="Times New Roman" w:cs="Times New Roman"/>
      <w:b/>
      <w:bCs/>
      <w:sz w:val="24"/>
      <w:szCs w:val="20"/>
    </w:rPr>
  </w:style>
  <w:style w:type="paragraph" w:styleId="FootnoteText">
    <w:name w:val="footnote text"/>
    <w:basedOn w:val="Normal"/>
    <w:link w:val="FootnoteTextChar"/>
    <w:semiHidden/>
    <w:rsid w:val="00DA5570"/>
    <w:rPr>
      <w:sz w:val="20"/>
    </w:rPr>
  </w:style>
  <w:style w:type="character" w:customStyle="1" w:styleId="FootnoteTextChar">
    <w:name w:val="Footnote Text Char"/>
    <w:basedOn w:val="DefaultParagraphFont"/>
    <w:link w:val="FootnoteText"/>
    <w:semiHidden/>
    <w:rsid w:val="00DA5570"/>
    <w:rPr>
      <w:rFonts w:ascii="Times New Roman" w:eastAsia="Times New Roman" w:hAnsi="Times New Roman" w:cs="Times New Roman"/>
      <w:sz w:val="20"/>
      <w:szCs w:val="20"/>
    </w:rPr>
  </w:style>
  <w:style w:type="character" w:styleId="FootnoteReference">
    <w:name w:val="footnote reference"/>
    <w:basedOn w:val="DefaultParagraphFont"/>
    <w:semiHidden/>
    <w:rsid w:val="00DA5570"/>
    <w:rPr>
      <w:vertAlign w:val="superscript"/>
    </w:rPr>
  </w:style>
  <w:style w:type="paragraph" w:styleId="BodyText">
    <w:name w:val="Body Text"/>
    <w:basedOn w:val="Normal"/>
    <w:link w:val="BodyTextChar"/>
    <w:rsid w:val="00DA5570"/>
    <w:pPr>
      <w:spacing w:line="240" w:lineRule="auto"/>
      <w:jc w:val="both"/>
    </w:pPr>
  </w:style>
  <w:style w:type="character" w:customStyle="1" w:styleId="BodyTextChar">
    <w:name w:val="Body Text Char"/>
    <w:basedOn w:val="DefaultParagraphFont"/>
    <w:link w:val="BodyText"/>
    <w:rsid w:val="00DA5570"/>
    <w:rPr>
      <w:rFonts w:ascii="Times New Roman" w:eastAsia="Times New Roman" w:hAnsi="Times New Roman" w:cs="Times New Roman"/>
      <w:sz w:val="24"/>
      <w:szCs w:val="20"/>
    </w:rPr>
  </w:style>
  <w:style w:type="character" w:styleId="PageNumber">
    <w:name w:val="page number"/>
    <w:basedOn w:val="DefaultParagraphFont"/>
    <w:rsid w:val="00DA5570"/>
  </w:style>
  <w:style w:type="paragraph" w:styleId="ListParagraph">
    <w:name w:val="List Paragraph"/>
    <w:basedOn w:val="Normal"/>
    <w:uiPriority w:val="34"/>
    <w:qFormat/>
    <w:rsid w:val="00DA5570"/>
    <w:pPr>
      <w:ind w:left="720"/>
    </w:pPr>
  </w:style>
  <w:style w:type="character" w:styleId="CommentReference">
    <w:name w:val="annotation reference"/>
    <w:basedOn w:val="DefaultParagraphFont"/>
    <w:uiPriority w:val="99"/>
    <w:semiHidden/>
    <w:unhideWhenUsed/>
    <w:rsid w:val="003B4581"/>
    <w:rPr>
      <w:sz w:val="16"/>
      <w:szCs w:val="16"/>
    </w:rPr>
  </w:style>
  <w:style w:type="paragraph" w:styleId="CommentText">
    <w:name w:val="annotation text"/>
    <w:basedOn w:val="Normal"/>
    <w:link w:val="CommentTextChar"/>
    <w:uiPriority w:val="99"/>
    <w:semiHidden/>
    <w:unhideWhenUsed/>
    <w:rsid w:val="003B4581"/>
    <w:pPr>
      <w:spacing w:line="240" w:lineRule="auto"/>
    </w:pPr>
    <w:rPr>
      <w:sz w:val="20"/>
    </w:rPr>
  </w:style>
  <w:style w:type="character" w:customStyle="1" w:styleId="CommentTextChar">
    <w:name w:val="Comment Text Char"/>
    <w:basedOn w:val="DefaultParagraphFont"/>
    <w:link w:val="CommentText"/>
    <w:uiPriority w:val="99"/>
    <w:semiHidden/>
    <w:rsid w:val="003B45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B4581"/>
    <w:rPr>
      <w:b/>
      <w:bCs/>
    </w:rPr>
  </w:style>
  <w:style w:type="character" w:customStyle="1" w:styleId="CommentSubjectChar">
    <w:name w:val="Comment Subject Char"/>
    <w:basedOn w:val="CommentTextChar"/>
    <w:link w:val="CommentSubject"/>
    <w:uiPriority w:val="99"/>
    <w:semiHidden/>
    <w:rsid w:val="003B4581"/>
    <w:rPr>
      <w:b/>
      <w:bCs/>
    </w:rPr>
  </w:style>
  <w:style w:type="paragraph" w:styleId="BalloonText">
    <w:name w:val="Balloon Text"/>
    <w:basedOn w:val="Normal"/>
    <w:link w:val="BalloonTextChar"/>
    <w:uiPriority w:val="99"/>
    <w:semiHidden/>
    <w:unhideWhenUsed/>
    <w:rsid w:val="003B458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58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16</Pages>
  <Words>3638</Words>
  <Characters>20742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24332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wb247533</dc:creator>
  <cp:keywords/>
  <dc:description/>
  <cp:lastModifiedBy>wb77786</cp:lastModifiedBy>
  <cp:revision>12</cp:revision>
  <cp:lastPrinted>2009-12-09T18:33:00Z</cp:lastPrinted>
  <dcterms:created xsi:type="dcterms:W3CDTF">2009-10-15T22:09:00Z</dcterms:created>
  <dcterms:modified xsi:type="dcterms:W3CDTF">2009-12-22T22:31:00Z</dcterms:modified>
</cp:coreProperties>
</file>