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rels" ContentType="application/vnd.openxmlformats-package.relationships+xml"/>
  <Default Extension="docx" ContentType="application/vnd.openxmlformats-officedocument.wordprocessingml.document"/>
  <Default Extension="xml" ContentType="application/xml"/>
  <Default Extension="pptx" ContentType="application/vnd.openxmlformats-officedocument.presentationml.presentation"/>
  <Override PartName="/word/document.xml" ContentType="application/vnd.openxmlformats-officedocument.wordprocessingml.document.main+xml"/>
  <Override PartName="/word/footer2.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docProps/custom.xml" ContentType="application/vnd.openxmlformats-officedocument.custom-properties+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3624975" w14:textId="381DEB03" w:rsidR="00691188" w:rsidRPr="004D79F6" w:rsidRDefault="00D15378" w:rsidP="004D79F6">
      <w:pPr>
        <w:rPr>
          <w:rFonts w:asciiTheme="majorHAnsi" w:hAnsiTheme="majorHAnsi" w:cstheme="majorHAnsi"/>
          <w:sz w:val="22"/>
          <w:szCs w:val="22"/>
        </w:rPr>
      </w:pPr>
      <w:r w:rsidRPr="004D79F6">
        <w:rPr>
          <w:rFonts w:asciiTheme="majorHAnsi" w:hAnsiTheme="majorHAnsi" w:cstheme="majorHAnsi"/>
          <w:noProof/>
          <w:sz w:val="22"/>
          <w:szCs w:val="22"/>
          <w:lang w:val="en-US" w:eastAsia="en-US"/>
        </w:rPr>
        <w:drawing>
          <wp:anchor distT="0" distB="0" distL="114300" distR="114300" simplePos="0" relativeHeight="251655680" behindDoc="1" locked="0" layoutInCell="1" allowOverlap="1" wp14:anchorId="18B7819D" wp14:editId="126666EF">
            <wp:simplePos x="0" y="0"/>
            <wp:positionH relativeFrom="column">
              <wp:posOffset>-793750</wp:posOffset>
            </wp:positionH>
            <wp:positionV relativeFrom="paragraph">
              <wp:posOffset>-374650</wp:posOffset>
            </wp:positionV>
            <wp:extent cx="7315200" cy="1869771"/>
            <wp:effectExtent l="0" t="0" r="0" b="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GSC report template TOP.png"/>
                    <pic:cNvPicPr/>
                  </pic:nvPicPr>
                  <pic:blipFill>
                    <a:blip r:embed="rId11">
                      <a:extLst>
                        <a:ext uri="{28A0092B-C50C-407E-A947-70E740481C1C}">
                          <a14:useLocalDpi xmlns:a14="http://schemas.microsoft.com/office/drawing/2010/main" val="0"/>
                        </a:ext>
                      </a:extLst>
                    </a:blip>
                    <a:stretch>
                      <a:fillRect/>
                    </a:stretch>
                  </pic:blipFill>
                  <pic:spPr>
                    <a:xfrm>
                      <a:off x="0" y="0"/>
                      <a:ext cx="7315200" cy="1869771"/>
                    </a:xfrm>
                    <a:prstGeom prst="rect">
                      <a:avLst/>
                    </a:prstGeom>
                  </pic:spPr>
                </pic:pic>
              </a:graphicData>
            </a:graphic>
            <wp14:sizeRelH relativeFrom="page">
              <wp14:pctWidth>0</wp14:pctWidth>
            </wp14:sizeRelH>
            <wp14:sizeRelV relativeFrom="page">
              <wp14:pctHeight>0</wp14:pctHeight>
            </wp14:sizeRelV>
          </wp:anchor>
        </w:drawing>
      </w:r>
    </w:p>
    <w:p w14:paraId="6CA8C03A" w14:textId="77777777" w:rsidR="00691188" w:rsidRPr="004D79F6" w:rsidRDefault="00691188" w:rsidP="004D79F6">
      <w:pPr>
        <w:rPr>
          <w:rFonts w:asciiTheme="majorHAnsi" w:hAnsiTheme="majorHAnsi" w:cstheme="majorHAnsi"/>
          <w:sz w:val="22"/>
          <w:szCs w:val="22"/>
        </w:rPr>
      </w:pPr>
    </w:p>
    <w:p w14:paraId="20E37027" w14:textId="77777777" w:rsidR="0031753E" w:rsidRPr="004D79F6" w:rsidRDefault="0031753E" w:rsidP="004D79F6">
      <w:pPr>
        <w:rPr>
          <w:rFonts w:asciiTheme="majorHAnsi" w:hAnsiTheme="majorHAnsi" w:cstheme="majorHAnsi"/>
          <w:sz w:val="22"/>
          <w:szCs w:val="22"/>
        </w:rPr>
      </w:pPr>
    </w:p>
    <w:p w14:paraId="50523E0A" w14:textId="77777777" w:rsidR="00691188" w:rsidRPr="004D79F6" w:rsidRDefault="00691188" w:rsidP="004D79F6">
      <w:pPr>
        <w:rPr>
          <w:rFonts w:asciiTheme="majorHAnsi" w:hAnsiTheme="majorHAnsi" w:cstheme="majorHAnsi"/>
          <w:sz w:val="22"/>
          <w:szCs w:val="22"/>
        </w:rPr>
      </w:pPr>
    </w:p>
    <w:p w14:paraId="7E22F679" w14:textId="77777777" w:rsidR="00691188" w:rsidRPr="004D79F6" w:rsidRDefault="00691188" w:rsidP="004D79F6">
      <w:pPr>
        <w:rPr>
          <w:rFonts w:asciiTheme="majorHAnsi" w:hAnsiTheme="majorHAnsi" w:cstheme="majorHAnsi"/>
          <w:sz w:val="22"/>
          <w:szCs w:val="22"/>
        </w:rPr>
      </w:pPr>
    </w:p>
    <w:p w14:paraId="1E566EEE" w14:textId="77777777" w:rsidR="00691188" w:rsidRPr="004D79F6" w:rsidRDefault="00691188" w:rsidP="004D79F6">
      <w:pPr>
        <w:rPr>
          <w:rFonts w:asciiTheme="majorHAnsi" w:hAnsiTheme="majorHAnsi" w:cstheme="majorHAnsi"/>
          <w:sz w:val="22"/>
          <w:szCs w:val="22"/>
        </w:rPr>
      </w:pPr>
    </w:p>
    <w:p w14:paraId="74EA5462" w14:textId="42750DF7" w:rsidR="00691188" w:rsidRPr="004D79F6" w:rsidRDefault="00691188" w:rsidP="004D79F6">
      <w:pPr>
        <w:rPr>
          <w:rFonts w:asciiTheme="majorHAnsi" w:hAnsiTheme="majorHAnsi" w:cstheme="majorHAnsi"/>
          <w:sz w:val="22"/>
          <w:szCs w:val="22"/>
        </w:rPr>
      </w:pPr>
    </w:p>
    <w:p w14:paraId="5CB42F15" w14:textId="77777777" w:rsidR="00691188" w:rsidRPr="004D79F6" w:rsidRDefault="00691188" w:rsidP="004D79F6">
      <w:pPr>
        <w:rPr>
          <w:rFonts w:asciiTheme="majorHAnsi" w:hAnsiTheme="majorHAnsi" w:cstheme="majorHAnsi"/>
          <w:sz w:val="22"/>
          <w:szCs w:val="22"/>
        </w:rPr>
      </w:pPr>
    </w:p>
    <w:p w14:paraId="077F1FA9" w14:textId="097687FA" w:rsidR="00691188" w:rsidRPr="004D79F6" w:rsidRDefault="00691188" w:rsidP="004D79F6">
      <w:pPr>
        <w:rPr>
          <w:rFonts w:asciiTheme="majorHAnsi" w:hAnsiTheme="majorHAnsi" w:cstheme="majorHAnsi"/>
          <w:sz w:val="22"/>
          <w:szCs w:val="22"/>
        </w:rPr>
      </w:pPr>
    </w:p>
    <w:p w14:paraId="32EE4081" w14:textId="74C6F174" w:rsidR="00691188" w:rsidRPr="004D79F6" w:rsidRDefault="00691188" w:rsidP="004D79F6">
      <w:pPr>
        <w:rPr>
          <w:rFonts w:asciiTheme="majorHAnsi" w:hAnsiTheme="majorHAnsi" w:cstheme="majorHAnsi"/>
          <w:sz w:val="22"/>
          <w:szCs w:val="22"/>
        </w:rPr>
      </w:pPr>
    </w:p>
    <w:p w14:paraId="792D71D9" w14:textId="4B868D33" w:rsidR="00691188" w:rsidRPr="004D79F6" w:rsidRDefault="00691188" w:rsidP="004D79F6">
      <w:pPr>
        <w:rPr>
          <w:rFonts w:asciiTheme="majorHAnsi" w:hAnsiTheme="majorHAnsi" w:cstheme="majorHAnsi"/>
          <w:sz w:val="22"/>
          <w:szCs w:val="22"/>
        </w:rPr>
      </w:pPr>
    </w:p>
    <w:p w14:paraId="5F757BA1" w14:textId="260C2757" w:rsidR="00691188" w:rsidRPr="004D79F6" w:rsidRDefault="00691188" w:rsidP="004D79F6">
      <w:pPr>
        <w:rPr>
          <w:rFonts w:asciiTheme="majorHAnsi" w:hAnsiTheme="majorHAnsi" w:cstheme="majorHAnsi"/>
          <w:sz w:val="22"/>
          <w:szCs w:val="22"/>
        </w:rPr>
      </w:pPr>
    </w:p>
    <w:p w14:paraId="3914BB9C" w14:textId="7FF1E049" w:rsidR="00691188" w:rsidRPr="004D79F6" w:rsidRDefault="00691188" w:rsidP="004D79F6">
      <w:pPr>
        <w:rPr>
          <w:rFonts w:asciiTheme="majorHAnsi" w:hAnsiTheme="majorHAnsi" w:cstheme="majorHAnsi"/>
          <w:sz w:val="22"/>
          <w:szCs w:val="22"/>
        </w:rPr>
      </w:pPr>
    </w:p>
    <w:p w14:paraId="6B6E2DA1" w14:textId="604CADC3" w:rsidR="00691188" w:rsidRPr="004D79F6" w:rsidRDefault="00691188" w:rsidP="004D79F6">
      <w:pPr>
        <w:rPr>
          <w:rFonts w:asciiTheme="majorHAnsi" w:hAnsiTheme="majorHAnsi" w:cstheme="majorHAnsi"/>
          <w:sz w:val="22"/>
          <w:szCs w:val="22"/>
        </w:rPr>
      </w:pPr>
    </w:p>
    <w:p w14:paraId="3269B13B" w14:textId="77777777" w:rsidR="00691188" w:rsidRPr="004D79F6" w:rsidRDefault="00691188" w:rsidP="004D79F6">
      <w:pPr>
        <w:rPr>
          <w:rFonts w:asciiTheme="majorHAnsi" w:hAnsiTheme="majorHAnsi" w:cstheme="majorHAnsi"/>
          <w:sz w:val="22"/>
          <w:szCs w:val="22"/>
        </w:rPr>
      </w:pPr>
    </w:p>
    <w:p w14:paraId="1BC0F61C" w14:textId="77777777" w:rsidR="00691188" w:rsidRPr="004D79F6" w:rsidRDefault="00691188" w:rsidP="004D79F6">
      <w:pPr>
        <w:rPr>
          <w:rFonts w:asciiTheme="majorHAnsi" w:hAnsiTheme="majorHAnsi" w:cstheme="majorHAnsi"/>
          <w:sz w:val="22"/>
          <w:szCs w:val="22"/>
        </w:rPr>
      </w:pPr>
    </w:p>
    <w:p w14:paraId="54AE4332" w14:textId="4D602EC4" w:rsidR="00691188" w:rsidRPr="004D79F6" w:rsidRDefault="00784E21" w:rsidP="004D79F6">
      <w:pPr>
        <w:tabs>
          <w:tab w:val="left" w:pos="5080"/>
        </w:tabs>
        <w:rPr>
          <w:rFonts w:asciiTheme="majorHAnsi" w:hAnsiTheme="majorHAnsi" w:cstheme="majorHAnsi"/>
          <w:sz w:val="22"/>
          <w:szCs w:val="22"/>
        </w:rPr>
      </w:pPr>
      <w:r w:rsidRPr="004D79F6">
        <w:rPr>
          <w:rFonts w:asciiTheme="majorHAnsi" w:hAnsiTheme="majorHAnsi" w:cstheme="majorHAnsi"/>
          <w:sz w:val="22"/>
          <w:szCs w:val="22"/>
        </w:rPr>
        <w:tab/>
      </w:r>
    </w:p>
    <w:p w14:paraId="42C442C4" w14:textId="63850AEA" w:rsidR="00E63AF2" w:rsidRPr="006E605E" w:rsidRDefault="00E649D2" w:rsidP="004D79F6">
      <w:pPr>
        <w:autoSpaceDE w:val="0"/>
        <w:autoSpaceDN w:val="0"/>
        <w:adjustRightInd w:val="0"/>
        <w:jc w:val="center"/>
        <w:rPr>
          <w:rFonts w:asciiTheme="majorHAnsi" w:hAnsiTheme="majorHAnsi" w:cstheme="majorHAnsi"/>
          <w:b/>
          <w:color w:val="2E74B5"/>
          <w:sz w:val="28"/>
          <w:szCs w:val="28"/>
          <w:lang w:val="en-US"/>
        </w:rPr>
      </w:pPr>
      <w:bookmarkStart w:id="0" w:name="_GoBack"/>
      <w:r w:rsidRPr="006E605E">
        <w:rPr>
          <w:rFonts w:asciiTheme="majorHAnsi" w:hAnsiTheme="majorHAnsi" w:cstheme="majorHAnsi"/>
          <w:b/>
          <w:color w:val="2E74B5"/>
          <w:sz w:val="28"/>
          <w:szCs w:val="28"/>
          <w:lang w:val="en-US"/>
        </w:rPr>
        <w:t>Middle East and North Africa (</w:t>
      </w:r>
      <w:r w:rsidR="00E63AF2" w:rsidRPr="006E605E">
        <w:rPr>
          <w:rFonts w:asciiTheme="majorHAnsi" w:hAnsiTheme="majorHAnsi" w:cstheme="majorHAnsi"/>
          <w:b/>
          <w:color w:val="2E74B5"/>
          <w:sz w:val="28"/>
          <w:szCs w:val="28"/>
          <w:lang w:val="en-US"/>
        </w:rPr>
        <w:t>MENA</w:t>
      </w:r>
      <w:r w:rsidRPr="006E605E">
        <w:rPr>
          <w:rFonts w:asciiTheme="majorHAnsi" w:hAnsiTheme="majorHAnsi" w:cstheme="majorHAnsi"/>
          <w:b/>
          <w:color w:val="2E74B5"/>
          <w:sz w:val="28"/>
          <w:szCs w:val="28"/>
          <w:lang w:val="en-US"/>
        </w:rPr>
        <w:t>)</w:t>
      </w:r>
      <w:r w:rsidR="00E63AF2" w:rsidRPr="006E605E">
        <w:rPr>
          <w:rFonts w:asciiTheme="majorHAnsi" w:hAnsiTheme="majorHAnsi" w:cstheme="majorHAnsi"/>
          <w:b/>
          <w:color w:val="2E74B5"/>
          <w:sz w:val="28"/>
          <w:szCs w:val="28"/>
          <w:lang w:val="en-US"/>
        </w:rPr>
        <w:t xml:space="preserve"> University Governance and Quality Assurance Program</w:t>
      </w:r>
    </w:p>
    <w:p w14:paraId="3BB9A70C" w14:textId="77777777" w:rsidR="00E63AF2" w:rsidRPr="006E605E" w:rsidRDefault="00E63AF2" w:rsidP="004D79F6">
      <w:pPr>
        <w:autoSpaceDE w:val="0"/>
        <w:autoSpaceDN w:val="0"/>
        <w:adjustRightInd w:val="0"/>
        <w:jc w:val="center"/>
        <w:rPr>
          <w:rFonts w:asciiTheme="majorHAnsi" w:hAnsiTheme="majorHAnsi" w:cstheme="majorHAnsi"/>
          <w:b/>
          <w:color w:val="2E74B5"/>
          <w:sz w:val="28"/>
          <w:szCs w:val="28"/>
          <w:lang w:val="en-US"/>
        </w:rPr>
      </w:pPr>
    </w:p>
    <w:p w14:paraId="7E4233A3" w14:textId="77777777" w:rsidR="00E63AF2" w:rsidRPr="006E605E" w:rsidRDefault="00E63AF2" w:rsidP="004D79F6">
      <w:pPr>
        <w:autoSpaceDE w:val="0"/>
        <w:autoSpaceDN w:val="0"/>
        <w:adjustRightInd w:val="0"/>
        <w:jc w:val="center"/>
        <w:rPr>
          <w:rFonts w:asciiTheme="majorHAnsi" w:hAnsiTheme="majorHAnsi" w:cstheme="majorHAnsi"/>
          <w:b/>
          <w:color w:val="2E74B5"/>
          <w:sz w:val="28"/>
          <w:szCs w:val="28"/>
          <w:lang w:val="en-US"/>
        </w:rPr>
      </w:pPr>
      <w:r w:rsidRPr="006E605E">
        <w:rPr>
          <w:rFonts w:asciiTheme="majorHAnsi" w:hAnsiTheme="majorHAnsi" w:cstheme="majorHAnsi"/>
          <w:b/>
          <w:color w:val="2E74B5"/>
          <w:sz w:val="28"/>
          <w:szCs w:val="28"/>
          <w:lang w:val="en-US"/>
        </w:rPr>
        <w:t>EXECUTIVE SUMMARY FY 2015-2018</w:t>
      </w:r>
    </w:p>
    <w:bookmarkEnd w:id="0"/>
    <w:p w14:paraId="3C54C9C1" w14:textId="350AE34E" w:rsidR="00691188" w:rsidRPr="003E1800" w:rsidRDefault="00691188" w:rsidP="004D79F6">
      <w:pPr>
        <w:rPr>
          <w:rFonts w:asciiTheme="majorHAnsi" w:hAnsiTheme="majorHAnsi" w:cstheme="majorHAnsi"/>
          <w:sz w:val="22"/>
          <w:szCs w:val="22"/>
          <w:lang w:val="en-US"/>
        </w:rPr>
      </w:pPr>
    </w:p>
    <w:p w14:paraId="1BCCBCDE" w14:textId="77777777" w:rsidR="00691188" w:rsidRPr="003E1800" w:rsidRDefault="00691188" w:rsidP="004D79F6">
      <w:pPr>
        <w:rPr>
          <w:rFonts w:asciiTheme="majorHAnsi" w:hAnsiTheme="majorHAnsi" w:cstheme="majorHAnsi"/>
          <w:sz w:val="22"/>
          <w:szCs w:val="22"/>
          <w:lang w:val="en-US"/>
        </w:rPr>
      </w:pPr>
    </w:p>
    <w:p w14:paraId="18765CA1" w14:textId="77777777" w:rsidR="00691188" w:rsidRPr="003E1800" w:rsidRDefault="00691188" w:rsidP="004D79F6">
      <w:pPr>
        <w:rPr>
          <w:rFonts w:asciiTheme="majorHAnsi" w:hAnsiTheme="majorHAnsi" w:cstheme="majorHAnsi"/>
          <w:sz w:val="22"/>
          <w:szCs w:val="22"/>
          <w:lang w:val="en-US"/>
        </w:rPr>
      </w:pPr>
    </w:p>
    <w:p w14:paraId="2ACCEC3F" w14:textId="77777777" w:rsidR="00691188" w:rsidRPr="003E1800" w:rsidRDefault="00691188" w:rsidP="004D79F6">
      <w:pPr>
        <w:jc w:val="center"/>
        <w:rPr>
          <w:rFonts w:asciiTheme="majorHAnsi" w:hAnsiTheme="majorHAnsi" w:cstheme="majorHAnsi"/>
          <w:sz w:val="22"/>
          <w:szCs w:val="22"/>
          <w:lang w:val="en-US"/>
        </w:rPr>
      </w:pPr>
    </w:p>
    <w:p w14:paraId="12900288" w14:textId="77777777" w:rsidR="00691188" w:rsidRPr="003E1800" w:rsidRDefault="00691188" w:rsidP="004D79F6">
      <w:pPr>
        <w:rPr>
          <w:rFonts w:asciiTheme="majorHAnsi" w:hAnsiTheme="majorHAnsi" w:cstheme="majorHAnsi"/>
          <w:sz w:val="22"/>
          <w:szCs w:val="22"/>
          <w:lang w:val="en-US"/>
        </w:rPr>
      </w:pPr>
    </w:p>
    <w:p w14:paraId="39BDE67C" w14:textId="77777777" w:rsidR="00691188" w:rsidRPr="003E1800" w:rsidRDefault="00691188" w:rsidP="004D79F6">
      <w:pPr>
        <w:rPr>
          <w:rFonts w:asciiTheme="majorHAnsi" w:hAnsiTheme="majorHAnsi" w:cstheme="majorHAnsi"/>
          <w:sz w:val="22"/>
          <w:szCs w:val="22"/>
          <w:lang w:val="en-US"/>
        </w:rPr>
      </w:pPr>
    </w:p>
    <w:p w14:paraId="453FFD09" w14:textId="77777777" w:rsidR="00691188" w:rsidRPr="003E1800" w:rsidRDefault="00691188" w:rsidP="004D79F6">
      <w:pPr>
        <w:rPr>
          <w:rFonts w:asciiTheme="majorHAnsi" w:hAnsiTheme="majorHAnsi" w:cstheme="majorHAnsi"/>
          <w:sz w:val="22"/>
          <w:szCs w:val="22"/>
          <w:lang w:val="en-US"/>
        </w:rPr>
      </w:pPr>
    </w:p>
    <w:p w14:paraId="42DB21E1" w14:textId="77777777" w:rsidR="00691188" w:rsidRPr="003E1800" w:rsidRDefault="00691188" w:rsidP="004D79F6">
      <w:pPr>
        <w:rPr>
          <w:rFonts w:asciiTheme="majorHAnsi" w:hAnsiTheme="majorHAnsi" w:cstheme="majorHAnsi"/>
          <w:sz w:val="22"/>
          <w:szCs w:val="22"/>
          <w:lang w:val="en-US"/>
        </w:rPr>
      </w:pPr>
    </w:p>
    <w:p w14:paraId="4B72C7E9" w14:textId="77777777" w:rsidR="00691188" w:rsidRPr="003E1800" w:rsidRDefault="00691188" w:rsidP="004D79F6">
      <w:pPr>
        <w:rPr>
          <w:rFonts w:asciiTheme="majorHAnsi" w:hAnsiTheme="majorHAnsi" w:cstheme="majorHAnsi"/>
          <w:sz w:val="22"/>
          <w:szCs w:val="22"/>
          <w:lang w:val="en-US"/>
        </w:rPr>
      </w:pPr>
    </w:p>
    <w:p w14:paraId="3071F348" w14:textId="77777777" w:rsidR="00691188" w:rsidRPr="003E1800" w:rsidRDefault="00691188" w:rsidP="004D79F6">
      <w:pPr>
        <w:rPr>
          <w:rFonts w:asciiTheme="majorHAnsi" w:hAnsiTheme="majorHAnsi" w:cstheme="majorHAnsi"/>
          <w:sz w:val="22"/>
          <w:szCs w:val="22"/>
          <w:lang w:val="en-US"/>
        </w:rPr>
      </w:pPr>
    </w:p>
    <w:p w14:paraId="1E8ED186" w14:textId="1389E8A6" w:rsidR="00691188" w:rsidRPr="003E1800" w:rsidRDefault="00E63AF2" w:rsidP="004D79F6">
      <w:pPr>
        <w:rPr>
          <w:rFonts w:asciiTheme="majorHAnsi" w:hAnsiTheme="majorHAnsi" w:cstheme="majorHAnsi"/>
          <w:sz w:val="22"/>
          <w:szCs w:val="22"/>
          <w:lang w:val="en-US"/>
        </w:rPr>
      </w:pPr>
      <w:r w:rsidRPr="004D79F6">
        <w:rPr>
          <w:rFonts w:asciiTheme="majorHAnsi" w:hAnsiTheme="majorHAnsi" w:cstheme="majorHAnsi"/>
          <w:noProof/>
          <w:sz w:val="22"/>
          <w:szCs w:val="22"/>
          <w:lang w:val="en-US" w:eastAsia="en-US"/>
        </w:rPr>
        <w:drawing>
          <wp:anchor distT="0" distB="0" distL="114300" distR="114300" simplePos="0" relativeHeight="251660800" behindDoc="1" locked="0" layoutInCell="1" allowOverlap="1" wp14:anchorId="084539A6" wp14:editId="2F59841C">
            <wp:simplePos x="0" y="0"/>
            <wp:positionH relativeFrom="column">
              <wp:posOffset>-774700</wp:posOffset>
            </wp:positionH>
            <wp:positionV relativeFrom="paragraph">
              <wp:posOffset>224790</wp:posOffset>
            </wp:positionV>
            <wp:extent cx="7518400" cy="933450"/>
            <wp:effectExtent l="0" t="0" r="635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7518400" cy="933450"/>
                    </a:xfrm>
                    <a:prstGeom prst="rect">
                      <a:avLst/>
                    </a:prstGeom>
                  </pic:spPr>
                </pic:pic>
              </a:graphicData>
            </a:graphic>
            <wp14:sizeRelH relativeFrom="page">
              <wp14:pctWidth>0</wp14:pctWidth>
            </wp14:sizeRelH>
            <wp14:sizeRelV relativeFrom="page">
              <wp14:pctHeight>0</wp14:pctHeight>
            </wp14:sizeRelV>
          </wp:anchor>
        </w:drawing>
      </w:r>
    </w:p>
    <w:p w14:paraId="6808B647" w14:textId="598662D2" w:rsidR="00691188" w:rsidRPr="003E1800" w:rsidRDefault="00691188" w:rsidP="004D79F6">
      <w:pPr>
        <w:rPr>
          <w:rFonts w:asciiTheme="majorHAnsi" w:hAnsiTheme="majorHAnsi" w:cstheme="majorHAnsi"/>
          <w:sz w:val="22"/>
          <w:szCs w:val="22"/>
          <w:lang w:val="en-US"/>
        </w:rPr>
      </w:pPr>
    </w:p>
    <w:p w14:paraId="343A0525" w14:textId="47626037" w:rsidR="002A04B3" w:rsidRPr="004D79F6" w:rsidRDefault="00E63AF2" w:rsidP="004D79F6">
      <w:pPr>
        <w:rPr>
          <w:rFonts w:asciiTheme="majorHAnsi" w:hAnsiTheme="majorHAnsi" w:cstheme="majorHAnsi"/>
          <w:i/>
          <w:sz w:val="22"/>
          <w:szCs w:val="22"/>
          <w:lang w:val="en-US"/>
        </w:rPr>
      </w:pPr>
      <w:r w:rsidRPr="004D79F6">
        <w:rPr>
          <w:rFonts w:asciiTheme="majorHAnsi" w:hAnsiTheme="majorHAnsi" w:cstheme="majorHAnsi"/>
          <w:color w:val="548DD4" w:themeColor="text2" w:themeTint="99"/>
          <w:sz w:val="22"/>
          <w:szCs w:val="22"/>
          <w:lang w:val="en-US"/>
        </w:rPr>
        <w:t xml:space="preserve"> </w:t>
      </w:r>
      <w:r w:rsidR="00691188" w:rsidRPr="004D79F6">
        <w:rPr>
          <w:rFonts w:asciiTheme="majorHAnsi" w:hAnsiTheme="majorHAnsi" w:cstheme="majorHAnsi"/>
          <w:color w:val="548DD4" w:themeColor="text2" w:themeTint="99"/>
          <w:sz w:val="22"/>
          <w:szCs w:val="22"/>
          <w:lang w:val="en-US"/>
        </w:rPr>
        <w:br w:type="page"/>
      </w:r>
    </w:p>
    <w:p w14:paraId="3D5101D9" w14:textId="799EA5A1" w:rsidR="002A04B3" w:rsidRPr="004D79F6" w:rsidRDefault="00B1317F" w:rsidP="004D79F6">
      <w:pPr>
        <w:rPr>
          <w:rFonts w:asciiTheme="majorHAnsi" w:hAnsiTheme="majorHAnsi" w:cstheme="majorHAnsi"/>
          <w:b/>
          <w:color w:val="548DD4" w:themeColor="text2" w:themeTint="99"/>
          <w:sz w:val="22"/>
          <w:szCs w:val="22"/>
          <w:lang w:val="en-US"/>
        </w:rPr>
      </w:pPr>
      <w:r w:rsidRPr="004D79F6">
        <w:rPr>
          <w:rFonts w:asciiTheme="majorHAnsi" w:hAnsiTheme="majorHAnsi" w:cstheme="majorHAnsi"/>
          <w:b/>
          <w:color w:val="548DD4" w:themeColor="text2" w:themeTint="99"/>
          <w:sz w:val="22"/>
          <w:szCs w:val="22"/>
          <w:lang w:val="en-US"/>
        </w:rPr>
        <w:lastRenderedPageBreak/>
        <w:t>I</w:t>
      </w:r>
      <w:r w:rsidR="00591833" w:rsidRPr="004D79F6">
        <w:rPr>
          <w:rFonts w:asciiTheme="majorHAnsi" w:hAnsiTheme="majorHAnsi" w:cstheme="majorHAnsi"/>
          <w:b/>
          <w:color w:val="548DD4" w:themeColor="text2" w:themeTint="99"/>
          <w:sz w:val="22"/>
          <w:szCs w:val="22"/>
          <w:lang w:val="en-US"/>
        </w:rPr>
        <w:t>.</w:t>
      </w:r>
      <w:r w:rsidR="00591833" w:rsidRPr="004D79F6">
        <w:rPr>
          <w:rFonts w:asciiTheme="majorHAnsi" w:hAnsiTheme="majorHAnsi" w:cstheme="majorHAnsi"/>
          <w:b/>
          <w:color w:val="548DD4" w:themeColor="text2" w:themeTint="99"/>
          <w:sz w:val="22"/>
          <w:szCs w:val="22"/>
          <w:lang w:val="en-US"/>
        </w:rPr>
        <w:tab/>
      </w:r>
      <w:r w:rsidR="003109AD" w:rsidRPr="004D79F6">
        <w:rPr>
          <w:rFonts w:asciiTheme="majorHAnsi" w:hAnsiTheme="majorHAnsi" w:cstheme="majorHAnsi"/>
          <w:b/>
          <w:color w:val="548DD4" w:themeColor="text2" w:themeTint="99"/>
          <w:sz w:val="22"/>
          <w:szCs w:val="22"/>
          <w:lang w:val="en-US"/>
        </w:rPr>
        <w:t xml:space="preserve">About the MENA University Governance and Quality Assurance Program </w:t>
      </w:r>
    </w:p>
    <w:p w14:paraId="67C0AE2F" w14:textId="2CDEC35D" w:rsidR="002A04B3" w:rsidRPr="004D79F6" w:rsidRDefault="002A04B3" w:rsidP="004D79F6">
      <w:pPr>
        <w:autoSpaceDE w:val="0"/>
        <w:autoSpaceDN w:val="0"/>
        <w:adjustRightInd w:val="0"/>
        <w:jc w:val="both"/>
        <w:rPr>
          <w:rFonts w:asciiTheme="majorHAnsi" w:hAnsiTheme="majorHAnsi" w:cstheme="majorHAnsi"/>
          <w:sz w:val="22"/>
          <w:szCs w:val="22"/>
          <w:lang w:val="en-US"/>
        </w:rPr>
      </w:pPr>
    </w:p>
    <w:p w14:paraId="23B2BB58" w14:textId="60D4EF07" w:rsidR="009C3FCE" w:rsidRPr="004D79F6" w:rsidRDefault="003109AD" w:rsidP="004D79F6">
      <w:pPr>
        <w:autoSpaceDE w:val="0"/>
        <w:autoSpaceDN w:val="0"/>
        <w:adjustRightInd w:val="0"/>
        <w:jc w:val="both"/>
        <w:rPr>
          <w:rFonts w:asciiTheme="majorHAnsi" w:hAnsiTheme="majorHAnsi" w:cstheme="majorHAnsi"/>
          <w:sz w:val="22"/>
          <w:szCs w:val="22"/>
          <w:lang w:val="en-US"/>
        </w:rPr>
      </w:pPr>
      <w:r w:rsidRPr="004D79F6">
        <w:rPr>
          <w:rFonts w:asciiTheme="majorHAnsi" w:hAnsiTheme="majorHAnsi" w:cstheme="majorHAnsi"/>
          <w:sz w:val="22"/>
          <w:szCs w:val="22"/>
          <w:lang w:val="en-US"/>
        </w:rPr>
        <w:t xml:space="preserve">The MENA University Governance and Quality Assurance Program stems from a partnership between the Education Global Practice of the World Bank and the Center for Mediterranean Integration (CMI). Its purpose is to foster openness, information sharing and collective learning among tertiary education institutions in the MENA region, and between them and government policy-makers, quality assurance agencies and the employers’ sector. </w:t>
      </w:r>
    </w:p>
    <w:p w14:paraId="0B9B6B2E" w14:textId="77777777" w:rsidR="009C3FCE" w:rsidRPr="004D79F6" w:rsidRDefault="009C3FCE" w:rsidP="004D79F6">
      <w:pPr>
        <w:autoSpaceDE w:val="0"/>
        <w:autoSpaceDN w:val="0"/>
        <w:adjustRightInd w:val="0"/>
        <w:jc w:val="both"/>
        <w:rPr>
          <w:rFonts w:asciiTheme="majorHAnsi" w:hAnsiTheme="majorHAnsi" w:cstheme="majorHAnsi"/>
          <w:sz w:val="22"/>
          <w:szCs w:val="22"/>
          <w:lang w:val="en-US"/>
        </w:rPr>
      </w:pPr>
    </w:p>
    <w:p w14:paraId="54258C4E" w14:textId="77777777" w:rsidR="009C3FCE" w:rsidRPr="004D79F6" w:rsidRDefault="003109AD" w:rsidP="004D79F6">
      <w:pPr>
        <w:autoSpaceDE w:val="0"/>
        <w:autoSpaceDN w:val="0"/>
        <w:adjustRightInd w:val="0"/>
        <w:jc w:val="both"/>
        <w:rPr>
          <w:rFonts w:asciiTheme="majorHAnsi" w:hAnsiTheme="majorHAnsi" w:cstheme="majorHAnsi"/>
          <w:sz w:val="22"/>
          <w:szCs w:val="22"/>
          <w:lang w:val="en-US"/>
        </w:rPr>
      </w:pPr>
      <w:r w:rsidRPr="004D79F6">
        <w:rPr>
          <w:rFonts w:asciiTheme="majorHAnsi" w:hAnsiTheme="majorHAnsi" w:cstheme="majorHAnsi"/>
          <w:sz w:val="22"/>
          <w:szCs w:val="22"/>
          <w:lang w:val="en-US"/>
        </w:rPr>
        <w:t xml:space="preserve">The Program is guided by three pillars: the improvement of university governance and quality, the financial sustainability of institutions, and the internationalization of tertiary education. Analytical executive summaries of recent mapping exercises of each of these pillars are available on the </w:t>
      </w:r>
      <w:hyperlink r:id="rId13" w:history="1">
        <w:r w:rsidRPr="004D79F6">
          <w:rPr>
            <w:rStyle w:val="Hyperlink"/>
            <w:rFonts w:asciiTheme="majorHAnsi" w:hAnsiTheme="majorHAnsi" w:cstheme="majorHAnsi"/>
            <w:sz w:val="22"/>
            <w:szCs w:val="22"/>
            <w:lang w:val="en-US"/>
          </w:rPr>
          <w:t>Program’s webpage</w:t>
        </w:r>
      </w:hyperlink>
      <w:r w:rsidRPr="004D79F6">
        <w:rPr>
          <w:rFonts w:asciiTheme="majorHAnsi" w:hAnsiTheme="majorHAnsi" w:cstheme="majorHAnsi"/>
          <w:sz w:val="22"/>
          <w:szCs w:val="22"/>
          <w:lang w:val="en-US"/>
        </w:rPr>
        <w:t>.</w:t>
      </w:r>
      <w:r w:rsidR="00983647" w:rsidRPr="004D79F6">
        <w:rPr>
          <w:rFonts w:asciiTheme="majorHAnsi" w:hAnsiTheme="majorHAnsi" w:cstheme="majorHAnsi"/>
          <w:sz w:val="22"/>
          <w:szCs w:val="22"/>
          <w:lang w:val="en-US"/>
        </w:rPr>
        <w:t xml:space="preserve"> </w:t>
      </w:r>
    </w:p>
    <w:p w14:paraId="7AC33970" w14:textId="77777777" w:rsidR="009C3FCE" w:rsidRPr="004D79F6" w:rsidRDefault="009C3FCE" w:rsidP="004D79F6">
      <w:pPr>
        <w:autoSpaceDE w:val="0"/>
        <w:autoSpaceDN w:val="0"/>
        <w:adjustRightInd w:val="0"/>
        <w:jc w:val="both"/>
        <w:rPr>
          <w:rFonts w:asciiTheme="majorHAnsi" w:hAnsiTheme="majorHAnsi" w:cstheme="majorHAnsi"/>
          <w:sz w:val="22"/>
          <w:szCs w:val="22"/>
          <w:lang w:val="en-US"/>
        </w:rPr>
      </w:pPr>
    </w:p>
    <w:p w14:paraId="78F994DB" w14:textId="360276BC" w:rsidR="003109AD" w:rsidRPr="004D79F6" w:rsidRDefault="00983647" w:rsidP="004D79F6">
      <w:pPr>
        <w:autoSpaceDE w:val="0"/>
        <w:autoSpaceDN w:val="0"/>
        <w:adjustRightInd w:val="0"/>
        <w:jc w:val="both"/>
        <w:rPr>
          <w:rFonts w:asciiTheme="majorHAnsi" w:hAnsiTheme="majorHAnsi" w:cstheme="majorHAnsi"/>
          <w:sz w:val="22"/>
          <w:szCs w:val="22"/>
          <w:lang w:val="en-US"/>
        </w:rPr>
      </w:pPr>
      <w:r w:rsidRPr="004D79F6">
        <w:rPr>
          <w:rFonts w:asciiTheme="majorHAnsi" w:hAnsiTheme="majorHAnsi" w:cstheme="majorHAnsi"/>
          <w:sz w:val="22"/>
          <w:szCs w:val="22"/>
          <w:lang w:val="en-US"/>
        </w:rPr>
        <w:t xml:space="preserve">Participating tertiary education institutions in the region conduct periodically a benchmarking process aimed at tracking their progress towards the improvement of their governance and quality </w:t>
      </w:r>
      <w:r w:rsidR="003E1800">
        <w:rPr>
          <w:rFonts w:asciiTheme="majorHAnsi" w:hAnsiTheme="majorHAnsi" w:cstheme="majorHAnsi"/>
          <w:sz w:val="22"/>
          <w:szCs w:val="22"/>
          <w:lang w:val="en-US"/>
        </w:rPr>
        <w:t xml:space="preserve">(i) with other institutions in the regions; as well as at (ii) towards achieving their goals; </w:t>
      </w:r>
      <w:r w:rsidRPr="004D79F6">
        <w:rPr>
          <w:rFonts w:asciiTheme="majorHAnsi" w:hAnsiTheme="majorHAnsi" w:cstheme="majorHAnsi"/>
          <w:sz w:val="22"/>
          <w:szCs w:val="22"/>
          <w:lang w:val="en-US"/>
        </w:rPr>
        <w:t xml:space="preserve">using a tool developed as part of the program, known as the University Governance Score Card (UGSC). </w:t>
      </w:r>
    </w:p>
    <w:p w14:paraId="68D7AB36" w14:textId="2BF6DBFD" w:rsidR="009C3FCE" w:rsidRPr="004D79F6" w:rsidRDefault="009C3FCE" w:rsidP="004D79F6">
      <w:pPr>
        <w:autoSpaceDE w:val="0"/>
        <w:autoSpaceDN w:val="0"/>
        <w:adjustRightInd w:val="0"/>
        <w:jc w:val="both"/>
        <w:rPr>
          <w:rFonts w:asciiTheme="majorHAnsi" w:hAnsiTheme="majorHAnsi" w:cstheme="majorHAnsi"/>
          <w:sz w:val="22"/>
          <w:szCs w:val="22"/>
          <w:lang w:val="en-US"/>
        </w:rPr>
      </w:pPr>
    </w:p>
    <w:p w14:paraId="38625081" w14:textId="0710FB8B" w:rsidR="009C3FCE" w:rsidRDefault="009C3FCE" w:rsidP="004D79F6">
      <w:pPr>
        <w:autoSpaceDE w:val="0"/>
        <w:autoSpaceDN w:val="0"/>
        <w:adjustRightInd w:val="0"/>
        <w:jc w:val="both"/>
        <w:rPr>
          <w:rFonts w:asciiTheme="majorHAnsi" w:hAnsiTheme="majorHAnsi" w:cstheme="majorHAnsi"/>
          <w:sz w:val="22"/>
          <w:szCs w:val="22"/>
          <w:lang w:val="en-US"/>
        </w:rPr>
      </w:pPr>
      <w:r w:rsidRPr="004D79F6">
        <w:rPr>
          <w:rFonts w:asciiTheme="majorHAnsi" w:hAnsiTheme="majorHAnsi" w:cstheme="majorHAnsi"/>
          <w:sz w:val="22"/>
          <w:szCs w:val="22"/>
          <w:lang w:val="en-US"/>
        </w:rPr>
        <w:t xml:space="preserve">The Program is </w:t>
      </w:r>
      <w:r w:rsidR="004D79F6">
        <w:rPr>
          <w:rFonts w:asciiTheme="majorHAnsi" w:hAnsiTheme="majorHAnsi" w:cstheme="majorHAnsi"/>
          <w:sz w:val="22"/>
          <w:szCs w:val="22"/>
          <w:lang w:val="en-US"/>
        </w:rPr>
        <w:t xml:space="preserve">in </w:t>
      </w:r>
      <w:r w:rsidRPr="004D79F6">
        <w:rPr>
          <w:rFonts w:asciiTheme="majorHAnsi" w:hAnsiTheme="majorHAnsi" w:cstheme="majorHAnsi"/>
          <w:sz w:val="22"/>
          <w:szCs w:val="22"/>
          <w:lang w:val="en-US"/>
        </w:rPr>
        <w:t xml:space="preserve">place thanks to a collaborative framework between the World Bank and the </w:t>
      </w:r>
      <w:r w:rsidR="00635DE3" w:rsidRPr="004D79F6">
        <w:rPr>
          <w:rFonts w:asciiTheme="majorHAnsi" w:hAnsiTheme="majorHAnsi" w:cstheme="majorHAnsi"/>
          <w:sz w:val="22"/>
          <w:szCs w:val="22"/>
          <w:lang w:val="en-US"/>
        </w:rPr>
        <w:t>CMI</w:t>
      </w:r>
      <w:r w:rsidRPr="004D79F6">
        <w:rPr>
          <w:rFonts w:asciiTheme="majorHAnsi" w:hAnsiTheme="majorHAnsi" w:cstheme="majorHAnsi"/>
          <w:sz w:val="22"/>
          <w:szCs w:val="22"/>
          <w:lang w:val="en-US"/>
        </w:rPr>
        <w:t xml:space="preserve">, and it involves active participation of partner organizations including UNESCO, ISESCO, the International Association of Universities, the British Council, the Association of Arab Universities and UNIMED. </w:t>
      </w:r>
    </w:p>
    <w:p w14:paraId="0F197AA9" w14:textId="77777777" w:rsidR="004D79F6" w:rsidRPr="004D79F6" w:rsidRDefault="004D79F6" w:rsidP="004D79F6">
      <w:pPr>
        <w:autoSpaceDE w:val="0"/>
        <w:autoSpaceDN w:val="0"/>
        <w:adjustRightInd w:val="0"/>
        <w:jc w:val="both"/>
        <w:rPr>
          <w:rFonts w:asciiTheme="majorHAnsi" w:hAnsiTheme="majorHAnsi" w:cstheme="majorHAnsi"/>
          <w:sz w:val="22"/>
          <w:szCs w:val="22"/>
          <w:lang w:val="en-US"/>
        </w:rPr>
      </w:pPr>
    </w:p>
    <w:p w14:paraId="5D6A5B24" w14:textId="47F9E03C" w:rsidR="003109AD" w:rsidRPr="004D79F6" w:rsidRDefault="004716EB" w:rsidP="004D79F6">
      <w:pPr>
        <w:autoSpaceDE w:val="0"/>
        <w:autoSpaceDN w:val="0"/>
        <w:adjustRightInd w:val="0"/>
        <w:jc w:val="both"/>
        <w:rPr>
          <w:rFonts w:asciiTheme="majorHAnsi" w:hAnsiTheme="majorHAnsi" w:cstheme="majorHAnsi"/>
          <w:sz w:val="22"/>
          <w:szCs w:val="22"/>
          <w:lang w:val="en-US"/>
        </w:rPr>
      </w:pPr>
      <w:r w:rsidRPr="004D79F6">
        <w:rPr>
          <w:rFonts w:asciiTheme="majorHAnsi" w:hAnsiTheme="majorHAnsi" w:cstheme="majorHAnsi"/>
          <w:b/>
          <w:color w:val="548DD4" w:themeColor="text2" w:themeTint="99"/>
          <w:sz w:val="22"/>
          <w:szCs w:val="22"/>
          <w:lang w:val="en-US"/>
        </w:rPr>
        <w:t>II.</w:t>
      </w:r>
      <w:r w:rsidRPr="004D79F6">
        <w:rPr>
          <w:rFonts w:asciiTheme="majorHAnsi" w:hAnsiTheme="majorHAnsi" w:cstheme="majorHAnsi"/>
          <w:b/>
          <w:color w:val="548DD4" w:themeColor="text2" w:themeTint="99"/>
          <w:sz w:val="22"/>
          <w:szCs w:val="22"/>
          <w:lang w:val="en-US"/>
        </w:rPr>
        <w:tab/>
        <w:t xml:space="preserve">Key accomplishment of the Program in FY15-18. </w:t>
      </w:r>
    </w:p>
    <w:p w14:paraId="2BA67615" w14:textId="2FBDBF7B" w:rsidR="004716EB" w:rsidRPr="004D79F6" w:rsidRDefault="004716EB" w:rsidP="004D79F6">
      <w:pPr>
        <w:autoSpaceDE w:val="0"/>
        <w:autoSpaceDN w:val="0"/>
        <w:adjustRightInd w:val="0"/>
        <w:jc w:val="both"/>
        <w:rPr>
          <w:rFonts w:asciiTheme="majorHAnsi" w:hAnsiTheme="majorHAnsi" w:cstheme="majorHAnsi"/>
          <w:sz w:val="22"/>
          <w:szCs w:val="22"/>
          <w:lang w:val="en-US"/>
        </w:rPr>
      </w:pPr>
    </w:p>
    <w:p w14:paraId="1D679FE9" w14:textId="467169D3" w:rsidR="004716EB" w:rsidRPr="004D79F6" w:rsidRDefault="004716EB" w:rsidP="004D79F6">
      <w:pPr>
        <w:autoSpaceDE w:val="0"/>
        <w:autoSpaceDN w:val="0"/>
        <w:adjustRightInd w:val="0"/>
        <w:jc w:val="both"/>
        <w:rPr>
          <w:rFonts w:asciiTheme="majorHAnsi" w:hAnsiTheme="majorHAnsi" w:cstheme="majorHAnsi"/>
          <w:sz w:val="22"/>
          <w:szCs w:val="22"/>
          <w:lang w:val="en-US"/>
        </w:rPr>
      </w:pPr>
      <w:r w:rsidRPr="004D79F6">
        <w:rPr>
          <w:rFonts w:asciiTheme="majorHAnsi" w:hAnsiTheme="majorHAnsi" w:cstheme="majorHAnsi"/>
          <w:sz w:val="22"/>
          <w:szCs w:val="22"/>
          <w:lang w:val="en-US"/>
        </w:rPr>
        <w:t xml:space="preserve">During </w:t>
      </w:r>
      <w:r w:rsidR="00635DE3" w:rsidRPr="004D79F6">
        <w:rPr>
          <w:rFonts w:asciiTheme="majorHAnsi" w:hAnsiTheme="majorHAnsi" w:cstheme="majorHAnsi"/>
          <w:sz w:val="22"/>
          <w:szCs w:val="22"/>
          <w:lang w:val="en-US"/>
        </w:rPr>
        <w:t>FY</w:t>
      </w:r>
      <w:r w:rsidRPr="004D79F6">
        <w:rPr>
          <w:rFonts w:asciiTheme="majorHAnsi" w:hAnsiTheme="majorHAnsi" w:cstheme="majorHAnsi"/>
          <w:sz w:val="22"/>
          <w:szCs w:val="22"/>
          <w:lang w:val="en-US"/>
        </w:rPr>
        <w:t>2015-18, the Program has achieved significant accomplishments, including the following ones:</w:t>
      </w:r>
    </w:p>
    <w:p w14:paraId="31C0EF6F" w14:textId="41596EA4" w:rsidR="004716EB" w:rsidRPr="004D79F6" w:rsidRDefault="004716EB" w:rsidP="008A02A3">
      <w:pPr>
        <w:numPr>
          <w:ilvl w:val="0"/>
          <w:numId w:val="1"/>
        </w:numPr>
        <w:ind w:left="1020"/>
        <w:rPr>
          <w:rFonts w:asciiTheme="majorHAnsi" w:eastAsia="Times New Roman" w:hAnsiTheme="majorHAnsi" w:cstheme="majorHAnsi"/>
          <w:color w:val="333333"/>
          <w:sz w:val="22"/>
          <w:szCs w:val="22"/>
          <w:lang w:val="en"/>
        </w:rPr>
      </w:pPr>
      <w:r w:rsidRPr="004D79F6">
        <w:rPr>
          <w:rFonts w:asciiTheme="majorHAnsi" w:eastAsia="Times New Roman" w:hAnsiTheme="majorHAnsi" w:cstheme="majorHAnsi"/>
          <w:color w:val="333333"/>
          <w:sz w:val="22"/>
          <w:szCs w:val="22"/>
          <w:lang w:val="en"/>
        </w:rPr>
        <w:t xml:space="preserve">Three regional conferences were convened in each of Lebanon (2015), Algeria (2016), and Marseille (2017) each of which brought together key stakeholders from governments, heads of tertiary education agencies, representatives from international partner organizations, regional experts, and a selected number of the members of the </w:t>
      </w:r>
      <w:r w:rsidR="00E47AB4">
        <w:rPr>
          <w:rFonts w:asciiTheme="majorHAnsi" w:eastAsia="Times New Roman" w:hAnsiTheme="majorHAnsi" w:cstheme="majorHAnsi"/>
          <w:color w:val="333333"/>
          <w:sz w:val="22"/>
          <w:szCs w:val="22"/>
          <w:lang w:val="en"/>
        </w:rPr>
        <w:t>UGSC</w:t>
      </w:r>
      <w:r w:rsidR="004D0C68">
        <w:rPr>
          <w:rFonts w:asciiTheme="majorHAnsi" w:eastAsia="Times New Roman" w:hAnsiTheme="majorHAnsi" w:cstheme="majorHAnsi"/>
          <w:color w:val="333333"/>
          <w:sz w:val="22"/>
          <w:szCs w:val="22"/>
          <w:lang w:val="en"/>
        </w:rPr>
        <w:t xml:space="preserve"> </w:t>
      </w:r>
      <w:r w:rsidRPr="004D79F6">
        <w:rPr>
          <w:rFonts w:asciiTheme="majorHAnsi" w:eastAsia="Times New Roman" w:hAnsiTheme="majorHAnsi" w:cstheme="majorHAnsi"/>
          <w:color w:val="333333"/>
          <w:sz w:val="22"/>
          <w:szCs w:val="22"/>
          <w:lang w:val="en"/>
        </w:rPr>
        <w:t>Network</w:t>
      </w:r>
      <w:r w:rsidR="0054204C" w:rsidRPr="004D79F6">
        <w:rPr>
          <w:rFonts w:asciiTheme="majorHAnsi" w:eastAsia="Times New Roman" w:hAnsiTheme="majorHAnsi" w:cstheme="majorHAnsi"/>
          <w:color w:val="333333"/>
          <w:sz w:val="22"/>
          <w:szCs w:val="22"/>
          <w:lang w:val="en"/>
        </w:rPr>
        <w:t>. The aim of these conferences was</w:t>
      </w:r>
      <w:r w:rsidRPr="004D79F6">
        <w:rPr>
          <w:rFonts w:asciiTheme="majorHAnsi" w:eastAsia="Times New Roman" w:hAnsiTheme="majorHAnsi" w:cstheme="majorHAnsi"/>
          <w:color w:val="333333"/>
          <w:sz w:val="22"/>
          <w:szCs w:val="22"/>
          <w:lang w:val="en"/>
        </w:rPr>
        <w:t xml:space="preserve"> to think collectively about the emerging trends in governance in </w:t>
      </w:r>
      <w:r w:rsidR="005C3459">
        <w:rPr>
          <w:rFonts w:asciiTheme="majorHAnsi" w:eastAsia="Times New Roman" w:hAnsiTheme="majorHAnsi" w:cstheme="majorHAnsi"/>
          <w:color w:val="333333"/>
          <w:sz w:val="22"/>
          <w:szCs w:val="22"/>
          <w:lang w:val="en"/>
        </w:rPr>
        <w:t>tertiary</w:t>
      </w:r>
      <w:r w:rsidR="005C3459" w:rsidRPr="004D79F6">
        <w:rPr>
          <w:rFonts w:asciiTheme="majorHAnsi" w:eastAsia="Times New Roman" w:hAnsiTheme="majorHAnsi" w:cstheme="majorHAnsi"/>
          <w:color w:val="333333"/>
          <w:sz w:val="22"/>
          <w:szCs w:val="22"/>
          <w:lang w:val="en"/>
        </w:rPr>
        <w:t xml:space="preserve"> </w:t>
      </w:r>
      <w:r w:rsidRPr="004D79F6">
        <w:rPr>
          <w:rFonts w:asciiTheme="majorHAnsi" w:eastAsia="Times New Roman" w:hAnsiTheme="majorHAnsi" w:cstheme="majorHAnsi"/>
          <w:color w:val="333333"/>
          <w:sz w:val="22"/>
          <w:szCs w:val="22"/>
          <w:lang w:val="en"/>
        </w:rPr>
        <w:t>education in the MENA</w:t>
      </w:r>
      <w:r w:rsidR="004D0C68">
        <w:rPr>
          <w:rFonts w:asciiTheme="majorHAnsi" w:eastAsia="Times New Roman" w:hAnsiTheme="majorHAnsi" w:cstheme="majorHAnsi"/>
          <w:color w:val="333333"/>
          <w:sz w:val="22"/>
          <w:szCs w:val="22"/>
          <w:lang w:val="en"/>
        </w:rPr>
        <w:t xml:space="preserve">, </w:t>
      </w:r>
      <w:r w:rsidRPr="004D79F6">
        <w:rPr>
          <w:rFonts w:asciiTheme="majorHAnsi" w:eastAsia="Times New Roman" w:hAnsiTheme="majorHAnsi" w:cstheme="majorHAnsi"/>
          <w:color w:val="333333"/>
          <w:sz w:val="22"/>
          <w:szCs w:val="22"/>
          <w:lang w:val="en"/>
        </w:rPr>
        <w:t>means of establishing sustainable financing mechanisms</w:t>
      </w:r>
      <w:r w:rsidR="004D0C68">
        <w:rPr>
          <w:rFonts w:asciiTheme="majorHAnsi" w:eastAsia="Times New Roman" w:hAnsiTheme="majorHAnsi" w:cstheme="majorHAnsi"/>
          <w:color w:val="333333"/>
          <w:sz w:val="22"/>
          <w:szCs w:val="22"/>
          <w:lang w:val="en"/>
        </w:rPr>
        <w:t xml:space="preserve">, </w:t>
      </w:r>
      <w:r w:rsidRPr="004D79F6">
        <w:rPr>
          <w:rFonts w:asciiTheme="majorHAnsi" w:eastAsia="Times New Roman" w:hAnsiTheme="majorHAnsi" w:cstheme="majorHAnsi"/>
          <w:color w:val="333333"/>
          <w:sz w:val="22"/>
          <w:szCs w:val="22"/>
          <w:lang w:val="en"/>
        </w:rPr>
        <w:t>addressing the increasing internationalization trends</w:t>
      </w:r>
      <w:r w:rsidR="004D0C68" w:rsidRPr="004D0C68">
        <w:rPr>
          <w:rFonts w:asciiTheme="majorHAnsi" w:eastAsia="Times New Roman" w:hAnsiTheme="majorHAnsi" w:cstheme="majorHAnsi"/>
          <w:color w:val="333333"/>
          <w:sz w:val="22"/>
          <w:szCs w:val="22"/>
          <w:lang w:val="en"/>
        </w:rPr>
        <w:t xml:space="preserve"> and </w:t>
      </w:r>
      <w:r w:rsidR="004D0C68" w:rsidRPr="004D0C68">
        <w:rPr>
          <w:rFonts w:asciiTheme="majorHAnsi" w:eastAsia="Times New Roman" w:hAnsiTheme="majorHAnsi" w:cstheme="majorHAnsi"/>
          <w:color w:val="333333"/>
          <w:sz w:val="22"/>
          <w:szCs w:val="22"/>
          <w:lang w:val="en"/>
        </w:rPr>
        <w:t>share best practices applicable to the region, and to network with peer institutions</w:t>
      </w:r>
      <w:r w:rsidR="004D0C68" w:rsidRPr="004D0C68">
        <w:rPr>
          <w:rFonts w:asciiTheme="majorHAnsi" w:eastAsia="Times New Roman" w:hAnsiTheme="majorHAnsi" w:cstheme="majorHAnsi"/>
          <w:color w:val="333333"/>
          <w:sz w:val="22"/>
          <w:szCs w:val="22"/>
          <w:lang w:val="en"/>
        </w:rPr>
        <w:t>.</w:t>
      </w:r>
      <w:r w:rsidR="004D0C68">
        <w:rPr>
          <w:lang w:val="en-US"/>
        </w:rPr>
        <w:t xml:space="preserve"> </w:t>
      </w:r>
    </w:p>
    <w:p w14:paraId="2F4AC9E3" w14:textId="0CF57CB9" w:rsidR="00983647" w:rsidRPr="004D79F6" w:rsidRDefault="00983647" w:rsidP="004D79F6">
      <w:pPr>
        <w:numPr>
          <w:ilvl w:val="0"/>
          <w:numId w:val="1"/>
        </w:numPr>
        <w:ind w:left="1020"/>
        <w:rPr>
          <w:rFonts w:asciiTheme="majorHAnsi" w:eastAsia="Times New Roman" w:hAnsiTheme="majorHAnsi" w:cstheme="majorHAnsi"/>
          <w:color w:val="333333"/>
          <w:sz w:val="22"/>
          <w:szCs w:val="22"/>
          <w:lang w:val="en"/>
        </w:rPr>
      </w:pPr>
      <w:r w:rsidRPr="004D79F6">
        <w:rPr>
          <w:rFonts w:asciiTheme="majorHAnsi" w:eastAsia="Times New Roman" w:hAnsiTheme="majorHAnsi" w:cstheme="majorHAnsi"/>
          <w:color w:val="333333"/>
          <w:sz w:val="22"/>
          <w:szCs w:val="22"/>
          <w:lang w:val="en"/>
        </w:rPr>
        <w:t>A revised version of the University Governance Score Card (UGSC)</w:t>
      </w:r>
      <w:r w:rsidRPr="004D79F6">
        <w:rPr>
          <w:rStyle w:val="FootnoteReference"/>
          <w:rFonts w:asciiTheme="majorHAnsi" w:eastAsia="Times New Roman" w:hAnsiTheme="majorHAnsi" w:cstheme="majorHAnsi"/>
          <w:color w:val="333333"/>
          <w:sz w:val="22"/>
          <w:szCs w:val="22"/>
          <w:lang w:val="en"/>
        </w:rPr>
        <w:footnoteReference w:id="1"/>
      </w:r>
      <w:r w:rsidRPr="004D79F6">
        <w:rPr>
          <w:rFonts w:asciiTheme="majorHAnsi" w:eastAsia="Times New Roman" w:hAnsiTheme="majorHAnsi" w:cstheme="majorHAnsi"/>
          <w:color w:val="333333"/>
          <w:sz w:val="22"/>
          <w:szCs w:val="22"/>
          <w:lang w:val="en"/>
        </w:rPr>
        <w:t xml:space="preserve"> was developed </w:t>
      </w:r>
      <w:proofErr w:type="gramStart"/>
      <w:r w:rsidRPr="004D79F6">
        <w:rPr>
          <w:rFonts w:asciiTheme="majorHAnsi" w:eastAsia="Times New Roman" w:hAnsiTheme="majorHAnsi" w:cstheme="majorHAnsi"/>
          <w:color w:val="333333"/>
          <w:sz w:val="22"/>
          <w:szCs w:val="22"/>
          <w:lang w:val="en"/>
        </w:rPr>
        <w:t>in light of</w:t>
      </w:r>
      <w:proofErr w:type="gramEnd"/>
      <w:r w:rsidRPr="004D79F6">
        <w:rPr>
          <w:rFonts w:asciiTheme="majorHAnsi" w:eastAsia="Times New Roman" w:hAnsiTheme="majorHAnsi" w:cstheme="majorHAnsi"/>
          <w:color w:val="333333"/>
          <w:sz w:val="22"/>
          <w:szCs w:val="22"/>
          <w:lang w:val="en"/>
        </w:rPr>
        <w:t xml:space="preserve"> the first round of implementation in 2012-2013 and in close consultation with </w:t>
      </w:r>
      <w:r w:rsidRPr="004D79F6">
        <w:rPr>
          <w:rFonts w:asciiTheme="majorHAnsi" w:eastAsia="Times New Roman" w:hAnsiTheme="majorHAnsi" w:cstheme="majorHAnsi"/>
          <w:color w:val="333333"/>
          <w:sz w:val="22"/>
          <w:szCs w:val="22"/>
          <w:lang w:val="en"/>
        </w:rPr>
        <w:lastRenderedPageBreak/>
        <w:t xml:space="preserve">local institutions of </w:t>
      </w:r>
      <w:r w:rsidR="00E85C1D">
        <w:rPr>
          <w:rFonts w:asciiTheme="majorHAnsi" w:eastAsia="Times New Roman" w:hAnsiTheme="majorHAnsi" w:cstheme="majorHAnsi"/>
          <w:color w:val="333333"/>
          <w:sz w:val="22"/>
          <w:szCs w:val="22"/>
          <w:lang w:val="en"/>
        </w:rPr>
        <w:t>tertiary</w:t>
      </w:r>
      <w:r w:rsidR="00E85C1D" w:rsidRPr="004D79F6">
        <w:rPr>
          <w:rFonts w:asciiTheme="majorHAnsi" w:eastAsia="Times New Roman" w:hAnsiTheme="majorHAnsi" w:cstheme="majorHAnsi"/>
          <w:color w:val="333333"/>
          <w:sz w:val="22"/>
          <w:szCs w:val="22"/>
          <w:lang w:val="en"/>
        </w:rPr>
        <w:t xml:space="preserve"> </w:t>
      </w:r>
      <w:r w:rsidRPr="004D79F6">
        <w:rPr>
          <w:rFonts w:asciiTheme="majorHAnsi" w:eastAsia="Times New Roman" w:hAnsiTheme="majorHAnsi" w:cstheme="majorHAnsi"/>
          <w:color w:val="333333"/>
          <w:sz w:val="22"/>
          <w:szCs w:val="22"/>
          <w:lang w:val="en"/>
        </w:rPr>
        <w:t>education. The new tool allowed for increased level of comparative insight into the development of governance in each of the participating institutions.</w:t>
      </w:r>
    </w:p>
    <w:p w14:paraId="51AE3FBA" w14:textId="37185CF0" w:rsidR="004716EB" w:rsidRPr="004D79F6" w:rsidRDefault="004D79F6" w:rsidP="004D79F6">
      <w:pPr>
        <w:numPr>
          <w:ilvl w:val="0"/>
          <w:numId w:val="1"/>
        </w:numPr>
        <w:ind w:left="1020"/>
        <w:rPr>
          <w:rFonts w:asciiTheme="majorHAnsi" w:eastAsia="Times New Roman" w:hAnsiTheme="majorHAnsi" w:cstheme="majorHAnsi"/>
          <w:color w:val="333333"/>
          <w:sz w:val="22"/>
          <w:szCs w:val="22"/>
          <w:lang w:val="en"/>
        </w:rPr>
      </w:pPr>
      <w:r>
        <w:rPr>
          <w:rFonts w:asciiTheme="majorHAnsi" w:eastAsia="Times New Roman" w:hAnsiTheme="majorHAnsi" w:cstheme="majorHAnsi"/>
          <w:color w:val="333333"/>
          <w:sz w:val="22"/>
          <w:szCs w:val="22"/>
          <w:lang w:val="en"/>
        </w:rPr>
        <w:t xml:space="preserve">Twelve </w:t>
      </w:r>
      <w:r w:rsidR="004716EB" w:rsidRPr="004D79F6">
        <w:rPr>
          <w:rFonts w:asciiTheme="majorHAnsi" w:eastAsia="Times New Roman" w:hAnsiTheme="majorHAnsi" w:cstheme="majorHAnsi"/>
          <w:color w:val="333333"/>
          <w:sz w:val="22"/>
          <w:szCs w:val="22"/>
          <w:lang w:val="en"/>
        </w:rPr>
        <w:t xml:space="preserve">national workshops were conducted to first introduce </w:t>
      </w:r>
      <w:r w:rsidR="00983647" w:rsidRPr="004D79F6">
        <w:rPr>
          <w:rFonts w:asciiTheme="majorHAnsi" w:eastAsia="Times New Roman" w:hAnsiTheme="majorHAnsi" w:cstheme="majorHAnsi"/>
          <w:color w:val="333333"/>
          <w:sz w:val="22"/>
          <w:szCs w:val="22"/>
          <w:lang w:val="en"/>
        </w:rPr>
        <w:t xml:space="preserve">an updated </w:t>
      </w:r>
      <w:r w:rsidR="004716EB" w:rsidRPr="004D79F6">
        <w:rPr>
          <w:rFonts w:asciiTheme="majorHAnsi" w:eastAsia="Times New Roman" w:hAnsiTheme="majorHAnsi" w:cstheme="majorHAnsi"/>
          <w:color w:val="333333"/>
          <w:sz w:val="22"/>
          <w:szCs w:val="22"/>
          <w:lang w:val="en"/>
        </w:rPr>
        <w:t xml:space="preserve">version of the </w:t>
      </w:r>
      <w:r w:rsidR="00983647" w:rsidRPr="004D79F6">
        <w:rPr>
          <w:rFonts w:asciiTheme="majorHAnsi" w:eastAsia="Times New Roman" w:hAnsiTheme="majorHAnsi" w:cstheme="majorHAnsi"/>
          <w:color w:val="333333"/>
          <w:sz w:val="22"/>
          <w:szCs w:val="22"/>
          <w:lang w:val="en"/>
        </w:rPr>
        <w:t>University Governance Score Card (</w:t>
      </w:r>
      <w:r w:rsidR="004716EB" w:rsidRPr="004D79F6">
        <w:rPr>
          <w:rFonts w:asciiTheme="majorHAnsi" w:eastAsia="Times New Roman" w:hAnsiTheme="majorHAnsi" w:cstheme="majorHAnsi"/>
          <w:color w:val="333333"/>
          <w:sz w:val="22"/>
          <w:szCs w:val="22"/>
          <w:lang w:val="en"/>
        </w:rPr>
        <w:t>UGSC</w:t>
      </w:r>
      <w:r w:rsidR="00983647" w:rsidRPr="004D79F6">
        <w:rPr>
          <w:rFonts w:asciiTheme="majorHAnsi" w:eastAsia="Times New Roman" w:hAnsiTheme="majorHAnsi" w:cstheme="majorHAnsi"/>
          <w:color w:val="333333"/>
          <w:sz w:val="22"/>
          <w:szCs w:val="22"/>
          <w:lang w:val="en"/>
        </w:rPr>
        <w:t>)</w:t>
      </w:r>
      <w:r w:rsidR="004716EB" w:rsidRPr="004D79F6">
        <w:rPr>
          <w:rFonts w:asciiTheme="majorHAnsi" w:eastAsia="Times New Roman" w:hAnsiTheme="majorHAnsi" w:cstheme="majorHAnsi"/>
          <w:color w:val="333333"/>
          <w:sz w:val="22"/>
          <w:szCs w:val="22"/>
          <w:lang w:val="en"/>
        </w:rPr>
        <w:t xml:space="preserve"> </w:t>
      </w:r>
      <w:r w:rsidR="00983647" w:rsidRPr="004D79F6">
        <w:rPr>
          <w:rFonts w:asciiTheme="majorHAnsi" w:eastAsia="Times New Roman" w:hAnsiTheme="majorHAnsi" w:cstheme="majorHAnsi"/>
          <w:color w:val="333333"/>
          <w:sz w:val="22"/>
          <w:szCs w:val="22"/>
          <w:lang w:val="en"/>
        </w:rPr>
        <w:t xml:space="preserve">benchmarking </w:t>
      </w:r>
      <w:r w:rsidR="004716EB" w:rsidRPr="004D79F6">
        <w:rPr>
          <w:rFonts w:asciiTheme="majorHAnsi" w:eastAsia="Times New Roman" w:hAnsiTheme="majorHAnsi" w:cstheme="majorHAnsi"/>
          <w:color w:val="333333"/>
          <w:sz w:val="22"/>
          <w:szCs w:val="22"/>
          <w:lang w:val="en"/>
        </w:rPr>
        <w:t>tool and then introduce the results of the exercise of benchmarking university governance as follows: two national workshops</w:t>
      </w:r>
      <w:r>
        <w:rPr>
          <w:rFonts w:asciiTheme="majorHAnsi" w:eastAsia="Times New Roman" w:hAnsiTheme="majorHAnsi" w:cstheme="majorHAnsi"/>
          <w:color w:val="333333"/>
          <w:sz w:val="22"/>
          <w:szCs w:val="22"/>
          <w:lang w:val="en"/>
        </w:rPr>
        <w:t xml:space="preserve"> each </w:t>
      </w:r>
      <w:r w:rsidR="004716EB" w:rsidRPr="004D79F6">
        <w:rPr>
          <w:rFonts w:asciiTheme="majorHAnsi" w:eastAsia="Times New Roman" w:hAnsiTheme="majorHAnsi" w:cstheme="majorHAnsi"/>
          <w:color w:val="333333"/>
          <w:sz w:val="22"/>
          <w:szCs w:val="22"/>
          <w:lang w:val="en"/>
        </w:rPr>
        <w:t xml:space="preserve">in Lebanon, Jordan, Egypt and Morocco and one </w:t>
      </w:r>
      <w:r>
        <w:rPr>
          <w:rFonts w:asciiTheme="majorHAnsi" w:eastAsia="Times New Roman" w:hAnsiTheme="majorHAnsi" w:cstheme="majorHAnsi"/>
          <w:color w:val="333333"/>
          <w:sz w:val="22"/>
          <w:szCs w:val="22"/>
          <w:lang w:val="en"/>
        </w:rPr>
        <w:t xml:space="preserve">workshop each </w:t>
      </w:r>
      <w:r w:rsidR="004716EB" w:rsidRPr="004D79F6">
        <w:rPr>
          <w:rFonts w:asciiTheme="majorHAnsi" w:eastAsia="Times New Roman" w:hAnsiTheme="majorHAnsi" w:cstheme="majorHAnsi"/>
          <w:color w:val="333333"/>
          <w:sz w:val="22"/>
          <w:szCs w:val="22"/>
          <w:lang w:val="en"/>
        </w:rPr>
        <w:t>in Algeria, Iraq, Tunisia and Palestine.</w:t>
      </w:r>
    </w:p>
    <w:p w14:paraId="4DCF8160" w14:textId="09CDA595" w:rsidR="004716EB" w:rsidRDefault="004716EB" w:rsidP="004D79F6">
      <w:pPr>
        <w:numPr>
          <w:ilvl w:val="0"/>
          <w:numId w:val="1"/>
        </w:numPr>
        <w:ind w:left="1020"/>
        <w:rPr>
          <w:rFonts w:asciiTheme="majorHAnsi" w:eastAsia="Times New Roman" w:hAnsiTheme="majorHAnsi" w:cstheme="majorHAnsi"/>
          <w:color w:val="333333"/>
          <w:sz w:val="22"/>
          <w:szCs w:val="22"/>
          <w:lang w:val="en"/>
        </w:rPr>
      </w:pPr>
      <w:r w:rsidRPr="004D79F6">
        <w:rPr>
          <w:rFonts w:asciiTheme="majorHAnsi" w:eastAsia="Times New Roman" w:hAnsiTheme="majorHAnsi" w:cstheme="majorHAnsi"/>
          <w:color w:val="333333"/>
          <w:sz w:val="22"/>
          <w:szCs w:val="22"/>
          <w:lang w:val="en"/>
        </w:rPr>
        <w:t xml:space="preserve">97 institutional reports were </w:t>
      </w:r>
      <w:r w:rsidR="004D79F6">
        <w:rPr>
          <w:rFonts w:asciiTheme="majorHAnsi" w:eastAsia="Times New Roman" w:hAnsiTheme="majorHAnsi" w:cstheme="majorHAnsi"/>
          <w:color w:val="333333"/>
          <w:sz w:val="22"/>
          <w:szCs w:val="22"/>
          <w:lang w:val="en"/>
        </w:rPr>
        <w:t xml:space="preserve">prepared </w:t>
      </w:r>
      <w:r w:rsidR="00612DBB">
        <w:rPr>
          <w:rFonts w:asciiTheme="majorHAnsi" w:eastAsia="Times New Roman" w:hAnsiTheme="majorHAnsi" w:cstheme="majorHAnsi"/>
          <w:color w:val="333333"/>
          <w:sz w:val="22"/>
          <w:szCs w:val="22"/>
          <w:lang w:val="en"/>
        </w:rPr>
        <w:t xml:space="preserve">during each round of benchmarking </w:t>
      </w:r>
      <w:r w:rsidRPr="004D79F6">
        <w:rPr>
          <w:rFonts w:asciiTheme="majorHAnsi" w:eastAsia="Times New Roman" w:hAnsiTheme="majorHAnsi" w:cstheme="majorHAnsi"/>
          <w:color w:val="333333"/>
          <w:sz w:val="22"/>
          <w:szCs w:val="22"/>
          <w:lang w:val="en"/>
        </w:rPr>
        <w:t>and shared with participating institutions that provided feedback on the results reported</w:t>
      </w:r>
      <w:r w:rsidR="004D79F6">
        <w:rPr>
          <w:rFonts w:asciiTheme="majorHAnsi" w:eastAsia="Times New Roman" w:hAnsiTheme="majorHAnsi" w:cstheme="majorHAnsi"/>
          <w:color w:val="333333"/>
          <w:sz w:val="22"/>
          <w:szCs w:val="22"/>
          <w:lang w:val="en"/>
        </w:rPr>
        <w:t xml:space="preserve">, based on which the reports were finalized. </w:t>
      </w:r>
    </w:p>
    <w:p w14:paraId="3155F443" w14:textId="219CB347" w:rsidR="00612DBB" w:rsidRPr="004D79F6" w:rsidRDefault="00612DBB" w:rsidP="004D79F6">
      <w:pPr>
        <w:numPr>
          <w:ilvl w:val="0"/>
          <w:numId w:val="1"/>
        </w:numPr>
        <w:ind w:left="1020"/>
        <w:rPr>
          <w:rFonts w:asciiTheme="majorHAnsi" w:eastAsia="Times New Roman" w:hAnsiTheme="majorHAnsi" w:cstheme="majorHAnsi"/>
          <w:color w:val="333333"/>
          <w:sz w:val="22"/>
          <w:szCs w:val="22"/>
          <w:lang w:val="en"/>
        </w:rPr>
      </w:pPr>
      <w:r>
        <w:rPr>
          <w:rFonts w:asciiTheme="majorHAnsi" w:eastAsia="Times New Roman" w:hAnsiTheme="majorHAnsi" w:cstheme="majorHAnsi"/>
          <w:color w:val="333333"/>
          <w:sz w:val="22"/>
          <w:szCs w:val="22"/>
          <w:lang w:val="en"/>
        </w:rPr>
        <w:t xml:space="preserve">Following the benchmarking, about 50 </w:t>
      </w:r>
      <w:r w:rsidR="00F67443">
        <w:rPr>
          <w:rFonts w:asciiTheme="majorHAnsi" w:eastAsia="Times New Roman" w:hAnsiTheme="majorHAnsi" w:cstheme="majorHAnsi"/>
          <w:color w:val="333333"/>
          <w:sz w:val="22"/>
          <w:szCs w:val="22"/>
          <w:lang w:val="en"/>
        </w:rPr>
        <w:t xml:space="preserve">of the participating universities developed institutional action plans. </w:t>
      </w:r>
    </w:p>
    <w:p w14:paraId="2CA30DA7" w14:textId="77777777" w:rsidR="004716EB" w:rsidRPr="004D79F6" w:rsidRDefault="004716EB" w:rsidP="004D79F6">
      <w:pPr>
        <w:numPr>
          <w:ilvl w:val="0"/>
          <w:numId w:val="1"/>
        </w:numPr>
        <w:ind w:left="1020"/>
        <w:rPr>
          <w:rFonts w:asciiTheme="majorHAnsi" w:eastAsia="Times New Roman" w:hAnsiTheme="majorHAnsi" w:cstheme="majorHAnsi"/>
          <w:color w:val="333333"/>
          <w:sz w:val="22"/>
          <w:szCs w:val="22"/>
          <w:lang w:val="en"/>
        </w:rPr>
      </w:pPr>
      <w:r w:rsidRPr="004D79F6">
        <w:rPr>
          <w:rFonts w:asciiTheme="majorHAnsi" w:eastAsia="Times New Roman" w:hAnsiTheme="majorHAnsi" w:cstheme="majorHAnsi"/>
          <w:color w:val="333333"/>
          <w:sz w:val="22"/>
          <w:szCs w:val="22"/>
          <w:lang w:val="en"/>
        </w:rPr>
        <w:t>Eight reports on the financing issues and trends in the participating countries of the MENA region were prepared. These reports highlight key financing practices in each of the eight countries participating in the UGSC activities. Regional trends were drawn from the analysis of national trends of financing.</w:t>
      </w:r>
    </w:p>
    <w:p w14:paraId="064F87FA" w14:textId="598E8661" w:rsidR="004716EB" w:rsidRPr="004D79F6" w:rsidRDefault="004716EB" w:rsidP="004D79F6">
      <w:pPr>
        <w:numPr>
          <w:ilvl w:val="0"/>
          <w:numId w:val="1"/>
        </w:numPr>
        <w:ind w:left="1020"/>
        <w:rPr>
          <w:rFonts w:asciiTheme="majorHAnsi" w:eastAsia="Times New Roman" w:hAnsiTheme="majorHAnsi" w:cstheme="majorHAnsi"/>
          <w:color w:val="333333"/>
          <w:sz w:val="22"/>
          <w:szCs w:val="22"/>
          <w:lang w:val="en"/>
        </w:rPr>
      </w:pPr>
      <w:r w:rsidRPr="004D79F6">
        <w:rPr>
          <w:rFonts w:asciiTheme="majorHAnsi" w:eastAsia="Times New Roman" w:hAnsiTheme="majorHAnsi" w:cstheme="majorHAnsi"/>
          <w:color w:val="333333"/>
          <w:sz w:val="22"/>
          <w:szCs w:val="22"/>
          <w:lang w:val="en"/>
        </w:rPr>
        <w:t>Two</w:t>
      </w:r>
      <w:r w:rsidR="003732F8">
        <w:rPr>
          <w:rFonts w:asciiTheme="majorHAnsi" w:eastAsia="Times New Roman" w:hAnsiTheme="majorHAnsi" w:cstheme="majorHAnsi"/>
          <w:color w:val="333333"/>
          <w:sz w:val="22"/>
          <w:szCs w:val="22"/>
          <w:lang w:val="en"/>
        </w:rPr>
        <w:t xml:space="preserve"> Working Papers</w:t>
      </w:r>
      <w:r w:rsidRPr="004D79F6">
        <w:rPr>
          <w:rFonts w:asciiTheme="majorHAnsi" w:eastAsia="Times New Roman" w:hAnsiTheme="majorHAnsi" w:cstheme="majorHAnsi"/>
          <w:color w:val="333333"/>
          <w:sz w:val="22"/>
          <w:szCs w:val="22"/>
          <w:lang w:val="en"/>
        </w:rPr>
        <w:t>, one on financing tertiary education and</w:t>
      </w:r>
      <w:r w:rsidR="003732F8">
        <w:rPr>
          <w:rFonts w:asciiTheme="majorHAnsi" w:eastAsia="Times New Roman" w:hAnsiTheme="majorHAnsi" w:cstheme="majorHAnsi"/>
          <w:color w:val="333333"/>
          <w:sz w:val="22"/>
          <w:szCs w:val="22"/>
          <w:lang w:val="en"/>
        </w:rPr>
        <w:t xml:space="preserve"> the </w:t>
      </w:r>
      <w:r w:rsidRPr="004D79F6">
        <w:rPr>
          <w:rFonts w:asciiTheme="majorHAnsi" w:eastAsia="Times New Roman" w:hAnsiTheme="majorHAnsi" w:cstheme="majorHAnsi"/>
          <w:color w:val="333333"/>
          <w:sz w:val="22"/>
          <w:szCs w:val="22"/>
          <w:lang w:val="en"/>
        </w:rPr>
        <w:t>other on internationalization, were presented at the 2017 regional conference in Marseille.</w:t>
      </w:r>
    </w:p>
    <w:p w14:paraId="34204029" w14:textId="71982932" w:rsidR="004716EB" w:rsidRDefault="004716EB" w:rsidP="004D79F6">
      <w:pPr>
        <w:numPr>
          <w:ilvl w:val="0"/>
          <w:numId w:val="1"/>
        </w:numPr>
        <w:ind w:left="1020"/>
        <w:rPr>
          <w:rFonts w:asciiTheme="majorHAnsi" w:eastAsia="Times New Roman" w:hAnsiTheme="majorHAnsi" w:cstheme="majorHAnsi"/>
          <w:color w:val="333333"/>
          <w:sz w:val="22"/>
          <w:szCs w:val="22"/>
          <w:lang w:val="en"/>
        </w:rPr>
      </w:pPr>
      <w:r w:rsidRPr="004D79F6">
        <w:rPr>
          <w:rFonts w:asciiTheme="majorHAnsi" w:eastAsia="Times New Roman" w:hAnsiTheme="majorHAnsi" w:cstheme="majorHAnsi"/>
          <w:color w:val="333333"/>
          <w:sz w:val="22"/>
          <w:szCs w:val="22"/>
          <w:lang w:val="en"/>
        </w:rPr>
        <w:t>The UGSC tool implemented in the MENA region has served as the basis for the development of a customized and expanded version which is now implemented in other countries in support of policy dialogue with governments or World Bank operations.  </w:t>
      </w:r>
    </w:p>
    <w:p w14:paraId="75714EAF" w14:textId="44AAC811" w:rsidR="00DA4FAE" w:rsidRPr="004D79F6" w:rsidRDefault="00DA4FAE" w:rsidP="004D79F6">
      <w:pPr>
        <w:numPr>
          <w:ilvl w:val="0"/>
          <w:numId w:val="1"/>
        </w:numPr>
        <w:ind w:left="1020"/>
        <w:rPr>
          <w:rFonts w:asciiTheme="majorHAnsi" w:eastAsia="Times New Roman" w:hAnsiTheme="majorHAnsi" w:cstheme="majorHAnsi"/>
          <w:color w:val="333333"/>
          <w:sz w:val="22"/>
          <w:szCs w:val="22"/>
          <w:lang w:val="en"/>
        </w:rPr>
      </w:pPr>
      <w:r>
        <w:rPr>
          <w:rFonts w:asciiTheme="majorHAnsi" w:eastAsia="Times New Roman" w:hAnsiTheme="majorHAnsi" w:cstheme="majorHAnsi"/>
          <w:color w:val="333333"/>
          <w:sz w:val="22"/>
          <w:szCs w:val="22"/>
          <w:lang w:val="en"/>
        </w:rPr>
        <w:t>The UGSC network has been expanded to tertiary institution</w:t>
      </w:r>
      <w:r w:rsidR="005C3459">
        <w:rPr>
          <w:rFonts w:asciiTheme="majorHAnsi" w:eastAsia="Times New Roman" w:hAnsiTheme="majorHAnsi" w:cstheme="majorHAnsi"/>
          <w:color w:val="333333"/>
          <w:sz w:val="22"/>
          <w:szCs w:val="22"/>
          <w:lang w:val="en"/>
        </w:rPr>
        <w:t>s</w:t>
      </w:r>
      <w:r>
        <w:rPr>
          <w:rFonts w:asciiTheme="majorHAnsi" w:eastAsia="Times New Roman" w:hAnsiTheme="majorHAnsi" w:cstheme="majorHAnsi"/>
          <w:color w:val="333333"/>
          <w:sz w:val="22"/>
          <w:szCs w:val="22"/>
          <w:lang w:val="en"/>
        </w:rPr>
        <w:t xml:space="preserve"> from European countries (Italy, Greece, Portugal and Spain)</w:t>
      </w:r>
      <w:r w:rsidR="005C3459">
        <w:rPr>
          <w:rFonts w:asciiTheme="majorHAnsi" w:eastAsia="Times New Roman" w:hAnsiTheme="majorHAnsi" w:cstheme="majorHAnsi"/>
          <w:color w:val="333333"/>
          <w:sz w:val="22"/>
          <w:szCs w:val="22"/>
          <w:lang w:val="en"/>
        </w:rPr>
        <w:t>.</w:t>
      </w:r>
    </w:p>
    <w:p w14:paraId="60C86033" w14:textId="76726785" w:rsidR="004716EB" w:rsidRPr="004D79F6" w:rsidRDefault="004716EB" w:rsidP="004D79F6">
      <w:pPr>
        <w:autoSpaceDE w:val="0"/>
        <w:autoSpaceDN w:val="0"/>
        <w:adjustRightInd w:val="0"/>
        <w:jc w:val="both"/>
        <w:rPr>
          <w:rFonts w:asciiTheme="majorHAnsi" w:hAnsiTheme="majorHAnsi" w:cstheme="majorHAnsi"/>
          <w:sz w:val="22"/>
          <w:szCs w:val="22"/>
          <w:lang w:val="en-US"/>
        </w:rPr>
      </w:pPr>
    </w:p>
    <w:p w14:paraId="22F5CFA4" w14:textId="36D1DFC5" w:rsidR="002A04B3" w:rsidRPr="004D79F6" w:rsidRDefault="00B1317F" w:rsidP="004D79F6">
      <w:pPr>
        <w:rPr>
          <w:rFonts w:asciiTheme="majorHAnsi" w:hAnsiTheme="majorHAnsi" w:cstheme="majorHAnsi"/>
          <w:b/>
          <w:color w:val="548DD4" w:themeColor="text2" w:themeTint="99"/>
          <w:sz w:val="22"/>
          <w:szCs w:val="22"/>
          <w:lang w:val="en-US"/>
        </w:rPr>
      </w:pPr>
      <w:r w:rsidRPr="004D79F6">
        <w:rPr>
          <w:rFonts w:asciiTheme="majorHAnsi" w:hAnsiTheme="majorHAnsi" w:cstheme="majorHAnsi"/>
          <w:b/>
          <w:color w:val="548DD4" w:themeColor="text2" w:themeTint="99"/>
          <w:sz w:val="22"/>
          <w:szCs w:val="22"/>
          <w:lang w:val="en-US"/>
        </w:rPr>
        <w:t>I</w:t>
      </w:r>
      <w:r w:rsidR="00591833" w:rsidRPr="004D79F6">
        <w:rPr>
          <w:rFonts w:asciiTheme="majorHAnsi" w:hAnsiTheme="majorHAnsi" w:cstheme="majorHAnsi"/>
          <w:b/>
          <w:color w:val="548DD4" w:themeColor="text2" w:themeTint="99"/>
          <w:sz w:val="22"/>
          <w:szCs w:val="22"/>
          <w:lang w:val="en-US"/>
        </w:rPr>
        <w:t>I</w:t>
      </w:r>
      <w:r w:rsidR="009C3FCE" w:rsidRPr="004D79F6">
        <w:rPr>
          <w:rFonts w:asciiTheme="majorHAnsi" w:hAnsiTheme="majorHAnsi" w:cstheme="majorHAnsi"/>
          <w:b/>
          <w:color w:val="548DD4" w:themeColor="text2" w:themeTint="99"/>
          <w:sz w:val="22"/>
          <w:szCs w:val="22"/>
          <w:lang w:val="en-US"/>
        </w:rPr>
        <w:t>I</w:t>
      </w:r>
      <w:r w:rsidR="00591833" w:rsidRPr="004D79F6">
        <w:rPr>
          <w:rFonts w:asciiTheme="majorHAnsi" w:hAnsiTheme="majorHAnsi" w:cstheme="majorHAnsi"/>
          <w:b/>
          <w:color w:val="548DD4" w:themeColor="text2" w:themeTint="99"/>
          <w:sz w:val="22"/>
          <w:szCs w:val="22"/>
          <w:lang w:val="en-US"/>
        </w:rPr>
        <w:t>.</w:t>
      </w:r>
      <w:r w:rsidR="00591833" w:rsidRPr="004D79F6">
        <w:rPr>
          <w:rFonts w:asciiTheme="majorHAnsi" w:hAnsiTheme="majorHAnsi" w:cstheme="majorHAnsi"/>
          <w:b/>
          <w:color w:val="548DD4" w:themeColor="text2" w:themeTint="99"/>
          <w:sz w:val="22"/>
          <w:szCs w:val="22"/>
          <w:lang w:val="en-US"/>
        </w:rPr>
        <w:tab/>
      </w:r>
      <w:r w:rsidR="002A04B3" w:rsidRPr="004D79F6">
        <w:rPr>
          <w:rFonts w:asciiTheme="majorHAnsi" w:hAnsiTheme="majorHAnsi" w:cstheme="majorHAnsi"/>
          <w:b/>
          <w:color w:val="548DD4" w:themeColor="text2" w:themeTint="99"/>
          <w:sz w:val="22"/>
          <w:szCs w:val="22"/>
          <w:lang w:val="en-US"/>
        </w:rPr>
        <w:t>P</w:t>
      </w:r>
      <w:r w:rsidR="009C3FCE" w:rsidRPr="004D79F6">
        <w:rPr>
          <w:rFonts w:asciiTheme="majorHAnsi" w:hAnsiTheme="majorHAnsi" w:cstheme="majorHAnsi"/>
          <w:b/>
          <w:color w:val="548DD4" w:themeColor="text2" w:themeTint="99"/>
          <w:sz w:val="22"/>
          <w:szCs w:val="22"/>
          <w:lang w:val="en-US"/>
        </w:rPr>
        <w:t>IL</w:t>
      </w:r>
      <w:r w:rsidR="00850A09">
        <w:rPr>
          <w:rFonts w:asciiTheme="majorHAnsi" w:hAnsiTheme="majorHAnsi" w:cstheme="majorHAnsi"/>
          <w:b/>
          <w:color w:val="548DD4" w:themeColor="text2" w:themeTint="99"/>
          <w:sz w:val="22"/>
          <w:szCs w:val="22"/>
          <w:lang w:val="en-US"/>
        </w:rPr>
        <w:t>L</w:t>
      </w:r>
      <w:r w:rsidR="009C3FCE" w:rsidRPr="004D79F6">
        <w:rPr>
          <w:rFonts w:asciiTheme="majorHAnsi" w:hAnsiTheme="majorHAnsi" w:cstheme="majorHAnsi"/>
          <w:b/>
          <w:color w:val="548DD4" w:themeColor="text2" w:themeTint="99"/>
          <w:sz w:val="22"/>
          <w:szCs w:val="22"/>
          <w:lang w:val="en-US"/>
        </w:rPr>
        <w:t xml:space="preserve">AR I: Improvement of university governance and quality </w:t>
      </w:r>
    </w:p>
    <w:p w14:paraId="4B2B9D1F" w14:textId="77777777" w:rsidR="002A04B3" w:rsidRPr="004D79F6" w:rsidRDefault="002A04B3" w:rsidP="004D79F6">
      <w:pPr>
        <w:rPr>
          <w:rFonts w:asciiTheme="majorHAnsi" w:hAnsiTheme="majorHAnsi" w:cstheme="majorHAnsi"/>
          <w:sz w:val="22"/>
          <w:szCs w:val="22"/>
          <w:lang w:val="en-US"/>
        </w:rPr>
      </w:pPr>
    </w:p>
    <w:p w14:paraId="31F1427C" w14:textId="66ACDD4C" w:rsidR="00362EB2" w:rsidRPr="004D79F6" w:rsidRDefault="009C3FCE">
      <w:pPr>
        <w:jc w:val="both"/>
        <w:rPr>
          <w:rFonts w:asciiTheme="majorHAnsi" w:hAnsiTheme="majorHAnsi" w:cstheme="majorHAnsi"/>
          <w:sz w:val="22"/>
          <w:szCs w:val="22"/>
          <w:lang w:val="en-US"/>
        </w:rPr>
      </w:pPr>
      <w:r w:rsidRPr="004D79F6">
        <w:rPr>
          <w:rFonts w:asciiTheme="majorHAnsi" w:hAnsiTheme="majorHAnsi" w:cstheme="majorHAnsi"/>
          <w:sz w:val="22"/>
          <w:szCs w:val="22"/>
          <w:lang w:val="en-US"/>
        </w:rPr>
        <w:t xml:space="preserve">Under the first pillar, the University Governance Score Card (UGSC) is </w:t>
      </w:r>
      <w:r w:rsidR="00362EB2" w:rsidRPr="004D79F6">
        <w:rPr>
          <w:rFonts w:asciiTheme="majorHAnsi" w:hAnsiTheme="majorHAnsi" w:cstheme="majorHAnsi"/>
          <w:sz w:val="22"/>
          <w:szCs w:val="22"/>
          <w:lang w:val="en-US"/>
        </w:rPr>
        <w:t xml:space="preserve">being used to support institutions as they work towards the improvement of their governance and quality policies and programs, </w:t>
      </w:r>
      <w:proofErr w:type="gramStart"/>
      <w:r w:rsidR="00362EB2" w:rsidRPr="004D79F6">
        <w:rPr>
          <w:rFonts w:asciiTheme="majorHAnsi" w:hAnsiTheme="majorHAnsi" w:cstheme="majorHAnsi"/>
          <w:sz w:val="22"/>
          <w:szCs w:val="22"/>
          <w:lang w:val="en-US"/>
        </w:rPr>
        <w:t>and also</w:t>
      </w:r>
      <w:proofErr w:type="gramEnd"/>
      <w:r w:rsidR="00362EB2" w:rsidRPr="004D79F6">
        <w:rPr>
          <w:rFonts w:asciiTheme="majorHAnsi" w:hAnsiTheme="majorHAnsi" w:cstheme="majorHAnsi"/>
          <w:sz w:val="22"/>
          <w:szCs w:val="22"/>
          <w:lang w:val="en-US"/>
        </w:rPr>
        <w:t xml:space="preserve"> towards the</w:t>
      </w:r>
      <w:r w:rsidR="00850A09">
        <w:rPr>
          <w:rFonts w:asciiTheme="majorHAnsi" w:hAnsiTheme="majorHAnsi" w:cstheme="majorHAnsi"/>
          <w:sz w:val="22"/>
          <w:szCs w:val="22"/>
          <w:lang w:val="en-US"/>
        </w:rPr>
        <w:t xml:space="preserve"> improvement of their</w:t>
      </w:r>
      <w:r w:rsidR="00362EB2" w:rsidRPr="004D79F6">
        <w:rPr>
          <w:rFonts w:asciiTheme="majorHAnsi" w:hAnsiTheme="majorHAnsi" w:cstheme="majorHAnsi"/>
          <w:sz w:val="22"/>
          <w:szCs w:val="22"/>
          <w:lang w:val="en-US"/>
        </w:rPr>
        <w:t xml:space="preserve"> performance in both domains. The UGSC is </w:t>
      </w:r>
      <w:r w:rsidRPr="004D79F6">
        <w:rPr>
          <w:rFonts w:asciiTheme="majorHAnsi" w:hAnsiTheme="majorHAnsi" w:cstheme="majorHAnsi"/>
          <w:sz w:val="22"/>
          <w:szCs w:val="22"/>
          <w:lang w:val="en-US"/>
        </w:rPr>
        <w:t xml:space="preserve">a tool that was developed in 2010 as a benchmarking tool to assess the extent to which tertiary education institutions in the MENA region are following governance practices aligned with their institutional goals, national policies, and international trends. Since 2015, an updated version of the tool has been implemented in 120 </w:t>
      </w:r>
      <w:r w:rsidR="00E85C1D">
        <w:rPr>
          <w:rFonts w:asciiTheme="majorHAnsi" w:hAnsiTheme="majorHAnsi" w:cstheme="majorHAnsi"/>
          <w:sz w:val="22"/>
          <w:szCs w:val="22"/>
          <w:lang w:val="en-US"/>
        </w:rPr>
        <w:t>tertiary</w:t>
      </w:r>
      <w:r w:rsidR="00E85C1D" w:rsidRPr="004D79F6">
        <w:rPr>
          <w:rFonts w:asciiTheme="majorHAnsi" w:hAnsiTheme="majorHAnsi" w:cstheme="majorHAnsi"/>
          <w:sz w:val="22"/>
          <w:szCs w:val="22"/>
          <w:lang w:val="en-US"/>
        </w:rPr>
        <w:t xml:space="preserve"> </w:t>
      </w:r>
      <w:r w:rsidRPr="004D79F6">
        <w:rPr>
          <w:rFonts w:asciiTheme="majorHAnsi" w:hAnsiTheme="majorHAnsi" w:cstheme="majorHAnsi"/>
          <w:sz w:val="22"/>
          <w:szCs w:val="22"/>
          <w:lang w:val="en-US"/>
        </w:rPr>
        <w:t xml:space="preserve">education institutions from eight MENA countries. </w:t>
      </w:r>
    </w:p>
    <w:p w14:paraId="0A8AFD53" w14:textId="77777777" w:rsidR="00362EB2" w:rsidRPr="004D79F6" w:rsidRDefault="00362EB2" w:rsidP="004D79F6">
      <w:pPr>
        <w:jc w:val="both"/>
        <w:rPr>
          <w:rFonts w:asciiTheme="majorHAnsi" w:hAnsiTheme="majorHAnsi" w:cstheme="majorHAnsi"/>
          <w:sz w:val="22"/>
          <w:szCs w:val="22"/>
          <w:lang w:val="en-US"/>
        </w:rPr>
      </w:pPr>
    </w:p>
    <w:p w14:paraId="6746A999" w14:textId="7C51720D" w:rsidR="00362EB2" w:rsidRPr="004D79F6" w:rsidRDefault="009C3FCE" w:rsidP="004D79F6">
      <w:pPr>
        <w:jc w:val="both"/>
        <w:rPr>
          <w:rFonts w:asciiTheme="majorHAnsi" w:hAnsiTheme="majorHAnsi" w:cstheme="majorHAnsi"/>
          <w:sz w:val="22"/>
          <w:szCs w:val="22"/>
          <w:lang w:val="en-US"/>
        </w:rPr>
      </w:pPr>
      <w:r w:rsidRPr="004D79F6">
        <w:rPr>
          <w:rFonts w:asciiTheme="majorHAnsi" w:hAnsiTheme="majorHAnsi" w:cstheme="majorHAnsi"/>
          <w:sz w:val="22"/>
          <w:szCs w:val="22"/>
          <w:lang w:val="en-US"/>
        </w:rPr>
        <w:t xml:space="preserve">During FY 2015-18, three MENA </w:t>
      </w:r>
      <w:r w:rsidR="00E85C1D">
        <w:rPr>
          <w:rFonts w:asciiTheme="majorHAnsi" w:hAnsiTheme="majorHAnsi" w:cstheme="majorHAnsi"/>
          <w:sz w:val="22"/>
          <w:szCs w:val="22"/>
          <w:lang w:val="en-US"/>
        </w:rPr>
        <w:t>Tertiary</w:t>
      </w:r>
      <w:r w:rsidR="00E85C1D" w:rsidRPr="004D79F6">
        <w:rPr>
          <w:rFonts w:asciiTheme="majorHAnsi" w:hAnsiTheme="majorHAnsi" w:cstheme="majorHAnsi"/>
          <w:sz w:val="22"/>
          <w:szCs w:val="22"/>
          <w:lang w:val="en-US"/>
        </w:rPr>
        <w:t xml:space="preserve"> </w:t>
      </w:r>
      <w:r w:rsidRPr="004D79F6">
        <w:rPr>
          <w:rFonts w:asciiTheme="majorHAnsi" w:hAnsiTheme="majorHAnsi" w:cstheme="majorHAnsi"/>
          <w:sz w:val="22"/>
          <w:szCs w:val="22"/>
          <w:lang w:val="en-US"/>
        </w:rPr>
        <w:t>Education Conferences were successfully held in Lebanon (2015)</w:t>
      </w:r>
      <w:r w:rsidR="00E814F2" w:rsidRPr="004D79F6">
        <w:rPr>
          <w:rFonts w:asciiTheme="majorHAnsi" w:hAnsiTheme="majorHAnsi" w:cstheme="majorHAnsi"/>
          <w:sz w:val="22"/>
          <w:szCs w:val="22"/>
          <w:lang w:val="en-US"/>
        </w:rPr>
        <w:t>,</w:t>
      </w:r>
      <w:r w:rsidRPr="004D79F6">
        <w:rPr>
          <w:rFonts w:asciiTheme="majorHAnsi" w:hAnsiTheme="majorHAnsi" w:cstheme="majorHAnsi"/>
          <w:sz w:val="22"/>
          <w:szCs w:val="22"/>
          <w:lang w:val="en-US"/>
        </w:rPr>
        <w:t xml:space="preserve"> Tunis (2016) and Marseille (2017) with active participation of key government officers, heads of </w:t>
      </w:r>
      <w:r w:rsidR="00E85C1D">
        <w:rPr>
          <w:rFonts w:asciiTheme="majorHAnsi" w:hAnsiTheme="majorHAnsi" w:cstheme="majorHAnsi"/>
          <w:sz w:val="22"/>
          <w:szCs w:val="22"/>
          <w:lang w:val="en-US"/>
        </w:rPr>
        <w:t>tertiary</w:t>
      </w:r>
      <w:r w:rsidR="00E85C1D" w:rsidRPr="004D79F6">
        <w:rPr>
          <w:rFonts w:asciiTheme="majorHAnsi" w:hAnsiTheme="majorHAnsi" w:cstheme="majorHAnsi"/>
          <w:sz w:val="22"/>
          <w:szCs w:val="22"/>
          <w:lang w:val="en-US"/>
        </w:rPr>
        <w:t xml:space="preserve"> </w:t>
      </w:r>
      <w:r w:rsidRPr="004D79F6">
        <w:rPr>
          <w:rFonts w:asciiTheme="majorHAnsi" w:hAnsiTheme="majorHAnsi" w:cstheme="majorHAnsi"/>
          <w:sz w:val="22"/>
          <w:szCs w:val="22"/>
          <w:lang w:val="en-US"/>
        </w:rPr>
        <w:t xml:space="preserve">education agencies and authorities of </w:t>
      </w:r>
      <w:r w:rsidR="00E85C1D">
        <w:rPr>
          <w:rFonts w:asciiTheme="majorHAnsi" w:hAnsiTheme="majorHAnsi" w:cstheme="majorHAnsi"/>
          <w:sz w:val="22"/>
          <w:szCs w:val="22"/>
          <w:lang w:val="en-US"/>
        </w:rPr>
        <w:t>tertiary</w:t>
      </w:r>
      <w:r w:rsidR="00E85C1D" w:rsidRPr="004D79F6">
        <w:rPr>
          <w:rFonts w:asciiTheme="majorHAnsi" w:hAnsiTheme="majorHAnsi" w:cstheme="majorHAnsi"/>
          <w:sz w:val="22"/>
          <w:szCs w:val="22"/>
          <w:lang w:val="en-US"/>
        </w:rPr>
        <w:t xml:space="preserve"> </w:t>
      </w:r>
      <w:r w:rsidRPr="004D79F6">
        <w:rPr>
          <w:rFonts w:asciiTheme="majorHAnsi" w:hAnsiTheme="majorHAnsi" w:cstheme="majorHAnsi"/>
          <w:sz w:val="22"/>
          <w:szCs w:val="22"/>
          <w:lang w:val="en-US"/>
        </w:rPr>
        <w:t>education institutions from all countries in the MENA region. The conference held in Tunis in 2016 addressed paradigm shifts within systems of tertiary education in light of global changes that are impacting the MENA</w:t>
      </w:r>
      <w:r w:rsidR="00E814F2" w:rsidRPr="004D79F6">
        <w:rPr>
          <w:rFonts w:asciiTheme="majorHAnsi" w:hAnsiTheme="majorHAnsi" w:cstheme="majorHAnsi"/>
          <w:sz w:val="22"/>
          <w:szCs w:val="22"/>
          <w:lang w:val="en-US"/>
        </w:rPr>
        <w:t xml:space="preserve"> region</w:t>
      </w:r>
      <w:r w:rsidRPr="004D79F6">
        <w:rPr>
          <w:rFonts w:asciiTheme="majorHAnsi" w:hAnsiTheme="majorHAnsi" w:cstheme="majorHAnsi"/>
          <w:sz w:val="22"/>
          <w:szCs w:val="22"/>
          <w:lang w:val="en-US"/>
        </w:rPr>
        <w:t xml:space="preserve">, such as changes </w:t>
      </w:r>
      <w:r w:rsidRPr="004D79F6">
        <w:rPr>
          <w:rFonts w:asciiTheme="majorHAnsi" w:hAnsiTheme="majorHAnsi" w:cstheme="majorHAnsi"/>
          <w:sz w:val="22"/>
          <w:szCs w:val="22"/>
          <w:lang w:val="en-US"/>
        </w:rPr>
        <w:lastRenderedPageBreak/>
        <w:t xml:space="preserve">in university governance and the improvement of quality within the sector aimed at improving competitiveness and the employability of youth and graduates. The event held in Marseille in 2017 continued the discussions and deliberations on issues of competitiveness and equity within the framework of good governance, sustainable financing and internationalization within tertiary education in the </w:t>
      </w:r>
      <w:r w:rsidR="00E814F2" w:rsidRPr="004D79F6">
        <w:rPr>
          <w:rFonts w:asciiTheme="majorHAnsi" w:hAnsiTheme="majorHAnsi" w:cstheme="majorHAnsi"/>
          <w:sz w:val="22"/>
          <w:szCs w:val="22"/>
          <w:lang w:val="en-US"/>
        </w:rPr>
        <w:t>region</w:t>
      </w:r>
      <w:r w:rsidRPr="004D79F6">
        <w:rPr>
          <w:rFonts w:asciiTheme="majorHAnsi" w:hAnsiTheme="majorHAnsi" w:cstheme="majorHAnsi"/>
          <w:sz w:val="22"/>
          <w:szCs w:val="22"/>
          <w:lang w:val="en-US"/>
        </w:rPr>
        <w:t xml:space="preserve">. </w:t>
      </w:r>
      <w:r w:rsidR="00725BF7">
        <w:rPr>
          <w:rFonts w:asciiTheme="majorHAnsi" w:hAnsiTheme="majorHAnsi" w:cstheme="majorHAnsi"/>
          <w:sz w:val="22"/>
          <w:szCs w:val="22"/>
          <w:lang w:val="en-US"/>
        </w:rPr>
        <w:t xml:space="preserve">The event also served </w:t>
      </w:r>
      <w:r w:rsidR="000F1770">
        <w:rPr>
          <w:rFonts w:asciiTheme="majorHAnsi" w:hAnsiTheme="majorHAnsi" w:cstheme="majorHAnsi"/>
          <w:sz w:val="22"/>
          <w:szCs w:val="22"/>
          <w:lang w:val="en-US"/>
        </w:rPr>
        <w:t xml:space="preserve">as platform to discuss a renewed agenda for </w:t>
      </w:r>
      <w:r w:rsidR="00B661AC">
        <w:rPr>
          <w:rFonts w:asciiTheme="majorHAnsi" w:hAnsiTheme="majorHAnsi" w:cstheme="majorHAnsi"/>
          <w:sz w:val="22"/>
          <w:szCs w:val="22"/>
          <w:lang w:val="en-US"/>
        </w:rPr>
        <w:t xml:space="preserve">future </w:t>
      </w:r>
      <w:r w:rsidR="000F1770">
        <w:rPr>
          <w:rFonts w:asciiTheme="majorHAnsi" w:hAnsiTheme="majorHAnsi" w:cstheme="majorHAnsi"/>
          <w:sz w:val="22"/>
          <w:szCs w:val="22"/>
          <w:lang w:val="en-US"/>
        </w:rPr>
        <w:t xml:space="preserve">collaboration </w:t>
      </w:r>
      <w:r w:rsidR="00B661AC">
        <w:rPr>
          <w:rFonts w:asciiTheme="majorHAnsi" w:hAnsiTheme="majorHAnsi" w:cstheme="majorHAnsi"/>
          <w:sz w:val="22"/>
          <w:szCs w:val="22"/>
          <w:lang w:val="en-US"/>
        </w:rPr>
        <w:t xml:space="preserve">on these key higher education issues </w:t>
      </w:r>
      <w:r w:rsidR="000F1770">
        <w:rPr>
          <w:rFonts w:asciiTheme="majorHAnsi" w:hAnsiTheme="majorHAnsi" w:cstheme="majorHAnsi"/>
          <w:sz w:val="22"/>
          <w:szCs w:val="22"/>
          <w:lang w:val="en-US"/>
        </w:rPr>
        <w:t>in the region</w:t>
      </w:r>
      <w:r w:rsidR="00B661AC">
        <w:rPr>
          <w:rFonts w:asciiTheme="majorHAnsi" w:hAnsiTheme="majorHAnsi" w:cstheme="majorHAnsi"/>
          <w:sz w:val="22"/>
          <w:szCs w:val="22"/>
          <w:lang w:val="en-US"/>
        </w:rPr>
        <w:t>.</w:t>
      </w:r>
      <w:r w:rsidR="00725BF7">
        <w:rPr>
          <w:rFonts w:asciiTheme="majorHAnsi" w:hAnsiTheme="majorHAnsi" w:cstheme="majorHAnsi"/>
          <w:sz w:val="22"/>
          <w:szCs w:val="22"/>
          <w:lang w:val="en-US"/>
        </w:rPr>
        <w:t xml:space="preserve"> </w:t>
      </w:r>
      <w:r w:rsidR="0013341A">
        <w:rPr>
          <w:rFonts w:asciiTheme="majorHAnsi" w:hAnsiTheme="majorHAnsi" w:cstheme="majorHAnsi"/>
          <w:sz w:val="22"/>
          <w:szCs w:val="22"/>
          <w:lang w:val="en-US"/>
        </w:rPr>
        <w:t xml:space="preserve">In addition, it included a discussion on </w:t>
      </w:r>
      <w:r w:rsidR="00F4097D">
        <w:rPr>
          <w:rFonts w:asciiTheme="majorHAnsi" w:hAnsiTheme="majorHAnsi" w:cstheme="majorHAnsi"/>
          <w:sz w:val="22"/>
          <w:szCs w:val="22"/>
          <w:lang w:val="en-US"/>
        </w:rPr>
        <w:t xml:space="preserve">how to move the network to a more sustainable structure, </w:t>
      </w:r>
      <w:r w:rsidR="00725BF7">
        <w:rPr>
          <w:rFonts w:asciiTheme="majorHAnsi" w:hAnsiTheme="majorHAnsi" w:cstheme="majorHAnsi"/>
          <w:sz w:val="22"/>
          <w:szCs w:val="22"/>
          <w:lang w:val="en-US"/>
        </w:rPr>
        <w:t xml:space="preserve">owned by the members themselves. </w:t>
      </w:r>
    </w:p>
    <w:p w14:paraId="12753E86" w14:textId="77777777" w:rsidR="00362EB2" w:rsidRPr="004D79F6" w:rsidRDefault="00362EB2" w:rsidP="004D79F6">
      <w:pPr>
        <w:jc w:val="both"/>
        <w:rPr>
          <w:rFonts w:asciiTheme="majorHAnsi" w:hAnsiTheme="majorHAnsi" w:cstheme="majorHAnsi"/>
          <w:sz w:val="22"/>
          <w:szCs w:val="22"/>
          <w:lang w:val="en-US"/>
        </w:rPr>
      </w:pPr>
    </w:p>
    <w:p w14:paraId="2349DBF9" w14:textId="6196D105" w:rsidR="00FC132F" w:rsidRPr="004D79F6" w:rsidRDefault="00362EB2" w:rsidP="003540BD">
      <w:pPr>
        <w:jc w:val="both"/>
        <w:rPr>
          <w:rFonts w:asciiTheme="majorHAnsi" w:hAnsiTheme="majorHAnsi" w:cstheme="majorHAnsi"/>
          <w:sz w:val="22"/>
          <w:szCs w:val="22"/>
          <w:lang w:val="en-US"/>
        </w:rPr>
      </w:pPr>
      <w:r w:rsidRPr="004D79F6">
        <w:rPr>
          <w:rFonts w:asciiTheme="majorHAnsi" w:hAnsiTheme="majorHAnsi" w:cstheme="majorHAnsi"/>
          <w:sz w:val="22"/>
          <w:szCs w:val="22"/>
          <w:lang w:val="en-US"/>
        </w:rPr>
        <w:t>In addition, n</w:t>
      </w:r>
      <w:r w:rsidR="009C3FCE" w:rsidRPr="004D79F6">
        <w:rPr>
          <w:rFonts w:asciiTheme="majorHAnsi" w:hAnsiTheme="majorHAnsi" w:cstheme="majorHAnsi"/>
          <w:sz w:val="22"/>
          <w:szCs w:val="22"/>
          <w:lang w:val="en-US"/>
        </w:rPr>
        <w:t xml:space="preserve">ational workshops on strengthening governance and improving quality of </w:t>
      </w:r>
      <w:r w:rsidR="00E85C1D">
        <w:rPr>
          <w:rFonts w:asciiTheme="majorHAnsi" w:hAnsiTheme="majorHAnsi" w:cstheme="majorHAnsi"/>
          <w:sz w:val="22"/>
          <w:szCs w:val="22"/>
          <w:lang w:val="en-US"/>
        </w:rPr>
        <w:t>tertiary</w:t>
      </w:r>
      <w:r w:rsidR="00E85C1D" w:rsidRPr="004D79F6">
        <w:rPr>
          <w:rFonts w:asciiTheme="majorHAnsi" w:hAnsiTheme="majorHAnsi" w:cstheme="majorHAnsi"/>
          <w:sz w:val="22"/>
          <w:szCs w:val="22"/>
          <w:lang w:val="en-US"/>
        </w:rPr>
        <w:t xml:space="preserve"> </w:t>
      </w:r>
      <w:r w:rsidR="009C3FCE" w:rsidRPr="004D79F6">
        <w:rPr>
          <w:rFonts w:asciiTheme="majorHAnsi" w:hAnsiTheme="majorHAnsi" w:cstheme="majorHAnsi"/>
          <w:sz w:val="22"/>
          <w:szCs w:val="22"/>
          <w:lang w:val="en-US"/>
        </w:rPr>
        <w:t>education were also held during 2016-17 in Iraq, Lebanon, Palestine, Jordan, Egypt, Tunisia, Algeria and Morocco, with a combined participation of over 400 institutional administrators. During FY 2018</w:t>
      </w:r>
      <w:r w:rsidR="005C3459">
        <w:rPr>
          <w:rFonts w:asciiTheme="majorHAnsi" w:hAnsiTheme="majorHAnsi" w:cstheme="majorHAnsi"/>
          <w:sz w:val="22"/>
          <w:szCs w:val="22"/>
          <w:lang w:val="en-US"/>
        </w:rPr>
        <w:t xml:space="preserve"> and FY2019</w:t>
      </w:r>
      <w:r w:rsidR="009C3FCE" w:rsidRPr="004D79F6">
        <w:rPr>
          <w:rFonts w:asciiTheme="majorHAnsi" w:hAnsiTheme="majorHAnsi" w:cstheme="majorHAnsi"/>
          <w:sz w:val="22"/>
          <w:szCs w:val="22"/>
          <w:lang w:val="en-US"/>
        </w:rPr>
        <w:t xml:space="preserve">, national workshops to present results of the UGSC </w:t>
      </w:r>
      <w:r w:rsidR="00E814F2" w:rsidRPr="004D79F6">
        <w:rPr>
          <w:rFonts w:asciiTheme="majorHAnsi" w:hAnsiTheme="majorHAnsi" w:cstheme="majorHAnsi"/>
          <w:sz w:val="22"/>
          <w:szCs w:val="22"/>
          <w:lang w:val="en-US"/>
        </w:rPr>
        <w:t xml:space="preserve">from participating institutions </w:t>
      </w:r>
      <w:r w:rsidR="009C3FCE" w:rsidRPr="004D79F6">
        <w:rPr>
          <w:rFonts w:asciiTheme="majorHAnsi" w:hAnsiTheme="majorHAnsi" w:cstheme="majorHAnsi"/>
          <w:sz w:val="22"/>
          <w:szCs w:val="22"/>
          <w:lang w:val="en-US"/>
        </w:rPr>
        <w:t>have been held in Morocco, Egypt, Jordan</w:t>
      </w:r>
      <w:r w:rsidR="005C3459">
        <w:rPr>
          <w:rFonts w:asciiTheme="majorHAnsi" w:hAnsiTheme="majorHAnsi" w:cstheme="majorHAnsi"/>
          <w:sz w:val="22"/>
          <w:szCs w:val="22"/>
          <w:lang w:val="en-US"/>
        </w:rPr>
        <w:t>, Algeria</w:t>
      </w:r>
      <w:r w:rsidR="009C3FCE" w:rsidRPr="004D79F6">
        <w:rPr>
          <w:rFonts w:asciiTheme="majorHAnsi" w:hAnsiTheme="majorHAnsi" w:cstheme="majorHAnsi"/>
          <w:sz w:val="22"/>
          <w:szCs w:val="22"/>
          <w:lang w:val="en-US"/>
        </w:rPr>
        <w:t xml:space="preserve"> and Lebanon. </w:t>
      </w:r>
      <w:r w:rsidR="005C3459">
        <w:rPr>
          <w:rFonts w:asciiTheme="majorHAnsi" w:hAnsiTheme="majorHAnsi" w:cstheme="majorHAnsi"/>
          <w:sz w:val="22"/>
          <w:szCs w:val="22"/>
          <w:lang w:val="en-US"/>
        </w:rPr>
        <w:t xml:space="preserve">Tunisia </w:t>
      </w:r>
      <w:r w:rsidR="009C3FCE" w:rsidRPr="004D79F6">
        <w:rPr>
          <w:rFonts w:asciiTheme="majorHAnsi" w:hAnsiTheme="majorHAnsi" w:cstheme="majorHAnsi"/>
          <w:sz w:val="22"/>
          <w:szCs w:val="22"/>
          <w:lang w:val="en-US"/>
        </w:rPr>
        <w:t xml:space="preserve">will host </w:t>
      </w:r>
      <w:r w:rsidR="005C3459">
        <w:rPr>
          <w:rFonts w:asciiTheme="majorHAnsi" w:hAnsiTheme="majorHAnsi" w:cstheme="majorHAnsi"/>
          <w:sz w:val="22"/>
          <w:szCs w:val="22"/>
          <w:lang w:val="en-US"/>
        </w:rPr>
        <w:t>its</w:t>
      </w:r>
      <w:r w:rsidR="005C3459" w:rsidRPr="004D79F6">
        <w:rPr>
          <w:rFonts w:asciiTheme="majorHAnsi" w:hAnsiTheme="majorHAnsi" w:cstheme="majorHAnsi"/>
          <w:sz w:val="22"/>
          <w:szCs w:val="22"/>
          <w:lang w:val="en-US"/>
        </w:rPr>
        <w:t xml:space="preserve"> </w:t>
      </w:r>
      <w:r w:rsidR="005C3459">
        <w:rPr>
          <w:rFonts w:asciiTheme="majorHAnsi" w:hAnsiTheme="majorHAnsi" w:cstheme="majorHAnsi"/>
          <w:sz w:val="22"/>
          <w:szCs w:val="22"/>
          <w:lang w:val="en-US"/>
        </w:rPr>
        <w:t>national</w:t>
      </w:r>
      <w:r w:rsidR="005C3459" w:rsidRPr="004D79F6">
        <w:rPr>
          <w:rFonts w:asciiTheme="majorHAnsi" w:hAnsiTheme="majorHAnsi" w:cstheme="majorHAnsi"/>
          <w:sz w:val="22"/>
          <w:szCs w:val="22"/>
          <w:lang w:val="en-US"/>
        </w:rPr>
        <w:t xml:space="preserve"> </w:t>
      </w:r>
      <w:r w:rsidR="009C3FCE" w:rsidRPr="004D79F6">
        <w:rPr>
          <w:rFonts w:asciiTheme="majorHAnsi" w:hAnsiTheme="majorHAnsi" w:cstheme="majorHAnsi"/>
          <w:sz w:val="22"/>
          <w:szCs w:val="22"/>
          <w:lang w:val="en-US"/>
        </w:rPr>
        <w:t xml:space="preserve">workshop in </w:t>
      </w:r>
      <w:r w:rsidR="005C3459">
        <w:rPr>
          <w:rFonts w:asciiTheme="majorHAnsi" w:hAnsiTheme="majorHAnsi" w:cstheme="majorHAnsi"/>
          <w:sz w:val="22"/>
          <w:szCs w:val="22"/>
          <w:lang w:val="en-US"/>
        </w:rPr>
        <w:t>November 2019</w:t>
      </w:r>
      <w:r w:rsidR="009C3FCE" w:rsidRPr="004D79F6">
        <w:rPr>
          <w:rFonts w:asciiTheme="majorHAnsi" w:hAnsiTheme="majorHAnsi" w:cstheme="majorHAnsi"/>
          <w:sz w:val="22"/>
          <w:szCs w:val="22"/>
          <w:lang w:val="en-US"/>
        </w:rPr>
        <w:t xml:space="preserve">. As part of this activity, institutional benchmarking reports have been released for all participating universities in the UGSC benchmarking initiative. Also, national summaries for each of the participating countries have been released during the corresponding national workshops. </w:t>
      </w:r>
    </w:p>
    <w:p w14:paraId="662F4BF7" w14:textId="77777777" w:rsidR="002E7354" w:rsidRPr="004D79F6" w:rsidRDefault="002E7354" w:rsidP="004D79F6">
      <w:pPr>
        <w:rPr>
          <w:rFonts w:asciiTheme="majorHAnsi" w:hAnsiTheme="majorHAnsi" w:cstheme="majorHAnsi"/>
          <w:b/>
          <w:color w:val="548DD4" w:themeColor="text2" w:themeTint="99"/>
          <w:sz w:val="22"/>
          <w:szCs w:val="22"/>
          <w:lang w:val="en-US"/>
        </w:rPr>
      </w:pPr>
    </w:p>
    <w:p w14:paraId="6337803B" w14:textId="6A497744" w:rsidR="002A04B3" w:rsidRPr="004D79F6" w:rsidRDefault="00B1317F" w:rsidP="004D79F6">
      <w:pPr>
        <w:rPr>
          <w:rFonts w:asciiTheme="majorHAnsi" w:hAnsiTheme="majorHAnsi" w:cstheme="majorHAnsi"/>
          <w:b/>
          <w:color w:val="548DD4" w:themeColor="text2" w:themeTint="99"/>
          <w:sz w:val="22"/>
          <w:szCs w:val="22"/>
          <w:lang w:val="en-US"/>
        </w:rPr>
      </w:pPr>
      <w:r w:rsidRPr="004D79F6">
        <w:rPr>
          <w:rFonts w:asciiTheme="majorHAnsi" w:hAnsiTheme="majorHAnsi" w:cstheme="majorHAnsi"/>
          <w:b/>
          <w:color w:val="548DD4" w:themeColor="text2" w:themeTint="99"/>
          <w:sz w:val="22"/>
          <w:szCs w:val="22"/>
          <w:lang w:val="en-US"/>
        </w:rPr>
        <w:t>I</w:t>
      </w:r>
      <w:r w:rsidR="00362EB2" w:rsidRPr="004D79F6">
        <w:rPr>
          <w:rFonts w:asciiTheme="majorHAnsi" w:hAnsiTheme="majorHAnsi" w:cstheme="majorHAnsi"/>
          <w:b/>
          <w:color w:val="548DD4" w:themeColor="text2" w:themeTint="99"/>
          <w:sz w:val="22"/>
          <w:szCs w:val="22"/>
          <w:lang w:val="en-US"/>
        </w:rPr>
        <w:t>V</w:t>
      </w:r>
      <w:r w:rsidR="00591833" w:rsidRPr="004D79F6">
        <w:rPr>
          <w:rFonts w:asciiTheme="majorHAnsi" w:hAnsiTheme="majorHAnsi" w:cstheme="majorHAnsi"/>
          <w:b/>
          <w:color w:val="548DD4" w:themeColor="text2" w:themeTint="99"/>
          <w:sz w:val="22"/>
          <w:szCs w:val="22"/>
          <w:lang w:val="en-US"/>
        </w:rPr>
        <w:t>.</w:t>
      </w:r>
      <w:r w:rsidR="00591833" w:rsidRPr="004D79F6">
        <w:rPr>
          <w:rFonts w:asciiTheme="majorHAnsi" w:hAnsiTheme="majorHAnsi" w:cstheme="majorHAnsi"/>
          <w:b/>
          <w:color w:val="548DD4" w:themeColor="text2" w:themeTint="99"/>
          <w:sz w:val="22"/>
          <w:szCs w:val="22"/>
          <w:lang w:val="en-US"/>
        </w:rPr>
        <w:tab/>
      </w:r>
      <w:r w:rsidR="00362EB2" w:rsidRPr="004D79F6">
        <w:rPr>
          <w:rFonts w:asciiTheme="majorHAnsi" w:hAnsiTheme="majorHAnsi" w:cstheme="majorHAnsi"/>
          <w:b/>
          <w:color w:val="548DD4" w:themeColor="text2" w:themeTint="99"/>
          <w:sz w:val="22"/>
          <w:szCs w:val="22"/>
          <w:lang w:val="en-US"/>
        </w:rPr>
        <w:t xml:space="preserve">PILLAR II: Seeking sustainable financing in tertiary education in MENA </w:t>
      </w:r>
    </w:p>
    <w:p w14:paraId="6CD3A290" w14:textId="01668B16" w:rsidR="002A04B3" w:rsidRPr="004D79F6" w:rsidRDefault="002A04B3" w:rsidP="004D79F6">
      <w:pPr>
        <w:rPr>
          <w:rFonts w:asciiTheme="majorHAnsi" w:hAnsiTheme="majorHAnsi" w:cstheme="majorHAnsi"/>
          <w:b/>
          <w:sz w:val="22"/>
          <w:szCs w:val="22"/>
          <w:u w:val="single"/>
          <w:lang w:val="en-US"/>
        </w:rPr>
      </w:pPr>
    </w:p>
    <w:p w14:paraId="748AA96D" w14:textId="30BE144E" w:rsidR="00362EB2" w:rsidRPr="004D79F6" w:rsidRDefault="00362EB2" w:rsidP="004D79F6">
      <w:pPr>
        <w:jc w:val="both"/>
        <w:rPr>
          <w:rFonts w:asciiTheme="majorHAnsi" w:hAnsiTheme="majorHAnsi" w:cstheme="majorHAnsi"/>
          <w:sz w:val="22"/>
          <w:szCs w:val="22"/>
          <w:lang w:val="en-US"/>
        </w:rPr>
      </w:pPr>
      <w:r w:rsidRPr="004D79F6">
        <w:rPr>
          <w:rFonts w:asciiTheme="majorHAnsi" w:hAnsiTheme="majorHAnsi" w:cstheme="majorHAnsi"/>
          <w:sz w:val="22"/>
          <w:szCs w:val="22"/>
          <w:lang w:val="en-US"/>
        </w:rPr>
        <w:t>In addition to the in depth national scoping of governance trends within tertiary education in participating countries, the program led efforts mapping policies and practices of financing within the tertiary education sector in the eight</w:t>
      </w:r>
      <w:r w:rsidR="00E814F2" w:rsidRPr="004D79F6">
        <w:rPr>
          <w:rFonts w:asciiTheme="majorHAnsi" w:hAnsiTheme="majorHAnsi" w:cstheme="majorHAnsi"/>
          <w:sz w:val="22"/>
          <w:szCs w:val="22"/>
          <w:lang w:val="en-US"/>
        </w:rPr>
        <w:t xml:space="preserve"> participating</w:t>
      </w:r>
      <w:r w:rsidRPr="004D79F6">
        <w:rPr>
          <w:rFonts w:asciiTheme="majorHAnsi" w:hAnsiTheme="majorHAnsi" w:cstheme="majorHAnsi"/>
          <w:sz w:val="22"/>
          <w:szCs w:val="22"/>
          <w:lang w:val="en-US"/>
        </w:rPr>
        <w:t xml:space="preserve"> countries. </w:t>
      </w:r>
    </w:p>
    <w:p w14:paraId="02406D2A" w14:textId="77777777" w:rsidR="00362EB2" w:rsidRPr="004D79F6" w:rsidRDefault="00362EB2" w:rsidP="004D79F6">
      <w:pPr>
        <w:jc w:val="both"/>
        <w:rPr>
          <w:rFonts w:asciiTheme="majorHAnsi" w:hAnsiTheme="majorHAnsi" w:cstheme="majorHAnsi"/>
          <w:sz w:val="22"/>
          <w:szCs w:val="22"/>
          <w:lang w:val="en-US"/>
        </w:rPr>
      </w:pPr>
    </w:p>
    <w:p w14:paraId="4E300890" w14:textId="65021D45" w:rsidR="00362EB2" w:rsidRPr="004D79F6" w:rsidRDefault="00362EB2" w:rsidP="004D79F6">
      <w:pPr>
        <w:jc w:val="both"/>
        <w:rPr>
          <w:rFonts w:asciiTheme="majorHAnsi" w:hAnsiTheme="majorHAnsi" w:cstheme="majorHAnsi"/>
          <w:sz w:val="22"/>
          <w:szCs w:val="22"/>
          <w:lang w:val="en-US"/>
        </w:rPr>
      </w:pPr>
      <w:r w:rsidRPr="004D79F6">
        <w:rPr>
          <w:rFonts w:asciiTheme="majorHAnsi" w:hAnsiTheme="majorHAnsi" w:cstheme="majorHAnsi"/>
          <w:sz w:val="22"/>
          <w:szCs w:val="22"/>
          <w:lang w:val="en-US"/>
        </w:rPr>
        <w:t xml:space="preserve">Analysis of trends in the financing of </w:t>
      </w:r>
      <w:r w:rsidR="00E85C1D">
        <w:rPr>
          <w:rFonts w:asciiTheme="majorHAnsi" w:hAnsiTheme="majorHAnsi" w:cstheme="majorHAnsi"/>
          <w:sz w:val="22"/>
          <w:szCs w:val="22"/>
          <w:lang w:val="en-US"/>
        </w:rPr>
        <w:t>tertiary</w:t>
      </w:r>
      <w:r w:rsidR="00E85C1D" w:rsidRPr="004D79F6">
        <w:rPr>
          <w:rFonts w:asciiTheme="majorHAnsi" w:hAnsiTheme="majorHAnsi" w:cstheme="majorHAnsi"/>
          <w:sz w:val="22"/>
          <w:szCs w:val="22"/>
          <w:lang w:val="en-US"/>
        </w:rPr>
        <w:t xml:space="preserve"> </w:t>
      </w:r>
      <w:r w:rsidRPr="004D79F6">
        <w:rPr>
          <w:rFonts w:asciiTheme="majorHAnsi" w:hAnsiTheme="majorHAnsi" w:cstheme="majorHAnsi"/>
          <w:sz w:val="22"/>
          <w:szCs w:val="22"/>
          <w:lang w:val="en-US"/>
        </w:rPr>
        <w:t>education aimed at highlighting linkages between financial sustainability in tertiary education so that education institutions can meet growing student demands, such as adopting financing strategies that seek alternative sources of revenue and that link funding with improved results</w:t>
      </w:r>
      <w:r w:rsidR="00B661AC">
        <w:rPr>
          <w:rFonts w:asciiTheme="majorHAnsi" w:hAnsiTheme="majorHAnsi" w:cstheme="majorHAnsi"/>
          <w:sz w:val="22"/>
          <w:szCs w:val="22"/>
          <w:lang w:val="en-US"/>
        </w:rPr>
        <w:t xml:space="preserve"> and performance</w:t>
      </w:r>
      <w:r w:rsidRPr="004D79F6">
        <w:rPr>
          <w:rFonts w:asciiTheme="majorHAnsi" w:hAnsiTheme="majorHAnsi" w:cstheme="majorHAnsi"/>
          <w:sz w:val="22"/>
          <w:szCs w:val="22"/>
          <w:lang w:val="en-US"/>
        </w:rPr>
        <w:t xml:space="preserve">. Region-wide tertiary education continues to grow, coupled with low but varying public spending on tertiary education as a proportion of the education budget among the eight countries. The mapping exercise shows that the value of tertiary education for economic growth and broader social and sustainable development has not yet been fully recognized by </w:t>
      </w:r>
      <w:r w:rsidR="00E814F2" w:rsidRPr="004D79F6">
        <w:rPr>
          <w:rFonts w:asciiTheme="majorHAnsi" w:hAnsiTheme="majorHAnsi" w:cstheme="majorHAnsi"/>
          <w:sz w:val="22"/>
          <w:szCs w:val="22"/>
          <w:lang w:val="en-US"/>
        </w:rPr>
        <w:t xml:space="preserve">MENA </w:t>
      </w:r>
      <w:r w:rsidRPr="004D79F6">
        <w:rPr>
          <w:rFonts w:asciiTheme="majorHAnsi" w:hAnsiTheme="majorHAnsi" w:cstheme="majorHAnsi"/>
          <w:sz w:val="22"/>
          <w:szCs w:val="22"/>
          <w:lang w:val="en-US"/>
        </w:rPr>
        <w:t xml:space="preserve">countries, partly </w:t>
      </w:r>
      <w:proofErr w:type="gramStart"/>
      <w:r w:rsidRPr="004D79F6">
        <w:rPr>
          <w:rFonts w:asciiTheme="majorHAnsi" w:hAnsiTheme="majorHAnsi" w:cstheme="majorHAnsi"/>
          <w:sz w:val="22"/>
          <w:szCs w:val="22"/>
          <w:lang w:val="en-US"/>
        </w:rPr>
        <w:t>due to the fact that</w:t>
      </w:r>
      <w:proofErr w:type="gramEnd"/>
      <w:r w:rsidRPr="004D79F6">
        <w:rPr>
          <w:rFonts w:asciiTheme="majorHAnsi" w:hAnsiTheme="majorHAnsi" w:cstheme="majorHAnsi"/>
          <w:sz w:val="22"/>
          <w:szCs w:val="22"/>
          <w:lang w:val="en-US"/>
        </w:rPr>
        <w:t xml:space="preserve"> tertiary education financing is largely ad hoc and is not based on any attempt to develop a closer link between sectoral planning and budgeting. Cost-side and revenue side solutions may be sought </w:t>
      </w:r>
      <w:proofErr w:type="gramStart"/>
      <w:r w:rsidRPr="004D79F6">
        <w:rPr>
          <w:rFonts w:asciiTheme="majorHAnsi" w:hAnsiTheme="majorHAnsi" w:cstheme="majorHAnsi"/>
          <w:sz w:val="22"/>
          <w:szCs w:val="22"/>
          <w:lang w:val="en-US"/>
        </w:rPr>
        <w:t>in an attempt to</w:t>
      </w:r>
      <w:proofErr w:type="gramEnd"/>
      <w:r w:rsidRPr="004D79F6">
        <w:rPr>
          <w:rFonts w:asciiTheme="majorHAnsi" w:hAnsiTheme="majorHAnsi" w:cstheme="majorHAnsi"/>
          <w:sz w:val="22"/>
          <w:szCs w:val="22"/>
          <w:lang w:val="en-US"/>
        </w:rPr>
        <w:t xml:space="preserve"> improve quality, equity and efficiency in tertiary education across countries </w:t>
      </w:r>
      <w:r w:rsidR="00DB0B77" w:rsidRPr="004D79F6">
        <w:rPr>
          <w:rFonts w:asciiTheme="majorHAnsi" w:hAnsiTheme="majorHAnsi" w:cstheme="majorHAnsi"/>
          <w:sz w:val="22"/>
          <w:szCs w:val="22"/>
          <w:lang w:val="en-US"/>
        </w:rPr>
        <w:t>in the</w:t>
      </w:r>
      <w:r w:rsidRPr="004D79F6">
        <w:rPr>
          <w:rFonts w:asciiTheme="majorHAnsi" w:hAnsiTheme="majorHAnsi" w:cstheme="majorHAnsi"/>
          <w:sz w:val="22"/>
          <w:szCs w:val="22"/>
          <w:lang w:val="en-US"/>
        </w:rPr>
        <w:t xml:space="preserve"> region. The analytical executive summary of this mapping is published on the CMI website. </w:t>
      </w:r>
    </w:p>
    <w:p w14:paraId="60EC08CF" w14:textId="77777777" w:rsidR="0048706C" w:rsidRPr="004D79F6" w:rsidRDefault="0048706C" w:rsidP="004D79F6">
      <w:pPr>
        <w:rPr>
          <w:rFonts w:asciiTheme="majorHAnsi" w:hAnsiTheme="majorHAnsi" w:cstheme="majorHAnsi"/>
          <w:b/>
          <w:color w:val="548DD4" w:themeColor="text2" w:themeTint="99"/>
          <w:sz w:val="22"/>
          <w:szCs w:val="22"/>
          <w:lang w:val="en-US"/>
        </w:rPr>
      </w:pPr>
    </w:p>
    <w:p w14:paraId="1B1DFAE3" w14:textId="26C94F4C" w:rsidR="00784E21" w:rsidRPr="004D79F6" w:rsidRDefault="00784E21" w:rsidP="004D79F6">
      <w:pPr>
        <w:rPr>
          <w:rFonts w:asciiTheme="majorHAnsi" w:hAnsiTheme="majorHAnsi" w:cstheme="majorHAnsi"/>
          <w:b/>
          <w:color w:val="548DD4" w:themeColor="text2" w:themeTint="99"/>
          <w:sz w:val="22"/>
          <w:szCs w:val="22"/>
          <w:lang w:val="en-US"/>
        </w:rPr>
      </w:pPr>
      <w:bookmarkStart w:id="1" w:name="_Hlk21524767"/>
      <w:r w:rsidRPr="004D79F6">
        <w:rPr>
          <w:rFonts w:asciiTheme="majorHAnsi" w:hAnsiTheme="majorHAnsi" w:cstheme="majorHAnsi"/>
          <w:b/>
          <w:color w:val="548DD4" w:themeColor="text2" w:themeTint="99"/>
          <w:sz w:val="22"/>
          <w:szCs w:val="22"/>
          <w:lang w:val="en-US"/>
        </w:rPr>
        <w:t>V.</w:t>
      </w:r>
      <w:r w:rsidRPr="004D79F6">
        <w:rPr>
          <w:rFonts w:asciiTheme="majorHAnsi" w:hAnsiTheme="majorHAnsi" w:cstheme="majorHAnsi"/>
          <w:b/>
          <w:color w:val="548DD4" w:themeColor="text2" w:themeTint="99"/>
          <w:sz w:val="22"/>
          <w:szCs w:val="22"/>
          <w:lang w:val="en-US"/>
        </w:rPr>
        <w:tab/>
        <w:t>P</w:t>
      </w:r>
      <w:r w:rsidR="00362EB2" w:rsidRPr="004D79F6">
        <w:rPr>
          <w:rFonts w:asciiTheme="majorHAnsi" w:hAnsiTheme="majorHAnsi" w:cstheme="majorHAnsi"/>
          <w:b/>
          <w:color w:val="548DD4" w:themeColor="text2" w:themeTint="99"/>
          <w:sz w:val="22"/>
          <w:szCs w:val="22"/>
          <w:lang w:val="en-US"/>
        </w:rPr>
        <w:t>ILLAR III: Internationalization of tertiary education in MENA</w:t>
      </w:r>
    </w:p>
    <w:p w14:paraId="4221CDD5" w14:textId="77777777" w:rsidR="00784E21" w:rsidRPr="004D79F6" w:rsidRDefault="00784E21" w:rsidP="004D79F6">
      <w:pPr>
        <w:jc w:val="both"/>
        <w:rPr>
          <w:rFonts w:asciiTheme="majorHAnsi" w:hAnsiTheme="majorHAnsi" w:cstheme="majorHAnsi"/>
          <w:b/>
          <w:bCs/>
          <w:sz w:val="22"/>
          <w:szCs w:val="22"/>
          <w:lang w:val="en-US"/>
        </w:rPr>
      </w:pPr>
    </w:p>
    <w:p w14:paraId="6FE30898" w14:textId="77777777" w:rsidR="001559BE" w:rsidRPr="001559BE" w:rsidRDefault="001559BE" w:rsidP="001559BE">
      <w:pPr>
        <w:jc w:val="both"/>
        <w:rPr>
          <w:rFonts w:asciiTheme="majorHAnsi" w:hAnsiTheme="majorHAnsi" w:cstheme="majorHAnsi"/>
          <w:sz w:val="22"/>
          <w:szCs w:val="22"/>
          <w:lang w:val="en-US"/>
        </w:rPr>
      </w:pPr>
      <w:r w:rsidRPr="001559BE">
        <w:rPr>
          <w:rFonts w:asciiTheme="majorHAnsi" w:hAnsiTheme="majorHAnsi" w:cstheme="majorHAnsi"/>
          <w:sz w:val="22"/>
          <w:szCs w:val="22"/>
          <w:lang w:val="en-US"/>
        </w:rPr>
        <w:t xml:space="preserve">The program has explored the internationalization of tertiary education in MENA with the aim of both improving the skills and employability of students and boosting institutions’ research and innovation capacity. Mapping of internationalization practices within the sector showed that internationalization is still nascent in the region. Some key findings showed only a few countries being able to attract large numbers of international students, and MENA tertiary education institutions rarely being prioritized by others for the development of academic partnerships. A report is being drafted that analyzes the internationalization trends in the region and details some recommendations both for tertiary education institutions and governments in MENA to boost </w:t>
      </w:r>
      <w:r w:rsidRPr="001559BE">
        <w:rPr>
          <w:rFonts w:asciiTheme="majorHAnsi" w:hAnsiTheme="majorHAnsi" w:cstheme="majorHAnsi"/>
          <w:sz w:val="22"/>
          <w:szCs w:val="22"/>
          <w:lang w:val="en-US"/>
        </w:rPr>
        <w:lastRenderedPageBreak/>
        <w:t>internationalization in the region and better reap the benefits it holds. The report is due to be published in FY20.</w:t>
      </w:r>
    </w:p>
    <w:bookmarkEnd w:id="1"/>
    <w:p w14:paraId="59F9D784" w14:textId="77777777" w:rsidR="002A04B3" w:rsidRPr="004D79F6" w:rsidRDefault="002A04B3" w:rsidP="004D79F6">
      <w:pPr>
        <w:rPr>
          <w:rFonts w:asciiTheme="majorHAnsi" w:hAnsiTheme="majorHAnsi" w:cstheme="majorHAnsi"/>
          <w:b/>
          <w:sz w:val="22"/>
          <w:szCs w:val="22"/>
          <w:lang w:val="en-US"/>
        </w:rPr>
      </w:pPr>
    </w:p>
    <w:p w14:paraId="1F5E050B" w14:textId="77777777" w:rsidR="003540BD" w:rsidRDefault="003540BD">
      <w:pPr>
        <w:rPr>
          <w:rFonts w:asciiTheme="majorHAnsi" w:hAnsiTheme="majorHAnsi" w:cstheme="majorHAnsi"/>
          <w:b/>
          <w:color w:val="548DD4" w:themeColor="text2" w:themeTint="99"/>
          <w:sz w:val="22"/>
          <w:szCs w:val="22"/>
          <w:lang w:val="en-US"/>
        </w:rPr>
      </w:pPr>
      <w:r>
        <w:rPr>
          <w:rFonts w:asciiTheme="majorHAnsi" w:hAnsiTheme="majorHAnsi" w:cstheme="majorHAnsi"/>
          <w:b/>
          <w:color w:val="548DD4" w:themeColor="text2" w:themeTint="99"/>
          <w:sz w:val="22"/>
          <w:szCs w:val="22"/>
          <w:lang w:val="en-US"/>
        </w:rPr>
        <w:br w:type="page"/>
      </w:r>
    </w:p>
    <w:p w14:paraId="1484927A" w14:textId="7D902EBD" w:rsidR="002A04B3" w:rsidRPr="004D79F6" w:rsidRDefault="00362EB2" w:rsidP="004D79F6">
      <w:pPr>
        <w:jc w:val="both"/>
        <w:rPr>
          <w:rFonts w:asciiTheme="majorHAnsi" w:hAnsiTheme="majorHAnsi" w:cstheme="majorHAnsi"/>
          <w:b/>
          <w:color w:val="548DD4" w:themeColor="text2" w:themeTint="99"/>
          <w:sz w:val="22"/>
          <w:szCs w:val="22"/>
          <w:lang w:val="en-US"/>
        </w:rPr>
      </w:pPr>
      <w:r w:rsidRPr="004D79F6">
        <w:rPr>
          <w:rFonts w:asciiTheme="majorHAnsi" w:hAnsiTheme="majorHAnsi" w:cstheme="majorHAnsi"/>
          <w:b/>
          <w:color w:val="548DD4" w:themeColor="text2" w:themeTint="99"/>
          <w:sz w:val="22"/>
          <w:szCs w:val="22"/>
          <w:lang w:val="en-US"/>
        </w:rPr>
        <w:lastRenderedPageBreak/>
        <w:t>V</w:t>
      </w:r>
      <w:r w:rsidR="0048706C" w:rsidRPr="004D79F6">
        <w:rPr>
          <w:rFonts w:asciiTheme="majorHAnsi" w:hAnsiTheme="majorHAnsi" w:cstheme="majorHAnsi"/>
          <w:b/>
          <w:color w:val="548DD4" w:themeColor="text2" w:themeTint="99"/>
          <w:sz w:val="22"/>
          <w:szCs w:val="22"/>
          <w:lang w:val="en-US"/>
        </w:rPr>
        <w:t>I</w:t>
      </w:r>
      <w:r w:rsidRPr="004D79F6">
        <w:rPr>
          <w:rFonts w:asciiTheme="majorHAnsi" w:hAnsiTheme="majorHAnsi" w:cstheme="majorHAnsi"/>
          <w:b/>
          <w:color w:val="548DD4" w:themeColor="text2" w:themeTint="99"/>
          <w:sz w:val="22"/>
          <w:szCs w:val="22"/>
          <w:lang w:val="en-US"/>
        </w:rPr>
        <w:t xml:space="preserve">. A partnership approach </w:t>
      </w:r>
    </w:p>
    <w:p w14:paraId="7C32238F" w14:textId="77777777" w:rsidR="00BD2AC5" w:rsidRPr="004D79F6" w:rsidRDefault="00BD2AC5" w:rsidP="004D79F6">
      <w:pPr>
        <w:jc w:val="both"/>
        <w:rPr>
          <w:rFonts w:asciiTheme="majorHAnsi" w:hAnsiTheme="majorHAnsi" w:cstheme="majorHAnsi"/>
          <w:b/>
          <w:color w:val="548DD4" w:themeColor="text2" w:themeTint="99"/>
          <w:sz w:val="22"/>
          <w:szCs w:val="22"/>
          <w:lang w:val="en-US"/>
        </w:rPr>
      </w:pPr>
    </w:p>
    <w:p w14:paraId="7E64CDF5" w14:textId="2AAE7CDB" w:rsidR="0048706C" w:rsidRDefault="00EA0896" w:rsidP="004D79F6">
      <w:pPr>
        <w:pStyle w:val="FootnoteText"/>
        <w:jc w:val="both"/>
        <w:rPr>
          <w:rFonts w:asciiTheme="majorHAnsi" w:eastAsiaTheme="minorEastAsia" w:hAnsiTheme="majorHAnsi" w:cstheme="majorHAnsi"/>
          <w:sz w:val="22"/>
          <w:szCs w:val="22"/>
          <w:lang w:val="en-US" w:eastAsia="es-ES"/>
        </w:rPr>
      </w:pPr>
      <w:r w:rsidRPr="004D79F6">
        <w:rPr>
          <w:rFonts w:asciiTheme="majorHAnsi" w:eastAsiaTheme="minorEastAsia" w:hAnsiTheme="majorHAnsi" w:cstheme="majorHAnsi"/>
          <w:sz w:val="22"/>
          <w:szCs w:val="22"/>
          <w:lang w:val="en-US" w:eastAsia="es-ES"/>
        </w:rPr>
        <w:t xml:space="preserve">A key feature of the Program is the development and implementation of a framework allowing related relevant international organizations to participate in the activities of the Program. As co-conveners of the program, the World Bank and the </w:t>
      </w:r>
      <w:r w:rsidR="00DB0B77" w:rsidRPr="004D79F6">
        <w:rPr>
          <w:rFonts w:asciiTheme="majorHAnsi" w:eastAsiaTheme="minorEastAsia" w:hAnsiTheme="majorHAnsi" w:cstheme="majorHAnsi"/>
          <w:sz w:val="22"/>
          <w:szCs w:val="22"/>
          <w:lang w:val="en-US" w:eastAsia="es-ES"/>
        </w:rPr>
        <w:t>CMI</w:t>
      </w:r>
      <w:r w:rsidRPr="004D79F6">
        <w:rPr>
          <w:rFonts w:asciiTheme="majorHAnsi" w:eastAsiaTheme="minorEastAsia" w:hAnsiTheme="majorHAnsi" w:cstheme="majorHAnsi"/>
          <w:sz w:val="22"/>
          <w:szCs w:val="22"/>
          <w:lang w:val="en-US" w:eastAsia="es-ES"/>
        </w:rPr>
        <w:t xml:space="preserve"> have been enablers of a more efficient collaborative </w:t>
      </w:r>
      <w:r w:rsidR="00DB0B77" w:rsidRPr="004D79F6">
        <w:rPr>
          <w:rFonts w:asciiTheme="majorHAnsi" w:eastAsiaTheme="minorEastAsia" w:hAnsiTheme="majorHAnsi" w:cstheme="majorHAnsi"/>
          <w:sz w:val="22"/>
          <w:szCs w:val="22"/>
          <w:lang w:val="en-US" w:eastAsia="es-ES"/>
        </w:rPr>
        <w:t xml:space="preserve">approach </w:t>
      </w:r>
      <w:r w:rsidRPr="004D79F6">
        <w:rPr>
          <w:rFonts w:asciiTheme="majorHAnsi" w:eastAsiaTheme="minorEastAsia" w:hAnsiTheme="majorHAnsi" w:cstheme="majorHAnsi"/>
          <w:sz w:val="22"/>
          <w:szCs w:val="22"/>
          <w:lang w:val="en-US" w:eastAsia="es-ES"/>
        </w:rPr>
        <w:t xml:space="preserve">in the region on matters of tertiary education </w:t>
      </w:r>
      <w:r w:rsidR="0048706C" w:rsidRPr="004D79F6">
        <w:rPr>
          <w:rFonts w:asciiTheme="majorHAnsi" w:eastAsiaTheme="minorEastAsia" w:hAnsiTheme="majorHAnsi" w:cstheme="majorHAnsi"/>
          <w:sz w:val="22"/>
          <w:szCs w:val="22"/>
          <w:lang w:val="en-US" w:eastAsia="es-ES"/>
        </w:rPr>
        <w:t xml:space="preserve">by a wide range of international organizations. The partnership approach has attracted the participation of the following international organizations: </w:t>
      </w:r>
      <w:r w:rsidRPr="004D79F6">
        <w:rPr>
          <w:rFonts w:asciiTheme="majorHAnsi" w:eastAsiaTheme="minorEastAsia" w:hAnsiTheme="majorHAnsi" w:cstheme="majorHAnsi"/>
          <w:sz w:val="22"/>
          <w:szCs w:val="22"/>
          <w:lang w:val="en-US" w:eastAsia="es-ES"/>
        </w:rPr>
        <w:t xml:space="preserve">UNESCO, ISESCO, the British Council, the International Association of Universities, the Association of Arab Universities and UNIMED. </w:t>
      </w:r>
      <w:r w:rsidR="0048706C" w:rsidRPr="004D79F6">
        <w:rPr>
          <w:rFonts w:asciiTheme="majorHAnsi" w:eastAsiaTheme="minorEastAsia" w:hAnsiTheme="majorHAnsi" w:cstheme="majorHAnsi"/>
          <w:sz w:val="22"/>
          <w:szCs w:val="22"/>
          <w:lang w:val="en-US" w:eastAsia="es-ES"/>
        </w:rPr>
        <w:t>Partner organizations support</w:t>
      </w:r>
      <w:r w:rsidR="00DB0B77" w:rsidRPr="004D79F6">
        <w:rPr>
          <w:rFonts w:asciiTheme="majorHAnsi" w:eastAsiaTheme="minorEastAsia" w:hAnsiTheme="majorHAnsi" w:cstheme="majorHAnsi"/>
          <w:sz w:val="22"/>
          <w:szCs w:val="22"/>
          <w:lang w:val="en-US" w:eastAsia="es-ES"/>
        </w:rPr>
        <w:t>ed the program</w:t>
      </w:r>
      <w:r w:rsidR="0048706C" w:rsidRPr="004D79F6">
        <w:rPr>
          <w:rFonts w:asciiTheme="majorHAnsi" w:eastAsiaTheme="minorEastAsia" w:hAnsiTheme="majorHAnsi" w:cstheme="majorHAnsi"/>
          <w:sz w:val="22"/>
          <w:szCs w:val="22"/>
          <w:lang w:val="en-US" w:eastAsia="es-ES"/>
        </w:rPr>
        <w:t xml:space="preserve"> with in-kind contributions</w:t>
      </w:r>
      <w:r w:rsidR="003908A7">
        <w:rPr>
          <w:rFonts w:asciiTheme="majorHAnsi" w:eastAsiaTheme="minorEastAsia" w:hAnsiTheme="majorHAnsi" w:cstheme="majorHAnsi"/>
          <w:sz w:val="22"/>
          <w:szCs w:val="22"/>
          <w:lang w:val="en-US" w:eastAsia="es-ES"/>
        </w:rPr>
        <w:t>,</w:t>
      </w:r>
      <w:r w:rsidR="0048706C" w:rsidRPr="004D79F6">
        <w:rPr>
          <w:rFonts w:asciiTheme="majorHAnsi" w:eastAsiaTheme="minorEastAsia" w:hAnsiTheme="majorHAnsi" w:cstheme="majorHAnsi"/>
          <w:sz w:val="22"/>
          <w:szCs w:val="22"/>
          <w:lang w:val="en-US" w:eastAsia="es-ES"/>
        </w:rPr>
        <w:t xml:space="preserve"> including co-sponsoring the participation of delegates in regional meetings, </w:t>
      </w:r>
      <w:r w:rsidR="00DB0B77" w:rsidRPr="004D79F6">
        <w:rPr>
          <w:rFonts w:asciiTheme="majorHAnsi" w:eastAsiaTheme="minorEastAsia" w:hAnsiTheme="majorHAnsi" w:cstheme="majorHAnsi"/>
          <w:sz w:val="22"/>
          <w:szCs w:val="22"/>
          <w:lang w:val="en-US" w:eastAsia="es-ES"/>
        </w:rPr>
        <w:t>dissemination of</w:t>
      </w:r>
      <w:r w:rsidR="0048706C" w:rsidRPr="004D79F6">
        <w:rPr>
          <w:rFonts w:asciiTheme="majorHAnsi" w:eastAsiaTheme="minorEastAsia" w:hAnsiTheme="majorHAnsi" w:cstheme="majorHAnsi"/>
          <w:sz w:val="22"/>
          <w:szCs w:val="22"/>
          <w:lang w:val="en-US" w:eastAsia="es-ES"/>
        </w:rPr>
        <w:t xml:space="preserve"> </w:t>
      </w:r>
      <w:r w:rsidR="003908A7" w:rsidRPr="004D79F6">
        <w:rPr>
          <w:rFonts w:asciiTheme="majorHAnsi" w:eastAsiaTheme="minorEastAsia" w:hAnsiTheme="majorHAnsi" w:cstheme="majorHAnsi"/>
          <w:sz w:val="22"/>
          <w:szCs w:val="22"/>
          <w:lang w:val="en-US" w:eastAsia="es-ES"/>
        </w:rPr>
        <w:t xml:space="preserve">relevant </w:t>
      </w:r>
      <w:r w:rsidR="003908A7">
        <w:rPr>
          <w:rFonts w:asciiTheme="majorHAnsi" w:eastAsiaTheme="minorEastAsia" w:hAnsiTheme="majorHAnsi" w:cstheme="majorHAnsi"/>
          <w:sz w:val="22"/>
          <w:szCs w:val="22"/>
          <w:lang w:val="en-US" w:eastAsia="es-ES"/>
        </w:rPr>
        <w:t xml:space="preserve">program </w:t>
      </w:r>
      <w:r w:rsidR="003908A7" w:rsidRPr="004D79F6">
        <w:rPr>
          <w:rFonts w:asciiTheme="majorHAnsi" w:eastAsiaTheme="minorEastAsia" w:hAnsiTheme="majorHAnsi" w:cstheme="majorHAnsi"/>
          <w:sz w:val="22"/>
          <w:szCs w:val="22"/>
          <w:lang w:val="en-US" w:eastAsia="es-ES"/>
        </w:rPr>
        <w:t xml:space="preserve">information </w:t>
      </w:r>
      <w:r w:rsidR="003908A7">
        <w:rPr>
          <w:rFonts w:asciiTheme="majorHAnsi" w:eastAsiaTheme="minorEastAsia" w:hAnsiTheme="majorHAnsi" w:cstheme="majorHAnsi"/>
          <w:sz w:val="22"/>
          <w:szCs w:val="22"/>
          <w:lang w:val="en-US" w:eastAsia="es-ES"/>
        </w:rPr>
        <w:t xml:space="preserve">to </w:t>
      </w:r>
      <w:r w:rsidR="0048706C" w:rsidRPr="004D79F6">
        <w:rPr>
          <w:rFonts w:asciiTheme="majorHAnsi" w:eastAsiaTheme="minorEastAsia" w:hAnsiTheme="majorHAnsi" w:cstheme="majorHAnsi"/>
          <w:sz w:val="22"/>
          <w:szCs w:val="22"/>
          <w:lang w:val="en-US" w:eastAsia="es-ES"/>
        </w:rPr>
        <w:t xml:space="preserve">their respective networks, supporting speakers participating at conferences, etc. </w:t>
      </w:r>
    </w:p>
    <w:p w14:paraId="02F8BA19" w14:textId="77777777" w:rsidR="005C3459" w:rsidRPr="004D79F6" w:rsidRDefault="005C3459" w:rsidP="004D79F6">
      <w:pPr>
        <w:pStyle w:val="FootnoteText"/>
        <w:jc w:val="both"/>
        <w:rPr>
          <w:rFonts w:asciiTheme="majorHAnsi" w:eastAsiaTheme="minorEastAsia" w:hAnsiTheme="majorHAnsi" w:cstheme="majorHAnsi"/>
          <w:sz w:val="22"/>
          <w:szCs w:val="22"/>
          <w:lang w:val="en-US" w:eastAsia="es-ES"/>
        </w:rPr>
      </w:pPr>
    </w:p>
    <w:p w14:paraId="7CB0EE2F" w14:textId="73766033" w:rsidR="005C3459" w:rsidRPr="004D79F6" w:rsidRDefault="005C3459" w:rsidP="005C3459">
      <w:pPr>
        <w:rPr>
          <w:rFonts w:asciiTheme="majorHAnsi" w:eastAsia="Times New Roman" w:hAnsiTheme="majorHAnsi" w:cstheme="majorHAnsi"/>
          <w:color w:val="333333"/>
          <w:sz w:val="22"/>
          <w:szCs w:val="22"/>
          <w:lang w:val="en"/>
        </w:rPr>
      </w:pPr>
      <w:r>
        <w:rPr>
          <w:rFonts w:asciiTheme="majorHAnsi" w:eastAsia="Times New Roman" w:hAnsiTheme="majorHAnsi" w:cstheme="majorHAnsi"/>
          <w:color w:val="333333"/>
          <w:sz w:val="22"/>
          <w:szCs w:val="22"/>
          <w:lang w:val="en"/>
        </w:rPr>
        <w:t xml:space="preserve">The UGSC network has been expanded to tertiary institutions from European countries (Italy, Greece, Portugal and Spain) thanks to the partnership established with UNIMED. </w:t>
      </w:r>
    </w:p>
    <w:p w14:paraId="56D1B663" w14:textId="77777777" w:rsidR="00E90863" w:rsidRPr="005C3459" w:rsidRDefault="00E90863" w:rsidP="004D79F6">
      <w:pPr>
        <w:pStyle w:val="FootnoteText"/>
        <w:jc w:val="both"/>
        <w:rPr>
          <w:rFonts w:asciiTheme="majorHAnsi" w:eastAsiaTheme="minorEastAsia" w:hAnsiTheme="majorHAnsi" w:cstheme="majorHAnsi"/>
          <w:sz w:val="22"/>
          <w:szCs w:val="22"/>
          <w:lang w:val="en" w:eastAsia="es-ES"/>
        </w:rPr>
      </w:pPr>
    </w:p>
    <w:p w14:paraId="313EC080" w14:textId="0ED14A37" w:rsidR="00E90863" w:rsidRPr="004D79F6" w:rsidRDefault="00E90863" w:rsidP="004D79F6">
      <w:pPr>
        <w:pStyle w:val="FootnoteText"/>
        <w:jc w:val="both"/>
        <w:rPr>
          <w:rFonts w:asciiTheme="majorHAnsi" w:eastAsiaTheme="minorEastAsia" w:hAnsiTheme="majorHAnsi" w:cstheme="majorHAnsi"/>
          <w:sz w:val="22"/>
          <w:szCs w:val="22"/>
          <w:lang w:val="en-US" w:eastAsia="es-ES"/>
        </w:rPr>
      </w:pPr>
      <w:r w:rsidRPr="004D79F6">
        <w:rPr>
          <w:rFonts w:asciiTheme="majorHAnsi" w:eastAsiaTheme="minorEastAsia" w:hAnsiTheme="majorHAnsi" w:cstheme="majorHAnsi"/>
          <w:sz w:val="22"/>
          <w:szCs w:val="22"/>
          <w:lang w:val="en-US" w:eastAsia="es-ES"/>
        </w:rPr>
        <w:t>In addition to the current partner members, other organizations have expressed interest in joining the program. Up to now</w:t>
      </w:r>
      <w:r w:rsidR="00DB0B77" w:rsidRPr="004D79F6">
        <w:rPr>
          <w:rFonts w:asciiTheme="majorHAnsi" w:eastAsiaTheme="minorEastAsia" w:hAnsiTheme="majorHAnsi" w:cstheme="majorHAnsi"/>
          <w:sz w:val="22"/>
          <w:szCs w:val="22"/>
          <w:lang w:val="en-US" w:eastAsia="es-ES"/>
        </w:rPr>
        <w:t>,</w:t>
      </w:r>
      <w:r w:rsidRPr="004D79F6">
        <w:rPr>
          <w:rFonts w:asciiTheme="majorHAnsi" w:eastAsiaTheme="minorEastAsia" w:hAnsiTheme="majorHAnsi" w:cstheme="majorHAnsi"/>
          <w:sz w:val="22"/>
          <w:szCs w:val="22"/>
          <w:lang w:val="en-US" w:eastAsia="es-ES"/>
        </w:rPr>
        <w:t xml:space="preserve"> decisions about involvement of partner organizations have been made on an ad-hoc basis, although in the future it will be necessary to develop guidelines and protocols for involvement. </w:t>
      </w:r>
    </w:p>
    <w:p w14:paraId="5212A1E5" w14:textId="152A774A" w:rsidR="00E90863" w:rsidRPr="004D79F6" w:rsidRDefault="00E90863" w:rsidP="004D79F6">
      <w:pPr>
        <w:pStyle w:val="FootnoteText"/>
        <w:jc w:val="both"/>
        <w:rPr>
          <w:rFonts w:asciiTheme="majorHAnsi" w:eastAsiaTheme="minorEastAsia" w:hAnsiTheme="majorHAnsi" w:cstheme="majorHAnsi"/>
          <w:sz w:val="22"/>
          <w:szCs w:val="22"/>
          <w:lang w:val="en-US" w:eastAsia="es-ES"/>
        </w:rPr>
      </w:pPr>
    </w:p>
    <w:p w14:paraId="3918B663" w14:textId="6BE315B9" w:rsidR="00E90863" w:rsidRDefault="00E90863" w:rsidP="004D79F6">
      <w:pPr>
        <w:jc w:val="both"/>
        <w:rPr>
          <w:rFonts w:asciiTheme="majorHAnsi" w:hAnsiTheme="majorHAnsi" w:cstheme="majorHAnsi"/>
          <w:b/>
          <w:color w:val="548DD4" w:themeColor="text2" w:themeTint="99"/>
          <w:sz w:val="22"/>
          <w:szCs w:val="22"/>
          <w:lang w:val="en-US"/>
        </w:rPr>
      </w:pPr>
      <w:r w:rsidRPr="004D79F6">
        <w:rPr>
          <w:rFonts w:asciiTheme="majorHAnsi" w:hAnsiTheme="majorHAnsi" w:cstheme="majorHAnsi"/>
          <w:b/>
          <w:color w:val="548DD4" w:themeColor="text2" w:themeTint="99"/>
          <w:sz w:val="22"/>
          <w:szCs w:val="22"/>
          <w:lang w:val="en-US"/>
        </w:rPr>
        <w:t>VII. The Inter-institutional MENA tertiary education network</w:t>
      </w:r>
    </w:p>
    <w:p w14:paraId="01C54E0D" w14:textId="77777777" w:rsidR="003540BD" w:rsidRPr="004D79F6" w:rsidRDefault="003540BD" w:rsidP="004D79F6">
      <w:pPr>
        <w:jc w:val="both"/>
        <w:rPr>
          <w:rFonts w:asciiTheme="majorHAnsi" w:hAnsiTheme="majorHAnsi" w:cstheme="majorHAnsi"/>
          <w:b/>
          <w:i/>
          <w:sz w:val="22"/>
          <w:szCs w:val="22"/>
          <w:u w:val="single"/>
          <w:lang w:val="en-US"/>
        </w:rPr>
      </w:pPr>
    </w:p>
    <w:p w14:paraId="31447BD8" w14:textId="73D658DF" w:rsidR="00E90863" w:rsidRPr="004D79F6" w:rsidRDefault="00E90863" w:rsidP="004D79F6">
      <w:pPr>
        <w:jc w:val="both"/>
        <w:rPr>
          <w:rFonts w:asciiTheme="majorHAnsi" w:hAnsiTheme="majorHAnsi" w:cstheme="majorHAnsi"/>
          <w:sz w:val="22"/>
          <w:szCs w:val="22"/>
          <w:lang w:val="en-US"/>
        </w:rPr>
      </w:pPr>
      <w:r w:rsidRPr="004D79F6">
        <w:rPr>
          <w:rFonts w:asciiTheme="majorHAnsi" w:hAnsiTheme="majorHAnsi" w:cstheme="majorHAnsi"/>
          <w:sz w:val="22"/>
          <w:szCs w:val="22"/>
          <w:lang w:val="en-US"/>
        </w:rPr>
        <w:t xml:space="preserve">The program efforts, activities, publications and partnerships have evolved through the </w:t>
      </w:r>
      <w:r w:rsidR="00E85C1D">
        <w:rPr>
          <w:rFonts w:asciiTheme="majorHAnsi" w:hAnsiTheme="majorHAnsi" w:cstheme="majorHAnsi"/>
          <w:sz w:val="22"/>
          <w:szCs w:val="22"/>
          <w:lang w:val="en-US"/>
        </w:rPr>
        <w:t>UGSC Network</w:t>
      </w:r>
      <w:r w:rsidR="00DB0B77" w:rsidRPr="004D79F6">
        <w:rPr>
          <w:rFonts w:asciiTheme="majorHAnsi" w:hAnsiTheme="majorHAnsi" w:cstheme="majorHAnsi"/>
          <w:sz w:val="22"/>
          <w:szCs w:val="22"/>
          <w:lang w:val="en-US"/>
        </w:rPr>
        <w:t>,</w:t>
      </w:r>
      <w:r w:rsidRPr="004D79F6">
        <w:rPr>
          <w:rFonts w:asciiTheme="majorHAnsi" w:hAnsiTheme="majorHAnsi" w:cstheme="majorHAnsi"/>
          <w:sz w:val="22"/>
          <w:szCs w:val="22"/>
          <w:lang w:val="en-US"/>
        </w:rPr>
        <w:t xml:space="preserve"> which has been as a platform to promote the exchange of information and lessons learned from the implementation of reforms. </w:t>
      </w:r>
    </w:p>
    <w:p w14:paraId="34388A10" w14:textId="77777777" w:rsidR="00E90863" w:rsidRPr="004D79F6" w:rsidRDefault="00E90863" w:rsidP="004D79F6">
      <w:pPr>
        <w:jc w:val="both"/>
        <w:rPr>
          <w:rFonts w:asciiTheme="majorHAnsi" w:hAnsiTheme="majorHAnsi" w:cstheme="majorHAnsi"/>
          <w:sz w:val="22"/>
          <w:szCs w:val="22"/>
          <w:lang w:val="en-US"/>
        </w:rPr>
      </w:pPr>
    </w:p>
    <w:p w14:paraId="0419D334" w14:textId="03012E2E" w:rsidR="00E90863" w:rsidRPr="004D79F6" w:rsidRDefault="00E90863" w:rsidP="004D79F6">
      <w:pPr>
        <w:jc w:val="both"/>
        <w:rPr>
          <w:rFonts w:asciiTheme="majorHAnsi" w:hAnsiTheme="majorHAnsi" w:cstheme="majorHAnsi"/>
          <w:sz w:val="22"/>
          <w:szCs w:val="22"/>
          <w:lang w:val="en-US"/>
        </w:rPr>
      </w:pPr>
      <w:r w:rsidRPr="004D79F6">
        <w:rPr>
          <w:rFonts w:asciiTheme="majorHAnsi" w:hAnsiTheme="majorHAnsi" w:cstheme="majorHAnsi"/>
          <w:sz w:val="22"/>
          <w:szCs w:val="22"/>
          <w:lang w:val="en-US"/>
        </w:rPr>
        <w:t>At the multi-country level, it aims to create a solid knowledge base from which to foster collaboration and cooperation through a network of experts, programs and institutions. At the country level, its objective is to support capacity building at individual tertiary education institutions, through a focus on six priority areas in line with the three pillars highlighted above: (</w:t>
      </w:r>
      <w:r w:rsidR="00DB0B77" w:rsidRPr="004D79F6">
        <w:rPr>
          <w:rFonts w:asciiTheme="majorHAnsi" w:hAnsiTheme="majorHAnsi" w:cstheme="majorHAnsi"/>
          <w:sz w:val="22"/>
          <w:szCs w:val="22"/>
          <w:lang w:val="en-US"/>
        </w:rPr>
        <w:t>1</w:t>
      </w:r>
      <w:r w:rsidRPr="004D79F6">
        <w:rPr>
          <w:rFonts w:asciiTheme="majorHAnsi" w:hAnsiTheme="majorHAnsi" w:cstheme="majorHAnsi"/>
          <w:sz w:val="22"/>
          <w:szCs w:val="22"/>
          <w:lang w:val="en-US"/>
        </w:rPr>
        <w:t>) Institutional Governance</w:t>
      </w:r>
      <w:r w:rsidR="00DB0B77" w:rsidRPr="004D79F6">
        <w:rPr>
          <w:rFonts w:asciiTheme="majorHAnsi" w:hAnsiTheme="majorHAnsi" w:cstheme="majorHAnsi"/>
          <w:sz w:val="22"/>
          <w:szCs w:val="22"/>
          <w:lang w:val="en-US"/>
        </w:rPr>
        <w:t>;</w:t>
      </w:r>
      <w:r w:rsidRPr="004D79F6">
        <w:rPr>
          <w:rFonts w:asciiTheme="majorHAnsi" w:hAnsiTheme="majorHAnsi" w:cstheme="majorHAnsi"/>
          <w:sz w:val="22"/>
          <w:szCs w:val="22"/>
          <w:lang w:val="en-US"/>
        </w:rPr>
        <w:t xml:space="preserve"> (</w:t>
      </w:r>
      <w:r w:rsidR="00DB0B77" w:rsidRPr="004D79F6">
        <w:rPr>
          <w:rFonts w:asciiTheme="majorHAnsi" w:hAnsiTheme="majorHAnsi" w:cstheme="majorHAnsi"/>
          <w:sz w:val="22"/>
          <w:szCs w:val="22"/>
          <w:lang w:val="en-US"/>
        </w:rPr>
        <w:t>2</w:t>
      </w:r>
      <w:r w:rsidRPr="004D79F6">
        <w:rPr>
          <w:rFonts w:asciiTheme="majorHAnsi" w:hAnsiTheme="majorHAnsi" w:cstheme="majorHAnsi"/>
          <w:sz w:val="22"/>
          <w:szCs w:val="22"/>
          <w:lang w:val="en-US"/>
        </w:rPr>
        <w:t>) Internationalization of Tertiary Education</w:t>
      </w:r>
      <w:r w:rsidR="00DB0B77" w:rsidRPr="004D79F6">
        <w:rPr>
          <w:rFonts w:asciiTheme="majorHAnsi" w:hAnsiTheme="majorHAnsi" w:cstheme="majorHAnsi"/>
          <w:sz w:val="22"/>
          <w:szCs w:val="22"/>
          <w:lang w:val="en-US"/>
        </w:rPr>
        <w:t>;</w:t>
      </w:r>
      <w:r w:rsidRPr="004D79F6">
        <w:rPr>
          <w:rFonts w:asciiTheme="majorHAnsi" w:hAnsiTheme="majorHAnsi" w:cstheme="majorHAnsi"/>
          <w:sz w:val="22"/>
          <w:szCs w:val="22"/>
          <w:lang w:val="en-US"/>
        </w:rPr>
        <w:t xml:space="preserve"> (</w:t>
      </w:r>
      <w:r w:rsidR="00DB0B77" w:rsidRPr="004D79F6">
        <w:rPr>
          <w:rFonts w:asciiTheme="majorHAnsi" w:hAnsiTheme="majorHAnsi" w:cstheme="majorHAnsi"/>
          <w:sz w:val="22"/>
          <w:szCs w:val="22"/>
          <w:lang w:val="en-US"/>
        </w:rPr>
        <w:t>3</w:t>
      </w:r>
      <w:r w:rsidRPr="004D79F6">
        <w:rPr>
          <w:rFonts w:asciiTheme="majorHAnsi" w:hAnsiTheme="majorHAnsi" w:cstheme="majorHAnsi"/>
          <w:sz w:val="22"/>
          <w:szCs w:val="22"/>
          <w:lang w:val="en-US"/>
        </w:rPr>
        <w:t>) Financial Sustainability</w:t>
      </w:r>
      <w:r w:rsidR="00DB0B77" w:rsidRPr="004D79F6">
        <w:rPr>
          <w:rFonts w:asciiTheme="majorHAnsi" w:hAnsiTheme="majorHAnsi" w:cstheme="majorHAnsi"/>
          <w:sz w:val="22"/>
          <w:szCs w:val="22"/>
          <w:lang w:val="en-US"/>
        </w:rPr>
        <w:t>;</w:t>
      </w:r>
      <w:r w:rsidRPr="004D79F6">
        <w:rPr>
          <w:rFonts w:asciiTheme="majorHAnsi" w:hAnsiTheme="majorHAnsi" w:cstheme="majorHAnsi"/>
          <w:sz w:val="22"/>
          <w:szCs w:val="22"/>
          <w:lang w:val="en-US"/>
        </w:rPr>
        <w:t xml:space="preserve"> (</w:t>
      </w:r>
      <w:r w:rsidR="00DB0B77" w:rsidRPr="004D79F6">
        <w:rPr>
          <w:rFonts w:asciiTheme="majorHAnsi" w:hAnsiTheme="majorHAnsi" w:cstheme="majorHAnsi"/>
          <w:sz w:val="22"/>
          <w:szCs w:val="22"/>
          <w:lang w:val="en-US"/>
        </w:rPr>
        <w:t>4</w:t>
      </w:r>
      <w:r w:rsidRPr="004D79F6">
        <w:rPr>
          <w:rFonts w:asciiTheme="majorHAnsi" w:hAnsiTheme="majorHAnsi" w:cstheme="majorHAnsi"/>
          <w:sz w:val="22"/>
          <w:szCs w:val="22"/>
          <w:lang w:val="en-US"/>
        </w:rPr>
        <w:t>) Quality Assurance</w:t>
      </w:r>
      <w:r w:rsidR="00DB0B77" w:rsidRPr="004D79F6">
        <w:rPr>
          <w:rFonts w:asciiTheme="majorHAnsi" w:hAnsiTheme="majorHAnsi" w:cstheme="majorHAnsi"/>
          <w:sz w:val="22"/>
          <w:szCs w:val="22"/>
          <w:lang w:val="en-US"/>
        </w:rPr>
        <w:t>;</w:t>
      </w:r>
      <w:r w:rsidRPr="004D79F6">
        <w:rPr>
          <w:rFonts w:asciiTheme="majorHAnsi" w:hAnsiTheme="majorHAnsi" w:cstheme="majorHAnsi"/>
          <w:sz w:val="22"/>
          <w:szCs w:val="22"/>
          <w:lang w:val="en-US"/>
        </w:rPr>
        <w:t xml:space="preserve"> (</w:t>
      </w:r>
      <w:r w:rsidR="00DB0B77" w:rsidRPr="004D79F6">
        <w:rPr>
          <w:rFonts w:asciiTheme="majorHAnsi" w:hAnsiTheme="majorHAnsi" w:cstheme="majorHAnsi"/>
          <w:sz w:val="22"/>
          <w:szCs w:val="22"/>
          <w:lang w:val="en-US"/>
        </w:rPr>
        <w:t>5</w:t>
      </w:r>
      <w:r w:rsidRPr="004D79F6">
        <w:rPr>
          <w:rFonts w:asciiTheme="majorHAnsi" w:hAnsiTheme="majorHAnsi" w:cstheme="majorHAnsi"/>
          <w:sz w:val="22"/>
          <w:szCs w:val="22"/>
          <w:lang w:val="en-US"/>
        </w:rPr>
        <w:t>) Developing Innovation Systems</w:t>
      </w:r>
      <w:r w:rsidR="00DB0B77" w:rsidRPr="004D79F6">
        <w:rPr>
          <w:rFonts w:asciiTheme="majorHAnsi" w:hAnsiTheme="majorHAnsi" w:cstheme="majorHAnsi"/>
          <w:sz w:val="22"/>
          <w:szCs w:val="22"/>
          <w:lang w:val="en-US"/>
        </w:rPr>
        <w:t>,</w:t>
      </w:r>
      <w:r w:rsidRPr="004D79F6">
        <w:rPr>
          <w:rFonts w:asciiTheme="majorHAnsi" w:hAnsiTheme="majorHAnsi" w:cstheme="majorHAnsi"/>
          <w:sz w:val="22"/>
          <w:szCs w:val="22"/>
          <w:lang w:val="en-US"/>
        </w:rPr>
        <w:t xml:space="preserve"> and (</w:t>
      </w:r>
      <w:r w:rsidR="00DB0B77" w:rsidRPr="004D79F6">
        <w:rPr>
          <w:rFonts w:asciiTheme="majorHAnsi" w:hAnsiTheme="majorHAnsi" w:cstheme="majorHAnsi"/>
          <w:sz w:val="22"/>
          <w:szCs w:val="22"/>
          <w:lang w:val="en-US"/>
        </w:rPr>
        <w:t>6</w:t>
      </w:r>
      <w:r w:rsidRPr="004D79F6">
        <w:rPr>
          <w:rFonts w:asciiTheme="majorHAnsi" w:hAnsiTheme="majorHAnsi" w:cstheme="majorHAnsi"/>
          <w:sz w:val="22"/>
          <w:szCs w:val="22"/>
          <w:lang w:val="en-US"/>
        </w:rPr>
        <w:t xml:space="preserve">) Monitoring Results and Benchmarking; with the overall aim of improving tertiary education provision. This platform has been frequently used for </w:t>
      </w:r>
      <w:proofErr w:type="gramStart"/>
      <w:r w:rsidRPr="004D79F6">
        <w:rPr>
          <w:rFonts w:asciiTheme="majorHAnsi" w:hAnsiTheme="majorHAnsi" w:cstheme="majorHAnsi"/>
          <w:sz w:val="22"/>
          <w:szCs w:val="22"/>
          <w:lang w:val="en-US"/>
        </w:rPr>
        <w:t>a number of</w:t>
      </w:r>
      <w:proofErr w:type="gramEnd"/>
      <w:r w:rsidRPr="004D79F6">
        <w:rPr>
          <w:rFonts w:asciiTheme="majorHAnsi" w:hAnsiTheme="majorHAnsi" w:cstheme="majorHAnsi"/>
          <w:sz w:val="22"/>
          <w:szCs w:val="22"/>
          <w:lang w:val="en-US"/>
        </w:rPr>
        <w:t xml:space="preserve"> collaborative exchanges among institutional, national and international members. </w:t>
      </w:r>
    </w:p>
    <w:p w14:paraId="630606BE" w14:textId="77777777" w:rsidR="00E90863" w:rsidRPr="004D79F6" w:rsidRDefault="00E90863" w:rsidP="004D79F6">
      <w:pPr>
        <w:jc w:val="both"/>
        <w:rPr>
          <w:rFonts w:asciiTheme="majorHAnsi" w:hAnsiTheme="majorHAnsi" w:cstheme="majorHAnsi"/>
          <w:sz w:val="22"/>
          <w:szCs w:val="22"/>
          <w:lang w:val="en-US"/>
        </w:rPr>
      </w:pPr>
    </w:p>
    <w:p w14:paraId="14F63F82" w14:textId="3CE77C46" w:rsidR="00E90863" w:rsidRPr="004D79F6" w:rsidRDefault="00E90863" w:rsidP="004D79F6">
      <w:pPr>
        <w:jc w:val="both"/>
        <w:rPr>
          <w:rFonts w:asciiTheme="majorHAnsi" w:hAnsiTheme="majorHAnsi" w:cstheme="majorHAnsi"/>
          <w:b/>
          <w:color w:val="548DD4" w:themeColor="text2" w:themeTint="99"/>
          <w:sz w:val="22"/>
          <w:szCs w:val="22"/>
          <w:lang w:val="en-US"/>
        </w:rPr>
      </w:pPr>
      <w:r w:rsidRPr="004D79F6">
        <w:rPr>
          <w:rFonts w:asciiTheme="majorHAnsi" w:hAnsiTheme="majorHAnsi" w:cstheme="majorHAnsi"/>
          <w:sz w:val="22"/>
          <w:szCs w:val="22"/>
          <w:lang w:val="en-US"/>
        </w:rPr>
        <w:t xml:space="preserve">Regionally, good practices and innovations of </w:t>
      </w:r>
      <w:r w:rsidR="00E6778A" w:rsidRPr="004D79F6">
        <w:rPr>
          <w:rFonts w:asciiTheme="majorHAnsi" w:hAnsiTheme="majorHAnsi" w:cstheme="majorHAnsi"/>
          <w:sz w:val="22"/>
          <w:szCs w:val="22"/>
          <w:lang w:val="en-US"/>
        </w:rPr>
        <w:t>n</w:t>
      </w:r>
      <w:r w:rsidRPr="004D79F6">
        <w:rPr>
          <w:rFonts w:asciiTheme="majorHAnsi" w:hAnsiTheme="majorHAnsi" w:cstheme="majorHAnsi"/>
          <w:sz w:val="22"/>
          <w:szCs w:val="22"/>
          <w:lang w:val="en-US"/>
        </w:rPr>
        <w:t xml:space="preserve">etwork members are regularly shared and widely disseminated through both the annual meeting of the MENA </w:t>
      </w:r>
      <w:r w:rsidR="00E85C1D">
        <w:rPr>
          <w:rFonts w:asciiTheme="majorHAnsi" w:hAnsiTheme="majorHAnsi" w:cstheme="majorHAnsi"/>
          <w:sz w:val="22"/>
          <w:szCs w:val="22"/>
          <w:lang w:val="en-US"/>
        </w:rPr>
        <w:t>Tertiary</w:t>
      </w:r>
      <w:r w:rsidR="00E85C1D" w:rsidRPr="004D79F6">
        <w:rPr>
          <w:rFonts w:asciiTheme="majorHAnsi" w:hAnsiTheme="majorHAnsi" w:cstheme="majorHAnsi"/>
          <w:sz w:val="22"/>
          <w:szCs w:val="22"/>
          <w:lang w:val="en-US"/>
        </w:rPr>
        <w:t xml:space="preserve"> </w:t>
      </w:r>
      <w:r w:rsidRPr="004D79F6">
        <w:rPr>
          <w:rFonts w:asciiTheme="majorHAnsi" w:hAnsiTheme="majorHAnsi" w:cstheme="majorHAnsi"/>
          <w:sz w:val="22"/>
          <w:szCs w:val="22"/>
          <w:lang w:val="en-US"/>
        </w:rPr>
        <w:t xml:space="preserve">Education Conference, as well as the </w:t>
      </w:r>
      <w:r w:rsidR="00E6778A" w:rsidRPr="004D79F6">
        <w:rPr>
          <w:rFonts w:asciiTheme="majorHAnsi" w:hAnsiTheme="majorHAnsi" w:cstheme="majorHAnsi"/>
          <w:sz w:val="22"/>
          <w:szCs w:val="22"/>
          <w:lang w:val="en-US"/>
        </w:rPr>
        <w:t>p</w:t>
      </w:r>
      <w:r w:rsidRPr="004D79F6">
        <w:rPr>
          <w:rFonts w:asciiTheme="majorHAnsi" w:hAnsiTheme="majorHAnsi" w:cstheme="majorHAnsi"/>
          <w:sz w:val="22"/>
          <w:szCs w:val="22"/>
          <w:lang w:val="en-US"/>
        </w:rPr>
        <w:t xml:space="preserve">rogram’s page including periodic </w:t>
      </w:r>
      <w:hyperlink r:id="rId14" w:history="1">
        <w:r w:rsidRPr="004D79F6">
          <w:rPr>
            <w:rStyle w:val="Hyperlink"/>
            <w:rFonts w:asciiTheme="majorHAnsi" w:hAnsiTheme="majorHAnsi" w:cstheme="majorHAnsi"/>
            <w:sz w:val="22"/>
            <w:szCs w:val="22"/>
            <w:lang w:val="en-US"/>
          </w:rPr>
          <w:t>blogs series</w:t>
        </w:r>
      </w:hyperlink>
      <w:r w:rsidRPr="004D79F6">
        <w:rPr>
          <w:rFonts w:asciiTheme="majorHAnsi" w:hAnsiTheme="majorHAnsi" w:cstheme="majorHAnsi"/>
          <w:sz w:val="22"/>
          <w:szCs w:val="22"/>
          <w:lang w:val="en-US"/>
        </w:rPr>
        <w:t xml:space="preserve">. The </w:t>
      </w:r>
      <w:r w:rsidR="00E6778A" w:rsidRPr="004D79F6">
        <w:rPr>
          <w:rFonts w:asciiTheme="majorHAnsi" w:hAnsiTheme="majorHAnsi" w:cstheme="majorHAnsi"/>
          <w:sz w:val="22"/>
          <w:szCs w:val="22"/>
          <w:lang w:val="en-US"/>
        </w:rPr>
        <w:t>n</w:t>
      </w:r>
      <w:r w:rsidRPr="004D79F6">
        <w:rPr>
          <w:rFonts w:asciiTheme="majorHAnsi" w:hAnsiTheme="majorHAnsi" w:cstheme="majorHAnsi"/>
          <w:sz w:val="22"/>
          <w:szCs w:val="22"/>
          <w:lang w:val="en-US"/>
        </w:rPr>
        <w:t>etwork also support</w:t>
      </w:r>
      <w:r w:rsidR="00E6778A" w:rsidRPr="004D79F6">
        <w:rPr>
          <w:rFonts w:asciiTheme="majorHAnsi" w:hAnsiTheme="majorHAnsi" w:cstheme="majorHAnsi"/>
          <w:sz w:val="22"/>
          <w:szCs w:val="22"/>
          <w:lang w:val="en-US"/>
        </w:rPr>
        <w:t>ed</w:t>
      </w:r>
      <w:r w:rsidRPr="004D79F6">
        <w:rPr>
          <w:rFonts w:asciiTheme="majorHAnsi" w:hAnsiTheme="majorHAnsi" w:cstheme="majorHAnsi"/>
          <w:sz w:val="22"/>
          <w:szCs w:val="22"/>
          <w:lang w:val="en-US"/>
        </w:rPr>
        <w:t xml:space="preserve"> the work of ministries and local institutions, such as in Lebanon, whereby a national University Governance Task Force, composed of local </w:t>
      </w:r>
      <w:r w:rsidR="00E6778A" w:rsidRPr="004D79F6">
        <w:rPr>
          <w:rFonts w:asciiTheme="majorHAnsi" w:hAnsiTheme="majorHAnsi" w:cstheme="majorHAnsi"/>
          <w:sz w:val="22"/>
          <w:szCs w:val="22"/>
          <w:lang w:val="en-US"/>
        </w:rPr>
        <w:t>n</w:t>
      </w:r>
      <w:r w:rsidRPr="004D79F6">
        <w:rPr>
          <w:rFonts w:asciiTheme="majorHAnsi" w:hAnsiTheme="majorHAnsi" w:cstheme="majorHAnsi"/>
          <w:sz w:val="22"/>
          <w:szCs w:val="22"/>
          <w:lang w:val="en-US"/>
        </w:rPr>
        <w:t xml:space="preserve">etwork members, was appointed by the </w:t>
      </w:r>
      <w:r w:rsidR="00AA5613">
        <w:rPr>
          <w:rFonts w:asciiTheme="majorHAnsi" w:hAnsiTheme="majorHAnsi" w:cstheme="majorHAnsi"/>
          <w:sz w:val="22"/>
          <w:szCs w:val="22"/>
          <w:lang w:val="en-US"/>
        </w:rPr>
        <w:t>M</w:t>
      </w:r>
      <w:r w:rsidRPr="004D79F6">
        <w:rPr>
          <w:rFonts w:asciiTheme="majorHAnsi" w:hAnsiTheme="majorHAnsi" w:cstheme="majorHAnsi"/>
          <w:sz w:val="22"/>
          <w:szCs w:val="22"/>
          <w:lang w:val="en-US"/>
        </w:rPr>
        <w:t xml:space="preserve">inister of </w:t>
      </w:r>
      <w:r w:rsidR="00AA5613">
        <w:rPr>
          <w:rFonts w:asciiTheme="majorHAnsi" w:hAnsiTheme="majorHAnsi" w:cstheme="majorHAnsi"/>
          <w:sz w:val="22"/>
          <w:szCs w:val="22"/>
          <w:lang w:val="en-US"/>
        </w:rPr>
        <w:t>E</w:t>
      </w:r>
      <w:r w:rsidRPr="004D79F6">
        <w:rPr>
          <w:rFonts w:asciiTheme="majorHAnsi" w:hAnsiTheme="majorHAnsi" w:cstheme="majorHAnsi"/>
          <w:sz w:val="22"/>
          <w:szCs w:val="22"/>
          <w:lang w:val="en-US"/>
        </w:rPr>
        <w:t xml:space="preserve">ducation and </w:t>
      </w:r>
      <w:r w:rsidR="00AA5613">
        <w:rPr>
          <w:rFonts w:asciiTheme="majorHAnsi" w:hAnsiTheme="majorHAnsi" w:cstheme="majorHAnsi"/>
          <w:sz w:val="22"/>
          <w:szCs w:val="22"/>
          <w:lang w:val="en-US"/>
        </w:rPr>
        <w:t>H</w:t>
      </w:r>
      <w:r w:rsidRPr="004D79F6">
        <w:rPr>
          <w:rFonts w:asciiTheme="majorHAnsi" w:hAnsiTheme="majorHAnsi" w:cstheme="majorHAnsi"/>
          <w:sz w:val="22"/>
          <w:szCs w:val="22"/>
          <w:lang w:val="en-US"/>
        </w:rPr>
        <w:t xml:space="preserve">igher </w:t>
      </w:r>
      <w:r w:rsidR="00AA5613">
        <w:rPr>
          <w:rFonts w:asciiTheme="majorHAnsi" w:hAnsiTheme="majorHAnsi" w:cstheme="majorHAnsi"/>
          <w:sz w:val="22"/>
          <w:szCs w:val="22"/>
          <w:lang w:val="en-US"/>
        </w:rPr>
        <w:t>E</w:t>
      </w:r>
      <w:r w:rsidRPr="004D79F6">
        <w:rPr>
          <w:rFonts w:asciiTheme="majorHAnsi" w:hAnsiTheme="majorHAnsi" w:cstheme="majorHAnsi"/>
          <w:sz w:val="22"/>
          <w:szCs w:val="22"/>
          <w:lang w:val="en-US"/>
        </w:rPr>
        <w:t xml:space="preserve">ducation in 2013 and assigned to support the </w:t>
      </w:r>
      <w:r w:rsidR="00AA5613">
        <w:rPr>
          <w:rFonts w:asciiTheme="majorHAnsi" w:hAnsiTheme="majorHAnsi" w:cstheme="majorHAnsi"/>
          <w:sz w:val="22"/>
          <w:szCs w:val="22"/>
          <w:lang w:val="en-US"/>
        </w:rPr>
        <w:t>M</w:t>
      </w:r>
      <w:r w:rsidRPr="004D79F6">
        <w:rPr>
          <w:rFonts w:asciiTheme="majorHAnsi" w:hAnsiTheme="majorHAnsi" w:cstheme="majorHAnsi"/>
          <w:sz w:val="22"/>
          <w:szCs w:val="22"/>
          <w:lang w:val="en-US"/>
        </w:rPr>
        <w:t xml:space="preserve">inistry </w:t>
      </w:r>
      <w:r w:rsidR="00E6778A" w:rsidRPr="004D79F6">
        <w:rPr>
          <w:rFonts w:asciiTheme="majorHAnsi" w:hAnsiTheme="majorHAnsi" w:cstheme="majorHAnsi"/>
          <w:sz w:val="22"/>
          <w:szCs w:val="22"/>
          <w:lang w:val="en-US"/>
        </w:rPr>
        <w:t>in</w:t>
      </w:r>
      <w:r w:rsidRPr="004D79F6">
        <w:rPr>
          <w:rFonts w:asciiTheme="majorHAnsi" w:hAnsiTheme="majorHAnsi" w:cstheme="majorHAnsi"/>
          <w:sz w:val="22"/>
          <w:szCs w:val="22"/>
          <w:lang w:val="en-US"/>
        </w:rPr>
        <w:t xml:space="preserve"> build</w:t>
      </w:r>
      <w:r w:rsidR="00E6778A" w:rsidRPr="004D79F6">
        <w:rPr>
          <w:rFonts w:asciiTheme="majorHAnsi" w:hAnsiTheme="majorHAnsi" w:cstheme="majorHAnsi"/>
          <w:sz w:val="22"/>
          <w:szCs w:val="22"/>
          <w:lang w:val="en-US"/>
        </w:rPr>
        <w:t>ing</w:t>
      </w:r>
      <w:r w:rsidRPr="004D79F6">
        <w:rPr>
          <w:rFonts w:asciiTheme="majorHAnsi" w:hAnsiTheme="majorHAnsi" w:cstheme="majorHAnsi"/>
          <w:sz w:val="22"/>
          <w:szCs w:val="22"/>
          <w:lang w:val="en-US"/>
        </w:rPr>
        <w:t xml:space="preserve"> a culture of good governance and quality improvement in tertiary education within the country. This </w:t>
      </w:r>
      <w:r w:rsidR="00E6778A" w:rsidRPr="004D79F6">
        <w:rPr>
          <w:rFonts w:asciiTheme="majorHAnsi" w:hAnsiTheme="majorHAnsi" w:cstheme="majorHAnsi"/>
          <w:sz w:val="22"/>
          <w:szCs w:val="22"/>
          <w:lang w:val="en-US"/>
        </w:rPr>
        <w:t>t</w:t>
      </w:r>
      <w:r w:rsidRPr="004D79F6">
        <w:rPr>
          <w:rFonts w:asciiTheme="majorHAnsi" w:hAnsiTheme="majorHAnsi" w:cstheme="majorHAnsi"/>
          <w:sz w:val="22"/>
          <w:szCs w:val="22"/>
          <w:lang w:val="en-US"/>
        </w:rPr>
        <w:t xml:space="preserve">ask </w:t>
      </w:r>
      <w:r w:rsidR="00E6778A" w:rsidRPr="004D79F6">
        <w:rPr>
          <w:rFonts w:asciiTheme="majorHAnsi" w:hAnsiTheme="majorHAnsi" w:cstheme="majorHAnsi"/>
          <w:sz w:val="22"/>
          <w:szCs w:val="22"/>
          <w:lang w:val="en-US"/>
        </w:rPr>
        <w:t>f</w:t>
      </w:r>
      <w:r w:rsidRPr="004D79F6">
        <w:rPr>
          <w:rFonts w:asciiTheme="majorHAnsi" w:hAnsiTheme="majorHAnsi" w:cstheme="majorHAnsi"/>
          <w:sz w:val="22"/>
          <w:szCs w:val="22"/>
          <w:lang w:val="en-US"/>
        </w:rPr>
        <w:t xml:space="preserve">orce continues to support the </w:t>
      </w:r>
      <w:r w:rsidR="00E6778A" w:rsidRPr="004D79F6">
        <w:rPr>
          <w:rFonts w:asciiTheme="majorHAnsi" w:hAnsiTheme="majorHAnsi" w:cstheme="majorHAnsi"/>
          <w:sz w:val="22"/>
          <w:szCs w:val="22"/>
          <w:lang w:val="en-US"/>
        </w:rPr>
        <w:t>m</w:t>
      </w:r>
      <w:r w:rsidRPr="004D79F6">
        <w:rPr>
          <w:rFonts w:asciiTheme="majorHAnsi" w:hAnsiTheme="majorHAnsi" w:cstheme="majorHAnsi"/>
          <w:sz w:val="22"/>
          <w:szCs w:val="22"/>
          <w:lang w:val="en-US"/>
        </w:rPr>
        <w:t xml:space="preserve">inistry’s activities through institutional collaborations as well as national initiatives. In Iraq, members of the </w:t>
      </w:r>
      <w:r w:rsidR="00E6778A" w:rsidRPr="004D79F6">
        <w:rPr>
          <w:rFonts w:asciiTheme="majorHAnsi" w:hAnsiTheme="majorHAnsi" w:cstheme="majorHAnsi"/>
          <w:sz w:val="22"/>
          <w:szCs w:val="22"/>
          <w:lang w:val="en-US"/>
        </w:rPr>
        <w:t>n</w:t>
      </w:r>
      <w:r w:rsidRPr="004D79F6">
        <w:rPr>
          <w:rFonts w:asciiTheme="majorHAnsi" w:hAnsiTheme="majorHAnsi" w:cstheme="majorHAnsi"/>
          <w:sz w:val="22"/>
          <w:szCs w:val="22"/>
          <w:lang w:val="en-US"/>
        </w:rPr>
        <w:t xml:space="preserve">etwork convened in 2014 to further advance the work of the UGSC and address opportunities and challenges highlighted by the tool across participating institutions, adding a sixth dimension of governance to match the needs of local institutions. In Tunisia is expected that </w:t>
      </w:r>
      <w:r w:rsidRPr="004D79F6">
        <w:rPr>
          <w:rFonts w:asciiTheme="majorHAnsi" w:hAnsiTheme="majorHAnsi" w:cstheme="majorHAnsi"/>
          <w:sz w:val="22"/>
          <w:szCs w:val="22"/>
          <w:lang w:val="en-US"/>
        </w:rPr>
        <w:lastRenderedPageBreak/>
        <w:t xml:space="preserve">the UGSC tool will be used by institutions participating </w:t>
      </w:r>
      <w:r w:rsidR="00E6778A" w:rsidRPr="004D79F6">
        <w:rPr>
          <w:rFonts w:asciiTheme="majorHAnsi" w:hAnsiTheme="majorHAnsi" w:cstheme="majorHAnsi"/>
          <w:sz w:val="22"/>
          <w:szCs w:val="22"/>
          <w:lang w:val="en-US"/>
        </w:rPr>
        <w:t xml:space="preserve">in </w:t>
      </w:r>
      <w:r w:rsidRPr="004D79F6">
        <w:rPr>
          <w:rFonts w:asciiTheme="majorHAnsi" w:hAnsiTheme="majorHAnsi" w:cstheme="majorHAnsi"/>
          <w:sz w:val="22"/>
          <w:szCs w:val="22"/>
          <w:lang w:val="en-US"/>
        </w:rPr>
        <w:t>a World Bank</w:t>
      </w:r>
      <w:r w:rsidR="00E6778A" w:rsidRPr="004D79F6">
        <w:rPr>
          <w:rFonts w:asciiTheme="majorHAnsi" w:hAnsiTheme="majorHAnsi" w:cstheme="majorHAnsi"/>
          <w:sz w:val="22"/>
          <w:szCs w:val="22"/>
          <w:lang w:val="en-US"/>
        </w:rPr>
        <w:t>-supported</w:t>
      </w:r>
      <w:r w:rsidRPr="004D79F6">
        <w:rPr>
          <w:rFonts w:asciiTheme="majorHAnsi" w:hAnsiTheme="majorHAnsi" w:cstheme="majorHAnsi"/>
          <w:sz w:val="22"/>
          <w:szCs w:val="22"/>
          <w:lang w:val="en-US"/>
        </w:rPr>
        <w:t xml:space="preserve"> operation dedicated to strengthen</w:t>
      </w:r>
      <w:r w:rsidR="00E6778A" w:rsidRPr="004D79F6">
        <w:rPr>
          <w:rFonts w:asciiTheme="majorHAnsi" w:hAnsiTheme="majorHAnsi" w:cstheme="majorHAnsi"/>
          <w:sz w:val="22"/>
          <w:szCs w:val="22"/>
          <w:lang w:val="en-US"/>
        </w:rPr>
        <w:t>ing</w:t>
      </w:r>
      <w:r w:rsidRPr="004D79F6">
        <w:rPr>
          <w:rFonts w:asciiTheme="majorHAnsi" w:hAnsiTheme="majorHAnsi" w:cstheme="majorHAnsi"/>
          <w:sz w:val="22"/>
          <w:szCs w:val="22"/>
          <w:lang w:val="en-US"/>
        </w:rPr>
        <w:t xml:space="preserve"> institutional capacity in </w:t>
      </w:r>
      <w:r w:rsidR="00E85C1D">
        <w:rPr>
          <w:rFonts w:asciiTheme="majorHAnsi" w:hAnsiTheme="majorHAnsi" w:cstheme="majorHAnsi"/>
          <w:sz w:val="22"/>
          <w:szCs w:val="22"/>
          <w:lang w:val="en-US"/>
        </w:rPr>
        <w:t>tertiary</w:t>
      </w:r>
      <w:r w:rsidR="00E85C1D" w:rsidRPr="004D79F6">
        <w:rPr>
          <w:rFonts w:asciiTheme="majorHAnsi" w:hAnsiTheme="majorHAnsi" w:cstheme="majorHAnsi"/>
          <w:sz w:val="22"/>
          <w:szCs w:val="22"/>
          <w:lang w:val="en-US"/>
        </w:rPr>
        <w:t xml:space="preserve"> </w:t>
      </w:r>
      <w:r w:rsidRPr="004D79F6">
        <w:rPr>
          <w:rFonts w:asciiTheme="majorHAnsi" w:hAnsiTheme="majorHAnsi" w:cstheme="majorHAnsi"/>
          <w:sz w:val="22"/>
          <w:szCs w:val="22"/>
          <w:lang w:val="en-US"/>
        </w:rPr>
        <w:t xml:space="preserve">education.   </w:t>
      </w:r>
      <w:r w:rsidRPr="004D79F6">
        <w:rPr>
          <w:rFonts w:asciiTheme="majorHAnsi" w:hAnsiTheme="majorHAnsi" w:cstheme="majorHAnsi"/>
          <w:b/>
          <w:color w:val="548DD4" w:themeColor="text2" w:themeTint="99"/>
          <w:sz w:val="22"/>
          <w:szCs w:val="22"/>
          <w:lang w:val="en-US"/>
        </w:rPr>
        <w:t xml:space="preserve"> </w:t>
      </w:r>
    </w:p>
    <w:p w14:paraId="02BA3335" w14:textId="1182CAF0" w:rsidR="00E90863" w:rsidRDefault="00E90863" w:rsidP="004D79F6">
      <w:pPr>
        <w:jc w:val="both"/>
        <w:rPr>
          <w:rFonts w:asciiTheme="majorHAnsi" w:hAnsiTheme="majorHAnsi" w:cstheme="majorHAnsi"/>
          <w:b/>
          <w:color w:val="548DD4" w:themeColor="text2" w:themeTint="99"/>
          <w:sz w:val="22"/>
          <w:szCs w:val="22"/>
          <w:lang w:val="en-US"/>
        </w:rPr>
      </w:pPr>
    </w:p>
    <w:p w14:paraId="61B01428" w14:textId="77777777" w:rsidR="008F1840" w:rsidRPr="004D79F6" w:rsidRDefault="008F1840" w:rsidP="004D79F6">
      <w:pPr>
        <w:jc w:val="both"/>
        <w:rPr>
          <w:rFonts w:asciiTheme="majorHAnsi" w:hAnsiTheme="majorHAnsi" w:cstheme="majorHAnsi"/>
          <w:b/>
          <w:color w:val="548DD4" w:themeColor="text2" w:themeTint="99"/>
          <w:sz w:val="22"/>
          <w:szCs w:val="22"/>
          <w:lang w:val="en-US"/>
        </w:rPr>
      </w:pPr>
    </w:p>
    <w:p w14:paraId="06B87768" w14:textId="3433DD8C" w:rsidR="00E90863" w:rsidRPr="004D79F6" w:rsidRDefault="00E90863" w:rsidP="004D79F6">
      <w:pPr>
        <w:jc w:val="both"/>
        <w:rPr>
          <w:rFonts w:asciiTheme="majorHAnsi" w:hAnsiTheme="majorHAnsi" w:cstheme="majorHAnsi"/>
          <w:b/>
          <w:color w:val="548DD4" w:themeColor="text2" w:themeTint="99"/>
          <w:sz w:val="22"/>
          <w:szCs w:val="22"/>
          <w:lang w:val="en-US"/>
        </w:rPr>
      </w:pPr>
      <w:r w:rsidRPr="004D79F6">
        <w:rPr>
          <w:rFonts w:asciiTheme="majorHAnsi" w:hAnsiTheme="majorHAnsi" w:cstheme="majorHAnsi"/>
          <w:b/>
          <w:color w:val="548DD4" w:themeColor="text2" w:themeTint="99"/>
          <w:sz w:val="22"/>
          <w:szCs w:val="22"/>
          <w:lang w:val="en-US"/>
        </w:rPr>
        <w:t xml:space="preserve">VIII. </w:t>
      </w:r>
      <w:r w:rsidR="00714C53">
        <w:rPr>
          <w:rFonts w:asciiTheme="majorHAnsi" w:hAnsiTheme="majorHAnsi" w:cstheme="majorHAnsi"/>
          <w:b/>
          <w:color w:val="548DD4" w:themeColor="text2" w:themeTint="99"/>
          <w:sz w:val="22"/>
          <w:szCs w:val="22"/>
          <w:lang w:val="en-US"/>
        </w:rPr>
        <w:t>Activities and Outputs</w:t>
      </w:r>
      <w:r w:rsidRPr="004D79F6">
        <w:rPr>
          <w:rFonts w:asciiTheme="majorHAnsi" w:hAnsiTheme="majorHAnsi" w:cstheme="majorHAnsi"/>
          <w:b/>
          <w:color w:val="548DD4" w:themeColor="text2" w:themeTint="99"/>
          <w:sz w:val="22"/>
          <w:szCs w:val="22"/>
          <w:lang w:val="en-US"/>
        </w:rPr>
        <w:t xml:space="preserve"> FY 2019 </w:t>
      </w:r>
    </w:p>
    <w:p w14:paraId="6DC97E69" w14:textId="77777777" w:rsidR="00E90863" w:rsidRPr="004D79F6" w:rsidRDefault="00E90863" w:rsidP="004D79F6">
      <w:pPr>
        <w:jc w:val="both"/>
        <w:rPr>
          <w:rFonts w:asciiTheme="majorHAnsi" w:hAnsiTheme="majorHAnsi" w:cstheme="majorHAnsi"/>
          <w:b/>
          <w:color w:val="548DD4" w:themeColor="text2" w:themeTint="99"/>
          <w:sz w:val="22"/>
          <w:szCs w:val="22"/>
          <w:lang w:val="en-US"/>
        </w:rPr>
      </w:pPr>
    </w:p>
    <w:p w14:paraId="77D83EC2" w14:textId="4E410D1D" w:rsidR="00E90863" w:rsidRPr="004D79F6" w:rsidRDefault="00E90863" w:rsidP="004D79F6">
      <w:pPr>
        <w:pStyle w:val="FootnoteText"/>
        <w:jc w:val="both"/>
        <w:rPr>
          <w:rFonts w:asciiTheme="majorHAnsi" w:eastAsiaTheme="minorEastAsia" w:hAnsiTheme="majorHAnsi" w:cstheme="majorHAnsi"/>
          <w:sz w:val="22"/>
          <w:szCs w:val="22"/>
          <w:lang w:val="en-US" w:eastAsia="es-ES"/>
        </w:rPr>
      </w:pPr>
      <w:r w:rsidRPr="004D79F6">
        <w:rPr>
          <w:rFonts w:asciiTheme="majorHAnsi" w:eastAsiaTheme="minorEastAsia" w:hAnsiTheme="majorHAnsi" w:cstheme="majorHAnsi"/>
          <w:sz w:val="22"/>
          <w:szCs w:val="22"/>
          <w:lang w:val="en-US" w:eastAsia="es-ES"/>
        </w:rPr>
        <w:t>The program continue</w:t>
      </w:r>
      <w:r w:rsidR="00714C53">
        <w:rPr>
          <w:rFonts w:asciiTheme="majorHAnsi" w:eastAsiaTheme="minorEastAsia" w:hAnsiTheme="majorHAnsi" w:cstheme="majorHAnsi"/>
          <w:sz w:val="22"/>
          <w:szCs w:val="22"/>
          <w:lang w:val="en-US" w:eastAsia="es-ES"/>
        </w:rPr>
        <w:t>d</w:t>
      </w:r>
      <w:r w:rsidRPr="004D79F6">
        <w:rPr>
          <w:rFonts w:asciiTheme="majorHAnsi" w:eastAsiaTheme="minorEastAsia" w:hAnsiTheme="majorHAnsi" w:cstheme="majorHAnsi"/>
          <w:sz w:val="22"/>
          <w:szCs w:val="22"/>
          <w:lang w:val="en-US" w:eastAsia="es-ES"/>
        </w:rPr>
        <w:t xml:space="preserve"> its work in </w:t>
      </w:r>
      <w:r w:rsidR="00714C53">
        <w:rPr>
          <w:rFonts w:asciiTheme="majorHAnsi" w:eastAsiaTheme="minorEastAsia" w:hAnsiTheme="majorHAnsi" w:cstheme="majorHAnsi"/>
          <w:sz w:val="22"/>
          <w:szCs w:val="22"/>
          <w:lang w:val="en-US" w:eastAsia="es-ES"/>
        </w:rPr>
        <w:t xml:space="preserve">FY19 </w:t>
      </w:r>
      <w:r w:rsidRPr="004D79F6">
        <w:rPr>
          <w:rFonts w:asciiTheme="majorHAnsi" w:eastAsiaTheme="minorEastAsia" w:hAnsiTheme="majorHAnsi" w:cstheme="majorHAnsi"/>
          <w:sz w:val="22"/>
          <w:szCs w:val="22"/>
          <w:lang w:val="en-US" w:eastAsia="es-ES"/>
        </w:rPr>
        <w:t xml:space="preserve">with </w:t>
      </w:r>
      <w:r w:rsidR="00773FCF">
        <w:rPr>
          <w:rFonts w:asciiTheme="majorHAnsi" w:eastAsiaTheme="minorEastAsia" w:hAnsiTheme="majorHAnsi" w:cstheme="majorHAnsi"/>
          <w:sz w:val="22"/>
          <w:szCs w:val="22"/>
          <w:lang w:val="en-US" w:eastAsia="es-ES"/>
        </w:rPr>
        <w:t xml:space="preserve">the preparation of the following </w:t>
      </w:r>
      <w:r w:rsidR="00714C53">
        <w:rPr>
          <w:rFonts w:asciiTheme="majorHAnsi" w:eastAsiaTheme="minorEastAsia" w:hAnsiTheme="majorHAnsi" w:cstheme="majorHAnsi"/>
          <w:sz w:val="22"/>
          <w:szCs w:val="22"/>
          <w:lang w:val="en-US" w:eastAsia="es-ES"/>
        </w:rPr>
        <w:t xml:space="preserve">three </w:t>
      </w:r>
      <w:r w:rsidR="00773FCF">
        <w:rPr>
          <w:rFonts w:asciiTheme="majorHAnsi" w:eastAsiaTheme="minorEastAsia" w:hAnsiTheme="majorHAnsi" w:cstheme="majorHAnsi"/>
          <w:sz w:val="22"/>
          <w:szCs w:val="22"/>
          <w:lang w:val="en-US" w:eastAsia="es-ES"/>
        </w:rPr>
        <w:t>key analytical pieces</w:t>
      </w:r>
      <w:r w:rsidR="005E09DF">
        <w:rPr>
          <w:rFonts w:asciiTheme="majorHAnsi" w:eastAsiaTheme="minorEastAsia" w:hAnsiTheme="majorHAnsi" w:cstheme="majorHAnsi"/>
          <w:sz w:val="22"/>
          <w:szCs w:val="22"/>
          <w:lang w:val="en-US" w:eastAsia="es-ES"/>
        </w:rPr>
        <w:t xml:space="preserve">, which will be disseminated </w:t>
      </w:r>
      <w:r w:rsidR="00CA416A">
        <w:rPr>
          <w:rFonts w:asciiTheme="majorHAnsi" w:eastAsiaTheme="minorEastAsia" w:hAnsiTheme="majorHAnsi" w:cstheme="majorHAnsi"/>
          <w:sz w:val="22"/>
          <w:szCs w:val="22"/>
          <w:lang w:val="en-US" w:eastAsia="es-ES"/>
        </w:rPr>
        <w:t>in FY20:</w:t>
      </w:r>
      <w:r w:rsidRPr="004D79F6">
        <w:rPr>
          <w:rFonts w:asciiTheme="majorHAnsi" w:eastAsiaTheme="minorEastAsia" w:hAnsiTheme="majorHAnsi" w:cstheme="majorHAnsi"/>
          <w:sz w:val="22"/>
          <w:szCs w:val="22"/>
          <w:lang w:val="en-US" w:eastAsia="es-ES"/>
        </w:rPr>
        <w:t xml:space="preserve"> </w:t>
      </w:r>
    </w:p>
    <w:p w14:paraId="24A3FCD8" w14:textId="3E1EC962" w:rsidR="00E90863" w:rsidRPr="004D79F6" w:rsidRDefault="005364AD" w:rsidP="004D79F6">
      <w:pPr>
        <w:pStyle w:val="FootnoteText"/>
        <w:numPr>
          <w:ilvl w:val="0"/>
          <w:numId w:val="2"/>
        </w:numPr>
        <w:jc w:val="both"/>
        <w:rPr>
          <w:rFonts w:asciiTheme="majorHAnsi" w:eastAsiaTheme="minorEastAsia" w:hAnsiTheme="majorHAnsi" w:cstheme="majorHAnsi"/>
          <w:sz w:val="22"/>
          <w:szCs w:val="22"/>
          <w:lang w:val="en-US" w:eastAsia="es-ES"/>
        </w:rPr>
      </w:pPr>
      <w:r>
        <w:rPr>
          <w:rFonts w:asciiTheme="majorHAnsi" w:eastAsiaTheme="minorEastAsia" w:hAnsiTheme="majorHAnsi" w:cstheme="majorHAnsi"/>
          <w:sz w:val="22"/>
          <w:szCs w:val="22"/>
          <w:lang w:val="en-US" w:eastAsia="es-ES"/>
        </w:rPr>
        <w:t xml:space="preserve">Regional UGSC benchmarking </w:t>
      </w:r>
      <w:r w:rsidR="00E90863" w:rsidRPr="004D79F6">
        <w:rPr>
          <w:rFonts w:asciiTheme="majorHAnsi" w:eastAsiaTheme="minorEastAsia" w:hAnsiTheme="majorHAnsi" w:cstheme="majorHAnsi"/>
          <w:sz w:val="22"/>
          <w:szCs w:val="22"/>
          <w:lang w:val="en-US" w:eastAsia="es-ES"/>
        </w:rPr>
        <w:t xml:space="preserve">report </w:t>
      </w:r>
      <w:r w:rsidR="00C11889">
        <w:rPr>
          <w:rFonts w:asciiTheme="majorHAnsi" w:eastAsiaTheme="minorEastAsia" w:hAnsiTheme="majorHAnsi" w:cstheme="majorHAnsi"/>
          <w:sz w:val="22"/>
          <w:szCs w:val="22"/>
          <w:lang w:val="en-US" w:eastAsia="es-ES"/>
        </w:rPr>
        <w:t xml:space="preserve">summarizing key trends and best practices </w:t>
      </w:r>
      <w:r w:rsidR="00E90863" w:rsidRPr="004D79F6">
        <w:rPr>
          <w:rFonts w:asciiTheme="majorHAnsi" w:eastAsiaTheme="minorEastAsia" w:hAnsiTheme="majorHAnsi" w:cstheme="majorHAnsi"/>
          <w:sz w:val="22"/>
          <w:szCs w:val="22"/>
          <w:lang w:val="en-US" w:eastAsia="es-ES"/>
        </w:rPr>
        <w:t xml:space="preserve">of </w:t>
      </w:r>
      <w:r w:rsidR="00C11889">
        <w:rPr>
          <w:rFonts w:asciiTheme="majorHAnsi" w:eastAsiaTheme="minorEastAsia" w:hAnsiTheme="majorHAnsi" w:cstheme="majorHAnsi"/>
          <w:sz w:val="22"/>
          <w:szCs w:val="22"/>
          <w:lang w:val="en-US" w:eastAsia="es-ES"/>
        </w:rPr>
        <w:t xml:space="preserve">the universities that have participated </w:t>
      </w:r>
      <w:r w:rsidR="00E90863" w:rsidRPr="004D79F6">
        <w:rPr>
          <w:rFonts w:asciiTheme="majorHAnsi" w:eastAsiaTheme="minorEastAsia" w:hAnsiTheme="majorHAnsi" w:cstheme="majorHAnsi"/>
          <w:sz w:val="22"/>
          <w:szCs w:val="22"/>
          <w:lang w:val="en-US" w:eastAsia="es-ES"/>
        </w:rPr>
        <w:t xml:space="preserve">in the </w:t>
      </w:r>
      <w:r w:rsidR="00C11889">
        <w:rPr>
          <w:rFonts w:asciiTheme="majorHAnsi" w:eastAsiaTheme="minorEastAsia" w:hAnsiTheme="majorHAnsi" w:cstheme="majorHAnsi"/>
          <w:sz w:val="22"/>
          <w:szCs w:val="22"/>
          <w:lang w:val="en-US" w:eastAsia="es-ES"/>
        </w:rPr>
        <w:t xml:space="preserve">various national </w:t>
      </w:r>
      <w:r w:rsidR="00E90863" w:rsidRPr="004D79F6">
        <w:rPr>
          <w:rFonts w:asciiTheme="majorHAnsi" w:eastAsiaTheme="minorEastAsia" w:hAnsiTheme="majorHAnsi" w:cstheme="majorHAnsi"/>
          <w:sz w:val="22"/>
          <w:szCs w:val="22"/>
          <w:lang w:val="en-US" w:eastAsia="es-ES"/>
        </w:rPr>
        <w:t>UGSC benchmarking tool</w:t>
      </w:r>
      <w:r w:rsidR="002B402D">
        <w:rPr>
          <w:rFonts w:asciiTheme="majorHAnsi" w:eastAsiaTheme="minorEastAsia" w:hAnsiTheme="majorHAnsi" w:cstheme="majorHAnsi"/>
          <w:sz w:val="22"/>
          <w:szCs w:val="22"/>
          <w:lang w:val="en-US" w:eastAsia="es-ES"/>
        </w:rPr>
        <w:t xml:space="preserve"> exercises and rounds; </w:t>
      </w:r>
    </w:p>
    <w:p w14:paraId="10BE380F" w14:textId="32FB9EC8" w:rsidR="00E90863" w:rsidRPr="004D79F6" w:rsidRDefault="002B402D" w:rsidP="004D79F6">
      <w:pPr>
        <w:pStyle w:val="FootnoteText"/>
        <w:numPr>
          <w:ilvl w:val="0"/>
          <w:numId w:val="2"/>
        </w:numPr>
        <w:jc w:val="both"/>
        <w:rPr>
          <w:rFonts w:asciiTheme="majorHAnsi" w:eastAsiaTheme="minorEastAsia" w:hAnsiTheme="majorHAnsi" w:cstheme="majorHAnsi"/>
          <w:sz w:val="22"/>
          <w:szCs w:val="22"/>
          <w:lang w:val="en-US" w:eastAsia="es-ES"/>
        </w:rPr>
      </w:pPr>
      <w:r>
        <w:rPr>
          <w:rFonts w:asciiTheme="majorHAnsi" w:eastAsiaTheme="minorEastAsia" w:hAnsiTheme="majorHAnsi" w:cstheme="majorHAnsi"/>
          <w:sz w:val="22"/>
          <w:szCs w:val="22"/>
          <w:lang w:val="en-US" w:eastAsia="es-ES"/>
        </w:rPr>
        <w:t>R</w:t>
      </w:r>
      <w:r w:rsidR="00E90863" w:rsidRPr="004D79F6">
        <w:rPr>
          <w:rFonts w:asciiTheme="majorHAnsi" w:eastAsiaTheme="minorEastAsia" w:hAnsiTheme="majorHAnsi" w:cstheme="majorHAnsi"/>
          <w:sz w:val="22"/>
          <w:szCs w:val="22"/>
          <w:lang w:val="en-US" w:eastAsia="es-ES"/>
        </w:rPr>
        <w:t xml:space="preserve">eport on financing of </w:t>
      </w:r>
      <w:r w:rsidR="00E85C1D">
        <w:rPr>
          <w:rFonts w:asciiTheme="majorHAnsi" w:eastAsiaTheme="minorEastAsia" w:hAnsiTheme="majorHAnsi" w:cstheme="majorHAnsi"/>
          <w:sz w:val="22"/>
          <w:szCs w:val="22"/>
          <w:lang w:val="en-US" w:eastAsia="es-ES"/>
        </w:rPr>
        <w:t>tertiary</w:t>
      </w:r>
      <w:r w:rsidR="00E85C1D" w:rsidRPr="004D79F6">
        <w:rPr>
          <w:rFonts w:asciiTheme="majorHAnsi" w:eastAsiaTheme="minorEastAsia" w:hAnsiTheme="majorHAnsi" w:cstheme="majorHAnsi"/>
          <w:sz w:val="22"/>
          <w:szCs w:val="22"/>
          <w:lang w:val="en-US" w:eastAsia="es-ES"/>
        </w:rPr>
        <w:t xml:space="preserve"> </w:t>
      </w:r>
      <w:r w:rsidR="00E90863" w:rsidRPr="004D79F6">
        <w:rPr>
          <w:rFonts w:asciiTheme="majorHAnsi" w:eastAsiaTheme="minorEastAsia" w:hAnsiTheme="majorHAnsi" w:cstheme="majorHAnsi"/>
          <w:sz w:val="22"/>
          <w:szCs w:val="22"/>
          <w:lang w:val="en-US" w:eastAsia="es-ES"/>
        </w:rPr>
        <w:t>education in the MENA region</w:t>
      </w:r>
      <w:r w:rsidR="00E6778A" w:rsidRPr="004D79F6">
        <w:rPr>
          <w:rFonts w:asciiTheme="majorHAnsi" w:eastAsiaTheme="minorEastAsia" w:hAnsiTheme="majorHAnsi" w:cstheme="majorHAnsi"/>
          <w:sz w:val="22"/>
          <w:szCs w:val="22"/>
          <w:lang w:val="en-US" w:eastAsia="es-ES"/>
        </w:rPr>
        <w:t>; and</w:t>
      </w:r>
      <w:r w:rsidR="00E90863" w:rsidRPr="004D79F6">
        <w:rPr>
          <w:rFonts w:asciiTheme="majorHAnsi" w:eastAsiaTheme="minorEastAsia" w:hAnsiTheme="majorHAnsi" w:cstheme="majorHAnsi"/>
          <w:sz w:val="22"/>
          <w:szCs w:val="22"/>
          <w:lang w:val="en-US" w:eastAsia="es-ES"/>
        </w:rPr>
        <w:t xml:space="preserve"> </w:t>
      </w:r>
    </w:p>
    <w:p w14:paraId="46CA16F1" w14:textId="7A0731E6" w:rsidR="00E90863" w:rsidRPr="004D79F6" w:rsidRDefault="002B402D" w:rsidP="004D79F6">
      <w:pPr>
        <w:pStyle w:val="FootnoteText"/>
        <w:numPr>
          <w:ilvl w:val="0"/>
          <w:numId w:val="2"/>
        </w:numPr>
        <w:jc w:val="both"/>
        <w:rPr>
          <w:rFonts w:asciiTheme="majorHAnsi" w:eastAsiaTheme="minorEastAsia" w:hAnsiTheme="majorHAnsi" w:cstheme="majorHAnsi"/>
          <w:sz w:val="22"/>
          <w:szCs w:val="22"/>
          <w:lang w:val="en-US" w:eastAsia="es-ES"/>
        </w:rPr>
      </w:pPr>
      <w:r>
        <w:rPr>
          <w:rFonts w:asciiTheme="majorHAnsi" w:eastAsiaTheme="minorEastAsia" w:hAnsiTheme="majorHAnsi" w:cstheme="majorHAnsi"/>
          <w:sz w:val="22"/>
          <w:szCs w:val="22"/>
          <w:lang w:val="en-US" w:eastAsia="es-ES"/>
        </w:rPr>
        <w:t>R</w:t>
      </w:r>
      <w:r w:rsidR="00E90863" w:rsidRPr="004D79F6">
        <w:rPr>
          <w:rFonts w:asciiTheme="majorHAnsi" w:eastAsiaTheme="minorEastAsia" w:hAnsiTheme="majorHAnsi" w:cstheme="majorHAnsi"/>
          <w:sz w:val="22"/>
          <w:szCs w:val="22"/>
          <w:lang w:val="en-US" w:eastAsia="es-ES"/>
        </w:rPr>
        <w:t xml:space="preserve">eport on the internationalization of </w:t>
      </w:r>
      <w:r w:rsidR="00E85C1D">
        <w:rPr>
          <w:rFonts w:asciiTheme="majorHAnsi" w:eastAsiaTheme="minorEastAsia" w:hAnsiTheme="majorHAnsi" w:cstheme="majorHAnsi"/>
          <w:sz w:val="22"/>
          <w:szCs w:val="22"/>
          <w:lang w:val="en-US" w:eastAsia="es-ES"/>
        </w:rPr>
        <w:t>tertiary</w:t>
      </w:r>
      <w:r w:rsidR="00E85C1D" w:rsidRPr="004D79F6">
        <w:rPr>
          <w:rFonts w:asciiTheme="majorHAnsi" w:eastAsiaTheme="minorEastAsia" w:hAnsiTheme="majorHAnsi" w:cstheme="majorHAnsi"/>
          <w:sz w:val="22"/>
          <w:szCs w:val="22"/>
          <w:lang w:val="en-US" w:eastAsia="es-ES"/>
        </w:rPr>
        <w:t xml:space="preserve"> </w:t>
      </w:r>
      <w:r w:rsidR="00E90863" w:rsidRPr="004D79F6">
        <w:rPr>
          <w:rFonts w:asciiTheme="majorHAnsi" w:eastAsiaTheme="minorEastAsia" w:hAnsiTheme="majorHAnsi" w:cstheme="majorHAnsi"/>
          <w:sz w:val="22"/>
          <w:szCs w:val="22"/>
          <w:lang w:val="en-US" w:eastAsia="es-ES"/>
        </w:rPr>
        <w:t xml:space="preserve">education in the MENA region. </w:t>
      </w:r>
    </w:p>
    <w:p w14:paraId="3297DA48" w14:textId="37112120" w:rsidR="004B64A2" w:rsidRPr="004D79F6" w:rsidRDefault="004B64A2" w:rsidP="004D79F6">
      <w:pPr>
        <w:rPr>
          <w:rFonts w:asciiTheme="majorHAnsi" w:hAnsiTheme="majorHAnsi" w:cstheme="majorHAnsi"/>
          <w:sz w:val="22"/>
          <w:szCs w:val="22"/>
          <w:lang w:val="en-US"/>
        </w:rPr>
      </w:pPr>
      <w:r w:rsidRPr="004D79F6">
        <w:rPr>
          <w:rFonts w:asciiTheme="majorHAnsi" w:hAnsiTheme="majorHAnsi" w:cstheme="majorHAnsi"/>
          <w:sz w:val="22"/>
          <w:szCs w:val="22"/>
          <w:lang w:val="en-US"/>
        </w:rPr>
        <w:br w:type="page"/>
      </w:r>
    </w:p>
    <w:p w14:paraId="00C01F31" w14:textId="70FB4A17" w:rsidR="004B64A2" w:rsidRPr="004D79F6" w:rsidRDefault="004B64A2" w:rsidP="004D79F6">
      <w:pPr>
        <w:jc w:val="both"/>
        <w:rPr>
          <w:rFonts w:asciiTheme="majorHAnsi" w:hAnsiTheme="majorHAnsi" w:cstheme="majorHAnsi"/>
          <w:b/>
          <w:color w:val="548DD4" w:themeColor="text2" w:themeTint="99"/>
          <w:sz w:val="22"/>
          <w:szCs w:val="22"/>
          <w:lang w:val="en-US"/>
        </w:rPr>
      </w:pPr>
      <w:r w:rsidRPr="004D79F6">
        <w:rPr>
          <w:rFonts w:asciiTheme="majorHAnsi" w:hAnsiTheme="majorHAnsi" w:cstheme="majorHAnsi"/>
          <w:b/>
          <w:color w:val="548DD4" w:themeColor="text2" w:themeTint="99"/>
          <w:sz w:val="22"/>
          <w:szCs w:val="22"/>
          <w:lang w:val="en-US"/>
        </w:rPr>
        <w:lastRenderedPageBreak/>
        <w:t xml:space="preserve">Enclosures </w:t>
      </w:r>
    </w:p>
    <w:tbl>
      <w:tblPr>
        <w:tblStyle w:val="TableGrid"/>
        <w:tblW w:w="0" w:type="auto"/>
        <w:tblLook w:val="04A0" w:firstRow="1" w:lastRow="0" w:firstColumn="1" w:lastColumn="0" w:noHBand="0" w:noVBand="1"/>
      </w:tblPr>
      <w:tblGrid>
        <w:gridCol w:w="2335"/>
        <w:gridCol w:w="6493"/>
      </w:tblGrid>
      <w:tr w:rsidR="00A2313B" w:rsidRPr="00F73EB4" w14:paraId="0E5B0384" w14:textId="77777777" w:rsidTr="00B63193">
        <w:tc>
          <w:tcPr>
            <w:tcW w:w="2335" w:type="dxa"/>
          </w:tcPr>
          <w:p w14:paraId="581609F8" w14:textId="4FD87552" w:rsidR="00A2313B" w:rsidRPr="004D79F6" w:rsidRDefault="00A2313B" w:rsidP="004D79F6">
            <w:pPr>
              <w:pStyle w:val="FootnoteText"/>
              <w:jc w:val="both"/>
              <w:rPr>
                <w:rFonts w:asciiTheme="majorHAnsi" w:eastAsiaTheme="minorEastAsia" w:hAnsiTheme="majorHAnsi" w:cstheme="majorHAnsi"/>
                <w:sz w:val="22"/>
                <w:szCs w:val="22"/>
                <w:lang w:val="en-US" w:eastAsia="es-ES"/>
              </w:rPr>
            </w:pPr>
            <w:r w:rsidRPr="004D79F6">
              <w:rPr>
                <w:rFonts w:asciiTheme="majorHAnsi" w:hAnsiTheme="majorHAnsi" w:cstheme="majorHAnsi"/>
                <w:sz w:val="22"/>
                <w:szCs w:val="22"/>
              </w:rPr>
              <w:object w:dxaOrig="1508" w:dyaOrig="984" w14:anchorId="1E4ECB4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pt;height:49pt" o:ole="">
                  <v:imagedata r:id="rId15" o:title=""/>
                </v:shape>
                <o:OLEObject Type="Embed" ProgID="AcroExch.Document.2015" ShapeID="_x0000_i1025" DrawAspect="Icon" ObjectID="_1632650212" r:id="rId16"/>
              </w:object>
            </w:r>
          </w:p>
        </w:tc>
        <w:tc>
          <w:tcPr>
            <w:tcW w:w="6493" w:type="dxa"/>
          </w:tcPr>
          <w:p w14:paraId="60894CFA" w14:textId="3E01E9F5" w:rsidR="00A2313B" w:rsidRPr="004D79F6" w:rsidRDefault="00A2313B" w:rsidP="004D79F6">
            <w:pPr>
              <w:pStyle w:val="FootnoteText"/>
              <w:jc w:val="both"/>
              <w:rPr>
                <w:rFonts w:asciiTheme="majorHAnsi" w:eastAsiaTheme="minorEastAsia" w:hAnsiTheme="majorHAnsi" w:cstheme="majorHAnsi"/>
                <w:sz w:val="22"/>
                <w:szCs w:val="22"/>
                <w:lang w:val="en-US" w:eastAsia="es-ES"/>
              </w:rPr>
            </w:pPr>
            <w:r w:rsidRPr="004D79F6">
              <w:rPr>
                <w:rFonts w:asciiTheme="majorHAnsi" w:eastAsiaTheme="minorEastAsia" w:hAnsiTheme="majorHAnsi" w:cstheme="majorHAnsi"/>
                <w:sz w:val="22"/>
                <w:szCs w:val="22"/>
                <w:lang w:val="en-US" w:eastAsia="es-ES"/>
              </w:rPr>
              <w:t>Conference Booklet of the Beirut 2015 MENA Conference</w:t>
            </w:r>
          </w:p>
        </w:tc>
      </w:tr>
      <w:tr w:rsidR="00A2313B" w:rsidRPr="00F73EB4" w14:paraId="100E70BF" w14:textId="77777777" w:rsidTr="00B63193">
        <w:tc>
          <w:tcPr>
            <w:tcW w:w="2335" w:type="dxa"/>
          </w:tcPr>
          <w:p w14:paraId="54A2999F" w14:textId="60E797A7" w:rsidR="00A2313B" w:rsidRPr="004D79F6" w:rsidRDefault="00A2313B" w:rsidP="004D79F6">
            <w:pPr>
              <w:pStyle w:val="FootnoteText"/>
              <w:jc w:val="both"/>
              <w:rPr>
                <w:rFonts w:asciiTheme="majorHAnsi" w:eastAsiaTheme="minorEastAsia" w:hAnsiTheme="majorHAnsi" w:cstheme="majorHAnsi"/>
                <w:sz w:val="22"/>
                <w:szCs w:val="22"/>
                <w:lang w:val="en-US" w:eastAsia="es-ES"/>
              </w:rPr>
            </w:pPr>
            <w:r w:rsidRPr="004D79F6">
              <w:rPr>
                <w:rFonts w:asciiTheme="majorHAnsi" w:hAnsiTheme="majorHAnsi" w:cstheme="majorHAnsi"/>
                <w:sz w:val="22"/>
                <w:szCs w:val="22"/>
              </w:rPr>
              <w:object w:dxaOrig="1508" w:dyaOrig="984" w14:anchorId="1DC670F1">
                <v:shape id="_x0000_i1026" type="#_x0000_t75" style="width:76pt;height:49pt" o:ole="">
                  <v:imagedata r:id="rId17" o:title=""/>
                </v:shape>
                <o:OLEObject Type="Embed" ProgID="AcroExch.Document.2015" ShapeID="_x0000_i1026" DrawAspect="Icon" ObjectID="_1632650213" r:id="rId18"/>
              </w:object>
            </w:r>
          </w:p>
        </w:tc>
        <w:tc>
          <w:tcPr>
            <w:tcW w:w="6493" w:type="dxa"/>
          </w:tcPr>
          <w:p w14:paraId="7CEC4B37" w14:textId="15AF4778" w:rsidR="00A2313B" w:rsidRPr="004D79F6" w:rsidRDefault="00A2313B" w:rsidP="004D79F6">
            <w:pPr>
              <w:pStyle w:val="FootnoteText"/>
              <w:jc w:val="both"/>
              <w:rPr>
                <w:rFonts w:asciiTheme="majorHAnsi" w:eastAsiaTheme="minorEastAsia" w:hAnsiTheme="majorHAnsi" w:cstheme="majorHAnsi"/>
                <w:sz w:val="22"/>
                <w:szCs w:val="22"/>
                <w:lang w:val="en-US" w:eastAsia="es-ES"/>
              </w:rPr>
            </w:pPr>
            <w:r w:rsidRPr="004D79F6">
              <w:rPr>
                <w:rFonts w:asciiTheme="majorHAnsi" w:eastAsiaTheme="minorEastAsia" w:hAnsiTheme="majorHAnsi" w:cstheme="majorHAnsi"/>
                <w:sz w:val="22"/>
                <w:szCs w:val="22"/>
                <w:lang w:val="en-US" w:eastAsia="es-ES"/>
              </w:rPr>
              <w:t>Conference Booklet of the Algeria 2016 MENA Conference</w:t>
            </w:r>
          </w:p>
        </w:tc>
      </w:tr>
      <w:tr w:rsidR="00B04BB9" w:rsidRPr="004D79F6" w14:paraId="040D86E3" w14:textId="77777777" w:rsidTr="00B63193">
        <w:tc>
          <w:tcPr>
            <w:tcW w:w="2335" w:type="dxa"/>
          </w:tcPr>
          <w:p w14:paraId="298CCFE6" w14:textId="617BB943" w:rsidR="00B04BB9" w:rsidRPr="004D79F6" w:rsidRDefault="00B04BB9" w:rsidP="004D79F6">
            <w:pPr>
              <w:pStyle w:val="FootnoteText"/>
              <w:jc w:val="both"/>
              <w:rPr>
                <w:rFonts w:asciiTheme="majorHAnsi" w:hAnsiTheme="majorHAnsi" w:cstheme="majorHAnsi"/>
                <w:sz w:val="22"/>
                <w:szCs w:val="22"/>
              </w:rPr>
            </w:pPr>
            <w:r w:rsidRPr="004D79F6">
              <w:rPr>
                <w:rFonts w:asciiTheme="majorHAnsi" w:hAnsiTheme="majorHAnsi" w:cstheme="majorHAnsi"/>
                <w:sz w:val="22"/>
                <w:szCs w:val="22"/>
              </w:rPr>
              <w:object w:dxaOrig="1508" w:dyaOrig="984" w14:anchorId="13132B95">
                <v:shape id="_x0000_i1027" type="#_x0000_t75" style="width:76pt;height:49pt" o:ole="">
                  <v:imagedata r:id="rId19" o:title=""/>
                </v:shape>
                <o:OLEObject Type="Embed" ProgID="AcroExch.Document.2015" ShapeID="_x0000_i1027" DrawAspect="Icon" ObjectID="_1632650214" r:id="rId20"/>
              </w:object>
            </w:r>
          </w:p>
        </w:tc>
        <w:tc>
          <w:tcPr>
            <w:tcW w:w="6493" w:type="dxa"/>
          </w:tcPr>
          <w:p w14:paraId="1A1072B7" w14:textId="24696B9C" w:rsidR="00B04BB9" w:rsidRPr="003E1800" w:rsidRDefault="00B04BB9" w:rsidP="004D79F6">
            <w:pPr>
              <w:pStyle w:val="FootnoteText"/>
              <w:jc w:val="both"/>
              <w:rPr>
                <w:rFonts w:asciiTheme="majorHAnsi" w:eastAsiaTheme="minorEastAsia" w:hAnsiTheme="majorHAnsi" w:cstheme="majorHAnsi"/>
                <w:sz w:val="22"/>
                <w:szCs w:val="22"/>
                <w:lang w:val="it-IT" w:eastAsia="es-ES"/>
              </w:rPr>
            </w:pPr>
            <w:r w:rsidRPr="003E1800">
              <w:rPr>
                <w:rFonts w:asciiTheme="majorHAnsi" w:eastAsiaTheme="minorEastAsia" w:hAnsiTheme="majorHAnsi" w:cstheme="majorHAnsi"/>
                <w:sz w:val="22"/>
                <w:szCs w:val="22"/>
                <w:lang w:val="it-IT" w:eastAsia="es-ES"/>
              </w:rPr>
              <w:t>Conference Report. Algeria 2016 MENA Conference</w:t>
            </w:r>
          </w:p>
        </w:tc>
      </w:tr>
      <w:tr w:rsidR="00A2313B" w:rsidRPr="00F73EB4" w14:paraId="24C9CDC0" w14:textId="77777777" w:rsidTr="00B63193">
        <w:tc>
          <w:tcPr>
            <w:tcW w:w="2335" w:type="dxa"/>
          </w:tcPr>
          <w:p w14:paraId="15081B4B" w14:textId="0EEF8AC7" w:rsidR="00A2313B" w:rsidRPr="004D79F6" w:rsidRDefault="00A2313B" w:rsidP="004D79F6">
            <w:pPr>
              <w:pStyle w:val="FootnoteText"/>
              <w:jc w:val="both"/>
              <w:rPr>
                <w:rFonts w:asciiTheme="majorHAnsi" w:eastAsiaTheme="minorEastAsia" w:hAnsiTheme="majorHAnsi" w:cstheme="majorHAnsi"/>
                <w:sz w:val="22"/>
                <w:szCs w:val="22"/>
                <w:lang w:val="en-US" w:eastAsia="es-ES"/>
              </w:rPr>
            </w:pPr>
            <w:r w:rsidRPr="004D79F6">
              <w:rPr>
                <w:rFonts w:asciiTheme="majorHAnsi" w:hAnsiTheme="majorHAnsi" w:cstheme="majorHAnsi"/>
                <w:sz w:val="22"/>
                <w:szCs w:val="22"/>
              </w:rPr>
              <w:object w:dxaOrig="1508" w:dyaOrig="984" w14:anchorId="7A61A478">
                <v:shape id="_x0000_i1028" type="#_x0000_t75" style="width:76pt;height:49pt" o:ole="">
                  <v:imagedata r:id="rId21" o:title=""/>
                </v:shape>
                <o:OLEObject Type="Embed" ProgID="AcroExch.Document.2015" ShapeID="_x0000_i1028" DrawAspect="Icon" ObjectID="_1632650215" r:id="rId22"/>
              </w:object>
            </w:r>
          </w:p>
        </w:tc>
        <w:tc>
          <w:tcPr>
            <w:tcW w:w="6493" w:type="dxa"/>
          </w:tcPr>
          <w:p w14:paraId="730BBFCB" w14:textId="7AB660AA" w:rsidR="00A2313B" w:rsidRPr="004D79F6" w:rsidRDefault="00A2313B" w:rsidP="004D79F6">
            <w:pPr>
              <w:pStyle w:val="FootnoteText"/>
              <w:jc w:val="both"/>
              <w:rPr>
                <w:rFonts w:asciiTheme="majorHAnsi" w:eastAsiaTheme="minorEastAsia" w:hAnsiTheme="majorHAnsi" w:cstheme="majorHAnsi"/>
                <w:sz w:val="22"/>
                <w:szCs w:val="22"/>
                <w:lang w:val="en-US" w:eastAsia="es-ES"/>
              </w:rPr>
            </w:pPr>
            <w:r w:rsidRPr="004D79F6">
              <w:rPr>
                <w:rFonts w:asciiTheme="majorHAnsi" w:eastAsiaTheme="minorEastAsia" w:hAnsiTheme="majorHAnsi" w:cstheme="majorHAnsi"/>
                <w:sz w:val="22"/>
                <w:szCs w:val="22"/>
                <w:lang w:val="en-US" w:eastAsia="es-ES"/>
              </w:rPr>
              <w:t>Conference Booklet of the Marseille 2017 MENA Conference</w:t>
            </w:r>
          </w:p>
        </w:tc>
      </w:tr>
      <w:tr w:rsidR="00A2313B" w:rsidRPr="00F73EB4" w14:paraId="67968524" w14:textId="77777777" w:rsidTr="00B63193">
        <w:tc>
          <w:tcPr>
            <w:tcW w:w="2335" w:type="dxa"/>
          </w:tcPr>
          <w:p w14:paraId="6CE71417" w14:textId="4F5FEF7F" w:rsidR="00A2313B" w:rsidRPr="004D79F6" w:rsidRDefault="00A2313B" w:rsidP="004D79F6">
            <w:pPr>
              <w:pStyle w:val="FootnoteText"/>
              <w:jc w:val="both"/>
              <w:rPr>
                <w:rFonts w:asciiTheme="majorHAnsi" w:eastAsiaTheme="minorEastAsia" w:hAnsiTheme="majorHAnsi" w:cstheme="majorHAnsi"/>
                <w:sz w:val="22"/>
                <w:szCs w:val="22"/>
                <w:lang w:val="en-US" w:eastAsia="es-ES"/>
              </w:rPr>
            </w:pPr>
            <w:r w:rsidRPr="004D79F6">
              <w:rPr>
                <w:rFonts w:asciiTheme="majorHAnsi" w:hAnsiTheme="majorHAnsi" w:cstheme="majorHAnsi"/>
                <w:sz w:val="22"/>
                <w:szCs w:val="22"/>
              </w:rPr>
              <w:object w:dxaOrig="1508" w:dyaOrig="984" w14:anchorId="0789DFEB">
                <v:shape id="_x0000_i1029" type="#_x0000_t75" style="width:76pt;height:49pt" o:ole="">
                  <v:imagedata r:id="rId23" o:title=""/>
                </v:shape>
                <o:OLEObject Type="Embed" ProgID="Word.Document.12" ShapeID="_x0000_i1029" DrawAspect="Icon" ObjectID="_1632650216" r:id="rId24">
                  <o:FieldCodes>\s</o:FieldCodes>
                </o:OLEObject>
              </w:object>
            </w:r>
          </w:p>
        </w:tc>
        <w:tc>
          <w:tcPr>
            <w:tcW w:w="6493" w:type="dxa"/>
          </w:tcPr>
          <w:p w14:paraId="77FAB249" w14:textId="08B4639C" w:rsidR="00A2313B" w:rsidRPr="004D79F6" w:rsidRDefault="00A2313B" w:rsidP="004D79F6">
            <w:pPr>
              <w:pStyle w:val="FootnoteText"/>
              <w:jc w:val="both"/>
              <w:rPr>
                <w:rFonts w:asciiTheme="majorHAnsi" w:eastAsiaTheme="minorEastAsia" w:hAnsiTheme="majorHAnsi" w:cstheme="majorHAnsi"/>
                <w:sz w:val="22"/>
                <w:szCs w:val="22"/>
                <w:lang w:val="en-US" w:eastAsia="es-ES"/>
              </w:rPr>
            </w:pPr>
            <w:r w:rsidRPr="004D79F6">
              <w:rPr>
                <w:rFonts w:asciiTheme="majorHAnsi" w:eastAsiaTheme="minorEastAsia" w:hAnsiTheme="majorHAnsi" w:cstheme="majorHAnsi"/>
                <w:sz w:val="22"/>
                <w:szCs w:val="22"/>
                <w:lang w:val="en-US" w:eastAsia="es-ES"/>
              </w:rPr>
              <w:t>Draft. Financing of higher education in Egypt</w:t>
            </w:r>
          </w:p>
        </w:tc>
      </w:tr>
      <w:tr w:rsidR="00A2313B" w:rsidRPr="00F73EB4" w14:paraId="6FE5F8B4" w14:textId="77777777" w:rsidTr="00B63193">
        <w:tc>
          <w:tcPr>
            <w:tcW w:w="2335" w:type="dxa"/>
          </w:tcPr>
          <w:p w14:paraId="147EA234" w14:textId="7B230992" w:rsidR="00A2313B" w:rsidRPr="004D79F6" w:rsidRDefault="00A2313B" w:rsidP="004D79F6">
            <w:pPr>
              <w:pStyle w:val="FootnoteText"/>
              <w:jc w:val="both"/>
              <w:rPr>
                <w:rFonts w:asciiTheme="majorHAnsi" w:eastAsiaTheme="minorEastAsia" w:hAnsiTheme="majorHAnsi" w:cstheme="majorHAnsi"/>
                <w:sz w:val="22"/>
                <w:szCs w:val="22"/>
                <w:lang w:val="en-US" w:eastAsia="es-ES"/>
              </w:rPr>
            </w:pPr>
            <w:r w:rsidRPr="004D79F6">
              <w:rPr>
                <w:rFonts w:asciiTheme="majorHAnsi" w:hAnsiTheme="majorHAnsi" w:cstheme="majorHAnsi"/>
                <w:sz w:val="22"/>
                <w:szCs w:val="22"/>
              </w:rPr>
              <w:object w:dxaOrig="1508" w:dyaOrig="984" w14:anchorId="3CE6BE65">
                <v:shape id="_x0000_i1030" type="#_x0000_t75" style="width:76pt;height:49pt" o:ole="">
                  <v:imagedata r:id="rId25" o:title=""/>
                </v:shape>
                <o:OLEObject Type="Embed" ProgID="Word.Document.12" ShapeID="_x0000_i1030" DrawAspect="Icon" ObjectID="_1632650217" r:id="rId26">
                  <o:FieldCodes>\s</o:FieldCodes>
                </o:OLEObject>
              </w:object>
            </w:r>
          </w:p>
        </w:tc>
        <w:tc>
          <w:tcPr>
            <w:tcW w:w="6493" w:type="dxa"/>
          </w:tcPr>
          <w:p w14:paraId="59215C7C" w14:textId="52F1216B" w:rsidR="00A2313B" w:rsidRPr="004D79F6" w:rsidRDefault="00A2313B" w:rsidP="004D79F6">
            <w:pPr>
              <w:pStyle w:val="FootnoteText"/>
              <w:jc w:val="both"/>
              <w:rPr>
                <w:rFonts w:asciiTheme="majorHAnsi" w:eastAsiaTheme="minorEastAsia" w:hAnsiTheme="majorHAnsi" w:cstheme="majorHAnsi"/>
                <w:sz w:val="22"/>
                <w:szCs w:val="22"/>
                <w:lang w:val="en-US" w:eastAsia="es-ES"/>
              </w:rPr>
            </w:pPr>
            <w:r w:rsidRPr="004D79F6">
              <w:rPr>
                <w:rFonts w:asciiTheme="majorHAnsi" w:eastAsiaTheme="minorEastAsia" w:hAnsiTheme="majorHAnsi" w:cstheme="majorHAnsi"/>
                <w:sz w:val="22"/>
                <w:szCs w:val="22"/>
                <w:lang w:val="en-US" w:eastAsia="es-ES"/>
              </w:rPr>
              <w:t>Draft. Financing of higher education in Morocco</w:t>
            </w:r>
          </w:p>
        </w:tc>
      </w:tr>
      <w:tr w:rsidR="00A2313B" w:rsidRPr="00F73EB4" w14:paraId="14C05E21" w14:textId="77777777" w:rsidTr="00B63193">
        <w:tc>
          <w:tcPr>
            <w:tcW w:w="2335" w:type="dxa"/>
          </w:tcPr>
          <w:p w14:paraId="3E14BA99" w14:textId="71F5EE13" w:rsidR="00A2313B" w:rsidRPr="004D79F6" w:rsidRDefault="00A2313B" w:rsidP="004D79F6">
            <w:pPr>
              <w:pStyle w:val="FootnoteText"/>
              <w:jc w:val="both"/>
              <w:rPr>
                <w:rFonts w:asciiTheme="majorHAnsi" w:hAnsiTheme="majorHAnsi" w:cstheme="majorHAnsi"/>
                <w:sz w:val="22"/>
                <w:szCs w:val="22"/>
              </w:rPr>
            </w:pPr>
            <w:r w:rsidRPr="004D79F6">
              <w:rPr>
                <w:rFonts w:asciiTheme="majorHAnsi" w:hAnsiTheme="majorHAnsi" w:cstheme="majorHAnsi"/>
                <w:sz w:val="22"/>
                <w:szCs w:val="22"/>
              </w:rPr>
              <w:object w:dxaOrig="1508" w:dyaOrig="984" w14:anchorId="7B7927B9">
                <v:shape id="_x0000_i1031" type="#_x0000_t75" style="width:76pt;height:49pt" o:ole="">
                  <v:imagedata r:id="rId27" o:title=""/>
                </v:shape>
                <o:OLEObject Type="Embed" ProgID="Word.Document.12" ShapeID="_x0000_i1031" DrawAspect="Icon" ObjectID="_1632650218" r:id="rId28">
                  <o:FieldCodes>\s</o:FieldCodes>
                </o:OLEObject>
              </w:object>
            </w:r>
          </w:p>
        </w:tc>
        <w:tc>
          <w:tcPr>
            <w:tcW w:w="6493" w:type="dxa"/>
          </w:tcPr>
          <w:p w14:paraId="3C47421E" w14:textId="77620EFB" w:rsidR="00A2313B" w:rsidRPr="004D79F6" w:rsidRDefault="00A2313B" w:rsidP="004D79F6">
            <w:pPr>
              <w:pStyle w:val="FootnoteText"/>
              <w:jc w:val="both"/>
              <w:rPr>
                <w:rFonts w:asciiTheme="majorHAnsi" w:eastAsiaTheme="minorEastAsia" w:hAnsiTheme="majorHAnsi" w:cstheme="majorHAnsi"/>
                <w:sz w:val="22"/>
                <w:szCs w:val="22"/>
                <w:lang w:val="en-US" w:eastAsia="es-ES"/>
              </w:rPr>
            </w:pPr>
            <w:r w:rsidRPr="004D79F6">
              <w:rPr>
                <w:rFonts w:asciiTheme="majorHAnsi" w:eastAsiaTheme="minorEastAsia" w:hAnsiTheme="majorHAnsi" w:cstheme="majorHAnsi"/>
                <w:sz w:val="22"/>
                <w:szCs w:val="22"/>
                <w:lang w:val="en-US" w:eastAsia="es-ES"/>
              </w:rPr>
              <w:t>Draft. Financing of higher education in Palestine</w:t>
            </w:r>
          </w:p>
        </w:tc>
      </w:tr>
      <w:tr w:rsidR="0030273C" w:rsidRPr="00F73EB4" w14:paraId="1FBC16A7" w14:textId="77777777" w:rsidTr="00B63193">
        <w:tc>
          <w:tcPr>
            <w:tcW w:w="2335" w:type="dxa"/>
          </w:tcPr>
          <w:p w14:paraId="2354193B" w14:textId="0F373761" w:rsidR="0030273C" w:rsidRPr="004D79F6" w:rsidRDefault="0030273C" w:rsidP="004D79F6">
            <w:pPr>
              <w:pStyle w:val="FootnoteText"/>
              <w:jc w:val="both"/>
              <w:rPr>
                <w:rFonts w:asciiTheme="majorHAnsi" w:hAnsiTheme="majorHAnsi" w:cstheme="majorHAnsi"/>
                <w:sz w:val="22"/>
                <w:szCs w:val="22"/>
              </w:rPr>
            </w:pPr>
            <w:r w:rsidRPr="004D79F6">
              <w:rPr>
                <w:rFonts w:asciiTheme="majorHAnsi" w:hAnsiTheme="majorHAnsi" w:cstheme="majorHAnsi"/>
                <w:sz w:val="22"/>
                <w:szCs w:val="22"/>
              </w:rPr>
              <w:object w:dxaOrig="1508" w:dyaOrig="984" w14:anchorId="4A5DE56C">
                <v:shape id="_x0000_i1032" type="#_x0000_t75" style="width:76pt;height:49pt" o:ole="">
                  <v:imagedata r:id="rId29" o:title=""/>
                </v:shape>
                <o:OLEObject Type="Embed" ProgID="Word.Document.12" ShapeID="_x0000_i1032" DrawAspect="Icon" ObjectID="_1632650219" r:id="rId30">
                  <o:FieldCodes>\s</o:FieldCodes>
                </o:OLEObject>
              </w:object>
            </w:r>
          </w:p>
        </w:tc>
        <w:tc>
          <w:tcPr>
            <w:tcW w:w="6493" w:type="dxa"/>
          </w:tcPr>
          <w:p w14:paraId="6C58A4ED" w14:textId="44D7D84D" w:rsidR="0030273C" w:rsidRPr="004D79F6" w:rsidRDefault="0030273C" w:rsidP="004D79F6">
            <w:pPr>
              <w:pStyle w:val="FootnoteText"/>
              <w:jc w:val="both"/>
              <w:rPr>
                <w:rFonts w:asciiTheme="majorHAnsi" w:eastAsiaTheme="minorEastAsia" w:hAnsiTheme="majorHAnsi" w:cstheme="majorHAnsi"/>
                <w:sz w:val="22"/>
                <w:szCs w:val="22"/>
                <w:lang w:val="en-US" w:eastAsia="es-ES"/>
              </w:rPr>
            </w:pPr>
            <w:r w:rsidRPr="004D79F6">
              <w:rPr>
                <w:rFonts w:asciiTheme="majorHAnsi" w:eastAsiaTheme="minorEastAsia" w:hAnsiTheme="majorHAnsi" w:cstheme="majorHAnsi"/>
                <w:sz w:val="22"/>
                <w:szCs w:val="22"/>
                <w:lang w:val="en-US" w:eastAsia="es-ES"/>
              </w:rPr>
              <w:t>Draft. Financing of higher education in Lebanon, Jordan and KRI</w:t>
            </w:r>
          </w:p>
        </w:tc>
      </w:tr>
      <w:tr w:rsidR="0030273C" w:rsidRPr="00F73EB4" w14:paraId="14EA66CE" w14:textId="77777777" w:rsidTr="00B63193">
        <w:tc>
          <w:tcPr>
            <w:tcW w:w="2335" w:type="dxa"/>
          </w:tcPr>
          <w:p w14:paraId="4A84199E" w14:textId="3BCFBDC3" w:rsidR="0030273C" w:rsidRPr="004D79F6" w:rsidRDefault="0030273C" w:rsidP="004D79F6">
            <w:pPr>
              <w:pStyle w:val="FootnoteText"/>
              <w:jc w:val="both"/>
              <w:rPr>
                <w:rFonts w:asciiTheme="majorHAnsi" w:hAnsiTheme="majorHAnsi" w:cstheme="majorHAnsi"/>
                <w:sz w:val="22"/>
                <w:szCs w:val="22"/>
              </w:rPr>
            </w:pPr>
            <w:r w:rsidRPr="004D79F6">
              <w:rPr>
                <w:rFonts w:asciiTheme="majorHAnsi" w:hAnsiTheme="majorHAnsi" w:cstheme="majorHAnsi"/>
                <w:sz w:val="22"/>
                <w:szCs w:val="22"/>
              </w:rPr>
              <w:object w:dxaOrig="1508" w:dyaOrig="984" w14:anchorId="643762A2">
                <v:shape id="_x0000_i1033" type="#_x0000_t75" style="width:76pt;height:49pt" o:ole="">
                  <v:imagedata r:id="rId31" o:title=""/>
                </v:shape>
                <o:OLEObject Type="Embed" ProgID="Word.Document.12" ShapeID="_x0000_i1033" DrawAspect="Icon" ObjectID="_1632650220" r:id="rId32">
                  <o:FieldCodes>\s</o:FieldCodes>
                </o:OLEObject>
              </w:object>
            </w:r>
          </w:p>
        </w:tc>
        <w:tc>
          <w:tcPr>
            <w:tcW w:w="6493" w:type="dxa"/>
          </w:tcPr>
          <w:p w14:paraId="48D7ABE6" w14:textId="5665A09A" w:rsidR="0030273C" w:rsidRPr="004D79F6" w:rsidRDefault="0030273C" w:rsidP="004D79F6">
            <w:pPr>
              <w:pStyle w:val="FootnoteText"/>
              <w:jc w:val="both"/>
              <w:rPr>
                <w:rFonts w:asciiTheme="majorHAnsi" w:eastAsiaTheme="minorEastAsia" w:hAnsiTheme="majorHAnsi" w:cstheme="majorHAnsi"/>
                <w:sz w:val="22"/>
                <w:szCs w:val="22"/>
                <w:lang w:val="en-US" w:eastAsia="es-ES"/>
              </w:rPr>
            </w:pPr>
            <w:r w:rsidRPr="004D79F6">
              <w:rPr>
                <w:rFonts w:asciiTheme="majorHAnsi" w:eastAsiaTheme="minorEastAsia" w:hAnsiTheme="majorHAnsi" w:cstheme="majorHAnsi"/>
                <w:sz w:val="22"/>
                <w:szCs w:val="22"/>
                <w:lang w:val="en-US" w:eastAsia="es-ES"/>
              </w:rPr>
              <w:t xml:space="preserve">Draft. Financing of higher education in Tunisia </w:t>
            </w:r>
          </w:p>
        </w:tc>
      </w:tr>
      <w:tr w:rsidR="0030273C" w:rsidRPr="00F73EB4" w14:paraId="5E64D722" w14:textId="77777777" w:rsidTr="00B63193">
        <w:tc>
          <w:tcPr>
            <w:tcW w:w="2335" w:type="dxa"/>
          </w:tcPr>
          <w:p w14:paraId="3A697BF6" w14:textId="452653C7" w:rsidR="0030273C" w:rsidRPr="004D79F6" w:rsidRDefault="0030273C" w:rsidP="004D79F6">
            <w:pPr>
              <w:pStyle w:val="FootnoteText"/>
              <w:jc w:val="both"/>
              <w:rPr>
                <w:rFonts w:asciiTheme="majorHAnsi" w:hAnsiTheme="majorHAnsi" w:cstheme="majorHAnsi"/>
                <w:sz w:val="22"/>
                <w:szCs w:val="22"/>
              </w:rPr>
            </w:pPr>
            <w:r w:rsidRPr="004D79F6">
              <w:rPr>
                <w:rFonts w:asciiTheme="majorHAnsi" w:hAnsiTheme="majorHAnsi" w:cstheme="majorHAnsi"/>
                <w:sz w:val="22"/>
                <w:szCs w:val="22"/>
              </w:rPr>
              <w:object w:dxaOrig="1508" w:dyaOrig="984" w14:anchorId="133A7850">
                <v:shape id="_x0000_i1034" type="#_x0000_t75" style="width:76pt;height:49pt" o:ole="">
                  <v:imagedata r:id="rId33" o:title=""/>
                </v:shape>
                <o:OLEObject Type="Embed" ProgID="Word.Document.12" ShapeID="_x0000_i1034" DrawAspect="Icon" ObjectID="_1632650221" r:id="rId34">
                  <o:FieldCodes>\s</o:FieldCodes>
                </o:OLEObject>
              </w:object>
            </w:r>
          </w:p>
        </w:tc>
        <w:tc>
          <w:tcPr>
            <w:tcW w:w="6493" w:type="dxa"/>
          </w:tcPr>
          <w:p w14:paraId="7BC5629B" w14:textId="2644C4A2" w:rsidR="0030273C" w:rsidRPr="004D79F6" w:rsidRDefault="0030273C" w:rsidP="004D79F6">
            <w:pPr>
              <w:pStyle w:val="FootnoteText"/>
              <w:jc w:val="both"/>
              <w:rPr>
                <w:rFonts w:asciiTheme="majorHAnsi" w:eastAsiaTheme="minorEastAsia" w:hAnsiTheme="majorHAnsi" w:cstheme="majorHAnsi"/>
                <w:sz w:val="22"/>
                <w:szCs w:val="22"/>
                <w:lang w:val="en-US" w:eastAsia="es-ES"/>
              </w:rPr>
            </w:pPr>
            <w:r w:rsidRPr="004D79F6">
              <w:rPr>
                <w:rFonts w:asciiTheme="majorHAnsi" w:eastAsiaTheme="minorEastAsia" w:hAnsiTheme="majorHAnsi" w:cstheme="majorHAnsi"/>
                <w:sz w:val="22"/>
                <w:szCs w:val="22"/>
                <w:lang w:val="en-US" w:eastAsia="es-ES"/>
              </w:rPr>
              <w:t>Draft. Financing of Higher Education in Algeria.</w:t>
            </w:r>
          </w:p>
        </w:tc>
      </w:tr>
      <w:tr w:rsidR="00A2313B" w:rsidRPr="00F73EB4" w14:paraId="68C64148" w14:textId="77777777" w:rsidTr="00B63193">
        <w:tc>
          <w:tcPr>
            <w:tcW w:w="2335" w:type="dxa"/>
          </w:tcPr>
          <w:p w14:paraId="62F1EFDC" w14:textId="33CED4B2" w:rsidR="00A2313B" w:rsidRPr="004D79F6" w:rsidRDefault="00A2313B" w:rsidP="004D79F6">
            <w:pPr>
              <w:pStyle w:val="FootnoteText"/>
              <w:jc w:val="both"/>
              <w:rPr>
                <w:rFonts w:asciiTheme="majorHAnsi" w:hAnsiTheme="majorHAnsi" w:cstheme="majorHAnsi"/>
                <w:sz w:val="22"/>
                <w:szCs w:val="22"/>
              </w:rPr>
            </w:pPr>
            <w:r w:rsidRPr="004D79F6">
              <w:rPr>
                <w:rFonts w:asciiTheme="majorHAnsi" w:hAnsiTheme="majorHAnsi" w:cstheme="majorHAnsi"/>
                <w:sz w:val="22"/>
                <w:szCs w:val="22"/>
              </w:rPr>
              <w:object w:dxaOrig="1508" w:dyaOrig="984" w14:anchorId="78D58EA9">
                <v:shape id="_x0000_i1035" type="#_x0000_t75" style="width:76pt;height:49pt" o:ole="">
                  <v:imagedata r:id="rId35" o:title=""/>
                </v:shape>
                <o:OLEObject Type="Embed" ProgID="PowerPoint.Show.12" ShapeID="_x0000_i1035" DrawAspect="Icon" ObjectID="_1632650222" r:id="rId36"/>
              </w:object>
            </w:r>
          </w:p>
        </w:tc>
        <w:tc>
          <w:tcPr>
            <w:tcW w:w="6493" w:type="dxa"/>
          </w:tcPr>
          <w:p w14:paraId="768BB5B1" w14:textId="1751FBD1" w:rsidR="00A2313B" w:rsidRPr="004D79F6" w:rsidRDefault="00A2313B" w:rsidP="004D79F6">
            <w:pPr>
              <w:pStyle w:val="FootnoteText"/>
              <w:jc w:val="both"/>
              <w:rPr>
                <w:rFonts w:asciiTheme="majorHAnsi" w:eastAsiaTheme="minorEastAsia" w:hAnsiTheme="majorHAnsi" w:cstheme="majorHAnsi"/>
                <w:sz w:val="22"/>
                <w:szCs w:val="22"/>
                <w:lang w:val="en-US" w:eastAsia="es-ES"/>
              </w:rPr>
            </w:pPr>
            <w:r w:rsidRPr="004D79F6">
              <w:rPr>
                <w:rFonts w:asciiTheme="majorHAnsi" w:eastAsiaTheme="minorEastAsia" w:hAnsiTheme="majorHAnsi" w:cstheme="majorHAnsi"/>
                <w:sz w:val="22"/>
                <w:szCs w:val="22"/>
                <w:lang w:val="en-US" w:eastAsia="es-ES"/>
              </w:rPr>
              <w:t>Presentation. Financing of higher education in MENA</w:t>
            </w:r>
          </w:p>
        </w:tc>
      </w:tr>
      <w:tr w:rsidR="00A2313B" w:rsidRPr="00F73EB4" w14:paraId="541A4BF3" w14:textId="77777777" w:rsidTr="00B63193">
        <w:tc>
          <w:tcPr>
            <w:tcW w:w="2335" w:type="dxa"/>
          </w:tcPr>
          <w:p w14:paraId="5C509F95" w14:textId="43CE7EB2" w:rsidR="00A2313B" w:rsidRPr="004D79F6" w:rsidRDefault="00FF71F9" w:rsidP="004D79F6">
            <w:pPr>
              <w:pStyle w:val="FootnoteText"/>
              <w:jc w:val="both"/>
              <w:rPr>
                <w:rFonts w:asciiTheme="majorHAnsi" w:hAnsiTheme="majorHAnsi" w:cstheme="majorHAnsi"/>
                <w:sz w:val="22"/>
                <w:szCs w:val="22"/>
              </w:rPr>
            </w:pPr>
            <w:r w:rsidRPr="004D79F6">
              <w:rPr>
                <w:rFonts w:asciiTheme="majorHAnsi" w:hAnsiTheme="majorHAnsi" w:cstheme="majorHAnsi"/>
                <w:sz w:val="22"/>
                <w:szCs w:val="22"/>
              </w:rPr>
              <w:object w:dxaOrig="1508" w:dyaOrig="984" w14:anchorId="121ED498">
                <v:shape id="_x0000_i1036" type="#_x0000_t75" style="width:76pt;height:49pt" o:ole="">
                  <v:imagedata r:id="rId37" o:title=""/>
                </v:shape>
                <o:OLEObject Type="Embed" ProgID="AcroExch.Document.2015" ShapeID="_x0000_i1036" DrawAspect="Icon" ObjectID="_1632650223" r:id="rId38"/>
              </w:object>
            </w:r>
          </w:p>
        </w:tc>
        <w:tc>
          <w:tcPr>
            <w:tcW w:w="6493" w:type="dxa"/>
          </w:tcPr>
          <w:p w14:paraId="1C070367" w14:textId="61C99141" w:rsidR="00A2313B" w:rsidRPr="004D79F6" w:rsidRDefault="00A2313B" w:rsidP="004D79F6">
            <w:pPr>
              <w:pStyle w:val="FootnoteText"/>
              <w:jc w:val="both"/>
              <w:rPr>
                <w:rFonts w:asciiTheme="majorHAnsi" w:eastAsiaTheme="minorEastAsia" w:hAnsiTheme="majorHAnsi" w:cstheme="majorHAnsi"/>
                <w:sz w:val="22"/>
                <w:szCs w:val="22"/>
                <w:lang w:val="en-US" w:eastAsia="es-ES"/>
              </w:rPr>
            </w:pPr>
            <w:r w:rsidRPr="004D79F6">
              <w:rPr>
                <w:rFonts w:asciiTheme="majorHAnsi" w:eastAsiaTheme="minorEastAsia" w:hAnsiTheme="majorHAnsi" w:cstheme="majorHAnsi"/>
                <w:sz w:val="22"/>
                <w:szCs w:val="22"/>
                <w:lang w:val="en-US" w:eastAsia="es-ES"/>
              </w:rPr>
              <w:t>Presentation. Internationalization of higher education in the MENA region.</w:t>
            </w:r>
          </w:p>
        </w:tc>
      </w:tr>
      <w:tr w:rsidR="00A2313B" w:rsidRPr="00F73EB4" w14:paraId="64ACB582" w14:textId="77777777" w:rsidTr="00B63193">
        <w:tc>
          <w:tcPr>
            <w:tcW w:w="2335" w:type="dxa"/>
          </w:tcPr>
          <w:p w14:paraId="4968872D" w14:textId="432F0F80" w:rsidR="00A2313B" w:rsidRPr="004D79F6" w:rsidRDefault="00465E50" w:rsidP="004D79F6">
            <w:pPr>
              <w:pStyle w:val="FootnoteText"/>
              <w:jc w:val="both"/>
              <w:rPr>
                <w:rFonts w:asciiTheme="majorHAnsi" w:hAnsiTheme="majorHAnsi" w:cstheme="majorHAnsi"/>
                <w:sz w:val="22"/>
                <w:szCs w:val="22"/>
              </w:rPr>
            </w:pPr>
            <w:r w:rsidRPr="004D79F6">
              <w:rPr>
                <w:rFonts w:asciiTheme="majorHAnsi" w:hAnsiTheme="majorHAnsi" w:cstheme="majorHAnsi"/>
                <w:sz w:val="22"/>
                <w:szCs w:val="22"/>
              </w:rPr>
              <w:object w:dxaOrig="1508" w:dyaOrig="984" w14:anchorId="41144F32">
                <v:shape id="_x0000_i1037" type="#_x0000_t75" style="width:76pt;height:49pt" o:ole="">
                  <v:imagedata r:id="rId39" o:title=""/>
                </v:shape>
                <o:OLEObject Type="Embed" ProgID="PowerPoint.Show.12" ShapeID="_x0000_i1037" DrawAspect="Icon" ObjectID="_1632650224" r:id="rId40"/>
              </w:object>
            </w:r>
          </w:p>
        </w:tc>
        <w:tc>
          <w:tcPr>
            <w:tcW w:w="6493" w:type="dxa"/>
          </w:tcPr>
          <w:p w14:paraId="4A16B864" w14:textId="08BF5B60" w:rsidR="00A2313B" w:rsidRPr="004D79F6" w:rsidRDefault="00A2313B" w:rsidP="004D79F6">
            <w:pPr>
              <w:pStyle w:val="FootnoteText"/>
              <w:jc w:val="both"/>
              <w:rPr>
                <w:rFonts w:asciiTheme="majorHAnsi" w:eastAsiaTheme="minorEastAsia" w:hAnsiTheme="majorHAnsi" w:cstheme="majorHAnsi"/>
                <w:sz w:val="22"/>
                <w:szCs w:val="22"/>
                <w:lang w:val="en-US" w:eastAsia="es-ES"/>
              </w:rPr>
            </w:pPr>
            <w:r w:rsidRPr="004D79F6">
              <w:rPr>
                <w:rFonts w:asciiTheme="majorHAnsi" w:eastAsiaTheme="minorEastAsia" w:hAnsiTheme="majorHAnsi" w:cstheme="majorHAnsi"/>
                <w:sz w:val="22"/>
                <w:szCs w:val="22"/>
                <w:lang w:val="en-US" w:eastAsia="es-ES"/>
              </w:rPr>
              <w:t>Analysis of results of UGSC in Egypt</w:t>
            </w:r>
          </w:p>
        </w:tc>
      </w:tr>
      <w:tr w:rsidR="00A2313B" w:rsidRPr="00F73EB4" w14:paraId="6CD0DC7B" w14:textId="77777777" w:rsidTr="00B63193">
        <w:tc>
          <w:tcPr>
            <w:tcW w:w="2335" w:type="dxa"/>
          </w:tcPr>
          <w:p w14:paraId="7729D34C" w14:textId="5D6F68B6" w:rsidR="00A2313B" w:rsidRPr="004D79F6" w:rsidRDefault="00465E50" w:rsidP="004D79F6">
            <w:pPr>
              <w:pStyle w:val="FootnoteText"/>
              <w:jc w:val="both"/>
              <w:rPr>
                <w:rFonts w:asciiTheme="majorHAnsi" w:hAnsiTheme="majorHAnsi" w:cstheme="majorHAnsi"/>
                <w:sz w:val="22"/>
                <w:szCs w:val="22"/>
              </w:rPr>
            </w:pPr>
            <w:r w:rsidRPr="004D79F6">
              <w:rPr>
                <w:rFonts w:asciiTheme="majorHAnsi" w:hAnsiTheme="majorHAnsi" w:cstheme="majorHAnsi"/>
                <w:sz w:val="22"/>
                <w:szCs w:val="22"/>
              </w:rPr>
              <w:object w:dxaOrig="1508" w:dyaOrig="984" w14:anchorId="3625A673">
                <v:shape id="_x0000_i1038" type="#_x0000_t75" style="width:76pt;height:49pt" o:ole="">
                  <v:imagedata r:id="rId41" o:title=""/>
                </v:shape>
                <o:OLEObject Type="Embed" ProgID="PowerPoint.Show.12" ShapeID="_x0000_i1038" DrawAspect="Icon" ObjectID="_1632650225" r:id="rId42"/>
              </w:object>
            </w:r>
          </w:p>
        </w:tc>
        <w:tc>
          <w:tcPr>
            <w:tcW w:w="6493" w:type="dxa"/>
          </w:tcPr>
          <w:p w14:paraId="1A9BF9F5" w14:textId="36C6CAF1" w:rsidR="00A2313B" w:rsidRPr="004D79F6" w:rsidRDefault="00A2313B" w:rsidP="004D79F6">
            <w:pPr>
              <w:pStyle w:val="FootnoteText"/>
              <w:jc w:val="both"/>
              <w:rPr>
                <w:rFonts w:asciiTheme="majorHAnsi" w:eastAsiaTheme="minorEastAsia" w:hAnsiTheme="majorHAnsi" w:cstheme="majorHAnsi"/>
                <w:sz w:val="22"/>
                <w:szCs w:val="22"/>
                <w:lang w:val="en-US" w:eastAsia="es-ES"/>
              </w:rPr>
            </w:pPr>
            <w:r w:rsidRPr="004D79F6">
              <w:rPr>
                <w:rFonts w:asciiTheme="majorHAnsi" w:eastAsiaTheme="minorEastAsia" w:hAnsiTheme="majorHAnsi" w:cstheme="majorHAnsi"/>
                <w:sz w:val="22"/>
                <w:szCs w:val="22"/>
                <w:lang w:val="en-US" w:eastAsia="es-ES"/>
              </w:rPr>
              <w:t>Analysis of results of UGSC in Jordan</w:t>
            </w:r>
          </w:p>
        </w:tc>
      </w:tr>
      <w:tr w:rsidR="00B63193" w:rsidRPr="00F73EB4" w14:paraId="16C642E7" w14:textId="77777777" w:rsidTr="00B63193">
        <w:tc>
          <w:tcPr>
            <w:tcW w:w="2335" w:type="dxa"/>
          </w:tcPr>
          <w:p w14:paraId="291964A2" w14:textId="060EC368" w:rsidR="00B63193" w:rsidRPr="004D79F6" w:rsidRDefault="00B63193" w:rsidP="004D79F6">
            <w:pPr>
              <w:pStyle w:val="FootnoteText"/>
              <w:jc w:val="both"/>
              <w:rPr>
                <w:rFonts w:asciiTheme="majorHAnsi" w:hAnsiTheme="majorHAnsi" w:cstheme="majorHAnsi"/>
                <w:sz w:val="22"/>
                <w:szCs w:val="22"/>
              </w:rPr>
            </w:pPr>
            <w:r w:rsidRPr="004D79F6">
              <w:rPr>
                <w:rFonts w:asciiTheme="majorHAnsi" w:hAnsiTheme="majorHAnsi" w:cstheme="majorHAnsi"/>
                <w:sz w:val="22"/>
                <w:szCs w:val="22"/>
              </w:rPr>
              <w:object w:dxaOrig="1508" w:dyaOrig="984" w14:anchorId="06A86A9D">
                <v:shape id="_x0000_i1039" type="#_x0000_t75" style="width:76pt;height:49pt" o:ole="">
                  <v:imagedata r:id="rId43" o:title=""/>
                </v:shape>
                <o:OLEObject Type="Embed" ProgID="PowerPoint.Show.12" ShapeID="_x0000_i1039" DrawAspect="Icon" ObjectID="_1632650226" r:id="rId44"/>
              </w:object>
            </w:r>
          </w:p>
        </w:tc>
        <w:tc>
          <w:tcPr>
            <w:tcW w:w="6493" w:type="dxa"/>
          </w:tcPr>
          <w:p w14:paraId="4E365E23" w14:textId="32FD6302" w:rsidR="00B63193" w:rsidRPr="004D79F6" w:rsidRDefault="00B63193" w:rsidP="004D79F6">
            <w:pPr>
              <w:pStyle w:val="FootnoteText"/>
              <w:jc w:val="both"/>
              <w:rPr>
                <w:rFonts w:asciiTheme="majorHAnsi" w:eastAsiaTheme="minorEastAsia" w:hAnsiTheme="majorHAnsi" w:cstheme="majorHAnsi"/>
                <w:sz w:val="22"/>
                <w:szCs w:val="22"/>
                <w:lang w:val="en-US" w:eastAsia="es-ES"/>
              </w:rPr>
            </w:pPr>
            <w:r w:rsidRPr="004D79F6">
              <w:rPr>
                <w:rFonts w:asciiTheme="majorHAnsi" w:eastAsiaTheme="minorEastAsia" w:hAnsiTheme="majorHAnsi" w:cstheme="majorHAnsi"/>
                <w:sz w:val="22"/>
                <w:szCs w:val="22"/>
                <w:lang w:val="en-US" w:eastAsia="es-ES"/>
              </w:rPr>
              <w:t>Analysis of results of UGSC in Morocco</w:t>
            </w:r>
          </w:p>
        </w:tc>
      </w:tr>
      <w:tr w:rsidR="00B63193" w:rsidRPr="00F73EB4" w14:paraId="6A22CD4F" w14:textId="77777777" w:rsidTr="00B63193">
        <w:tc>
          <w:tcPr>
            <w:tcW w:w="2335" w:type="dxa"/>
          </w:tcPr>
          <w:p w14:paraId="653503E9" w14:textId="745DA40F" w:rsidR="00B63193" w:rsidRPr="004D79F6" w:rsidRDefault="00B63193" w:rsidP="004D79F6">
            <w:pPr>
              <w:pStyle w:val="FootnoteText"/>
              <w:jc w:val="both"/>
              <w:rPr>
                <w:rFonts w:asciiTheme="majorHAnsi" w:hAnsiTheme="majorHAnsi" w:cstheme="majorHAnsi"/>
                <w:sz w:val="22"/>
                <w:szCs w:val="22"/>
              </w:rPr>
            </w:pPr>
            <w:r w:rsidRPr="004D79F6">
              <w:rPr>
                <w:rFonts w:asciiTheme="majorHAnsi" w:hAnsiTheme="majorHAnsi" w:cstheme="majorHAnsi"/>
                <w:sz w:val="22"/>
                <w:szCs w:val="22"/>
              </w:rPr>
              <w:object w:dxaOrig="1508" w:dyaOrig="984" w14:anchorId="677E53B1">
                <v:shape id="_x0000_i1040" type="#_x0000_t75" style="width:76pt;height:49pt" o:ole="">
                  <v:imagedata r:id="rId45" o:title=""/>
                </v:shape>
                <o:OLEObject Type="Embed" ProgID="Word.Document.12" ShapeID="_x0000_i1040" DrawAspect="Icon" ObjectID="_1632650227" r:id="rId46">
                  <o:FieldCodes>\s</o:FieldCodes>
                </o:OLEObject>
              </w:object>
            </w:r>
          </w:p>
        </w:tc>
        <w:tc>
          <w:tcPr>
            <w:tcW w:w="6493" w:type="dxa"/>
          </w:tcPr>
          <w:p w14:paraId="3DE3E05B" w14:textId="36C81421" w:rsidR="00B63193" w:rsidRPr="004D79F6" w:rsidRDefault="00B63193" w:rsidP="004D79F6">
            <w:pPr>
              <w:pStyle w:val="FootnoteText"/>
              <w:jc w:val="both"/>
              <w:rPr>
                <w:rFonts w:asciiTheme="majorHAnsi" w:eastAsiaTheme="minorEastAsia" w:hAnsiTheme="majorHAnsi" w:cstheme="majorHAnsi"/>
                <w:sz w:val="22"/>
                <w:szCs w:val="22"/>
                <w:lang w:val="en-US" w:eastAsia="es-ES"/>
              </w:rPr>
            </w:pPr>
            <w:r w:rsidRPr="004D79F6">
              <w:rPr>
                <w:rFonts w:asciiTheme="majorHAnsi" w:eastAsiaTheme="minorEastAsia" w:hAnsiTheme="majorHAnsi" w:cstheme="majorHAnsi"/>
                <w:sz w:val="22"/>
                <w:szCs w:val="22"/>
                <w:lang w:val="en-US" w:eastAsia="es-ES"/>
              </w:rPr>
              <w:t>Example of an Institutional Report of the University Governance Score Card.</w:t>
            </w:r>
          </w:p>
        </w:tc>
      </w:tr>
    </w:tbl>
    <w:p w14:paraId="27308A7D" w14:textId="30211E4F" w:rsidR="00E7559E" w:rsidRPr="004D79F6" w:rsidRDefault="00A2313B" w:rsidP="004D79F6">
      <w:pPr>
        <w:pStyle w:val="FootnoteText"/>
        <w:jc w:val="both"/>
        <w:rPr>
          <w:rFonts w:asciiTheme="majorHAnsi" w:eastAsiaTheme="minorEastAsia" w:hAnsiTheme="majorHAnsi" w:cstheme="majorHAnsi"/>
          <w:sz w:val="22"/>
          <w:szCs w:val="22"/>
          <w:lang w:val="en-US" w:eastAsia="es-ES"/>
        </w:rPr>
      </w:pPr>
      <w:r w:rsidRPr="004D79F6">
        <w:rPr>
          <w:rFonts w:asciiTheme="majorHAnsi" w:eastAsiaTheme="minorEastAsia" w:hAnsiTheme="majorHAnsi" w:cstheme="majorHAnsi"/>
          <w:sz w:val="22"/>
          <w:szCs w:val="22"/>
          <w:lang w:val="en-US" w:eastAsia="es-ES"/>
        </w:rPr>
        <w:br/>
      </w:r>
    </w:p>
    <w:sectPr w:rsidR="00E7559E" w:rsidRPr="004D79F6" w:rsidSect="0025183D">
      <w:footerReference w:type="even" r:id="rId47"/>
      <w:footerReference w:type="default" r:id="rId48"/>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7709351" w14:textId="77777777" w:rsidR="003E464B" w:rsidRDefault="003E464B" w:rsidP="00FD15FE">
      <w:r>
        <w:separator/>
      </w:r>
    </w:p>
  </w:endnote>
  <w:endnote w:type="continuationSeparator" w:id="0">
    <w:p w14:paraId="5730B291" w14:textId="77777777" w:rsidR="003E464B" w:rsidRDefault="003E464B" w:rsidP="00FD15F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Lucida Grande">
    <w:altName w:val="Segoe UI"/>
    <w:charset w:val="00"/>
    <w:family w:val="auto"/>
    <w:pitch w:val="variable"/>
    <w:sig w:usb0="E1000AEF" w:usb1="5000A1FF" w:usb2="00000000" w:usb3="00000000" w:csb0="000001B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4603A44" w14:textId="50F8225F" w:rsidR="002E7354" w:rsidRDefault="006E605E">
    <w:pPr>
      <w:pStyle w:val="Footer"/>
    </w:pPr>
    <w:sdt>
      <w:sdtPr>
        <w:id w:val="969400743"/>
        <w:temporary/>
        <w:showingPlcHdr/>
      </w:sdtPr>
      <w:sdtEndPr/>
      <w:sdtContent>
        <w:r w:rsidR="002E7354">
          <w:rPr>
            <w:lang w:val="es-ES"/>
          </w:rPr>
          <w:t>[Escriba texto]</w:t>
        </w:r>
      </w:sdtContent>
    </w:sdt>
    <w:r w:rsidR="002E7354">
      <w:ptab w:relativeTo="margin" w:alignment="center" w:leader="none"/>
    </w:r>
    <w:sdt>
      <w:sdtPr>
        <w:id w:val="969400748"/>
        <w:temporary/>
        <w:showingPlcHdr/>
      </w:sdtPr>
      <w:sdtEndPr/>
      <w:sdtContent>
        <w:r w:rsidR="002E7354">
          <w:rPr>
            <w:lang w:val="es-ES"/>
          </w:rPr>
          <w:t>[Escriba texto]</w:t>
        </w:r>
      </w:sdtContent>
    </w:sdt>
    <w:r w:rsidR="002E7354">
      <w:ptab w:relativeTo="margin" w:alignment="right" w:leader="none"/>
    </w:r>
    <w:sdt>
      <w:sdtPr>
        <w:id w:val="969400753"/>
        <w:temporary/>
        <w:showingPlcHdr/>
      </w:sdtPr>
      <w:sdtEndPr/>
      <w:sdtContent>
        <w:r w:rsidR="002E7354">
          <w:rPr>
            <w:lang w:val="es-ES"/>
          </w:rPr>
          <w:t>[Escriba texto]</w:t>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DCD57B" w14:textId="5C3AE388" w:rsidR="002E7354" w:rsidRDefault="002E7354">
    <w:pPr>
      <w:pStyle w:val="Footer"/>
    </w:pPr>
    <w:r>
      <w:rPr>
        <w:noProof/>
        <w:lang w:val="en-US" w:eastAsia="en-US"/>
      </w:rPr>
      <w:drawing>
        <wp:anchor distT="0" distB="0" distL="114300" distR="114300" simplePos="0" relativeHeight="251658240" behindDoc="1" locked="0" layoutInCell="1" allowOverlap="1" wp14:anchorId="0A323423" wp14:editId="09A19EA6">
          <wp:simplePos x="0" y="0"/>
          <wp:positionH relativeFrom="column">
            <wp:posOffset>2971800</wp:posOffset>
          </wp:positionH>
          <wp:positionV relativeFrom="paragraph">
            <wp:posOffset>-643890</wp:posOffset>
          </wp:positionV>
          <wp:extent cx="4062095" cy="974090"/>
          <wp:effectExtent l="0" t="0" r="0" b="0"/>
          <wp:wrapNone/>
          <wp:docPr id="3" name="Imagen 3" descr="Macintosh HD:Users:michellegonzalez:Desktop:UGSC:Ai templates:UGSC report template BOTTO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ichellegonzalez:Desktop:UGSC:Ai templates:UGSC report template BOTTOM.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62095" cy="974090"/>
                  </a:xfrm>
                  <a:prstGeom prst="rect">
                    <a:avLst/>
                  </a:prstGeom>
                  <a:noFill/>
                  <a:ln>
                    <a:noFill/>
                  </a:ln>
                </pic:spPr>
              </pic:pic>
            </a:graphicData>
          </a:graphic>
          <wp14:sizeRelH relativeFrom="page">
            <wp14:pctWidth>0</wp14:pctWidth>
          </wp14:sizeRelH>
          <wp14:sizeRelV relativeFrom="page">
            <wp14:pctHeight>0</wp14:pctHeight>
          </wp14:sizeRelV>
        </wp:anchor>
      </w:drawing>
    </w:r>
    <w:r>
      <w:ptab w:relativeTo="margin" w:alignment="center" w:leader="none"/>
    </w:r>
    <w:r>
      <w:ptab w:relativeTo="margin" w:alignment="right" w:leader="none"/>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1DAEB1C" w14:textId="77777777" w:rsidR="003E464B" w:rsidRDefault="003E464B" w:rsidP="00FD15FE">
      <w:r>
        <w:separator/>
      </w:r>
    </w:p>
  </w:footnote>
  <w:footnote w:type="continuationSeparator" w:id="0">
    <w:p w14:paraId="56A96750" w14:textId="77777777" w:rsidR="003E464B" w:rsidRDefault="003E464B" w:rsidP="00FD15FE">
      <w:r>
        <w:continuationSeparator/>
      </w:r>
    </w:p>
  </w:footnote>
  <w:footnote w:id="1">
    <w:p w14:paraId="37C03EC4" w14:textId="3E5E5669" w:rsidR="004D79F6" w:rsidRDefault="00983647" w:rsidP="004D79F6">
      <w:pPr>
        <w:pStyle w:val="FootnoteText"/>
        <w:rPr>
          <w:rFonts w:asciiTheme="majorHAnsi" w:hAnsiTheme="majorHAnsi" w:cstheme="majorHAnsi"/>
          <w:sz w:val="15"/>
          <w:szCs w:val="15"/>
          <w:lang w:val="en-US"/>
        </w:rPr>
      </w:pPr>
      <w:r w:rsidRPr="004D79F6">
        <w:rPr>
          <w:rStyle w:val="FootnoteReference"/>
          <w:sz w:val="15"/>
          <w:szCs w:val="15"/>
        </w:rPr>
        <w:footnoteRef/>
      </w:r>
      <w:r w:rsidRPr="004D79F6">
        <w:rPr>
          <w:sz w:val="15"/>
          <w:szCs w:val="15"/>
          <w:lang w:val="en-US"/>
        </w:rPr>
        <w:t xml:space="preserve"> </w:t>
      </w:r>
      <w:r w:rsidRPr="004D79F6">
        <w:rPr>
          <w:rFonts w:ascii="Calibri" w:hAnsi="Calibri" w:cs="Calibri"/>
          <w:sz w:val="15"/>
          <w:szCs w:val="15"/>
          <w:lang w:val="en-US"/>
        </w:rPr>
        <w:t>The</w:t>
      </w:r>
      <w:r w:rsidR="009C3FCE" w:rsidRPr="004D79F6">
        <w:rPr>
          <w:rFonts w:ascii="Calibri" w:hAnsi="Calibri" w:cs="Calibri"/>
          <w:sz w:val="15"/>
          <w:szCs w:val="15"/>
          <w:lang w:val="en-US"/>
        </w:rPr>
        <w:t xml:space="preserve"> University Governance Score</w:t>
      </w:r>
      <w:r w:rsidRPr="004D79F6">
        <w:rPr>
          <w:rFonts w:ascii="Calibri" w:hAnsi="Calibri" w:cs="Calibri"/>
          <w:sz w:val="15"/>
          <w:szCs w:val="15"/>
          <w:lang w:val="en-US"/>
        </w:rPr>
        <w:t xml:space="preserve"> Card (UGSC) is a benchmarking tool that uses an institution-based approach that focuses on universities and institutions of tertiary education as opposed to (only) nati</w:t>
      </w:r>
      <w:r w:rsidR="009C3FCE" w:rsidRPr="004D79F6">
        <w:rPr>
          <w:rFonts w:ascii="Calibri" w:hAnsi="Calibri" w:cs="Calibri"/>
          <w:sz w:val="15"/>
          <w:szCs w:val="15"/>
          <w:lang w:val="en-US"/>
        </w:rPr>
        <w:t>onal systems or country ratings</w:t>
      </w:r>
      <w:r w:rsidRPr="004D79F6">
        <w:rPr>
          <w:rFonts w:ascii="Calibri" w:hAnsi="Calibri" w:cs="Calibri"/>
          <w:sz w:val="15"/>
          <w:szCs w:val="15"/>
          <w:lang w:val="en-US"/>
        </w:rPr>
        <w:t xml:space="preserve">. It thus has the capacity to: </w:t>
      </w:r>
      <w:r w:rsidR="0054204C" w:rsidRPr="004D79F6">
        <w:rPr>
          <w:rFonts w:ascii="Calibri" w:hAnsi="Calibri" w:cs="Calibri"/>
          <w:sz w:val="15"/>
          <w:szCs w:val="15"/>
          <w:lang w:val="en-US"/>
        </w:rPr>
        <w:t>(1</w:t>
      </w:r>
      <w:r w:rsidRPr="004D79F6">
        <w:rPr>
          <w:rFonts w:ascii="Calibri" w:hAnsi="Calibri" w:cs="Calibri"/>
          <w:sz w:val="15"/>
          <w:szCs w:val="15"/>
          <w:lang w:val="en-US"/>
        </w:rPr>
        <w:t xml:space="preserve">) identify strengths and weaknesses at individual institutions; </w:t>
      </w:r>
      <w:r w:rsidR="0054204C" w:rsidRPr="004D79F6">
        <w:rPr>
          <w:rFonts w:ascii="Calibri" w:hAnsi="Calibri" w:cs="Calibri"/>
          <w:sz w:val="15"/>
          <w:szCs w:val="15"/>
          <w:lang w:val="en-US"/>
        </w:rPr>
        <w:t>(2</w:t>
      </w:r>
      <w:r w:rsidRPr="004D79F6">
        <w:rPr>
          <w:rFonts w:ascii="Calibri" w:hAnsi="Calibri" w:cs="Calibri"/>
          <w:sz w:val="15"/>
          <w:szCs w:val="15"/>
          <w:lang w:val="en-US"/>
        </w:rPr>
        <w:t xml:space="preserve">) identify governance trends and practices by type of institution; </w:t>
      </w:r>
      <w:r w:rsidR="0054204C" w:rsidRPr="004D79F6">
        <w:rPr>
          <w:rFonts w:ascii="Calibri" w:hAnsi="Calibri" w:cs="Calibri"/>
          <w:sz w:val="15"/>
          <w:szCs w:val="15"/>
          <w:lang w:val="en-US"/>
        </w:rPr>
        <w:t>(3</w:t>
      </w:r>
      <w:r w:rsidRPr="004D79F6">
        <w:rPr>
          <w:rFonts w:ascii="Calibri" w:hAnsi="Calibri" w:cs="Calibri"/>
          <w:sz w:val="15"/>
          <w:szCs w:val="15"/>
          <w:lang w:val="en-US"/>
        </w:rPr>
        <w:t>) illustrate governance trends at the national level</w:t>
      </w:r>
      <w:r w:rsidR="0054204C" w:rsidRPr="004D79F6">
        <w:rPr>
          <w:rFonts w:ascii="Calibri" w:hAnsi="Calibri" w:cs="Calibri"/>
          <w:sz w:val="15"/>
          <w:szCs w:val="15"/>
          <w:lang w:val="en-US"/>
        </w:rPr>
        <w:t>,</w:t>
      </w:r>
      <w:r w:rsidRPr="004D79F6">
        <w:rPr>
          <w:rFonts w:ascii="Calibri" w:hAnsi="Calibri" w:cs="Calibri"/>
          <w:sz w:val="15"/>
          <w:szCs w:val="15"/>
          <w:lang w:val="en-US"/>
        </w:rPr>
        <w:t xml:space="preserve"> and </w:t>
      </w:r>
      <w:r w:rsidR="0054204C" w:rsidRPr="004D79F6">
        <w:rPr>
          <w:rFonts w:ascii="Calibri" w:hAnsi="Calibri" w:cs="Calibri"/>
          <w:sz w:val="15"/>
          <w:szCs w:val="15"/>
          <w:lang w:val="en-US"/>
        </w:rPr>
        <w:t>(4</w:t>
      </w:r>
      <w:r w:rsidRPr="004D79F6">
        <w:rPr>
          <w:rFonts w:ascii="Calibri" w:hAnsi="Calibri" w:cs="Calibri"/>
          <w:sz w:val="15"/>
          <w:szCs w:val="15"/>
          <w:lang w:val="en-US"/>
        </w:rPr>
        <w:t>) generate interest - and peer pressure - in initiating reforms at the institutional, national, and regional level.</w:t>
      </w:r>
      <w:r w:rsidR="004D79F6" w:rsidRPr="004D79F6">
        <w:rPr>
          <w:rFonts w:ascii="Calibri" w:hAnsi="Calibri" w:cs="Calibri"/>
          <w:sz w:val="15"/>
          <w:szCs w:val="15"/>
          <w:lang w:val="en-US"/>
        </w:rPr>
        <w:t xml:space="preserve"> </w:t>
      </w:r>
      <w:r w:rsidRPr="004D79F6">
        <w:rPr>
          <w:rFonts w:ascii="Calibri" w:hAnsi="Calibri" w:cs="Calibri"/>
          <w:sz w:val="15"/>
          <w:szCs w:val="15"/>
          <w:lang w:val="en-US"/>
        </w:rPr>
        <w:t xml:space="preserve">The UGSC uses five dimensions that together capture the multidimensional nature of governance: </w:t>
      </w:r>
      <w:r w:rsidR="0054204C" w:rsidRPr="004D79F6">
        <w:rPr>
          <w:rFonts w:ascii="Calibri" w:hAnsi="Calibri" w:cs="Calibri"/>
          <w:sz w:val="15"/>
          <w:szCs w:val="15"/>
          <w:lang w:val="en-US"/>
        </w:rPr>
        <w:t>(</w:t>
      </w:r>
      <w:r w:rsidRPr="004D79F6">
        <w:rPr>
          <w:rFonts w:ascii="Calibri" w:hAnsi="Calibri" w:cs="Calibri"/>
          <w:sz w:val="15"/>
          <w:szCs w:val="15"/>
          <w:lang w:val="en-US"/>
        </w:rPr>
        <w:t>1) Overall Context, Mission, and Goals; (2) Management Orientation; (3) Autonomy; (4) Accountability</w:t>
      </w:r>
      <w:r w:rsidR="0054204C" w:rsidRPr="004D79F6">
        <w:rPr>
          <w:rFonts w:ascii="Calibri" w:hAnsi="Calibri" w:cs="Calibri"/>
          <w:sz w:val="15"/>
          <w:szCs w:val="15"/>
          <w:lang w:val="en-US"/>
        </w:rPr>
        <w:t>,</w:t>
      </w:r>
      <w:r w:rsidRPr="004D79F6">
        <w:rPr>
          <w:rFonts w:ascii="Calibri" w:hAnsi="Calibri" w:cs="Calibri"/>
          <w:sz w:val="15"/>
          <w:szCs w:val="15"/>
          <w:lang w:val="en-US"/>
        </w:rPr>
        <w:t xml:space="preserve"> and (5) Participation. Each dimension has been attributed a set of indicators and a questionnaire from which governance indicators are scored (by an independent observer </w:t>
      </w:r>
      <w:proofErr w:type="gramStart"/>
      <w:r w:rsidRPr="004D79F6">
        <w:rPr>
          <w:rFonts w:ascii="Calibri" w:hAnsi="Calibri" w:cs="Calibri"/>
          <w:sz w:val="15"/>
          <w:szCs w:val="15"/>
          <w:lang w:val="en-US"/>
        </w:rPr>
        <w:t>on the basis of</w:t>
      </w:r>
      <w:proofErr w:type="gramEnd"/>
      <w:r w:rsidRPr="004D79F6">
        <w:rPr>
          <w:rFonts w:ascii="Calibri" w:hAnsi="Calibri" w:cs="Calibri"/>
          <w:sz w:val="15"/>
          <w:szCs w:val="15"/>
          <w:lang w:val="en-US"/>
        </w:rPr>
        <w:t xml:space="preserve"> an interview with the institution’s representative and supporting documents). A weighting system aggregates those</w:t>
      </w:r>
      <w:r w:rsidRPr="004D79F6">
        <w:rPr>
          <w:sz w:val="15"/>
          <w:szCs w:val="15"/>
          <w:lang w:val="en-US"/>
        </w:rPr>
        <w:t xml:space="preserve"> </w:t>
      </w:r>
      <w:r w:rsidRPr="004D79F6">
        <w:rPr>
          <w:rFonts w:ascii="Calibri" w:hAnsi="Calibri" w:cs="Calibri"/>
          <w:sz w:val="15"/>
          <w:szCs w:val="15"/>
          <w:lang w:val="en-US"/>
        </w:rPr>
        <w:t>indicators and translates the questionnaire to a scoring instrument to record the results by institution. The score on a dimension should be interpreted as an indication of the university’s situation vis-à-vis one of the global</w:t>
      </w:r>
      <w:r w:rsidR="009C3FCE" w:rsidRPr="004D79F6">
        <w:rPr>
          <w:rFonts w:ascii="Calibri" w:hAnsi="Calibri" w:cs="Calibri"/>
          <w:sz w:val="15"/>
          <w:szCs w:val="15"/>
          <w:lang w:val="en-US"/>
        </w:rPr>
        <w:t xml:space="preserve"> trends in governance practices</w:t>
      </w:r>
      <w:r w:rsidRPr="004D79F6">
        <w:rPr>
          <w:rFonts w:ascii="Calibri" w:hAnsi="Calibri" w:cs="Calibri"/>
          <w:sz w:val="15"/>
          <w:szCs w:val="15"/>
          <w:lang w:val="en-US"/>
        </w:rPr>
        <w:t>, and not as a performance score. In addition to the questionnaire, the</w:t>
      </w:r>
      <w:r w:rsidRPr="004D79F6">
        <w:rPr>
          <w:sz w:val="15"/>
          <w:szCs w:val="15"/>
          <w:lang w:val="en-US"/>
        </w:rPr>
        <w:t xml:space="preserve"> </w:t>
      </w:r>
      <w:r w:rsidRPr="004D79F6">
        <w:rPr>
          <w:rFonts w:asciiTheme="majorHAnsi" w:hAnsiTheme="majorHAnsi" w:cstheme="majorHAnsi"/>
          <w:sz w:val="15"/>
          <w:szCs w:val="15"/>
          <w:lang w:val="en-US"/>
        </w:rPr>
        <w:t>UGSC includes a self-perception tool, which assess the extent to which the</w:t>
      </w:r>
      <w:r w:rsidR="008A02A3">
        <w:rPr>
          <w:rFonts w:asciiTheme="majorHAnsi" w:hAnsiTheme="majorHAnsi" w:cstheme="majorHAnsi"/>
          <w:sz w:val="15"/>
          <w:szCs w:val="15"/>
          <w:lang w:val="en-US"/>
        </w:rPr>
        <w:t xml:space="preserve"> </w:t>
      </w:r>
      <w:r w:rsidRPr="004D79F6">
        <w:rPr>
          <w:rFonts w:asciiTheme="majorHAnsi" w:hAnsiTheme="majorHAnsi" w:cstheme="majorHAnsi"/>
          <w:sz w:val="15"/>
          <w:szCs w:val="15"/>
          <w:lang w:val="en-US"/>
        </w:rPr>
        <w:t xml:space="preserve">tertiary education institutions is aware of the governance model and practices they follow. </w:t>
      </w:r>
      <w:r w:rsidR="004D79F6">
        <w:rPr>
          <w:rFonts w:asciiTheme="majorHAnsi" w:hAnsiTheme="majorHAnsi" w:cstheme="majorHAnsi"/>
          <w:sz w:val="15"/>
          <w:szCs w:val="15"/>
          <w:lang w:val="en-US"/>
        </w:rPr>
        <w:t xml:space="preserve"> </w:t>
      </w:r>
    </w:p>
    <w:p w14:paraId="3272679A" w14:textId="77777777" w:rsidR="004D79F6" w:rsidRDefault="004D79F6" w:rsidP="004D79F6">
      <w:pPr>
        <w:pStyle w:val="FootnoteText"/>
        <w:rPr>
          <w:rFonts w:asciiTheme="majorHAnsi" w:hAnsiTheme="majorHAnsi" w:cstheme="majorHAnsi"/>
          <w:sz w:val="15"/>
          <w:szCs w:val="15"/>
          <w:lang w:val="en-US"/>
        </w:rPr>
      </w:pPr>
    </w:p>
    <w:p w14:paraId="35B73A8A" w14:textId="77777777" w:rsidR="004D79F6" w:rsidRDefault="004D79F6" w:rsidP="004D79F6">
      <w:pPr>
        <w:pStyle w:val="FootnoteText"/>
        <w:rPr>
          <w:rFonts w:asciiTheme="majorHAnsi" w:hAnsiTheme="majorHAnsi" w:cstheme="majorHAnsi"/>
          <w:sz w:val="15"/>
          <w:szCs w:val="15"/>
          <w:lang w:val="en-US"/>
        </w:rPr>
      </w:pPr>
    </w:p>
    <w:p w14:paraId="2804C38C" w14:textId="77777777" w:rsidR="004D79F6" w:rsidRDefault="004D79F6" w:rsidP="004D79F6">
      <w:pPr>
        <w:pStyle w:val="FootnoteText"/>
        <w:rPr>
          <w:rFonts w:asciiTheme="majorHAnsi" w:hAnsiTheme="majorHAnsi" w:cstheme="majorHAnsi"/>
          <w:sz w:val="15"/>
          <w:szCs w:val="15"/>
          <w:lang w:val="en-US"/>
        </w:rPr>
      </w:pPr>
    </w:p>
    <w:p w14:paraId="7C97CE3D" w14:textId="514D92C7" w:rsidR="0048706C" w:rsidRPr="0048706C" w:rsidRDefault="00983647" w:rsidP="004D79F6">
      <w:pPr>
        <w:pStyle w:val="FootnoteText"/>
        <w:rPr>
          <w:lang w:val="en-US"/>
        </w:rPr>
      </w:pPr>
      <w:r w:rsidRPr="004D79F6">
        <w:rPr>
          <w:rFonts w:asciiTheme="majorHAnsi" w:hAnsiTheme="majorHAnsi" w:cstheme="majorHAnsi"/>
          <w:sz w:val="15"/>
          <w:szCs w:val="15"/>
          <w:lang w:val="en-US"/>
        </w:rPr>
        <w:t xml:space="preserve">The UGSC is not a ranking tool and does not point to an ideal governance model; it only identifies trends allowing institutions to reflect on their practices. The aim is not to get the maximum score on each dimension but instead to determine if the governance arrangement is coherent. </w:t>
      </w:r>
      <w:proofErr w:type="gramStart"/>
      <w:r w:rsidRPr="004D79F6">
        <w:rPr>
          <w:rFonts w:asciiTheme="majorHAnsi" w:hAnsiTheme="majorHAnsi" w:cstheme="majorHAnsi"/>
          <w:sz w:val="15"/>
          <w:szCs w:val="15"/>
          <w:lang w:val="en-US"/>
        </w:rPr>
        <w:t>This is why</w:t>
      </w:r>
      <w:proofErr w:type="gramEnd"/>
      <w:r w:rsidRPr="004D79F6">
        <w:rPr>
          <w:rFonts w:asciiTheme="majorHAnsi" w:hAnsiTheme="majorHAnsi" w:cstheme="majorHAnsi"/>
          <w:sz w:val="15"/>
          <w:szCs w:val="15"/>
          <w:lang w:val="en-US"/>
        </w:rPr>
        <w:t xml:space="preserve"> scores from</w:t>
      </w:r>
      <w:r w:rsidRPr="009C3FCE">
        <w:rPr>
          <w:lang w:val="en-US"/>
        </w:rPr>
        <w:t xml:space="preserve"> </w:t>
      </w:r>
      <w:r w:rsidRPr="004D79F6">
        <w:rPr>
          <w:rFonts w:ascii="Calibri" w:hAnsi="Calibri" w:cs="Calibri"/>
          <w:sz w:val="15"/>
          <w:szCs w:val="15"/>
          <w:lang w:val="en-US"/>
        </w:rPr>
        <w:t>each axis should be interpreted in correlation and not in isolation.</w:t>
      </w:r>
      <w:r w:rsidR="004D79F6" w:rsidRPr="004D79F6">
        <w:rPr>
          <w:rFonts w:ascii="Calibri" w:hAnsi="Calibri" w:cs="Calibri"/>
          <w:sz w:val="15"/>
          <w:szCs w:val="15"/>
          <w:lang w:val="en-US"/>
        </w:rPr>
        <w:t xml:space="preserve"> </w:t>
      </w:r>
      <w:r w:rsidRPr="004D79F6">
        <w:rPr>
          <w:rFonts w:ascii="Calibri" w:hAnsi="Calibri" w:cs="Calibri"/>
          <w:sz w:val="15"/>
          <w:szCs w:val="15"/>
          <w:lang w:val="en-US"/>
        </w:rPr>
        <w:t xml:space="preserve">The tool has been used on a voluntary basis and the results of the institutional report are confidential. Aggregated results at the national and regional level </w:t>
      </w:r>
      <w:r w:rsidR="009C3FCE" w:rsidRPr="004D79F6">
        <w:rPr>
          <w:rFonts w:ascii="Calibri" w:hAnsi="Calibri" w:cs="Calibri"/>
          <w:sz w:val="15"/>
          <w:szCs w:val="15"/>
          <w:lang w:val="en-US"/>
        </w:rPr>
        <w:t>are</w:t>
      </w:r>
      <w:r w:rsidRPr="004D79F6">
        <w:rPr>
          <w:rFonts w:ascii="Calibri" w:hAnsi="Calibri" w:cs="Calibri"/>
          <w:sz w:val="15"/>
          <w:szCs w:val="15"/>
          <w:lang w:val="en-US"/>
        </w:rPr>
        <w:t xml:space="preserve"> publicly disseminated while respecting anonymity of participating institutions.</w:t>
      </w:r>
      <w:r w:rsidR="004D79F6" w:rsidRPr="004D79F6">
        <w:rPr>
          <w:rFonts w:ascii="Calibri" w:hAnsi="Calibri" w:cs="Calibri"/>
          <w:sz w:val="15"/>
          <w:szCs w:val="15"/>
          <w:lang w:val="en-US"/>
        </w:rPr>
        <w:t xml:space="preserve"> </w:t>
      </w:r>
      <w:r w:rsidR="0048706C" w:rsidRPr="004D79F6">
        <w:rPr>
          <w:rFonts w:ascii="Calibri" w:hAnsi="Calibri" w:cs="Calibri"/>
          <w:sz w:val="15"/>
          <w:szCs w:val="15"/>
          <w:lang w:val="en-US"/>
        </w:rPr>
        <w:t xml:space="preserve">For further information on the methodology, see: WB Regional H.E. MENA Report (2012) </w:t>
      </w:r>
      <w:r w:rsidR="0048706C" w:rsidRPr="004D79F6">
        <w:rPr>
          <w:rFonts w:ascii="Calibri" w:hAnsi="Calibri" w:cs="Calibri"/>
          <w:i/>
          <w:sz w:val="15"/>
          <w:szCs w:val="15"/>
          <w:lang w:val="en-US"/>
        </w:rPr>
        <w:t>Universities Through the Looking Glass: Benchmarking University Governance to Enable Higher Education Modernization in MENA</w:t>
      </w:r>
    </w:p>
    <w:p w14:paraId="0946CF9F" w14:textId="77777777" w:rsidR="0048706C" w:rsidRPr="009C3FCE" w:rsidRDefault="0048706C" w:rsidP="00983647">
      <w:pPr>
        <w:pStyle w:val="FootnoteText"/>
        <w:rPr>
          <w:lang w:val="en-US"/>
        </w:rPr>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3650B0D"/>
    <w:multiLevelType w:val="multilevel"/>
    <w:tmpl w:val="5C20C0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766E1D5A"/>
    <w:multiLevelType w:val="hybridMultilevel"/>
    <w:tmpl w:val="5E0C8C9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A778A"/>
    <w:rsid w:val="000548D7"/>
    <w:rsid w:val="000B444E"/>
    <w:rsid w:val="000F14EA"/>
    <w:rsid w:val="000F1770"/>
    <w:rsid w:val="000F7D3E"/>
    <w:rsid w:val="0011508D"/>
    <w:rsid w:val="0013341A"/>
    <w:rsid w:val="0014072C"/>
    <w:rsid w:val="001559BE"/>
    <w:rsid w:val="00192779"/>
    <w:rsid w:val="0025183D"/>
    <w:rsid w:val="00287CA8"/>
    <w:rsid w:val="002A04B3"/>
    <w:rsid w:val="002A778A"/>
    <w:rsid w:val="002B402D"/>
    <w:rsid w:val="002E7354"/>
    <w:rsid w:val="0030273C"/>
    <w:rsid w:val="003109AD"/>
    <w:rsid w:val="0031753E"/>
    <w:rsid w:val="00337EF5"/>
    <w:rsid w:val="003421B0"/>
    <w:rsid w:val="003540BD"/>
    <w:rsid w:val="00362EB2"/>
    <w:rsid w:val="003732F8"/>
    <w:rsid w:val="003908A7"/>
    <w:rsid w:val="003E1800"/>
    <w:rsid w:val="003E464B"/>
    <w:rsid w:val="00422758"/>
    <w:rsid w:val="00465E50"/>
    <w:rsid w:val="004716EB"/>
    <w:rsid w:val="0048706C"/>
    <w:rsid w:val="004A1506"/>
    <w:rsid w:val="004B64A2"/>
    <w:rsid w:val="004D0C68"/>
    <w:rsid w:val="004D79F6"/>
    <w:rsid w:val="005364AD"/>
    <w:rsid w:val="0054204C"/>
    <w:rsid w:val="00591833"/>
    <w:rsid w:val="005A7779"/>
    <w:rsid w:val="005C3459"/>
    <w:rsid w:val="005E09DF"/>
    <w:rsid w:val="005E757B"/>
    <w:rsid w:val="00612DBB"/>
    <w:rsid w:val="00635DE3"/>
    <w:rsid w:val="00691188"/>
    <w:rsid w:val="0069275D"/>
    <w:rsid w:val="006E605E"/>
    <w:rsid w:val="006F02F6"/>
    <w:rsid w:val="00714C53"/>
    <w:rsid w:val="00725BF7"/>
    <w:rsid w:val="00764055"/>
    <w:rsid w:val="00771D1C"/>
    <w:rsid w:val="00773FCF"/>
    <w:rsid w:val="00784E21"/>
    <w:rsid w:val="007B6A35"/>
    <w:rsid w:val="007D6D7D"/>
    <w:rsid w:val="00850993"/>
    <w:rsid w:val="00850A09"/>
    <w:rsid w:val="008A02A3"/>
    <w:rsid w:val="008F1840"/>
    <w:rsid w:val="00952D03"/>
    <w:rsid w:val="00955675"/>
    <w:rsid w:val="00983647"/>
    <w:rsid w:val="00983729"/>
    <w:rsid w:val="00994091"/>
    <w:rsid w:val="009A550B"/>
    <w:rsid w:val="009B1728"/>
    <w:rsid w:val="009C3FCE"/>
    <w:rsid w:val="009F039F"/>
    <w:rsid w:val="00A2313B"/>
    <w:rsid w:val="00AA5613"/>
    <w:rsid w:val="00AD2C54"/>
    <w:rsid w:val="00B04BB9"/>
    <w:rsid w:val="00B1317F"/>
    <w:rsid w:val="00B436B2"/>
    <w:rsid w:val="00B63193"/>
    <w:rsid w:val="00B661AC"/>
    <w:rsid w:val="00BD2AC5"/>
    <w:rsid w:val="00C11889"/>
    <w:rsid w:val="00C222F3"/>
    <w:rsid w:val="00C40F5E"/>
    <w:rsid w:val="00CA416A"/>
    <w:rsid w:val="00CC729E"/>
    <w:rsid w:val="00CE24F3"/>
    <w:rsid w:val="00D15378"/>
    <w:rsid w:val="00DA4FAE"/>
    <w:rsid w:val="00DB0B77"/>
    <w:rsid w:val="00E47AB4"/>
    <w:rsid w:val="00E63AF2"/>
    <w:rsid w:val="00E649D2"/>
    <w:rsid w:val="00E6778A"/>
    <w:rsid w:val="00E7559E"/>
    <w:rsid w:val="00E814F2"/>
    <w:rsid w:val="00E85C1D"/>
    <w:rsid w:val="00E90863"/>
    <w:rsid w:val="00EA0896"/>
    <w:rsid w:val="00EB3B46"/>
    <w:rsid w:val="00F4097D"/>
    <w:rsid w:val="00F65ADF"/>
    <w:rsid w:val="00F67443"/>
    <w:rsid w:val="00F73EB4"/>
    <w:rsid w:val="00FC132F"/>
    <w:rsid w:val="00FD15FE"/>
    <w:rsid w:val="00FF60A5"/>
    <w:rsid w:val="00FF71F9"/>
  </w:rsids>
  <m:mathPr>
    <m:mathFont m:val="Cambria Math"/>
    <m:brkBin m:val="before"/>
    <m:brkBinSub m:val="--"/>
    <m:smallFrac m:val="0"/>
    <m:dispDef/>
    <m:lMargin m:val="0"/>
    <m:rMargin m:val="0"/>
    <m:defJc m:val="centerGroup"/>
    <m:wrapIndent m:val="1440"/>
    <m:intLim m:val="subSup"/>
    <m:naryLim m:val="undOvr"/>
  </m:mathPr>
  <w:themeFontLang w:val="es-ES_tradnl"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3B25013F"/>
  <w14:defaultImageDpi w14:val="300"/>
  <w15:docId w15:val="{62D50136-DD18-4916-969D-82CBB11714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2"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A778A"/>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A778A"/>
    <w:rPr>
      <w:rFonts w:ascii="Lucida Grande" w:hAnsi="Lucida Grande" w:cs="Lucida Grande"/>
      <w:sz w:val="18"/>
      <w:szCs w:val="18"/>
    </w:rPr>
  </w:style>
  <w:style w:type="paragraph" w:styleId="Header">
    <w:name w:val="header"/>
    <w:basedOn w:val="Normal"/>
    <w:link w:val="HeaderChar"/>
    <w:uiPriority w:val="99"/>
    <w:unhideWhenUsed/>
    <w:rsid w:val="00FD15FE"/>
    <w:pPr>
      <w:tabs>
        <w:tab w:val="center" w:pos="4252"/>
        <w:tab w:val="right" w:pos="8504"/>
      </w:tabs>
    </w:pPr>
  </w:style>
  <w:style w:type="character" w:customStyle="1" w:styleId="HeaderChar">
    <w:name w:val="Header Char"/>
    <w:basedOn w:val="DefaultParagraphFont"/>
    <w:link w:val="Header"/>
    <w:uiPriority w:val="99"/>
    <w:rsid w:val="00FD15FE"/>
  </w:style>
  <w:style w:type="paragraph" w:styleId="Footer">
    <w:name w:val="footer"/>
    <w:basedOn w:val="Normal"/>
    <w:link w:val="FooterChar"/>
    <w:uiPriority w:val="99"/>
    <w:unhideWhenUsed/>
    <w:rsid w:val="00FD15FE"/>
    <w:pPr>
      <w:tabs>
        <w:tab w:val="center" w:pos="4252"/>
        <w:tab w:val="right" w:pos="8504"/>
      </w:tabs>
    </w:pPr>
  </w:style>
  <w:style w:type="character" w:customStyle="1" w:styleId="FooterChar">
    <w:name w:val="Footer Char"/>
    <w:basedOn w:val="DefaultParagraphFont"/>
    <w:link w:val="Footer"/>
    <w:uiPriority w:val="99"/>
    <w:rsid w:val="00FD15FE"/>
  </w:style>
  <w:style w:type="table" w:styleId="LightShading-Accent1">
    <w:name w:val="Light Shading Accent 1"/>
    <w:basedOn w:val="TableNormal"/>
    <w:uiPriority w:val="60"/>
    <w:rsid w:val="009F039F"/>
    <w:rPr>
      <w:color w:val="365F91" w:themeColor="accent1" w:themeShade="BF"/>
      <w:sz w:val="22"/>
      <w:szCs w:val="22"/>
      <w:lang w:val="es-MX"/>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FootnoteText">
    <w:name w:val="footnote text"/>
    <w:basedOn w:val="Normal"/>
    <w:link w:val="FootnoteTextChar"/>
    <w:uiPriority w:val="99"/>
    <w:unhideWhenUsed/>
    <w:rsid w:val="002A04B3"/>
    <w:rPr>
      <w:rFonts w:eastAsiaTheme="minorHAnsi"/>
      <w:sz w:val="20"/>
      <w:szCs w:val="20"/>
      <w:lang w:val="fr-FR" w:eastAsia="en-US"/>
    </w:rPr>
  </w:style>
  <w:style w:type="character" w:customStyle="1" w:styleId="FootnoteTextChar">
    <w:name w:val="Footnote Text Char"/>
    <w:basedOn w:val="DefaultParagraphFont"/>
    <w:link w:val="FootnoteText"/>
    <w:uiPriority w:val="99"/>
    <w:rsid w:val="002A04B3"/>
    <w:rPr>
      <w:rFonts w:eastAsiaTheme="minorHAnsi"/>
      <w:sz w:val="20"/>
      <w:szCs w:val="20"/>
      <w:lang w:val="fr-FR" w:eastAsia="en-US"/>
    </w:rPr>
  </w:style>
  <w:style w:type="character" w:styleId="FootnoteReference">
    <w:name w:val="footnote reference"/>
    <w:basedOn w:val="DefaultParagraphFont"/>
    <w:uiPriority w:val="99"/>
    <w:unhideWhenUsed/>
    <w:rsid w:val="002A04B3"/>
    <w:rPr>
      <w:vertAlign w:val="superscript"/>
    </w:rPr>
  </w:style>
  <w:style w:type="table" w:styleId="TableGrid">
    <w:name w:val="Table Grid"/>
    <w:basedOn w:val="TableNormal"/>
    <w:uiPriority w:val="1"/>
    <w:rsid w:val="00784E21"/>
    <w:rPr>
      <w:sz w:val="22"/>
      <w:szCs w:val="22"/>
      <w:lang w:val="en-US"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Title">
    <w:name w:val="Title"/>
    <w:basedOn w:val="Normal"/>
    <w:link w:val="TitleChar"/>
    <w:uiPriority w:val="2"/>
    <w:unhideWhenUsed/>
    <w:qFormat/>
    <w:rsid w:val="00E63AF2"/>
    <w:pPr>
      <w:spacing w:before="480" w:after="40"/>
      <w:contextualSpacing/>
      <w:jc w:val="center"/>
    </w:pPr>
    <w:rPr>
      <w:rFonts w:asciiTheme="majorHAnsi" w:eastAsiaTheme="majorEastAsia" w:hAnsiTheme="majorHAnsi" w:cstheme="majorBidi"/>
      <w:color w:val="365F91" w:themeColor="accent1" w:themeShade="BF"/>
      <w:kern w:val="28"/>
      <w:sz w:val="60"/>
      <w:szCs w:val="22"/>
      <w:lang w:val="en-US" w:eastAsia="en-US"/>
    </w:rPr>
  </w:style>
  <w:style w:type="character" w:customStyle="1" w:styleId="TitleChar">
    <w:name w:val="Title Char"/>
    <w:basedOn w:val="DefaultParagraphFont"/>
    <w:link w:val="Title"/>
    <w:uiPriority w:val="2"/>
    <w:rsid w:val="00E63AF2"/>
    <w:rPr>
      <w:rFonts w:asciiTheme="majorHAnsi" w:eastAsiaTheme="majorEastAsia" w:hAnsiTheme="majorHAnsi" w:cstheme="majorBidi"/>
      <w:color w:val="365F91" w:themeColor="accent1" w:themeShade="BF"/>
      <w:kern w:val="28"/>
      <w:sz w:val="60"/>
      <w:szCs w:val="22"/>
      <w:lang w:val="en-US" w:eastAsia="en-US"/>
    </w:rPr>
  </w:style>
  <w:style w:type="character" w:styleId="Hyperlink">
    <w:name w:val="Hyperlink"/>
    <w:basedOn w:val="DefaultParagraphFont"/>
    <w:uiPriority w:val="99"/>
    <w:unhideWhenUsed/>
    <w:rsid w:val="003109AD"/>
    <w:rPr>
      <w:color w:val="0000FF" w:themeColor="hyperlink"/>
      <w:u w:val="single"/>
    </w:rPr>
  </w:style>
  <w:style w:type="character" w:styleId="CommentReference">
    <w:name w:val="annotation reference"/>
    <w:basedOn w:val="DefaultParagraphFont"/>
    <w:uiPriority w:val="99"/>
    <w:semiHidden/>
    <w:unhideWhenUsed/>
    <w:rsid w:val="00635DE3"/>
    <w:rPr>
      <w:sz w:val="16"/>
      <w:szCs w:val="16"/>
    </w:rPr>
  </w:style>
  <w:style w:type="paragraph" w:styleId="CommentText">
    <w:name w:val="annotation text"/>
    <w:basedOn w:val="Normal"/>
    <w:link w:val="CommentTextChar"/>
    <w:uiPriority w:val="99"/>
    <w:semiHidden/>
    <w:unhideWhenUsed/>
    <w:rsid w:val="00635DE3"/>
    <w:rPr>
      <w:sz w:val="20"/>
      <w:szCs w:val="20"/>
    </w:rPr>
  </w:style>
  <w:style w:type="character" w:customStyle="1" w:styleId="CommentTextChar">
    <w:name w:val="Comment Text Char"/>
    <w:basedOn w:val="DefaultParagraphFont"/>
    <w:link w:val="CommentText"/>
    <w:uiPriority w:val="99"/>
    <w:semiHidden/>
    <w:rsid w:val="00635DE3"/>
    <w:rPr>
      <w:sz w:val="20"/>
      <w:szCs w:val="20"/>
    </w:rPr>
  </w:style>
  <w:style w:type="paragraph" w:styleId="CommentSubject">
    <w:name w:val="annotation subject"/>
    <w:basedOn w:val="CommentText"/>
    <w:next w:val="CommentText"/>
    <w:link w:val="CommentSubjectChar"/>
    <w:uiPriority w:val="99"/>
    <w:semiHidden/>
    <w:unhideWhenUsed/>
    <w:rsid w:val="00635DE3"/>
    <w:rPr>
      <w:b/>
      <w:bCs/>
    </w:rPr>
  </w:style>
  <w:style w:type="character" w:customStyle="1" w:styleId="CommentSubjectChar">
    <w:name w:val="Comment Subject Char"/>
    <w:basedOn w:val="CommentTextChar"/>
    <w:link w:val="CommentSubject"/>
    <w:uiPriority w:val="99"/>
    <w:semiHidden/>
    <w:rsid w:val="00635DE3"/>
    <w:rPr>
      <w:b/>
      <w:bCs/>
      <w:sz w:val="20"/>
      <w:szCs w:val="20"/>
    </w:rPr>
  </w:style>
  <w:style w:type="paragraph" w:styleId="Revision">
    <w:name w:val="Revision"/>
    <w:hidden/>
    <w:uiPriority w:val="99"/>
    <w:semiHidden/>
    <w:rsid w:val="00635DE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51821898">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hyperlink" Target="http://cmimarseille.org/sites/default/files/newsite/library/files/en/One-pagers.pdf" TargetMode="External"/><Relationship Id="rId18" Type="http://schemas.openxmlformats.org/officeDocument/2006/relationships/oleObject" Target="embeddings/oleObject2.bin"/><Relationship Id="rId26" Type="http://schemas.openxmlformats.org/officeDocument/2006/relationships/package" Target="embeddings/Microsoft_Word_Document1.docx"/><Relationship Id="rId39" Type="http://schemas.openxmlformats.org/officeDocument/2006/relationships/image" Target="media/image15.emf"/><Relationship Id="rId21" Type="http://schemas.openxmlformats.org/officeDocument/2006/relationships/image" Target="media/image6.emf"/><Relationship Id="rId34" Type="http://schemas.openxmlformats.org/officeDocument/2006/relationships/package" Target="embeddings/Microsoft_Word_Document5.docx"/><Relationship Id="rId42" Type="http://schemas.openxmlformats.org/officeDocument/2006/relationships/package" Target="embeddings/Microsoft_PowerPoint_Presentation7.pptx"/><Relationship Id="rId47" Type="http://schemas.openxmlformats.org/officeDocument/2006/relationships/footer" Target="footer1.xml"/><Relationship Id="rId50"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oleObject" Target="embeddings/oleObject1.bin"/><Relationship Id="rId29" Type="http://schemas.openxmlformats.org/officeDocument/2006/relationships/image" Target="media/image10.emf"/><Relationship Id="rId11" Type="http://schemas.openxmlformats.org/officeDocument/2006/relationships/image" Target="media/image1.png"/><Relationship Id="rId24" Type="http://schemas.openxmlformats.org/officeDocument/2006/relationships/package" Target="embeddings/Microsoft_Word_Document.docx"/><Relationship Id="rId32" Type="http://schemas.openxmlformats.org/officeDocument/2006/relationships/package" Target="embeddings/Microsoft_Word_Document4.docx"/><Relationship Id="rId37" Type="http://schemas.openxmlformats.org/officeDocument/2006/relationships/image" Target="media/image14.emf"/><Relationship Id="rId40" Type="http://schemas.openxmlformats.org/officeDocument/2006/relationships/package" Target="embeddings/Microsoft_PowerPoint_Presentation6.pptx"/><Relationship Id="rId45" Type="http://schemas.openxmlformats.org/officeDocument/2006/relationships/image" Target="media/image18.emf"/><Relationship Id="rId5" Type="http://schemas.openxmlformats.org/officeDocument/2006/relationships/numbering" Target="numbering.xml"/><Relationship Id="rId15" Type="http://schemas.openxmlformats.org/officeDocument/2006/relationships/image" Target="media/image3.emf"/><Relationship Id="rId23" Type="http://schemas.openxmlformats.org/officeDocument/2006/relationships/image" Target="media/image7.emf"/><Relationship Id="rId28" Type="http://schemas.openxmlformats.org/officeDocument/2006/relationships/package" Target="embeddings/Microsoft_Word_Document2.docx"/><Relationship Id="rId36" Type="http://schemas.openxmlformats.org/officeDocument/2006/relationships/package" Target="embeddings/Microsoft_PowerPoint_Presentation.pptx"/><Relationship Id="rId49"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5.emf"/><Relationship Id="rId31" Type="http://schemas.openxmlformats.org/officeDocument/2006/relationships/image" Target="media/image11.emf"/><Relationship Id="rId44" Type="http://schemas.openxmlformats.org/officeDocument/2006/relationships/package" Target="embeddings/Microsoft_PowerPoint_Presentation8.pptx"/><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cmimarseille.org/blogs?&amp;field_are_you_tid=All&amp;page=5" TargetMode="External"/><Relationship Id="rId22" Type="http://schemas.openxmlformats.org/officeDocument/2006/relationships/oleObject" Target="embeddings/oleObject4.bin"/><Relationship Id="rId27" Type="http://schemas.openxmlformats.org/officeDocument/2006/relationships/image" Target="media/image9.emf"/><Relationship Id="rId30" Type="http://schemas.openxmlformats.org/officeDocument/2006/relationships/package" Target="embeddings/Microsoft_Word_Document3.docx"/><Relationship Id="rId35" Type="http://schemas.openxmlformats.org/officeDocument/2006/relationships/image" Target="media/image13.emf"/><Relationship Id="rId43" Type="http://schemas.openxmlformats.org/officeDocument/2006/relationships/image" Target="media/image17.emf"/><Relationship Id="rId48" Type="http://schemas.openxmlformats.org/officeDocument/2006/relationships/footer" Target="footer2.xml"/><Relationship Id="rId8" Type="http://schemas.openxmlformats.org/officeDocument/2006/relationships/webSettings" Target="webSettings.xml"/><Relationship Id="rId51" Type="http://schemas.openxmlformats.org/officeDocument/2006/relationships/customXml" Target="../customXml/item5.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4.emf"/><Relationship Id="rId25" Type="http://schemas.openxmlformats.org/officeDocument/2006/relationships/image" Target="media/image8.emf"/><Relationship Id="rId33" Type="http://schemas.openxmlformats.org/officeDocument/2006/relationships/image" Target="media/image12.emf"/><Relationship Id="rId38" Type="http://schemas.openxmlformats.org/officeDocument/2006/relationships/oleObject" Target="embeddings/oleObject5.bin"/><Relationship Id="rId46" Type="http://schemas.openxmlformats.org/officeDocument/2006/relationships/package" Target="embeddings/Microsoft_Word_Document9.docx"/><Relationship Id="rId20" Type="http://schemas.openxmlformats.org/officeDocument/2006/relationships/oleObject" Target="embeddings/oleObject3.bin"/><Relationship Id="rId41" Type="http://schemas.openxmlformats.org/officeDocument/2006/relationships/image" Target="media/image16.emf"/><Relationship Id="rId1" Type="http://schemas.openxmlformats.org/officeDocument/2006/relationships/customXml" Target="../customXml/item1.xml"/><Relationship Id="rId6" Type="http://schemas.openxmlformats.org/officeDocument/2006/relationships/styles" Target="styles.xml"/></Relationships>
</file>

<file path=word/_rels/footer2.xml.rels><?xml version="1.0" encoding="UTF-8" standalone="yes"?>
<Relationships xmlns="http://schemas.openxmlformats.org/package/2006/relationships"><Relationship Id="rId1" Type="http://schemas.openxmlformats.org/officeDocument/2006/relationships/image" Target="media/image19.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DocAuthors xmlns="b99a068c-3844-4a16-badd-77233eea0529">000268403:Cornelia Jesse:cjesse@worldbank.org;</DocAuthors>
    <Authors xmlns="b99a068c-3844-4a16-badd-77233eea0529">
      <UserInfo>
        <DisplayName>i:0#.w|wb\wb268403</DisplayName>
        <AccountId>10796</AccountId>
        <AccountType/>
      </UserInfo>
      <UserInfo>
        <DisplayName/>
        <AccountId xsi:nil="true"/>
        <AccountType/>
      </UserInfo>
    </Authors>
    <Cordis_x0020_ID xmlns="b99a068c-3844-4a16-badd-77233eea0529">ITM00270</Cordis_x0020_ID>
    <Stage xmlns="b99a068c-3844-4a16-badd-77233eea0529">IMP</Stage>
    <PolicyExceptions xmlns="b99a068c-3844-4a16-badd-77233eea0529" xsi:nil="true"/>
    <IsHidden xmlns="b99a068c-3844-4a16-badd-77233eea0529">false</IsHidden>
    <IsTemplate xmlns="b99a068c-3844-4a16-badd-77233eea0529">false</IsTemplate>
    <WBDocType xmlns="b99a068c-3844-4a16-badd-77233eea0529">Report</WBDocType>
    <HasUserUploaded xmlns="b99a068c-3844-4a16-badd-77233eea0529">true</HasUserUploaded>
    <DocumentDate xmlns="b99a068c-3844-4a16-badd-77233eea0529">2019-10-15T04:00:00+00:00</DocumentDate>
    <SecurityClassification xmlns="b99a068c-3844-4a16-badd-77233eea0529">Public</SecurityClassification>
    <DeliverableID xmlns="b99a068c-3844-4a16-badd-77233eea0529">DLV0244591</DeliverableID>
    <IsMandatory xmlns="b99a068c-3844-4a16-badd-77233eea0529">false</IsMandatory>
    <ProjectID xmlns="b99a068c-3844-4a16-badd-77233eea0529">P148242</ProjectID>
    <Package xmlns="b99a068c-3844-4a16-badd-77233eea0529">true</Package>
    <Task_x0020_ID xmlns="b99a068c-3844-4a16-badd-77233eea0529" xsi:nil="true"/>
    <TemplateDocVersion xmlns="b99a068c-3844-4a16-badd-77233eea0529" xsi:nil="true"/>
    <SequenceNum xmlns="b99a068c-3844-4a16-badd-77233eea0529" xsi:nil="true"/>
    <RefreshDate xmlns="b99a068c-3844-4a16-badd-77233eea0529" xsi:nil="true"/>
    <SortOrder xmlns="b99a068c-3844-4a16-badd-77233eea0529" xsi:nil="true"/>
    <AttachmentType xmlns="b99a068c-3844-4a16-badd-77233eea0529" xsi:nil="true"/>
    <DisclosedVersion xmlns="b99a068c-3844-4a16-badd-77233eea0529" xsi:nil="true"/>
    <DocumentType xmlns="b99a068c-3844-4a16-badd-77233eea0529" xsi:nil="true"/>
    <ApprovedVersion xmlns="b99a068c-3844-4a16-badd-77233eea0529" xsi:nil="true"/>
    <DocStatus xmlns="b99a068c-3844-4a16-badd-77233eea0529" xsi:nil="true"/>
    <DependentDoc xmlns="b99a068c-3844-4a16-badd-77233eea0529" xsi:nil="true"/>
    <SAPStage xmlns="b99a068c-3844-4a16-badd-77233eea0529" xsi:nil="true"/>
    <LockStatus xmlns="b99a068c-3844-4a16-badd-77233eea0529" xsi:nil="true"/>
    <Abstract xmlns="b99a068c-3844-4a16-badd-77233eea0529" xsi:nil="true"/>
    <DocumentAction xmlns="b99a068c-3844-4a16-badd-77233eea0529" xsi:nil="true"/>
  </documentManagement>
</p:properties>
</file>

<file path=customXml/item3.xml><?xml version="1.0" encoding="utf-8"?>
<ct:contentTypeSchema xmlns:ct="http://schemas.microsoft.com/office/2006/metadata/contentType" xmlns:ma="http://schemas.microsoft.com/office/2006/metadata/properties/metaAttributes" ct:_="" ma:_="" ma:contentTypeName="WBOpsProjectDoc" ma:contentTypeID="0x01010054E0FEF4951F9D49A6F48A35419983C7004A92CE19E1D89D44BF8FD131D0DAF007" ma:contentTypeVersion="3" ma:contentTypeDescription="" ma:contentTypeScope="" ma:versionID="0f45e07a5b7a9a44808e6db2eec12469">
  <xsd:schema xmlns:xsd="http://www.w3.org/2001/XMLSchema" xmlns:xs="http://www.w3.org/2001/XMLSchema" xmlns:p="http://schemas.microsoft.com/office/2006/metadata/properties" xmlns:ns2="b99a068c-3844-4a16-badd-77233eea0529" targetNamespace="http://schemas.microsoft.com/office/2006/metadata/properties" ma:root="true" ma:fieldsID="fda24a9677bb9d21e2f1b3e6e3d6658a" ns2:_="">
    <xsd:import namespace="b99a068c-3844-4a16-badd-77233eea0529"/>
    <xsd:element name="properties">
      <xsd:complexType>
        <xsd:sequence>
          <xsd:element name="documentManagement">
            <xsd:complexType>
              <xsd:all>
                <xsd:element ref="ns2:ProjectID" minOccurs="0"/>
                <xsd:element ref="ns2:Stage" minOccurs="0"/>
                <xsd:element ref="ns2:Package" minOccurs="0"/>
                <xsd:element ref="ns2:DocumentType" minOccurs="0"/>
                <xsd:element ref="ns2:SortOrder" minOccurs="0"/>
                <xsd:element ref="ns2:AttachmentType" minOccurs="0"/>
                <xsd:element ref="ns2:Abstract" minOccurs="0"/>
                <xsd:element ref="ns2:SecurityClassification" minOccurs="0"/>
                <xsd:element ref="ns2:Cordis_x0020_ID" minOccurs="0"/>
                <xsd:element ref="ns2:Task_x0020_ID" minOccurs="0"/>
                <xsd:element ref="ns2:DependentDoc" minOccurs="0"/>
                <xsd:element ref="ns2:DeliverableID" minOccurs="0"/>
                <xsd:element ref="ns2:RefreshDate" minOccurs="0"/>
                <xsd:element ref="ns2:DocStatus" minOccurs="0"/>
                <xsd:element ref="ns2:ApprovedVersion" minOccurs="0"/>
                <xsd:element ref="ns2:DisclosedVersion" minOccurs="0"/>
                <xsd:element ref="ns2:HasUserUploaded" minOccurs="0"/>
                <xsd:element ref="ns2:IsMandatory" minOccurs="0"/>
                <xsd:element ref="ns2:IsTemplate" minOccurs="0"/>
                <xsd:element ref="ns2:SAPStage" minOccurs="0"/>
                <xsd:element ref="ns2:Authors" minOccurs="0"/>
                <xsd:element ref="ns2:DocAuthors" minOccurs="0"/>
                <xsd:element ref="ns2:DocumentDate" minOccurs="0"/>
                <xsd:element ref="ns2:PolicyExceptions" minOccurs="0"/>
                <xsd:element ref="ns2:WBDocType" minOccurs="0"/>
                <xsd:element ref="ns2:LockStatus" minOccurs="0"/>
                <xsd:element ref="ns2:DocumentAction" minOccurs="0"/>
                <xsd:element ref="ns2:IsHidden" minOccurs="0"/>
                <xsd:element ref="ns2:TemplateDocVersion" minOccurs="0"/>
                <xsd:element ref="ns2:SequenceNum"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99a068c-3844-4a16-badd-77233eea0529" elementFormDefault="qualified">
    <xsd:import namespace="http://schemas.microsoft.com/office/2006/documentManagement/types"/>
    <xsd:import namespace="http://schemas.microsoft.com/office/infopath/2007/PartnerControls"/>
    <xsd:element name="ProjectID" ma:index="8" nillable="true" ma:displayName="ProjectID" ma:internalName="ProjectID">
      <xsd:simpleType>
        <xsd:restriction base="dms:Text">
          <xsd:maxLength value="255"/>
        </xsd:restriction>
      </xsd:simpleType>
    </xsd:element>
    <xsd:element name="Stage" ma:index="9" nillable="true" ma:displayName="Stage" ma:internalName="Stage">
      <xsd:simpleType>
        <xsd:restriction base="dms:Text">
          <xsd:maxLength value="255"/>
        </xsd:restriction>
      </xsd:simpleType>
    </xsd:element>
    <xsd:element name="Package" ma:index="10" nillable="true" ma:displayName="Package" ma:default="1" ma:internalName="Package">
      <xsd:simpleType>
        <xsd:restriction base="dms:Boolean"/>
      </xsd:simpleType>
    </xsd:element>
    <xsd:element name="DocumentType" ma:index="11" nillable="true" ma:displayName="DocumentType" ma:internalName="DocumentType">
      <xsd:simpleType>
        <xsd:restriction base="dms:Text">
          <xsd:maxLength value="255"/>
        </xsd:restriction>
      </xsd:simpleType>
    </xsd:element>
    <xsd:element name="SortOrder" ma:index="12" nillable="true" ma:displayName="SortOrder" ma:internalName="SortOrder">
      <xsd:simpleType>
        <xsd:restriction base="dms:Number"/>
      </xsd:simpleType>
    </xsd:element>
    <xsd:element name="AttachmentType" ma:index="13" nillable="true" ma:displayName="AttachmentType" ma:internalName="AttachmentType">
      <xsd:simpleType>
        <xsd:restriction base="dms:Text">
          <xsd:maxLength value="255"/>
        </xsd:restriction>
      </xsd:simpleType>
    </xsd:element>
    <xsd:element name="Abstract" ma:index="14" nillable="true" ma:displayName="Abstract" ma:internalName="Abstract">
      <xsd:simpleType>
        <xsd:restriction base="dms:Note"/>
      </xsd:simpleType>
    </xsd:element>
    <xsd:element name="SecurityClassification" ma:index="15" nillable="true" ma:displayName="SecurityClassification" ma:format="Dropdown" ma:internalName="SecurityClassification">
      <xsd:simpleType>
        <xsd:restriction base="dms:Choice">
          <xsd:enumeration value="Official use only"/>
          <xsd:enumeration value="Public"/>
        </xsd:restriction>
      </xsd:simpleType>
    </xsd:element>
    <xsd:element name="Cordis_x0020_ID" ma:index="16" nillable="true" ma:displayName="Cordis ID" ma:internalName="Cordis_x0020_ID">
      <xsd:simpleType>
        <xsd:restriction base="dms:Note"/>
      </xsd:simpleType>
    </xsd:element>
    <xsd:element name="Task_x0020_ID" ma:index="17" nillable="true" ma:displayName="Task ID" ma:internalName="Task_x0020_ID">
      <xsd:simpleType>
        <xsd:restriction base="dms:Note"/>
      </xsd:simpleType>
    </xsd:element>
    <xsd:element name="DependentDoc" ma:index="18" nillable="true" ma:displayName="DependentDoc" ma:internalName="DependentDoc">
      <xsd:simpleType>
        <xsd:restriction base="dms:Note"/>
      </xsd:simpleType>
    </xsd:element>
    <xsd:element name="DeliverableID" ma:index="19" nillable="true" ma:displayName="DeliverableID" ma:internalName="DeliverableID">
      <xsd:simpleType>
        <xsd:restriction base="dms:Note"/>
      </xsd:simpleType>
    </xsd:element>
    <xsd:element name="RefreshDate" ma:index="20" nillable="true" ma:displayName="RefreshDate" ma:format="DateTime" ma:internalName="RefreshDate">
      <xsd:simpleType>
        <xsd:restriction base="dms:DateTime"/>
      </xsd:simpleType>
    </xsd:element>
    <xsd:element name="DocStatus" ma:index="21" nillable="true" ma:displayName="DocStatus" ma:internalName="DocStatus">
      <xsd:simpleType>
        <xsd:restriction base="dms:Text">
          <xsd:maxLength value="255"/>
        </xsd:restriction>
      </xsd:simpleType>
    </xsd:element>
    <xsd:element name="ApprovedVersion" ma:index="22" nillable="true" ma:displayName="ApprovedVersion" ma:internalName="ApprovedVersion">
      <xsd:simpleType>
        <xsd:restriction base="dms:Text">
          <xsd:maxLength value="255"/>
        </xsd:restriction>
      </xsd:simpleType>
    </xsd:element>
    <xsd:element name="DisclosedVersion" ma:index="23" nillable="true" ma:displayName="DisclosedVersion" ma:internalName="DisclosedVersion">
      <xsd:simpleType>
        <xsd:restriction base="dms:Note"/>
      </xsd:simpleType>
    </xsd:element>
    <xsd:element name="HasUserUploaded" ma:index="24" nillable="true" ma:displayName="HasUserUploaded" ma:default="0" ma:internalName="HasUserUploaded">
      <xsd:simpleType>
        <xsd:restriction base="dms:Boolean"/>
      </xsd:simpleType>
    </xsd:element>
    <xsd:element name="IsMandatory" ma:index="25" nillable="true" ma:displayName="IsMandatory" ma:default="0" ma:internalName="IsMandatory">
      <xsd:simpleType>
        <xsd:restriction base="dms:Boolean"/>
      </xsd:simpleType>
    </xsd:element>
    <xsd:element name="IsTemplate" ma:index="26" nillable="true" ma:displayName="IsTemplate" ma:default="0" ma:internalName="IsTemplate">
      <xsd:simpleType>
        <xsd:restriction base="dms:Boolean"/>
      </xsd:simpleType>
    </xsd:element>
    <xsd:element name="SAPStage" ma:index="27" nillable="true" ma:displayName="SAPStage" ma:internalName="SAPStage">
      <xsd:simpleType>
        <xsd:restriction base="dms:Text">
          <xsd:maxLength value="255"/>
        </xsd:restriction>
      </xsd:simpleType>
    </xsd:element>
    <xsd:element name="Authors" ma:index="28" nillable="true" ma:displayName="Authors" ma:list="UserInfo" ma:SharePointGroup="0" ma:internalName="Authors" ma:showField="ImnNam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ocAuthors" ma:index="29" nillable="true" ma:displayName="DocAuthors" ma:internalName="DocAuthors">
      <xsd:simpleType>
        <xsd:restriction base="dms:Note">
          <xsd:maxLength value="255"/>
        </xsd:restriction>
      </xsd:simpleType>
    </xsd:element>
    <xsd:element name="DocumentDate" ma:index="30" nillable="true" ma:displayName="DocumentDate" ma:format="DateOnly" ma:internalName="DocumentDate">
      <xsd:simpleType>
        <xsd:restriction base="dms:DateTime"/>
      </xsd:simpleType>
    </xsd:element>
    <xsd:element name="PolicyExceptions" ma:index="31" nillable="true" ma:displayName="PolicyExceptions" ma:internalName="PolicyExceptions">
      <xsd:simpleType>
        <xsd:restriction base="dms:Note">
          <xsd:maxLength value="255"/>
        </xsd:restriction>
      </xsd:simpleType>
    </xsd:element>
    <xsd:element name="WBDocType" ma:index="32" nillable="true" ma:displayName="WBDocType" ma:internalName="WBDocType">
      <xsd:simpleType>
        <xsd:restriction base="dms:Text">
          <xsd:maxLength value="255"/>
        </xsd:restriction>
      </xsd:simpleType>
    </xsd:element>
    <xsd:element name="LockStatus" ma:index="33" nillable="true" ma:displayName="LockStatus" ma:internalName="LockStatus">
      <xsd:simpleType>
        <xsd:restriction base="dms:Text">
          <xsd:maxLength value="255"/>
        </xsd:restriction>
      </xsd:simpleType>
    </xsd:element>
    <xsd:element name="DocumentAction" ma:index="34" nillable="true" ma:displayName="DocumentAction" ma:internalName="DocumentAction">
      <xsd:simpleType>
        <xsd:restriction base="dms:Text">
          <xsd:maxLength value="255"/>
        </xsd:restriction>
      </xsd:simpleType>
    </xsd:element>
    <xsd:element name="IsHidden" ma:index="35" nillable="true" ma:displayName="IsHidden" ma:default="0" ma:internalName="IsHidden">
      <xsd:simpleType>
        <xsd:restriction base="dms:Boolean"/>
      </xsd:simpleType>
    </xsd:element>
    <xsd:element name="TemplateDocVersion" ma:index="36" nillable="true" ma:displayName="TemplateDocVersion" ma:internalName="TemplateDocVersion">
      <xsd:simpleType>
        <xsd:restriction base="dms:Text">
          <xsd:maxLength value="255"/>
        </xsd:restriction>
      </xsd:simpleType>
    </xsd:element>
    <xsd:element name="SequenceNum" ma:index="37" nillable="true" ma:displayName="SequenceNum" ma:internalName="SequenceNum">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mso-contentType ?>
<SharedContentType xmlns="Microsoft.SharePoint.Taxonomy.ContentTypeSync" SourceId="a4117c50-33ca-4e49-9a5c-4b51d291b3ff" ContentTypeId="0x01010054E0FEF4951F9D49A6F48A35419983C7" PreviousValue="false"/>
</file>

<file path=customXml/itemProps1.xml><?xml version="1.0" encoding="utf-8"?>
<ds:datastoreItem xmlns:ds="http://schemas.openxmlformats.org/officeDocument/2006/customXml" ds:itemID="{4634DA79-918E-4C12-B43E-9CEA89026291}">
  <ds:schemaRefs>
    <ds:schemaRef ds:uri="http://schemas.microsoft.com/sharepoint/v3/contenttype/forms"/>
  </ds:schemaRefs>
</ds:datastoreItem>
</file>

<file path=customXml/itemProps2.xml><?xml version="1.0" encoding="utf-8"?>
<ds:datastoreItem xmlns:ds="http://schemas.openxmlformats.org/officeDocument/2006/customXml" ds:itemID="{71E6EF80-81A0-41DF-8925-35010D3CDC16}">
  <ds:schemaRefs>
    <ds:schemaRef ds:uri="http://purl.org/dc/dcmitype/"/>
    <ds:schemaRef ds:uri="http://schemas.microsoft.com/office/2006/documentManagement/types"/>
    <ds:schemaRef ds:uri="543abfbf-1b39-4535-8b1b-c72a4cdaa484"/>
    <ds:schemaRef ds:uri="http://schemas.microsoft.com/office/2006/metadata/properties"/>
    <ds:schemaRef ds:uri="http://www.w3.org/XML/1998/namespace"/>
    <ds:schemaRef ds:uri="2834bc84-a818-4cb9-8b4d-5179cfe104eb"/>
    <ds:schemaRef ds:uri="http://purl.org/dc/terms/"/>
    <ds:schemaRef ds:uri="http://schemas.microsoft.com/office/infopath/2007/PartnerControls"/>
    <ds:schemaRef ds:uri="http://schemas.openxmlformats.org/package/2006/metadata/core-properties"/>
    <ds:schemaRef ds:uri="http://purl.org/dc/elements/1.1/"/>
  </ds:schemaRefs>
</ds:datastoreItem>
</file>

<file path=customXml/itemProps3.xml><?xml version="1.0" encoding="utf-8"?>
<ds:datastoreItem xmlns:ds="http://schemas.openxmlformats.org/officeDocument/2006/customXml" ds:itemID="{2A79B443-9D02-47FD-A31B-EC539960B159}"/>
</file>

<file path=customXml/itemProps4.xml><?xml version="1.0" encoding="utf-8"?>
<ds:datastoreItem xmlns:ds="http://schemas.openxmlformats.org/officeDocument/2006/customXml" ds:itemID="{C2DBD057-EB89-4FE0-9403-F481D41B5504}">
  <ds:schemaRefs>
    <ds:schemaRef ds:uri="http://schemas.openxmlformats.org/officeDocument/2006/bibliography"/>
  </ds:schemaRefs>
</ds:datastoreItem>
</file>

<file path=customXml/itemProps5.xml><?xml version="1.0" encoding="utf-8"?>
<ds:datastoreItem xmlns:ds="http://schemas.openxmlformats.org/officeDocument/2006/customXml" ds:itemID="{F6660F43-0693-48CA-8048-B6DB2F655DE2}"/>
</file>

<file path=docProps/app.xml><?xml version="1.0" encoding="utf-8"?>
<Properties xmlns="http://schemas.openxmlformats.org/officeDocument/2006/extended-properties" xmlns:vt="http://schemas.openxmlformats.org/officeDocument/2006/docPropsVTypes">
  <Template>Normal.dotm</Template>
  <TotalTime>12</TotalTime>
  <Pages>9</Pages>
  <Words>2290</Words>
  <Characters>13057</Characters>
  <Application>Microsoft Office Word</Application>
  <DocSecurity>0</DocSecurity>
  <Lines>108</Lines>
  <Paragraphs>30</Paragraphs>
  <ScaleCrop>false</ScaleCrop>
  <HeadingPairs>
    <vt:vector size="2" baseType="variant">
      <vt:variant>
        <vt:lpstr>Title</vt:lpstr>
      </vt:variant>
      <vt:variant>
        <vt:i4>1</vt:i4>
      </vt:variant>
    </vt:vector>
  </HeadingPairs>
  <TitlesOfParts>
    <vt:vector size="1" baseType="lpstr">
      <vt:lpstr>Final Executive Summary UGSC Program 2015-19</vt:lpstr>
    </vt:vector>
  </TitlesOfParts>
  <Company>University Governance and Quality in MENA</Company>
  <LinksUpToDate>false</LinksUpToDate>
  <CharactersWithSpaces>15317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Final Executive Summary UGSC Program 2015-19</dc:title>
  <dc:subject/>
  <dc:creator>Michelle  Gonzalez Amador</dc:creator>
  <cp:keywords/>
  <dc:description/>
  <cp:lastModifiedBy>Cornelia Jesse</cp:lastModifiedBy>
  <cp:revision>12</cp:revision>
  <dcterms:created xsi:type="dcterms:W3CDTF">2019-10-15T11:01:00Z</dcterms:created>
  <dcterms:modified xsi:type="dcterms:W3CDTF">2019-10-15T11:08:00Z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0x01010054E0FEF4951F9D49A6F48A35419983C7004A92CE19E1D89D44BF8FD131D0DAF007</vt:lpwstr>
  </property>
  <property fmtid="{D5CDD505-2E9C-101B-9397-08002B2CF9AE}" pid="3" name="RatedBy">
    <vt:lpwstr/>
  </property>
  <property fmtid="{D5CDD505-2E9C-101B-9397-08002B2CF9AE}" pid="4" name="LikedBy">
    <vt:lpwstr/>
  </property>
  <property fmtid="{D5CDD505-2E9C-101B-9397-08002B2CF9AE}" pid="5" name="DocAuthors">
    <vt:lpwstr>000335866:Francisco Marmolejo:fmarmolejo@worldbank.org;</vt:lpwstr>
  </property>
  <property fmtid="{D5CDD505-2E9C-101B-9397-08002B2CF9AE}" pid="6" name="Authors">
    <vt:lpwstr>3300;#i:0#.w|wb\wb335866</vt:lpwstr>
  </property>
  <property fmtid="{D5CDD505-2E9C-101B-9397-08002B2CF9AE}" pid="7" name="Stage">
    <vt:lpwstr>IMP</vt:lpwstr>
  </property>
  <property fmtid="{D5CDD505-2E9C-101B-9397-08002B2CF9AE}" pid="8" name="PolicyExceptions">
    <vt:lpwstr>PE09:9.Deliberative;</vt:lpwstr>
  </property>
  <property fmtid="{D5CDD505-2E9C-101B-9397-08002B2CF9AE}" pid="9" name="IsHidden">
    <vt:bool>false</vt:bool>
  </property>
  <property fmtid="{D5CDD505-2E9C-101B-9397-08002B2CF9AE}" pid="10" name="IsTemplate">
    <vt:bool>false</vt:bool>
  </property>
  <property fmtid="{D5CDD505-2E9C-101B-9397-08002B2CF9AE}" pid="11" name="WBDocType">
    <vt:lpwstr>Report</vt:lpwstr>
  </property>
  <property fmtid="{D5CDD505-2E9C-101B-9397-08002B2CF9AE}" pid="12" name="SecurityClassification">
    <vt:lpwstr>Official use only</vt:lpwstr>
  </property>
  <property fmtid="{D5CDD505-2E9C-101B-9397-08002B2CF9AE}" pid="13" name="DeliverableID">
    <vt:lpwstr>DLV0244591</vt:lpwstr>
  </property>
  <property fmtid="{D5CDD505-2E9C-101B-9397-08002B2CF9AE}" pid="14" name="IsMandatory">
    <vt:bool>false</vt:bool>
  </property>
  <property fmtid="{D5CDD505-2E9C-101B-9397-08002B2CF9AE}" pid="15" name="ProjectID">
    <vt:lpwstr>P148242</vt:lpwstr>
  </property>
  <property fmtid="{D5CDD505-2E9C-101B-9397-08002B2CF9AE}" pid="16" name="Package">
    <vt:bool>true</vt:bool>
  </property>
  <property fmtid="{D5CDD505-2E9C-101B-9397-08002B2CF9AE}" pid="17" name="HasUserUploaded">
    <vt:bool>true</vt:bool>
  </property>
  <property fmtid="{D5CDD505-2E9C-101B-9397-08002B2CF9AE}" pid="18" name="DocumentDate">
    <vt:filetime>2018-06-29T04:00:00Z</vt:filetime>
  </property>
</Properties>
</file>